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E70CD6">
      <w:pPr>
        <w:outlineLvl w:val="9"/>
        <w:rPr>
          <w:rFonts w:hint="eastAsia" w:ascii="仿宋" w:hAnsi="仿宋" w:eastAsia="仿宋" w:cs="仿宋"/>
          <w:color w:val="auto"/>
          <w:highlight w:val="none"/>
        </w:rPr>
      </w:pPr>
    </w:p>
    <w:p w14:paraId="2F9530A5">
      <w:pPr>
        <w:outlineLvl w:val="9"/>
        <w:rPr>
          <w:rFonts w:hint="eastAsia" w:ascii="仿宋" w:hAnsi="仿宋" w:eastAsia="仿宋" w:cs="仿宋"/>
          <w:color w:val="auto"/>
          <w:highlight w:val="none"/>
        </w:rPr>
      </w:pPr>
    </w:p>
    <w:p w14:paraId="00BDD09D">
      <w:pPr>
        <w:outlineLvl w:val="9"/>
        <w:rPr>
          <w:rFonts w:hint="eastAsia" w:ascii="仿宋" w:hAnsi="仿宋" w:eastAsia="仿宋" w:cs="仿宋"/>
          <w:color w:val="auto"/>
          <w:highlight w:val="none"/>
        </w:rPr>
      </w:pPr>
    </w:p>
    <w:p w14:paraId="4DAB70B1">
      <w:pPr>
        <w:jc w:val="center"/>
        <w:outlineLvl w:val="9"/>
        <w:rPr>
          <w:rFonts w:hint="eastAsia" w:ascii="仿宋" w:hAnsi="仿宋" w:eastAsia="仿宋" w:cs="仿宋"/>
          <w:b/>
          <w:color w:val="auto"/>
          <w:sz w:val="52"/>
          <w:highlight w:val="none"/>
        </w:rPr>
      </w:pPr>
    </w:p>
    <w:p w14:paraId="5FF2C0C7">
      <w:pPr>
        <w:jc w:val="center"/>
        <w:outlineLvl w:val="9"/>
        <w:rPr>
          <w:rFonts w:hint="eastAsia" w:ascii="仿宋" w:hAnsi="仿宋" w:eastAsia="仿宋" w:cs="仿宋"/>
          <w:b/>
          <w:color w:val="auto"/>
          <w:sz w:val="52"/>
          <w:highlight w:val="none"/>
        </w:rPr>
      </w:pPr>
    </w:p>
    <w:p w14:paraId="0D6E5C4F">
      <w:pPr>
        <w:jc w:val="center"/>
        <w:outlineLvl w:val="9"/>
        <w:rPr>
          <w:rFonts w:hint="eastAsia" w:ascii="仿宋" w:hAnsi="仿宋" w:eastAsia="仿宋" w:cs="仿宋"/>
          <w:color w:val="auto"/>
          <w:sz w:val="48"/>
          <w:highlight w:val="none"/>
        </w:rPr>
      </w:pPr>
      <w:r>
        <w:rPr>
          <w:rFonts w:hint="eastAsia" w:ascii="仿宋" w:hAnsi="仿宋" w:eastAsia="仿宋" w:cs="仿宋"/>
          <w:b/>
          <w:bCs/>
          <w:color w:val="auto"/>
          <w:sz w:val="96"/>
          <w:szCs w:val="96"/>
          <w:highlight w:val="none"/>
        </w:rPr>
        <w:t>招 标 文 件</w:t>
      </w:r>
    </w:p>
    <w:p w14:paraId="0E236698">
      <w:pPr>
        <w:outlineLvl w:val="9"/>
        <w:rPr>
          <w:rFonts w:hint="eastAsia" w:ascii="仿宋" w:hAnsi="仿宋" w:eastAsia="仿宋" w:cs="仿宋"/>
          <w:color w:val="auto"/>
          <w:sz w:val="48"/>
          <w:highlight w:val="none"/>
        </w:rPr>
      </w:pPr>
    </w:p>
    <w:p w14:paraId="06365972">
      <w:pPr>
        <w:pStyle w:val="26"/>
        <w:spacing w:before="1716" w:beforeLines="550" w:line="360" w:lineRule="auto"/>
        <w:ind w:firstLine="720"/>
        <w:outlineLvl w:val="9"/>
        <w:rPr>
          <w:rFonts w:hint="eastAsia" w:ascii="仿宋" w:hAnsi="仿宋" w:eastAsia="仿宋" w:cs="仿宋"/>
          <w:color w:val="auto"/>
          <w:sz w:val="28"/>
          <w:szCs w:val="28"/>
          <w:highlight w:val="none"/>
        </w:rPr>
      </w:pPr>
    </w:p>
    <w:p w14:paraId="578AF192">
      <w:pPr>
        <w:pStyle w:val="26"/>
        <w:spacing w:line="360" w:lineRule="auto"/>
        <w:ind w:left="1398" w:leftChars="266" w:hanging="840" w:hangingChars="300"/>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项目名称：富蕴县医疗救治体系提升项目</w:t>
      </w:r>
    </w:p>
    <w:p w14:paraId="522383D3">
      <w:pPr>
        <w:pStyle w:val="26"/>
        <w:spacing w:line="360" w:lineRule="auto"/>
        <w:ind w:left="0" w:leftChars="0" w:firstLine="560" w:firstLineChars="200"/>
        <w:outlineLvl w:val="9"/>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lang w:eastAsia="zh-CN"/>
        </w:rPr>
        <w:t>XJHRX</w:t>
      </w:r>
      <w:r>
        <w:rPr>
          <w:rFonts w:hint="eastAsia" w:ascii="仿宋" w:hAnsi="仿宋" w:eastAsia="仿宋" w:cs="仿宋"/>
          <w:color w:val="auto"/>
          <w:sz w:val="28"/>
          <w:szCs w:val="28"/>
          <w:highlight w:val="none"/>
          <w:lang w:val="en-US" w:eastAsia="zh-CN"/>
        </w:rPr>
        <w:t>FYXWSJKWYH-2025-01</w:t>
      </w:r>
    </w:p>
    <w:p w14:paraId="589956DD">
      <w:pPr>
        <w:pStyle w:val="26"/>
        <w:spacing w:line="360" w:lineRule="auto"/>
        <w:ind w:left="0" w:leftChars="0" w:firstLine="560" w:firstLineChars="200"/>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采 购 人</w:t>
      </w:r>
      <w:r>
        <w:rPr>
          <w:rFonts w:hint="eastAsia" w:ascii="仿宋" w:hAnsi="仿宋" w:eastAsia="仿宋" w:cs="仿宋"/>
          <w:color w:val="auto"/>
          <w:sz w:val="28"/>
          <w:szCs w:val="28"/>
          <w:highlight w:val="none"/>
          <w:lang w:val="en-US" w:eastAsia="zh-CN"/>
        </w:rPr>
        <w:t>：  富蕴县卫生健康委员会 （盖章）</w:t>
      </w:r>
    </w:p>
    <w:p w14:paraId="7321468A">
      <w:pPr>
        <w:pStyle w:val="26"/>
        <w:spacing w:line="360" w:lineRule="auto"/>
        <w:ind w:left="0" w:leftChars="0" w:firstLine="560" w:firstLineChars="200"/>
        <w:outlineLvl w:val="9"/>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 系 人：</w:t>
      </w:r>
      <w:r>
        <w:rPr>
          <w:rFonts w:hint="eastAsia" w:ascii="仿宋" w:hAnsi="仿宋" w:eastAsia="仿宋" w:cs="仿宋"/>
          <w:color w:val="auto"/>
          <w:sz w:val="28"/>
          <w:szCs w:val="28"/>
          <w:highlight w:val="none"/>
          <w:lang w:val="en-US" w:eastAsia="zh-CN"/>
        </w:rPr>
        <w:t>杜先生</w:t>
      </w:r>
    </w:p>
    <w:p w14:paraId="06930327">
      <w:pPr>
        <w:pStyle w:val="26"/>
        <w:spacing w:line="360" w:lineRule="auto"/>
        <w:ind w:left="0" w:leftChars="0"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lang w:val="en-US" w:eastAsia="zh-CN"/>
        </w:rPr>
        <w:t>18199617188</w:t>
      </w:r>
      <w:r>
        <w:rPr>
          <w:rFonts w:hint="eastAsia" w:ascii="仿宋" w:hAnsi="仿宋" w:eastAsia="仿宋" w:cs="仿宋"/>
          <w:color w:val="auto"/>
          <w:sz w:val="28"/>
          <w:szCs w:val="28"/>
          <w:highlight w:val="none"/>
          <w:lang w:val="en-US" w:eastAsia="zh-CN"/>
        </w:rPr>
        <w:fldChar w:fldCharType="begin"/>
      </w:r>
      <w:r>
        <w:rPr>
          <w:rFonts w:hint="eastAsia" w:ascii="仿宋" w:hAnsi="仿宋" w:eastAsia="仿宋" w:cs="仿宋"/>
          <w:color w:val="auto"/>
          <w:sz w:val="28"/>
          <w:szCs w:val="28"/>
          <w:highlight w:val="none"/>
          <w:lang w:val="en-US" w:eastAsia="zh-CN"/>
        </w:rPr>
        <w:instrText xml:space="preserve"> HYPERLINK "http://www.baidu.com/link?url=iyDC7CxmmsVyTqZoMhQN3YnIt7l21jUq1blE2gF5IoYzkA7Yz8T0YVHINxqIVN6JtybFWKEBPmHt1DxBWRQq7_sRdUYOGxIUyP2cvlhirie8ILyBbDHrwRNOIGVBDjgpBQ-CtlSJXCK7QqT2IV32yNvlr6UM9QfGXbFEGqH3bbv6KacOTxj9feM502R6c29UHEGZNzPxmU1MIqqkVS8EXygx-O7E-L33PGskUJiyuVBPy9psmJeRrf__uJsgGQ8lcczR0Wtv-w9LVtVYoj3WzqEBfzEKcL7W0GZzR03sXYbsRZjaAj2en2MHcjWecTdg" \t "https://www.baidu.com/_blank" </w:instrText>
      </w:r>
      <w:r>
        <w:rPr>
          <w:rFonts w:hint="eastAsia" w:ascii="仿宋" w:hAnsi="仿宋" w:eastAsia="仿宋" w:cs="仿宋"/>
          <w:color w:val="auto"/>
          <w:sz w:val="28"/>
          <w:szCs w:val="28"/>
          <w:highlight w:val="none"/>
          <w:lang w:val="en-US" w:eastAsia="zh-CN"/>
        </w:rPr>
        <w:fldChar w:fldCharType="separate"/>
      </w:r>
    </w:p>
    <w:p w14:paraId="742691F4">
      <w:pPr>
        <w:pStyle w:val="26"/>
        <w:spacing w:line="360" w:lineRule="auto"/>
        <w:ind w:left="0" w:leftChars="0" w:firstLine="0" w:firstLineChars="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fldChar w:fldCharType="end"/>
      </w:r>
      <w:r>
        <w:rPr>
          <w:rFonts w:hint="eastAsia" w:ascii="仿宋" w:hAnsi="仿宋" w:eastAsia="仿宋" w:cs="仿宋"/>
          <w:color w:val="auto"/>
          <w:sz w:val="28"/>
          <w:szCs w:val="28"/>
          <w:highlight w:val="none"/>
          <w:lang w:val="en-US" w:eastAsia="zh-CN"/>
        </w:rPr>
        <w:t xml:space="preserve">    地    址：</w:t>
      </w:r>
      <w:r>
        <w:rPr>
          <w:rFonts w:hint="eastAsia" w:ascii="仿宋" w:hAnsi="仿宋" w:eastAsia="仿宋" w:cs="仿宋"/>
          <w:color w:val="auto"/>
          <w:sz w:val="28"/>
          <w:szCs w:val="28"/>
          <w:highlight w:val="none"/>
        </w:rPr>
        <w:t>阿勒泰地区富蕴县赛尔江东路富蕴县妇幼保健院东北侧</w:t>
      </w:r>
    </w:p>
    <w:p w14:paraId="4A3DC41F">
      <w:pPr>
        <w:pStyle w:val="26"/>
        <w:spacing w:line="360" w:lineRule="auto"/>
        <w:ind w:left="0" w:leftChars="0" w:firstLine="0" w:firstLineChars="0"/>
        <w:outlineLvl w:val="9"/>
        <w:rPr>
          <w:rFonts w:hint="eastAsia" w:ascii="仿宋" w:hAnsi="仿宋" w:eastAsia="仿宋" w:cs="仿宋"/>
          <w:color w:val="auto"/>
          <w:sz w:val="28"/>
          <w:szCs w:val="28"/>
          <w:highlight w:val="none"/>
        </w:rPr>
      </w:pPr>
    </w:p>
    <w:p w14:paraId="6B2D9C12">
      <w:pPr>
        <w:pStyle w:val="26"/>
        <w:spacing w:line="360" w:lineRule="auto"/>
        <w:ind w:left="0" w:leftChars="0" w:firstLine="560" w:firstLineChars="200"/>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采购代理：</w:t>
      </w:r>
      <w:r>
        <w:rPr>
          <w:rFonts w:hint="eastAsia" w:ascii="仿宋" w:hAnsi="仿宋" w:eastAsia="仿宋" w:cs="仿宋"/>
          <w:color w:val="auto"/>
          <w:sz w:val="28"/>
          <w:szCs w:val="28"/>
          <w:highlight w:val="none"/>
          <w:lang w:eastAsia="zh-CN"/>
        </w:rPr>
        <w:t>新疆浩瑞兴建设工程项目管理咨询有限公司（</w:t>
      </w:r>
      <w:r>
        <w:rPr>
          <w:rFonts w:hint="eastAsia" w:ascii="仿宋" w:hAnsi="仿宋" w:eastAsia="仿宋" w:cs="仿宋"/>
          <w:color w:val="auto"/>
          <w:sz w:val="28"/>
          <w:szCs w:val="28"/>
          <w:highlight w:val="none"/>
          <w:lang w:val="en-US" w:eastAsia="zh-CN"/>
        </w:rPr>
        <w:t>盖章</w:t>
      </w:r>
      <w:r>
        <w:rPr>
          <w:rFonts w:hint="eastAsia" w:ascii="仿宋" w:hAnsi="仿宋" w:eastAsia="仿宋" w:cs="仿宋"/>
          <w:color w:val="auto"/>
          <w:sz w:val="28"/>
          <w:szCs w:val="28"/>
          <w:highlight w:val="none"/>
          <w:lang w:eastAsia="zh-CN"/>
        </w:rPr>
        <w:t>）</w:t>
      </w:r>
    </w:p>
    <w:p w14:paraId="72CCE90A">
      <w:pPr>
        <w:pStyle w:val="26"/>
        <w:spacing w:line="360" w:lineRule="auto"/>
        <w:ind w:left="0" w:leftChars="0" w:firstLine="560" w:firstLineChars="200"/>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地    址：</w:t>
      </w:r>
      <w:r>
        <w:rPr>
          <w:rFonts w:hint="eastAsia" w:ascii="仿宋" w:hAnsi="仿宋" w:eastAsia="仿宋" w:cs="仿宋"/>
          <w:color w:val="auto"/>
          <w:sz w:val="28"/>
          <w:szCs w:val="28"/>
          <w:highlight w:val="none"/>
          <w:lang w:eastAsia="zh-CN"/>
        </w:rPr>
        <w:t>新疆乌鲁木齐市水磨沟区安居南路鸿瑞豪庭四号楼908</w:t>
      </w:r>
    </w:p>
    <w:p w14:paraId="6D6DA586">
      <w:pPr>
        <w:pStyle w:val="26"/>
        <w:spacing w:line="360" w:lineRule="auto"/>
        <w:ind w:left="0" w:leftChars="0" w:firstLine="560" w:firstLineChars="200"/>
        <w:outlineLvl w:val="9"/>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 系 人：</w:t>
      </w:r>
      <w:r>
        <w:rPr>
          <w:rFonts w:hint="eastAsia" w:ascii="仿宋" w:hAnsi="仿宋" w:eastAsia="仿宋" w:cs="仿宋"/>
          <w:color w:val="auto"/>
          <w:sz w:val="28"/>
          <w:szCs w:val="28"/>
          <w:highlight w:val="none"/>
          <w:lang w:val="en-US" w:eastAsia="zh-CN"/>
        </w:rPr>
        <w:t>陈女士</w:t>
      </w:r>
    </w:p>
    <w:p w14:paraId="0D35C00A">
      <w:pPr>
        <w:pStyle w:val="26"/>
        <w:spacing w:line="360" w:lineRule="auto"/>
        <w:ind w:left="0" w:leftChars="0" w:firstLine="560" w:firstLineChars="200"/>
        <w:outlineLvl w:val="9"/>
        <w:rPr>
          <w:rFonts w:hint="eastAsia" w:ascii="仿宋" w:hAnsi="仿宋" w:eastAsia="仿宋" w:cs="仿宋"/>
          <w:b/>
          <w:color w:val="auto"/>
          <w:sz w:val="44"/>
          <w:szCs w:val="44"/>
          <w:highlight w:val="none"/>
        </w:rPr>
        <w:sectPr>
          <w:headerReference r:id="rId4" w:type="first"/>
          <w:footerReference r:id="rId5" w:type="first"/>
          <w:headerReference r:id="rId3" w:type="default"/>
          <w:pgSz w:w="11906" w:h="16838"/>
          <w:pgMar w:top="1440" w:right="1080" w:bottom="1440" w:left="1080" w:header="851" w:footer="851" w:gutter="0"/>
          <w:pgNumType w:fmt="numberInDash" w:start="1"/>
          <w:cols w:space="720" w:num="1"/>
          <w:titlePg/>
          <w:docGrid w:type="linesAndChars" w:linePitch="312" w:charSpace="0"/>
        </w:sect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lang w:val="en-US" w:eastAsia="zh-CN"/>
        </w:rPr>
        <w:t>18016878872</w:t>
      </w:r>
      <w:bookmarkStart w:id="0" w:name="_Toc14418"/>
    </w:p>
    <w:p w14:paraId="2762410F">
      <w:pPr>
        <w:keepNext w:val="0"/>
        <w:keepLines w:val="0"/>
        <w:pageBreakBefore w:val="0"/>
        <w:widowControl w:val="0"/>
        <w:tabs>
          <w:tab w:val="left" w:pos="2700"/>
        </w:tabs>
        <w:kinsoku/>
        <w:wordWrap/>
        <w:overflowPunct/>
        <w:topLinePunct w:val="0"/>
        <w:autoSpaceDE/>
        <w:autoSpaceDN/>
        <w:bidi w:val="0"/>
        <w:adjustRightInd/>
        <w:snapToGrid/>
        <w:spacing w:before="624" w:beforeLines="200" w:line="360" w:lineRule="auto"/>
        <w:jc w:val="center"/>
        <w:textAlignment w:val="auto"/>
        <w:outlineLvl w:val="0"/>
        <w:rPr>
          <w:rFonts w:hint="eastAsia" w:ascii="仿宋" w:hAnsi="仿宋" w:eastAsia="仿宋" w:cs="仿宋"/>
          <w:b/>
          <w:color w:val="auto"/>
          <w:sz w:val="24"/>
          <w:szCs w:val="24"/>
          <w:highlight w:val="none"/>
        </w:rPr>
      </w:pPr>
      <w:bookmarkStart w:id="1" w:name="_Toc4191"/>
      <w:r>
        <w:rPr>
          <w:rFonts w:hint="eastAsia" w:ascii="仿宋" w:hAnsi="仿宋" w:eastAsia="仿宋" w:cs="仿宋"/>
          <w:b/>
          <w:color w:val="auto"/>
          <w:sz w:val="44"/>
          <w:szCs w:val="44"/>
          <w:highlight w:val="none"/>
        </w:rPr>
        <w:t>目  录</w:t>
      </w:r>
      <w:bookmarkEnd w:id="0"/>
      <w:bookmarkEnd w:id="1"/>
    </w:p>
    <w:p w14:paraId="0AF28094">
      <w:pPr>
        <w:pStyle w:val="13"/>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 TOC \o "1-3" \h \z \u </w:instrText>
      </w:r>
      <w:r>
        <w:rPr>
          <w:rFonts w:hint="eastAsia" w:ascii="仿宋" w:hAnsi="仿宋" w:eastAsia="仿宋" w:cs="仿宋"/>
          <w:b w:val="0"/>
          <w:color w:val="auto"/>
          <w:sz w:val="24"/>
          <w:szCs w:val="24"/>
          <w:highlight w:val="none"/>
        </w:rPr>
        <w:fldChar w:fldCharType="separate"/>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_Toc2310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 xml:space="preserve">第一章 </w:t>
      </w:r>
      <w:r>
        <w:rPr>
          <w:rFonts w:hint="eastAsia" w:ascii="仿宋" w:hAnsi="仿宋" w:eastAsia="仿宋" w:cs="仿宋"/>
          <w:bCs/>
          <w:color w:val="auto"/>
          <w:sz w:val="24"/>
          <w:szCs w:val="24"/>
          <w:highlight w:val="none"/>
        </w:rPr>
        <w:t>招标公告</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_Toc2310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- 2 -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726B510">
      <w:pPr>
        <w:pStyle w:val="13"/>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_Toc19966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kern w:val="2"/>
          <w:sz w:val="24"/>
          <w:szCs w:val="24"/>
          <w:highlight w:val="none"/>
          <w:lang w:val="en-US" w:eastAsia="zh-CN" w:bidi="ar-SA"/>
        </w:rPr>
        <w:t>第二章 投标须知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_Toc19966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- 5 -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84F1AE0">
      <w:pPr>
        <w:pStyle w:val="13"/>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_Toc17416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第三章 评标办法</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_Toc17416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- 34 -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5627BBD">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_Toc5254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总  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_Toc5254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- 34 -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71F4E3B">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_Toc18154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二  投标文件初审</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_Toc18154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- 35 -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7F8716F">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_Toc20754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三  投标文件的澄清和补正</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_Toc20754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- 37 -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75F26A8">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_Toc26574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四 比较与评价</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_Toc26574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- 38 -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5EF1944">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_Toc30836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lang w:val="en-US" w:eastAsia="zh-CN"/>
        </w:rPr>
        <w:t>五 评分标准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_Toc30836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- 38 -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C673AC5">
      <w:pPr>
        <w:pStyle w:val="13"/>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_Toc10919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rPr>
        <w:t>章 招标内容及技术要求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_Toc10919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- 43 -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30499724">
      <w:pPr>
        <w:keepNext w:val="0"/>
        <w:keepLines w:val="0"/>
        <w:pageBreakBefore w:val="0"/>
        <w:widowControl w:val="0"/>
        <w:tabs>
          <w:tab w:val="left" w:leader="dot" w:pos="8820"/>
          <w:tab w:val="left" w:pos="9030"/>
          <w:tab w:val="left" w:leader="dot" w:pos="9240"/>
          <w:tab w:val="left" w:leader="dot" w:pos="9450"/>
          <w:tab w:val="left" w:leader="dot" w:pos="9660"/>
        </w:tabs>
        <w:kinsoku/>
        <w:wordWrap/>
        <w:overflowPunct/>
        <w:topLinePunct w:val="0"/>
        <w:autoSpaceDE/>
        <w:autoSpaceDN/>
        <w:bidi w:val="0"/>
        <w:adjustRightInd/>
        <w:spacing w:line="360" w:lineRule="auto"/>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第五章 合同条款及格式...................</w:t>
      </w:r>
      <w:r>
        <w:rPr>
          <w:rFonts w:hint="eastAsia" w:ascii="仿宋" w:hAnsi="仿宋" w:eastAsia="仿宋" w:cs="仿宋"/>
          <w:b/>
          <w:bCs/>
          <w:color w:val="auto"/>
          <w:sz w:val="24"/>
          <w:szCs w:val="24"/>
          <w:highlight w:val="none"/>
          <w:lang w:val="en-US" w:eastAsia="zh-CN"/>
        </w:rPr>
        <w:tab/>
      </w:r>
      <w:r>
        <w:rPr>
          <w:rFonts w:hint="eastAsia" w:ascii="仿宋" w:hAnsi="仿宋" w:eastAsia="仿宋" w:cs="仿宋"/>
          <w:b/>
          <w:bCs/>
          <w:color w:val="auto"/>
          <w:sz w:val="24"/>
          <w:szCs w:val="24"/>
          <w:highlight w:val="none"/>
          <w:lang w:val="en-US" w:eastAsia="zh-CN"/>
        </w:rPr>
        <w:t>..- 82-</w:t>
      </w:r>
    </w:p>
    <w:p w14:paraId="4969C7DF">
      <w:pPr>
        <w:pStyle w:val="13"/>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_Toc32653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lang w:val="en-US" w:eastAsia="zh-CN"/>
        </w:rPr>
        <w:t xml:space="preserve">第六章 </w:t>
      </w:r>
      <w:r>
        <w:rPr>
          <w:rFonts w:hint="eastAsia" w:ascii="仿宋" w:hAnsi="仿宋" w:eastAsia="仿宋" w:cs="仿宋"/>
          <w:color w:val="auto"/>
          <w:sz w:val="24"/>
          <w:szCs w:val="24"/>
          <w:highlight w:val="none"/>
        </w:rPr>
        <w:t>投标书格式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_Toc32653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- 89 -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925D968">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_Toc13962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附件一、投标书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_Toc13962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- 90 -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CBA4B11">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_Toc18422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附件二、法定代表人资格证明书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_Toc18422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- 92 -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D044C3B">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_Toc10811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附件三、法定代表人授权委托书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_Toc10811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- 93 -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AD2D13C">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_Toc21188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附件四、关于招标文件的声明函</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_Toc21188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- 94 -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B2D5D63">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_Toc29264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附件五、诚信投标承诺书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_Toc29264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- 95 -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F20EA15">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_Toc29347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附件六、供应商反商业贿赂承诺书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_Toc29347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- 96 -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E471342">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_Toc5490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附件七、中小企业声明函（货物）</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_Toc5490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- 97 -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3945219">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_Toc16288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附件八、开标一览表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_Toc16288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- 98 -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3C3A3AC4">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_Toc20340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附件九、投标产品名称、数量、规格分项报价表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_Toc20340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- 98 -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56049A8">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_Toc25169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附件十、技术规格偏离表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_Toc25169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- 100 -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FED9BB2">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_Toc23133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附件十一、商务条款偏离表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_Toc23133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- 101 -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140F65C">
      <w:pPr>
        <w:pStyle w:val="16"/>
        <w:keepNext w:val="0"/>
        <w:keepLines w:val="0"/>
        <w:pageBreakBefore w:val="0"/>
        <w:widowControl w:val="0"/>
        <w:tabs>
          <w:tab w:val="right" w:leader="dot" w:pos="9746"/>
        </w:tabs>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_Toc14660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附件十二、投标产品近三年</w:t>
      </w:r>
      <w:r>
        <w:rPr>
          <w:rFonts w:hint="eastAsia" w:ascii="仿宋" w:hAnsi="仿宋" w:eastAsia="仿宋" w:cs="仿宋"/>
          <w:color w:val="auto"/>
          <w:sz w:val="24"/>
          <w:szCs w:val="24"/>
          <w:highlight w:val="none"/>
          <w:lang w:eastAsia="zh-CN"/>
        </w:rPr>
        <w:t>（从投标截至时间往前推算）</w:t>
      </w:r>
      <w:r>
        <w:rPr>
          <w:rFonts w:hint="eastAsia" w:ascii="仿宋" w:hAnsi="仿宋" w:eastAsia="仿宋" w:cs="仿宋"/>
          <w:color w:val="auto"/>
          <w:sz w:val="24"/>
          <w:szCs w:val="24"/>
          <w:highlight w:val="none"/>
        </w:rPr>
        <w:t>同类产品销售业绩表</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_Toc14660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- 102 -</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31B16230">
      <w:pPr>
        <w:pStyle w:val="14"/>
        <w:keepNext w:val="0"/>
        <w:keepLines w:val="0"/>
        <w:pageBreakBefore w:val="0"/>
        <w:widowControl w:val="0"/>
        <w:kinsoku/>
        <w:wordWrap/>
        <w:overflowPunct/>
        <w:topLinePunct w:val="0"/>
        <w:autoSpaceDE/>
        <w:autoSpaceDN/>
        <w:bidi w:val="0"/>
        <w:adjustRightInd/>
        <w:spacing w:line="360" w:lineRule="auto"/>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lang w:val="en-US" w:eastAsia="zh-CN"/>
        </w:rPr>
        <w:t xml:space="preserve">  附件十三、</w:t>
      </w:r>
      <w:r>
        <w:rPr>
          <w:rFonts w:hint="eastAsia" w:ascii="仿宋" w:hAnsi="仿宋" w:eastAsia="仿宋" w:cs="仿宋"/>
          <w:color w:val="auto"/>
          <w:sz w:val="24"/>
          <w:szCs w:val="24"/>
          <w:highlight w:val="none"/>
        </w:rPr>
        <w:t>招标文件要求的或投标</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认为有必要提供的其他文件</w:t>
      </w:r>
      <w:r>
        <w:rPr>
          <w:rFonts w:hint="eastAsia" w:ascii="仿宋" w:hAnsi="仿宋" w:eastAsia="仿宋" w:cs="仿宋"/>
          <w:color w:val="auto"/>
          <w:sz w:val="24"/>
          <w:szCs w:val="24"/>
          <w:highlight w:val="none"/>
          <w:lang w:val="en-US" w:eastAsia="zh-CN"/>
        </w:rPr>
        <w:t>............  -103-</w:t>
      </w:r>
    </w:p>
    <w:p w14:paraId="0E4D9A3B">
      <w:pPr>
        <w:pStyle w:val="14"/>
        <w:keepNext w:val="0"/>
        <w:keepLines w:val="0"/>
        <w:pageBreakBefore w:val="0"/>
        <w:widowControl w:val="0"/>
        <w:kinsoku/>
        <w:wordWrap/>
        <w:overflowPunct/>
        <w:topLinePunct w:val="0"/>
        <w:autoSpaceDE/>
        <w:autoSpaceDN/>
        <w:bidi w:val="0"/>
        <w:adjustRightInd/>
        <w:spacing w:line="360" w:lineRule="auto"/>
        <w:ind w:firstLine="240" w:firstLineChars="1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附表：退保证金的函</w:t>
      </w:r>
      <w:r>
        <w:rPr>
          <w:rFonts w:hint="eastAsia" w:ascii="仿宋" w:hAnsi="仿宋" w:eastAsia="仿宋" w:cs="仿宋"/>
          <w:color w:val="auto"/>
          <w:sz w:val="24"/>
          <w:szCs w:val="24"/>
          <w:highlight w:val="none"/>
          <w:lang w:val="en-US" w:eastAsia="zh-CN"/>
        </w:rPr>
        <w:t>....................................................... -104-</w:t>
      </w:r>
    </w:p>
    <w:p w14:paraId="0A67DF66">
      <w:pPr>
        <w:pStyle w:val="14"/>
        <w:jc w:val="center"/>
        <w:outlineLvl w:val="0"/>
        <w:rPr>
          <w:rFonts w:hint="eastAsia" w:ascii="仿宋" w:hAnsi="仿宋" w:eastAsia="仿宋" w:cs="仿宋"/>
          <w:color w:val="auto"/>
          <w:sz w:val="36"/>
          <w:szCs w:val="36"/>
          <w:highlight w:val="none"/>
        </w:rPr>
      </w:pPr>
      <w:r>
        <w:rPr>
          <w:rFonts w:hint="eastAsia" w:ascii="仿宋" w:hAnsi="仿宋" w:eastAsia="仿宋" w:cs="仿宋"/>
          <w:color w:val="auto"/>
          <w:szCs w:val="30"/>
          <w:highlight w:val="none"/>
        </w:rPr>
        <w:br w:type="page"/>
      </w:r>
      <w:bookmarkStart w:id="2" w:name="_Toc2698"/>
      <w:bookmarkStart w:id="3" w:name="_Toc2310"/>
      <w:r>
        <w:rPr>
          <w:rFonts w:hint="eastAsia" w:ascii="仿宋" w:hAnsi="仿宋" w:eastAsia="仿宋" w:cs="仿宋"/>
          <w:b/>
          <w:bCs/>
          <w:color w:val="auto"/>
          <w:sz w:val="36"/>
          <w:highlight w:val="none"/>
          <w:lang w:val="en-US" w:eastAsia="zh-CN"/>
        </w:rPr>
        <w:t xml:space="preserve">第一章 </w:t>
      </w:r>
      <w:r>
        <w:rPr>
          <w:rFonts w:hint="eastAsia" w:ascii="仿宋" w:hAnsi="仿宋" w:eastAsia="仿宋" w:cs="仿宋"/>
          <w:b/>
          <w:bCs/>
          <w:color w:val="auto"/>
          <w:sz w:val="36"/>
          <w:szCs w:val="36"/>
          <w:highlight w:val="none"/>
        </w:rPr>
        <w:t>招标公告</w:t>
      </w:r>
      <w:bookmarkEnd w:id="2"/>
      <w:bookmarkEnd w:id="3"/>
    </w:p>
    <w:tbl>
      <w:tblPr>
        <w:tblStyle w:val="20"/>
        <w:tblW w:w="9217"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17"/>
      </w:tblGrid>
      <w:tr w14:paraId="14DA759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34" w:hRule="atLeast"/>
          <w:jc w:val="center"/>
        </w:trPr>
        <w:tc>
          <w:tcPr>
            <w:tcW w:w="9217" w:type="dxa"/>
            <w:noWrap w:val="0"/>
            <w:vAlign w:val="center"/>
          </w:tcPr>
          <w:p w14:paraId="7EB688D7">
            <w:pPr>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7F5D6CCB">
            <w:pPr>
              <w:jc w:val="left"/>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富蕴县医疗救治体系提升项目的潜在投标人应在供应商登录新疆政府采购云平台https://www.zcygov.cn/在线申请获取采购文件（进入“项目采购”应用，在获取采购文件菜单中选择项目，申请获取采购文件）获取招标文件，并于2025年04月08日11:00（北京时间）前递交投标文件。</w:t>
            </w:r>
          </w:p>
        </w:tc>
      </w:tr>
    </w:tbl>
    <w:p w14:paraId="19D94C52">
      <w:pPr>
        <w:pStyle w:val="27"/>
        <w:spacing w:line="420" w:lineRule="exact"/>
        <w:ind w:firstLine="237" w:firstLineChars="99"/>
        <w:jc w:val="both"/>
        <w:outlineLvl w:val="9"/>
        <w:rPr>
          <w:rFonts w:hint="eastAsia" w:ascii="仿宋" w:hAnsi="仿宋" w:eastAsia="仿宋" w:cs="仿宋"/>
          <w:b/>
          <w:color w:val="auto"/>
          <w:sz w:val="24"/>
          <w:szCs w:val="24"/>
          <w:highlight w:val="none"/>
        </w:rPr>
      </w:pPr>
      <w:bookmarkStart w:id="4" w:name="_Toc5896489"/>
      <w:bookmarkStart w:id="5" w:name="_Toc399523005"/>
      <w:r>
        <w:rPr>
          <w:rFonts w:hint="eastAsia" w:ascii="仿宋" w:hAnsi="仿宋" w:eastAsia="仿宋" w:cs="仿宋"/>
          <w:b/>
          <w:color w:val="auto"/>
          <w:sz w:val="24"/>
          <w:szCs w:val="24"/>
          <w:highlight w:val="none"/>
        </w:rPr>
        <w:t>一、项目基本情况</w:t>
      </w:r>
    </w:p>
    <w:p w14:paraId="136BF34D">
      <w:pPr>
        <w:pStyle w:val="27"/>
        <w:spacing w:line="420" w:lineRule="exact"/>
        <w:ind w:firstLine="237" w:firstLineChars="99"/>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XJHRX</w:t>
      </w:r>
      <w:r>
        <w:rPr>
          <w:rFonts w:hint="eastAsia" w:ascii="仿宋" w:hAnsi="仿宋" w:eastAsia="仿宋" w:cs="仿宋"/>
          <w:color w:val="auto"/>
          <w:sz w:val="24"/>
          <w:szCs w:val="24"/>
          <w:highlight w:val="none"/>
          <w:lang w:val="en-US" w:eastAsia="zh-CN"/>
        </w:rPr>
        <w:t>FYXWSJKWYH-2025-01</w:t>
      </w:r>
    </w:p>
    <w:p w14:paraId="606958E6">
      <w:pPr>
        <w:pStyle w:val="27"/>
        <w:spacing w:line="420" w:lineRule="exact"/>
        <w:ind w:firstLine="237" w:firstLineChars="99"/>
        <w:jc w:val="both"/>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项目名称：富蕴县医疗救治体系提升项目</w:t>
      </w:r>
    </w:p>
    <w:p w14:paraId="4A486B85">
      <w:pPr>
        <w:pStyle w:val="27"/>
        <w:spacing w:line="420" w:lineRule="exact"/>
        <w:ind w:firstLine="237" w:firstLineChars="99"/>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34E599E2">
      <w:pPr>
        <w:pStyle w:val="27"/>
        <w:spacing w:line="420" w:lineRule="exact"/>
        <w:ind w:firstLine="237" w:firstLineChars="99"/>
        <w:jc w:val="both"/>
        <w:outlineLvl w:val="9"/>
        <w:rPr>
          <w:rFonts w:hint="default" w:ascii="仿宋" w:hAnsi="仿宋" w:eastAsia="仿宋" w:cs="仿宋"/>
          <w:color w:val="auto"/>
          <w:sz w:val="24"/>
          <w:szCs w:val="24"/>
          <w:highlight w:val="none"/>
          <w:lang w:val="en-US" w:eastAsia="zh-CN"/>
        </w:rPr>
      </w:pPr>
      <w:bookmarkStart w:id="190" w:name="_GoBack"/>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9598130.00</w:t>
      </w:r>
    </w:p>
    <w:bookmarkEnd w:id="190"/>
    <w:p w14:paraId="29967948">
      <w:pPr>
        <w:pStyle w:val="27"/>
        <w:spacing w:line="420" w:lineRule="exact"/>
        <w:ind w:left="2130" w:leftChars="100" w:hanging="1920" w:hangingChars="800"/>
        <w:jc w:val="both"/>
        <w:outlineLvl w:val="9"/>
        <w:rPr>
          <w:rFonts w:hint="default" w:ascii="仿宋" w:hAnsi="仿宋" w:eastAsia="仿宋" w:cs="仿宋"/>
          <w:color w:val="FF0000"/>
          <w:sz w:val="24"/>
          <w:szCs w:val="24"/>
          <w:highlight w:val="none"/>
          <w:lang w:val="en-US" w:eastAsia="zh-CN"/>
        </w:rPr>
      </w:pPr>
      <w:r>
        <w:rPr>
          <w:rFonts w:hint="eastAsia" w:ascii="仿宋" w:hAnsi="仿宋" w:eastAsia="仿宋" w:cs="仿宋"/>
          <w:color w:val="FF0000"/>
          <w:sz w:val="24"/>
          <w:szCs w:val="24"/>
          <w:highlight w:val="none"/>
        </w:rPr>
        <w:t>最高限价（元）：</w:t>
      </w:r>
      <w:r>
        <w:rPr>
          <w:rFonts w:hint="eastAsia" w:ascii="仿宋" w:hAnsi="仿宋" w:eastAsia="仿宋" w:cs="仿宋"/>
          <w:color w:val="FF0000"/>
          <w:sz w:val="24"/>
          <w:szCs w:val="24"/>
          <w:highlight w:val="none"/>
          <w:lang w:val="en-US" w:eastAsia="zh-CN"/>
        </w:rPr>
        <w:t>8098130.00</w:t>
      </w:r>
    </w:p>
    <w:p w14:paraId="2DE94478">
      <w:pPr>
        <w:pStyle w:val="27"/>
        <w:spacing w:line="420" w:lineRule="exact"/>
        <w:ind w:firstLine="237" w:firstLineChars="99"/>
        <w:jc w:val="both"/>
        <w:outlineLvl w:val="9"/>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采购医疗机构设备一批</w:t>
      </w:r>
    </w:p>
    <w:p w14:paraId="075D5AEA">
      <w:pPr>
        <w:pStyle w:val="27"/>
        <w:spacing w:line="420" w:lineRule="exact"/>
        <w:ind w:firstLine="237" w:firstLineChars="99"/>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简要规格描述：具体采购要求详见</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w:t>
      </w:r>
    </w:p>
    <w:p w14:paraId="6EF66E1E">
      <w:pPr>
        <w:pStyle w:val="27"/>
        <w:spacing w:line="420" w:lineRule="exact"/>
        <w:ind w:firstLine="237" w:firstLineChars="99"/>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合同履约期限：</w:t>
      </w:r>
      <w:r>
        <w:rPr>
          <w:rFonts w:hint="eastAsia" w:ascii="仿宋" w:hAnsi="仿宋" w:eastAsia="仿宋" w:cs="仿宋"/>
          <w:color w:val="auto"/>
          <w:sz w:val="24"/>
          <w:szCs w:val="24"/>
          <w:highlight w:val="none"/>
          <w:lang w:val="en-US" w:eastAsia="zh-CN"/>
        </w:rPr>
        <w:t>自合同签订之日起按甲方通知15日内完成供货（具体以实际签订合同为准）</w:t>
      </w:r>
    </w:p>
    <w:p w14:paraId="3EAA46BD">
      <w:pPr>
        <w:pStyle w:val="27"/>
        <w:numPr>
          <w:ilvl w:val="0"/>
          <w:numId w:val="2"/>
        </w:numPr>
        <w:snapToGrid w:val="0"/>
        <w:spacing w:line="360" w:lineRule="auto"/>
        <w:jc w:val="both"/>
        <w:outlineLvl w:val="9"/>
        <w:rPr>
          <w:rFonts w:hint="eastAsia" w:ascii="仿宋" w:hAnsi="仿宋" w:eastAsia="仿宋" w:cs="仿宋"/>
          <w:color w:val="auto"/>
          <w:sz w:val="24"/>
          <w:szCs w:val="24"/>
          <w:highlight w:val="none"/>
        </w:rPr>
      </w:pPr>
      <w:bookmarkStart w:id="6" w:name="_Toc18547"/>
      <w:bookmarkStart w:id="7" w:name="_Toc260"/>
      <w:bookmarkStart w:id="8" w:name="_Toc780"/>
      <w:r>
        <w:rPr>
          <w:rFonts w:hint="eastAsia" w:ascii="仿宋" w:hAnsi="仿宋" w:eastAsia="仿宋" w:cs="仿宋"/>
          <w:b/>
          <w:bCs/>
          <w:color w:val="auto"/>
          <w:sz w:val="24"/>
          <w:szCs w:val="24"/>
          <w:highlight w:val="none"/>
        </w:rPr>
        <w:t>申请人的资格要求：</w:t>
      </w:r>
      <w:bookmarkEnd w:id="6"/>
      <w:bookmarkEnd w:id="7"/>
      <w:bookmarkEnd w:id="8"/>
    </w:p>
    <w:p w14:paraId="4F625BE9">
      <w:pPr>
        <w:pStyle w:val="27"/>
        <w:numPr>
          <w:ilvl w:val="0"/>
          <w:numId w:val="0"/>
        </w:numPr>
        <w:snapToGrid w:val="0"/>
        <w:spacing w:line="360" w:lineRule="auto"/>
        <w:ind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1.满足《中华人民共和国政府采购法》第二十二条规定；</w:t>
      </w:r>
    </w:p>
    <w:p w14:paraId="4CFABAF4">
      <w:pPr>
        <w:pStyle w:val="27"/>
        <w:numPr>
          <w:ilvl w:val="0"/>
          <w:numId w:val="0"/>
        </w:numPr>
        <w:snapToGrid w:val="0"/>
        <w:spacing w:line="360" w:lineRule="auto"/>
        <w:ind w:firstLine="480" w:firstLineChars="200"/>
        <w:jc w:val="both"/>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2.落实政府采购政策需满足的资格要求：本项目为不专门面向中小企业（含中型、小型、微型企业）采购项目。</w:t>
      </w:r>
    </w:p>
    <w:p w14:paraId="50D047E9">
      <w:pPr>
        <w:pStyle w:val="27"/>
        <w:numPr>
          <w:ilvl w:val="0"/>
          <w:numId w:val="0"/>
        </w:numPr>
        <w:snapToGrid w:val="0"/>
        <w:spacing w:line="360" w:lineRule="auto"/>
        <w:ind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.本项目的特定资格要求：</w:t>
      </w:r>
    </w:p>
    <w:p w14:paraId="63EBA378">
      <w:pPr>
        <w:pStyle w:val="27"/>
        <w:numPr>
          <w:ilvl w:val="0"/>
          <w:numId w:val="0"/>
        </w:numPr>
        <w:snapToGrid w:val="0"/>
        <w:spacing w:line="360" w:lineRule="auto"/>
        <w:ind w:firstLine="480" w:firstLineChars="200"/>
        <w:jc w:val="both"/>
        <w:outlineLvl w:val="9"/>
        <w:rPr>
          <w:rFonts w:hint="eastAsia" w:ascii="仿宋" w:hAnsi="仿宋" w:eastAsia="仿宋" w:cs="仿宋"/>
          <w:b w:val="0"/>
          <w:bCs w:val="0"/>
          <w:color w:val="auto"/>
          <w:sz w:val="24"/>
          <w:szCs w:val="24"/>
          <w:highlight w:val="none"/>
          <w:lang w:val="en-US" w:eastAsia="zh-CN"/>
        </w:rPr>
      </w:pPr>
      <w:bookmarkStart w:id="9" w:name="_Toc17354"/>
      <w:bookmarkStart w:id="10" w:name="_Toc18894"/>
      <w:bookmarkStart w:id="11" w:name="_Toc13896"/>
      <w:r>
        <w:rPr>
          <w:rFonts w:hint="eastAsia" w:ascii="仿宋" w:hAnsi="仿宋" w:eastAsia="仿宋" w:cs="仿宋"/>
          <w:b w:val="0"/>
          <w:bCs w:val="0"/>
          <w:color w:val="auto"/>
          <w:sz w:val="24"/>
          <w:szCs w:val="24"/>
          <w:highlight w:val="none"/>
          <w:lang w:val="en-US" w:eastAsia="zh-CN"/>
        </w:rPr>
        <w:t>所投产品属于第二类医疗器械的，需提供有效的行政主管部门颁发的医疗器械经营备案凭证（或医疗器械生产许可证或医疗器械经营许可证）；所投产品属于第三类医疗器械的，需提供有效的行政主管部门颁发的医疗器械生产许可证（或医疗器械经营许可证）。</w:t>
      </w:r>
    </w:p>
    <w:p w14:paraId="5C4E1C7C">
      <w:pPr>
        <w:pStyle w:val="27"/>
        <w:numPr>
          <w:ilvl w:val="0"/>
          <w:numId w:val="0"/>
        </w:numPr>
        <w:snapToGrid w:val="0"/>
        <w:spacing w:line="360" w:lineRule="auto"/>
        <w:ind w:firstLine="480"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rPr>
        <w:t>获取采购文件</w:t>
      </w:r>
      <w:bookmarkEnd w:id="9"/>
      <w:bookmarkEnd w:id="10"/>
      <w:bookmarkEnd w:id="11"/>
    </w:p>
    <w:p w14:paraId="7E311399">
      <w:pPr>
        <w:widowControl/>
        <w:shd w:val="clear" w:color="auto" w:fill="FFFFFF"/>
        <w:snapToGrid w:val="0"/>
        <w:spacing w:line="312"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时间：</w:t>
      </w:r>
      <w:r>
        <w:rPr>
          <w:rFonts w:hint="eastAsia" w:ascii="仿宋" w:hAnsi="仿宋" w:eastAsia="仿宋" w:cs="仿宋"/>
          <w:color w:val="auto"/>
          <w:kern w:val="0"/>
          <w:sz w:val="24"/>
          <w:szCs w:val="24"/>
          <w:highlight w:val="none"/>
          <w:lang w:eastAsia="zh-CN"/>
        </w:rPr>
        <w:t>202</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年</w:t>
      </w:r>
      <w:r>
        <w:rPr>
          <w:rFonts w:hint="eastAsia" w:ascii="仿宋" w:hAnsi="仿宋" w:eastAsia="仿宋" w:cs="仿宋"/>
          <w:color w:val="auto"/>
          <w:kern w:val="0"/>
          <w:sz w:val="24"/>
          <w:szCs w:val="24"/>
          <w:highlight w:val="none"/>
          <w:lang w:val="en-US" w:eastAsia="zh-CN"/>
        </w:rPr>
        <w:t>03</w:t>
      </w:r>
      <w:r>
        <w:rPr>
          <w:rFonts w:hint="eastAsia" w:ascii="仿宋" w:hAnsi="仿宋" w:eastAsia="仿宋" w:cs="仿宋"/>
          <w:color w:val="auto"/>
          <w:kern w:val="0"/>
          <w:sz w:val="24"/>
          <w:szCs w:val="24"/>
          <w:highlight w:val="none"/>
          <w:lang w:eastAsia="zh-CN"/>
        </w:rPr>
        <w:t>月</w:t>
      </w:r>
      <w:r>
        <w:rPr>
          <w:rFonts w:hint="eastAsia" w:ascii="仿宋" w:hAnsi="仿宋" w:eastAsia="仿宋" w:cs="仿宋"/>
          <w:color w:val="auto"/>
          <w:kern w:val="0"/>
          <w:sz w:val="24"/>
          <w:szCs w:val="24"/>
          <w:highlight w:val="none"/>
          <w:lang w:val="en-US" w:eastAsia="zh-CN"/>
        </w:rPr>
        <w:t>15</w:t>
      </w:r>
      <w:r>
        <w:rPr>
          <w:rFonts w:hint="eastAsia" w:ascii="仿宋" w:hAnsi="仿宋" w:eastAsia="仿宋" w:cs="仿宋"/>
          <w:color w:val="auto"/>
          <w:kern w:val="0"/>
          <w:sz w:val="24"/>
          <w:szCs w:val="24"/>
          <w:highlight w:val="none"/>
          <w:lang w:eastAsia="zh-CN"/>
        </w:rPr>
        <w:t>日至202</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年</w:t>
      </w:r>
      <w:r>
        <w:rPr>
          <w:rFonts w:hint="eastAsia" w:ascii="仿宋" w:hAnsi="仿宋" w:eastAsia="仿宋" w:cs="仿宋"/>
          <w:color w:val="auto"/>
          <w:kern w:val="0"/>
          <w:sz w:val="24"/>
          <w:szCs w:val="24"/>
          <w:highlight w:val="none"/>
          <w:lang w:val="en-US" w:eastAsia="zh-CN"/>
        </w:rPr>
        <w:t>03</w:t>
      </w:r>
      <w:r>
        <w:rPr>
          <w:rFonts w:hint="eastAsia" w:ascii="仿宋" w:hAnsi="仿宋" w:eastAsia="仿宋" w:cs="仿宋"/>
          <w:color w:val="auto"/>
          <w:kern w:val="0"/>
          <w:sz w:val="24"/>
          <w:szCs w:val="24"/>
          <w:highlight w:val="none"/>
          <w:lang w:eastAsia="zh-CN"/>
        </w:rPr>
        <w:t>月</w:t>
      </w:r>
      <w:r>
        <w:rPr>
          <w:rFonts w:hint="eastAsia" w:ascii="仿宋" w:hAnsi="仿宋" w:eastAsia="仿宋" w:cs="仿宋"/>
          <w:color w:val="auto"/>
          <w:kern w:val="0"/>
          <w:sz w:val="24"/>
          <w:szCs w:val="24"/>
          <w:highlight w:val="none"/>
          <w:lang w:val="en-US" w:eastAsia="zh-CN"/>
        </w:rPr>
        <w:t>21</w:t>
      </w:r>
      <w:r>
        <w:rPr>
          <w:rFonts w:hint="eastAsia" w:ascii="仿宋" w:hAnsi="仿宋" w:eastAsia="仿宋" w:cs="仿宋"/>
          <w:color w:val="auto"/>
          <w:kern w:val="0"/>
          <w:sz w:val="24"/>
          <w:szCs w:val="24"/>
          <w:highlight w:val="none"/>
          <w:lang w:eastAsia="zh-CN"/>
        </w:rPr>
        <w:t>日</w:t>
      </w:r>
      <w:r>
        <w:rPr>
          <w:rFonts w:hint="eastAsia" w:ascii="仿宋" w:hAnsi="仿宋" w:eastAsia="仿宋" w:cs="仿宋"/>
          <w:color w:val="auto"/>
          <w:kern w:val="0"/>
          <w:sz w:val="24"/>
          <w:szCs w:val="24"/>
          <w:highlight w:val="none"/>
        </w:rPr>
        <w:t>，每天上午</w:t>
      </w:r>
      <w:r>
        <w:rPr>
          <w:rFonts w:hint="eastAsia" w:ascii="仿宋" w:hAnsi="仿宋" w:eastAsia="仿宋" w:cs="仿宋"/>
          <w:color w:val="auto"/>
          <w:kern w:val="0"/>
          <w:sz w:val="24"/>
          <w:szCs w:val="24"/>
          <w:highlight w:val="none"/>
          <w:lang w:val="en-US" w:eastAsia="zh-CN"/>
        </w:rPr>
        <w:t>00</w:t>
      </w:r>
      <w:r>
        <w:rPr>
          <w:rFonts w:hint="eastAsia" w:ascii="仿宋" w:hAnsi="仿宋" w:eastAsia="仿宋" w:cs="仿宋"/>
          <w:color w:val="auto"/>
          <w:kern w:val="0"/>
          <w:sz w:val="24"/>
          <w:szCs w:val="24"/>
          <w:highlight w:val="none"/>
        </w:rPr>
        <w:t>:00至1</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:00，下午1</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:00至</w:t>
      </w:r>
      <w:r>
        <w:rPr>
          <w:rFonts w:hint="eastAsia" w:ascii="仿宋" w:hAnsi="仿宋" w:eastAsia="仿宋" w:cs="仿宋"/>
          <w:color w:val="auto"/>
          <w:kern w:val="0"/>
          <w:sz w:val="24"/>
          <w:szCs w:val="24"/>
          <w:highlight w:val="none"/>
          <w:lang w:val="en-US" w:eastAsia="zh-CN"/>
        </w:rPr>
        <w:t>23</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59</w:t>
      </w:r>
      <w:r>
        <w:rPr>
          <w:rFonts w:hint="eastAsia" w:ascii="仿宋" w:hAnsi="仿宋" w:eastAsia="仿宋" w:cs="仿宋"/>
          <w:color w:val="auto"/>
          <w:kern w:val="0"/>
          <w:sz w:val="24"/>
          <w:szCs w:val="24"/>
          <w:highlight w:val="none"/>
        </w:rPr>
        <w:t>（北京时间，法定节假日除外）</w:t>
      </w:r>
    </w:p>
    <w:p w14:paraId="4D3B2D2E">
      <w:pPr>
        <w:widowControl/>
        <w:shd w:val="clear" w:color="auto" w:fill="FFFFFF"/>
        <w:snapToGrid w:val="0"/>
        <w:spacing w:line="312"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地点：供应商登陆政采云平台http://www.zcygov.cn/，在线申请获取竞</w:t>
      </w:r>
      <w:r>
        <w:rPr>
          <w:rFonts w:hint="eastAsia" w:ascii="仿宋" w:hAnsi="仿宋" w:eastAsia="仿宋" w:cs="仿宋"/>
          <w:color w:val="auto"/>
          <w:kern w:val="0"/>
          <w:sz w:val="24"/>
          <w:szCs w:val="24"/>
          <w:highlight w:val="none"/>
          <w:lang w:val="en-US" w:eastAsia="zh-CN"/>
        </w:rPr>
        <w:t>招标</w:t>
      </w:r>
      <w:r>
        <w:rPr>
          <w:rFonts w:hint="eastAsia" w:ascii="仿宋" w:hAnsi="仿宋" w:eastAsia="仿宋" w:cs="仿宋"/>
          <w:color w:val="auto"/>
          <w:kern w:val="0"/>
          <w:sz w:val="24"/>
          <w:szCs w:val="24"/>
          <w:highlight w:val="none"/>
        </w:rPr>
        <w:t>文件（登录政府采购云平台→项目采购→获取</w:t>
      </w:r>
      <w:r>
        <w:rPr>
          <w:rFonts w:hint="eastAsia" w:ascii="仿宋" w:hAnsi="仿宋" w:eastAsia="仿宋" w:cs="仿宋"/>
          <w:color w:val="auto"/>
          <w:kern w:val="0"/>
          <w:sz w:val="24"/>
          <w:szCs w:val="24"/>
          <w:highlight w:val="none"/>
          <w:lang w:val="en-US" w:eastAsia="zh-CN"/>
        </w:rPr>
        <w:t>招标</w:t>
      </w:r>
      <w:r>
        <w:rPr>
          <w:rFonts w:hint="eastAsia" w:ascii="仿宋" w:hAnsi="仿宋" w:eastAsia="仿宋" w:cs="仿宋"/>
          <w:color w:val="auto"/>
          <w:kern w:val="0"/>
          <w:sz w:val="24"/>
          <w:szCs w:val="24"/>
          <w:highlight w:val="none"/>
        </w:rPr>
        <w:t>文件→申请，审核通过后可下载</w:t>
      </w:r>
      <w:r>
        <w:rPr>
          <w:rFonts w:hint="eastAsia" w:ascii="仿宋" w:hAnsi="仿宋" w:eastAsia="仿宋" w:cs="仿宋"/>
          <w:color w:val="auto"/>
          <w:kern w:val="0"/>
          <w:sz w:val="24"/>
          <w:szCs w:val="24"/>
          <w:highlight w:val="none"/>
          <w:lang w:val="en-US" w:eastAsia="zh-CN"/>
        </w:rPr>
        <w:t>招标</w:t>
      </w:r>
      <w:r>
        <w:rPr>
          <w:rFonts w:hint="eastAsia" w:ascii="仿宋" w:hAnsi="仿宋" w:eastAsia="仿宋" w:cs="仿宋"/>
          <w:color w:val="auto"/>
          <w:kern w:val="0"/>
          <w:sz w:val="24"/>
          <w:szCs w:val="24"/>
          <w:highlight w:val="none"/>
        </w:rPr>
        <w:t>文件，如有操作性问题，可与政采云在线客服进行咨询，咨询电话：</w:t>
      </w:r>
      <w:r>
        <w:rPr>
          <w:rFonts w:hint="eastAsia" w:ascii="仿宋" w:hAnsi="仿宋" w:eastAsia="仿宋" w:cs="仿宋"/>
          <w:color w:val="auto"/>
          <w:kern w:val="0"/>
          <w:sz w:val="24"/>
          <w:szCs w:val="24"/>
          <w:highlight w:val="none"/>
          <w:lang w:eastAsia="zh-CN"/>
        </w:rPr>
        <w:t>95763</w:t>
      </w:r>
      <w:r>
        <w:rPr>
          <w:rFonts w:hint="eastAsia" w:ascii="仿宋" w:hAnsi="仿宋" w:eastAsia="仿宋" w:cs="仿宋"/>
          <w:color w:val="auto"/>
          <w:kern w:val="0"/>
          <w:sz w:val="24"/>
          <w:szCs w:val="24"/>
          <w:highlight w:val="none"/>
        </w:rPr>
        <w:t>）。</w:t>
      </w:r>
    </w:p>
    <w:p w14:paraId="0AF458AF">
      <w:pPr>
        <w:widowControl/>
        <w:shd w:val="clear" w:color="auto" w:fill="FFFFFF"/>
        <w:snapToGrid w:val="0"/>
        <w:spacing w:line="312"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方式：供应商登录政采云平台https://www.zcygov.cn/在线申请获取采购文件（进入“项目采购”应用，在获取采购文件菜单中选择项目，申请获取采购文件）</w:t>
      </w:r>
      <w:r>
        <w:rPr>
          <w:rFonts w:hint="eastAsia" w:ascii="仿宋" w:hAnsi="仿宋" w:eastAsia="仿宋" w:cs="仿宋"/>
          <w:color w:val="auto"/>
          <w:kern w:val="0"/>
          <w:sz w:val="24"/>
          <w:szCs w:val="24"/>
          <w:highlight w:val="none"/>
          <w:lang w:eastAsia="zh-CN"/>
        </w:rPr>
        <w:t>。</w:t>
      </w:r>
    </w:p>
    <w:p w14:paraId="4459610C">
      <w:pPr>
        <w:widowControl/>
        <w:shd w:val="clear" w:color="auto" w:fill="FFFFFF"/>
        <w:snapToGrid w:val="0"/>
        <w:spacing w:line="312" w:lineRule="auto"/>
        <w:ind w:firstLine="480" w:firstLineChars="200"/>
        <w:jc w:val="left"/>
        <w:outlineLvl w:val="9"/>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售价（元）：0</w:t>
      </w:r>
      <w:r>
        <w:rPr>
          <w:rFonts w:hint="eastAsia" w:ascii="仿宋" w:hAnsi="仿宋" w:eastAsia="仿宋" w:cs="仿宋"/>
          <w:color w:val="auto"/>
          <w:kern w:val="0"/>
          <w:sz w:val="24"/>
          <w:szCs w:val="24"/>
          <w:highlight w:val="none"/>
          <w:lang w:eastAsia="zh-CN"/>
        </w:rPr>
        <w:t>。</w:t>
      </w:r>
    </w:p>
    <w:p w14:paraId="44151F88">
      <w:pPr>
        <w:pStyle w:val="27"/>
        <w:snapToGrid w:val="0"/>
        <w:spacing w:line="360" w:lineRule="auto"/>
        <w:jc w:val="both"/>
        <w:outlineLvl w:val="9"/>
        <w:rPr>
          <w:rFonts w:hint="eastAsia" w:ascii="仿宋" w:hAnsi="仿宋" w:eastAsia="仿宋" w:cs="仿宋"/>
          <w:b/>
          <w:bCs/>
          <w:color w:val="auto"/>
          <w:sz w:val="24"/>
          <w:szCs w:val="24"/>
          <w:highlight w:val="none"/>
          <w:lang w:val="en-US"/>
        </w:rPr>
      </w:pPr>
      <w:bookmarkStart w:id="12" w:name="_Toc26424"/>
      <w:bookmarkStart w:id="13" w:name="_Toc12701"/>
      <w:bookmarkStart w:id="14" w:name="_Toc2392"/>
      <w:r>
        <w:rPr>
          <w:rFonts w:hint="eastAsia" w:ascii="仿宋" w:hAnsi="仿宋" w:eastAsia="仿宋" w:cs="仿宋"/>
          <w:b/>
          <w:bCs/>
          <w:color w:val="auto"/>
          <w:sz w:val="24"/>
          <w:szCs w:val="24"/>
          <w:highlight w:val="none"/>
          <w:lang w:val="en-US" w:eastAsia="zh-CN"/>
        </w:rPr>
        <w:t>四、响应文件提交</w:t>
      </w:r>
      <w:bookmarkEnd w:id="12"/>
      <w:bookmarkEnd w:id="13"/>
      <w:bookmarkEnd w:id="14"/>
    </w:p>
    <w:p w14:paraId="7BED098A">
      <w:pPr>
        <w:pStyle w:val="27"/>
        <w:snapToGrid w:val="0"/>
        <w:spacing w:line="360" w:lineRule="auto"/>
        <w:ind w:firstLine="480" w:firstLineChars="200"/>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截止时间：2025年04月08日11:00（北京时间）</w:t>
      </w:r>
    </w:p>
    <w:p w14:paraId="463D6190">
      <w:pPr>
        <w:pStyle w:val="27"/>
        <w:snapToGrid w:val="0"/>
        <w:spacing w:line="360" w:lineRule="auto"/>
        <w:ind w:firstLine="480" w:firstLineChars="20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地点：新疆政府采购云平台（www.zcygov.cn）</w:t>
      </w:r>
    </w:p>
    <w:p w14:paraId="513A6115">
      <w:pPr>
        <w:pStyle w:val="27"/>
        <w:snapToGrid w:val="0"/>
        <w:spacing w:line="360" w:lineRule="auto"/>
        <w:jc w:val="both"/>
        <w:outlineLvl w:val="9"/>
        <w:rPr>
          <w:rFonts w:hint="eastAsia" w:ascii="仿宋" w:hAnsi="仿宋" w:eastAsia="仿宋" w:cs="仿宋"/>
          <w:b/>
          <w:bCs/>
          <w:color w:val="auto"/>
          <w:sz w:val="24"/>
          <w:szCs w:val="24"/>
          <w:highlight w:val="none"/>
          <w:lang w:val="en-US"/>
        </w:rPr>
      </w:pPr>
      <w:bookmarkStart w:id="15" w:name="_Toc10127"/>
      <w:bookmarkStart w:id="16" w:name="_Toc28149"/>
      <w:bookmarkStart w:id="17" w:name="_Toc12079"/>
      <w:r>
        <w:rPr>
          <w:rFonts w:hint="eastAsia" w:ascii="仿宋" w:hAnsi="仿宋" w:eastAsia="仿宋" w:cs="仿宋"/>
          <w:b/>
          <w:bCs/>
          <w:color w:val="auto"/>
          <w:sz w:val="24"/>
          <w:szCs w:val="24"/>
          <w:highlight w:val="none"/>
          <w:lang w:val="en-US" w:eastAsia="zh-CN"/>
        </w:rPr>
        <w:t>五、响应文件开启</w:t>
      </w:r>
      <w:bookmarkEnd w:id="15"/>
      <w:bookmarkEnd w:id="16"/>
      <w:bookmarkEnd w:id="17"/>
    </w:p>
    <w:p w14:paraId="5267876B">
      <w:pPr>
        <w:pStyle w:val="27"/>
        <w:snapToGrid w:val="0"/>
        <w:spacing w:line="360" w:lineRule="auto"/>
        <w:ind w:firstLine="480" w:firstLineChars="200"/>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开启时间：</w:t>
      </w:r>
      <w:r>
        <w:rPr>
          <w:rFonts w:hint="eastAsia" w:ascii="仿宋" w:hAnsi="仿宋" w:eastAsia="仿宋" w:cs="仿宋"/>
          <w:color w:val="auto"/>
          <w:sz w:val="24"/>
          <w:szCs w:val="24"/>
          <w:highlight w:val="none"/>
          <w:lang w:val="en-US" w:eastAsia="zh-CN"/>
        </w:rPr>
        <w:t>2025年04月08日11:00（北京时间）</w:t>
      </w:r>
    </w:p>
    <w:p w14:paraId="21EB262F">
      <w:pPr>
        <w:pStyle w:val="27"/>
        <w:snapToGrid w:val="0"/>
        <w:spacing w:line="360" w:lineRule="auto"/>
        <w:ind w:firstLine="480" w:firstLineChars="20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地点：在新疆政府采购云平台（www.zcygov.cn）上开启投标文件</w:t>
      </w:r>
    </w:p>
    <w:p w14:paraId="7AA81D33">
      <w:pPr>
        <w:pStyle w:val="27"/>
        <w:snapToGrid w:val="0"/>
        <w:spacing w:line="360" w:lineRule="auto"/>
        <w:jc w:val="both"/>
        <w:outlineLvl w:val="9"/>
        <w:rPr>
          <w:rFonts w:hint="eastAsia" w:ascii="仿宋" w:hAnsi="仿宋" w:eastAsia="仿宋" w:cs="仿宋"/>
          <w:b/>
          <w:bCs/>
          <w:color w:val="auto"/>
          <w:sz w:val="24"/>
          <w:szCs w:val="24"/>
          <w:highlight w:val="none"/>
          <w:lang w:val="en-US"/>
        </w:rPr>
      </w:pPr>
      <w:bookmarkStart w:id="18" w:name="_Toc17313"/>
      <w:bookmarkStart w:id="19" w:name="_Toc7109"/>
      <w:bookmarkStart w:id="20" w:name="_Toc26055"/>
      <w:r>
        <w:rPr>
          <w:rFonts w:hint="eastAsia" w:ascii="仿宋" w:hAnsi="仿宋" w:eastAsia="仿宋" w:cs="仿宋"/>
          <w:b/>
          <w:bCs/>
          <w:color w:val="auto"/>
          <w:sz w:val="24"/>
          <w:szCs w:val="24"/>
          <w:highlight w:val="none"/>
          <w:lang w:val="en-US" w:eastAsia="zh-CN"/>
        </w:rPr>
        <w:t>六、公告期限</w:t>
      </w:r>
      <w:bookmarkEnd w:id="18"/>
      <w:bookmarkEnd w:id="19"/>
      <w:bookmarkEnd w:id="20"/>
    </w:p>
    <w:p w14:paraId="3450805C">
      <w:pPr>
        <w:pStyle w:val="27"/>
        <w:snapToGrid w:val="0"/>
        <w:spacing w:line="360" w:lineRule="auto"/>
        <w:ind w:firstLine="480" w:firstLineChars="20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个工作日</w:t>
      </w:r>
    </w:p>
    <w:p w14:paraId="236F437A">
      <w:pPr>
        <w:pStyle w:val="27"/>
        <w:snapToGrid w:val="0"/>
        <w:spacing w:line="360" w:lineRule="auto"/>
        <w:jc w:val="both"/>
        <w:outlineLvl w:val="9"/>
        <w:rPr>
          <w:rFonts w:hint="eastAsia" w:ascii="仿宋" w:hAnsi="仿宋" w:eastAsia="仿宋" w:cs="仿宋"/>
          <w:b/>
          <w:bCs/>
          <w:color w:val="auto"/>
          <w:sz w:val="24"/>
          <w:szCs w:val="24"/>
          <w:highlight w:val="none"/>
          <w:lang w:val="en-US"/>
        </w:rPr>
      </w:pPr>
      <w:bookmarkStart w:id="21" w:name="_Toc856"/>
      <w:bookmarkStart w:id="22" w:name="_Toc12418"/>
      <w:bookmarkStart w:id="23" w:name="_Toc14030"/>
      <w:r>
        <w:rPr>
          <w:rFonts w:hint="eastAsia" w:ascii="仿宋" w:hAnsi="仿宋" w:eastAsia="仿宋" w:cs="仿宋"/>
          <w:b/>
          <w:bCs/>
          <w:color w:val="auto"/>
          <w:sz w:val="24"/>
          <w:szCs w:val="24"/>
          <w:highlight w:val="none"/>
          <w:lang w:val="en-US" w:eastAsia="zh-CN"/>
        </w:rPr>
        <w:t>七、其他补充事宜</w:t>
      </w:r>
      <w:bookmarkEnd w:id="21"/>
      <w:bookmarkEnd w:id="22"/>
      <w:bookmarkEnd w:id="23"/>
    </w:p>
    <w:p w14:paraId="6AEA3B68">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1.本项目采用全流程不见面电子开评标，投标供应商需要使用CA加密设备，供应商可通过新疆数字证书认证中心官网（https://www.xjca.com.cn/）或下载“新疆政务通”APP自行进行申领。</w:t>
      </w:r>
    </w:p>
    <w:p w14:paraId="1E83BFE6">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2.本项目实行网上投标，采用加密电子投标文件(供应商须使用CA加密设备通过政采云电子投标客户端制作投标文件)。若供应商参与投标，自行承担投标一切费用。</w:t>
      </w:r>
    </w:p>
    <w:p w14:paraId="3F0FB07F">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412DE680">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36B60C55">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5.供应商在开标时须使用制作加密电子投标文件所使用的CA锁及电脑，电脑须提前配置好浏览器（建议使用谷歌浏览器），以便开标时解锁。</w:t>
      </w:r>
    </w:p>
    <w:p w14:paraId="57AD767A">
      <w:pPr>
        <w:pStyle w:val="27"/>
        <w:keepNext w:val="0"/>
        <w:keepLines w:val="0"/>
        <w:pageBreakBefore w:val="0"/>
        <w:widowControl w:val="0"/>
        <w:kinsoku/>
        <w:wordWrap/>
        <w:overflowPunct/>
        <w:topLinePunct w:val="0"/>
        <w:autoSpaceDE w:val="0"/>
        <w:autoSpaceDN w:val="0"/>
        <w:bidi w:val="0"/>
        <w:adjustRightInd w:val="0"/>
        <w:snapToGrid w:val="0"/>
        <w:spacing w:line="360" w:lineRule="auto"/>
        <w:ind w:firstLine="561"/>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051FF317">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7.为了保证开评标顺利进行，政采云线上开标功能完全实现，供应商开标所使用的电脑设备须具有视频及语音功能。</w:t>
      </w:r>
    </w:p>
    <w:p w14:paraId="359EB892">
      <w:pPr>
        <w:pStyle w:val="27"/>
        <w:snapToGrid w:val="0"/>
        <w:spacing w:line="360" w:lineRule="auto"/>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特别提示：</w:t>
      </w:r>
    </w:p>
    <w:p w14:paraId="35D4141C">
      <w:pPr>
        <w:pStyle w:val="27"/>
        <w:snapToGrid w:val="0"/>
        <w:spacing w:line="360" w:lineRule="auto"/>
        <w:jc w:val="both"/>
        <w:outlineLvl w:val="9"/>
        <w:rPr>
          <w:rFonts w:hint="eastAsia" w:ascii="仿宋" w:hAnsi="仿宋" w:eastAsia="仿宋" w:cs="仿宋"/>
          <w:b/>
          <w:bCs/>
          <w:i w:val="0"/>
          <w:iCs w:val="0"/>
          <w:caps w:val="0"/>
          <w:color w:val="auto"/>
          <w:spacing w:val="0"/>
          <w:sz w:val="24"/>
          <w:szCs w:val="24"/>
          <w:highlight w:val="none"/>
          <w:lang w:eastAsia="zh-CN"/>
        </w:rPr>
      </w:pPr>
      <w:r>
        <w:rPr>
          <w:rFonts w:hint="eastAsia" w:ascii="仿宋" w:hAnsi="仿宋" w:eastAsia="仿宋" w:cs="仿宋"/>
          <w:b/>
          <w:bCs/>
          <w:i w:val="0"/>
          <w:iCs w:val="0"/>
          <w:caps w:val="0"/>
          <w:color w:val="auto"/>
          <w:spacing w:val="0"/>
          <w:sz w:val="24"/>
          <w:szCs w:val="24"/>
          <w:highlight w:val="none"/>
        </w:rPr>
        <w:t>1、采购限额标准以上，200万元以下的货物和服务采购项目、400万元以下的工程采购项目，适宜由中小企业提供的，采购人应当专门面向中小企业采购。</w:t>
      </w:r>
    </w:p>
    <w:p w14:paraId="184ED85E">
      <w:pPr>
        <w:pStyle w:val="27"/>
        <w:snapToGrid w:val="0"/>
        <w:spacing w:line="360" w:lineRule="auto"/>
        <w:jc w:val="both"/>
        <w:outlineLvl w:val="9"/>
        <w:rPr>
          <w:rFonts w:hint="eastAsia" w:ascii="仿宋" w:hAnsi="仿宋" w:eastAsia="仿宋" w:cs="仿宋"/>
          <w:b/>
          <w:bCs/>
          <w:i w:val="0"/>
          <w:iCs w:val="0"/>
          <w:caps w:val="0"/>
          <w:color w:val="auto"/>
          <w:spacing w:val="0"/>
          <w:sz w:val="24"/>
          <w:szCs w:val="24"/>
          <w:highlight w:val="none"/>
          <w:lang w:eastAsia="zh-CN"/>
        </w:rPr>
      </w:pPr>
      <w:r>
        <w:rPr>
          <w:rFonts w:hint="eastAsia" w:ascii="仿宋" w:hAnsi="仿宋" w:eastAsia="仿宋" w:cs="仿宋"/>
          <w:b/>
          <w:bCs/>
          <w:i w:val="0"/>
          <w:iCs w:val="0"/>
          <w:caps w:val="0"/>
          <w:color w:val="auto"/>
          <w:spacing w:val="0"/>
          <w:sz w:val="24"/>
          <w:szCs w:val="24"/>
          <w:highlight w:val="none"/>
        </w:rPr>
        <w:t>2、超过200万元的货物和服务采购项目、超过400万元的工程采购项目中适宜由中小企业提供的，预留该部分采购项目预算总额的30%以上专门面向中小企业采购，其中预留给小微企业的比例不低于60%。</w:t>
      </w:r>
    </w:p>
    <w:p w14:paraId="2A975F23">
      <w:pPr>
        <w:pStyle w:val="27"/>
        <w:snapToGrid w:val="0"/>
        <w:spacing w:line="360" w:lineRule="auto"/>
        <w:jc w:val="both"/>
        <w:outlineLvl w:val="9"/>
        <w:rPr>
          <w:rFonts w:hint="eastAsia" w:ascii="仿宋" w:hAnsi="仿宋" w:eastAsia="仿宋" w:cs="仿宋"/>
          <w:b/>
          <w:bCs/>
          <w:i w:val="0"/>
          <w:iCs w:val="0"/>
          <w:caps w:val="0"/>
          <w:color w:val="auto"/>
          <w:spacing w:val="0"/>
          <w:sz w:val="24"/>
          <w:szCs w:val="24"/>
          <w:highlight w:val="none"/>
          <w:lang w:eastAsia="zh-CN"/>
        </w:rPr>
      </w:pPr>
      <w:r>
        <w:rPr>
          <w:rFonts w:hint="eastAsia" w:ascii="仿宋" w:hAnsi="仿宋" w:eastAsia="仿宋" w:cs="仿宋"/>
          <w:b/>
          <w:bCs/>
          <w:i w:val="0"/>
          <w:iCs w:val="0"/>
          <w:caps w:val="0"/>
          <w:color w:val="auto"/>
          <w:spacing w:val="0"/>
          <w:sz w:val="24"/>
          <w:szCs w:val="24"/>
          <w:highlight w:val="none"/>
        </w:rPr>
        <w:t>3、对于未预留份额专门面向中小企业的采购项目，以及预留份额项目中的非预留部分采购包，采购人、采购代理机构应当对符合规定的小微企业报价给予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941E82D">
      <w:pPr>
        <w:pStyle w:val="27"/>
        <w:snapToGrid w:val="0"/>
        <w:spacing w:line="360" w:lineRule="auto"/>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31C5E80">
      <w:pPr>
        <w:pStyle w:val="27"/>
        <w:snapToGrid w:val="0"/>
        <w:spacing w:line="360" w:lineRule="auto"/>
        <w:jc w:val="both"/>
        <w:outlineLvl w:val="9"/>
        <w:rPr>
          <w:rFonts w:hint="eastAsia" w:ascii="仿宋" w:hAnsi="仿宋" w:eastAsia="仿宋" w:cs="仿宋"/>
          <w:b/>
          <w:bCs/>
          <w:color w:val="auto"/>
          <w:sz w:val="24"/>
          <w:szCs w:val="24"/>
          <w:highlight w:val="none"/>
        </w:rPr>
      </w:pPr>
    </w:p>
    <w:p w14:paraId="54408F3C">
      <w:pPr>
        <w:pStyle w:val="27"/>
        <w:snapToGrid w:val="0"/>
        <w:spacing w:line="360" w:lineRule="auto"/>
        <w:jc w:val="both"/>
        <w:outlineLvl w:val="9"/>
        <w:rPr>
          <w:rFonts w:hint="eastAsia" w:ascii="仿宋" w:hAnsi="仿宋" w:eastAsia="仿宋" w:cs="仿宋"/>
          <w:b/>
          <w:bCs/>
          <w:color w:val="auto"/>
          <w:sz w:val="24"/>
          <w:szCs w:val="24"/>
          <w:highlight w:val="none"/>
          <w:lang w:val="en-US" w:eastAsia="zh-CN"/>
        </w:rPr>
      </w:pPr>
      <w:bookmarkStart w:id="24" w:name="_Toc24616"/>
      <w:bookmarkStart w:id="25" w:name="_Toc30431"/>
      <w:bookmarkStart w:id="26" w:name="_Toc20803"/>
      <w:r>
        <w:rPr>
          <w:rFonts w:hint="eastAsia" w:ascii="仿宋" w:hAnsi="仿宋" w:eastAsia="仿宋" w:cs="仿宋"/>
          <w:b/>
          <w:bCs/>
          <w:color w:val="auto"/>
          <w:sz w:val="24"/>
          <w:szCs w:val="24"/>
          <w:highlight w:val="none"/>
          <w:lang w:val="en-US" w:eastAsia="zh-CN"/>
        </w:rPr>
        <w:t>八、凡对本次招标提出询问，请按以下方式联系</w:t>
      </w:r>
      <w:bookmarkEnd w:id="24"/>
      <w:bookmarkEnd w:id="25"/>
      <w:bookmarkEnd w:id="26"/>
    </w:p>
    <w:p w14:paraId="50463768">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1.采购人信息</w:t>
      </w:r>
    </w:p>
    <w:p w14:paraId="58582ED9">
      <w:pPr>
        <w:pStyle w:val="27"/>
        <w:snapToGrid w:val="0"/>
        <w:spacing w:line="360" w:lineRule="auto"/>
        <w:ind w:firstLine="560"/>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val="en-US" w:eastAsia="zh-CN"/>
        </w:rPr>
        <w:t>富蕴县卫生健康委员会</w:t>
      </w:r>
    </w:p>
    <w:p w14:paraId="7415E93D">
      <w:pPr>
        <w:pStyle w:val="27"/>
        <w:snapToGrid w:val="0"/>
        <w:spacing w:line="360" w:lineRule="auto"/>
        <w:ind w:firstLine="560"/>
        <w:jc w:val="both"/>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地 址：阿勒泰地区富蕴县赛尔江东路富蕴县妇幼保健院东北侧</w:t>
      </w:r>
    </w:p>
    <w:p w14:paraId="2FF9C29D">
      <w:pPr>
        <w:pStyle w:val="27"/>
        <w:snapToGrid w:val="0"/>
        <w:spacing w:line="360" w:lineRule="auto"/>
        <w:ind w:firstLine="560"/>
        <w:jc w:val="both"/>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杜先生</w:t>
      </w:r>
    </w:p>
    <w:p w14:paraId="6658A259">
      <w:pPr>
        <w:pStyle w:val="27"/>
        <w:snapToGrid w:val="0"/>
        <w:spacing w:line="360" w:lineRule="auto"/>
        <w:ind w:firstLine="56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p>
    <w:p w14:paraId="1A195C74">
      <w:pPr>
        <w:pStyle w:val="27"/>
        <w:snapToGrid w:val="0"/>
        <w:spacing w:line="360" w:lineRule="auto"/>
        <w:ind w:firstLine="560"/>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en-US"/>
        </w:rPr>
        <w:t>名 称：</w:t>
      </w:r>
      <w:r>
        <w:rPr>
          <w:rFonts w:hint="eastAsia" w:ascii="仿宋" w:hAnsi="仿宋" w:eastAsia="仿宋" w:cs="仿宋"/>
          <w:color w:val="auto"/>
          <w:sz w:val="24"/>
          <w:szCs w:val="24"/>
          <w:highlight w:val="none"/>
          <w:lang w:val="en-US" w:eastAsia="zh-CN"/>
        </w:rPr>
        <w:t>新疆浩瑞兴建设工程项目管理咨询有限公司</w:t>
      </w:r>
    </w:p>
    <w:p w14:paraId="6C77AC2E">
      <w:pPr>
        <w:pStyle w:val="27"/>
        <w:snapToGrid w:val="0"/>
        <w:spacing w:line="360" w:lineRule="auto"/>
        <w:ind w:firstLine="560"/>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en-US"/>
        </w:rPr>
        <w:t>地 址：</w:t>
      </w:r>
      <w:r>
        <w:rPr>
          <w:rFonts w:hint="eastAsia" w:ascii="仿宋" w:hAnsi="仿宋" w:eastAsia="仿宋" w:cs="仿宋"/>
          <w:color w:val="auto"/>
          <w:sz w:val="24"/>
          <w:szCs w:val="24"/>
          <w:highlight w:val="none"/>
          <w:lang w:val="en-US" w:eastAsia="zh-CN"/>
        </w:rPr>
        <w:t>新疆乌鲁木齐市水磨沟区安居南路鸿瑞豪庭四号楼908</w:t>
      </w:r>
    </w:p>
    <w:p w14:paraId="19C09267">
      <w:pPr>
        <w:pStyle w:val="27"/>
        <w:snapToGrid w:val="0"/>
        <w:spacing w:line="360" w:lineRule="auto"/>
        <w:ind w:firstLine="560"/>
        <w:jc w:val="both"/>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en-US"/>
        </w:rPr>
        <w:t>联系方式：</w:t>
      </w:r>
      <w:r>
        <w:rPr>
          <w:rFonts w:hint="eastAsia" w:ascii="仿宋" w:hAnsi="仿宋" w:eastAsia="仿宋" w:cs="仿宋"/>
          <w:color w:val="auto"/>
          <w:sz w:val="24"/>
          <w:szCs w:val="24"/>
          <w:highlight w:val="none"/>
          <w:lang w:val="en-US" w:eastAsia="zh-CN"/>
        </w:rPr>
        <w:t>18016878872</w:t>
      </w:r>
    </w:p>
    <w:p w14:paraId="5E47256A">
      <w:pPr>
        <w:pStyle w:val="27"/>
        <w:snapToGrid w:val="0"/>
        <w:spacing w:line="360" w:lineRule="auto"/>
        <w:ind w:firstLine="560"/>
        <w:jc w:val="both"/>
        <w:outlineLvl w:val="9"/>
        <w:rPr>
          <w:rFonts w:hint="eastAsia" w:ascii="仿宋" w:hAnsi="仿宋" w:eastAsia="仿宋" w:cs="仿宋"/>
          <w:color w:val="auto"/>
          <w:sz w:val="24"/>
          <w:szCs w:val="24"/>
          <w:highlight w:val="none"/>
          <w:lang w:val="en-US" w:eastAsia="en-US"/>
        </w:rPr>
      </w:pPr>
      <w:r>
        <w:rPr>
          <w:rFonts w:hint="eastAsia" w:ascii="仿宋" w:hAnsi="仿宋" w:eastAsia="仿宋" w:cs="仿宋"/>
          <w:color w:val="auto"/>
          <w:sz w:val="24"/>
          <w:szCs w:val="24"/>
          <w:highlight w:val="none"/>
          <w:lang w:val="en-US" w:eastAsia="en-US"/>
        </w:rPr>
        <w:t>3.项目联系方式</w:t>
      </w:r>
    </w:p>
    <w:p w14:paraId="04CB9685">
      <w:pPr>
        <w:pStyle w:val="27"/>
        <w:snapToGrid w:val="0"/>
        <w:spacing w:line="360" w:lineRule="auto"/>
        <w:ind w:firstLine="560"/>
        <w:jc w:val="both"/>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en-US"/>
        </w:rPr>
        <w:t>项目联系人：</w:t>
      </w:r>
      <w:r>
        <w:rPr>
          <w:rFonts w:hint="eastAsia" w:ascii="仿宋" w:hAnsi="仿宋" w:eastAsia="仿宋" w:cs="仿宋"/>
          <w:color w:val="auto"/>
          <w:sz w:val="24"/>
          <w:szCs w:val="24"/>
          <w:highlight w:val="none"/>
          <w:lang w:val="en-US" w:eastAsia="zh-CN"/>
        </w:rPr>
        <w:t>陈女士</w:t>
      </w:r>
    </w:p>
    <w:p w14:paraId="7DA8C7D0">
      <w:pPr>
        <w:pStyle w:val="27"/>
        <w:snapToGrid w:val="0"/>
        <w:spacing w:line="360" w:lineRule="auto"/>
        <w:ind w:firstLine="560"/>
        <w:jc w:val="both"/>
        <w:outlineLvl w:val="9"/>
        <w:rPr>
          <w:rFonts w:hint="eastAsia" w:ascii="仿宋" w:hAnsi="仿宋" w:eastAsia="仿宋" w:cs="仿宋"/>
          <w:color w:val="auto"/>
          <w:sz w:val="36"/>
          <w:highlight w:val="none"/>
        </w:rPr>
      </w:pPr>
      <w:r>
        <w:rPr>
          <w:rFonts w:hint="eastAsia" w:ascii="仿宋" w:hAnsi="仿宋" w:eastAsia="仿宋" w:cs="仿宋"/>
          <w:color w:val="auto"/>
          <w:sz w:val="24"/>
          <w:szCs w:val="24"/>
          <w:highlight w:val="none"/>
          <w:lang w:val="en-US" w:eastAsia="en-US"/>
        </w:rPr>
        <w:t>电 话：</w:t>
      </w:r>
      <w:r>
        <w:rPr>
          <w:rFonts w:hint="eastAsia" w:ascii="仿宋" w:hAnsi="仿宋" w:eastAsia="仿宋" w:cs="仿宋"/>
          <w:color w:val="auto"/>
          <w:sz w:val="24"/>
          <w:szCs w:val="24"/>
          <w:highlight w:val="none"/>
          <w:lang w:val="en-US" w:eastAsia="zh-CN"/>
        </w:rPr>
        <w:t>18016878872</w:t>
      </w:r>
      <w:r>
        <w:rPr>
          <w:rFonts w:hint="eastAsia" w:ascii="仿宋" w:hAnsi="仿宋" w:eastAsia="仿宋" w:cs="仿宋"/>
          <w:color w:val="auto"/>
          <w:sz w:val="36"/>
          <w:highlight w:val="none"/>
        </w:rPr>
        <w:br w:type="page"/>
      </w:r>
      <w:bookmarkStart w:id="27" w:name="_Toc19966"/>
      <w:bookmarkStart w:id="28" w:name="_Toc31679"/>
      <w:r>
        <w:rPr>
          <w:rFonts w:hint="eastAsia" w:ascii="仿宋" w:hAnsi="仿宋" w:eastAsia="仿宋" w:cs="仿宋"/>
          <w:color w:val="auto"/>
          <w:sz w:val="36"/>
          <w:highlight w:val="none"/>
          <w:lang w:val="en-US" w:eastAsia="zh-CN"/>
        </w:rPr>
        <w:t xml:space="preserve">                   </w:t>
      </w:r>
      <w:r>
        <w:rPr>
          <w:rFonts w:hint="eastAsia" w:ascii="仿宋" w:hAnsi="仿宋" w:eastAsia="仿宋" w:cs="仿宋"/>
          <w:b/>
          <w:bCs/>
          <w:color w:val="auto"/>
          <w:kern w:val="2"/>
          <w:sz w:val="36"/>
          <w:szCs w:val="32"/>
          <w:highlight w:val="none"/>
          <w:lang w:val="en-US" w:eastAsia="zh-CN" w:bidi="ar-SA"/>
        </w:rPr>
        <w:t>第二章 投标须知</w:t>
      </w:r>
      <w:bookmarkEnd w:id="4"/>
      <w:bookmarkEnd w:id="27"/>
      <w:bookmarkEnd w:id="28"/>
    </w:p>
    <w:p w14:paraId="081403FE">
      <w:pPr>
        <w:shd w:val="clear" w:color="auto" w:fill="auto"/>
        <w:snapToGrid w:val="0"/>
        <w:spacing w:line="500" w:lineRule="exact"/>
        <w:jc w:val="center"/>
        <w:outlineLvl w:val="9"/>
        <w:rPr>
          <w:rFonts w:hint="eastAsia" w:ascii="仿宋" w:hAnsi="仿宋" w:eastAsia="仿宋" w:cs="仿宋"/>
          <w:b/>
          <w:color w:val="auto"/>
          <w:sz w:val="32"/>
          <w:szCs w:val="32"/>
          <w:highlight w:val="none"/>
        </w:rPr>
      </w:pPr>
      <w:bookmarkStart w:id="29" w:name="_Toc469495722"/>
      <w:bookmarkStart w:id="30" w:name="_Toc10866"/>
      <w:r>
        <w:rPr>
          <w:rFonts w:hint="eastAsia" w:ascii="仿宋" w:hAnsi="仿宋" w:eastAsia="仿宋" w:cs="仿宋"/>
          <w:b/>
          <w:color w:val="auto"/>
          <w:sz w:val="32"/>
          <w:szCs w:val="32"/>
          <w:highlight w:val="none"/>
        </w:rPr>
        <w:t>一、投标人须知前附表</w:t>
      </w:r>
      <w:bookmarkEnd w:id="29"/>
      <w:bookmarkEnd w:id="30"/>
    </w:p>
    <w:tbl>
      <w:tblPr>
        <w:tblStyle w:val="20"/>
        <w:tblW w:w="9671"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540"/>
        <w:gridCol w:w="1524"/>
        <w:gridCol w:w="7607"/>
      </w:tblGrid>
      <w:tr w14:paraId="3DC1C10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9" w:hRule="atLeast"/>
          <w:jc w:val="center"/>
        </w:trPr>
        <w:tc>
          <w:tcPr>
            <w:tcW w:w="540" w:type="dxa"/>
            <w:noWrap w:val="0"/>
            <w:vAlign w:val="center"/>
          </w:tcPr>
          <w:p w14:paraId="067190A2">
            <w:pPr>
              <w:pStyle w:val="11"/>
              <w:keepNext w:val="0"/>
              <w:keepLines w:val="0"/>
              <w:pageBreakBefore w:val="0"/>
              <w:shd w:val="clear" w:color="auto" w:fill="auto"/>
              <w:kinsoku/>
              <w:wordWrap/>
              <w:overflowPunct/>
              <w:topLinePunct w:val="0"/>
              <w:autoSpaceDE/>
              <w:autoSpaceDN/>
              <w:bidi w:val="0"/>
              <w:adjustRightInd/>
              <w:snapToGrid w:val="0"/>
              <w:spacing w:line="290" w:lineRule="exact"/>
              <w:ind w:left="-94" w:leftChars="-45" w:right="-81" w:rightChars="-39"/>
              <w:jc w:val="center"/>
              <w:textAlignment w:val="auto"/>
              <w:outlineLvl w:val="9"/>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条款号</w:t>
            </w:r>
          </w:p>
        </w:tc>
        <w:tc>
          <w:tcPr>
            <w:tcW w:w="1524" w:type="dxa"/>
            <w:noWrap w:val="0"/>
            <w:vAlign w:val="center"/>
          </w:tcPr>
          <w:p w14:paraId="5FD0EA05">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内容</w:t>
            </w:r>
          </w:p>
        </w:tc>
        <w:tc>
          <w:tcPr>
            <w:tcW w:w="7607" w:type="dxa"/>
            <w:noWrap w:val="0"/>
            <w:vAlign w:val="center"/>
          </w:tcPr>
          <w:p w14:paraId="4D72D9E5">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说明与要求</w:t>
            </w:r>
          </w:p>
        </w:tc>
      </w:tr>
      <w:tr w14:paraId="7CE3F0F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540" w:type="dxa"/>
            <w:noWrap w:val="0"/>
            <w:vAlign w:val="center"/>
          </w:tcPr>
          <w:p w14:paraId="2863DCAB">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524" w:type="dxa"/>
            <w:noWrap w:val="0"/>
            <w:vAlign w:val="center"/>
          </w:tcPr>
          <w:p w14:paraId="121A7417">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4607B2AD">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项目编号</w:t>
            </w:r>
          </w:p>
          <w:p w14:paraId="3C8DBACB">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采购内容</w:t>
            </w:r>
          </w:p>
        </w:tc>
        <w:tc>
          <w:tcPr>
            <w:tcW w:w="7607" w:type="dxa"/>
            <w:noWrap w:val="0"/>
            <w:vAlign w:val="center"/>
          </w:tcPr>
          <w:p w14:paraId="1D6B2FA5">
            <w:pPr>
              <w:widowControl/>
              <w:spacing w:line="240" w:lineRule="auto"/>
              <w:outlineLvl w:val="9"/>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lang w:val="en-US" w:eastAsia="zh-CN"/>
              </w:rPr>
              <w:t>项目名称：富蕴县医疗救治体系提升项目</w:t>
            </w:r>
          </w:p>
          <w:p w14:paraId="1FC3CF8E">
            <w:pPr>
              <w:widowControl/>
              <w:spacing w:line="240" w:lineRule="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8"/>
                <w:szCs w:val="28"/>
                <w:highlight w:val="none"/>
                <w:lang w:val="en-US" w:eastAsia="zh-CN"/>
              </w:rPr>
              <w:t>项</w:t>
            </w:r>
            <w:r>
              <w:rPr>
                <w:rFonts w:hint="eastAsia" w:ascii="仿宋" w:hAnsi="仿宋" w:eastAsia="仿宋" w:cs="仿宋"/>
                <w:color w:val="auto"/>
                <w:sz w:val="24"/>
                <w:szCs w:val="24"/>
                <w:highlight w:val="none"/>
                <w:lang w:val="en-US" w:eastAsia="zh-CN"/>
              </w:rPr>
              <w:t>目编号：XJHRXFYXWSJKWYH-2025-01</w:t>
            </w:r>
          </w:p>
          <w:p w14:paraId="1808DF6B">
            <w:pPr>
              <w:widowControl/>
              <w:spacing w:line="240" w:lineRule="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采购内容：详见第四章招标内容及技术要求</w:t>
            </w:r>
          </w:p>
        </w:tc>
      </w:tr>
      <w:tr w14:paraId="1028DE7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59" w:hRule="atLeast"/>
          <w:jc w:val="center"/>
        </w:trPr>
        <w:tc>
          <w:tcPr>
            <w:tcW w:w="540" w:type="dxa"/>
            <w:noWrap w:val="0"/>
            <w:vAlign w:val="center"/>
          </w:tcPr>
          <w:p w14:paraId="260596CE">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524" w:type="dxa"/>
            <w:noWrap w:val="0"/>
            <w:vAlign w:val="center"/>
          </w:tcPr>
          <w:p w14:paraId="7A6E36CB">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val="en-US" w:eastAsia="zh-CN"/>
              </w:rPr>
              <w:t>信息</w:t>
            </w:r>
          </w:p>
        </w:tc>
        <w:tc>
          <w:tcPr>
            <w:tcW w:w="7607" w:type="dxa"/>
            <w:noWrap w:val="0"/>
            <w:vAlign w:val="center"/>
          </w:tcPr>
          <w:p w14:paraId="1BDB675D">
            <w:pPr>
              <w:widowControl/>
              <w:spacing w:line="240" w:lineRule="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 购 人：富蕴县卫生健康委员会</w:t>
            </w:r>
          </w:p>
          <w:p w14:paraId="422C0491">
            <w:pPr>
              <w:widowControl/>
              <w:spacing w:line="240" w:lineRule="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 系 人：杜先生</w:t>
            </w:r>
          </w:p>
          <w:p w14:paraId="07B83EB2">
            <w:pPr>
              <w:widowControl/>
              <w:spacing w:line="240" w:lineRule="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联系电话：18199617188</w:t>
            </w:r>
          </w:p>
        </w:tc>
      </w:tr>
      <w:tr w14:paraId="087EC2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24" w:hRule="atLeast"/>
          <w:jc w:val="center"/>
        </w:trPr>
        <w:tc>
          <w:tcPr>
            <w:tcW w:w="540" w:type="dxa"/>
            <w:noWrap w:val="0"/>
            <w:vAlign w:val="center"/>
          </w:tcPr>
          <w:p w14:paraId="13481276">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524" w:type="dxa"/>
            <w:noWrap w:val="0"/>
            <w:vAlign w:val="center"/>
          </w:tcPr>
          <w:p w14:paraId="52E00D88">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采购代理机构</w:t>
            </w:r>
          </w:p>
        </w:tc>
        <w:tc>
          <w:tcPr>
            <w:tcW w:w="7607" w:type="dxa"/>
            <w:noWrap w:val="0"/>
            <w:vAlign w:val="center"/>
          </w:tcPr>
          <w:p w14:paraId="3E2D7682">
            <w:pPr>
              <w:widowControl/>
              <w:spacing w:line="24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称：</w:t>
            </w:r>
            <w:r>
              <w:rPr>
                <w:rFonts w:hint="eastAsia" w:ascii="仿宋" w:hAnsi="仿宋" w:eastAsia="仿宋" w:cs="仿宋"/>
                <w:color w:val="auto"/>
                <w:sz w:val="24"/>
                <w:szCs w:val="24"/>
                <w:highlight w:val="none"/>
                <w:lang w:eastAsia="zh-CN"/>
              </w:rPr>
              <w:t>新疆浩瑞兴建设工程项目管理咨询有限公司</w:t>
            </w:r>
          </w:p>
          <w:p w14:paraId="2A622FFA">
            <w:pPr>
              <w:widowControl/>
              <w:spacing w:line="24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地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址：</w:t>
            </w:r>
            <w:r>
              <w:rPr>
                <w:rFonts w:hint="eastAsia" w:ascii="仿宋" w:hAnsi="仿宋" w:eastAsia="仿宋" w:cs="仿宋"/>
                <w:color w:val="auto"/>
                <w:sz w:val="24"/>
                <w:szCs w:val="24"/>
                <w:highlight w:val="none"/>
                <w:lang w:eastAsia="zh-CN"/>
              </w:rPr>
              <w:t>新疆乌鲁木齐市水磨沟区安居南路鸿瑞豪庭四号楼908</w:t>
            </w:r>
          </w:p>
          <w:p w14:paraId="43DEC772">
            <w:pPr>
              <w:widowControl/>
              <w:spacing w:line="240" w:lineRule="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lang w:val="en-US" w:eastAsia="zh-CN"/>
              </w:rPr>
              <w:t>陈女士</w:t>
            </w:r>
          </w:p>
          <w:p w14:paraId="3B4A8D42">
            <w:pPr>
              <w:keepNext w:val="0"/>
              <w:keepLines w:val="0"/>
              <w:pageBreakBefore w:val="0"/>
              <w:widowControl/>
              <w:shd w:val="clear" w:color="auto" w:fill="auto"/>
              <w:kinsoku/>
              <w:wordWrap/>
              <w:overflowPunct/>
              <w:topLinePunct w:val="0"/>
              <w:autoSpaceDE/>
              <w:autoSpaceDN/>
              <w:bidi w:val="0"/>
              <w:adjustRightInd/>
              <w:snapToGrid/>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lang w:val="en-US" w:eastAsia="zh-CN"/>
              </w:rPr>
              <w:t>18016878872</w:t>
            </w:r>
          </w:p>
        </w:tc>
      </w:tr>
      <w:tr w14:paraId="1D917BE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540" w:type="dxa"/>
            <w:noWrap w:val="0"/>
            <w:vAlign w:val="center"/>
          </w:tcPr>
          <w:p w14:paraId="7B1EE421">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524" w:type="dxa"/>
            <w:noWrap w:val="0"/>
            <w:vAlign w:val="center"/>
          </w:tcPr>
          <w:p w14:paraId="3AD3A289">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配送地点</w:t>
            </w:r>
          </w:p>
        </w:tc>
        <w:tc>
          <w:tcPr>
            <w:tcW w:w="7607" w:type="dxa"/>
            <w:noWrap w:val="0"/>
            <w:vAlign w:val="center"/>
          </w:tcPr>
          <w:p w14:paraId="162752F0">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富蕴县卫生健康委员会</w:t>
            </w:r>
            <w:r>
              <w:rPr>
                <w:rFonts w:hint="eastAsia" w:ascii="仿宋" w:hAnsi="仿宋" w:eastAsia="仿宋" w:cs="仿宋"/>
                <w:color w:val="auto"/>
                <w:sz w:val="24"/>
                <w:szCs w:val="24"/>
                <w:highlight w:val="none"/>
              </w:rPr>
              <w:t>指定地点。</w:t>
            </w:r>
          </w:p>
        </w:tc>
      </w:tr>
      <w:tr w14:paraId="2842E85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540" w:type="dxa"/>
            <w:noWrap w:val="0"/>
            <w:vAlign w:val="center"/>
          </w:tcPr>
          <w:p w14:paraId="70A4577F">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1524" w:type="dxa"/>
            <w:noWrap w:val="0"/>
            <w:vAlign w:val="center"/>
          </w:tcPr>
          <w:p w14:paraId="3B149E18">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供货期</w:t>
            </w:r>
          </w:p>
        </w:tc>
        <w:tc>
          <w:tcPr>
            <w:tcW w:w="7607" w:type="dxa"/>
            <w:noWrap w:val="0"/>
            <w:vAlign w:val="center"/>
          </w:tcPr>
          <w:p w14:paraId="2C374649">
            <w:pPr>
              <w:pStyle w:val="27"/>
              <w:spacing w:line="420" w:lineRule="exact"/>
              <w:jc w:val="both"/>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自合同签订之日起按甲方通知15日内完成供货（具体以实际签订合同为准）</w:t>
            </w:r>
          </w:p>
        </w:tc>
      </w:tr>
      <w:tr w14:paraId="1BCA0DB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65" w:hRule="atLeast"/>
          <w:jc w:val="center"/>
        </w:trPr>
        <w:tc>
          <w:tcPr>
            <w:tcW w:w="540" w:type="dxa"/>
            <w:noWrap w:val="0"/>
            <w:vAlign w:val="center"/>
          </w:tcPr>
          <w:p w14:paraId="52137853">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1524" w:type="dxa"/>
            <w:noWrap w:val="0"/>
            <w:vAlign w:val="center"/>
          </w:tcPr>
          <w:p w14:paraId="388B0DD9">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付款方式</w:t>
            </w:r>
          </w:p>
        </w:tc>
        <w:tc>
          <w:tcPr>
            <w:tcW w:w="7607" w:type="dxa"/>
            <w:noWrap w:val="0"/>
            <w:vAlign w:val="center"/>
          </w:tcPr>
          <w:p w14:paraId="32148194">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付款方式：合同签订生效后，支付首付款为合同金额的30%，供货完毕并终验合格后，支付尾款为合同金额的70%，实际按合同约定执行。</w:t>
            </w:r>
          </w:p>
        </w:tc>
      </w:tr>
      <w:tr w14:paraId="5BD96AA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42" w:hRule="atLeast"/>
          <w:jc w:val="center"/>
        </w:trPr>
        <w:tc>
          <w:tcPr>
            <w:tcW w:w="540" w:type="dxa"/>
            <w:noWrap w:val="0"/>
            <w:vAlign w:val="center"/>
          </w:tcPr>
          <w:p w14:paraId="4B477588">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524" w:type="dxa"/>
            <w:noWrap w:val="0"/>
            <w:vAlign w:val="center"/>
          </w:tcPr>
          <w:p w14:paraId="0E2D1098">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质保期</w:t>
            </w:r>
          </w:p>
        </w:tc>
        <w:tc>
          <w:tcPr>
            <w:tcW w:w="7607" w:type="dxa"/>
            <w:noWrap w:val="0"/>
            <w:vAlign w:val="center"/>
          </w:tcPr>
          <w:p w14:paraId="4E210229">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质保期2年</w:t>
            </w:r>
          </w:p>
        </w:tc>
      </w:tr>
      <w:tr w14:paraId="4BE3B7D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63" w:hRule="atLeast"/>
          <w:jc w:val="center"/>
        </w:trPr>
        <w:tc>
          <w:tcPr>
            <w:tcW w:w="540" w:type="dxa"/>
            <w:noWrap w:val="0"/>
            <w:vAlign w:val="center"/>
          </w:tcPr>
          <w:p w14:paraId="0E2316BA">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524" w:type="dxa"/>
            <w:noWrap w:val="0"/>
            <w:vAlign w:val="center"/>
          </w:tcPr>
          <w:p w14:paraId="0D1DB336">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招标方式</w:t>
            </w:r>
          </w:p>
        </w:tc>
        <w:tc>
          <w:tcPr>
            <w:tcW w:w="7607" w:type="dxa"/>
            <w:noWrap w:val="0"/>
            <w:vAlign w:val="center"/>
          </w:tcPr>
          <w:p w14:paraId="167F34B5">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公开招标</w:t>
            </w:r>
            <w:r>
              <w:rPr>
                <w:rFonts w:hint="eastAsia" w:ascii="仿宋" w:hAnsi="仿宋" w:eastAsia="仿宋" w:cs="仿宋"/>
                <w:b/>
                <w:color w:val="auto"/>
                <w:sz w:val="24"/>
                <w:szCs w:val="24"/>
                <w:highlight w:val="none"/>
                <w:lang w:val="en-US" w:eastAsia="zh-CN"/>
              </w:rPr>
              <w:t>(本项目采用网上电子招投标)</w:t>
            </w:r>
          </w:p>
        </w:tc>
      </w:tr>
      <w:tr w14:paraId="7982B67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59" w:hRule="atLeast"/>
          <w:jc w:val="center"/>
        </w:trPr>
        <w:tc>
          <w:tcPr>
            <w:tcW w:w="540" w:type="dxa"/>
            <w:noWrap w:val="0"/>
            <w:vAlign w:val="center"/>
          </w:tcPr>
          <w:p w14:paraId="1D224932">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524" w:type="dxa"/>
            <w:noWrap w:val="0"/>
            <w:vAlign w:val="center"/>
          </w:tcPr>
          <w:p w14:paraId="556057E3">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投标人资格条件及其他要求</w:t>
            </w:r>
          </w:p>
        </w:tc>
        <w:tc>
          <w:tcPr>
            <w:tcW w:w="7607" w:type="dxa"/>
            <w:noWrap w:val="0"/>
            <w:vAlign w:val="top"/>
          </w:tcPr>
          <w:p w14:paraId="7F743A49">
            <w:pPr>
              <w:pStyle w:val="28"/>
              <w:spacing w:before="25" w:line="187" w:lineRule="auto"/>
              <w:ind w:left="108"/>
              <w:rPr>
                <w:rFonts w:hint="eastAsia" w:ascii="仿宋" w:hAnsi="仿宋" w:eastAsia="仿宋" w:cs="仿宋"/>
                <w:sz w:val="24"/>
                <w:szCs w:val="24"/>
              </w:rPr>
            </w:pPr>
            <w:r>
              <w:rPr>
                <w:rFonts w:hint="eastAsia" w:ascii="仿宋" w:hAnsi="仿宋" w:eastAsia="仿宋" w:cs="仿宋"/>
                <w:spacing w:val="5"/>
                <w:sz w:val="24"/>
                <w:szCs w:val="24"/>
                <w:lang w:val="en-US" w:eastAsia="zh-CN"/>
              </w:rPr>
              <w:t>1、</w:t>
            </w:r>
            <w:r>
              <w:rPr>
                <w:rFonts w:hint="eastAsia" w:ascii="仿宋" w:hAnsi="仿宋" w:eastAsia="仿宋" w:cs="仿宋"/>
                <w:color w:val="000000" w:themeColor="text1"/>
                <w:spacing w:val="-2"/>
                <w:sz w:val="24"/>
                <w:szCs w:val="24"/>
                <w:lang w:val="en-US" w:eastAsia="zh-CN"/>
                <w14:textFill>
                  <w14:solidFill>
                    <w14:schemeClr w14:val="tx1"/>
                  </w14:solidFill>
                </w14:textFill>
              </w:rPr>
              <w:t>合格有效的法人或者非法人组织营业执照</w:t>
            </w:r>
            <w:r>
              <w:rPr>
                <w:rFonts w:hint="eastAsia" w:ascii="仿宋" w:hAnsi="仿宋" w:eastAsia="仿宋" w:cs="仿宋"/>
                <w:spacing w:val="5"/>
                <w:sz w:val="24"/>
                <w:szCs w:val="24"/>
              </w:rPr>
              <w:t>；</w:t>
            </w:r>
          </w:p>
          <w:p w14:paraId="42E579EE">
            <w:pPr>
              <w:pStyle w:val="28"/>
              <w:spacing w:before="4" w:line="187" w:lineRule="auto"/>
              <w:ind w:left="108"/>
              <w:rPr>
                <w:rFonts w:hint="eastAsia" w:ascii="仿宋" w:hAnsi="仿宋" w:eastAsia="仿宋" w:cs="仿宋"/>
                <w:sz w:val="24"/>
                <w:szCs w:val="24"/>
              </w:rPr>
            </w:pPr>
            <w:r>
              <w:rPr>
                <w:rFonts w:hint="eastAsia" w:ascii="仿宋" w:hAnsi="仿宋" w:eastAsia="仿宋" w:cs="仿宋"/>
                <w:spacing w:val="8"/>
                <w:sz w:val="24"/>
                <w:szCs w:val="24"/>
                <w:lang w:val="en-US" w:eastAsia="zh-CN"/>
              </w:rPr>
              <w:t>2、</w:t>
            </w:r>
            <w:r>
              <w:rPr>
                <w:rFonts w:hint="eastAsia" w:ascii="仿宋" w:hAnsi="仿宋" w:eastAsia="仿宋" w:cs="仿宋"/>
                <w:color w:val="auto"/>
                <w:sz w:val="24"/>
                <w:szCs w:val="24"/>
                <w:highlight w:val="none"/>
              </w:rPr>
              <w:t>具有良好的商业信誉和健全的财务会计制度（由具备资质的中介机构出具的</w:t>
            </w:r>
            <w:r>
              <w:rPr>
                <w:rFonts w:hint="eastAsia" w:ascii="仿宋" w:hAnsi="仿宋" w:eastAsia="仿宋" w:cs="仿宋"/>
                <w:color w:val="auto"/>
                <w:sz w:val="24"/>
                <w:szCs w:val="24"/>
                <w:highlight w:val="none"/>
                <w:lang w:val="en-US" w:eastAsia="zh-CN"/>
              </w:rPr>
              <w:t>2023年</w:t>
            </w:r>
            <w:r>
              <w:rPr>
                <w:rFonts w:hint="eastAsia" w:ascii="仿宋" w:hAnsi="仿宋" w:eastAsia="仿宋" w:cs="仿宋"/>
                <w:color w:val="auto"/>
                <w:sz w:val="24"/>
                <w:szCs w:val="24"/>
                <w:highlight w:val="none"/>
              </w:rPr>
              <w:t>财务审计报告</w:t>
            </w:r>
            <w:r>
              <w:rPr>
                <w:rFonts w:hint="eastAsia"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由基本户开户行出具的银行资信证明</w:t>
            </w:r>
            <w:r>
              <w:rPr>
                <w:rFonts w:hint="eastAsia" w:ascii="仿宋" w:hAnsi="仿宋" w:eastAsia="仿宋" w:cs="仿宋"/>
                <w:color w:val="auto"/>
                <w:sz w:val="24"/>
                <w:szCs w:val="24"/>
                <w:highlight w:val="none"/>
              </w:rPr>
              <w:t>；成立不满一年企业提供</w:t>
            </w:r>
            <w:r>
              <w:rPr>
                <w:rFonts w:hint="eastAsia" w:cs="仿宋"/>
                <w:color w:val="auto"/>
                <w:sz w:val="24"/>
                <w:szCs w:val="24"/>
                <w:highlight w:val="none"/>
                <w:lang w:val="en-US" w:eastAsia="zh-CN"/>
              </w:rPr>
              <w:t>完整的</w:t>
            </w:r>
            <w:r>
              <w:rPr>
                <w:rFonts w:hint="eastAsia" w:ascii="仿宋" w:hAnsi="仿宋" w:eastAsia="仿宋" w:cs="仿宋"/>
                <w:color w:val="auto"/>
                <w:sz w:val="24"/>
                <w:szCs w:val="24"/>
                <w:highlight w:val="none"/>
              </w:rPr>
              <w:t>财务报表</w:t>
            </w:r>
            <w:r>
              <w:rPr>
                <w:rFonts w:hint="eastAsia" w:ascii="仿宋" w:hAnsi="仿宋" w:eastAsia="仿宋" w:cs="仿宋"/>
                <w:color w:val="auto"/>
                <w:sz w:val="24"/>
                <w:szCs w:val="24"/>
                <w:highlight w:val="none"/>
                <w:lang w:eastAsia="zh-CN"/>
              </w:rPr>
              <w:t>）</w:t>
            </w:r>
            <w:r>
              <w:rPr>
                <w:rFonts w:hint="eastAsia" w:ascii="仿宋" w:hAnsi="仿宋" w:eastAsia="仿宋" w:cs="仿宋"/>
                <w:spacing w:val="9"/>
                <w:sz w:val="24"/>
                <w:szCs w:val="24"/>
              </w:rPr>
              <w:t>；</w:t>
            </w:r>
          </w:p>
          <w:p w14:paraId="01FCA6F1">
            <w:pPr>
              <w:pStyle w:val="28"/>
              <w:spacing w:before="6" w:line="187" w:lineRule="auto"/>
              <w:ind w:left="108"/>
              <w:rPr>
                <w:rFonts w:hint="eastAsia" w:ascii="仿宋" w:hAnsi="仿宋" w:eastAsia="仿宋" w:cs="仿宋"/>
                <w:sz w:val="24"/>
                <w:szCs w:val="24"/>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rPr>
              <w:t>具有履行合同所必需的设备和专业技术能力；</w:t>
            </w:r>
          </w:p>
          <w:p w14:paraId="249E0064">
            <w:pPr>
              <w:pStyle w:val="28"/>
              <w:spacing w:before="6" w:line="208" w:lineRule="auto"/>
              <w:ind w:left="119" w:right="106" w:hanging="11"/>
              <w:rPr>
                <w:rFonts w:hint="eastAsia" w:ascii="仿宋" w:hAnsi="仿宋" w:eastAsia="仿宋" w:cs="仿宋"/>
                <w:sz w:val="24"/>
                <w:szCs w:val="24"/>
              </w:rPr>
            </w:pPr>
            <w:r>
              <w:rPr>
                <w:rFonts w:hint="eastAsia" w:ascii="仿宋" w:hAnsi="仿宋" w:eastAsia="仿宋" w:cs="仿宋"/>
                <w:spacing w:val="9"/>
                <w:sz w:val="24"/>
                <w:szCs w:val="24"/>
                <w:lang w:val="en-US" w:eastAsia="zh-CN"/>
              </w:rPr>
              <w:t>4、</w:t>
            </w:r>
            <w:r>
              <w:rPr>
                <w:rFonts w:hint="eastAsia" w:ascii="仿宋" w:hAnsi="仿宋" w:eastAsia="仿宋" w:cs="仿宋"/>
                <w:color w:val="auto"/>
                <w:sz w:val="24"/>
                <w:szCs w:val="24"/>
                <w:highlight w:val="none"/>
              </w:rPr>
              <w:t>有依法缴纳税收和社会保障资金的良好记录（近</w:t>
            </w:r>
            <w:r>
              <w:rPr>
                <w:rFonts w:hint="eastAsia" w:ascii="仿宋" w:hAnsi="仿宋" w:eastAsia="仿宋" w:cs="仿宋"/>
                <w:color w:val="auto"/>
                <w:sz w:val="24"/>
                <w:szCs w:val="24"/>
                <w:highlight w:val="none"/>
                <w:lang w:val="en-US" w:eastAsia="zh-CN"/>
              </w:rPr>
              <w:t>六个月</w:t>
            </w:r>
            <w:r>
              <w:rPr>
                <w:rFonts w:hint="eastAsia" w:cs="仿宋"/>
                <w:color w:val="auto"/>
                <w:sz w:val="24"/>
                <w:szCs w:val="24"/>
                <w:highlight w:val="none"/>
                <w:lang w:val="en-US" w:eastAsia="zh-CN"/>
              </w:rPr>
              <w:t>任意一个月的</w:t>
            </w:r>
            <w:r>
              <w:rPr>
                <w:rFonts w:hint="eastAsia" w:ascii="仿宋" w:hAnsi="仿宋" w:eastAsia="仿宋" w:cs="仿宋"/>
                <w:color w:val="auto"/>
                <w:sz w:val="24"/>
                <w:szCs w:val="24"/>
                <w:highlight w:val="none"/>
              </w:rPr>
              <w:t>缴纳税收和社保的相关证明材料）</w:t>
            </w:r>
            <w:r>
              <w:rPr>
                <w:rFonts w:hint="eastAsia" w:ascii="仿宋" w:hAnsi="仿宋" w:eastAsia="仿宋" w:cs="仿宋"/>
                <w:spacing w:val="7"/>
                <w:sz w:val="24"/>
                <w:szCs w:val="24"/>
              </w:rPr>
              <w:t>；</w:t>
            </w:r>
          </w:p>
          <w:p w14:paraId="348A29FD">
            <w:pPr>
              <w:pStyle w:val="28"/>
              <w:spacing w:before="26" w:line="187" w:lineRule="auto"/>
              <w:ind w:left="108"/>
              <w:rPr>
                <w:rFonts w:hint="eastAsia" w:ascii="仿宋" w:hAnsi="仿宋" w:eastAsia="仿宋" w:cs="仿宋"/>
                <w:sz w:val="24"/>
                <w:szCs w:val="24"/>
              </w:rPr>
            </w:pPr>
            <w:r>
              <w:rPr>
                <w:rFonts w:hint="eastAsia" w:ascii="仿宋" w:hAnsi="仿宋" w:eastAsia="仿宋" w:cs="仿宋"/>
                <w:spacing w:val="8"/>
                <w:sz w:val="24"/>
                <w:szCs w:val="24"/>
                <w:lang w:val="en-US" w:eastAsia="zh-CN"/>
              </w:rPr>
              <w:t>5、</w:t>
            </w:r>
            <w:r>
              <w:rPr>
                <w:rFonts w:hint="eastAsia" w:ascii="仿宋" w:hAnsi="仿宋" w:eastAsia="仿宋" w:cs="仿宋"/>
                <w:spacing w:val="8"/>
                <w:sz w:val="24"/>
                <w:szCs w:val="24"/>
              </w:rPr>
              <w:t>参加政府采购活动前三年内，在经营活动中没有重</w:t>
            </w:r>
            <w:r>
              <w:rPr>
                <w:rFonts w:hint="eastAsia" w:ascii="仿宋" w:hAnsi="仿宋" w:eastAsia="仿宋" w:cs="仿宋"/>
                <w:spacing w:val="7"/>
                <w:sz w:val="24"/>
                <w:szCs w:val="24"/>
              </w:rPr>
              <w:t>大违法记录；</w:t>
            </w:r>
          </w:p>
          <w:p w14:paraId="6465212E">
            <w:pPr>
              <w:pStyle w:val="28"/>
              <w:spacing w:before="27" w:line="246" w:lineRule="auto"/>
              <w:ind w:left="119" w:right="106"/>
              <w:jc w:val="both"/>
              <w:rPr>
                <w:rFonts w:hint="eastAsia" w:ascii="仿宋" w:hAnsi="仿宋" w:eastAsia="仿宋" w:cs="仿宋"/>
                <w:sz w:val="24"/>
                <w:szCs w:val="24"/>
              </w:rPr>
            </w:pPr>
            <w:r>
              <w:rPr>
                <w:rFonts w:hint="eastAsia" w:ascii="仿宋" w:hAnsi="仿宋" w:eastAsia="仿宋" w:cs="仿宋"/>
                <w:b w:val="0"/>
                <w:bCs w:val="0"/>
                <w:color w:val="auto"/>
                <w:sz w:val="24"/>
                <w:szCs w:val="24"/>
                <w:highlight w:val="none"/>
                <w:lang w:val="en-US" w:eastAsia="zh-CN"/>
              </w:rPr>
              <w:t>6、所投产品属于第二类医疗器械的，需提供有效的行政主管部门颁发的医疗器械经营备案凭证（或医疗器械生产许可证或医疗器械经营许可证）；所投产品属于第三类医疗器械的，需提供有效的行政主管部门颁发的医疗器械生产许可证（或医疗器械经营许可证）。</w:t>
            </w:r>
          </w:p>
          <w:p w14:paraId="47140377">
            <w:pPr>
              <w:pStyle w:val="28"/>
              <w:spacing w:before="26" w:line="238" w:lineRule="auto"/>
              <w:ind w:left="119" w:right="104" w:hanging="11"/>
              <w:rPr>
                <w:rFonts w:hint="eastAsia" w:ascii="仿宋" w:hAnsi="仿宋" w:eastAsia="仿宋" w:cs="仿宋"/>
                <w:sz w:val="24"/>
                <w:szCs w:val="24"/>
              </w:rPr>
            </w:pPr>
            <w:r>
              <w:rPr>
                <w:rFonts w:hint="eastAsia" w:ascii="仿宋" w:hAnsi="仿宋" w:eastAsia="仿宋" w:cs="仿宋"/>
                <w:spacing w:val="9"/>
                <w:sz w:val="24"/>
                <w:szCs w:val="24"/>
                <w:lang w:val="en-US" w:eastAsia="zh-CN"/>
              </w:rPr>
              <w:t>7、</w:t>
            </w:r>
            <w:r>
              <w:rPr>
                <w:rFonts w:hint="eastAsia" w:ascii="仿宋" w:hAnsi="仿宋" w:eastAsia="仿宋" w:cs="仿宋"/>
                <w:color w:val="auto"/>
                <w:sz w:val="24"/>
                <w:szCs w:val="24"/>
                <w:highlight w:val="none"/>
                <w:lang w:val="en-US" w:eastAsia="zh-CN"/>
              </w:rPr>
              <w:t>法人</w:t>
            </w:r>
            <w:r>
              <w:rPr>
                <w:rFonts w:hint="eastAsia" w:ascii="仿宋" w:hAnsi="仿宋" w:eastAsia="仿宋" w:cs="仿宋"/>
                <w:color w:val="auto"/>
                <w:sz w:val="24"/>
                <w:szCs w:val="24"/>
                <w:highlight w:val="none"/>
              </w:rPr>
              <w:t>授权委托书</w:t>
            </w:r>
            <w:r>
              <w:rPr>
                <w:rFonts w:hint="eastAsia" w:ascii="仿宋" w:hAnsi="仿宋" w:eastAsia="仿宋" w:cs="仿宋"/>
                <w:color w:val="auto"/>
                <w:sz w:val="24"/>
                <w:szCs w:val="24"/>
                <w:highlight w:val="none"/>
                <w:lang w:val="en-US" w:eastAsia="zh-CN"/>
              </w:rPr>
              <w:t>或法定代表人证明文件</w:t>
            </w:r>
            <w:r>
              <w:rPr>
                <w:rFonts w:hint="eastAsia" w:ascii="仿宋" w:hAnsi="仿宋" w:eastAsia="仿宋" w:cs="仿宋"/>
                <w:spacing w:val="4"/>
                <w:sz w:val="24"/>
                <w:szCs w:val="24"/>
              </w:rPr>
              <w:t>；</w:t>
            </w:r>
          </w:p>
          <w:p w14:paraId="2DB1E8B4">
            <w:pPr>
              <w:pStyle w:val="28"/>
              <w:spacing w:before="27" w:line="244" w:lineRule="auto"/>
              <w:ind w:left="121" w:right="39" w:hanging="6"/>
              <w:rPr>
                <w:rFonts w:hint="eastAsia" w:ascii="仿宋" w:hAnsi="仿宋" w:eastAsia="仿宋" w:cs="仿宋"/>
                <w:sz w:val="24"/>
                <w:szCs w:val="24"/>
              </w:rPr>
            </w:pPr>
            <w:r>
              <w:rPr>
                <w:rFonts w:hint="eastAsia" w:ascii="仿宋" w:hAnsi="仿宋" w:eastAsia="仿宋" w:cs="仿宋"/>
                <w:spacing w:val="3"/>
                <w:sz w:val="24"/>
                <w:szCs w:val="24"/>
                <w:lang w:val="en-US" w:eastAsia="zh-CN"/>
              </w:rPr>
              <w:t>8、</w:t>
            </w:r>
            <w:r>
              <w:rPr>
                <w:rFonts w:hint="eastAsia" w:ascii="仿宋" w:hAnsi="仿宋" w:eastAsia="仿宋" w:cs="仿宋"/>
                <w:spacing w:val="3"/>
                <w:sz w:val="24"/>
                <w:szCs w:val="24"/>
              </w:rPr>
              <w:t>未被列入“信用中国”网站中的“失信被执</w:t>
            </w:r>
            <w:r>
              <w:rPr>
                <w:rFonts w:hint="eastAsia" w:ascii="仿宋" w:hAnsi="仿宋" w:eastAsia="仿宋" w:cs="仿宋"/>
                <w:spacing w:val="2"/>
                <w:sz w:val="24"/>
                <w:szCs w:val="24"/>
              </w:rPr>
              <w:t>行名单”、“重大税收违法失信主体”其中之一，</w:t>
            </w:r>
            <w:r>
              <w:rPr>
                <w:rFonts w:hint="eastAsia" w:ascii="仿宋" w:hAnsi="仿宋" w:eastAsia="仿宋" w:cs="仿宋"/>
                <w:sz w:val="24"/>
                <w:szCs w:val="24"/>
              </w:rPr>
              <w:t xml:space="preserve"> </w:t>
            </w:r>
            <w:r>
              <w:rPr>
                <w:rFonts w:hint="eastAsia" w:ascii="仿宋" w:hAnsi="仿宋" w:eastAsia="仿宋" w:cs="仿宋"/>
                <w:spacing w:val="5"/>
                <w:sz w:val="24"/>
                <w:szCs w:val="24"/>
              </w:rPr>
              <w:t>未被列入“</w:t>
            </w:r>
            <w:r>
              <w:rPr>
                <w:rFonts w:hint="eastAsia" w:ascii="仿宋" w:hAnsi="仿宋" w:eastAsia="仿宋" w:cs="仿宋"/>
                <w:sz w:val="24"/>
                <w:szCs w:val="24"/>
              </w:rPr>
              <w:t xml:space="preserve"> </w:t>
            </w:r>
            <w:r>
              <w:rPr>
                <w:rFonts w:hint="eastAsia" w:ascii="仿宋" w:hAnsi="仿宋" w:eastAsia="仿宋" w:cs="仿宋"/>
                <w:spacing w:val="5"/>
                <w:sz w:val="24"/>
                <w:szCs w:val="24"/>
              </w:rPr>
              <w:t>中国政府采购网”</w:t>
            </w:r>
            <w:r>
              <w:rPr>
                <w:rFonts w:hint="eastAsia" w:ascii="仿宋" w:hAnsi="仿宋" w:eastAsia="仿宋" w:cs="仿宋"/>
                <w:spacing w:val="-9"/>
                <w:sz w:val="24"/>
                <w:szCs w:val="24"/>
              </w:rPr>
              <w:t xml:space="preserve"> </w:t>
            </w:r>
            <w:r>
              <w:rPr>
                <w:rFonts w:hint="eastAsia" w:ascii="仿宋" w:hAnsi="仿宋" w:eastAsia="仿宋" w:cs="仿宋"/>
                <w:spacing w:val="5"/>
                <w:sz w:val="24"/>
                <w:szCs w:val="24"/>
              </w:rPr>
              <w:t>中的“</w:t>
            </w:r>
            <w:r>
              <w:rPr>
                <w:rFonts w:hint="eastAsia" w:ascii="仿宋" w:hAnsi="仿宋" w:eastAsia="仿宋" w:cs="仿宋"/>
                <w:spacing w:val="-41"/>
                <w:sz w:val="24"/>
                <w:szCs w:val="24"/>
              </w:rPr>
              <w:t xml:space="preserve"> </w:t>
            </w:r>
            <w:r>
              <w:rPr>
                <w:rFonts w:hint="eastAsia" w:ascii="仿宋" w:hAnsi="仿宋" w:eastAsia="仿宋" w:cs="仿宋"/>
                <w:spacing w:val="5"/>
                <w:sz w:val="24"/>
                <w:szCs w:val="24"/>
              </w:rPr>
              <w:t>政府采购严重违法失信行为记录名单”</w:t>
            </w:r>
            <w:r>
              <w:rPr>
                <w:rFonts w:hint="eastAsia" w:ascii="仿宋" w:hAnsi="仿宋" w:eastAsia="仿宋" w:cs="仿宋"/>
                <w:spacing w:val="-25"/>
                <w:sz w:val="24"/>
                <w:szCs w:val="24"/>
              </w:rPr>
              <w:t xml:space="preserve"> </w:t>
            </w:r>
            <w:r>
              <w:rPr>
                <w:rFonts w:hint="eastAsia" w:ascii="仿宋" w:hAnsi="仿宋" w:eastAsia="仿宋" w:cs="仿宋"/>
                <w:spacing w:val="5"/>
                <w:sz w:val="24"/>
                <w:szCs w:val="24"/>
              </w:rPr>
              <w:t>，否则将被拒绝</w:t>
            </w:r>
            <w:r>
              <w:rPr>
                <w:rFonts w:hint="eastAsia" w:ascii="仿宋" w:hAnsi="仿宋" w:eastAsia="仿宋" w:cs="仿宋"/>
                <w:spacing w:val="3"/>
                <w:sz w:val="24"/>
                <w:szCs w:val="24"/>
              </w:rPr>
              <w:t>参与本次政府采购活动；</w:t>
            </w:r>
          </w:p>
          <w:p w14:paraId="0F9D3F38">
            <w:pPr>
              <w:pStyle w:val="28"/>
              <w:spacing w:before="23"/>
              <w:ind w:left="120" w:right="106" w:hanging="6"/>
              <w:rPr>
                <w:rFonts w:hint="eastAsia" w:ascii="仿宋" w:hAnsi="仿宋" w:eastAsia="仿宋" w:cs="仿宋"/>
                <w:sz w:val="24"/>
                <w:szCs w:val="24"/>
              </w:rPr>
            </w:pPr>
            <w:r>
              <w:rPr>
                <w:rFonts w:hint="eastAsia" w:ascii="仿宋" w:hAnsi="仿宋" w:eastAsia="仿宋" w:cs="仿宋"/>
                <w:spacing w:val="9"/>
                <w:sz w:val="24"/>
                <w:szCs w:val="24"/>
                <w:lang w:val="en-US" w:eastAsia="zh-CN"/>
              </w:rPr>
              <w:t>9、</w:t>
            </w:r>
            <w:r>
              <w:rPr>
                <w:rFonts w:hint="eastAsia" w:ascii="仿宋" w:hAnsi="仿宋" w:eastAsia="仿宋" w:cs="仿宋"/>
                <w:spacing w:val="9"/>
                <w:sz w:val="24"/>
                <w:szCs w:val="24"/>
              </w:rPr>
              <w:t>单位负责人为同一人或者存在直接控股、管理关系的不同投标人，不得参</w:t>
            </w:r>
            <w:r>
              <w:rPr>
                <w:rFonts w:hint="eastAsia" w:ascii="仿宋" w:hAnsi="仿宋" w:eastAsia="仿宋" w:cs="仿宋"/>
                <w:spacing w:val="8"/>
                <w:sz w:val="24"/>
                <w:szCs w:val="24"/>
              </w:rPr>
              <w:t>加同一合同</w:t>
            </w:r>
            <w:r>
              <w:rPr>
                <w:rFonts w:hint="eastAsia" w:ascii="仿宋" w:hAnsi="仿宋" w:eastAsia="仿宋" w:cs="仿宋"/>
                <w:spacing w:val="4"/>
                <w:sz w:val="24"/>
                <w:szCs w:val="24"/>
              </w:rPr>
              <w:t>项下的政府采购活动。</w:t>
            </w:r>
          </w:p>
          <w:p w14:paraId="2F732C73">
            <w:pPr>
              <w:keepNext w:val="0"/>
              <w:keepLines w:val="0"/>
              <w:pageBreakBefore w:val="0"/>
              <w:widowControl/>
              <w:shd w:val="clear" w:color="auto" w:fill="auto"/>
              <w:kinsoku/>
              <w:wordWrap/>
              <w:overflowPunct/>
              <w:topLinePunct w:val="0"/>
              <w:autoSpaceDE/>
              <w:autoSpaceDN/>
              <w:bidi w:val="0"/>
              <w:adjustRightInd/>
              <w:snapToGrid/>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spacing w:val="6"/>
                <w:sz w:val="24"/>
                <w:szCs w:val="24"/>
                <w:lang w:val="en-US" w:eastAsia="zh-CN"/>
              </w:rPr>
              <w:t>10、</w:t>
            </w:r>
            <w:r>
              <w:rPr>
                <w:rFonts w:hint="eastAsia" w:ascii="仿宋" w:hAnsi="仿宋" w:eastAsia="仿宋" w:cs="仿宋"/>
                <w:spacing w:val="6"/>
                <w:sz w:val="24"/>
                <w:szCs w:val="24"/>
              </w:rPr>
              <w:t>本项目不允许联合体投标。</w:t>
            </w:r>
          </w:p>
        </w:tc>
      </w:tr>
      <w:tr w14:paraId="304A2C0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81" w:hRule="atLeast"/>
          <w:jc w:val="center"/>
        </w:trPr>
        <w:tc>
          <w:tcPr>
            <w:tcW w:w="540" w:type="dxa"/>
            <w:noWrap w:val="0"/>
            <w:vAlign w:val="center"/>
          </w:tcPr>
          <w:p w14:paraId="0F97E95A">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524" w:type="dxa"/>
            <w:noWrap w:val="0"/>
            <w:vAlign w:val="center"/>
          </w:tcPr>
          <w:p w14:paraId="7AFD3C11">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供应商信用查询</w:t>
            </w:r>
          </w:p>
        </w:tc>
        <w:tc>
          <w:tcPr>
            <w:tcW w:w="7607" w:type="dxa"/>
            <w:noWrap w:val="0"/>
            <w:vAlign w:val="center"/>
          </w:tcPr>
          <w:p w14:paraId="6BCE9B7C">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1、查询渠道：信用中国（网址：http://www.creditchina.gov.cn）、中国政府采购网(网址：http://www.ccgp.gov.cn）。</w:t>
            </w:r>
          </w:p>
          <w:p w14:paraId="51A33992">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2、截止时点：开标后评标前。</w:t>
            </w:r>
          </w:p>
          <w:p w14:paraId="15C3D01B">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3、信用信息查询记录和证据留存的具体方式：由采购组织机构在规定查询时间内打印信用信息查询记录并归入项目档案。</w:t>
            </w:r>
          </w:p>
          <w:p w14:paraId="6FBEB7FE">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696838F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540" w:type="dxa"/>
            <w:noWrap w:val="0"/>
            <w:vAlign w:val="center"/>
          </w:tcPr>
          <w:p w14:paraId="5B7CB068">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524" w:type="dxa"/>
            <w:noWrap w:val="0"/>
            <w:vAlign w:val="center"/>
          </w:tcPr>
          <w:p w14:paraId="60DBB3A1">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踏勘现场</w:t>
            </w:r>
          </w:p>
        </w:tc>
        <w:tc>
          <w:tcPr>
            <w:tcW w:w="7607" w:type="dxa"/>
            <w:noWrap w:val="0"/>
            <w:vAlign w:val="center"/>
          </w:tcPr>
          <w:p w14:paraId="657286C1">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不组织,投标人自行组织踏勘现场。</w:t>
            </w:r>
          </w:p>
        </w:tc>
      </w:tr>
      <w:tr w14:paraId="2038CEC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540" w:type="dxa"/>
            <w:noWrap w:val="0"/>
            <w:vAlign w:val="center"/>
          </w:tcPr>
          <w:p w14:paraId="207727B5">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524" w:type="dxa"/>
            <w:noWrap w:val="0"/>
            <w:vAlign w:val="center"/>
          </w:tcPr>
          <w:p w14:paraId="19F98DDF">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投标预备会</w:t>
            </w:r>
          </w:p>
        </w:tc>
        <w:tc>
          <w:tcPr>
            <w:tcW w:w="7607" w:type="dxa"/>
            <w:noWrap w:val="0"/>
            <w:vAlign w:val="center"/>
          </w:tcPr>
          <w:p w14:paraId="012553DF">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不召开</w:t>
            </w:r>
          </w:p>
        </w:tc>
      </w:tr>
      <w:tr w14:paraId="234C2CD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540" w:type="dxa"/>
            <w:noWrap w:val="0"/>
            <w:vAlign w:val="center"/>
          </w:tcPr>
          <w:p w14:paraId="087E3D2B">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1524" w:type="dxa"/>
            <w:noWrap w:val="0"/>
            <w:vAlign w:val="center"/>
          </w:tcPr>
          <w:p w14:paraId="7DA1750C">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联合体投标</w:t>
            </w:r>
          </w:p>
        </w:tc>
        <w:tc>
          <w:tcPr>
            <w:tcW w:w="7607" w:type="dxa"/>
            <w:noWrap w:val="0"/>
            <w:vAlign w:val="center"/>
          </w:tcPr>
          <w:p w14:paraId="29C8A7D7">
            <w:pPr>
              <w:keepNext w:val="0"/>
              <w:keepLines w:val="0"/>
              <w:pageBreakBefore w:val="0"/>
              <w:shd w:val="clear" w:color="auto" w:fill="auto"/>
              <w:kinsoku/>
              <w:wordWrap/>
              <w:overflowPunct/>
              <w:topLinePunct w:val="0"/>
              <w:autoSpaceDE/>
              <w:autoSpaceDN/>
              <w:bidi w:val="0"/>
              <w:adjustRightInd/>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不接受</w:t>
            </w:r>
          </w:p>
          <w:p w14:paraId="213E5414">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接受，联合体投标的须在投标文件中提供联合体协议书，联合体所有成员不得超过2家，联合体的任何一方均不得再与其他投标单位联合。</w:t>
            </w:r>
          </w:p>
        </w:tc>
      </w:tr>
      <w:tr w14:paraId="23B8B8B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37" w:hRule="atLeast"/>
          <w:jc w:val="center"/>
        </w:trPr>
        <w:tc>
          <w:tcPr>
            <w:tcW w:w="540" w:type="dxa"/>
            <w:noWrap w:val="0"/>
            <w:vAlign w:val="center"/>
          </w:tcPr>
          <w:p w14:paraId="6961CF70">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1524" w:type="dxa"/>
            <w:noWrap w:val="0"/>
            <w:vAlign w:val="center"/>
          </w:tcPr>
          <w:p w14:paraId="1B709A7B">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招标代理费</w:t>
            </w:r>
          </w:p>
        </w:tc>
        <w:tc>
          <w:tcPr>
            <w:tcW w:w="7607" w:type="dxa"/>
            <w:noWrap w:val="0"/>
            <w:vAlign w:val="center"/>
          </w:tcPr>
          <w:p w14:paraId="0A2D58A6">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snapToGrid w:val="0"/>
                <w:color w:val="auto"/>
                <w:sz w:val="24"/>
                <w:szCs w:val="24"/>
                <w:highlight w:val="none"/>
                <w:lang w:eastAsia="zh-CN"/>
              </w:rPr>
              <w:t>中标</w:t>
            </w:r>
            <w:r>
              <w:rPr>
                <w:rFonts w:hint="eastAsia" w:ascii="仿宋" w:hAnsi="仿宋" w:eastAsia="仿宋" w:cs="仿宋"/>
                <w:b/>
                <w:bCs/>
                <w:snapToGrid w:val="0"/>
                <w:color w:val="auto"/>
                <w:sz w:val="24"/>
                <w:szCs w:val="24"/>
                <w:highlight w:val="none"/>
              </w:rPr>
              <w:t>单位在领取本项目</w:t>
            </w:r>
            <w:r>
              <w:rPr>
                <w:rFonts w:hint="eastAsia" w:ascii="仿宋" w:hAnsi="仿宋" w:eastAsia="仿宋" w:cs="仿宋"/>
                <w:b/>
                <w:bCs/>
                <w:snapToGrid w:val="0"/>
                <w:color w:val="auto"/>
                <w:sz w:val="24"/>
                <w:szCs w:val="24"/>
                <w:highlight w:val="none"/>
                <w:lang w:val="en-US" w:eastAsia="zh-CN"/>
              </w:rPr>
              <w:t>中标</w:t>
            </w:r>
            <w:r>
              <w:rPr>
                <w:rFonts w:hint="eastAsia" w:ascii="仿宋" w:hAnsi="仿宋" w:eastAsia="仿宋" w:cs="仿宋"/>
                <w:b/>
                <w:bCs/>
                <w:snapToGrid w:val="0"/>
                <w:color w:val="auto"/>
                <w:sz w:val="24"/>
                <w:szCs w:val="24"/>
                <w:highlight w:val="none"/>
              </w:rPr>
              <w:t>通知书时，按照《国家计委关于印发招标代理服务收费管理暂行办法的通知（计价格[2002]1980号）及《招标代理服务收费有关问题》（发改办价格〔2003〕857号文）中规定由</w:t>
            </w:r>
            <w:r>
              <w:rPr>
                <w:rFonts w:hint="eastAsia" w:ascii="仿宋" w:hAnsi="仿宋" w:eastAsia="仿宋" w:cs="仿宋"/>
                <w:b/>
                <w:bCs/>
                <w:snapToGrid w:val="0"/>
                <w:color w:val="auto"/>
                <w:sz w:val="24"/>
                <w:szCs w:val="24"/>
                <w:highlight w:val="none"/>
                <w:lang w:eastAsia="zh-CN"/>
              </w:rPr>
              <w:t>中标</w:t>
            </w:r>
            <w:r>
              <w:rPr>
                <w:rFonts w:hint="eastAsia" w:ascii="仿宋" w:hAnsi="仿宋" w:eastAsia="仿宋" w:cs="仿宋"/>
                <w:b/>
                <w:bCs/>
                <w:snapToGrid w:val="0"/>
                <w:color w:val="auto"/>
                <w:sz w:val="24"/>
                <w:szCs w:val="24"/>
                <w:highlight w:val="none"/>
              </w:rPr>
              <w:t>单位向招标代理机构支付本项目代理费。</w:t>
            </w:r>
          </w:p>
        </w:tc>
      </w:tr>
      <w:tr w14:paraId="681E8DE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45" w:hRule="atLeast"/>
          <w:jc w:val="center"/>
        </w:trPr>
        <w:tc>
          <w:tcPr>
            <w:tcW w:w="540" w:type="dxa"/>
            <w:noWrap w:val="0"/>
            <w:vAlign w:val="center"/>
          </w:tcPr>
          <w:p w14:paraId="56E79F2A">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1524" w:type="dxa"/>
            <w:noWrap w:val="0"/>
            <w:vAlign w:val="center"/>
          </w:tcPr>
          <w:p w14:paraId="56FB406C">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采购内容</w:t>
            </w:r>
          </w:p>
        </w:tc>
        <w:tc>
          <w:tcPr>
            <w:tcW w:w="7607" w:type="dxa"/>
            <w:noWrap w:val="0"/>
            <w:vAlign w:val="center"/>
          </w:tcPr>
          <w:p w14:paraId="1D9E4A93">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详见第四章招标内容及技术要求</w:t>
            </w:r>
          </w:p>
        </w:tc>
      </w:tr>
      <w:tr w14:paraId="084EFCB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540" w:type="dxa"/>
            <w:noWrap w:val="0"/>
            <w:vAlign w:val="center"/>
          </w:tcPr>
          <w:p w14:paraId="59BD01B9">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1524" w:type="dxa"/>
            <w:noWrap w:val="0"/>
            <w:vAlign w:val="center"/>
          </w:tcPr>
          <w:p w14:paraId="3CC893D6">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投标有效期</w:t>
            </w:r>
          </w:p>
        </w:tc>
        <w:tc>
          <w:tcPr>
            <w:tcW w:w="7607" w:type="dxa"/>
            <w:noWrap w:val="0"/>
            <w:vAlign w:val="center"/>
          </w:tcPr>
          <w:p w14:paraId="4A7A79D0">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投标有效期为</w:t>
            </w:r>
            <w:r>
              <w:rPr>
                <w:rFonts w:hint="eastAsia" w:ascii="仿宋" w:hAnsi="仿宋" w:eastAsia="仿宋" w:cs="仿宋"/>
                <w:color w:val="auto"/>
                <w:sz w:val="24"/>
                <w:szCs w:val="24"/>
                <w:highlight w:val="none"/>
                <w:u w:val="single"/>
                <w:lang w:val="en-US" w:eastAsia="zh-CN"/>
              </w:rPr>
              <w:t xml:space="preserve"> 90 </w:t>
            </w:r>
            <w:r>
              <w:rPr>
                <w:rFonts w:hint="eastAsia" w:ascii="仿宋" w:hAnsi="仿宋" w:eastAsia="仿宋" w:cs="仿宋"/>
                <w:color w:val="auto"/>
                <w:sz w:val="24"/>
                <w:szCs w:val="24"/>
                <w:highlight w:val="none"/>
                <w:lang w:val="en-US" w:eastAsia="zh-CN"/>
              </w:rPr>
              <w:t>日历天（从投标截止之日算起）。在此期限内，凡符合本采购文件要求的投标文件均保持有效。</w:t>
            </w:r>
          </w:p>
        </w:tc>
      </w:tr>
      <w:tr w14:paraId="4D333E2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46" w:hRule="atLeast"/>
          <w:jc w:val="center"/>
        </w:trPr>
        <w:tc>
          <w:tcPr>
            <w:tcW w:w="540" w:type="dxa"/>
            <w:noWrap w:val="0"/>
            <w:vAlign w:val="center"/>
          </w:tcPr>
          <w:p w14:paraId="57201584">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w:t>
            </w:r>
          </w:p>
        </w:tc>
        <w:tc>
          <w:tcPr>
            <w:tcW w:w="1524" w:type="dxa"/>
            <w:tcBorders>
              <w:bottom w:val="single" w:color="auto" w:sz="4" w:space="0"/>
            </w:tcBorders>
            <w:noWrap w:val="0"/>
            <w:vAlign w:val="center"/>
          </w:tcPr>
          <w:p w14:paraId="6E9C70C2">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投标保证金</w:t>
            </w:r>
          </w:p>
        </w:tc>
        <w:tc>
          <w:tcPr>
            <w:tcW w:w="7607" w:type="dxa"/>
            <w:tcBorders>
              <w:bottom w:val="single" w:color="auto" w:sz="4" w:space="0"/>
            </w:tcBorders>
            <w:noWrap w:val="0"/>
            <w:vAlign w:val="top"/>
          </w:tcPr>
          <w:p w14:paraId="585EC4C4">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投标保证金交纳方式：</w:t>
            </w:r>
            <w:r>
              <w:rPr>
                <w:rFonts w:hint="eastAsia" w:ascii="仿宋" w:hAnsi="仿宋" w:eastAsia="仿宋" w:cs="仿宋"/>
                <w:color w:val="auto"/>
                <w:kern w:val="2"/>
                <w:sz w:val="24"/>
                <w:szCs w:val="24"/>
                <w:highlight w:val="none"/>
                <w:lang w:val="en-US" w:eastAsia="zh-CN" w:bidi="ar-SA"/>
              </w:rPr>
              <w:t>以支票、汇票、本票或者金融机构、担保机构出具的保函等形式提交。</w:t>
            </w:r>
          </w:p>
          <w:p w14:paraId="1870317D">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default"/>
                <w:lang w:val="en-US" w:eastAsia="zh-CN"/>
              </w:rPr>
            </w:pPr>
            <w:r>
              <w:rPr>
                <w:rFonts w:hint="eastAsia" w:ascii="仿宋" w:hAnsi="仿宋" w:eastAsia="仿宋" w:cs="仿宋"/>
                <w:b/>
                <w:bCs/>
                <w:color w:val="auto"/>
                <w:sz w:val="24"/>
                <w:szCs w:val="24"/>
                <w:highlight w:val="none"/>
                <w:lang w:val="en-US" w:eastAsia="zh-CN"/>
              </w:rPr>
              <w:t>投标保证金：180000.00元(大写：壹拾捌万元整）</w:t>
            </w:r>
          </w:p>
          <w:p w14:paraId="6614A83A">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bCs/>
                <w:color w:val="000000"/>
                <w:sz w:val="22"/>
                <w:szCs w:val="21"/>
                <w:lang w:val="en-US" w:eastAsia="zh-CN"/>
              </w:rPr>
            </w:pPr>
            <w:r>
              <w:rPr>
                <w:rFonts w:hint="eastAsia" w:ascii="仿宋" w:hAnsi="仿宋" w:eastAsia="仿宋" w:cs="仿宋"/>
                <w:b/>
                <w:bCs/>
                <w:color w:val="000000"/>
                <w:sz w:val="22"/>
                <w:szCs w:val="21"/>
                <w:lang w:val="en-US" w:eastAsia="zh-CN"/>
              </w:rPr>
              <w:t>注：采用保函形式递交保证金的，供应商须在投标截止时间前，将所投项目对应的保函随响应文件一起上传到政采云平台。</w:t>
            </w:r>
          </w:p>
          <w:p w14:paraId="2C643010">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bCs/>
                <w:color w:val="000000"/>
                <w:sz w:val="22"/>
                <w:szCs w:val="21"/>
                <w:lang w:val="en-US" w:eastAsia="zh-CN"/>
              </w:rPr>
            </w:pPr>
            <w:r>
              <w:rPr>
                <w:rFonts w:hint="eastAsia" w:ascii="仿宋" w:hAnsi="仿宋" w:eastAsia="仿宋" w:cs="仿宋"/>
                <w:b/>
                <w:bCs/>
                <w:color w:val="000000"/>
                <w:sz w:val="22"/>
                <w:szCs w:val="21"/>
                <w:lang w:val="en-US" w:eastAsia="zh-CN"/>
              </w:rPr>
              <w:t xml:space="preserve">采用保函形式递交保证金的： </w:t>
            </w:r>
          </w:p>
          <w:p w14:paraId="3228C6D3">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（1）根据国家现行采购政策，投标保证金可以使用金融系统电子保函。 </w:t>
            </w:r>
          </w:p>
          <w:p w14:paraId="0F81056F">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电子保函按照“一包段一保函”的原则，办理电子保函必须在投标截止时 </w:t>
            </w:r>
          </w:p>
          <w:p w14:paraId="1C4A47AD">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间（开标时间）前完成。投标人需自行评估异地、跨行、公休日等因素造 </w:t>
            </w:r>
          </w:p>
          <w:p w14:paraId="524C9700">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成的保函办理延迟风险，并承担相应责任；开标前，投保人必须下载加密 </w:t>
            </w:r>
          </w:p>
          <w:p w14:paraId="5532A7C5">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保单作为保证金缴纳凭证放入投标文件中； </w:t>
            </w:r>
          </w:p>
          <w:p w14:paraId="3D738003">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（2）电子保函操作流程：登录政采云平台→点击右上角[金融服务]进入 </w:t>
            </w:r>
          </w:p>
          <w:p w14:paraId="2657B7C6">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详情页→点击页面上方[保险/保函]，根据实际情况申请办理即可。供应 </w:t>
            </w:r>
          </w:p>
          <w:p w14:paraId="1A7F506D">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商须在投标截止时间前，将所投项目对应的保函随响应文件一起上传到政 </w:t>
            </w:r>
          </w:p>
          <w:p w14:paraId="664BE596">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采云平台。 </w:t>
            </w:r>
          </w:p>
          <w:p w14:paraId="1CD1F6C6">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友情提示：银行法定节假日不办理公对公账户电汇业务，请提前办理。投 </w:t>
            </w:r>
          </w:p>
          <w:p w14:paraId="600C6B4D">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 xml:space="preserve">标保证金是否在规定截止时间前到户的风险由投标单位承担，投标保证金 </w:t>
            </w:r>
          </w:p>
          <w:p w14:paraId="118E69C1">
            <w:pPr>
              <w:rPr>
                <w:rFonts w:hint="eastAsia" w:ascii="仿宋" w:hAnsi="仿宋" w:eastAsia="仿宋" w:cs="仿宋"/>
                <w:b/>
                <w:bCs/>
                <w:sz w:val="22"/>
                <w:szCs w:val="21"/>
                <w:lang w:val="en-US" w:eastAsia="zh-CN"/>
              </w:rPr>
            </w:pPr>
            <w:r>
              <w:rPr>
                <w:rFonts w:hint="eastAsia" w:ascii="仿宋" w:hAnsi="仿宋" w:eastAsia="仿宋" w:cs="仿宋"/>
                <w:b/>
                <w:bCs/>
                <w:sz w:val="22"/>
                <w:szCs w:val="21"/>
                <w:lang w:val="en-US" w:eastAsia="zh-CN"/>
              </w:rPr>
              <w:t>在银行的划转需要一定时间，望投标单位尽早缴纳！</w:t>
            </w:r>
          </w:p>
          <w:p w14:paraId="0278E867">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账户名：新疆浩瑞兴建设工程项目管理咨询有限公司乌鲁木齐分公司</w:t>
            </w:r>
          </w:p>
          <w:p w14:paraId="1DDC42E1">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开户行：</w:t>
            </w:r>
            <w:r>
              <w:rPr>
                <w:rFonts w:hint="eastAsia" w:ascii="仿宋" w:hAnsi="仿宋" w:eastAsia="仿宋" w:cs="仿宋"/>
                <w:color w:val="auto"/>
                <w:sz w:val="24"/>
                <w:szCs w:val="24"/>
                <w:highlight w:val="none"/>
                <w:lang w:eastAsia="zh-CN"/>
              </w:rPr>
              <w:t>乌鲁木齐银行股份有限公司东方支行</w:t>
            </w:r>
          </w:p>
          <w:p w14:paraId="3AF368A9">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账  号：</w:t>
            </w:r>
            <w:r>
              <w:rPr>
                <w:rFonts w:hint="eastAsia" w:ascii="仿宋" w:hAnsi="仿宋" w:eastAsia="仿宋" w:cs="仿宋"/>
                <w:color w:val="auto"/>
                <w:sz w:val="24"/>
                <w:szCs w:val="24"/>
                <w:highlight w:val="none"/>
                <w:lang w:eastAsia="zh-CN"/>
              </w:rPr>
              <w:t>0000020080110079596717</w:t>
            </w:r>
          </w:p>
          <w:p w14:paraId="52B097D2">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行  号：</w:t>
            </w:r>
            <w:r>
              <w:rPr>
                <w:rFonts w:hint="eastAsia" w:ascii="仿宋" w:hAnsi="仿宋" w:eastAsia="仿宋" w:cs="仿宋"/>
                <w:color w:val="auto"/>
                <w:sz w:val="24"/>
                <w:szCs w:val="24"/>
                <w:highlight w:val="none"/>
                <w:lang w:eastAsia="zh-CN"/>
              </w:rPr>
              <w:t>313881000512</w:t>
            </w:r>
          </w:p>
          <w:p w14:paraId="3CC6BEBC">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备注：请投标人在汇款时务必注明所投标项目的招标编号及用途，否则，因款项用途不明导致投标无效等后果由投标人自行承担。</w:t>
            </w:r>
          </w:p>
        </w:tc>
      </w:tr>
      <w:tr w14:paraId="0B49784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540" w:type="dxa"/>
            <w:noWrap w:val="0"/>
            <w:vAlign w:val="center"/>
          </w:tcPr>
          <w:p w14:paraId="463B0188">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1524" w:type="dxa"/>
            <w:noWrap w:val="0"/>
            <w:vAlign w:val="center"/>
          </w:tcPr>
          <w:p w14:paraId="5E81D814">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投标文件形式</w:t>
            </w:r>
          </w:p>
        </w:tc>
        <w:tc>
          <w:tcPr>
            <w:tcW w:w="7607" w:type="dxa"/>
            <w:noWrap w:val="0"/>
            <w:vAlign w:val="center"/>
          </w:tcPr>
          <w:p w14:paraId="44FB601A">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电子投标文件包括“电子加密投标文件”和“备份投标文件”，在投标文件编制完成后同时生成。</w:t>
            </w:r>
          </w:p>
          <w:p w14:paraId="33ED314C">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1、“电子加密投标文件”是指通过“政采云电子交易客户端”完成投标文件编制后生成并加密的数据电文形式的投标文件。</w:t>
            </w:r>
          </w:p>
          <w:p w14:paraId="4DF2406C">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2、“备份投标文件”是指与“电子加密投标文件”同时生成的数据电文形式的电子文件（备份标书，用于供应商标书解密异常时应急使用），其他方式编制的备份投标文件视为无效备份投标文件。</w:t>
            </w:r>
          </w:p>
        </w:tc>
      </w:tr>
      <w:tr w14:paraId="653A1D5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540" w:type="dxa"/>
            <w:noWrap w:val="0"/>
            <w:vAlign w:val="center"/>
          </w:tcPr>
          <w:p w14:paraId="536F0E7F">
            <w:pPr>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19</w:t>
            </w:r>
          </w:p>
        </w:tc>
        <w:tc>
          <w:tcPr>
            <w:tcW w:w="1524" w:type="dxa"/>
            <w:noWrap w:val="0"/>
            <w:vAlign w:val="center"/>
          </w:tcPr>
          <w:p w14:paraId="5DD92A8A">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投标文件份数及要求</w:t>
            </w:r>
          </w:p>
        </w:tc>
        <w:tc>
          <w:tcPr>
            <w:tcW w:w="7607" w:type="dxa"/>
            <w:noWrap w:val="0"/>
            <w:vAlign w:val="center"/>
          </w:tcPr>
          <w:p w14:paraId="4FB24E58">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1、一份电子加密标书（“.jmbs”格式），一份备份标书文件（“.bfbs”格式）。</w:t>
            </w:r>
          </w:p>
          <w:p w14:paraId="7EF1541F">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2、每份电子投标文件应包括资格证明文件和商务及技术文件两部分。</w:t>
            </w:r>
          </w:p>
        </w:tc>
      </w:tr>
      <w:tr w14:paraId="1FC01EF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0" w:hRule="atLeast"/>
          <w:jc w:val="center"/>
        </w:trPr>
        <w:tc>
          <w:tcPr>
            <w:tcW w:w="540" w:type="dxa"/>
            <w:noWrap w:val="0"/>
            <w:vAlign w:val="center"/>
          </w:tcPr>
          <w:p w14:paraId="73257F38">
            <w:pPr>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w:t>
            </w:r>
          </w:p>
        </w:tc>
        <w:tc>
          <w:tcPr>
            <w:tcW w:w="1524" w:type="dxa"/>
            <w:noWrap w:val="0"/>
            <w:vAlign w:val="center"/>
          </w:tcPr>
          <w:p w14:paraId="77610CCD">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Cs/>
                <w:color w:val="auto"/>
                <w:sz w:val="24"/>
                <w:szCs w:val="24"/>
                <w:highlight w:val="none"/>
              </w:rPr>
            </w:pPr>
            <w:r>
              <w:rPr>
                <w:rFonts w:hint="eastAsia" w:ascii="仿宋" w:hAnsi="仿宋" w:eastAsia="仿宋" w:cs="仿宋"/>
                <w:b/>
                <w:bCs/>
                <w:color w:val="auto"/>
                <w:sz w:val="24"/>
                <w:szCs w:val="24"/>
                <w:highlight w:val="none"/>
                <w:lang w:bidi="zh-CN"/>
              </w:rPr>
              <w:t>投标文件的上传</w:t>
            </w:r>
          </w:p>
        </w:tc>
        <w:tc>
          <w:tcPr>
            <w:tcW w:w="7607" w:type="dxa"/>
            <w:noWrap w:val="0"/>
            <w:vAlign w:val="center"/>
          </w:tcPr>
          <w:p w14:paraId="4B0E0BE1">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u w:val="single" w:color="auto"/>
                <w:lang w:val="en-US" w:eastAsia="zh-CN"/>
              </w:rPr>
            </w:pPr>
            <w:r>
              <w:rPr>
                <w:rFonts w:hint="eastAsia" w:ascii="仿宋" w:hAnsi="仿宋" w:eastAsia="仿宋" w:cs="仿宋"/>
                <w:color w:val="auto"/>
                <w:sz w:val="24"/>
                <w:szCs w:val="24"/>
                <w:highlight w:val="none"/>
                <w:lang w:val="en-US" w:eastAsia="zh-CN"/>
              </w:rPr>
              <w:t>电子加密投标文件：投标文件制作完成并生成加密标书，在投标截止时间前，供应商需将加密的投标文件上传至政采云平台，</w:t>
            </w:r>
            <w:r>
              <w:rPr>
                <w:rFonts w:hint="eastAsia" w:ascii="仿宋" w:hAnsi="仿宋" w:eastAsia="仿宋" w:cs="仿宋"/>
                <w:b/>
                <w:bCs/>
                <w:color w:val="auto"/>
                <w:sz w:val="24"/>
                <w:szCs w:val="24"/>
                <w:highlight w:val="none"/>
                <w:u w:val="single" w:color="auto"/>
                <w:lang w:val="en-US" w:eastAsia="zh-CN"/>
              </w:rPr>
              <w:t>在开标时间开始后，待采购组织机构发出解密通知后30分钟内解密投标文件。</w:t>
            </w:r>
          </w:p>
          <w:p w14:paraId="683C7311">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a.供应商未能在投标截止时间前成功上传电子加密投标文件的投标无效。</w:t>
            </w:r>
          </w:p>
          <w:p w14:paraId="3E67A29F">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b.供应商成功上传电子加密投标文件后，可自行打印投标文件接收回执。</w:t>
            </w:r>
          </w:p>
        </w:tc>
      </w:tr>
      <w:tr w14:paraId="6C0ABD2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47" w:hRule="atLeast"/>
          <w:jc w:val="center"/>
        </w:trPr>
        <w:tc>
          <w:tcPr>
            <w:tcW w:w="540" w:type="dxa"/>
            <w:noWrap w:val="0"/>
            <w:vAlign w:val="center"/>
          </w:tcPr>
          <w:p w14:paraId="3218829D">
            <w:pPr>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w:t>
            </w:r>
          </w:p>
        </w:tc>
        <w:tc>
          <w:tcPr>
            <w:tcW w:w="1524" w:type="dxa"/>
            <w:noWrap w:val="0"/>
            <w:vAlign w:val="center"/>
          </w:tcPr>
          <w:p w14:paraId="18B5DBD2">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投标截止</w:t>
            </w:r>
            <w:r>
              <w:rPr>
                <w:rFonts w:hint="eastAsia" w:ascii="仿宋" w:hAnsi="仿宋" w:eastAsia="仿宋" w:cs="仿宋"/>
                <w:color w:val="auto"/>
                <w:sz w:val="24"/>
                <w:szCs w:val="24"/>
                <w:highlight w:val="none"/>
              </w:rPr>
              <w:t>时间及地点</w:t>
            </w:r>
          </w:p>
        </w:tc>
        <w:tc>
          <w:tcPr>
            <w:tcW w:w="7607" w:type="dxa"/>
            <w:noWrap w:val="0"/>
            <w:vAlign w:val="center"/>
          </w:tcPr>
          <w:p w14:paraId="4F3C91F3">
            <w:pPr>
              <w:keepNext w:val="0"/>
              <w:keepLines w:val="0"/>
              <w:pageBreakBefore w:val="0"/>
              <w:shd w:val="clear" w:color="auto" w:fill="auto"/>
              <w:kinsoku/>
              <w:wordWrap/>
              <w:overflowPunct/>
              <w:topLinePunct w:val="0"/>
              <w:autoSpaceDE/>
              <w:autoSpaceDN/>
              <w:bidi w:val="0"/>
              <w:adjustRightInd/>
              <w:snapToGrid w:val="0"/>
              <w:spacing w:line="290" w:lineRule="exact"/>
              <w:ind w:firstLine="21" w:firstLineChars="9"/>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eastAsia="zh-CN"/>
              </w:rPr>
              <w:t>投标截止</w:t>
            </w:r>
            <w:r>
              <w:rPr>
                <w:rFonts w:hint="eastAsia" w:ascii="仿宋" w:hAnsi="仿宋" w:eastAsia="仿宋" w:cs="仿宋"/>
                <w:b/>
                <w:bCs/>
                <w:color w:val="auto"/>
                <w:sz w:val="24"/>
                <w:szCs w:val="24"/>
                <w:highlight w:val="none"/>
              </w:rPr>
              <w:t>时间：</w:t>
            </w:r>
            <w:r>
              <w:rPr>
                <w:rFonts w:hint="eastAsia" w:ascii="仿宋" w:hAnsi="仿宋" w:eastAsia="仿宋" w:cs="仿宋"/>
                <w:color w:val="auto"/>
                <w:sz w:val="24"/>
                <w:szCs w:val="24"/>
                <w:highlight w:val="none"/>
                <w:lang w:val="en-US" w:eastAsia="zh-CN"/>
              </w:rPr>
              <w:t>2025年04月08日11:00（北京时间）</w:t>
            </w:r>
          </w:p>
          <w:p w14:paraId="058D54C9">
            <w:pPr>
              <w:keepNext w:val="0"/>
              <w:keepLines w:val="0"/>
              <w:pageBreakBefore w:val="0"/>
              <w:shd w:val="clear" w:color="auto" w:fill="auto"/>
              <w:kinsoku/>
              <w:wordWrap/>
              <w:overflowPunct/>
              <w:topLinePunct w:val="0"/>
              <w:autoSpaceDE/>
              <w:autoSpaceDN/>
              <w:bidi w:val="0"/>
              <w:adjustRightInd/>
              <w:snapToGrid w:val="0"/>
              <w:spacing w:line="290" w:lineRule="exact"/>
              <w:ind w:firstLine="21" w:firstLineChars="9"/>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eastAsia="zh-CN"/>
              </w:rPr>
              <w:t>投标</w:t>
            </w:r>
            <w:r>
              <w:rPr>
                <w:rFonts w:hint="eastAsia" w:ascii="仿宋" w:hAnsi="仿宋" w:eastAsia="仿宋" w:cs="仿宋"/>
                <w:b/>
                <w:bCs/>
                <w:color w:val="auto"/>
                <w:sz w:val="24"/>
                <w:szCs w:val="24"/>
                <w:highlight w:val="none"/>
              </w:rPr>
              <w:t>地点：</w:t>
            </w:r>
            <w:r>
              <w:rPr>
                <w:rFonts w:hint="eastAsia" w:ascii="仿宋" w:hAnsi="仿宋" w:eastAsia="仿宋" w:cs="仿宋"/>
                <w:b/>
                <w:bCs/>
                <w:color w:val="auto"/>
                <w:sz w:val="24"/>
                <w:szCs w:val="24"/>
                <w:highlight w:val="none"/>
                <w:lang w:eastAsia="zh-CN"/>
              </w:rPr>
              <w:t>新疆</w:t>
            </w:r>
            <w:r>
              <w:rPr>
                <w:rFonts w:hint="eastAsia" w:ascii="仿宋" w:hAnsi="仿宋" w:eastAsia="仿宋" w:cs="仿宋"/>
                <w:b/>
                <w:bCs/>
                <w:color w:val="auto"/>
                <w:sz w:val="24"/>
                <w:szCs w:val="24"/>
                <w:highlight w:val="none"/>
              </w:rPr>
              <w:t>政府采购云平台（www.zcygov.cn）</w:t>
            </w:r>
          </w:p>
        </w:tc>
      </w:tr>
      <w:tr w14:paraId="5799A00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540" w:type="dxa"/>
            <w:noWrap w:val="0"/>
            <w:vAlign w:val="center"/>
          </w:tcPr>
          <w:p w14:paraId="2BF63612">
            <w:pPr>
              <w:pStyle w:val="11"/>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w:t>
            </w:r>
          </w:p>
        </w:tc>
        <w:tc>
          <w:tcPr>
            <w:tcW w:w="1524" w:type="dxa"/>
            <w:noWrap w:val="0"/>
            <w:vAlign w:val="center"/>
          </w:tcPr>
          <w:p w14:paraId="653DEC59">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开标时间及地点</w:t>
            </w:r>
          </w:p>
        </w:tc>
        <w:tc>
          <w:tcPr>
            <w:tcW w:w="7607" w:type="dxa"/>
            <w:noWrap w:val="0"/>
            <w:vAlign w:val="center"/>
          </w:tcPr>
          <w:p w14:paraId="3265E606">
            <w:pPr>
              <w:keepNext w:val="0"/>
              <w:keepLines w:val="0"/>
              <w:pageBreakBefore w:val="0"/>
              <w:shd w:val="clear" w:color="auto" w:fill="auto"/>
              <w:kinsoku/>
              <w:wordWrap/>
              <w:overflowPunct/>
              <w:topLinePunct w:val="0"/>
              <w:autoSpaceDE/>
              <w:autoSpaceDN/>
              <w:bidi w:val="0"/>
              <w:adjustRightInd/>
              <w:snapToGrid w:val="0"/>
              <w:spacing w:line="290" w:lineRule="exact"/>
              <w:ind w:firstLine="21" w:firstLineChars="9"/>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开标时间：同投标截止时间</w:t>
            </w:r>
          </w:p>
          <w:p w14:paraId="68586831">
            <w:pPr>
              <w:keepNext w:val="0"/>
              <w:keepLines w:val="0"/>
              <w:pageBreakBefore w:val="0"/>
              <w:shd w:val="clear" w:color="auto" w:fill="auto"/>
              <w:kinsoku/>
              <w:wordWrap/>
              <w:overflowPunct/>
              <w:topLinePunct w:val="0"/>
              <w:autoSpaceDE/>
              <w:autoSpaceDN/>
              <w:bidi w:val="0"/>
              <w:adjustRightInd/>
              <w:snapToGrid w:val="0"/>
              <w:spacing w:line="290" w:lineRule="exact"/>
              <w:ind w:firstLine="21" w:firstLineChars="9"/>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开标地点：在</w:t>
            </w:r>
            <w:r>
              <w:rPr>
                <w:rFonts w:hint="eastAsia" w:ascii="仿宋" w:hAnsi="仿宋" w:eastAsia="仿宋" w:cs="仿宋"/>
                <w:b/>
                <w:bCs/>
                <w:color w:val="auto"/>
                <w:sz w:val="24"/>
                <w:szCs w:val="24"/>
                <w:highlight w:val="none"/>
                <w:lang w:eastAsia="zh-CN"/>
              </w:rPr>
              <w:t>新疆</w:t>
            </w:r>
            <w:r>
              <w:rPr>
                <w:rFonts w:hint="eastAsia" w:ascii="仿宋" w:hAnsi="仿宋" w:eastAsia="仿宋" w:cs="仿宋"/>
                <w:b/>
                <w:bCs/>
                <w:color w:val="auto"/>
                <w:sz w:val="24"/>
                <w:szCs w:val="24"/>
                <w:highlight w:val="none"/>
              </w:rPr>
              <w:t>政府采购云平台（www.zcygov.cn）上开启投标文件</w:t>
            </w:r>
          </w:p>
        </w:tc>
      </w:tr>
      <w:tr w14:paraId="177685B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540" w:type="dxa"/>
            <w:noWrap w:val="0"/>
            <w:vAlign w:val="center"/>
          </w:tcPr>
          <w:p w14:paraId="75299155">
            <w:pPr>
              <w:pStyle w:val="11"/>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23</w:t>
            </w:r>
          </w:p>
        </w:tc>
        <w:tc>
          <w:tcPr>
            <w:tcW w:w="1524" w:type="dxa"/>
            <w:noWrap w:val="0"/>
            <w:vAlign w:val="center"/>
          </w:tcPr>
          <w:p w14:paraId="3A1BC898">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评标委员会的组建</w:t>
            </w:r>
          </w:p>
        </w:tc>
        <w:tc>
          <w:tcPr>
            <w:tcW w:w="7607" w:type="dxa"/>
            <w:noWrap w:val="0"/>
            <w:vAlign w:val="center"/>
          </w:tcPr>
          <w:p w14:paraId="6AFDFC47">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评标专家确定方式：专家评委由招标人在开标前从政采云专家库中随机抽取。</w:t>
            </w:r>
          </w:p>
          <w:p w14:paraId="57C77F27">
            <w:pPr>
              <w:pStyle w:val="15"/>
              <w:ind w:left="0" w:leftChars="0" w:firstLine="0" w:firstLineChars="0"/>
              <w:rPr>
                <w:rFonts w:hint="eastAsia" w:ascii="仿宋" w:hAnsi="仿宋" w:eastAsia="仿宋" w:cs="仿宋"/>
                <w:sz w:val="24"/>
                <w:szCs w:val="24"/>
                <w:lang w:val="en-US" w:eastAsia="zh-CN"/>
              </w:rPr>
            </w:pPr>
            <w:r>
              <w:rPr>
                <w:rFonts w:hint="eastAsia" w:ascii="仿宋" w:hAnsi="仿宋" w:eastAsia="仿宋" w:cs="仿宋"/>
                <w:color w:val="auto"/>
                <w:kern w:val="2"/>
                <w:sz w:val="24"/>
                <w:szCs w:val="24"/>
                <w:highlight w:val="none"/>
                <w:lang w:val="en-US" w:eastAsia="zh-CN" w:bidi="ar-SA"/>
              </w:rPr>
              <w:t>评标委员会构成：5人</w:t>
            </w:r>
          </w:p>
        </w:tc>
      </w:tr>
      <w:tr w14:paraId="7BAF54B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540" w:type="dxa"/>
            <w:noWrap w:val="0"/>
            <w:vAlign w:val="center"/>
          </w:tcPr>
          <w:p w14:paraId="79EFDE1A">
            <w:pPr>
              <w:pStyle w:val="11"/>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24</w:t>
            </w:r>
          </w:p>
        </w:tc>
        <w:tc>
          <w:tcPr>
            <w:tcW w:w="1524" w:type="dxa"/>
            <w:noWrap w:val="0"/>
            <w:vAlign w:val="center"/>
          </w:tcPr>
          <w:p w14:paraId="55F37D8A">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是否授权评标委员会确定中标候选人</w:t>
            </w:r>
          </w:p>
        </w:tc>
        <w:tc>
          <w:tcPr>
            <w:tcW w:w="7607" w:type="dxa"/>
            <w:noWrap w:val="0"/>
            <w:vAlign w:val="center"/>
          </w:tcPr>
          <w:p w14:paraId="7F176873">
            <w:pPr>
              <w:pStyle w:val="11"/>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是，评标委员会推荐3名中标候选人。</w:t>
            </w:r>
          </w:p>
        </w:tc>
      </w:tr>
      <w:tr w14:paraId="635FB4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540" w:type="dxa"/>
            <w:noWrap w:val="0"/>
            <w:vAlign w:val="center"/>
          </w:tcPr>
          <w:p w14:paraId="1134E9C6">
            <w:pPr>
              <w:keepNext w:val="0"/>
              <w:keepLines w:val="0"/>
              <w:pageBreakBefore w:val="0"/>
              <w:shd w:val="clear" w:color="auto" w:fill="auto"/>
              <w:kinsoku/>
              <w:wordWrap/>
              <w:overflowPunct/>
              <w:topLinePunct w:val="0"/>
              <w:autoSpaceDE/>
              <w:autoSpaceDN/>
              <w:bidi w:val="0"/>
              <w:adjustRightInd/>
              <w:snapToGrid w:val="0"/>
              <w:spacing w:line="290" w:lineRule="exact"/>
              <w:ind w:left="-77" w:leftChars="-37" w:right="-94" w:rightChars="-45"/>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w:t>
            </w:r>
          </w:p>
        </w:tc>
        <w:tc>
          <w:tcPr>
            <w:tcW w:w="1524" w:type="dxa"/>
            <w:noWrap w:val="0"/>
            <w:vAlign w:val="center"/>
          </w:tcPr>
          <w:p w14:paraId="0F600C15">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中标人公示媒介</w:t>
            </w:r>
          </w:p>
        </w:tc>
        <w:tc>
          <w:tcPr>
            <w:tcW w:w="7607" w:type="dxa"/>
            <w:noWrap w:val="0"/>
            <w:vAlign w:val="center"/>
          </w:tcPr>
          <w:p w14:paraId="3FB35B79">
            <w:pPr>
              <w:pStyle w:val="11"/>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u w:val="none"/>
                <w:lang w:val="en-US" w:eastAsia="zh-CN" w:bidi="ar-SA"/>
              </w:rPr>
              <w:t>新疆政府采购网，公示期为一个工作日。</w:t>
            </w:r>
          </w:p>
        </w:tc>
      </w:tr>
      <w:tr w14:paraId="0E4686C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540" w:type="dxa"/>
            <w:noWrap w:val="0"/>
            <w:vAlign w:val="center"/>
          </w:tcPr>
          <w:p w14:paraId="3AF73A81">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26</w:t>
            </w:r>
          </w:p>
        </w:tc>
        <w:tc>
          <w:tcPr>
            <w:tcW w:w="1524" w:type="dxa"/>
            <w:noWrap w:val="0"/>
            <w:vAlign w:val="center"/>
          </w:tcPr>
          <w:p w14:paraId="577D1933">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领取</w:t>
            </w:r>
          </w:p>
        </w:tc>
        <w:tc>
          <w:tcPr>
            <w:tcW w:w="7607" w:type="dxa"/>
            <w:noWrap w:val="0"/>
            <w:vAlign w:val="top"/>
          </w:tcPr>
          <w:p w14:paraId="51B86289">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日至202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21</w:t>
            </w:r>
            <w:r>
              <w:rPr>
                <w:rFonts w:hint="eastAsia" w:ascii="仿宋" w:hAnsi="仿宋" w:eastAsia="仿宋" w:cs="仿宋"/>
                <w:color w:val="auto"/>
                <w:sz w:val="24"/>
                <w:szCs w:val="24"/>
                <w:highlight w:val="none"/>
                <w:lang w:eastAsia="zh-CN"/>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每天上午</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lang w:eastAsia="zh-CN"/>
              </w:rPr>
              <w:t>0:00至1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:00，下午1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:00至23：59（北京时间）</w:t>
            </w:r>
          </w:p>
          <w:p w14:paraId="4996F259">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地点：供应商登陆政采云平台http://www.zcygov.cn/，在线申请获取</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（登录政府采购云平台 → 项目采购 → 获取</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→申请，审核通过后可下载</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，如有操作性问题，可与政采云在线客服进行咨询，咨询电话：95763）。</w:t>
            </w:r>
          </w:p>
          <w:p w14:paraId="1636DAD2">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方式：（1）线上获取（登录政府采购云平台 → 项目采购 → 获取</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 申请，审核通过后可下载</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）。本次招标不提供纸质版</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w:t>
            </w:r>
          </w:p>
          <w:p w14:paraId="33F36FCA">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（2）供应商获取</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前应注册成为政府采购云平台正式供应商。</w:t>
            </w:r>
          </w:p>
        </w:tc>
      </w:tr>
      <w:tr w14:paraId="765E4B3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540" w:type="dxa"/>
            <w:vMerge w:val="restart"/>
            <w:noWrap w:val="0"/>
            <w:vAlign w:val="center"/>
          </w:tcPr>
          <w:p w14:paraId="42A7354F">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w:t>
            </w:r>
          </w:p>
        </w:tc>
        <w:tc>
          <w:tcPr>
            <w:tcW w:w="1524" w:type="dxa"/>
            <w:vMerge w:val="restart"/>
            <w:noWrap w:val="0"/>
            <w:vAlign w:val="center"/>
          </w:tcPr>
          <w:p w14:paraId="5E370A9C">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重要说明</w:t>
            </w:r>
          </w:p>
        </w:tc>
        <w:tc>
          <w:tcPr>
            <w:tcW w:w="7607" w:type="dxa"/>
            <w:noWrap w:val="0"/>
            <w:vAlign w:val="top"/>
          </w:tcPr>
          <w:p w14:paraId="6B328A66">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1.本项目采用全流程不见面电子开评标，投标供应商需要使用CA加密设备，供应商可通过新疆数字证书认证中心官网（https://www.xjca.com.cn/）或下载“新疆政务通”APP自行进行申领。</w:t>
            </w:r>
          </w:p>
          <w:p w14:paraId="5DCF4E81">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2.本项目实行网上投标，采用加密电子投标文件(供应商须使用CA加密设备通过政采云电子投标客户端制作投标文件)。若供应商参与投标，自行承担投标一切费用。</w:t>
            </w:r>
          </w:p>
          <w:p w14:paraId="1FE5810E">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039B1C8C">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7F1966F4">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5.供应商在开标时须使用制作加密电子投标文件所使用的CA锁及电脑，电脑须提前配置好浏览器（建议使用谷歌浏览器），以便开标时解锁。</w:t>
            </w:r>
          </w:p>
          <w:p w14:paraId="1B5D77C5">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网超供应商服务二十一群”群的钉钉群号：44303812（如已加入1-20群，无需重复加入，二十一个群联动直播），钉钉工具软件具有回放功能，直播培训结束后可在钉钉群中回放观看学习。</w:t>
            </w:r>
          </w:p>
          <w:p w14:paraId="22AC8AEB">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7.为了保证开评标顺利进行，政采云线上开标功能完全实现，供应商开标所使用的电脑设备须具有视频及语音功能。</w:t>
            </w:r>
          </w:p>
        </w:tc>
      </w:tr>
      <w:tr w14:paraId="3F81FA1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540" w:type="dxa"/>
            <w:vMerge w:val="continue"/>
            <w:noWrap w:val="0"/>
            <w:vAlign w:val="center"/>
          </w:tcPr>
          <w:p w14:paraId="0B18BCB0">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color w:val="auto"/>
                <w:sz w:val="24"/>
                <w:szCs w:val="24"/>
                <w:highlight w:val="none"/>
                <w:lang w:eastAsia="zh-CN"/>
              </w:rPr>
            </w:pPr>
          </w:p>
        </w:tc>
        <w:tc>
          <w:tcPr>
            <w:tcW w:w="1524" w:type="dxa"/>
            <w:vMerge w:val="continue"/>
            <w:noWrap w:val="0"/>
            <w:vAlign w:val="center"/>
          </w:tcPr>
          <w:p w14:paraId="67ED7F07">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color w:val="auto"/>
                <w:sz w:val="24"/>
                <w:szCs w:val="24"/>
                <w:highlight w:val="none"/>
                <w:lang w:eastAsia="zh-CN"/>
              </w:rPr>
            </w:pPr>
          </w:p>
        </w:tc>
        <w:tc>
          <w:tcPr>
            <w:tcW w:w="7607" w:type="dxa"/>
            <w:noWrap w:val="0"/>
            <w:vAlign w:val="top"/>
          </w:tcPr>
          <w:p w14:paraId="7247B9C2">
            <w:pPr>
              <w:keepNext w:val="0"/>
              <w:keepLines w:val="0"/>
              <w:pageBreakBefore w:val="0"/>
              <w:widowControl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1、电子招投标情况说明：</w:t>
            </w:r>
          </w:p>
          <w:p w14:paraId="6E57745A">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color w:val="auto"/>
                <w:sz w:val="24"/>
                <w:szCs w:val="24"/>
                <w:highlight w:val="none"/>
              </w:rPr>
              <w:t>电子招投标</w:t>
            </w:r>
            <w:r>
              <w:rPr>
                <w:rFonts w:hint="eastAsia" w:ascii="仿宋" w:hAnsi="仿宋" w:eastAsia="仿宋" w:cs="仿宋"/>
                <w:color w:val="auto"/>
                <w:sz w:val="24"/>
                <w:szCs w:val="24"/>
                <w:highlight w:val="none"/>
              </w:rPr>
              <w:t>：本项目以数据电文形式，依托“政府采购云平台（www.zcygov.cn）”进行招投标活动</w:t>
            </w:r>
            <w:r>
              <w:rPr>
                <w:rFonts w:hint="eastAsia" w:ascii="仿宋" w:hAnsi="仿宋" w:eastAsia="仿宋" w:cs="仿宋"/>
                <w:b/>
                <w:bCs/>
                <w:color w:val="auto"/>
                <w:sz w:val="24"/>
                <w:szCs w:val="24"/>
                <w:highlight w:val="none"/>
              </w:rPr>
              <w:t>。</w:t>
            </w:r>
          </w:p>
          <w:p w14:paraId="405698E5">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b/>
                <w:color w:val="auto"/>
                <w:sz w:val="24"/>
                <w:szCs w:val="24"/>
                <w:highlight w:val="none"/>
              </w:rPr>
              <w:t>投标准备</w:t>
            </w:r>
            <w:r>
              <w:rPr>
                <w:rFonts w:hint="eastAsia" w:ascii="仿宋" w:hAnsi="仿宋" w:eastAsia="仿宋" w:cs="仿宋"/>
                <w:color w:val="auto"/>
                <w:sz w:val="24"/>
                <w:szCs w:val="24"/>
                <w:highlight w:val="none"/>
              </w:rPr>
              <w:t>：注册账号--点击“商家入驻”，进行政府采购供应商资料填写；申领CA数字证书---申领流程详见“</w:t>
            </w:r>
            <w:r>
              <w:rPr>
                <w:rFonts w:hint="eastAsia" w:ascii="仿宋" w:hAnsi="仿宋" w:eastAsia="仿宋" w:cs="仿宋"/>
                <w:color w:val="auto"/>
                <w:sz w:val="24"/>
                <w:szCs w:val="24"/>
                <w:highlight w:val="none"/>
                <w:lang w:eastAsia="zh-CN"/>
              </w:rPr>
              <w:t>新疆</w:t>
            </w:r>
            <w:r>
              <w:rPr>
                <w:rFonts w:hint="eastAsia" w:ascii="仿宋" w:hAnsi="仿宋" w:eastAsia="仿宋" w:cs="仿宋"/>
                <w:color w:val="auto"/>
                <w:sz w:val="24"/>
                <w:szCs w:val="24"/>
                <w:highlight w:val="none"/>
              </w:rPr>
              <w:t>政府采购网-下载专区-电子交易客户端-CA驱动和申领流程”；安装“政采云电子交易客户端”----前往“</w:t>
            </w:r>
            <w:r>
              <w:rPr>
                <w:rFonts w:hint="eastAsia" w:ascii="仿宋" w:hAnsi="仿宋" w:eastAsia="仿宋" w:cs="仿宋"/>
                <w:color w:val="auto"/>
                <w:sz w:val="24"/>
                <w:szCs w:val="24"/>
                <w:highlight w:val="none"/>
                <w:lang w:eastAsia="zh-CN"/>
              </w:rPr>
              <w:t>新疆</w:t>
            </w:r>
            <w:r>
              <w:rPr>
                <w:rFonts w:hint="eastAsia" w:ascii="仿宋" w:hAnsi="仿宋" w:eastAsia="仿宋" w:cs="仿宋"/>
                <w:color w:val="auto"/>
                <w:sz w:val="24"/>
                <w:szCs w:val="24"/>
                <w:highlight w:val="none"/>
              </w:rPr>
              <w:t>政府采购网-下载专区-电子交易客户端”进行下载并安装。</w:t>
            </w:r>
          </w:p>
          <w:p w14:paraId="34AEF986">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b/>
                <w:color w:val="auto"/>
                <w:sz w:val="24"/>
                <w:szCs w:val="24"/>
                <w:highlight w:val="none"/>
              </w:rPr>
              <w:t>采购文件的获取</w:t>
            </w:r>
            <w:r>
              <w:rPr>
                <w:rFonts w:hint="eastAsia" w:ascii="仿宋" w:hAnsi="仿宋" w:eastAsia="仿宋" w:cs="仿宋"/>
                <w:color w:val="auto"/>
                <w:sz w:val="24"/>
                <w:szCs w:val="24"/>
                <w:highlight w:val="none"/>
              </w:rPr>
              <w:t>：使用账号登录或者</w:t>
            </w:r>
            <w:r>
              <w:rPr>
                <w:rFonts w:hint="eastAsia" w:ascii="仿宋" w:hAnsi="仿宋" w:eastAsia="仿宋" w:cs="仿宋"/>
                <w:color w:val="auto"/>
                <w:sz w:val="24"/>
                <w:szCs w:val="24"/>
                <w:highlight w:val="none"/>
                <w:lang w:bidi="zh-CN"/>
              </w:rPr>
              <w:t>短信验证码</w:t>
            </w:r>
            <w:r>
              <w:rPr>
                <w:rFonts w:hint="eastAsia" w:ascii="仿宋" w:hAnsi="仿宋" w:eastAsia="仿宋" w:cs="仿宋"/>
                <w:color w:val="auto"/>
                <w:sz w:val="24"/>
                <w:szCs w:val="24"/>
                <w:highlight w:val="none"/>
              </w:rPr>
              <w:t>或者使用CA登录政采云平台；进入“项目采购”应用，在获取采购文件菜单中选择项目，获取采购文件。</w:t>
            </w:r>
          </w:p>
          <w:p w14:paraId="13FED8AE">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b/>
                <w:color w:val="auto"/>
                <w:sz w:val="24"/>
                <w:szCs w:val="24"/>
                <w:highlight w:val="none"/>
              </w:rPr>
              <w:t>投标文件的制作</w:t>
            </w:r>
            <w:r>
              <w:rPr>
                <w:rFonts w:hint="eastAsia" w:ascii="仿宋" w:hAnsi="仿宋" w:eastAsia="仿宋" w:cs="仿宋"/>
                <w:color w:val="auto"/>
                <w:sz w:val="24"/>
                <w:szCs w:val="24"/>
                <w:highlight w:val="none"/>
              </w:rPr>
              <w:t>：在“政采云电子交易客户端”中完成“填写基本信息”、“导入投标文件”、“标书关联”、“标书检查”、“电子签名”、“生成电子标书”等操作。</w:t>
            </w:r>
          </w:p>
          <w:p w14:paraId="7F025766">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b/>
                <w:color w:val="auto"/>
                <w:sz w:val="24"/>
                <w:szCs w:val="24"/>
                <w:highlight w:val="none"/>
              </w:rPr>
              <w:t>投标文件的传输递交</w:t>
            </w:r>
            <w:r>
              <w:rPr>
                <w:rFonts w:hint="eastAsia" w:ascii="仿宋" w:hAnsi="仿宋" w:eastAsia="仿宋" w:cs="仿宋"/>
                <w:color w:val="auto"/>
                <w:sz w:val="24"/>
                <w:szCs w:val="24"/>
                <w:highlight w:val="none"/>
              </w:rPr>
              <w:t>：供应商在投标截止时间前将加密的投标文件上传至政府采购云平台。</w:t>
            </w:r>
          </w:p>
          <w:p w14:paraId="473492CC">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b/>
                <w:color w:val="auto"/>
                <w:sz w:val="24"/>
                <w:szCs w:val="24"/>
                <w:highlight w:val="none"/>
              </w:rPr>
              <w:t>投标文件的解密</w:t>
            </w:r>
            <w:r>
              <w:rPr>
                <w:rFonts w:hint="eastAsia" w:ascii="仿宋" w:hAnsi="仿宋" w:eastAsia="仿宋" w:cs="仿宋"/>
                <w:color w:val="auto"/>
                <w:sz w:val="24"/>
                <w:szCs w:val="24"/>
                <w:highlight w:val="none"/>
              </w:rPr>
              <w:t>：供应商按照平台提示和采购文件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6041A485">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b/>
                <w:color w:val="auto"/>
                <w:sz w:val="24"/>
                <w:szCs w:val="24"/>
                <w:highlight w:val="none"/>
              </w:rPr>
              <w:t>具体操作指南</w:t>
            </w:r>
            <w:r>
              <w:rPr>
                <w:rFonts w:hint="eastAsia" w:ascii="仿宋" w:hAnsi="仿宋" w:eastAsia="仿宋" w:cs="仿宋"/>
                <w:color w:val="auto"/>
                <w:sz w:val="24"/>
                <w:szCs w:val="24"/>
                <w:highlight w:val="none"/>
              </w:rPr>
              <w:t>：详见政采云平台“服务中心-帮助文档-项目采购-操作流程-电子招投标-政府采购项目电子交易管理操作指南-供应商”。</w:t>
            </w:r>
          </w:p>
          <w:p w14:paraId="0503271D">
            <w:pPr>
              <w:keepNext w:val="0"/>
              <w:keepLines w:val="0"/>
              <w:pageBreakBefore w:val="0"/>
              <w:widowControl w:val="0"/>
              <w:shd w:val="clear" w:color="auto" w:fill="auto"/>
              <w:kinsoku/>
              <w:wordWrap/>
              <w:overflowPunct/>
              <w:topLinePunct w:val="0"/>
              <w:autoSpaceDE/>
              <w:autoSpaceDN/>
              <w:bidi w:val="0"/>
              <w:adjustRightInd/>
              <w:snapToGrid w:val="0"/>
              <w:spacing w:line="290" w:lineRule="exact"/>
              <w:ind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（8）供应商在进行上述操作时，如遇技术问题可登录政采云（https://</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HYPERLINK "http://www.zcygov.cn/" \h</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 xml:space="preserve">），点击右侧咨询小采，获取采小蜜智能服务管家帮助，或拨打政采云服务热线 </w:t>
            </w:r>
            <w:r>
              <w:rPr>
                <w:rFonts w:hint="eastAsia" w:ascii="仿宋" w:hAnsi="仿宋" w:eastAsia="仿宋" w:cs="仿宋"/>
                <w:color w:val="auto"/>
                <w:sz w:val="24"/>
                <w:szCs w:val="24"/>
                <w:highlight w:val="none"/>
                <w:lang w:eastAsia="zh-CN"/>
              </w:rPr>
              <w:t>95763</w:t>
            </w:r>
            <w:r>
              <w:rPr>
                <w:rFonts w:hint="eastAsia" w:ascii="仿宋" w:hAnsi="仿宋" w:eastAsia="仿宋" w:cs="仿宋"/>
                <w:color w:val="auto"/>
                <w:sz w:val="24"/>
                <w:szCs w:val="24"/>
                <w:highlight w:val="none"/>
              </w:rPr>
              <w:t xml:space="preserve"> 获取热线服务帮助。</w:t>
            </w:r>
          </w:p>
          <w:p w14:paraId="61E99C9C">
            <w:pPr>
              <w:pStyle w:val="5"/>
              <w:keepNext w:val="0"/>
              <w:keepLines w:val="0"/>
              <w:pageBreakBefore w:val="0"/>
              <w:widowControl w:val="0"/>
              <w:shd w:val="clear" w:color="auto" w:fill="auto"/>
              <w:kinsoku/>
              <w:wordWrap/>
              <w:overflowPunct/>
              <w:topLinePunct w:val="0"/>
              <w:autoSpaceDE/>
              <w:autoSpaceDN/>
              <w:bidi w:val="0"/>
              <w:adjustRightInd/>
              <w:snapToGrid w:val="0"/>
              <w:spacing w:line="290" w:lineRule="exact"/>
              <w:ind w:left="0" w:leftChars="0" w:firstLine="480" w:firstLineChars="200"/>
              <w:textAlignment w:va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温馨提醒：供应商应提前上传，以便在上传时遇到技术问题，有充足的时间请教平台的技术人员。</w:t>
            </w:r>
          </w:p>
          <w:p w14:paraId="3CF21DD6">
            <w:pPr>
              <w:keepNext w:val="0"/>
              <w:keepLines w:val="0"/>
              <w:pageBreakBefore w:val="0"/>
              <w:widowControl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2、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w:t>
            </w:r>
            <w:r>
              <w:rPr>
                <w:rFonts w:hint="eastAsia" w:ascii="仿宋" w:hAnsi="仿宋" w:eastAsia="仿宋" w:cs="仿宋"/>
                <w:color w:val="auto"/>
                <w:sz w:val="24"/>
                <w:szCs w:val="24"/>
                <w:highlight w:val="none"/>
              </w:rPr>
              <w:t>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w:t>
            </w:r>
            <w:r>
              <w:rPr>
                <w:rFonts w:hint="eastAsia" w:ascii="仿宋" w:hAnsi="仿宋" w:eastAsia="仿宋" w:cs="仿宋"/>
                <w:color w:val="auto"/>
                <w:sz w:val="24"/>
                <w:szCs w:val="24"/>
                <w:highlight w:val="none"/>
                <w:lang w:eastAsia="zh-CN"/>
              </w:rPr>
              <w:t>中国</w:t>
            </w:r>
            <w:r>
              <w:rPr>
                <w:rFonts w:hint="eastAsia" w:ascii="仿宋" w:hAnsi="仿宋" w:eastAsia="仿宋" w:cs="仿宋"/>
                <w:color w:val="auto"/>
                <w:sz w:val="24"/>
                <w:szCs w:val="24"/>
                <w:highlight w:val="none"/>
              </w:rPr>
              <w:t>政府采购网下载专区下载。</w:t>
            </w:r>
            <w:r>
              <w:rPr>
                <w:rFonts w:hint="eastAsia" w:ascii="仿宋" w:hAnsi="仿宋" w:eastAsia="仿宋" w:cs="仿宋"/>
                <w:bCs/>
                <w:color w:val="auto"/>
                <w:sz w:val="24"/>
                <w:szCs w:val="24"/>
                <w:highlight w:val="none"/>
              </w:rPr>
              <w:t>未按规定获取采购文件或逾期提出的不予受理、答复。</w:t>
            </w:r>
          </w:p>
        </w:tc>
      </w:tr>
      <w:tr w14:paraId="1CC1167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jc w:val="center"/>
        </w:trPr>
        <w:tc>
          <w:tcPr>
            <w:tcW w:w="540" w:type="dxa"/>
            <w:vMerge w:val="restart"/>
            <w:noWrap w:val="0"/>
            <w:vAlign w:val="center"/>
          </w:tcPr>
          <w:p w14:paraId="762446A6">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28</w:t>
            </w:r>
          </w:p>
        </w:tc>
        <w:tc>
          <w:tcPr>
            <w:tcW w:w="1524" w:type="dxa"/>
            <w:vMerge w:val="restart"/>
            <w:noWrap w:val="0"/>
            <w:vAlign w:val="center"/>
          </w:tcPr>
          <w:p w14:paraId="7FE14B66">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中小微企业政策文件</w:t>
            </w:r>
          </w:p>
        </w:tc>
        <w:tc>
          <w:tcPr>
            <w:tcW w:w="7607" w:type="dxa"/>
            <w:noWrap w:val="0"/>
            <w:vAlign w:val="top"/>
          </w:tcPr>
          <w:p w14:paraId="1A5015D6">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sz w:val="24"/>
                <w:szCs w:val="24"/>
                <w:highlight w:val="none"/>
              </w:rPr>
            </w:pPr>
            <w:r>
              <w:rPr>
                <w:rFonts w:hint="eastAsia" w:ascii="仿宋" w:hAnsi="仿宋" w:eastAsia="仿宋" w:cs="仿宋"/>
                <w:color w:val="auto"/>
                <w:sz w:val="24"/>
                <w:szCs w:val="24"/>
                <w:highlight w:val="none"/>
              </w:rPr>
              <w:t>（1）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300号）中规定的小型、微型企业标准的，按</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格式提供《中小企业声明函》。</w:t>
            </w:r>
          </w:p>
        </w:tc>
      </w:tr>
      <w:tr w14:paraId="314F15E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jc w:val="center"/>
        </w:trPr>
        <w:tc>
          <w:tcPr>
            <w:tcW w:w="540" w:type="dxa"/>
            <w:vMerge w:val="continue"/>
            <w:noWrap w:val="0"/>
            <w:vAlign w:val="center"/>
          </w:tcPr>
          <w:p w14:paraId="781DF56D">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p>
        </w:tc>
        <w:tc>
          <w:tcPr>
            <w:tcW w:w="1524" w:type="dxa"/>
            <w:vMerge w:val="continue"/>
            <w:noWrap w:val="0"/>
            <w:vAlign w:val="center"/>
          </w:tcPr>
          <w:p w14:paraId="3983AF08">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p>
        </w:tc>
        <w:tc>
          <w:tcPr>
            <w:tcW w:w="7607" w:type="dxa"/>
            <w:noWrap w:val="0"/>
            <w:vAlign w:val="top"/>
          </w:tcPr>
          <w:p w14:paraId="78BCF877">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sz w:val="24"/>
                <w:szCs w:val="24"/>
                <w:highlight w:val="none"/>
              </w:rPr>
            </w:pPr>
            <w:r>
              <w:rPr>
                <w:rFonts w:hint="eastAsia" w:ascii="仿宋" w:hAnsi="仿宋" w:eastAsia="仿宋" w:cs="仿宋"/>
                <w:color w:val="auto"/>
                <w:sz w:val="24"/>
                <w:szCs w:val="24"/>
                <w:highlight w:val="none"/>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339E25C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jc w:val="center"/>
        </w:trPr>
        <w:tc>
          <w:tcPr>
            <w:tcW w:w="540" w:type="dxa"/>
            <w:vMerge w:val="continue"/>
            <w:noWrap w:val="0"/>
            <w:vAlign w:val="center"/>
          </w:tcPr>
          <w:p w14:paraId="269405F4">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sz w:val="24"/>
                <w:szCs w:val="24"/>
                <w:highlight w:val="none"/>
              </w:rPr>
            </w:pPr>
          </w:p>
        </w:tc>
        <w:tc>
          <w:tcPr>
            <w:tcW w:w="1524" w:type="dxa"/>
            <w:vMerge w:val="continue"/>
            <w:noWrap w:val="0"/>
            <w:vAlign w:val="center"/>
          </w:tcPr>
          <w:p w14:paraId="41198F4C">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sz w:val="24"/>
                <w:szCs w:val="24"/>
                <w:highlight w:val="none"/>
              </w:rPr>
            </w:pPr>
          </w:p>
        </w:tc>
        <w:tc>
          <w:tcPr>
            <w:tcW w:w="7607" w:type="dxa"/>
            <w:noWrap w:val="0"/>
            <w:vAlign w:val="top"/>
          </w:tcPr>
          <w:p w14:paraId="31888AF6">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sz w:val="24"/>
                <w:szCs w:val="24"/>
                <w:highlight w:val="none"/>
              </w:rPr>
            </w:pPr>
            <w:r>
              <w:rPr>
                <w:rFonts w:hint="eastAsia" w:ascii="仿宋" w:hAnsi="仿宋" w:eastAsia="仿宋" w:cs="仿宋"/>
                <w:color w:val="auto"/>
                <w:sz w:val="24"/>
                <w:szCs w:val="24"/>
                <w:highlight w:val="none"/>
              </w:rPr>
              <w:t>（3）根据财政部、民政部、中国残疾人联合会《关于促进残疾人就业政府采购政策的通知》（财库[2017]141号），在政府采购活动中，残疾人福利性单位视同小型、微型企业。投标人属于残疾人福利性单位的，按照</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格式提供残疾人福利性单位声明函。</w:t>
            </w:r>
          </w:p>
        </w:tc>
      </w:tr>
      <w:tr w14:paraId="62CB9BA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0" w:hRule="atLeast"/>
          <w:jc w:val="center"/>
        </w:trPr>
        <w:tc>
          <w:tcPr>
            <w:tcW w:w="540" w:type="dxa"/>
            <w:vMerge w:val="restart"/>
            <w:noWrap w:val="0"/>
            <w:vAlign w:val="center"/>
          </w:tcPr>
          <w:p w14:paraId="2138A7DC">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29</w:t>
            </w:r>
          </w:p>
        </w:tc>
        <w:tc>
          <w:tcPr>
            <w:tcW w:w="1524" w:type="dxa"/>
            <w:vMerge w:val="restart"/>
            <w:noWrap w:val="0"/>
            <w:vAlign w:val="center"/>
          </w:tcPr>
          <w:p w14:paraId="64E74763">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中小微企业政策文件说明</w:t>
            </w:r>
          </w:p>
        </w:tc>
        <w:tc>
          <w:tcPr>
            <w:tcW w:w="7607" w:type="dxa"/>
            <w:noWrap w:val="0"/>
            <w:vAlign w:val="top"/>
          </w:tcPr>
          <w:p w14:paraId="6A1BEF1A">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1、采购限额标准以上，200万元以下的货物和服务采购项目、400万元以下的工程采购项目，适宜由中小企业提供的，采购人应当专门面向中小企业采购。</w:t>
            </w:r>
          </w:p>
          <w:p w14:paraId="40FF6148">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2、超过200万元的货物和服务采购项目、超过400万元的工程采购项目中适宜由中小企业提供的，预留该部分采购项目预算总额的</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0%以上专门面向中小企业采购，其中预留给小微企业的比例不低于60%。</w:t>
            </w:r>
          </w:p>
          <w:p w14:paraId="11CF9B81">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对于未预留份额专门面向中小企业的采购项目，以及预留份额项目中的非预留部分采购包，采购人、采购代理机构应当对符合规定的小微企业报价给予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D749ED">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color w:val="auto"/>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2CDF428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0" w:hRule="atLeast"/>
          <w:jc w:val="center"/>
        </w:trPr>
        <w:tc>
          <w:tcPr>
            <w:tcW w:w="540" w:type="dxa"/>
            <w:vMerge w:val="continue"/>
            <w:noWrap w:val="0"/>
            <w:vAlign w:val="center"/>
          </w:tcPr>
          <w:p w14:paraId="55F02982">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p>
        </w:tc>
        <w:tc>
          <w:tcPr>
            <w:tcW w:w="1524" w:type="dxa"/>
            <w:vMerge w:val="continue"/>
            <w:noWrap w:val="0"/>
            <w:vAlign w:val="center"/>
          </w:tcPr>
          <w:p w14:paraId="6B5B0BE0">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p>
        </w:tc>
        <w:tc>
          <w:tcPr>
            <w:tcW w:w="7607" w:type="dxa"/>
            <w:noWrap w:val="0"/>
            <w:vAlign w:val="center"/>
          </w:tcPr>
          <w:p w14:paraId="0D72E579">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本项目为不专门专门面向中小企业（含中型、小型、微型企业）采购项目。对符合规定的小微企业报价给予10%的扣除，用扣除后的价格参加评审。</w:t>
            </w:r>
          </w:p>
        </w:tc>
      </w:tr>
      <w:tr w14:paraId="1B370E9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0" w:hRule="atLeast"/>
          <w:jc w:val="center"/>
        </w:trPr>
        <w:tc>
          <w:tcPr>
            <w:tcW w:w="540" w:type="dxa"/>
            <w:noWrap w:val="0"/>
            <w:vAlign w:val="center"/>
          </w:tcPr>
          <w:p w14:paraId="45847C8E">
            <w:pPr>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w:t>
            </w:r>
          </w:p>
        </w:tc>
        <w:tc>
          <w:tcPr>
            <w:tcW w:w="1524" w:type="dxa"/>
            <w:noWrap w:val="0"/>
            <w:vAlign w:val="center"/>
          </w:tcPr>
          <w:p w14:paraId="76AC015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项目采购标的对应的中小企业划分标准所属行业</w:t>
            </w:r>
          </w:p>
        </w:tc>
        <w:tc>
          <w:tcPr>
            <w:tcW w:w="7607" w:type="dxa"/>
            <w:noWrap w:val="0"/>
            <w:vAlign w:val="center"/>
          </w:tcPr>
          <w:p w14:paraId="3E2A636B">
            <w:pPr>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工业</w:t>
            </w:r>
          </w:p>
        </w:tc>
      </w:tr>
      <w:tr w14:paraId="281BB2F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1" w:hRule="atLeast"/>
          <w:jc w:val="center"/>
        </w:trPr>
        <w:tc>
          <w:tcPr>
            <w:tcW w:w="540" w:type="dxa"/>
            <w:tcBorders>
              <w:right w:val="single" w:color="auto" w:sz="4" w:space="0"/>
            </w:tcBorders>
            <w:noWrap w:val="0"/>
            <w:vAlign w:val="center"/>
          </w:tcPr>
          <w:p w14:paraId="5E9D05E1">
            <w:pPr>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w:t>
            </w:r>
          </w:p>
        </w:tc>
        <w:tc>
          <w:tcPr>
            <w:tcW w:w="9131" w:type="dxa"/>
            <w:gridSpan w:val="2"/>
            <w:tcBorders>
              <w:left w:val="single" w:color="auto" w:sz="4" w:space="0"/>
            </w:tcBorders>
            <w:noWrap w:val="0"/>
            <w:vAlign w:val="center"/>
          </w:tcPr>
          <w:p w14:paraId="6CB98755">
            <w:pPr>
              <w:keepNext w:val="0"/>
              <w:keepLines w:val="0"/>
              <w:pageBreakBefore w:val="0"/>
              <w:widowControl w:val="0"/>
              <w:kinsoku/>
              <w:wordWrap/>
              <w:overflowPunct/>
              <w:topLinePunct w:val="0"/>
              <w:autoSpaceDE/>
              <w:autoSpaceDN/>
              <w:bidi w:val="0"/>
              <w:adjustRightInd/>
              <w:spacing w:line="300" w:lineRule="exac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w:t>
            </w:r>
          </w:p>
          <w:p w14:paraId="4E31BEB7">
            <w:pPr>
              <w:keepNext w:val="0"/>
              <w:keepLines w:val="0"/>
              <w:pageBreakBefore w:val="0"/>
              <w:widowControl w:val="0"/>
              <w:kinsoku/>
              <w:wordWrap/>
              <w:overflowPunct/>
              <w:topLinePunct w:val="0"/>
              <w:autoSpaceDE/>
              <w:autoSpaceDN/>
              <w:bidi w:val="0"/>
              <w:adjustRightInd/>
              <w:spacing w:line="300" w:lineRule="exac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1、除法律、法规和规章规定外，</w:t>
            </w:r>
            <w:r>
              <w:rPr>
                <w:rFonts w:hint="eastAsia" w:ascii="仿宋" w:hAnsi="仿宋" w:eastAsia="仿宋" w:cs="仿宋"/>
                <w:color w:val="auto"/>
                <w:kern w:val="0"/>
                <w:sz w:val="24"/>
                <w:szCs w:val="24"/>
                <w:highlight w:val="none"/>
                <w:lang w:eastAsia="zh-CN"/>
              </w:rPr>
              <w:t>招标文件</w:t>
            </w:r>
            <w:r>
              <w:rPr>
                <w:rFonts w:hint="eastAsia" w:ascii="仿宋" w:hAnsi="仿宋" w:eastAsia="仿宋" w:cs="仿宋"/>
                <w:color w:val="auto"/>
                <w:kern w:val="0"/>
                <w:sz w:val="24"/>
                <w:szCs w:val="24"/>
                <w:highlight w:val="none"/>
              </w:rPr>
              <w:t>中用“拒绝”、“不接受”、“无效”、“不得”等文字规定，对其中任何一条的偏离，在评审时将其视为无效文件。未用上述文字规定或符号标注的条款为非实质性要求条款(即一般条款)。</w:t>
            </w:r>
          </w:p>
          <w:p w14:paraId="6D123016">
            <w:pPr>
              <w:keepNext w:val="0"/>
              <w:keepLines w:val="0"/>
              <w:pageBreakBefore w:val="0"/>
              <w:widowControl w:val="0"/>
              <w:kinsoku/>
              <w:wordWrap/>
              <w:overflowPunct/>
              <w:topLinePunct w:val="0"/>
              <w:autoSpaceDE/>
              <w:autoSpaceDN/>
              <w:bidi w:val="0"/>
              <w:adjustRightInd/>
              <w:spacing w:line="300" w:lineRule="exact"/>
              <w:textAlignment w:val="auto"/>
              <w:outlineLvl w:val="9"/>
              <w:rPr>
                <w:rFonts w:hint="eastAsia" w:ascii="仿宋" w:hAnsi="仿宋" w:eastAsia="仿宋" w:cs="仿宋"/>
                <w:b/>
                <w:bCs w:val="0"/>
                <w:color w:val="auto"/>
                <w:sz w:val="24"/>
                <w:szCs w:val="24"/>
                <w:highlight w:val="none"/>
                <w:lang w:eastAsia="zh-CN"/>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eastAsia="zh-CN"/>
              </w:rPr>
              <w:t>招标投标文件</w:t>
            </w:r>
            <w:r>
              <w:rPr>
                <w:rFonts w:hint="eastAsia" w:ascii="仿宋" w:hAnsi="仿宋" w:eastAsia="仿宋" w:cs="仿宋"/>
                <w:color w:val="auto"/>
                <w:kern w:val="0"/>
                <w:sz w:val="24"/>
                <w:szCs w:val="24"/>
                <w:highlight w:val="none"/>
              </w:rPr>
              <w:t>中的报价为一次报价</w:t>
            </w:r>
            <w:r>
              <w:rPr>
                <w:rFonts w:hint="eastAsia" w:ascii="仿宋" w:hAnsi="仿宋" w:eastAsia="仿宋" w:cs="仿宋"/>
                <w:color w:val="auto"/>
                <w:kern w:val="0"/>
                <w:sz w:val="24"/>
                <w:szCs w:val="24"/>
                <w:highlight w:val="none"/>
                <w:lang w:eastAsia="zh-CN"/>
              </w:rPr>
              <w:t>。</w:t>
            </w:r>
          </w:p>
        </w:tc>
      </w:tr>
      <w:tr w14:paraId="1BFF712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86" w:hRule="atLeast"/>
          <w:jc w:val="center"/>
        </w:trPr>
        <w:tc>
          <w:tcPr>
            <w:tcW w:w="9671" w:type="dxa"/>
            <w:gridSpan w:val="3"/>
            <w:noWrap w:val="0"/>
            <w:vAlign w:val="center"/>
          </w:tcPr>
          <w:p w14:paraId="6E633F6B">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sz w:val="24"/>
                <w:szCs w:val="24"/>
                <w:highlight w:val="none"/>
              </w:rPr>
              <w:t>备注</w:t>
            </w:r>
            <w:r>
              <w:rPr>
                <w:rFonts w:hint="eastAsia" w:ascii="仿宋" w:hAnsi="仿宋" w:eastAsia="仿宋" w:cs="仿宋"/>
                <w:b/>
                <w:bCs w:val="0"/>
                <w:color w:val="auto"/>
                <w:sz w:val="24"/>
                <w:szCs w:val="24"/>
                <w:highlight w:val="none"/>
                <w:lang w:eastAsia="zh-CN"/>
              </w:rPr>
              <w:t>：</w:t>
            </w:r>
            <w:r>
              <w:rPr>
                <w:rFonts w:hint="eastAsia" w:ascii="仿宋" w:hAnsi="仿宋" w:eastAsia="仿宋" w:cs="仿宋"/>
                <w:b/>
                <w:bCs w:val="0"/>
                <w:color w:val="auto"/>
                <w:sz w:val="24"/>
                <w:szCs w:val="24"/>
                <w:highlight w:val="none"/>
              </w:rPr>
              <w:t>投标人使用相同IP地址的，一经发现，</w:t>
            </w:r>
            <w:r>
              <w:rPr>
                <w:rFonts w:hint="eastAsia" w:ascii="仿宋" w:hAnsi="仿宋" w:eastAsia="仿宋" w:cs="仿宋"/>
                <w:b/>
                <w:bCs w:val="0"/>
                <w:color w:val="auto"/>
                <w:sz w:val="24"/>
                <w:szCs w:val="24"/>
                <w:highlight w:val="none"/>
                <w:lang w:eastAsia="zh-CN"/>
              </w:rPr>
              <w:t>相关</w:t>
            </w:r>
            <w:r>
              <w:rPr>
                <w:rFonts w:hint="eastAsia" w:ascii="仿宋" w:hAnsi="仿宋" w:eastAsia="仿宋" w:cs="仿宋"/>
                <w:b/>
                <w:bCs w:val="0"/>
                <w:color w:val="auto"/>
                <w:sz w:val="24"/>
                <w:szCs w:val="24"/>
                <w:highlight w:val="none"/>
              </w:rPr>
              <w:t>部门将进一步核实，查实后按串通投标处理</w:t>
            </w:r>
            <w:r>
              <w:rPr>
                <w:rFonts w:hint="eastAsia" w:ascii="仿宋" w:hAnsi="仿宋" w:eastAsia="仿宋" w:cs="仿宋"/>
                <w:b/>
                <w:bCs w:val="0"/>
                <w:color w:val="auto"/>
                <w:sz w:val="24"/>
                <w:szCs w:val="24"/>
                <w:highlight w:val="none"/>
                <w:lang w:eastAsia="zh-CN"/>
              </w:rPr>
              <w:t>。</w:t>
            </w:r>
          </w:p>
        </w:tc>
      </w:tr>
      <w:tr w14:paraId="6C03A82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1" w:hRule="atLeast"/>
          <w:jc w:val="center"/>
        </w:trPr>
        <w:tc>
          <w:tcPr>
            <w:tcW w:w="9671" w:type="dxa"/>
            <w:gridSpan w:val="3"/>
            <w:noWrap w:val="0"/>
            <w:vAlign w:val="center"/>
          </w:tcPr>
          <w:p w14:paraId="0FA337A0">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领中标通知书之前，请先缴纳中标服务费</w:t>
            </w:r>
          </w:p>
          <w:p w14:paraId="0BE7548E">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缴费账户</w:t>
            </w:r>
          </w:p>
          <w:p w14:paraId="6A2A71F4">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单位名称：</w:t>
            </w:r>
            <w:r>
              <w:rPr>
                <w:rFonts w:hint="eastAsia" w:ascii="仿宋" w:hAnsi="仿宋" w:eastAsia="仿宋" w:cs="仿宋"/>
                <w:b w:val="0"/>
                <w:bCs/>
                <w:color w:val="auto"/>
                <w:sz w:val="24"/>
                <w:szCs w:val="24"/>
                <w:highlight w:val="none"/>
                <w:lang w:eastAsia="zh-CN"/>
              </w:rPr>
              <w:t>新疆浩瑞兴建设工程项目管理咨询有限公司</w:t>
            </w:r>
            <w:r>
              <w:rPr>
                <w:rFonts w:hint="eastAsia" w:ascii="仿宋" w:hAnsi="仿宋" w:eastAsia="仿宋" w:cs="仿宋"/>
                <w:b w:val="0"/>
                <w:bCs/>
                <w:color w:val="auto"/>
                <w:sz w:val="24"/>
                <w:szCs w:val="24"/>
                <w:highlight w:val="none"/>
              </w:rPr>
              <w:t>乌鲁木齐分公司</w:t>
            </w:r>
          </w:p>
          <w:p w14:paraId="68883935">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rPr>
              <w:t>开</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户</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行</w:t>
            </w:r>
            <w:r>
              <w:rPr>
                <w:rFonts w:hint="eastAsia" w:ascii="仿宋" w:hAnsi="仿宋" w:eastAsia="仿宋" w:cs="仿宋"/>
                <w:b w:val="0"/>
                <w:bCs/>
                <w:color w:val="auto"/>
                <w:sz w:val="24"/>
                <w:szCs w:val="24"/>
                <w:highlight w:val="none"/>
                <w:lang w:eastAsia="zh-CN"/>
              </w:rPr>
              <w:t>：乌鲁木齐银行股份有限公司东方支行</w:t>
            </w:r>
          </w:p>
          <w:p w14:paraId="69FAABBA">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rPr>
              <w:t>账</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号：</w:t>
            </w:r>
            <w:r>
              <w:rPr>
                <w:rFonts w:hint="eastAsia" w:ascii="仿宋" w:hAnsi="仿宋" w:eastAsia="仿宋" w:cs="仿宋"/>
                <w:b w:val="0"/>
                <w:bCs/>
                <w:color w:val="auto"/>
                <w:sz w:val="24"/>
                <w:szCs w:val="24"/>
                <w:highlight w:val="none"/>
                <w:lang w:eastAsia="zh-CN"/>
              </w:rPr>
              <w:t>0000020080110079596717</w:t>
            </w:r>
          </w:p>
          <w:p w14:paraId="70B7C06B">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行</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号：</w:t>
            </w:r>
            <w:r>
              <w:rPr>
                <w:rFonts w:hint="eastAsia" w:ascii="仿宋" w:hAnsi="仿宋" w:eastAsia="仿宋" w:cs="仿宋"/>
                <w:b w:val="0"/>
                <w:bCs/>
                <w:color w:val="auto"/>
                <w:sz w:val="24"/>
                <w:szCs w:val="24"/>
                <w:highlight w:val="none"/>
                <w:lang w:val="en-US" w:eastAsia="zh-CN"/>
              </w:rPr>
              <w:t>313881000512</w:t>
            </w:r>
          </w:p>
          <w:p w14:paraId="1742E720">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邮</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箱：3958774434@qq.com</w:t>
            </w:r>
          </w:p>
          <w:p w14:paraId="3CAE4EEB">
            <w:pPr>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color w:val="auto"/>
                <w:sz w:val="24"/>
                <w:szCs w:val="24"/>
                <w:highlight w:val="none"/>
              </w:rPr>
              <w:t>联系电话：</w:t>
            </w:r>
            <w:r>
              <w:rPr>
                <w:rFonts w:hint="eastAsia" w:ascii="仿宋" w:hAnsi="仿宋" w:eastAsia="仿宋" w:cs="仿宋"/>
                <w:color w:val="auto"/>
                <w:sz w:val="24"/>
                <w:szCs w:val="24"/>
                <w:highlight w:val="none"/>
                <w:lang w:val="en-US" w:eastAsia="zh-CN"/>
              </w:rPr>
              <w:t>18016878872</w:t>
            </w:r>
          </w:p>
        </w:tc>
      </w:tr>
      <w:bookmarkEnd w:id="5"/>
    </w:tbl>
    <w:p w14:paraId="103AC013">
      <w:pPr>
        <w:pageBreakBefore/>
        <w:shd w:val="clear" w:color="auto" w:fill="auto"/>
        <w:spacing w:before="312" w:beforeLines="100" w:after="312" w:afterLines="100" w:line="440" w:lineRule="exact"/>
        <w:jc w:val="center"/>
        <w:outlineLvl w:val="9"/>
        <w:rPr>
          <w:rFonts w:hint="eastAsia" w:ascii="仿宋" w:hAnsi="仿宋" w:eastAsia="仿宋" w:cs="仿宋"/>
          <w:b/>
          <w:color w:val="auto"/>
          <w:sz w:val="28"/>
          <w:szCs w:val="32"/>
          <w:highlight w:val="none"/>
        </w:rPr>
      </w:pPr>
      <w:r>
        <w:rPr>
          <w:rFonts w:hint="eastAsia" w:ascii="仿宋" w:hAnsi="仿宋" w:eastAsia="仿宋" w:cs="仿宋"/>
          <w:b/>
          <w:color w:val="auto"/>
          <w:sz w:val="28"/>
          <w:szCs w:val="28"/>
          <w:highlight w:val="none"/>
        </w:rPr>
        <w:t>二、投标人须知</w:t>
      </w:r>
    </w:p>
    <w:p w14:paraId="4A4E385D">
      <w:pPr>
        <w:shd w:val="clear" w:color="auto" w:fill="auto"/>
        <w:spacing w:line="440" w:lineRule="exact"/>
        <w:jc w:val="center"/>
        <w:outlineLvl w:val="9"/>
        <w:rPr>
          <w:rFonts w:hint="eastAsia" w:ascii="仿宋" w:hAnsi="仿宋" w:eastAsia="仿宋" w:cs="仿宋"/>
          <w:color w:val="auto"/>
          <w:sz w:val="28"/>
          <w:szCs w:val="28"/>
          <w:highlight w:val="none"/>
        </w:rPr>
      </w:pPr>
      <w:bookmarkStart w:id="31" w:name="_Toc26505"/>
      <w:bookmarkStart w:id="32" w:name="_Toc469495724"/>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32"/>
          <w:highlight w:val="none"/>
        </w:rPr>
        <w:t>总  则</w:t>
      </w:r>
      <w:bookmarkEnd w:id="31"/>
      <w:bookmarkEnd w:id="32"/>
    </w:p>
    <w:p w14:paraId="1E67D5B3">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1.项目概况</w:t>
      </w:r>
    </w:p>
    <w:p w14:paraId="026D04D2">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1.1本次招标采购项目名称：见投标人须知前附表。</w:t>
      </w:r>
    </w:p>
    <w:p w14:paraId="3532E9BA">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项目编号：见投标人须知前附表。</w:t>
      </w:r>
    </w:p>
    <w:p w14:paraId="4A6BC6BC">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招标人：见投标人须知前附表。</w:t>
      </w:r>
    </w:p>
    <w:p w14:paraId="78D82129">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供货期：见投标人须知前附表。</w:t>
      </w:r>
    </w:p>
    <w:p w14:paraId="43364272">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供货地点：见投标人须知前附表。</w:t>
      </w:r>
    </w:p>
    <w:p w14:paraId="69CC1C45">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1.2招标人及联系人: 见投标人须知前附表。</w:t>
      </w:r>
    </w:p>
    <w:p w14:paraId="4A0E3FD2">
      <w:pPr>
        <w:shd w:val="clear" w:color="auto" w:fill="auto"/>
        <w:snapToGrid w:val="0"/>
        <w:spacing w:line="440" w:lineRule="exact"/>
        <w:ind w:firstLine="600" w:firstLineChars="25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代理机构及联系人: 见投标人须知前附表。</w:t>
      </w:r>
    </w:p>
    <w:p w14:paraId="003D84DB">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1.3资金来源：见投标人须知前附表。</w:t>
      </w:r>
    </w:p>
    <w:p w14:paraId="63E03E14">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1.4本项目预算：见投标人须知前附表。</w:t>
      </w:r>
    </w:p>
    <w:p w14:paraId="5A43BCC7">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1.5本项目控制价：见投标人须知前附表。</w:t>
      </w:r>
    </w:p>
    <w:p w14:paraId="0F605B6F">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2.招标范围：</w:t>
      </w:r>
    </w:p>
    <w:p w14:paraId="1188A3CB">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2.1 采购内容：见投标人须知前附表。</w:t>
      </w:r>
    </w:p>
    <w:p w14:paraId="2DA01939">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技术要求：详见</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第四章招标内容及技术要求。</w:t>
      </w:r>
    </w:p>
    <w:p w14:paraId="6B4DC80F">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3.标包划分：</w:t>
      </w:r>
    </w:p>
    <w:p w14:paraId="24E6D5C7">
      <w:pPr>
        <w:shd w:val="clear" w:color="auto" w:fill="auto"/>
        <w:snapToGrid w:val="0"/>
        <w:spacing w:line="440" w:lineRule="exact"/>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3.1本项目划分：</w:t>
      </w:r>
      <w:r>
        <w:rPr>
          <w:rFonts w:hint="eastAsia" w:ascii="仿宋" w:hAnsi="仿宋" w:eastAsia="仿宋" w:cs="仿宋"/>
          <w:color w:val="auto"/>
          <w:sz w:val="24"/>
          <w:szCs w:val="24"/>
          <w:highlight w:val="none"/>
          <w:u w:val="single"/>
          <w:lang w:val="en-US" w:eastAsia="zh-CN"/>
        </w:rPr>
        <w:t>1</w:t>
      </w:r>
      <w:r>
        <w:rPr>
          <w:rFonts w:hint="eastAsia" w:ascii="仿宋" w:hAnsi="仿宋" w:eastAsia="仿宋" w:cs="仿宋"/>
          <w:color w:val="auto"/>
          <w:sz w:val="24"/>
          <w:szCs w:val="24"/>
          <w:highlight w:val="none"/>
        </w:rPr>
        <w:t>个</w:t>
      </w: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kern w:val="0"/>
          <w:sz w:val="24"/>
          <w:szCs w:val="24"/>
          <w:highlight w:val="none"/>
        </w:rPr>
        <w:t>。</w:t>
      </w:r>
    </w:p>
    <w:p w14:paraId="76BFDD40">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4.招标方式：</w:t>
      </w:r>
    </w:p>
    <w:p w14:paraId="2752AFBC">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4.1本项目招标方式：见投标人须知前附表。</w:t>
      </w:r>
    </w:p>
    <w:p w14:paraId="350591CF">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5.计价方式：</w:t>
      </w:r>
    </w:p>
    <w:p w14:paraId="3BA9359E">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5.1本次招标项目合同采用</w:t>
      </w:r>
      <w:r>
        <w:rPr>
          <w:rFonts w:hint="eastAsia" w:ascii="仿宋" w:hAnsi="仿宋" w:eastAsia="仿宋" w:cs="仿宋"/>
          <w:color w:val="auto"/>
          <w:sz w:val="24"/>
          <w:szCs w:val="24"/>
          <w:highlight w:val="none"/>
          <w:u w:val="single"/>
        </w:rPr>
        <w:t xml:space="preserve">   固定单价 。</w:t>
      </w:r>
    </w:p>
    <w:p w14:paraId="70525407">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6.评标办法：</w:t>
      </w:r>
    </w:p>
    <w:p w14:paraId="3973ACDF">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6.1本次招标评标采用</w:t>
      </w:r>
      <w:r>
        <w:rPr>
          <w:rFonts w:hint="eastAsia" w:ascii="仿宋" w:hAnsi="仿宋" w:eastAsia="仿宋" w:cs="仿宋"/>
          <w:color w:val="auto"/>
          <w:sz w:val="24"/>
          <w:szCs w:val="24"/>
          <w:highlight w:val="none"/>
          <w:u w:val="single"/>
        </w:rPr>
        <w:t xml:space="preserve">  符合</w:t>
      </w:r>
      <w:r>
        <w:rPr>
          <w:rFonts w:hint="eastAsia" w:ascii="仿宋" w:hAnsi="仿宋" w:eastAsia="仿宋" w:cs="仿宋"/>
          <w:color w:val="auto"/>
          <w:sz w:val="24"/>
          <w:szCs w:val="24"/>
          <w:highlight w:val="none"/>
          <w:u w:val="single"/>
          <w:lang w:val="en-US" w:eastAsia="zh-CN"/>
        </w:rPr>
        <w:t>招标</w:t>
      </w:r>
      <w:r>
        <w:rPr>
          <w:rFonts w:hint="eastAsia" w:ascii="仿宋" w:hAnsi="仿宋" w:eastAsia="仿宋" w:cs="仿宋"/>
          <w:color w:val="auto"/>
          <w:sz w:val="24"/>
          <w:szCs w:val="24"/>
          <w:highlight w:val="none"/>
          <w:u w:val="single"/>
          <w:lang w:eastAsia="zh-CN"/>
        </w:rPr>
        <w:t>文件</w:t>
      </w:r>
      <w:r>
        <w:rPr>
          <w:rFonts w:hint="eastAsia" w:ascii="仿宋" w:hAnsi="仿宋" w:eastAsia="仿宋" w:cs="仿宋"/>
          <w:color w:val="auto"/>
          <w:sz w:val="24"/>
          <w:szCs w:val="24"/>
          <w:highlight w:val="none"/>
          <w:u w:val="single"/>
        </w:rPr>
        <w:t xml:space="preserve">的综合评分法 </w:t>
      </w:r>
      <w:r>
        <w:rPr>
          <w:rFonts w:hint="eastAsia" w:ascii="仿宋" w:hAnsi="仿宋" w:eastAsia="仿宋" w:cs="仿宋"/>
          <w:color w:val="auto"/>
          <w:sz w:val="24"/>
          <w:szCs w:val="24"/>
          <w:highlight w:val="none"/>
        </w:rPr>
        <w:t>（详见第三章评标办法）</w:t>
      </w:r>
    </w:p>
    <w:p w14:paraId="38BED5FF">
      <w:pPr>
        <w:shd w:val="clear" w:color="auto" w:fill="auto"/>
        <w:snapToGrid w:val="0"/>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7.投标人资格：</w:t>
      </w:r>
    </w:p>
    <w:p w14:paraId="2FE29FDC">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7.1参与采购活动的投标人必须是满足《中华人民共和国政府采购法》规定条件的法人、其他组织或者自然人：</w:t>
      </w:r>
    </w:p>
    <w:p w14:paraId="20B09779">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7.2由于政府采购项目的差异性，投标人在参与具体政府采购项目活动时，应仔细阅读该项目的资质要求,具体见投标人须知前附表。</w:t>
      </w:r>
    </w:p>
    <w:p w14:paraId="683047EB">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403CF5E2">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7.4投标人必须确保自己在信息库中注册的信息真实、准确，并保证投标文件中的有关信息与库中的信息相一致。否则，投标人因此蒙受损失，招标人概不负责。</w:t>
      </w:r>
    </w:p>
    <w:p w14:paraId="30645F5C">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 投标费用</w:t>
      </w:r>
    </w:p>
    <w:p w14:paraId="3D2A1416">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8.1投标人准备和参加投标活动发生的费用自理。</w:t>
      </w:r>
    </w:p>
    <w:p w14:paraId="6B51C144">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w:t>
      </w:r>
      <w:bookmarkStart w:id="33" w:name="_Toc296602429"/>
      <w:bookmarkStart w:id="34" w:name="_Toc247592876"/>
      <w:bookmarkStart w:id="35" w:name="_Toc152042315"/>
      <w:bookmarkStart w:id="36" w:name="_Toc247513962"/>
      <w:bookmarkStart w:id="37" w:name="_Toc247527563"/>
      <w:bookmarkStart w:id="38" w:name="_Toc152045539"/>
      <w:bookmarkStart w:id="39" w:name="_Toc144974507"/>
      <w:r>
        <w:rPr>
          <w:rFonts w:hint="eastAsia" w:ascii="仿宋" w:hAnsi="仿宋" w:eastAsia="仿宋" w:cs="仿宋"/>
          <w:b/>
          <w:color w:val="auto"/>
          <w:sz w:val="24"/>
          <w:szCs w:val="24"/>
          <w:highlight w:val="none"/>
        </w:rPr>
        <w:t xml:space="preserve"> 踏勘现场</w:t>
      </w:r>
      <w:bookmarkEnd w:id="33"/>
      <w:bookmarkEnd w:id="34"/>
      <w:bookmarkEnd w:id="35"/>
      <w:bookmarkEnd w:id="36"/>
      <w:bookmarkEnd w:id="37"/>
      <w:bookmarkEnd w:id="38"/>
      <w:bookmarkEnd w:id="39"/>
    </w:p>
    <w:p w14:paraId="32F3353F">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投标人须知前附表规定组织踏勘现场的，招标人按投标人须知前附表规定的时间、地点组织投标人踏勘项目现场。</w:t>
      </w:r>
      <w:r>
        <w:rPr>
          <w:rFonts w:hint="eastAsia" w:ascii="仿宋" w:hAnsi="仿宋" w:eastAsia="仿宋" w:cs="仿宋"/>
          <w:color w:val="auto"/>
          <w:sz w:val="24"/>
          <w:szCs w:val="24"/>
          <w:highlight w:val="none"/>
          <w:lang w:eastAsia="zh-CN"/>
        </w:rPr>
        <w:t>如需踏勘现场，投标人自行踏勘现场的，可咨询本项目采购人或采购代理机构联系人。</w:t>
      </w:r>
      <w:r>
        <w:rPr>
          <w:rFonts w:hint="eastAsia" w:ascii="仿宋" w:hAnsi="仿宋" w:eastAsia="仿宋" w:cs="仿宋"/>
          <w:b/>
          <w:bCs/>
          <w:color w:val="auto"/>
          <w:sz w:val="24"/>
          <w:szCs w:val="24"/>
          <w:highlight w:val="none"/>
          <w:lang w:eastAsia="zh-CN"/>
        </w:rPr>
        <w:t>投标人自行踏勘现场的，可咨询本项目采购人或采购代理机构联系人。</w:t>
      </w:r>
      <w:r>
        <w:rPr>
          <w:rFonts w:hint="eastAsia" w:ascii="仿宋" w:hAnsi="仿宋" w:eastAsia="仿宋" w:cs="仿宋"/>
          <w:b/>
          <w:bCs/>
          <w:color w:val="auto"/>
          <w:sz w:val="24"/>
          <w:szCs w:val="24"/>
          <w:highlight w:val="none"/>
        </w:rPr>
        <w:t xml:space="preserve"> </w:t>
      </w:r>
    </w:p>
    <w:p w14:paraId="6A3667AF">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 投标人踏勘现场发生的费用自理。</w:t>
      </w:r>
    </w:p>
    <w:p w14:paraId="2953BB96">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 除招标人的原因外，投标人自行负责在踏勘现场中所发生的人员伤亡和财产损失。</w:t>
      </w:r>
    </w:p>
    <w:p w14:paraId="4CBB9EA6">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9.4 招标人在踏勘现场中介绍的场地和相关的周边环境情况，供投标人在编制投标文件时参考，招标人不对投标人据此作出的判断和决策负责。</w:t>
      </w:r>
      <w:bookmarkStart w:id="40" w:name="_Toc247513963"/>
      <w:bookmarkStart w:id="41" w:name="_Toc152045540"/>
      <w:bookmarkStart w:id="42" w:name="_Toc247527564"/>
      <w:bookmarkStart w:id="43" w:name="_Toc247592877"/>
      <w:bookmarkStart w:id="44" w:name="_Toc144974508"/>
      <w:bookmarkStart w:id="45" w:name="_Toc152042316"/>
      <w:bookmarkStart w:id="46" w:name="_Toc296602430"/>
    </w:p>
    <w:p w14:paraId="43AD41D3">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投标预备会</w:t>
      </w:r>
      <w:bookmarkEnd w:id="40"/>
      <w:bookmarkEnd w:id="41"/>
      <w:bookmarkEnd w:id="42"/>
      <w:bookmarkEnd w:id="43"/>
      <w:bookmarkEnd w:id="44"/>
      <w:bookmarkEnd w:id="45"/>
      <w:bookmarkEnd w:id="46"/>
    </w:p>
    <w:p w14:paraId="311962D5">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10.1投标人须知前附表规定召开投标预备会的，招标人按投标人须知前附表规定的时间和地点召开投标预备会，澄清投标人提出的问题。</w:t>
      </w:r>
    </w:p>
    <w:p w14:paraId="568AC4A6">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10.2投标人应在投标人须知前附表规定的时间前，将提出的问题送达招标人，以便招标人澄清。</w:t>
      </w:r>
    </w:p>
    <w:p w14:paraId="1AA7931B">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10.3招标人在投标人须知前附表规定的时间，将对投标人所提的问题进行澄清。该澄清内容为</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的组成部分。</w:t>
      </w:r>
    </w:p>
    <w:p w14:paraId="0F4F2365">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联合投标</w:t>
      </w:r>
    </w:p>
    <w:p w14:paraId="1D0B1D92">
      <w:pPr>
        <w:shd w:val="clear" w:color="auto" w:fill="auto"/>
        <w:spacing w:line="44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7DE03947">
      <w:pPr>
        <w:shd w:val="clear" w:color="auto" w:fill="auto"/>
        <w:spacing w:line="400" w:lineRule="exact"/>
        <w:ind w:firstLine="468" w:firstLineChars="19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34866FA4">
      <w:pPr>
        <w:shd w:val="clear" w:color="auto" w:fill="auto"/>
        <w:spacing w:line="400" w:lineRule="exact"/>
        <w:ind w:firstLine="470" w:firstLineChars="19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 联合体应当确定其中一个单位为投标的全权代表，负责参加投标的一切事务，并承担投标及履约中应承担的全部责任与义务。</w:t>
      </w:r>
    </w:p>
    <w:p w14:paraId="1D597795">
      <w:pPr>
        <w:pStyle w:val="10"/>
        <w:shd w:val="clear" w:color="auto" w:fill="auto"/>
        <w:spacing w:after="0" w:line="400" w:lineRule="exact"/>
        <w:ind w:left="0" w:leftChars="0" w:firstLine="484" w:firstLineChars="20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 联合体各方应当共同与招标人签订采购合同，就采购合同约定的事项对招标人承担连带责任。</w:t>
      </w:r>
    </w:p>
    <w:p w14:paraId="1E46E8B5">
      <w:pPr>
        <w:shd w:val="clear" w:color="auto" w:fill="auto"/>
        <w:spacing w:line="440" w:lineRule="exact"/>
        <w:ind w:firstLine="470" w:firstLineChars="196"/>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12.招标代理费</w:t>
      </w:r>
    </w:p>
    <w:p w14:paraId="51A1F0D3">
      <w:pPr>
        <w:keepNext w:val="0"/>
        <w:keepLines w:val="0"/>
        <w:pageBreakBefore w:val="0"/>
        <w:shd w:val="clear" w:color="auto" w:fill="auto"/>
        <w:kinsoku/>
        <w:wordWrap/>
        <w:overflowPunct/>
        <w:topLinePunct w:val="0"/>
        <w:bidi w:val="0"/>
        <w:snapToGrid/>
        <w:spacing w:line="360" w:lineRule="auto"/>
        <w:ind w:firstLine="480" w:firstLineChars="2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12.1</w:t>
      </w:r>
      <w:r>
        <w:rPr>
          <w:rFonts w:hint="eastAsia" w:ascii="仿宋" w:hAnsi="仿宋" w:eastAsia="仿宋" w:cs="仿宋"/>
          <w:color w:val="auto"/>
          <w:kern w:val="2"/>
          <w:sz w:val="24"/>
          <w:szCs w:val="24"/>
          <w:highlight w:val="none"/>
          <w:lang w:val="en-US" w:eastAsia="zh-CN" w:bidi="ar-SA"/>
        </w:rPr>
        <w:t>中标单位在领取本项目中标通知书时，按照《国家计委关于印发招标代理服务收费管理暂行办法的通知（计价格[2002]1980号）及《招标代理服务收费有关问题》（发改办价格〔2003〕857号文）中规定由中标单位向招标代理机构支付本项目代理费。收费标准如下：</w:t>
      </w:r>
    </w:p>
    <w:p w14:paraId="72699A76">
      <w:pPr>
        <w:keepNext w:val="0"/>
        <w:keepLines w:val="0"/>
        <w:pageBreakBefore w:val="0"/>
        <w:shd w:val="clear" w:color="auto" w:fill="auto"/>
        <w:kinsoku/>
        <w:wordWrap/>
        <w:overflowPunct/>
        <w:topLinePunct w:val="0"/>
        <w:bidi w:val="0"/>
        <w:snapToGrid/>
        <w:spacing w:line="360" w:lineRule="auto"/>
        <w:ind w:firstLine="480" w:firstLineChars="200"/>
        <w:jc w:val="center"/>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招标代理服务收费标准</w:t>
      </w:r>
    </w:p>
    <w:tbl>
      <w:tblPr>
        <w:tblStyle w:val="20"/>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2146"/>
        <w:gridCol w:w="2146"/>
        <w:gridCol w:w="1841"/>
      </w:tblGrid>
      <w:tr w14:paraId="34320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393" w:type="dxa"/>
            <w:noWrap w:val="0"/>
            <w:vAlign w:val="top"/>
          </w:tcPr>
          <w:p w14:paraId="6B8AF3E5">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中标</w:t>
            </w:r>
            <w:r>
              <w:rPr>
                <w:rFonts w:hint="eastAsia" w:ascii="仿宋" w:hAnsi="仿宋" w:eastAsia="仿宋" w:cs="仿宋"/>
                <w:b w:val="0"/>
                <w:bCs w:val="0"/>
                <w:color w:val="auto"/>
                <w:sz w:val="24"/>
                <w:szCs w:val="24"/>
                <w:highlight w:val="none"/>
              </w:rPr>
              <w:t>金额（万元）</w:t>
            </w:r>
          </w:p>
        </w:tc>
        <w:tc>
          <w:tcPr>
            <w:tcW w:w="2146" w:type="dxa"/>
            <w:noWrap w:val="0"/>
            <w:vAlign w:val="top"/>
          </w:tcPr>
          <w:p w14:paraId="2D2900F0">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货物招标</w:t>
            </w:r>
          </w:p>
        </w:tc>
        <w:tc>
          <w:tcPr>
            <w:tcW w:w="2146" w:type="dxa"/>
            <w:noWrap w:val="0"/>
            <w:vAlign w:val="top"/>
          </w:tcPr>
          <w:p w14:paraId="44EDC397">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服务招标</w:t>
            </w:r>
          </w:p>
        </w:tc>
        <w:tc>
          <w:tcPr>
            <w:tcW w:w="1841" w:type="dxa"/>
            <w:noWrap w:val="0"/>
            <w:vAlign w:val="top"/>
          </w:tcPr>
          <w:p w14:paraId="7F23C0D2">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备注</w:t>
            </w:r>
          </w:p>
        </w:tc>
      </w:tr>
      <w:tr w14:paraId="34DDC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2393" w:type="dxa"/>
            <w:noWrap w:val="0"/>
            <w:vAlign w:val="center"/>
          </w:tcPr>
          <w:p w14:paraId="54100079">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100以下</w:t>
            </w:r>
          </w:p>
        </w:tc>
        <w:tc>
          <w:tcPr>
            <w:tcW w:w="2146" w:type="dxa"/>
            <w:noWrap w:val="0"/>
            <w:vAlign w:val="center"/>
          </w:tcPr>
          <w:p w14:paraId="355A4D86">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1.50%</w:t>
            </w:r>
          </w:p>
        </w:tc>
        <w:tc>
          <w:tcPr>
            <w:tcW w:w="2146" w:type="dxa"/>
            <w:noWrap w:val="0"/>
            <w:vAlign w:val="center"/>
          </w:tcPr>
          <w:p w14:paraId="12F55731">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1.50%</w:t>
            </w:r>
          </w:p>
        </w:tc>
        <w:tc>
          <w:tcPr>
            <w:tcW w:w="1841" w:type="dxa"/>
            <w:noWrap w:val="0"/>
            <w:vAlign w:val="top"/>
          </w:tcPr>
          <w:p w14:paraId="54C3FB46">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p>
        </w:tc>
      </w:tr>
      <w:tr w14:paraId="731E8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2393" w:type="dxa"/>
            <w:noWrap w:val="0"/>
            <w:vAlign w:val="center"/>
          </w:tcPr>
          <w:p w14:paraId="2B46F711">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100-500</w:t>
            </w:r>
          </w:p>
        </w:tc>
        <w:tc>
          <w:tcPr>
            <w:tcW w:w="2146" w:type="dxa"/>
            <w:noWrap w:val="0"/>
            <w:vAlign w:val="center"/>
          </w:tcPr>
          <w:p w14:paraId="4D865A4D">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1.10%</w:t>
            </w:r>
          </w:p>
        </w:tc>
        <w:tc>
          <w:tcPr>
            <w:tcW w:w="2146" w:type="dxa"/>
            <w:noWrap w:val="0"/>
            <w:vAlign w:val="center"/>
          </w:tcPr>
          <w:p w14:paraId="3FDC911B">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0.80</w:t>
            </w:r>
            <w:r>
              <w:rPr>
                <w:rFonts w:hint="eastAsia" w:ascii="仿宋" w:hAnsi="仿宋" w:eastAsia="仿宋" w:cs="仿宋"/>
                <w:b w:val="0"/>
                <w:bCs w:val="0"/>
                <w:color w:val="auto"/>
                <w:sz w:val="24"/>
                <w:szCs w:val="24"/>
                <w:highlight w:val="none"/>
              </w:rPr>
              <w:t>%</w:t>
            </w:r>
          </w:p>
        </w:tc>
        <w:tc>
          <w:tcPr>
            <w:tcW w:w="1841" w:type="dxa"/>
            <w:noWrap w:val="0"/>
            <w:vAlign w:val="top"/>
          </w:tcPr>
          <w:p w14:paraId="2BCF2327">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p>
        </w:tc>
      </w:tr>
      <w:tr w14:paraId="54BEA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2393" w:type="dxa"/>
            <w:noWrap w:val="0"/>
            <w:vAlign w:val="center"/>
          </w:tcPr>
          <w:p w14:paraId="5ADBC442">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500-1000</w:t>
            </w:r>
          </w:p>
        </w:tc>
        <w:tc>
          <w:tcPr>
            <w:tcW w:w="2146" w:type="dxa"/>
            <w:noWrap w:val="0"/>
            <w:vAlign w:val="center"/>
          </w:tcPr>
          <w:p w14:paraId="0E0D2224">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0.80%</w:t>
            </w:r>
          </w:p>
        </w:tc>
        <w:tc>
          <w:tcPr>
            <w:tcW w:w="2146" w:type="dxa"/>
            <w:noWrap w:val="0"/>
            <w:vAlign w:val="center"/>
          </w:tcPr>
          <w:p w14:paraId="311C5E9E">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0.</w:t>
            </w:r>
            <w:r>
              <w:rPr>
                <w:rFonts w:hint="eastAsia" w:ascii="仿宋" w:hAnsi="仿宋" w:eastAsia="仿宋" w:cs="仿宋"/>
                <w:b w:val="0"/>
                <w:bCs w:val="0"/>
                <w:color w:val="auto"/>
                <w:sz w:val="24"/>
                <w:szCs w:val="24"/>
                <w:highlight w:val="none"/>
                <w:lang w:val="en-US" w:eastAsia="zh-CN"/>
              </w:rPr>
              <w:t>45</w:t>
            </w:r>
            <w:r>
              <w:rPr>
                <w:rFonts w:hint="eastAsia" w:ascii="仿宋" w:hAnsi="仿宋" w:eastAsia="仿宋" w:cs="仿宋"/>
                <w:b w:val="0"/>
                <w:bCs w:val="0"/>
                <w:color w:val="auto"/>
                <w:sz w:val="24"/>
                <w:szCs w:val="24"/>
                <w:highlight w:val="none"/>
              </w:rPr>
              <w:t>%</w:t>
            </w:r>
          </w:p>
        </w:tc>
        <w:tc>
          <w:tcPr>
            <w:tcW w:w="1841" w:type="dxa"/>
            <w:noWrap w:val="0"/>
            <w:vAlign w:val="top"/>
          </w:tcPr>
          <w:p w14:paraId="18847913">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p>
        </w:tc>
      </w:tr>
      <w:tr w14:paraId="4535B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393" w:type="dxa"/>
            <w:noWrap w:val="0"/>
            <w:vAlign w:val="center"/>
          </w:tcPr>
          <w:p w14:paraId="48818335">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1000-5000</w:t>
            </w:r>
          </w:p>
        </w:tc>
        <w:tc>
          <w:tcPr>
            <w:tcW w:w="2146" w:type="dxa"/>
            <w:noWrap w:val="0"/>
            <w:vAlign w:val="center"/>
          </w:tcPr>
          <w:p w14:paraId="13CE0B43">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0.50%</w:t>
            </w:r>
          </w:p>
        </w:tc>
        <w:tc>
          <w:tcPr>
            <w:tcW w:w="2146" w:type="dxa"/>
            <w:noWrap w:val="0"/>
            <w:vAlign w:val="center"/>
          </w:tcPr>
          <w:p w14:paraId="4EE6771B">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0.</w:t>
            </w:r>
            <w:r>
              <w:rPr>
                <w:rFonts w:hint="eastAsia" w:ascii="仿宋" w:hAnsi="仿宋" w:eastAsia="仿宋" w:cs="仿宋"/>
                <w:b w:val="0"/>
                <w:bCs w:val="0"/>
                <w:color w:val="auto"/>
                <w:sz w:val="24"/>
                <w:szCs w:val="24"/>
                <w:highlight w:val="none"/>
                <w:lang w:val="en-US" w:eastAsia="zh-CN"/>
              </w:rPr>
              <w:t>25</w:t>
            </w:r>
            <w:r>
              <w:rPr>
                <w:rFonts w:hint="eastAsia" w:ascii="仿宋" w:hAnsi="仿宋" w:eastAsia="仿宋" w:cs="仿宋"/>
                <w:b w:val="0"/>
                <w:bCs w:val="0"/>
                <w:color w:val="auto"/>
                <w:sz w:val="24"/>
                <w:szCs w:val="24"/>
                <w:highlight w:val="none"/>
              </w:rPr>
              <w:t>%</w:t>
            </w:r>
          </w:p>
        </w:tc>
        <w:tc>
          <w:tcPr>
            <w:tcW w:w="1841" w:type="dxa"/>
            <w:noWrap w:val="0"/>
            <w:vAlign w:val="top"/>
          </w:tcPr>
          <w:p w14:paraId="36C066E0">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b w:val="0"/>
                <w:bCs w:val="0"/>
                <w:color w:val="auto"/>
                <w:sz w:val="24"/>
                <w:szCs w:val="24"/>
                <w:highlight w:val="none"/>
              </w:rPr>
            </w:pPr>
          </w:p>
        </w:tc>
      </w:tr>
    </w:tbl>
    <w:p w14:paraId="486EF07F">
      <w:pPr>
        <w:keepNext w:val="0"/>
        <w:keepLines w:val="0"/>
        <w:pageBreakBefore w:val="0"/>
        <w:shd w:val="clear" w:color="auto" w:fill="auto"/>
        <w:kinsoku/>
        <w:wordWrap/>
        <w:overflowPunct/>
        <w:topLinePunct w:val="0"/>
        <w:bidi w:val="0"/>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招标代理服务收费按差额定率累进法计算。例如：某项目招标代理业务</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金额为2000万元，计算招标代理服务收费额如下：</w:t>
      </w:r>
    </w:p>
    <w:p w14:paraId="5B597115">
      <w:pPr>
        <w:keepNext w:val="0"/>
        <w:keepLines w:val="0"/>
        <w:pageBreakBefore w:val="0"/>
        <w:shd w:val="clear" w:color="auto" w:fill="auto"/>
        <w:kinsoku/>
        <w:wordWrap/>
        <w:overflowPunct/>
        <w:topLinePunct w:val="0"/>
        <w:bidi w:val="0"/>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100万元×1.50%=1.5（万元）；</w:t>
      </w:r>
    </w:p>
    <w:p w14:paraId="61E87063">
      <w:pPr>
        <w:keepNext w:val="0"/>
        <w:keepLines w:val="0"/>
        <w:pageBreakBefore w:val="0"/>
        <w:shd w:val="clear" w:color="auto" w:fill="auto"/>
        <w:kinsoku/>
        <w:wordWrap/>
        <w:overflowPunct/>
        <w:topLinePunct w:val="0"/>
        <w:bidi w:val="0"/>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（500-100）万元×1.10%=4.4（万元）</w:t>
      </w:r>
    </w:p>
    <w:p w14:paraId="4B27B4AF">
      <w:pPr>
        <w:keepNext w:val="0"/>
        <w:keepLines w:val="0"/>
        <w:pageBreakBefore w:val="0"/>
        <w:shd w:val="clear" w:color="auto" w:fill="auto"/>
        <w:kinsoku/>
        <w:wordWrap/>
        <w:overflowPunct/>
        <w:topLinePunct w:val="0"/>
        <w:bidi w:val="0"/>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（1000-500）万元×0.80%=4.0（万元）</w:t>
      </w:r>
    </w:p>
    <w:p w14:paraId="7BA135A2">
      <w:pPr>
        <w:keepNext w:val="0"/>
        <w:keepLines w:val="0"/>
        <w:pageBreakBefore w:val="0"/>
        <w:shd w:val="clear" w:color="auto" w:fill="auto"/>
        <w:kinsoku/>
        <w:wordWrap/>
        <w:overflowPunct/>
        <w:topLinePunct w:val="0"/>
        <w:bidi w:val="0"/>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（2000-1000）万元×0.50%=5.0（万元）</w:t>
      </w:r>
    </w:p>
    <w:p w14:paraId="736F5D77">
      <w:pPr>
        <w:shd w:val="clear" w:color="auto" w:fill="auto"/>
        <w:spacing w:line="440" w:lineRule="exact"/>
        <w:ind w:left="210" w:leftChars="100" w:firstLine="360" w:firstLineChars="150"/>
        <w:jc w:val="left"/>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合计收费=1.5+4.4+4.0+5.0=14.9(万元)</w:t>
      </w:r>
    </w:p>
    <w:p w14:paraId="6E7D2E41">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13.投标人应注意的事项</w:t>
      </w:r>
    </w:p>
    <w:p w14:paraId="63269947">
      <w:pPr>
        <w:shd w:val="clear" w:color="auto" w:fill="auto"/>
        <w:spacing w:line="440" w:lineRule="exact"/>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13.1投标人一旦按规定缴纳了投标保证金并参加投标，即被认为接受了本</w:t>
      </w: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rPr>
        <w:t>文件中的所有条件和规定。投标人必须严格按</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的要求编制投标文件，投标文件宜编制页码和目录，以便评委审核。否则，由此产生的一切后果由投标人承担。</w:t>
      </w:r>
    </w:p>
    <w:p w14:paraId="1FF25E3C">
      <w:pPr>
        <w:shd w:val="clear" w:color="auto" w:fill="auto"/>
        <w:spacing w:line="440" w:lineRule="exact"/>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 xml:space="preserve"> 投标人对采购内容中规定的技术参数、规格等要求必须完全响应或优于</w:t>
      </w:r>
      <w:r>
        <w:rPr>
          <w:rFonts w:hint="eastAsia" w:ascii="仿宋" w:hAnsi="仿宋" w:eastAsia="仿宋" w:cs="仿宋"/>
          <w:bCs/>
          <w:color w:val="auto"/>
          <w:sz w:val="24"/>
          <w:szCs w:val="24"/>
          <w:highlight w:val="none"/>
          <w:lang w:eastAsia="zh-CN"/>
        </w:rPr>
        <w:t>采购文件</w:t>
      </w:r>
      <w:r>
        <w:rPr>
          <w:rFonts w:hint="eastAsia" w:ascii="仿宋" w:hAnsi="仿宋" w:eastAsia="仿宋" w:cs="仿宋"/>
          <w:bCs/>
          <w:color w:val="auto"/>
          <w:sz w:val="24"/>
          <w:szCs w:val="24"/>
          <w:highlight w:val="none"/>
        </w:rPr>
        <w:t>中的要求。</w:t>
      </w:r>
    </w:p>
    <w:p w14:paraId="6373126C">
      <w:pPr>
        <w:shd w:val="clear" w:color="auto" w:fill="auto"/>
        <w:spacing w:line="440" w:lineRule="exact"/>
        <w:ind w:firstLine="470" w:firstLineChars="196"/>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所有投标人的投标保证金都应在</w:t>
      </w:r>
      <w:r>
        <w:rPr>
          <w:rFonts w:hint="eastAsia" w:ascii="仿宋" w:hAnsi="仿宋" w:eastAsia="仿宋" w:cs="仿宋"/>
          <w:bCs/>
          <w:color w:val="auto"/>
          <w:sz w:val="24"/>
          <w:szCs w:val="24"/>
          <w:highlight w:val="none"/>
          <w:lang w:eastAsia="zh-CN"/>
        </w:rPr>
        <w:t>采购文件</w:t>
      </w:r>
      <w:r>
        <w:rPr>
          <w:rFonts w:hint="eastAsia" w:ascii="仿宋" w:hAnsi="仿宋" w:eastAsia="仿宋" w:cs="仿宋"/>
          <w:bCs/>
          <w:color w:val="auto"/>
          <w:sz w:val="24"/>
          <w:szCs w:val="24"/>
          <w:highlight w:val="none"/>
        </w:rPr>
        <w:t>规定的投标保证金缴纳截止日期前缴纳。</w:t>
      </w:r>
    </w:p>
    <w:p w14:paraId="48BA0744">
      <w:pPr>
        <w:shd w:val="clear" w:color="auto" w:fill="auto"/>
        <w:spacing w:line="440" w:lineRule="exact"/>
        <w:ind w:firstLine="470" w:firstLineChars="196"/>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单位负责人为同一人或者存在直接控股、管理关系的不同供应商，不得参加同一合同项下的政府采购活动。</w:t>
      </w:r>
      <w:r>
        <w:rPr>
          <w:rFonts w:hint="eastAsia" w:ascii="仿宋" w:hAnsi="仿宋" w:eastAsia="仿宋" w:cs="仿宋"/>
          <w:color w:val="auto"/>
          <w:sz w:val="24"/>
          <w:szCs w:val="24"/>
          <w:highlight w:val="none"/>
        </w:rPr>
        <w:t>为采购项目提供整体设计、规范编制或者项目管理、监理、检测等服务的供应商，不得再参加该采购项目的其他采购活动。</w:t>
      </w:r>
    </w:p>
    <w:p w14:paraId="57059709">
      <w:pPr>
        <w:shd w:val="clear" w:color="auto" w:fill="auto"/>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rPr>
        <w:t>本项目只接受</w:t>
      </w:r>
      <w:r>
        <w:rPr>
          <w:rFonts w:hint="eastAsia" w:ascii="仿宋" w:hAnsi="仿宋" w:eastAsia="仿宋" w:cs="仿宋"/>
          <w:color w:val="auto"/>
          <w:sz w:val="24"/>
          <w:szCs w:val="24"/>
          <w:highlight w:val="none"/>
        </w:rPr>
        <w:t>成为新疆维吾尔自治区政府采购网正式注册入库并完成CA数字证书申领供应商</w:t>
      </w:r>
      <w:r>
        <w:rPr>
          <w:rFonts w:hint="eastAsia" w:ascii="仿宋" w:hAnsi="仿宋" w:eastAsia="仿宋" w:cs="仿宋"/>
          <w:color w:val="auto"/>
          <w:sz w:val="24"/>
          <w:szCs w:val="24"/>
          <w:highlight w:val="none"/>
          <w:lang w:eastAsia="zh-CN"/>
        </w:rPr>
        <w:t>参与投标</w:t>
      </w:r>
      <w:r>
        <w:rPr>
          <w:rFonts w:hint="eastAsia" w:ascii="仿宋" w:hAnsi="仿宋" w:eastAsia="仿宋" w:cs="仿宋"/>
          <w:color w:val="auto"/>
          <w:sz w:val="24"/>
          <w:szCs w:val="24"/>
          <w:highlight w:val="none"/>
        </w:rPr>
        <w:t>。因未注册入库、未办理CA数字证书等原因造成无法投标或投标失败等后果由供应商自行承担。</w:t>
      </w:r>
    </w:p>
    <w:p w14:paraId="463AB489">
      <w:pPr>
        <w:shd w:val="clear" w:color="auto" w:fill="auto"/>
        <w:wordWrap w:val="0"/>
        <w:spacing w:line="440" w:lineRule="exact"/>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6</w:t>
      </w:r>
      <w:r>
        <w:rPr>
          <w:rFonts w:hint="eastAsia" w:ascii="仿宋" w:hAnsi="仿宋" w:eastAsia="仿宋" w:cs="仿宋"/>
          <w:bCs/>
          <w:color w:val="auto"/>
          <w:sz w:val="24"/>
          <w:szCs w:val="24"/>
          <w:highlight w:val="none"/>
        </w:rPr>
        <w:t xml:space="preserve">  投标人被视为充分熟悉本招标项目所在地的与履行合同有关的各种情况，包括但不限于：</w:t>
      </w:r>
    </w:p>
    <w:p w14:paraId="2F432B19">
      <w:pPr>
        <w:shd w:val="clear" w:color="auto" w:fill="auto"/>
        <w:spacing w:line="400" w:lineRule="exact"/>
        <w:ind w:firstLine="360" w:firstLineChars="15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（1）国家对本次投标货物和服务的生产、安装调试、验收、维修等有关法律、法规及行业管理标准；</w:t>
      </w:r>
    </w:p>
    <w:p w14:paraId="519263FC">
      <w:pPr>
        <w:shd w:val="clear" w:color="auto" w:fill="auto"/>
        <w:spacing w:line="400" w:lineRule="exact"/>
        <w:ind w:firstLine="360" w:firstLineChars="15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eastAsia="zh-CN"/>
        </w:rPr>
        <w:t>本地区</w:t>
      </w:r>
      <w:r>
        <w:rPr>
          <w:rFonts w:hint="eastAsia" w:ascii="仿宋" w:hAnsi="仿宋" w:eastAsia="仿宋" w:cs="仿宋"/>
          <w:bCs/>
          <w:color w:val="auto"/>
          <w:sz w:val="24"/>
          <w:szCs w:val="24"/>
          <w:highlight w:val="none"/>
        </w:rPr>
        <w:t>有关管理部门的相关规定；</w:t>
      </w:r>
    </w:p>
    <w:p w14:paraId="05E977F1">
      <w:pPr>
        <w:shd w:val="clear" w:color="auto" w:fill="auto"/>
        <w:spacing w:line="400" w:lineRule="exact"/>
        <w:ind w:firstLine="360" w:firstLineChars="15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（3）招标人的相关场地情况、基础建设、电力供应情况及相关设计标准。</w:t>
      </w:r>
    </w:p>
    <w:p w14:paraId="79E611F7">
      <w:pPr>
        <w:shd w:val="clear" w:color="auto" w:fill="auto"/>
        <w:spacing w:line="400" w:lineRule="exact"/>
        <w:ind w:firstLine="360" w:firstLineChars="15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w:t>
      </w:r>
      <w:r>
        <w:rPr>
          <w:rFonts w:hint="eastAsia" w:ascii="仿宋" w:hAnsi="仿宋" w:eastAsia="仿宋" w:cs="仿宋"/>
          <w:bCs/>
          <w:color w:val="auto"/>
          <w:sz w:val="24"/>
          <w:szCs w:val="24"/>
          <w:highlight w:val="none"/>
          <w:lang w:eastAsia="zh-CN"/>
        </w:rPr>
        <w:t>采购文件</w:t>
      </w:r>
      <w:r>
        <w:rPr>
          <w:rFonts w:hint="eastAsia" w:ascii="仿宋" w:hAnsi="仿宋" w:eastAsia="仿宋" w:cs="仿宋"/>
          <w:bCs/>
          <w:color w:val="auto"/>
          <w:sz w:val="24"/>
          <w:szCs w:val="24"/>
          <w:highlight w:val="none"/>
        </w:rPr>
        <w:t>不再对上述情况进行描述。</w:t>
      </w:r>
    </w:p>
    <w:p w14:paraId="7B702726">
      <w:pPr>
        <w:shd w:val="clear" w:color="auto" w:fill="auto"/>
        <w:spacing w:before="312" w:beforeLines="100" w:after="312" w:afterLines="100" w:line="440" w:lineRule="exact"/>
        <w:jc w:val="center"/>
        <w:outlineLvl w:val="9"/>
        <w:rPr>
          <w:rFonts w:hint="eastAsia" w:ascii="仿宋" w:hAnsi="仿宋" w:eastAsia="仿宋" w:cs="仿宋"/>
          <w:b/>
          <w:color w:val="auto"/>
          <w:sz w:val="28"/>
          <w:szCs w:val="28"/>
          <w:highlight w:val="none"/>
          <w:lang w:eastAsia="zh-CN"/>
        </w:rPr>
      </w:pPr>
      <w:bookmarkStart w:id="47" w:name="_Toc469495725"/>
      <w:r>
        <w:rPr>
          <w:rFonts w:hint="eastAsia" w:ascii="仿宋" w:hAnsi="仿宋" w:eastAsia="仿宋" w:cs="仿宋"/>
          <w:b/>
          <w:color w:val="auto"/>
          <w:sz w:val="28"/>
          <w:szCs w:val="28"/>
          <w:highlight w:val="none"/>
        </w:rPr>
        <w:br w:type="page"/>
      </w:r>
      <w:bookmarkStart w:id="48" w:name="_Toc12818"/>
      <w:r>
        <w:rPr>
          <w:rFonts w:hint="eastAsia" w:ascii="仿宋" w:hAnsi="仿宋" w:eastAsia="仿宋" w:cs="仿宋"/>
          <w:b/>
          <w:color w:val="auto"/>
          <w:sz w:val="28"/>
          <w:szCs w:val="28"/>
          <w:highlight w:val="none"/>
        </w:rPr>
        <w:t>（二）</w:t>
      </w:r>
      <w:bookmarkEnd w:id="47"/>
      <w:r>
        <w:rPr>
          <w:rFonts w:hint="eastAsia" w:ascii="仿宋" w:hAnsi="仿宋" w:eastAsia="仿宋" w:cs="仿宋"/>
          <w:b/>
          <w:color w:val="auto"/>
          <w:sz w:val="28"/>
          <w:szCs w:val="28"/>
          <w:highlight w:val="none"/>
          <w:lang w:val="en-US" w:eastAsia="zh-CN"/>
        </w:rPr>
        <w:t>招标</w:t>
      </w:r>
      <w:r>
        <w:rPr>
          <w:rFonts w:hint="eastAsia" w:ascii="仿宋" w:hAnsi="仿宋" w:eastAsia="仿宋" w:cs="仿宋"/>
          <w:b/>
          <w:color w:val="auto"/>
          <w:sz w:val="28"/>
          <w:szCs w:val="28"/>
          <w:highlight w:val="none"/>
          <w:lang w:eastAsia="zh-CN"/>
        </w:rPr>
        <w:t>文件</w:t>
      </w:r>
      <w:bookmarkEnd w:id="48"/>
    </w:p>
    <w:p w14:paraId="1B083AA4">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15. </w:t>
      </w:r>
      <w:r>
        <w:rPr>
          <w:rFonts w:hint="eastAsia" w:ascii="仿宋" w:hAnsi="仿宋" w:eastAsia="仿宋" w:cs="仿宋"/>
          <w:b/>
          <w:color w:val="auto"/>
          <w:sz w:val="24"/>
          <w:szCs w:val="24"/>
          <w:highlight w:val="none"/>
          <w:lang w:val="en-US" w:eastAsia="zh-CN"/>
        </w:rPr>
        <w:t>招标</w:t>
      </w:r>
      <w:r>
        <w:rPr>
          <w:rFonts w:hint="eastAsia" w:ascii="仿宋" w:hAnsi="仿宋" w:eastAsia="仿宋" w:cs="仿宋"/>
          <w:b/>
          <w:color w:val="auto"/>
          <w:sz w:val="24"/>
          <w:szCs w:val="24"/>
          <w:highlight w:val="none"/>
          <w:lang w:eastAsia="zh-CN"/>
        </w:rPr>
        <w:t>文件</w:t>
      </w:r>
      <w:r>
        <w:rPr>
          <w:rFonts w:hint="eastAsia" w:ascii="仿宋" w:hAnsi="仿宋" w:eastAsia="仿宋" w:cs="仿宋"/>
          <w:b/>
          <w:color w:val="auto"/>
          <w:sz w:val="24"/>
          <w:szCs w:val="24"/>
          <w:highlight w:val="none"/>
        </w:rPr>
        <w:t>的编制依据</w:t>
      </w:r>
    </w:p>
    <w:p w14:paraId="3DDCA9DE">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根据《中华人民共和国政府采购法》、《政府采购货物和服务招标投标管理办法》和《中华人民共和国</w:t>
      </w:r>
      <w:r>
        <w:rPr>
          <w:rFonts w:hint="eastAsia" w:ascii="仿宋" w:hAnsi="仿宋" w:eastAsia="仿宋" w:cs="仿宋"/>
          <w:color w:val="auto"/>
          <w:sz w:val="24"/>
          <w:szCs w:val="24"/>
          <w:highlight w:val="none"/>
          <w:lang w:val="en-US" w:eastAsia="zh-CN"/>
        </w:rPr>
        <w:t>民法典</w:t>
      </w:r>
      <w:r>
        <w:rPr>
          <w:rFonts w:hint="eastAsia" w:ascii="仿宋" w:hAnsi="仿宋" w:eastAsia="仿宋" w:cs="仿宋"/>
          <w:color w:val="auto"/>
          <w:sz w:val="24"/>
          <w:szCs w:val="24"/>
          <w:highlight w:val="none"/>
        </w:rPr>
        <w:t>》</w:t>
      </w:r>
      <w:r>
        <w:rPr>
          <w:rFonts w:hint="eastAsia" w:ascii="仿宋" w:hAnsi="仿宋" w:eastAsia="仿宋" w:cs="仿宋"/>
          <w:color w:val="auto"/>
          <w:spacing w:val="-2"/>
          <w:sz w:val="24"/>
          <w:szCs w:val="24"/>
          <w:highlight w:val="none"/>
        </w:rPr>
        <w:t>等相关法律法规和规章及部、省、市级规范性文件的规定，编制本</w:t>
      </w:r>
      <w:r>
        <w:rPr>
          <w:rFonts w:hint="eastAsia" w:ascii="仿宋" w:hAnsi="仿宋" w:eastAsia="仿宋" w:cs="仿宋"/>
          <w:color w:val="auto"/>
          <w:spacing w:val="-2"/>
          <w:sz w:val="24"/>
          <w:szCs w:val="24"/>
          <w:highlight w:val="none"/>
          <w:lang w:eastAsia="zh-CN"/>
        </w:rPr>
        <w:t>采购文件</w:t>
      </w:r>
      <w:r>
        <w:rPr>
          <w:rFonts w:hint="eastAsia" w:ascii="仿宋" w:hAnsi="仿宋" w:eastAsia="仿宋" w:cs="仿宋"/>
          <w:color w:val="auto"/>
          <w:spacing w:val="-2"/>
          <w:sz w:val="24"/>
          <w:szCs w:val="24"/>
          <w:highlight w:val="none"/>
        </w:rPr>
        <w:t>。</w:t>
      </w:r>
    </w:p>
    <w:p w14:paraId="2716F2CE">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16. </w:t>
      </w:r>
      <w:r>
        <w:rPr>
          <w:rFonts w:hint="eastAsia" w:ascii="仿宋" w:hAnsi="仿宋" w:eastAsia="仿宋" w:cs="仿宋"/>
          <w:b/>
          <w:color w:val="auto"/>
          <w:sz w:val="24"/>
          <w:szCs w:val="24"/>
          <w:highlight w:val="none"/>
          <w:lang w:val="en-US" w:eastAsia="zh-CN"/>
        </w:rPr>
        <w:t>招标</w:t>
      </w:r>
      <w:r>
        <w:rPr>
          <w:rFonts w:hint="eastAsia" w:ascii="仿宋" w:hAnsi="仿宋" w:eastAsia="仿宋" w:cs="仿宋"/>
          <w:b/>
          <w:color w:val="auto"/>
          <w:sz w:val="24"/>
          <w:szCs w:val="24"/>
          <w:highlight w:val="none"/>
          <w:lang w:eastAsia="zh-CN"/>
        </w:rPr>
        <w:t>文件</w:t>
      </w:r>
      <w:r>
        <w:rPr>
          <w:rFonts w:hint="eastAsia" w:ascii="仿宋" w:hAnsi="仿宋" w:eastAsia="仿宋" w:cs="仿宋"/>
          <w:b/>
          <w:color w:val="auto"/>
          <w:sz w:val="24"/>
          <w:szCs w:val="24"/>
          <w:highlight w:val="none"/>
        </w:rPr>
        <w:t>的组成</w:t>
      </w:r>
    </w:p>
    <w:p w14:paraId="1C60865B">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16.1 </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包括内容：</w:t>
      </w:r>
    </w:p>
    <w:p w14:paraId="7CE560A8">
      <w:pPr>
        <w:shd w:val="clear" w:color="auto" w:fill="auto"/>
        <w:spacing w:line="440" w:lineRule="exact"/>
        <w:ind w:firstLine="1680" w:firstLineChars="7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第一章 </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szCs w:val="24"/>
          <w:highlight w:val="none"/>
          <w:lang w:val="en-US" w:eastAsia="zh-CN"/>
        </w:rPr>
        <w:t>招标</w:t>
      </w:r>
      <w:r>
        <w:rPr>
          <w:rFonts w:hint="eastAsia" w:ascii="仿宋" w:hAnsi="仿宋" w:eastAsia="仿宋" w:cs="仿宋"/>
          <w:color w:val="auto"/>
          <w:sz w:val="24"/>
          <w:szCs w:val="24"/>
          <w:highlight w:val="none"/>
        </w:rPr>
        <w:t>公告</w:t>
      </w:r>
    </w:p>
    <w:p w14:paraId="5223FE4E">
      <w:pPr>
        <w:shd w:val="clear" w:color="auto" w:fill="auto"/>
        <w:spacing w:line="440" w:lineRule="exact"/>
        <w:ind w:firstLine="1680" w:firstLineChars="7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  投标须知</w:t>
      </w:r>
    </w:p>
    <w:p w14:paraId="1DBE529F">
      <w:pPr>
        <w:shd w:val="clear" w:color="auto" w:fill="auto"/>
        <w:spacing w:line="440" w:lineRule="exact"/>
        <w:ind w:firstLine="1680" w:firstLineChars="7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  评标办法</w:t>
      </w:r>
    </w:p>
    <w:p w14:paraId="7CC4E153">
      <w:pPr>
        <w:shd w:val="clear" w:color="auto" w:fill="auto"/>
        <w:spacing w:line="440" w:lineRule="exact"/>
        <w:ind w:firstLine="1680" w:firstLineChars="7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第四章  </w:t>
      </w:r>
      <w:r>
        <w:rPr>
          <w:rFonts w:hint="eastAsia" w:ascii="仿宋" w:hAnsi="仿宋" w:eastAsia="仿宋" w:cs="仿宋"/>
          <w:color w:val="auto"/>
          <w:sz w:val="24"/>
          <w:szCs w:val="22"/>
          <w:highlight w:val="none"/>
        </w:rPr>
        <w:t>招标内容及技术要求</w:t>
      </w:r>
    </w:p>
    <w:p w14:paraId="4E565C80">
      <w:pPr>
        <w:shd w:val="clear" w:color="auto" w:fill="auto"/>
        <w:spacing w:line="440" w:lineRule="exact"/>
        <w:ind w:firstLine="1680" w:firstLineChars="7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第五章  </w:t>
      </w:r>
      <w:r>
        <w:rPr>
          <w:rFonts w:hint="eastAsia" w:ascii="仿宋" w:hAnsi="仿宋" w:eastAsia="仿宋" w:cs="仿宋"/>
          <w:color w:val="auto"/>
          <w:sz w:val="24"/>
          <w:szCs w:val="36"/>
          <w:highlight w:val="none"/>
        </w:rPr>
        <w:t>合同条款及格式</w:t>
      </w:r>
    </w:p>
    <w:p w14:paraId="5AFFAFE7">
      <w:pPr>
        <w:shd w:val="clear" w:color="auto" w:fill="auto"/>
        <w:spacing w:line="440" w:lineRule="exact"/>
        <w:ind w:firstLine="1680" w:firstLineChars="7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第六章</w:t>
      </w:r>
      <w:r>
        <w:rPr>
          <w:rFonts w:hint="eastAsia" w:ascii="仿宋" w:hAnsi="仿宋" w:eastAsia="仿宋" w:cs="仿宋"/>
          <w:color w:val="auto"/>
          <w:sz w:val="24"/>
          <w:szCs w:val="24"/>
          <w:highlight w:val="none"/>
        </w:rPr>
        <w:t>：投标书格式</w:t>
      </w:r>
    </w:p>
    <w:p w14:paraId="0DE19572">
      <w:pPr>
        <w:shd w:val="clear" w:color="auto" w:fill="auto"/>
        <w:spacing w:line="44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16.2 除16.1内容外，招标答疑亦为</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的组成部分，对招标人和投标人起约束作用。</w:t>
      </w:r>
    </w:p>
    <w:p w14:paraId="5FD66829">
      <w:pPr>
        <w:pStyle w:val="11"/>
        <w:shd w:val="clear" w:color="auto" w:fill="auto"/>
        <w:wordWrap w:val="0"/>
        <w:spacing w:line="400" w:lineRule="exac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15"/>
          <w:szCs w:val="24"/>
          <w:highlight w:val="none"/>
        </w:rPr>
        <w:t xml:space="preserve"> </w:t>
      </w:r>
      <w:r>
        <w:rPr>
          <w:rFonts w:hint="eastAsia" w:ascii="仿宋" w:hAnsi="仿宋" w:eastAsia="仿宋" w:cs="仿宋"/>
          <w:color w:val="auto"/>
          <w:kern w:val="2"/>
          <w:sz w:val="24"/>
          <w:szCs w:val="24"/>
          <w:highlight w:val="none"/>
          <w:lang w:val="en-US" w:eastAsia="zh-CN" w:bidi="ar-SA"/>
        </w:rPr>
        <w:t xml:space="preserve">  16.3投标人应仔细阅读和检查采购文件的全部内容。如发现缺页或附件不全，应及时向招标人提出，以便补齐。如有疑问，投标人应在以书面形式一次性向采购人和采购代理机构提出同一环节的质疑。</w:t>
      </w:r>
    </w:p>
    <w:p w14:paraId="6C3E0233">
      <w:pPr>
        <w:shd w:val="clear" w:color="auto" w:fill="auto"/>
        <w:wordWrap w:val="0"/>
        <w:spacing w:line="44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w:t>
      </w:r>
      <w:r>
        <w:rPr>
          <w:rFonts w:hint="eastAsia" w:ascii="仿宋" w:hAnsi="仿宋" w:eastAsia="仿宋" w:cs="仿宋"/>
          <w:color w:val="auto"/>
          <w:sz w:val="24"/>
          <w:szCs w:val="24"/>
          <w:highlight w:val="none"/>
          <w:lang w:val="en-US" w:eastAsia="zh-CN"/>
        </w:rPr>
        <w:t>新疆</w:t>
      </w:r>
      <w:r>
        <w:rPr>
          <w:rFonts w:hint="eastAsia" w:ascii="仿宋" w:hAnsi="仿宋" w:eastAsia="仿宋" w:cs="仿宋"/>
          <w:color w:val="auto"/>
          <w:sz w:val="24"/>
          <w:szCs w:val="24"/>
          <w:highlight w:val="none"/>
        </w:rPr>
        <w:t>政府采购网下载专区下载。</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的澄清将在</w:t>
      </w:r>
      <w:r>
        <w:rPr>
          <w:rFonts w:hint="eastAsia" w:ascii="仿宋" w:hAnsi="仿宋" w:eastAsia="仿宋" w:cs="仿宋"/>
          <w:color w:val="auto"/>
          <w:sz w:val="24"/>
          <w:szCs w:val="24"/>
          <w:highlight w:val="none"/>
          <w:lang w:eastAsia="zh-CN"/>
        </w:rPr>
        <w:t>政采云平台“更正公告”栏目予以公告</w:t>
      </w:r>
      <w:r>
        <w:rPr>
          <w:rFonts w:hint="eastAsia" w:ascii="仿宋" w:hAnsi="仿宋" w:eastAsia="仿宋" w:cs="仿宋"/>
          <w:color w:val="auto"/>
          <w:sz w:val="24"/>
          <w:szCs w:val="24"/>
          <w:highlight w:val="none"/>
        </w:rPr>
        <w:t>，但不指明澄清问题的来源。如果澄清内容影响投标文件编制的，将相应延长投标截止时间。</w:t>
      </w:r>
    </w:p>
    <w:p w14:paraId="6CF6D213">
      <w:pPr>
        <w:shd w:val="clear" w:color="auto" w:fill="auto"/>
        <w:spacing w:line="44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17. </w:t>
      </w:r>
      <w:r>
        <w:rPr>
          <w:rFonts w:hint="eastAsia" w:ascii="仿宋" w:hAnsi="仿宋" w:eastAsia="仿宋" w:cs="仿宋"/>
          <w:b/>
          <w:bCs/>
          <w:color w:val="auto"/>
          <w:sz w:val="24"/>
          <w:szCs w:val="24"/>
          <w:highlight w:val="none"/>
          <w:lang w:eastAsia="zh-CN"/>
        </w:rPr>
        <w:t>招标文件</w:t>
      </w:r>
      <w:r>
        <w:rPr>
          <w:rFonts w:hint="eastAsia" w:ascii="仿宋" w:hAnsi="仿宋" w:eastAsia="仿宋" w:cs="仿宋"/>
          <w:b/>
          <w:bCs/>
          <w:color w:val="auto"/>
          <w:sz w:val="24"/>
          <w:szCs w:val="24"/>
          <w:highlight w:val="none"/>
        </w:rPr>
        <w:t>的修改、补充、解释</w:t>
      </w:r>
    </w:p>
    <w:p w14:paraId="4CB73449">
      <w:pPr>
        <w:shd w:val="clear" w:color="auto" w:fill="auto"/>
        <w:wordWrap w:val="0"/>
        <w:spacing w:line="400" w:lineRule="exact"/>
        <w:ind w:firstLine="360" w:firstLineChars="15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发出后，招标人在规定的投标截止时间前可对</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进行必要的修改和补充，并以</w:t>
      </w:r>
      <w:r>
        <w:rPr>
          <w:rFonts w:hint="eastAsia" w:ascii="仿宋" w:hAnsi="仿宋" w:eastAsia="仿宋" w:cs="仿宋"/>
          <w:color w:val="auto"/>
          <w:sz w:val="24"/>
          <w:szCs w:val="24"/>
          <w:highlight w:val="none"/>
          <w:lang w:eastAsia="zh-CN"/>
        </w:rPr>
        <w:t>更正</w:t>
      </w:r>
      <w:r>
        <w:rPr>
          <w:rFonts w:hint="eastAsia" w:ascii="仿宋" w:hAnsi="仿宋" w:eastAsia="仿宋" w:cs="仿宋"/>
          <w:color w:val="auto"/>
          <w:sz w:val="24"/>
          <w:szCs w:val="24"/>
          <w:highlight w:val="none"/>
        </w:rPr>
        <w:t>公告形式在</w:t>
      </w:r>
      <w:r>
        <w:rPr>
          <w:rFonts w:hint="eastAsia" w:ascii="仿宋" w:hAnsi="仿宋" w:eastAsia="仿宋" w:cs="仿宋"/>
          <w:color w:val="auto"/>
          <w:sz w:val="24"/>
          <w:szCs w:val="24"/>
          <w:highlight w:val="none"/>
          <w:lang w:eastAsia="zh-CN"/>
        </w:rPr>
        <w:t>政采云平台</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更正公告</w:t>
      </w:r>
      <w:r>
        <w:rPr>
          <w:rFonts w:hint="eastAsia" w:ascii="仿宋" w:hAnsi="仿宋" w:eastAsia="仿宋" w:cs="仿宋"/>
          <w:color w:val="auto"/>
          <w:sz w:val="24"/>
          <w:szCs w:val="24"/>
          <w:highlight w:val="none"/>
        </w:rPr>
        <w:t>”栏目予以公告，请各位投标人注意查看有关澄清内容，如不及时查看造成后果由投标人自负。</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的修改、补充等内容作为</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的组成部分，具有约束作用。</w:t>
      </w:r>
    </w:p>
    <w:p w14:paraId="761FA998">
      <w:pPr>
        <w:shd w:val="clear" w:color="auto" w:fill="auto"/>
        <w:wordWrap w:val="0"/>
        <w:spacing w:line="400" w:lineRule="exact"/>
        <w:ind w:firstLine="360" w:firstLineChars="15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 采购代理机构可视采购具体情况对已发出的采购文件进行必要的澄清、修改或者补充。澄清、修改或者补充的内容可能影响投标文件编制的，应当在投标截止时间至少</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日前，在原公告发布媒体上发布澄清公告，澄清或者修改的内容为采购文件的组成部分；不足</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日的，应当顺延提交投标文件的截止时间。 </w:t>
      </w:r>
      <w:r>
        <w:rPr>
          <w:rFonts w:hint="eastAsia" w:ascii="仿宋" w:hAnsi="仿宋" w:eastAsia="仿宋" w:cs="仿宋"/>
          <w:bCs/>
          <w:color w:val="auto"/>
          <w:sz w:val="24"/>
          <w:szCs w:val="24"/>
          <w:highlight w:val="none"/>
        </w:rPr>
        <w:t>17.</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t>供应商在规定的时间内未对采购文件提出疑问、质疑或要求澄清的，将视其为无异议。</w:t>
      </w:r>
    </w:p>
    <w:p w14:paraId="158F9A07">
      <w:pPr>
        <w:shd w:val="clear" w:color="auto" w:fill="auto"/>
        <w:spacing w:line="400" w:lineRule="exact"/>
        <w:ind w:firstLine="480" w:firstLineChars="200"/>
        <w:outlineLvl w:val="9"/>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17.</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 xml:space="preserve"> </w:t>
      </w:r>
      <w:r>
        <w:rPr>
          <w:rFonts w:hint="eastAsia" w:ascii="仿宋" w:hAnsi="仿宋" w:eastAsia="仿宋" w:cs="仿宋"/>
          <w:bCs/>
          <w:color w:val="auto"/>
          <w:sz w:val="24"/>
          <w:szCs w:val="24"/>
          <w:highlight w:val="none"/>
          <w:lang w:eastAsia="zh-CN"/>
        </w:rPr>
        <w:t>招标文件</w:t>
      </w:r>
      <w:r>
        <w:rPr>
          <w:rFonts w:hint="eastAsia" w:ascii="仿宋" w:hAnsi="仿宋" w:eastAsia="仿宋" w:cs="仿宋"/>
          <w:bCs/>
          <w:color w:val="auto"/>
          <w:sz w:val="24"/>
          <w:szCs w:val="24"/>
          <w:highlight w:val="none"/>
        </w:rPr>
        <w:t>的解释</w:t>
      </w:r>
      <w:r>
        <w:rPr>
          <w:rFonts w:hint="eastAsia" w:ascii="仿宋" w:hAnsi="仿宋" w:eastAsia="仿宋" w:cs="仿宋"/>
          <w:bCs/>
          <w:color w:val="auto"/>
          <w:sz w:val="24"/>
          <w:szCs w:val="24"/>
          <w:highlight w:val="none"/>
          <w:lang w:val="en-US" w:eastAsia="zh-CN"/>
        </w:rPr>
        <w:t xml:space="preserve"> </w:t>
      </w:r>
    </w:p>
    <w:p w14:paraId="63888373">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由招标人（或其委托的招标代理机构）负责解释。</w:t>
      </w:r>
    </w:p>
    <w:p w14:paraId="5832E71C">
      <w:pPr>
        <w:shd w:val="clear" w:color="auto" w:fill="auto"/>
        <w:spacing w:line="400" w:lineRule="exac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18. </w:t>
      </w:r>
      <w:r>
        <w:rPr>
          <w:rFonts w:hint="eastAsia" w:ascii="仿宋" w:hAnsi="仿宋" w:eastAsia="仿宋" w:cs="仿宋"/>
          <w:b/>
          <w:color w:val="auto"/>
          <w:sz w:val="24"/>
          <w:szCs w:val="24"/>
          <w:highlight w:val="none"/>
          <w:lang w:eastAsia="zh-CN"/>
        </w:rPr>
        <w:t>招标文件</w:t>
      </w:r>
      <w:r>
        <w:rPr>
          <w:rFonts w:hint="eastAsia" w:ascii="仿宋" w:hAnsi="仿宋" w:eastAsia="仿宋" w:cs="仿宋"/>
          <w:b/>
          <w:color w:val="auto"/>
          <w:sz w:val="24"/>
          <w:szCs w:val="24"/>
          <w:highlight w:val="none"/>
        </w:rPr>
        <w:t>的发出</w:t>
      </w:r>
    </w:p>
    <w:p w14:paraId="0E893ABD">
      <w:pPr>
        <w:shd w:val="clear" w:color="auto" w:fill="auto"/>
        <w:spacing w:line="400" w:lineRule="exact"/>
        <w:ind w:firstLine="360" w:firstLineChars="15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18.1  </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的澄清、修改、补充及招标答疑等均应报</w:t>
      </w:r>
      <w:r>
        <w:rPr>
          <w:rFonts w:hint="eastAsia" w:ascii="仿宋" w:hAnsi="仿宋" w:eastAsia="仿宋" w:cs="仿宋"/>
          <w:color w:val="auto"/>
          <w:sz w:val="24"/>
          <w:szCs w:val="24"/>
          <w:highlight w:val="none"/>
          <w:lang w:eastAsia="zh-CN"/>
        </w:rPr>
        <w:t>相关部门</w:t>
      </w:r>
      <w:r>
        <w:rPr>
          <w:rFonts w:hint="eastAsia" w:ascii="仿宋" w:hAnsi="仿宋" w:eastAsia="仿宋" w:cs="仿宋"/>
          <w:color w:val="auto"/>
          <w:sz w:val="24"/>
          <w:szCs w:val="24"/>
          <w:highlight w:val="none"/>
        </w:rPr>
        <w:t>备案后，方可发出。</w:t>
      </w:r>
    </w:p>
    <w:p w14:paraId="03573FAA">
      <w:pPr>
        <w:shd w:val="clear" w:color="auto" w:fill="auto"/>
        <w:spacing w:line="440" w:lineRule="exact"/>
        <w:ind w:firstLine="319" w:firstLineChars="133"/>
        <w:outlineLvl w:val="9"/>
        <w:rPr>
          <w:rFonts w:hint="eastAsia" w:ascii="仿宋" w:hAnsi="仿宋" w:eastAsia="仿宋" w:cs="仿宋"/>
          <w:color w:val="auto"/>
          <w:sz w:val="24"/>
          <w:szCs w:val="24"/>
          <w:highlight w:val="none"/>
        </w:rPr>
      </w:pPr>
      <w:bookmarkStart w:id="49" w:name="_Toc469495726"/>
      <w:r>
        <w:rPr>
          <w:rFonts w:hint="eastAsia" w:ascii="仿宋" w:hAnsi="仿宋" w:eastAsia="仿宋" w:cs="仿宋"/>
          <w:b/>
          <w:color w:val="auto"/>
          <w:sz w:val="24"/>
          <w:szCs w:val="24"/>
          <w:highlight w:val="none"/>
        </w:rPr>
        <w:t xml:space="preserve">19. </w:t>
      </w:r>
      <w:r>
        <w:rPr>
          <w:rFonts w:hint="eastAsia" w:ascii="仿宋" w:hAnsi="仿宋" w:eastAsia="仿宋" w:cs="仿宋"/>
          <w:color w:val="auto"/>
          <w:sz w:val="24"/>
          <w:szCs w:val="24"/>
          <w:highlight w:val="none"/>
        </w:rPr>
        <w:t>凡需要设置样品情形时，必须明确是否需要随样品提交检测报告，并明确检测机构的要求、检测内容、</w:t>
      </w:r>
      <w:r>
        <w:rPr>
          <w:rFonts w:hint="eastAsia" w:ascii="仿宋" w:hAnsi="仿宋" w:eastAsia="仿宋" w:cs="仿宋"/>
          <w:b w:val="0"/>
          <w:bCs w:val="0"/>
          <w:color w:val="auto"/>
          <w:sz w:val="24"/>
          <w:szCs w:val="24"/>
          <w:highlight w:val="none"/>
        </w:rPr>
        <w:t>中标样品封存</w:t>
      </w:r>
      <w:r>
        <w:rPr>
          <w:rFonts w:hint="eastAsia" w:ascii="仿宋" w:hAnsi="仿宋" w:eastAsia="仿宋" w:cs="仿宋"/>
          <w:color w:val="auto"/>
          <w:sz w:val="24"/>
          <w:szCs w:val="24"/>
          <w:highlight w:val="none"/>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成交）结果公告。</w:t>
      </w:r>
    </w:p>
    <w:p w14:paraId="6E9D7F5E">
      <w:pPr>
        <w:shd w:val="clear" w:color="auto" w:fill="auto"/>
        <w:spacing w:line="400" w:lineRule="exact"/>
        <w:ind w:firstLine="42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中应明确样品送检方式、检测费用支付方法、投标人在规定时间内无法提供第三方权威检测机构检测报告的处理方式。（</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根据项目需求按上述要求自行描述）</w:t>
      </w:r>
    </w:p>
    <w:p w14:paraId="3BDD1052">
      <w:pPr>
        <w:shd w:val="clear" w:color="auto" w:fill="auto"/>
        <w:spacing w:before="312" w:beforeLines="100" w:after="312" w:afterLines="100" w:line="440" w:lineRule="exact"/>
        <w:jc w:val="center"/>
        <w:outlineLvl w:val="9"/>
        <w:rPr>
          <w:rFonts w:hint="eastAsia" w:ascii="仿宋" w:hAnsi="仿宋" w:eastAsia="仿宋" w:cs="仿宋"/>
          <w:b/>
          <w:color w:val="auto"/>
          <w:sz w:val="28"/>
          <w:szCs w:val="28"/>
          <w:highlight w:val="none"/>
        </w:rPr>
      </w:pPr>
      <w:bookmarkStart w:id="50" w:name="_Toc25047"/>
      <w:r>
        <w:rPr>
          <w:rFonts w:hint="eastAsia" w:ascii="仿宋" w:hAnsi="仿宋" w:eastAsia="仿宋" w:cs="仿宋"/>
          <w:b/>
          <w:color w:val="auto"/>
          <w:sz w:val="28"/>
          <w:szCs w:val="28"/>
          <w:highlight w:val="none"/>
        </w:rPr>
        <w:t>（三）</w:t>
      </w:r>
      <w:r>
        <w:rPr>
          <w:rFonts w:hint="eastAsia" w:ascii="仿宋" w:hAnsi="仿宋" w:eastAsia="仿宋" w:cs="仿宋"/>
          <w:b/>
          <w:color w:val="auto"/>
          <w:sz w:val="28"/>
          <w:szCs w:val="28"/>
          <w:highlight w:val="none"/>
          <w:lang w:eastAsia="zh-CN"/>
        </w:rPr>
        <w:t>投标文件</w:t>
      </w:r>
      <w:r>
        <w:rPr>
          <w:rFonts w:hint="eastAsia" w:ascii="仿宋" w:hAnsi="仿宋" w:eastAsia="仿宋" w:cs="仿宋"/>
          <w:b/>
          <w:color w:val="auto"/>
          <w:sz w:val="28"/>
          <w:szCs w:val="28"/>
          <w:highlight w:val="none"/>
        </w:rPr>
        <w:t>的编制</w:t>
      </w:r>
      <w:bookmarkEnd w:id="49"/>
      <w:bookmarkEnd w:id="50"/>
    </w:p>
    <w:p w14:paraId="28AB0D2F">
      <w:pPr>
        <w:shd w:val="clear" w:color="auto" w:fill="auto"/>
        <w:spacing w:line="440" w:lineRule="exact"/>
        <w:ind w:firstLine="348" w:firstLineChars="145"/>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20. 投标的语言及度量衡单位</w:t>
      </w:r>
    </w:p>
    <w:p w14:paraId="45356109">
      <w:pPr>
        <w:shd w:val="clear" w:color="auto" w:fill="auto"/>
        <w:spacing w:line="440" w:lineRule="exact"/>
        <w:ind w:firstLine="324" w:firstLineChars="13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2468C3FC">
      <w:pPr>
        <w:shd w:val="clear" w:color="auto" w:fill="auto"/>
        <w:spacing w:line="440" w:lineRule="exact"/>
        <w:ind w:firstLine="324" w:firstLineChars="13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20.2除</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中另有规定外，投标书所使用的度量衡均须采用法定计量单位。</w:t>
      </w:r>
    </w:p>
    <w:p w14:paraId="2AB03ED1">
      <w:pPr>
        <w:shd w:val="clear" w:color="auto" w:fill="auto"/>
        <w:spacing w:line="400" w:lineRule="exact"/>
        <w:ind w:firstLine="235" w:firstLineChars="98"/>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21. </w:t>
      </w:r>
      <w:r>
        <w:rPr>
          <w:rFonts w:hint="eastAsia" w:ascii="仿宋" w:hAnsi="仿宋" w:eastAsia="仿宋" w:cs="仿宋"/>
          <w:b/>
          <w:color w:val="auto"/>
          <w:sz w:val="24"/>
          <w:szCs w:val="24"/>
          <w:highlight w:val="none"/>
          <w:lang w:eastAsia="zh-CN"/>
        </w:rPr>
        <w:t>投标文件</w:t>
      </w:r>
      <w:r>
        <w:rPr>
          <w:rFonts w:hint="eastAsia" w:ascii="仿宋" w:hAnsi="仿宋" w:eastAsia="仿宋" w:cs="仿宋"/>
          <w:b/>
          <w:color w:val="auto"/>
          <w:sz w:val="24"/>
          <w:szCs w:val="24"/>
          <w:highlight w:val="none"/>
        </w:rPr>
        <w:t>的组成</w:t>
      </w:r>
    </w:p>
    <w:p w14:paraId="616D825E">
      <w:pPr>
        <w:shd w:val="clear" w:color="auto" w:fill="auto"/>
        <w:spacing w:line="440" w:lineRule="exact"/>
        <w:ind w:firstLine="832" w:firstLineChars="347"/>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附件一、投标书</w:t>
      </w:r>
    </w:p>
    <w:p w14:paraId="1B0B1A04">
      <w:pPr>
        <w:shd w:val="clear" w:color="auto" w:fill="auto"/>
        <w:spacing w:line="440" w:lineRule="exact"/>
        <w:ind w:firstLine="832" w:firstLineChars="347"/>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附件二、法定代表人资格证明书</w:t>
      </w:r>
    </w:p>
    <w:p w14:paraId="52BC9155">
      <w:pPr>
        <w:shd w:val="clear" w:color="auto" w:fill="auto"/>
        <w:spacing w:line="440" w:lineRule="exact"/>
        <w:ind w:firstLine="832" w:firstLineChars="347"/>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附件三、法定代表人授权委托书</w:t>
      </w:r>
    </w:p>
    <w:p w14:paraId="4B565932">
      <w:pPr>
        <w:shd w:val="clear" w:color="auto" w:fill="auto"/>
        <w:spacing w:line="440" w:lineRule="exact"/>
        <w:ind w:firstLine="832" w:firstLineChars="347"/>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附件四、关于招标文件的声明函</w:t>
      </w:r>
    </w:p>
    <w:p w14:paraId="4D5B63EB">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附件五、诚信投标承诺书</w:t>
      </w:r>
    </w:p>
    <w:p w14:paraId="1F85E916">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附件六、供应商反商业贿赂承诺书</w:t>
      </w:r>
    </w:p>
    <w:p w14:paraId="3D156ED1">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附件七、中小企业声明函（货物）附件（</w:t>
      </w:r>
      <w:r>
        <w:rPr>
          <w:rFonts w:hint="eastAsia" w:ascii="仿宋" w:hAnsi="仿宋" w:eastAsia="仿宋" w:cs="仿宋"/>
          <w:color w:val="auto"/>
          <w:sz w:val="24"/>
          <w:szCs w:val="24"/>
          <w:highlight w:val="none"/>
          <w:lang w:val="en-US" w:eastAsia="zh-CN"/>
        </w:rPr>
        <w:t>如需</w:t>
      </w:r>
      <w:r>
        <w:rPr>
          <w:rFonts w:hint="eastAsia" w:ascii="仿宋" w:hAnsi="仿宋" w:eastAsia="仿宋" w:cs="仿宋"/>
          <w:color w:val="auto"/>
          <w:sz w:val="24"/>
          <w:szCs w:val="24"/>
          <w:highlight w:val="none"/>
          <w:lang w:eastAsia="zh-CN"/>
        </w:rPr>
        <w:t>）</w:t>
      </w:r>
    </w:p>
    <w:p w14:paraId="11684B01">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附件八、开标一览表附件</w:t>
      </w:r>
    </w:p>
    <w:p w14:paraId="4961398B">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w:t>
      </w:r>
      <w:r>
        <w:rPr>
          <w:rFonts w:hint="eastAsia" w:ascii="仿宋" w:hAnsi="仿宋" w:eastAsia="仿宋" w:cs="仿宋"/>
          <w:color w:val="auto"/>
          <w:sz w:val="24"/>
          <w:szCs w:val="24"/>
          <w:highlight w:val="none"/>
          <w:lang w:val="en-US" w:eastAsia="zh-CN"/>
        </w:rPr>
        <w:t>九</w:t>
      </w:r>
      <w:r>
        <w:rPr>
          <w:rFonts w:hint="eastAsia" w:ascii="仿宋" w:hAnsi="仿宋" w:eastAsia="仿宋" w:cs="仿宋"/>
          <w:color w:val="auto"/>
          <w:sz w:val="24"/>
          <w:szCs w:val="24"/>
          <w:highlight w:val="none"/>
          <w:lang w:eastAsia="zh-CN"/>
        </w:rPr>
        <w:t>、投标产品名称、数量、规格分项报价表</w:t>
      </w:r>
    </w:p>
    <w:p w14:paraId="140125E0">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附件十、技术规格偏离表</w:t>
      </w:r>
    </w:p>
    <w:p w14:paraId="0682B33B">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附件十一、商务条款偏离表</w:t>
      </w:r>
    </w:p>
    <w:p w14:paraId="2B9723FE">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附件十二、投标产品近三年（从投标截至时间往前推算）同类产品销售业绩表</w:t>
      </w:r>
    </w:p>
    <w:p w14:paraId="519825C5">
      <w:pPr>
        <w:shd w:val="clear" w:color="auto" w:fill="auto"/>
        <w:spacing w:line="440" w:lineRule="exact"/>
        <w:ind w:firstLine="832" w:firstLineChars="34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附件十三、</w:t>
      </w:r>
      <w:r>
        <w:rPr>
          <w:rFonts w:hint="eastAsia" w:ascii="仿宋" w:hAnsi="仿宋" w:eastAsia="仿宋" w:cs="仿宋"/>
          <w:color w:val="auto"/>
          <w:sz w:val="24"/>
          <w:szCs w:val="24"/>
          <w:highlight w:val="none"/>
          <w:lang w:eastAsia="zh-CN"/>
        </w:rPr>
        <w:t>招标文件要求的或投标供应商认为有必要提供的其他文件</w:t>
      </w:r>
    </w:p>
    <w:p w14:paraId="15979F66">
      <w:pPr>
        <w:shd w:val="clear" w:color="auto" w:fill="auto"/>
        <w:spacing w:line="400" w:lineRule="exact"/>
        <w:ind w:firstLine="477" w:firstLineChars="199"/>
        <w:outlineLvl w:val="9"/>
        <w:rPr>
          <w:rFonts w:hint="eastAsia" w:ascii="仿宋" w:hAnsi="仿宋" w:eastAsia="仿宋" w:cs="仿宋"/>
          <w:color w:val="auto"/>
          <w:sz w:val="24"/>
          <w:szCs w:val="24"/>
          <w:highlight w:val="none"/>
          <w:lang w:eastAsia="zh-CN"/>
        </w:rPr>
      </w:pPr>
      <w:r>
        <w:rPr>
          <w:rFonts w:hint="eastAsia" w:ascii="仿宋" w:hAnsi="仿宋" w:eastAsia="仿宋" w:cs="仿宋"/>
          <w:b/>
          <w:color w:val="auto"/>
          <w:kern w:val="0"/>
          <w:sz w:val="24"/>
          <w:szCs w:val="24"/>
          <w:highlight w:val="none"/>
          <w:u w:val="single"/>
        </w:rPr>
        <w:t>注：以上材料须</w:t>
      </w:r>
      <w:r>
        <w:rPr>
          <w:rFonts w:hint="eastAsia" w:ascii="仿宋" w:hAnsi="仿宋" w:eastAsia="仿宋" w:cs="仿宋"/>
          <w:b/>
          <w:color w:val="auto"/>
          <w:kern w:val="0"/>
          <w:sz w:val="24"/>
          <w:szCs w:val="24"/>
          <w:highlight w:val="none"/>
          <w:u w:val="single"/>
          <w:lang w:eastAsia="zh-CN"/>
        </w:rPr>
        <w:t>逐页</w:t>
      </w:r>
      <w:r>
        <w:rPr>
          <w:rFonts w:hint="eastAsia" w:ascii="仿宋" w:hAnsi="仿宋" w:eastAsia="仿宋" w:cs="仿宋"/>
          <w:b/>
          <w:color w:val="auto"/>
          <w:kern w:val="0"/>
          <w:sz w:val="24"/>
          <w:szCs w:val="24"/>
          <w:highlight w:val="none"/>
          <w:u w:val="single"/>
        </w:rPr>
        <w:t>加盖单位公章</w:t>
      </w:r>
      <w:r>
        <w:rPr>
          <w:rFonts w:hint="eastAsia" w:ascii="仿宋" w:hAnsi="仿宋" w:eastAsia="仿宋" w:cs="仿宋"/>
          <w:b/>
          <w:color w:val="auto"/>
          <w:kern w:val="0"/>
          <w:sz w:val="24"/>
          <w:szCs w:val="24"/>
          <w:highlight w:val="none"/>
          <w:u w:val="single"/>
          <w:lang w:eastAsia="zh-CN"/>
        </w:rPr>
        <w:t>。</w:t>
      </w:r>
    </w:p>
    <w:p w14:paraId="2AC414BF">
      <w:pPr>
        <w:shd w:val="clear" w:color="auto" w:fill="auto"/>
        <w:spacing w:line="400" w:lineRule="exact"/>
        <w:ind w:firstLine="477" w:firstLineChars="199"/>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）供应商应仔细阅读</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文件的所有内容，按照</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文件的要求详细编制投标文件，所提交的全部资料必须真实有效，并且要保证字迹清晰易于辨认。投标文件应对</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文件实质性内容作出响应，否则按无效标处理。</w:t>
      </w:r>
    </w:p>
    <w:p w14:paraId="4AB955AF">
      <w:pPr>
        <w:shd w:val="clear" w:color="auto" w:fill="auto"/>
        <w:spacing w:line="400" w:lineRule="exact"/>
        <w:ind w:firstLine="477" w:firstLineChars="199"/>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）投标文件格式应按本</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lang w:val="en-US" w:eastAsia="zh-CN"/>
        </w:rPr>
        <w:t>附件：投标书</w:t>
      </w:r>
      <w:r>
        <w:rPr>
          <w:rFonts w:hint="eastAsia" w:ascii="仿宋" w:hAnsi="仿宋" w:eastAsia="仿宋" w:cs="仿宋"/>
          <w:color w:val="auto"/>
          <w:sz w:val="24"/>
          <w:szCs w:val="24"/>
          <w:highlight w:val="none"/>
          <w:lang w:eastAsia="zh-CN"/>
        </w:rPr>
        <w:t>格式要求编制，不得对</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文件格式进行增删更改，否则按无效标处理。</w:t>
      </w:r>
    </w:p>
    <w:p w14:paraId="23D4940C">
      <w:pPr>
        <w:shd w:val="clear" w:color="auto" w:fill="auto"/>
        <w:spacing w:line="400" w:lineRule="exact"/>
        <w:ind w:firstLine="477" w:firstLineChars="199"/>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）对</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文件格式可更改的例外情况：</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lang w:val="en-US" w:eastAsia="zh-CN"/>
        </w:rPr>
        <w:t>附件：投标书</w:t>
      </w:r>
      <w:r>
        <w:rPr>
          <w:rFonts w:hint="eastAsia" w:ascii="仿宋" w:hAnsi="仿宋" w:eastAsia="仿宋" w:cs="仿宋"/>
          <w:color w:val="auto"/>
          <w:sz w:val="24"/>
          <w:szCs w:val="24"/>
          <w:highlight w:val="none"/>
          <w:lang w:eastAsia="zh-CN"/>
        </w:rPr>
        <w:t xml:space="preserve">格式要求中明确规定表格中行数不够用时可按相同格式增加行数，其他一切内容和格式不得更改。 </w:t>
      </w:r>
    </w:p>
    <w:p w14:paraId="7B1675AC">
      <w:pPr>
        <w:shd w:val="clear" w:color="auto" w:fill="auto"/>
        <w:spacing w:line="400" w:lineRule="exact"/>
        <w:ind w:firstLine="477" w:firstLineChars="199"/>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）投标文件为电子投标文件，电子投标文件按“政采云供应商项目采购-电子招投标操作指南”及本采购文件要求制作、加密传输。</w:t>
      </w:r>
    </w:p>
    <w:p w14:paraId="386A570F">
      <w:pPr>
        <w:shd w:val="clear" w:color="auto" w:fill="auto"/>
        <w:spacing w:line="400" w:lineRule="exact"/>
        <w:ind w:firstLine="477" w:firstLineChars="199"/>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）投标文件未在投标截止时间前完成传输的，视为投标文件撤回；投标文件未按时解密也未提供备份投标文件的，亦视为投标文件撤回。</w:t>
      </w:r>
    </w:p>
    <w:p w14:paraId="67CDFA9B">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22</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lang w:val="en-US" w:eastAsia="zh-CN"/>
        </w:rPr>
        <w:t>投标</w:t>
      </w:r>
      <w:r>
        <w:rPr>
          <w:rFonts w:hint="eastAsia" w:ascii="仿宋" w:hAnsi="仿宋" w:eastAsia="仿宋" w:cs="仿宋"/>
          <w:b/>
          <w:color w:val="auto"/>
          <w:sz w:val="24"/>
          <w:szCs w:val="24"/>
          <w:highlight w:val="none"/>
        </w:rPr>
        <w:t>报价</w:t>
      </w:r>
    </w:p>
    <w:p w14:paraId="33502258">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22.1投标报价文件中的单价和总价全部采用人民币表示。</w:t>
      </w:r>
    </w:p>
    <w:p w14:paraId="6632CE11">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22.2投标报价表上应清楚地标明投标人拟提供货物的名称、型号、生产厂家、数量、单价和总价。</w:t>
      </w:r>
    </w:p>
    <w:p w14:paraId="33FB2CA5">
      <w:pPr>
        <w:shd w:val="clear" w:color="auto" w:fill="auto"/>
        <w:spacing w:line="440" w:lineRule="exact"/>
        <w:ind w:firstLine="480"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报价应包括：货物及服务本身价格、保险费用、包装费、运输费用、二次搬运费、损耗、税金费用、随产品备品备件费、专用工具费、随产品资料费、安装费、调试费、自检费及验收合格前和质保期内发生的一切费用、应当提供的伴随服务/售后服务费用</w:t>
      </w:r>
      <w:r>
        <w:rPr>
          <w:rFonts w:hint="eastAsia" w:ascii="仿宋" w:hAnsi="仿宋" w:eastAsia="仿宋" w:cs="仿宋"/>
          <w:color w:val="auto"/>
          <w:sz w:val="24"/>
          <w:szCs w:val="24"/>
          <w:highlight w:val="none"/>
          <w:lang w:eastAsia="zh-CN"/>
        </w:rPr>
        <w:t>。</w:t>
      </w:r>
    </w:p>
    <w:p w14:paraId="6F40A2FA">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投标报价的价格是货物交货地验收价格，其总价即为履行合同的固定总价。</w:t>
      </w:r>
    </w:p>
    <w:p w14:paraId="1E80F384">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技术要求中规定的安装、调试和培训费用应包括在投标价格中。投标文件报价为含税价，招标人不再为此次招标支付任何费用。</w:t>
      </w:r>
    </w:p>
    <w:p w14:paraId="7A55551F">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投标报价应由法定代表人或被授权人签署。</w:t>
      </w:r>
    </w:p>
    <w:p w14:paraId="3E282EC1">
      <w:pPr>
        <w:shd w:val="clear" w:color="auto" w:fill="auto"/>
        <w:spacing w:line="440" w:lineRule="exact"/>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22.8</w:t>
      </w:r>
      <w:r>
        <w:rPr>
          <w:rFonts w:hint="eastAsia" w:ascii="仿宋" w:hAnsi="仿宋" w:eastAsia="仿宋" w:cs="仿宋"/>
          <w:b/>
          <w:color w:val="auto"/>
          <w:sz w:val="24"/>
          <w:szCs w:val="24"/>
          <w:highlight w:val="none"/>
        </w:rPr>
        <w:t>投标人投标总报价，</w:t>
      </w:r>
      <w:r>
        <w:rPr>
          <w:rFonts w:hint="eastAsia" w:ascii="仿宋" w:hAnsi="仿宋" w:eastAsia="仿宋" w:cs="仿宋"/>
          <w:b/>
          <w:color w:val="auto"/>
          <w:sz w:val="24"/>
          <w:szCs w:val="24"/>
          <w:highlight w:val="none"/>
          <w:lang w:val="en-US" w:eastAsia="zh-CN"/>
        </w:rPr>
        <w:t>每包</w:t>
      </w:r>
      <w:r>
        <w:rPr>
          <w:rFonts w:hint="eastAsia" w:ascii="仿宋" w:hAnsi="仿宋" w:eastAsia="仿宋" w:cs="仿宋"/>
          <w:b/>
          <w:color w:val="auto"/>
          <w:sz w:val="24"/>
          <w:szCs w:val="24"/>
          <w:highlight w:val="none"/>
        </w:rPr>
        <w:t>不得高于本次招标设置的最高限价，</w:t>
      </w:r>
      <w:r>
        <w:rPr>
          <w:rFonts w:hint="eastAsia" w:ascii="仿宋" w:hAnsi="仿宋" w:eastAsia="仿宋" w:cs="仿宋"/>
          <w:b/>
          <w:bCs/>
          <w:color w:val="auto"/>
          <w:sz w:val="24"/>
          <w:szCs w:val="24"/>
          <w:highlight w:val="none"/>
        </w:rPr>
        <w:t>否则将作为无效投标处理。</w:t>
      </w:r>
    </w:p>
    <w:p w14:paraId="3A1B68BE">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22.9如投标文件中未列明全面实现投标货物功能而必须配置的配套或辅助设施及相应技术措施的费用，这些费用将被视为已包含在总投标价中。</w:t>
      </w:r>
    </w:p>
    <w:p w14:paraId="036E467F">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22.10总投标价中不得包含</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要求以外的内容，否则，在评标时不予核减，但在授予合同时，招标人有权将这部分价格从其中标价格中扣除。</w:t>
      </w:r>
    </w:p>
    <w:p w14:paraId="1118FBEE">
      <w:pPr>
        <w:shd w:val="clear" w:color="auto" w:fill="auto"/>
        <w:spacing w:line="440" w:lineRule="exact"/>
        <w:ind w:firstLine="460" w:firstLineChars="192"/>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22.11总投标价中不得缺漏</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所要求的内容，否则，评标时将有效投标中该项内容的最高价计入其评标总价，但在授予合同时，缺漏项目的报价视作已含在其他项目的报价中，这些项目将作为免费赠送而包含在合同内。</w:t>
      </w:r>
    </w:p>
    <w:p w14:paraId="178369F9">
      <w:pPr>
        <w:shd w:val="clear" w:color="auto" w:fill="auto"/>
        <w:spacing w:line="440" w:lineRule="exact"/>
        <w:ind w:firstLine="460" w:firstLineChars="19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22.12投标人不得对从第三方采购货物的随机备品、备件另行收费，否则在计算评标价时这部分费用将不予扣除，在授予合同时将从中标价格中扣除该部分费用。</w:t>
      </w:r>
    </w:p>
    <w:p w14:paraId="5BDC1E31">
      <w:pPr>
        <w:shd w:val="clear" w:color="auto" w:fill="auto"/>
        <w:spacing w:line="440" w:lineRule="exact"/>
        <w:ind w:firstLine="460" w:firstLineChars="19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22.13投标人应根据货物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14:paraId="550C1395">
      <w:pPr>
        <w:shd w:val="clear" w:color="auto" w:fill="auto"/>
        <w:spacing w:line="44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 投标有效期</w:t>
      </w:r>
    </w:p>
    <w:p w14:paraId="75152ECE">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除投标人须知前附表另有规定外，投标有效期为</w:t>
      </w:r>
      <w:r>
        <w:rPr>
          <w:rFonts w:hint="eastAsia" w:ascii="仿宋" w:hAnsi="仿宋" w:eastAsia="仿宋" w:cs="仿宋"/>
          <w:color w:val="auto"/>
          <w:sz w:val="24"/>
          <w:szCs w:val="24"/>
          <w:highlight w:val="none"/>
          <w:lang w:val="en-US" w:eastAsia="zh-CN"/>
        </w:rPr>
        <w:t>90</w:t>
      </w:r>
      <w:r>
        <w:rPr>
          <w:rFonts w:hint="eastAsia" w:ascii="仿宋" w:hAnsi="仿宋" w:eastAsia="仿宋" w:cs="仿宋"/>
          <w:color w:val="auto"/>
          <w:sz w:val="24"/>
          <w:szCs w:val="24"/>
          <w:highlight w:val="none"/>
        </w:rPr>
        <w:t>天。</w:t>
      </w:r>
    </w:p>
    <w:p w14:paraId="1F6CDA9F">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23.2在投标有效期内，投标人撤销或修改其投标文件的，应承担</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和法律规定的责任。</w:t>
      </w:r>
    </w:p>
    <w:p w14:paraId="26BE1CD0">
      <w:pPr>
        <w:shd w:val="clear" w:color="auto" w:fill="auto"/>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02568244">
      <w:pPr>
        <w:shd w:val="clear" w:color="auto" w:fill="auto"/>
        <w:spacing w:line="440" w:lineRule="exact"/>
        <w:ind w:firstLine="460" w:firstLineChars="192"/>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 投标保证金</w:t>
      </w:r>
    </w:p>
    <w:p w14:paraId="7AD3DD91">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24.1投标人须知前附表规定递交投标保证金的，投标人在递交投标文件的同时，应按投标人须知前附表规定的金额、担保形式和</w:t>
      </w:r>
      <w:r>
        <w:rPr>
          <w:rFonts w:hint="eastAsia" w:ascii="仿宋" w:hAnsi="仿宋" w:eastAsia="仿宋" w:cs="仿宋"/>
          <w:color w:val="auto"/>
          <w:sz w:val="24"/>
          <w:szCs w:val="24"/>
          <w:highlight w:val="none"/>
          <w:lang w:val="en-US" w:eastAsia="zh-CN"/>
        </w:rPr>
        <w:t>附件：“投标书</w:t>
      </w:r>
      <w:r>
        <w:rPr>
          <w:rFonts w:hint="eastAsia" w:ascii="仿宋" w:hAnsi="仿宋" w:eastAsia="仿宋" w:cs="仿宋"/>
          <w:color w:val="auto"/>
          <w:sz w:val="24"/>
          <w:szCs w:val="24"/>
          <w:highlight w:val="none"/>
          <w:lang w:eastAsia="zh-CN"/>
        </w:rPr>
        <w:t>格式</w:t>
      </w:r>
      <w:r>
        <w:rPr>
          <w:rFonts w:hint="eastAsia" w:ascii="仿宋" w:hAnsi="仿宋" w:eastAsia="仿宋" w:cs="仿宋"/>
          <w:color w:val="auto"/>
          <w:sz w:val="24"/>
          <w:szCs w:val="24"/>
          <w:highlight w:val="none"/>
        </w:rPr>
        <w:t>”规定的投标保证金格式递交投标保证金，并作为其投标文件的组成部分。投标人不按要求提交投标保证金的，评标委员会将否决其投标。</w:t>
      </w:r>
    </w:p>
    <w:p w14:paraId="7FEF3206">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24.2自中标通知书发出之日起5个工作日内退还未中标投标人的投标保证金，自政府采购合同签订之日起5个工作日内退还中标人的投标保证金。</w:t>
      </w:r>
    </w:p>
    <w:p w14:paraId="63852B53">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24.3有下列情形之一的，投标保证金将不予退还： </w:t>
      </w:r>
    </w:p>
    <w:p w14:paraId="36F6FA1A">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（1）投标人在规定的投标有效期内撤回或修改其投标文件；</w:t>
      </w:r>
    </w:p>
    <w:p w14:paraId="11DBDEB0">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通知书发出后三十天内，中标人无正当理由拒签合同协议书或未按</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规定提交履约担保。</w:t>
      </w:r>
    </w:p>
    <w:p w14:paraId="2B1F9750">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（3）提供虚假材料谋取中标的；</w:t>
      </w:r>
    </w:p>
    <w:p w14:paraId="0C5E8407">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（4）经查实属于陪标、串通投标的等。</w:t>
      </w:r>
    </w:p>
    <w:p w14:paraId="62773AAA">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bookmarkStart w:id="51" w:name="_Toc469495727"/>
      <w:r>
        <w:rPr>
          <w:rFonts w:hint="eastAsia" w:ascii="仿宋" w:hAnsi="仿宋" w:eastAsia="仿宋" w:cs="仿宋"/>
          <w:color w:val="auto"/>
          <w:sz w:val="24"/>
          <w:szCs w:val="24"/>
          <w:highlight w:val="none"/>
        </w:rPr>
        <w:t>24.4投标保证金按</w:t>
      </w:r>
      <w:r>
        <w:rPr>
          <w:rFonts w:hint="eastAsia" w:ascii="仿宋" w:hAnsi="仿宋" w:eastAsia="仿宋" w:cs="仿宋"/>
          <w:color w:val="auto"/>
          <w:sz w:val="24"/>
          <w:szCs w:val="24"/>
          <w:highlight w:val="none"/>
          <w:lang w:eastAsia="zh-CN"/>
        </w:rPr>
        <w:t>投标人须知前附表第</w:t>
      </w:r>
      <w:r>
        <w:rPr>
          <w:rFonts w:hint="eastAsia" w:ascii="仿宋" w:hAnsi="仿宋" w:eastAsia="仿宋" w:cs="仿宋"/>
          <w:color w:val="auto"/>
          <w:sz w:val="24"/>
          <w:szCs w:val="24"/>
          <w:highlight w:val="none"/>
          <w:lang w:val="en-US" w:eastAsia="zh-CN"/>
        </w:rPr>
        <w:t>24条</w:t>
      </w:r>
      <w:r>
        <w:rPr>
          <w:rFonts w:hint="eastAsia" w:ascii="仿宋" w:hAnsi="仿宋" w:eastAsia="仿宋" w:cs="仿宋"/>
          <w:color w:val="auto"/>
          <w:sz w:val="24"/>
          <w:szCs w:val="24"/>
          <w:highlight w:val="none"/>
        </w:rPr>
        <w:t>规定执行。</w:t>
      </w:r>
    </w:p>
    <w:p w14:paraId="419EAC9C">
      <w:pPr>
        <w:shd w:val="clear" w:color="auto" w:fill="auto"/>
        <w:tabs>
          <w:tab w:val="left" w:pos="1260"/>
        </w:tabs>
        <w:bidi w:val="0"/>
        <w:jc w:val="center"/>
        <w:outlineLvl w:val="9"/>
        <w:rPr>
          <w:rFonts w:hint="eastAsia" w:ascii="仿宋" w:hAnsi="仿宋" w:eastAsia="仿宋" w:cs="仿宋"/>
          <w:color w:val="auto"/>
          <w:sz w:val="28"/>
          <w:szCs w:val="28"/>
          <w:highlight w:val="none"/>
        </w:rPr>
      </w:pPr>
      <w:bookmarkStart w:id="52" w:name="_Toc603"/>
      <w:r>
        <w:rPr>
          <w:rFonts w:hint="eastAsia" w:ascii="仿宋" w:hAnsi="仿宋" w:eastAsia="仿宋" w:cs="仿宋"/>
          <w:color w:val="auto"/>
          <w:sz w:val="28"/>
          <w:szCs w:val="28"/>
          <w:highlight w:val="none"/>
        </w:rPr>
        <w:t>（四）</w:t>
      </w:r>
      <w:bookmarkEnd w:id="51"/>
      <w:r>
        <w:rPr>
          <w:rFonts w:hint="eastAsia" w:ascii="仿宋" w:hAnsi="仿宋" w:eastAsia="仿宋" w:cs="仿宋"/>
          <w:color w:val="auto"/>
          <w:sz w:val="28"/>
          <w:szCs w:val="28"/>
          <w:highlight w:val="none"/>
        </w:rPr>
        <w:t>投标文件的制作、上传及递交要求</w:t>
      </w:r>
      <w:bookmarkEnd w:id="52"/>
    </w:p>
    <w:p w14:paraId="168B5D1C">
      <w:pPr>
        <w:shd w:val="clear" w:color="auto" w:fill="auto"/>
        <w:snapToGrid w:val="0"/>
        <w:spacing w:line="360" w:lineRule="auto"/>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投标文件的制作要求</w:t>
      </w:r>
    </w:p>
    <w:p w14:paraId="4502DA79">
      <w:pPr>
        <w:pStyle w:val="5"/>
        <w:shd w:val="clear" w:color="auto" w:fill="auto"/>
        <w:snapToGrid w:val="0"/>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（1）供应商应按照投标文件组成内容及项目招标需求和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政府采购云平台要求制作投标文件，不按采购文件和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政府采购云平台要求制作投标文件的将视情况处理（拒收等），由此产生的责任由供应商自行承担。</w:t>
      </w:r>
    </w:p>
    <w:p w14:paraId="07C509D8">
      <w:pPr>
        <w:pStyle w:val="5"/>
        <w:shd w:val="clear" w:color="auto" w:fill="auto"/>
        <w:snapToGrid w:val="0"/>
        <w:spacing w:line="360" w:lineRule="auto"/>
        <w:ind w:firstLine="480" w:firstLineChars="200"/>
        <w:outlineLvl w:val="9"/>
        <w:rPr>
          <w:rFonts w:hint="eastAsia" w:ascii="仿宋" w:hAnsi="仿宋" w:eastAsia="仿宋" w:cs="仿宋"/>
          <w:b w:val="0"/>
          <w:color w:val="auto"/>
          <w:sz w:val="24"/>
          <w:szCs w:val="24"/>
          <w:highlight w:val="none"/>
        </w:rPr>
      </w:pPr>
      <w:r>
        <w:rPr>
          <w:rFonts w:hint="eastAsia" w:ascii="仿宋" w:hAnsi="仿宋" w:eastAsia="仿宋" w:cs="仿宋"/>
          <w:bCs/>
          <w:color w:val="auto"/>
          <w:sz w:val="24"/>
          <w:szCs w:val="24"/>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7804A18B">
      <w:pPr>
        <w:pStyle w:val="5"/>
        <w:shd w:val="clear" w:color="auto" w:fill="auto"/>
        <w:snapToGrid w:val="0"/>
        <w:spacing w:line="360" w:lineRule="auto"/>
        <w:ind w:firstLine="480" w:firstLineChars="200"/>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备份电子投标文件：通过“政采云”平台电子投标工具制作投标文件所产生的备份文件。</w:t>
      </w:r>
    </w:p>
    <w:p w14:paraId="396AD452">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（2）供应商应对所提供的全部资料的真实性、有效性承担法律责任，电子投标文件中所须加盖公章部分均采用CA签章。</w:t>
      </w:r>
    </w:p>
    <w:p w14:paraId="17C94266">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（3）投标文件以及供应商与采购组织机构就有关投标事宜的所有来往函电，均应以中文汉语书写。除签字、盖章、专用名称等特殊情形外，以中文汉语以外的文字表述的投标文件视同未提供。</w:t>
      </w:r>
    </w:p>
    <w:p w14:paraId="7CDEEB13">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（4）投标计量单位，采购文件已有明确规定的，使用采购文件规定的计量单位；采购文件没有规定的，应采用中华人民共和国法定计量单位（货币单位：人民币元）。</w:t>
      </w:r>
    </w:p>
    <w:p w14:paraId="365F946E">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（5）若供应商不按采购文件的要求提供资格审查材料，其风险由供应商自行承担。</w:t>
      </w:r>
    </w:p>
    <w:p w14:paraId="1AB767BD">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（6）与本次投标无关的内容请不要制作在内，确保投标文件有针对性、简洁明了。</w:t>
      </w:r>
    </w:p>
    <w:p w14:paraId="52EB45A8">
      <w:pPr>
        <w:shd w:val="clear" w:color="auto" w:fill="auto"/>
        <w:snapToGrid w:val="0"/>
        <w:spacing w:line="360" w:lineRule="auto"/>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bCs/>
          <w:color w:val="auto"/>
          <w:sz w:val="24"/>
          <w:szCs w:val="24"/>
          <w:highlight w:val="none"/>
        </w:rPr>
        <w:t>投标文件的上传</w:t>
      </w:r>
    </w:p>
    <w:p w14:paraId="2F3FC23F">
      <w:pPr>
        <w:pStyle w:val="5"/>
        <w:shd w:val="clear" w:color="auto" w:fill="auto"/>
        <w:snapToGrid w:val="0"/>
        <w:spacing w:line="360" w:lineRule="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bidi="zh-CN"/>
        </w:rPr>
        <w:t>电子加密投标文件（“.jmbs”格式）</w:t>
      </w:r>
      <w:r>
        <w:rPr>
          <w:rFonts w:hint="eastAsia" w:ascii="仿宋" w:hAnsi="仿宋" w:eastAsia="仿宋" w:cs="仿宋"/>
          <w:b/>
          <w:bCs/>
          <w:color w:val="auto"/>
          <w:sz w:val="24"/>
          <w:szCs w:val="24"/>
          <w:highlight w:val="none"/>
        </w:rPr>
        <w:t>：</w:t>
      </w:r>
    </w:p>
    <w:p w14:paraId="4E10CBCC">
      <w:pPr>
        <w:pStyle w:val="5"/>
        <w:shd w:val="clear" w:color="auto" w:fill="auto"/>
        <w:snapToGrid w:val="0"/>
        <w:spacing w:line="360" w:lineRule="auto"/>
        <w:ind w:firstLine="600" w:firstLineChars="250"/>
        <w:outlineLvl w:val="9"/>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a.</w:t>
      </w:r>
      <w:r>
        <w:rPr>
          <w:rFonts w:hint="eastAsia" w:ascii="仿宋" w:hAnsi="仿宋" w:eastAsia="仿宋" w:cs="仿宋"/>
          <w:b w:val="0"/>
          <w:bCs/>
          <w:color w:val="auto"/>
          <w:kern w:val="0"/>
          <w:sz w:val="24"/>
          <w:szCs w:val="24"/>
          <w:highlight w:val="none"/>
        </w:rPr>
        <w:t xml:space="preserve"> </w:t>
      </w:r>
      <w:r>
        <w:rPr>
          <w:rFonts w:hint="eastAsia" w:ascii="仿宋" w:hAnsi="仿宋" w:eastAsia="仿宋" w:cs="仿宋"/>
          <w:b w:val="0"/>
          <w:bCs/>
          <w:color w:val="auto"/>
          <w:sz w:val="24"/>
          <w:szCs w:val="24"/>
          <w:highlight w:val="none"/>
          <w:lang w:bidi="zh-CN"/>
        </w:rPr>
        <w:t>供应商应在投标截止时间前将电子加密投标文件成功上传递交至新疆政府采购云平台，否则投标无效；</w:t>
      </w:r>
    </w:p>
    <w:p w14:paraId="0CB99145">
      <w:pPr>
        <w:pStyle w:val="5"/>
        <w:shd w:val="clear" w:color="auto" w:fill="auto"/>
        <w:snapToGrid w:val="0"/>
        <w:spacing w:line="360" w:lineRule="auto"/>
        <w:ind w:firstLine="600" w:firstLineChars="250"/>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bidi="zh-CN"/>
        </w:rPr>
        <w:t>b.供应商成功上传电子加密投标文件后，可自行打印投标文件接收回执。</w:t>
      </w:r>
    </w:p>
    <w:p w14:paraId="7142ADFA">
      <w:pPr>
        <w:pStyle w:val="5"/>
        <w:shd w:val="clear" w:color="auto" w:fill="auto"/>
        <w:snapToGrid w:val="0"/>
        <w:spacing w:line="360" w:lineRule="auto"/>
        <w:outlineLvl w:val="9"/>
        <w:rPr>
          <w:rFonts w:hint="eastAsia" w:ascii="仿宋" w:hAnsi="仿宋" w:eastAsia="仿宋" w:cs="仿宋"/>
          <w:b/>
          <w:bCs/>
          <w:color w:val="auto"/>
          <w:sz w:val="24"/>
          <w:szCs w:val="24"/>
          <w:highlight w:val="none"/>
          <w:lang w:bidi="zh-CN"/>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bidi="zh-CN"/>
        </w:rPr>
        <w:t>备份投标文件（“.bfbs”格式）：</w:t>
      </w:r>
    </w:p>
    <w:p w14:paraId="763629E2">
      <w:pPr>
        <w:pStyle w:val="5"/>
        <w:shd w:val="clear" w:color="auto" w:fill="auto"/>
        <w:snapToGrid w:val="0"/>
        <w:spacing w:line="360" w:lineRule="auto"/>
        <w:ind w:firstLine="600" w:firstLineChars="250"/>
        <w:outlineLvl w:val="9"/>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a.供应商可以将备份投标文件打包压缩并加密，压缩包命名为“XX单位备份投标文件”，加密密码由供应商自行保管。</w:t>
      </w:r>
    </w:p>
    <w:p w14:paraId="16F1A798">
      <w:pPr>
        <w:shd w:val="clear" w:color="auto" w:fill="auto"/>
        <w:snapToGrid w:val="0"/>
        <w:spacing w:line="360" w:lineRule="auto"/>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27.</w:t>
      </w:r>
      <w:r>
        <w:rPr>
          <w:rFonts w:hint="eastAsia" w:ascii="仿宋" w:hAnsi="仿宋" w:eastAsia="仿宋" w:cs="仿宋"/>
          <w:b/>
          <w:color w:val="auto"/>
          <w:sz w:val="24"/>
          <w:szCs w:val="24"/>
          <w:highlight w:val="none"/>
        </w:rPr>
        <w:t>投标文件的递交要求</w:t>
      </w:r>
    </w:p>
    <w:p w14:paraId="6AFB415F">
      <w:pPr>
        <w:shd w:val="clear" w:color="auto" w:fill="auto"/>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（1）供应商须按照采购文件和政采云平台的要求编制并加密投标文件。在投标文件递交截止时间以前完成投标文件的传输递交，截止时间后递交的投标文件，将被拒收。</w:t>
      </w:r>
    </w:p>
    <w:p w14:paraId="26723C5B">
      <w:pPr>
        <w:shd w:val="clear" w:color="auto" w:fill="auto"/>
        <w:tabs>
          <w:tab w:val="left" w:pos="1418"/>
        </w:tabs>
        <w:autoSpaceDE w:val="0"/>
        <w:autoSpaceDN w:val="0"/>
        <w:adjustRightInd w:val="0"/>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（2）备份电子投标文件必须在投标截止时间前送达指定的投标地点。备份电子投标文件在截止时间后提交，采购组织机构将拒绝接收。</w:t>
      </w:r>
    </w:p>
    <w:p w14:paraId="37A0D2D0">
      <w:pPr>
        <w:shd w:val="clear" w:color="auto" w:fill="auto"/>
        <w:tabs>
          <w:tab w:val="left" w:pos="1418"/>
        </w:tabs>
        <w:autoSpaceDE w:val="0"/>
        <w:autoSpaceDN w:val="0"/>
        <w:adjustRightInd w:val="0"/>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（3）如有特殊情况，采购组织机构延长截止时间和开标时间，采购组织机构和供应商的权利和义务将受到新的截止时间和开标时间的约束。</w:t>
      </w:r>
    </w:p>
    <w:p w14:paraId="37D406F0">
      <w:pPr>
        <w:shd w:val="clear" w:color="auto" w:fill="auto"/>
        <w:snapToGrid w:val="0"/>
        <w:spacing w:line="360" w:lineRule="auto"/>
        <w:ind w:firstLine="480" w:firstLineChars="200"/>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28．投标文件的补充、修改与撤回</w:t>
      </w:r>
    </w:p>
    <w:p w14:paraId="6D5FC22F">
      <w:pPr>
        <w:shd w:val="clear" w:color="auto" w:fill="auto"/>
        <w:tabs>
          <w:tab w:val="left" w:pos="960"/>
          <w:tab w:val="left" w:pos="1418"/>
        </w:tabs>
        <w:autoSpaceDE w:val="0"/>
        <w:autoSpaceDN w:val="0"/>
        <w:adjustRightInd w:val="0"/>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4C39D9BD">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9"/>
        <w:rPr>
          <w:rFonts w:hint="eastAsia" w:ascii="仿宋" w:hAnsi="仿宋" w:eastAsia="仿宋" w:cs="仿宋"/>
          <w:color w:val="auto"/>
          <w:sz w:val="28"/>
          <w:szCs w:val="28"/>
          <w:highlight w:val="none"/>
        </w:rPr>
      </w:pPr>
      <w:bookmarkStart w:id="53" w:name="_Toc469495728"/>
      <w:bookmarkStart w:id="54" w:name="_Toc14213"/>
      <w:r>
        <w:rPr>
          <w:rFonts w:hint="eastAsia" w:ascii="仿宋" w:hAnsi="仿宋" w:eastAsia="仿宋" w:cs="仿宋"/>
          <w:color w:val="auto"/>
          <w:sz w:val="28"/>
          <w:szCs w:val="28"/>
          <w:highlight w:val="none"/>
        </w:rPr>
        <w:t>（五）开标、评标和定标</w:t>
      </w:r>
      <w:bookmarkEnd w:id="53"/>
      <w:bookmarkEnd w:id="54"/>
    </w:p>
    <w:p w14:paraId="3316A74B">
      <w:pPr>
        <w:shd w:val="clear" w:color="auto" w:fill="auto"/>
        <w:snapToGrid w:val="0"/>
        <w:spacing w:line="360" w:lineRule="auto"/>
        <w:ind w:firstLine="480" w:firstLineChars="200"/>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29. 开标</w:t>
      </w:r>
    </w:p>
    <w:p w14:paraId="44B4F2A9">
      <w:pPr>
        <w:shd w:val="clear" w:color="auto" w:fill="auto"/>
        <w:snapToGrid w:val="0"/>
        <w:spacing w:line="360" w:lineRule="auto"/>
        <w:ind w:firstLine="480" w:firstLineChars="200"/>
        <w:outlineLvl w:val="9"/>
        <w:rPr>
          <w:rFonts w:hint="eastAsia" w:ascii="仿宋" w:hAnsi="仿宋" w:eastAsia="仿宋" w:cs="仿宋"/>
          <w:b/>
          <w:bCs/>
          <w:color w:val="auto"/>
          <w:sz w:val="24"/>
          <w:szCs w:val="24"/>
          <w:highlight w:val="none"/>
          <w:lang w:val="en-US" w:eastAsia="zh-CN"/>
        </w:rPr>
      </w:pPr>
      <w:bookmarkStart w:id="55" w:name="_Toc73975822"/>
      <w:r>
        <w:rPr>
          <w:rFonts w:hint="eastAsia" w:ascii="仿宋" w:hAnsi="仿宋" w:eastAsia="仿宋" w:cs="仿宋"/>
          <w:b/>
          <w:bCs/>
          <w:color w:val="auto"/>
          <w:sz w:val="24"/>
          <w:szCs w:val="24"/>
          <w:highlight w:val="none"/>
          <w:lang w:val="en-US" w:eastAsia="zh-CN"/>
        </w:rPr>
        <w:t>29.1开标邀请</w:t>
      </w:r>
      <w:bookmarkEnd w:id="55"/>
    </w:p>
    <w:p w14:paraId="06418637">
      <w:pPr>
        <w:pStyle w:val="11"/>
        <w:shd w:val="clear" w:color="auto" w:fill="auto"/>
        <w:snapToGrid w:val="0"/>
        <w:spacing w:line="360" w:lineRule="auto"/>
        <w:ind w:firstLine="480" w:firstLineChars="200"/>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开标准备：本项目开标的准备工作由采购组织机构负责落实，开标过程由采购组织机构负责记录；</w:t>
      </w:r>
    </w:p>
    <w:p w14:paraId="23959B78">
      <w:pPr>
        <w:pStyle w:val="11"/>
        <w:shd w:val="clear" w:color="auto" w:fill="auto"/>
        <w:snapToGrid w:val="0"/>
        <w:spacing w:line="360" w:lineRule="auto"/>
        <w:ind w:firstLine="480" w:firstLineChars="200"/>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开标主持：本项目开标由采购人或者采购代理机构主持；</w:t>
      </w:r>
    </w:p>
    <w:p w14:paraId="0CB1B93C">
      <w:pPr>
        <w:pStyle w:val="11"/>
        <w:shd w:val="clear" w:color="auto" w:fill="auto"/>
        <w:snapToGrid w:val="0"/>
        <w:spacing w:line="360" w:lineRule="auto"/>
        <w:ind w:firstLine="480" w:firstLineChars="200"/>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3</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开标邀请：本项目采用电子交易，采购组织机构将按照采购文件规定的时间通过“</w:t>
      </w:r>
      <w:r>
        <w:rPr>
          <w:rFonts w:hint="eastAsia" w:ascii="仿宋" w:hAnsi="仿宋" w:eastAsia="仿宋" w:cs="仿宋"/>
          <w:b w:val="0"/>
          <w:color w:val="auto"/>
          <w:sz w:val="24"/>
          <w:szCs w:val="24"/>
          <w:highlight w:val="none"/>
          <w:lang w:eastAsia="zh-CN"/>
        </w:rPr>
        <w:t>新疆</w:t>
      </w:r>
      <w:r>
        <w:rPr>
          <w:rFonts w:hint="eastAsia" w:ascii="仿宋" w:hAnsi="仿宋" w:eastAsia="仿宋" w:cs="仿宋"/>
          <w:b w:val="0"/>
          <w:color w:val="auto"/>
          <w:sz w:val="24"/>
          <w:szCs w:val="24"/>
          <w:highlight w:val="none"/>
        </w:rPr>
        <w:t>政府采购云平台，网址：</w:t>
      </w:r>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HYPERLINK "http://www.zcygov.cn"</w:instrText>
      </w:r>
      <w:r>
        <w:rPr>
          <w:rFonts w:hint="eastAsia" w:ascii="仿宋" w:hAnsi="仿宋" w:eastAsia="仿宋" w:cs="仿宋"/>
          <w:b w:val="0"/>
          <w:color w:val="auto"/>
          <w:sz w:val="24"/>
          <w:szCs w:val="24"/>
          <w:highlight w:val="none"/>
        </w:rPr>
        <w:fldChar w:fldCharType="separate"/>
      </w:r>
      <w:r>
        <w:rPr>
          <w:rStyle w:val="24"/>
          <w:rFonts w:hint="eastAsia" w:ascii="仿宋" w:hAnsi="仿宋" w:eastAsia="仿宋" w:cs="仿宋"/>
          <w:b w:val="0"/>
          <w:color w:val="auto"/>
          <w:sz w:val="24"/>
          <w:szCs w:val="24"/>
          <w:highlight w:val="none"/>
          <w:u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b w:val="0"/>
          <w:color w:val="auto"/>
          <w:sz w:val="24"/>
          <w:szCs w:val="24"/>
          <w:highlight w:val="none"/>
        </w:rPr>
        <w:t>”组织开标、开启投标</w:t>
      </w:r>
      <w:r>
        <w:rPr>
          <w:rFonts w:hint="eastAsia" w:ascii="仿宋" w:hAnsi="仿宋" w:eastAsia="仿宋" w:cs="仿宋"/>
          <w:b w:val="0"/>
          <w:color w:val="auto"/>
          <w:sz w:val="24"/>
          <w:szCs w:val="24"/>
          <w:highlight w:val="none"/>
          <w:lang w:eastAsia="zh-CN"/>
        </w:rPr>
        <w:t>投标文件</w:t>
      </w:r>
      <w:r>
        <w:rPr>
          <w:rFonts w:hint="eastAsia" w:ascii="仿宋" w:hAnsi="仿宋" w:eastAsia="仿宋" w:cs="仿宋"/>
          <w:b w:val="0"/>
          <w:color w:val="auto"/>
          <w:sz w:val="24"/>
          <w:szCs w:val="24"/>
          <w:highlight w:val="none"/>
        </w:rPr>
        <w:t>，所有供应商均应当准时在线参加。</w:t>
      </w:r>
    </w:p>
    <w:p w14:paraId="3AFEFFAB">
      <w:pPr>
        <w:pStyle w:val="11"/>
        <w:shd w:val="clear" w:color="auto" w:fill="auto"/>
        <w:snapToGrid w:val="0"/>
        <w:spacing w:line="360" w:lineRule="auto"/>
        <w:ind w:firstLine="480" w:firstLineChars="200"/>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4</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27CE609D">
      <w:pPr>
        <w:shd w:val="clear" w:color="auto" w:fill="auto"/>
        <w:snapToGrid w:val="0"/>
        <w:spacing w:line="360" w:lineRule="auto"/>
        <w:ind w:firstLine="480" w:firstLineChars="200"/>
        <w:outlineLvl w:val="9"/>
        <w:rPr>
          <w:rFonts w:hint="eastAsia" w:ascii="仿宋" w:hAnsi="仿宋" w:eastAsia="仿宋" w:cs="仿宋"/>
          <w:b/>
          <w:color w:val="auto"/>
          <w:sz w:val="24"/>
          <w:szCs w:val="24"/>
          <w:highlight w:val="none"/>
        </w:rPr>
      </w:pPr>
      <w:bookmarkStart w:id="56" w:name="_Toc8537"/>
      <w:bookmarkStart w:id="57" w:name="_Toc73975823"/>
      <w:r>
        <w:rPr>
          <w:rFonts w:hint="eastAsia" w:ascii="仿宋" w:hAnsi="仿宋" w:eastAsia="仿宋" w:cs="仿宋"/>
          <w:b/>
          <w:color w:val="auto"/>
          <w:sz w:val="24"/>
          <w:szCs w:val="24"/>
          <w:highlight w:val="none"/>
          <w:lang w:val="en-US" w:eastAsia="zh-CN"/>
        </w:rPr>
        <w:t>29.2</w:t>
      </w:r>
      <w:r>
        <w:rPr>
          <w:rFonts w:hint="eastAsia" w:ascii="仿宋" w:hAnsi="仿宋" w:eastAsia="仿宋" w:cs="仿宋"/>
          <w:b/>
          <w:bCs/>
          <w:color w:val="auto"/>
          <w:sz w:val="24"/>
          <w:szCs w:val="24"/>
          <w:highlight w:val="none"/>
        </w:rPr>
        <w:t>开标程序（先资格、商务技术后报价）</w:t>
      </w:r>
      <w:bookmarkEnd w:id="56"/>
      <w:bookmarkEnd w:id="57"/>
    </w:p>
    <w:p w14:paraId="256013C4">
      <w:pPr>
        <w:shd w:val="clear" w:color="auto" w:fill="auto"/>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开标时间到后，主持人宣布开标会议开始。</w:t>
      </w:r>
    </w:p>
    <w:p w14:paraId="69042FF6">
      <w:pPr>
        <w:shd w:val="clear" w:color="auto" w:fill="auto"/>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投标文件解密（</w:t>
      </w:r>
      <w:r>
        <w:rPr>
          <w:rFonts w:hint="eastAsia" w:ascii="仿宋" w:hAnsi="仿宋" w:eastAsia="仿宋" w:cs="仿宋"/>
          <w:b/>
          <w:color w:val="auto"/>
          <w:kern w:val="0"/>
          <w:sz w:val="24"/>
          <w:szCs w:val="24"/>
          <w:highlight w:val="none"/>
        </w:rPr>
        <w:t>解密规定见《</w:t>
      </w:r>
      <w:r>
        <w:rPr>
          <w:rFonts w:hint="eastAsia" w:ascii="仿宋" w:hAnsi="仿宋" w:eastAsia="仿宋" w:cs="仿宋"/>
          <w:b/>
          <w:color w:val="auto"/>
          <w:kern w:val="0"/>
          <w:sz w:val="24"/>
          <w:szCs w:val="24"/>
          <w:highlight w:val="none"/>
          <w:lang w:val="en-US" w:eastAsia="zh-CN"/>
        </w:rPr>
        <w:t>投标人</w:t>
      </w:r>
      <w:r>
        <w:rPr>
          <w:rFonts w:hint="eastAsia" w:ascii="仿宋" w:hAnsi="仿宋" w:eastAsia="仿宋" w:cs="仿宋"/>
          <w:b/>
          <w:color w:val="auto"/>
          <w:kern w:val="0"/>
          <w:sz w:val="24"/>
          <w:szCs w:val="24"/>
          <w:highlight w:val="none"/>
        </w:rPr>
        <w:t>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14:paraId="50750AB4">
      <w:pPr>
        <w:shd w:val="clear" w:color="auto" w:fill="auto"/>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投标文件解密异常情况处理（</w:t>
      </w:r>
      <w:r>
        <w:rPr>
          <w:rFonts w:hint="eastAsia" w:ascii="仿宋" w:hAnsi="仿宋" w:eastAsia="仿宋" w:cs="仿宋"/>
          <w:b/>
          <w:color w:val="auto"/>
          <w:kern w:val="0"/>
          <w:sz w:val="24"/>
          <w:szCs w:val="24"/>
          <w:highlight w:val="none"/>
        </w:rPr>
        <w:t>处理办法见《</w:t>
      </w:r>
      <w:r>
        <w:rPr>
          <w:rFonts w:hint="eastAsia" w:ascii="仿宋" w:hAnsi="仿宋" w:eastAsia="仿宋" w:cs="仿宋"/>
          <w:b/>
          <w:color w:val="auto"/>
          <w:kern w:val="0"/>
          <w:sz w:val="24"/>
          <w:szCs w:val="24"/>
          <w:highlight w:val="none"/>
          <w:lang w:val="en-US" w:eastAsia="zh-CN"/>
        </w:rPr>
        <w:t>投标人</w:t>
      </w:r>
      <w:r>
        <w:rPr>
          <w:rFonts w:hint="eastAsia" w:ascii="仿宋" w:hAnsi="仿宋" w:eastAsia="仿宋" w:cs="仿宋"/>
          <w:b/>
          <w:color w:val="auto"/>
          <w:kern w:val="0"/>
          <w:sz w:val="24"/>
          <w:szCs w:val="24"/>
          <w:highlight w:val="none"/>
        </w:rPr>
        <w:t>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14:paraId="03998433">
      <w:pPr>
        <w:shd w:val="clear" w:color="auto" w:fill="auto"/>
        <w:snapToGrid w:val="0"/>
        <w:spacing w:line="360" w:lineRule="auto"/>
        <w:ind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公布投标文件解密情况（投标文件成功解密的供应商名单等信息）。</w:t>
      </w:r>
    </w:p>
    <w:p w14:paraId="623F00D2">
      <w:pPr>
        <w:shd w:val="clear" w:color="auto" w:fill="auto"/>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开启标书信息（资格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文件、商务技术文件）。标书信息开启后，首先由采购人或采购代理机构</w:t>
      </w:r>
      <w:r>
        <w:rPr>
          <w:rFonts w:hint="eastAsia" w:ascii="仿宋" w:hAnsi="仿宋" w:eastAsia="仿宋" w:cs="仿宋"/>
          <w:color w:val="auto"/>
          <w:kern w:val="0"/>
          <w:sz w:val="24"/>
          <w:szCs w:val="24"/>
          <w:highlight w:val="none"/>
          <w:lang w:eastAsia="zh-CN"/>
        </w:rPr>
        <w:t>或评审小组</w:t>
      </w:r>
      <w:r>
        <w:rPr>
          <w:rFonts w:hint="eastAsia" w:ascii="仿宋" w:hAnsi="仿宋" w:eastAsia="仿宋" w:cs="仿宋"/>
          <w:color w:val="auto"/>
          <w:kern w:val="0"/>
          <w:sz w:val="24"/>
          <w:szCs w:val="24"/>
          <w:highlight w:val="none"/>
        </w:rPr>
        <w:t>依法对投标供应商的资格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文件进行审查（具体见本章“</w:t>
      </w:r>
      <w:r>
        <w:rPr>
          <w:rFonts w:hint="eastAsia" w:ascii="仿宋" w:hAnsi="仿宋" w:eastAsia="仿宋" w:cs="仿宋"/>
          <w:color w:val="auto"/>
          <w:kern w:val="0"/>
          <w:sz w:val="24"/>
          <w:szCs w:val="24"/>
          <w:highlight w:val="none"/>
          <w:lang w:val="en-US" w:eastAsia="zh-CN"/>
        </w:rPr>
        <w:t>29.3</w:t>
      </w:r>
      <w:r>
        <w:rPr>
          <w:rFonts w:hint="eastAsia" w:ascii="仿宋" w:hAnsi="仿宋" w:eastAsia="仿宋" w:cs="仿宋"/>
          <w:color w:val="auto"/>
          <w:kern w:val="0"/>
          <w:sz w:val="24"/>
          <w:szCs w:val="24"/>
          <w:highlight w:val="none"/>
        </w:rPr>
        <w:t>投标供应商资格审查”），审查结束公布投标供应商的资格符合情况。资格审查未获通过的供应商，其商务技术文件及报价文件不再进入评审。</w:t>
      </w:r>
    </w:p>
    <w:p w14:paraId="5EF8717C">
      <w:pPr>
        <w:shd w:val="clear" w:color="auto" w:fill="auto"/>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商务技术评审结束后，主持人公布商务技术评审无效投标供应商名单和商务技术评审有效投标供应商名单及其商务技术得分情况</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商务技术评审无效的供应商，其报价不再进入评审。</w:t>
      </w:r>
    </w:p>
    <w:p w14:paraId="165AF521">
      <w:pPr>
        <w:shd w:val="clear" w:color="auto" w:fill="auto"/>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开启有效投标供应商的报价，公布开标一览表有关内容，</w:t>
      </w:r>
      <w:r>
        <w:rPr>
          <w:rFonts w:hint="eastAsia" w:ascii="仿宋" w:hAnsi="仿宋" w:eastAsia="仿宋" w:cs="仿宋"/>
          <w:color w:val="auto"/>
          <w:sz w:val="24"/>
          <w:szCs w:val="24"/>
          <w:highlight w:val="none"/>
          <w:lang w:bidi="zh-CN"/>
        </w:rPr>
        <w:t>并【开启签字时段】，供应商对开标纪录进行在线签字确认（不予确认的应说明理由，否则视为无异议）</w:t>
      </w:r>
      <w:r>
        <w:rPr>
          <w:rFonts w:hint="eastAsia" w:ascii="仿宋" w:hAnsi="仿宋" w:eastAsia="仿宋" w:cs="仿宋"/>
          <w:color w:val="auto"/>
          <w:kern w:val="0"/>
          <w:sz w:val="24"/>
          <w:szCs w:val="24"/>
          <w:highlight w:val="none"/>
        </w:rPr>
        <w:t>。开标结束后，由评标委员会对报价的合理性、准确性等进行审查核实</w:t>
      </w:r>
      <w:r>
        <w:rPr>
          <w:rFonts w:hint="eastAsia" w:ascii="仿宋" w:hAnsi="仿宋" w:eastAsia="仿宋" w:cs="仿宋"/>
          <w:color w:val="auto"/>
          <w:sz w:val="24"/>
          <w:szCs w:val="24"/>
          <w:highlight w:val="none"/>
        </w:rPr>
        <w:t>。</w:t>
      </w:r>
    </w:p>
    <w:p w14:paraId="6FB539F2">
      <w:pPr>
        <w:shd w:val="clear" w:color="auto" w:fill="auto"/>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评审结束后，采购代理机构在系统上公布评审结果。</w:t>
      </w:r>
    </w:p>
    <w:p w14:paraId="635D8B83">
      <w:pPr>
        <w:shd w:val="clear" w:color="auto" w:fill="auto"/>
        <w:snapToGrid w:val="0"/>
        <w:spacing w:line="360" w:lineRule="auto"/>
        <w:ind w:left="48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特别情况说明：</w:t>
      </w:r>
    </w:p>
    <w:p w14:paraId="3EDB0A8D">
      <w:pPr>
        <w:shd w:val="clear" w:color="auto" w:fill="auto"/>
        <w:snapToGrid w:val="0"/>
        <w:spacing w:line="360" w:lineRule="auto"/>
        <w:ind w:firstLine="424" w:firstLineChars="177"/>
        <w:jc w:val="left"/>
        <w:outlineLvl w:val="9"/>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（1）本项目采用电子交易，如遇“</w:t>
      </w:r>
      <w:r>
        <w:rPr>
          <w:rFonts w:hint="eastAsia" w:ascii="仿宋" w:hAnsi="仿宋" w:eastAsia="仿宋" w:cs="仿宋"/>
          <w:b/>
          <w:color w:val="auto"/>
          <w:kern w:val="0"/>
          <w:sz w:val="24"/>
          <w:szCs w:val="24"/>
          <w:highlight w:val="none"/>
          <w:lang w:eastAsia="zh-CN"/>
        </w:rPr>
        <w:t>新疆</w:t>
      </w:r>
      <w:r>
        <w:rPr>
          <w:rFonts w:hint="eastAsia" w:ascii="仿宋" w:hAnsi="仿宋" w:eastAsia="仿宋" w:cs="仿宋"/>
          <w:b/>
          <w:color w:val="auto"/>
          <w:kern w:val="0"/>
          <w:sz w:val="24"/>
          <w:szCs w:val="24"/>
          <w:highlight w:val="none"/>
        </w:rPr>
        <w:t>政府采购云平台”电子化开标或评审程序调整的，按调整后程序执行。</w:t>
      </w:r>
    </w:p>
    <w:p w14:paraId="2376BA1C">
      <w:pPr>
        <w:shd w:val="clear" w:color="auto" w:fill="auto"/>
        <w:snapToGrid w:val="0"/>
        <w:spacing w:line="360" w:lineRule="auto"/>
        <w:ind w:firstLine="424" w:firstLineChars="177"/>
        <w:jc w:val="left"/>
        <w:outlineLvl w:val="9"/>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仿宋" w:hAnsi="仿宋" w:eastAsia="仿宋" w:cs="仿宋"/>
          <w:b/>
          <w:color w:val="auto"/>
          <w:kern w:val="0"/>
          <w:sz w:val="24"/>
          <w:szCs w:val="24"/>
          <w:highlight w:val="none"/>
          <w:u w:val="single"/>
        </w:rPr>
        <w:t>请供应商保证办理投标事宜人员电话畅通、网络在线，签字或盖章确认的时间为20分钟。如未及时签字或盖章确认的，视为无异议</w:t>
      </w:r>
      <w:r>
        <w:rPr>
          <w:rFonts w:hint="eastAsia" w:ascii="仿宋" w:hAnsi="仿宋" w:eastAsia="仿宋" w:cs="仿宋"/>
          <w:b/>
          <w:color w:val="auto"/>
          <w:kern w:val="0"/>
          <w:sz w:val="24"/>
          <w:szCs w:val="24"/>
          <w:highlight w:val="none"/>
        </w:rPr>
        <w:t>。</w:t>
      </w:r>
    </w:p>
    <w:p w14:paraId="45B9D3B9">
      <w:pPr>
        <w:shd w:val="clear" w:color="auto" w:fill="auto"/>
        <w:snapToGrid w:val="0"/>
        <w:spacing w:line="360" w:lineRule="auto"/>
        <w:ind w:firstLine="480" w:firstLineChars="200"/>
        <w:outlineLvl w:val="9"/>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29.3</w:t>
      </w:r>
      <w:r>
        <w:rPr>
          <w:rFonts w:hint="eastAsia" w:ascii="仿宋" w:hAnsi="仿宋" w:eastAsia="仿宋" w:cs="仿宋"/>
          <w:b/>
          <w:color w:val="auto"/>
          <w:kern w:val="0"/>
          <w:sz w:val="24"/>
          <w:szCs w:val="24"/>
          <w:highlight w:val="none"/>
        </w:rPr>
        <w:t xml:space="preserve"> 投标供应商资格审查：</w:t>
      </w:r>
    </w:p>
    <w:p w14:paraId="7A2D6B42">
      <w:pPr>
        <w:shd w:val="clear" w:color="auto" w:fill="auto"/>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Cs/>
          <w:color w:val="auto"/>
          <w:kern w:val="0"/>
          <w:sz w:val="24"/>
          <w:szCs w:val="24"/>
          <w:highlight w:val="none"/>
        </w:rPr>
        <w:t>开标（标书信息开启）后，采购人或采购代理机构</w:t>
      </w:r>
      <w:r>
        <w:rPr>
          <w:rFonts w:hint="eastAsia" w:ascii="仿宋" w:hAnsi="仿宋" w:eastAsia="仿宋" w:cs="仿宋"/>
          <w:bCs/>
          <w:color w:val="auto"/>
          <w:kern w:val="0"/>
          <w:sz w:val="24"/>
          <w:szCs w:val="24"/>
          <w:highlight w:val="none"/>
          <w:lang w:eastAsia="zh-CN"/>
        </w:rPr>
        <w:t>或</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bCs/>
          <w:color w:val="auto"/>
          <w:kern w:val="0"/>
          <w:sz w:val="24"/>
          <w:szCs w:val="24"/>
          <w:highlight w:val="none"/>
        </w:rPr>
        <w:t>首先依法对投标供应商的资格文件进行审查，审查各投标供应商的资格符合情况。</w:t>
      </w:r>
      <w:r>
        <w:rPr>
          <w:rFonts w:hint="eastAsia" w:ascii="仿宋" w:hAnsi="仿宋" w:eastAsia="仿宋" w:cs="仿宋"/>
          <w:color w:val="auto"/>
          <w:sz w:val="24"/>
          <w:szCs w:val="24"/>
          <w:highlight w:val="none"/>
        </w:rPr>
        <w:t>采购人或采购代理机构</w:t>
      </w:r>
      <w:r>
        <w:rPr>
          <w:rFonts w:hint="eastAsia" w:ascii="仿宋" w:hAnsi="仿宋" w:eastAsia="仿宋" w:cs="仿宋"/>
          <w:bCs/>
          <w:color w:val="auto"/>
          <w:kern w:val="0"/>
          <w:sz w:val="24"/>
          <w:szCs w:val="24"/>
          <w:highlight w:val="none"/>
          <w:lang w:eastAsia="zh-CN"/>
        </w:rPr>
        <w:t>或</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color w:val="auto"/>
          <w:sz w:val="24"/>
          <w:szCs w:val="24"/>
          <w:highlight w:val="none"/>
        </w:rPr>
        <w:t>对投标供应商所提交的资格证明材料仅负审核的责任。如发现投标供应商所提交的资格证明材料不合法或与事实不符，采购人可取消其中标资格并追究投标供应商的法律责任。</w:t>
      </w:r>
    </w:p>
    <w:p w14:paraId="57E415A0">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60B3A099">
      <w:pPr>
        <w:pStyle w:val="5"/>
        <w:shd w:val="clear" w:color="auto" w:fill="auto"/>
        <w:snapToGrid w:val="0"/>
        <w:spacing w:line="360" w:lineRule="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r>
        <w:rPr>
          <w:rFonts w:hint="eastAsia" w:ascii="仿宋" w:hAnsi="仿宋" w:eastAsia="仿宋" w:cs="仿宋"/>
          <w:b w:val="0"/>
          <w:bCs/>
          <w:color w:val="auto"/>
          <w:kern w:val="0"/>
          <w:sz w:val="24"/>
          <w:szCs w:val="24"/>
          <w:highlight w:val="none"/>
        </w:rPr>
        <w:t>供应商</w:t>
      </w:r>
      <w:r>
        <w:rPr>
          <w:rFonts w:hint="eastAsia" w:ascii="仿宋" w:hAnsi="仿宋" w:eastAsia="仿宋" w:cs="仿宋"/>
          <w:b w:val="0"/>
          <w:bCs/>
          <w:color w:val="auto"/>
          <w:sz w:val="24"/>
          <w:szCs w:val="24"/>
          <w:highlight w:val="none"/>
        </w:rPr>
        <w:t>信用记录查询与使用：</w:t>
      </w:r>
      <w:r>
        <w:rPr>
          <w:rFonts w:hint="eastAsia" w:ascii="仿宋" w:hAnsi="仿宋" w:eastAsia="仿宋" w:cs="仿宋"/>
          <w:b w:val="0"/>
          <w:bCs/>
          <w:color w:val="auto"/>
          <w:kern w:val="0"/>
          <w:sz w:val="24"/>
          <w:szCs w:val="24"/>
          <w:highlight w:val="none"/>
        </w:rPr>
        <w:t>见《</w:t>
      </w:r>
      <w:r>
        <w:rPr>
          <w:rFonts w:hint="eastAsia" w:ascii="仿宋" w:hAnsi="仿宋" w:eastAsia="仿宋" w:cs="仿宋"/>
          <w:b w:val="0"/>
          <w:bCs/>
          <w:color w:val="auto"/>
          <w:kern w:val="0"/>
          <w:sz w:val="24"/>
          <w:szCs w:val="24"/>
          <w:highlight w:val="none"/>
          <w:lang w:val="en-US" w:eastAsia="zh-CN"/>
        </w:rPr>
        <w:t>投标人</w:t>
      </w:r>
      <w:r>
        <w:rPr>
          <w:rFonts w:hint="eastAsia" w:ascii="仿宋" w:hAnsi="仿宋" w:eastAsia="仿宋" w:cs="仿宋"/>
          <w:b w:val="0"/>
          <w:bCs/>
          <w:color w:val="auto"/>
          <w:kern w:val="0"/>
          <w:sz w:val="24"/>
          <w:szCs w:val="24"/>
          <w:highlight w:val="none"/>
        </w:rPr>
        <w:t>须知前附表》。</w:t>
      </w:r>
    </w:p>
    <w:p w14:paraId="1832C554">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评审工作的组织</w:t>
      </w:r>
    </w:p>
    <w:p w14:paraId="08C2E581">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采购人或采购代理机构负责组织本项目的评审工作，并依据《政府采购货物和服务招标投标管理办法（财政部第87号令）》第四十五条的相关规定履行职责。</w:t>
      </w:r>
    </w:p>
    <w:p w14:paraId="1BB7ABB1">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rPr>
        <w:t>. 评标委员会的组建</w:t>
      </w:r>
    </w:p>
    <w:p w14:paraId="3D8FAEB1">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rPr>
        <w:t>.1评标委员会由采购人或采购代理机构依法组建，成员由采购人代表和评审专家组成，成员人数为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人或以上单数，其中评审专家不少于成员总数的三分之二。</w:t>
      </w:r>
    </w:p>
    <w:p w14:paraId="06E9378D">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rPr>
        <w:t>.2评审专家从</w:t>
      </w:r>
      <w:r>
        <w:rPr>
          <w:rFonts w:hint="eastAsia" w:ascii="仿宋" w:hAnsi="仿宋" w:eastAsia="仿宋" w:cs="仿宋"/>
          <w:color w:val="auto"/>
          <w:sz w:val="24"/>
          <w:szCs w:val="24"/>
          <w:highlight w:val="none"/>
          <w:lang w:eastAsia="zh-CN"/>
        </w:rPr>
        <w:t>新疆</w:t>
      </w:r>
      <w:r>
        <w:rPr>
          <w:rFonts w:hint="eastAsia" w:ascii="仿宋" w:hAnsi="仿宋" w:eastAsia="仿宋" w:cs="仿宋"/>
          <w:color w:val="auto"/>
          <w:sz w:val="24"/>
          <w:szCs w:val="24"/>
          <w:highlight w:val="none"/>
        </w:rPr>
        <w:t>政府采购云平台专家库中通过随机方式抽取产生。评标委员会成员名单在采购结果公告前保密。</w:t>
      </w:r>
    </w:p>
    <w:p w14:paraId="309552FC">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.评标委员会的职责</w:t>
      </w:r>
    </w:p>
    <w:p w14:paraId="5956520D">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.1审查、评价投标文件是否符合采购文件的商务、技术等实质性要求。</w:t>
      </w:r>
    </w:p>
    <w:p w14:paraId="76E74ECB">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.2要求供应商对投标文件有关事项作出澄清或者说明。</w:t>
      </w:r>
    </w:p>
    <w:p w14:paraId="5B439106">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.3对投标文件进行比较和评价。</w:t>
      </w:r>
    </w:p>
    <w:p w14:paraId="754CF766">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.4确定中标候选人名单，以及根据采购人委托直接确定中标人。</w:t>
      </w:r>
    </w:p>
    <w:p w14:paraId="1BFE07AC">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.5向采购人、采购代理机构或者有关部门报告评审中发现的违法行为。</w:t>
      </w:r>
    </w:p>
    <w:p w14:paraId="71EC7B26">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评标原则</w:t>
      </w:r>
    </w:p>
    <w:p w14:paraId="7E920EA5">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.1评标委员会将遵循公平、公正、科学的原则，对供应商提交的投标文件进行综合评审，评标委员会按照采购文件规定的评标细则进行评分。</w:t>
      </w:r>
    </w:p>
    <w:p w14:paraId="3EA3DBBC">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.2客观公正对待所有供应商，对所有投标评价均采用相同的程序和标准。</w:t>
      </w:r>
    </w:p>
    <w:p w14:paraId="188242F8">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.3评标委员会成员对需要共同认定的事项存在争议的，按照少数服从多数的原则作出结论。持不同意见的评标委员会成员应当在评审报告上签署不同意见及理由，否则视为同意评审报告。</w:t>
      </w:r>
    </w:p>
    <w:p w14:paraId="130F7C63">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27951A8B">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非单一产品采购项目，采购人应当根据采购项目技术构成、产品价格比重等合理确定核心产品，并在采购文件中载明。多家供应商提供的核心产品品牌相同的，按前款规定处理。</w:t>
      </w:r>
    </w:p>
    <w:p w14:paraId="3E5499C0">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34</w:t>
      </w:r>
      <w:r>
        <w:rPr>
          <w:rFonts w:hint="eastAsia" w:ascii="仿宋" w:hAnsi="仿宋" w:eastAsia="仿宋" w:cs="仿宋"/>
          <w:color w:val="auto"/>
          <w:sz w:val="24"/>
          <w:szCs w:val="24"/>
          <w:highlight w:val="none"/>
        </w:rPr>
        <w:t>. 评委纪律</w:t>
      </w:r>
    </w:p>
    <w:p w14:paraId="1A136938">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评标委员会成员必须严格遵守保密规定，不得泄露评审的有关情况，任何单位和个人不得干扰、影响评标的正常进行，评标委员会成员不得私下与投标供应商接触</w:t>
      </w:r>
      <w:r>
        <w:rPr>
          <w:rFonts w:hint="eastAsia" w:ascii="仿宋" w:hAnsi="仿宋" w:eastAsia="仿宋" w:cs="仿宋"/>
          <w:color w:val="auto"/>
          <w:sz w:val="24"/>
          <w:szCs w:val="24"/>
          <w:highlight w:val="none"/>
          <w:lang w:eastAsia="zh-CN"/>
        </w:rPr>
        <w:t>。</w:t>
      </w:r>
    </w:p>
    <w:p w14:paraId="4E2D1B5D">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评标程序</w:t>
      </w:r>
    </w:p>
    <w:p w14:paraId="2AFF811F">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1 在评审专家中推选评标委员会组长，采购人代表不得担任评标委员会组长。</w:t>
      </w:r>
    </w:p>
    <w:p w14:paraId="5239B152">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3C9B0523">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3 评审人员对符合资格的供应商的投标文件的有效性、符合性、完整性和响应程度进行审查，确定是否对采购文件作出实质性响应。</w:t>
      </w:r>
    </w:p>
    <w:p w14:paraId="02FBEA4C">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4 评审人员按采购文件规定的评审方法和评审标准，依法独立对供应商投标文件进行评估、比较，并给予评价或打分，不受任何单位和个人的干预。</w:t>
      </w:r>
    </w:p>
    <w:p w14:paraId="1D8DB219">
      <w:pPr>
        <w:widowControl/>
        <w:shd w:val="clear" w:color="auto" w:fill="auto"/>
        <w:spacing w:line="440" w:lineRule="exact"/>
        <w:ind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综合评分法货物项目的价格分值占总分值的比重(即权值)为</w:t>
      </w:r>
      <w:r>
        <w:rPr>
          <w:rFonts w:hint="eastAsia" w:ascii="仿宋" w:hAnsi="仿宋" w:eastAsia="仿宋" w:cs="仿宋"/>
          <w:color w:val="auto"/>
          <w:kern w:val="0"/>
          <w:sz w:val="24"/>
          <w:szCs w:val="24"/>
          <w:highlight w:val="none"/>
          <w:lang w:val="en-US" w:eastAsia="zh-CN"/>
        </w:rPr>
        <w:t>30</w:t>
      </w:r>
      <w:r>
        <w:rPr>
          <w:rFonts w:hint="eastAsia" w:ascii="仿宋" w:hAnsi="仿宋" w:eastAsia="仿宋" w:cs="仿宋"/>
          <w:color w:val="auto"/>
          <w:kern w:val="0"/>
          <w:sz w:val="24"/>
          <w:szCs w:val="24"/>
          <w:highlight w:val="none"/>
        </w:rPr>
        <w:t>％，采购项目中含不同采购对象的，以占项目资金比例最高的采购对象确定其项目属性。其价格不列为评分因素，有特殊情况需要在上述规定范围外设定价格分权重的。</w:t>
      </w:r>
    </w:p>
    <w:p w14:paraId="47E693DD">
      <w:pPr>
        <w:widowControl/>
        <w:shd w:val="clear" w:color="auto" w:fill="auto"/>
        <w:spacing w:line="440" w:lineRule="exact"/>
        <w:ind w:firstLine="48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综合评分法中的价格分统一采用低价优先法计算，即满足</w:t>
      </w:r>
      <w:r>
        <w:rPr>
          <w:rFonts w:hint="eastAsia" w:ascii="仿宋" w:hAnsi="仿宋" w:eastAsia="仿宋" w:cs="仿宋"/>
          <w:color w:val="auto"/>
          <w:kern w:val="0"/>
          <w:sz w:val="24"/>
          <w:szCs w:val="24"/>
          <w:highlight w:val="none"/>
          <w:lang w:eastAsia="zh-CN"/>
        </w:rPr>
        <w:t>招标文件</w:t>
      </w:r>
      <w:r>
        <w:rPr>
          <w:rFonts w:hint="eastAsia" w:ascii="仿宋" w:hAnsi="仿宋" w:eastAsia="仿宋" w:cs="仿宋"/>
          <w:color w:val="auto"/>
          <w:kern w:val="0"/>
          <w:sz w:val="24"/>
          <w:szCs w:val="24"/>
          <w:highlight w:val="none"/>
        </w:rPr>
        <w:t>要求且最后报价最低的供应商的价格为</w:t>
      </w:r>
      <w:r>
        <w:rPr>
          <w:rFonts w:hint="eastAsia" w:ascii="仿宋" w:hAnsi="仿宋" w:eastAsia="仿宋" w:cs="仿宋"/>
          <w:color w:val="auto"/>
          <w:kern w:val="0"/>
          <w:sz w:val="24"/>
          <w:szCs w:val="24"/>
          <w:highlight w:val="none"/>
          <w:lang w:eastAsia="zh-CN"/>
        </w:rPr>
        <w:t>招标</w:t>
      </w:r>
      <w:r>
        <w:rPr>
          <w:rFonts w:hint="eastAsia" w:ascii="仿宋" w:hAnsi="仿宋" w:eastAsia="仿宋" w:cs="仿宋"/>
          <w:color w:val="auto"/>
          <w:kern w:val="0"/>
          <w:sz w:val="24"/>
          <w:szCs w:val="24"/>
          <w:highlight w:val="none"/>
        </w:rPr>
        <w:t>基准价，其价格分为满分。其他供应商的价格分统一按照下列公式计算：</w:t>
      </w:r>
    </w:p>
    <w:p w14:paraId="3D0A7A47">
      <w:pPr>
        <w:widowControl/>
        <w:shd w:val="clear" w:color="auto" w:fill="auto"/>
        <w:spacing w:line="440" w:lineRule="exact"/>
        <w:ind w:firstLine="48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投标</w:t>
      </w:r>
      <w:r>
        <w:rPr>
          <w:rFonts w:hint="eastAsia" w:ascii="仿宋" w:hAnsi="仿宋" w:eastAsia="仿宋" w:cs="仿宋"/>
          <w:color w:val="auto"/>
          <w:kern w:val="0"/>
          <w:sz w:val="24"/>
          <w:szCs w:val="24"/>
          <w:highlight w:val="none"/>
        </w:rPr>
        <w:t>报价得分=（基准价/</w:t>
      </w:r>
      <w:r>
        <w:rPr>
          <w:rFonts w:hint="eastAsia" w:ascii="仿宋" w:hAnsi="仿宋" w:eastAsia="仿宋" w:cs="仿宋"/>
          <w:color w:val="auto"/>
          <w:kern w:val="0"/>
          <w:sz w:val="24"/>
          <w:szCs w:val="24"/>
          <w:highlight w:val="none"/>
          <w:lang w:eastAsia="zh-CN"/>
        </w:rPr>
        <w:t>投标</w:t>
      </w:r>
      <w:r>
        <w:rPr>
          <w:rFonts w:hint="eastAsia" w:ascii="仿宋" w:hAnsi="仿宋" w:eastAsia="仿宋" w:cs="仿宋"/>
          <w:color w:val="auto"/>
          <w:kern w:val="0"/>
          <w:sz w:val="24"/>
          <w:szCs w:val="24"/>
          <w:highlight w:val="none"/>
        </w:rPr>
        <w:t>报价）×价格权值×100</w:t>
      </w:r>
    </w:p>
    <w:p w14:paraId="1298046D">
      <w:pPr>
        <w:widowControl/>
        <w:shd w:val="clear" w:color="auto" w:fill="auto"/>
        <w:spacing w:line="440" w:lineRule="exact"/>
        <w:ind w:firstLine="48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rPr>
        <w:t>项目评审过程中，不得去掉最后报价中的最高报价和最低报价。</w:t>
      </w:r>
    </w:p>
    <w:p w14:paraId="6BE63EFF">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57994258">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30%以上的）情形的，应由相关人员当场改正或作出书面说明；拒不改正又不作书面说明的，由现场监督员如实记载后存入项目档案资料。</w:t>
      </w:r>
    </w:p>
    <w:p w14:paraId="10B70961">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7 评标委员会根据评审汇总情况和采购文件规定确定中标候选供应商排序名单。</w:t>
      </w:r>
    </w:p>
    <w:p w14:paraId="5C58B74D">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 xml:space="preserve">8 起草评审报告，所有评审人员须在评审报告上签字确认，对自己的评审意见承担法律责任。 </w:t>
      </w:r>
    </w:p>
    <w:p w14:paraId="3368557B">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9 采购组织机构对评标委员会评审专家进行评价。</w:t>
      </w:r>
    </w:p>
    <w:p w14:paraId="0FB803C6">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10 修改评审结果</w:t>
      </w:r>
    </w:p>
    <w:p w14:paraId="3A2A874B">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评标结果汇总完成后，除下列情形外，任何人不得修改评标结果：</w:t>
      </w:r>
    </w:p>
    <w:p w14:paraId="045DDDD7">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（1）分值汇总计算错误的；</w:t>
      </w:r>
    </w:p>
    <w:p w14:paraId="03228E29">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（2）分项评分超出评分标准范围的；</w:t>
      </w:r>
    </w:p>
    <w:p w14:paraId="6C907066">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（3）评标委员会成员对客观评审因素评分不一致的；</w:t>
      </w:r>
    </w:p>
    <w:p w14:paraId="5D57842B">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（4）经评标委员会认定评分畸高、畸低的。</w:t>
      </w:r>
    </w:p>
    <w:p w14:paraId="7319587A">
      <w:pPr>
        <w:widowControl/>
        <w:shd w:val="clear" w:color="auto" w:fill="auto"/>
        <w:spacing w:line="44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D2AA499">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36．澄清、说明或补正的形式</w:t>
      </w:r>
    </w:p>
    <w:p w14:paraId="0B081F8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 w:val="24"/>
          <w:szCs w:val="24"/>
          <w:highlight w:val="none"/>
          <w:lang w:val="en-US" w:eastAsia="zh-CN"/>
        </w:rPr>
        <w:t>投标供应商澄清、说明或补正时间为20分钟</w:t>
      </w:r>
      <w:r>
        <w:rPr>
          <w:rFonts w:hint="eastAsia" w:ascii="仿宋" w:hAnsi="仿宋" w:eastAsia="仿宋" w:cs="仿宋"/>
          <w:b w:val="0"/>
          <w:bCs w:val="0"/>
          <w:color w:val="auto"/>
          <w:sz w:val="24"/>
          <w:szCs w:val="24"/>
          <w:highlight w:val="none"/>
          <w:lang w:val="en-US" w:eastAsia="zh-CN"/>
        </w:rPr>
        <w:t>。</w:t>
      </w:r>
    </w:p>
    <w:p w14:paraId="62B18CA9">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36.2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762015A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0173F4F2">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37．错误修正的原则</w:t>
      </w:r>
    </w:p>
    <w:p w14:paraId="4D9BE10E">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电子交易平台客户端里开标一览表录入的投标报价或优惠率与扫描上传的报价文件信息不一致的，以扫描上传的报价文件信息为准进行修正。</w:t>
      </w:r>
    </w:p>
    <w:p w14:paraId="1E722E1D">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投标文件报价出现前后不一致的，除采购文件另有规定外，按照下列规定修正：</w:t>
      </w:r>
    </w:p>
    <w:p w14:paraId="34EBA2A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37.1 投标函中表述的内容与报价表中不一致的，以报价表为准；报价表中的内容与报价明细表不一致的，以报价表为准；</w:t>
      </w:r>
    </w:p>
    <w:p w14:paraId="02E862F4">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37.2 投标文件中的大写金额和小写金额不一致的，以大写金额为准；</w:t>
      </w:r>
    </w:p>
    <w:p w14:paraId="0F680A3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37.3 单价金额小数点或者百分比有明显错位的，以开标一览表的总价为准，并修改单价；</w:t>
      </w:r>
    </w:p>
    <w:p w14:paraId="263273A3">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37.4 总价金额与按单价汇总金额不一致的，以单价金额计算结果为准；</w:t>
      </w:r>
    </w:p>
    <w:p w14:paraId="773B79C0">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37.5 若用文字表示的数值与用数字表示的数值不一致，以文字表示的数值为准；</w:t>
      </w:r>
    </w:p>
    <w:p w14:paraId="698CF501">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37.6 如有多报（指数量超出采购文件需求）、重报（指同一货物重复报价），其投标总价在评标过程中不予调整，如其中标，其合同价按其投标单价予以调整；</w:t>
      </w:r>
    </w:p>
    <w:p w14:paraId="05AF030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37.7 对不同文字文本投标文件的解释发生异议的，以中文文本为准；</w:t>
      </w:r>
    </w:p>
    <w:p w14:paraId="00BBF3F6">
      <w:pPr>
        <w:shd w:val="clear" w:color="auto" w:fill="auto"/>
        <w:spacing w:line="440" w:lineRule="exact"/>
        <w:ind w:firstLine="240" w:firstLineChars="100"/>
        <w:jc w:val="left"/>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 w:val="24"/>
          <w:szCs w:val="24"/>
          <w:highlight w:val="none"/>
          <w:lang w:val="en-US" w:eastAsia="zh-CN"/>
        </w:rPr>
        <w:t>修正应当采用电子询标的形式，并加盖公章（电子印章）。</w:t>
      </w:r>
    </w:p>
    <w:p w14:paraId="3FF5B764">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38．无效投标文件</w:t>
      </w:r>
    </w:p>
    <w:p w14:paraId="122F727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有下列情形之一的，投标文件按无效标处理：</w:t>
      </w:r>
    </w:p>
    <w:p w14:paraId="09FAAA7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 报名的投标人与参加投标的投标人发生实质性变更的且未提供有效证明的；</w:t>
      </w:r>
    </w:p>
    <w:p w14:paraId="20DA04F7">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38.2投标人提交两份或两份以上内容不同的投标文件，未声明哪一份有效的；</w:t>
      </w:r>
    </w:p>
    <w:p w14:paraId="27EB7C8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38.3 投标文件非投标人法定代表人签署的，未提供或提供无效的法定代表人授权书；</w:t>
      </w:r>
    </w:p>
    <w:p w14:paraId="4D51E97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38.4 未按招标文件规定装订；</w:t>
      </w:r>
    </w:p>
    <w:p w14:paraId="6E4CF7D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38.5 投标文件内容未按招标文件规定签字、盖章的；</w:t>
      </w:r>
    </w:p>
    <w:p w14:paraId="3BC61F76">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38.6 投标文件组成漏项或未按规定的格式编制或投标文件正、副本份数不足或内容不全或内容字迹模糊辨认不清的等而导致评标活动无法正常进行；</w:t>
      </w:r>
    </w:p>
    <w:p w14:paraId="332FE983">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38.7 投标人未按招标文件变更通知更改投标文件的；</w:t>
      </w:r>
    </w:p>
    <w:p w14:paraId="378501F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38.8 《开标一览表》和《投标分项报价表》内容不完整且不接受修正意见或字迹不能辨认的或未提供；</w:t>
      </w:r>
    </w:p>
    <w:p w14:paraId="47D86864">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38.9 标项投标报价超过招标文件规定的预算金额或最高限价</w:t>
      </w:r>
    </w:p>
    <w:p w14:paraId="4951E5BC">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38.10 因投标人原因编制错误造成经评标委员会修正后的报价达到或超过投标报价的0.5%；</w:t>
      </w:r>
    </w:p>
    <w:p w14:paraId="47EFA29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38.11 投标人的报价明显低于其他通过符合性审查投标人的报价，有可能影响产品质量或者不能诚信履约的，且在规定时间内不能合理说明原因并提供证明材料的；</w:t>
      </w:r>
    </w:p>
    <w:p w14:paraId="181065F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38.12 未实质性响应招标文件中条款要求的投标文件；</w:t>
      </w:r>
    </w:p>
    <w:p w14:paraId="5B3BB7D0">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38.13 不符合招标范围、技术规格、技术标准的要求无法满足采购人使用要求；</w:t>
      </w:r>
    </w:p>
    <w:p w14:paraId="21ADD2A7">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38.14 投标文件附有采购人不能接受的条款；</w:t>
      </w:r>
    </w:p>
    <w:p w14:paraId="34CC9F6C">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38.15 投标文件中提供了赠品或者与本项目采购无关的其他商品、服务；</w:t>
      </w:r>
    </w:p>
    <w:p w14:paraId="207BA510">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38.16 投标文件中承诺的投标有效期少于招标文件中载明的投标有效期；</w:t>
      </w:r>
    </w:p>
    <w:p w14:paraId="43EA676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38.17投标人串通投标，妨碍其他投标人的竞争行为，损害采购人或者其他投标人的合法权益；</w:t>
      </w:r>
    </w:p>
    <w:p w14:paraId="56FDE8D7">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38.18违反国家及政府部门相关法律、法规、文件规定或经评标委员会认定的其他属于重大偏离；</w:t>
      </w:r>
    </w:p>
    <w:p w14:paraId="55E8925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39．废标</w:t>
      </w:r>
    </w:p>
    <w:p w14:paraId="4BC7D1BE">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39.1 符合招标文件规定废标情形的；</w:t>
      </w:r>
    </w:p>
    <w:p w14:paraId="226FC1C1">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39.2 出现影响采购公正的违法、违规行为的；</w:t>
      </w:r>
    </w:p>
    <w:p w14:paraId="71F31A83">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39.3 供应商的报价均超过了采购预算（或最高限价），采购人不能支付的;</w:t>
      </w:r>
    </w:p>
    <w:p w14:paraId="45391FA4">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39.4 因重大变故，采购任务取消的。</w:t>
      </w:r>
    </w:p>
    <w:p w14:paraId="3D56253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40．突发情况处理</w:t>
      </w:r>
    </w:p>
    <w:p w14:paraId="609E44E6">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40.1 采购过程中出现以下情形，导致电子交易平台无法正常运行，或者无法保证电子交易的公平、公正和安全时，采购组织机构可中止电子交易活动：</w:t>
      </w:r>
    </w:p>
    <w:p w14:paraId="6BD60BC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（1）电子交易平台发生故障而无法登录访问的； </w:t>
      </w:r>
    </w:p>
    <w:p w14:paraId="0A819404">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（2）电子交易平台应用或数据库出现错误，不能进行正常操作的；</w:t>
      </w:r>
    </w:p>
    <w:p w14:paraId="0BB1144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（3）电子交易平台发现严重安全漏洞，有潜在泄密危险的；</w:t>
      </w:r>
    </w:p>
    <w:p w14:paraId="25E6B303">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（4）病毒发作导致不能进行正常操作的； </w:t>
      </w:r>
    </w:p>
    <w:p w14:paraId="135179C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（5）其他无法保证电子交易的公平、公正和安全的情况。</w:t>
      </w:r>
    </w:p>
    <w:p w14:paraId="2C45763D">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B192AF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40.2 采购代理机构或评审小组因不可抗力（不可抗力包括但不限于自然灾害、断电、传播疫病等）原因造成电子交易活动无法正常运行的，将采取以下措施：</w:t>
      </w:r>
    </w:p>
    <w:p w14:paraId="14EA7D67">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（1）短时间内能消除不可抗力因素的，采购代理机构或评审小组在消除不可抗力因素后继续组织电子交易活动； </w:t>
      </w:r>
    </w:p>
    <w:p w14:paraId="1C6E5A39">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（2）长时间内无法消除不可抗力因素的，采购代理机构或评审小组将中止电子交易活动。中止电子交易活动的，采购人应当重新组织政府采购活动。</w:t>
      </w:r>
    </w:p>
    <w:p w14:paraId="64AFEFAB">
      <w:pPr>
        <w:shd w:val="clear" w:color="auto" w:fill="auto"/>
        <w:snapToGrid w:val="0"/>
        <w:spacing w:line="360" w:lineRule="exact"/>
        <w:ind w:firstLine="421"/>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41</w:t>
      </w:r>
      <w:r>
        <w:rPr>
          <w:rFonts w:hint="eastAsia" w:ascii="仿宋" w:hAnsi="仿宋" w:eastAsia="仿宋" w:cs="仿宋"/>
          <w:b/>
          <w:color w:val="auto"/>
          <w:sz w:val="24"/>
          <w:szCs w:val="24"/>
          <w:highlight w:val="none"/>
        </w:rPr>
        <w:t>. 定标</w:t>
      </w:r>
    </w:p>
    <w:p w14:paraId="0E1D59A4">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bookmarkStart w:id="58" w:name="_Toc469495729"/>
      <w:r>
        <w:rPr>
          <w:rFonts w:hint="eastAsia" w:ascii="仿宋" w:hAnsi="仿宋" w:eastAsia="仿宋" w:cs="仿宋"/>
          <w:b w:val="0"/>
          <w:bCs w:val="0"/>
          <w:color w:val="auto"/>
          <w:sz w:val="24"/>
          <w:szCs w:val="24"/>
          <w:highlight w:val="none"/>
          <w:lang w:val="en-US" w:eastAsia="zh-CN"/>
        </w:rPr>
        <w:t>41.1采购结果确认（确定中标供应商）</w:t>
      </w:r>
    </w:p>
    <w:p w14:paraId="23AC944C">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采购结果确认（确定中标供应商）：本项目由采购人根据评标委员会提交的《评审报告》，通过“政府采购云平台”依法确认采购结果、确定中标供应商。具体流程如下：</w:t>
      </w:r>
    </w:p>
    <w:p w14:paraId="17BF313E">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（1）采购代理机构将在评审结束后2个工作日内将评审报告送采购人。</w:t>
      </w:r>
    </w:p>
    <w:p w14:paraId="3A2C43B6">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14:paraId="5A5B694D">
      <w:pPr>
        <w:shd w:val="clear" w:color="auto" w:fill="auto"/>
        <w:spacing w:line="440" w:lineRule="exact"/>
        <w:ind w:firstLine="240" w:firstLineChars="100"/>
        <w:jc w:val="left"/>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41.2采购结果经采购人确认后2个工作日内，采购代理机构将在</w:t>
      </w:r>
      <w:r>
        <w:rPr>
          <w:rFonts w:hint="eastAsia" w:ascii="仿宋" w:hAnsi="仿宋" w:eastAsia="仿宋" w:cs="仿宋"/>
          <w:b/>
          <w:bCs/>
          <w:color w:val="auto"/>
          <w:sz w:val="24"/>
          <w:szCs w:val="24"/>
          <w:highlight w:val="none"/>
          <w:lang w:val="en-US" w:eastAsia="zh-CN"/>
        </w:rPr>
        <w:t>新疆政府采购网（www.zjzfcg.gov.cn）上公告采购结果，中标公告期限为1个工作日。</w:t>
      </w:r>
    </w:p>
    <w:p w14:paraId="3D2B8811">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42. 中标通知书</w:t>
      </w:r>
    </w:p>
    <w:p w14:paraId="0ED9DF4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42.1</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通知书发出前，招标人将</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侯选人的情况在</w:t>
      </w:r>
      <w:r>
        <w:rPr>
          <w:rFonts w:hint="eastAsia" w:ascii="仿宋" w:hAnsi="仿宋" w:eastAsia="仿宋" w:cs="仿宋"/>
          <w:color w:val="auto"/>
          <w:sz w:val="24"/>
          <w:szCs w:val="24"/>
          <w:highlight w:val="none"/>
          <w:lang w:eastAsia="zh-CN"/>
        </w:rPr>
        <w:t>新疆政府采购网</w:t>
      </w:r>
      <w:r>
        <w:rPr>
          <w:rFonts w:hint="eastAsia" w:ascii="仿宋" w:hAnsi="仿宋" w:eastAsia="仿宋" w:cs="仿宋"/>
          <w:color w:val="auto"/>
          <w:sz w:val="24"/>
          <w:szCs w:val="24"/>
          <w:highlight w:val="none"/>
        </w:rPr>
        <w:t>予以公示，</w:t>
      </w:r>
      <w:r>
        <w:rPr>
          <w:rFonts w:hint="eastAsia" w:ascii="仿宋" w:hAnsi="仿宋" w:eastAsia="仿宋" w:cs="仿宋"/>
          <w:b/>
          <w:bCs/>
          <w:color w:val="auto"/>
          <w:sz w:val="24"/>
          <w:szCs w:val="24"/>
          <w:highlight w:val="none"/>
        </w:rPr>
        <w:t>公示期为</w:t>
      </w:r>
      <w:r>
        <w:rPr>
          <w:rFonts w:hint="eastAsia" w:ascii="仿宋" w:hAnsi="仿宋" w:eastAsia="仿宋" w:cs="仿宋"/>
          <w:b/>
          <w:bCs/>
          <w:color w:val="auto"/>
          <w:sz w:val="24"/>
          <w:szCs w:val="24"/>
          <w:highlight w:val="none"/>
          <w:lang w:eastAsia="zh-CN"/>
        </w:rPr>
        <w:t>一</w:t>
      </w:r>
      <w:r>
        <w:rPr>
          <w:rFonts w:hint="eastAsia" w:ascii="仿宋" w:hAnsi="仿宋" w:eastAsia="仿宋" w:cs="仿宋"/>
          <w:b/>
          <w:bCs/>
          <w:color w:val="auto"/>
          <w:sz w:val="24"/>
          <w:szCs w:val="24"/>
          <w:highlight w:val="none"/>
        </w:rPr>
        <w:t>个工作日。</w:t>
      </w:r>
      <w:r>
        <w:rPr>
          <w:rFonts w:hint="eastAsia" w:ascii="仿宋" w:hAnsi="仿宋" w:eastAsia="仿宋" w:cs="仿宋"/>
          <w:b/>
          <w:bCs/>
          <w:color w:val="auto"/>
          <w:sz w:val="24"/>
          <w:szCs w:val="24"/>
          <w:highlight w:val="none"/>
          <w:lang w:eastAsia="zh-CN"/>
        </w:rPr>
        <w:t>待公示期结束后，</w:t>
      </w:r>
      <w:r>
        <w:rPr>
          <w:rFonts w:hint="eastAsia" w:ascii="仿宋" w:hAnsi="仿宋" w:eastAsia="仿宋" w:cs="仿宋"/>
          <w:b w:val="0"/>
          <w:bCs w:val="0"/>
          <w:color w:val="auto"/>
          <w:sz w:val="24"/>
          <w:szCs w:val="24"/>
          <w:highlight w:val="none"/>
          <w:lang w:val="en-US" w:eastAsia="zh-CN"/>
        </w:rPr>
        <w:t>采购组织机构向中标人发出中标通知书。</w:t>
      </w:r>
    </w:p>
    <w:p w14:paraId="73C34D5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42.2中标通知书作为签订合同的重要依据，对采购人和中标供应商均具有法律效力。采购人改变中标结果或者中标供应商放弃中标项目的都应承担法律责任。成交供应商不得向他人转让中标项目，也不得将中标项目肢解后分别向他人转让。</w:t>
      </w:r>
    </w:p>
    <w:p w14:paraId="26844F1B">
      <w:pPr>
        <w:shd w:val="clear" w:color="auto" w:fill="auto"/>
        <w:spacing w:before="156" w:beforeLines="50" w:line="440" w:lineRule="exact"/>
        <w:jc w:val="center"/>
        <w:outlineLvl w:val="9"/>
        <w:rPr>
          <w:rFonts w:hint="eastAsia" w:ascii="仿宋" w:hAnsi="仿宋" w:eastAsia="仿宋" w:cs="仿宋"/>
          <w:color w:val="auto"/>
          <w:sz w:val="24"/>
          <w:highlight w:val="none"/>
        </w:rPr>
      </w:pPr>
      <w:bookmarkStart w:id="59" w:name="_Toc8086"/>
      <w:r>
        <w:rPr>
          <w:rFonts w:hint="eastAsia" w:ascii="仿宋" w:hAnsi="仿宋" w:eastAsia="仿宋" w:cs="仿宋"/>
          <w:color w:val="auto"/>
          <w:sz w:val="28"/>
          <w:szCs w:val="28"/>
          <w:highlight w:val="none"/>
        </w:rPr>
        <w:t>（六）合同的授予</w:t>
      </w:r>
      <w:bookmarkEnd w:id="58"/>
      <w:bookmarkEnd w:id="59"/>
    </w:p>
    <w:p w14:paraId="43859209">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bookmarkStart w:id="60" w:name="_Toc73975842"/>
      <w:bookmarkStart w:id="61" w:name="_Toc469495730"/>
      <w:r>
        <w:rPr>
          <w:rFonts w:hint="eastAsia" w:ascii="仿宋" w:hAnsi="仿宋" w:eastAsia="仿宋" w:cs="仿宋"/>
          <w:b w:val="0"/>
          <w:bCs w:val="0"/>
          <w:color w:val="auto"/>
          <w:sz w:val="24"/>
          <w:szCs w:val="24"/>
          <w:highlight w:val="none"/>
          <w:lang w:val="en-US" w:eastAsia="zh-CN"/>
        </w:rPr>
        <w:t>43．履约保证金</w:t>
      </w:r>
      <w:bookmarkEnd w:id="60"/>
    </w:p>
    <w:p w14:paraId="32C6E7AD">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bookmarkStart w:id="62" w:name="_Toc73975843"/>
      <w:r>
        <w:rPr>
          <w:rFonts w:hint="eastAsia" w:ascii="仿宋" w:hAnsi="仿宋" w:eastAsia="仿宋" w:cs="仿宋"/>
          <w:b w:val="0"/>
          <w:bCs w:val="0"/>
          <w:color w:val="auto"/>
          <w:sz w:val="24"/>
          <w:szCs w:val="24"/>
          <w:highlight w:val="none"/>
          <w:lang w:val="en-US" w:eastAsia="zh-CN"/>
        </w:rPr>
        <w:t>无</w:t>
      </w:r>
    </w:p>
    <w:p w14:paraId="7DDD1A6D">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44．签订合同及公告</w:t>
      </w:r>
      <w:bookmarkEnd w:id="62"/>
    </w:p>
    <w:p w14:paraId="6CA6482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44.1采购人在中标通知书发出之日起30日内与中标供应商签订合同。</w:t>
      </w:r>
    </w:p>
    <w:p w14:paraId="6855C102">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44.2中标供应商拖延、拒签合同的,取消中标资格。</w:t>
      </w:r>
    </w:p>
    <w:p w14:paraId="0A071D81">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44.3 采购文件、中标供应商的投标文件及评标过程中有关澄清文件等均作为签订合同的依据。所签订的合同不得对采购文件和中标供应商的投标文件的内容作实质性修改。</w:t>
      </w:r>
    </w:p>
    <w:p w14:paraId="1FAF9FB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44.4采购人应当自政府采购合同签订之日起2个工作日内，在省级以上财政部门指定的政府采购信息发布媒体及相关网站上公告。</w:t>
      </w:r>
    </w:p>
    <w:p w14:paraId="07626B6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44.5采购人应当自政府采购合同签订之日起7个工作日内，将政府采购合同副本报同级人民政府财政部门备案以及采购代理机构存档。</w:t>
      </w:r>
    </w:p>
    <w:p w14:paraId="381D7C2E">
      <w:pPr>
        <w:shd w:val="clear" w:color="auto" w:fill="auto"/>
        <w:adjustRightInd w:val="0"/>
        <w:snapToGrid w:val="0"/>
        <w:spacing w:line="440" w:lineRule="exact"/>
        <w:jc w:val="center"/>
        <w:outlineLvl w:val="9"/>
        <w:rPr>
          <w:rFonts w:hint="eastAsia" w:ascii="仿宋" w:hAnsi="仿宋" w:eastAsia="仿宋" w:cs="仿宋"/>
          <w:color w:val="auto"/>
          <w:sz w:val="28"/>
          <w:szCs w:val="28"/>
          <w:highlight w:val="none"/>
        </w:rPr>
      </w:pPr>
      <w:bookmarkStart w:id="63" w:name="_Toc10915"/>
      <w:r>
        <w:rPr>
          <w:rFonts w:hint="eastAsia" w:ascii="仿宋" w:hAnsi="仿宋" w:eastAsia="仿宋" w:cs="仿宋"/>
          <w:color w:val="auto"/>
          <w:sz w:val="28"/>
          <w:szCs w:val="28"/>
          <w:highlight w:val="none"/>
        </w:rPr>
        <w:t>（七）纪律和监督</w:t>
      </w:r>
      <w:bookmarkEnd w:id="61"/>
      <w:bookmarkEnd w:id="63"/>
    </w:p>
    <w:p w14:paraId="637E9194">
      <w:pPr>
        <w:shd w:val="clear" w:color="auto" w:fill="auto"/>
        <w:spacing w:line="440" w:lineRule="exact"/>
        <w:ind w:firstLine="352" w:firstLineChars="147"/>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45</w:t>
      </w:r>
      <w:r>
        <w:rPr>
          <w:rFonts w:hint="eastAsia" w:ascii="仿宋" w:hAnsi="仿宋" w:eastAsia="仿宋" w:cs="仿宋"/>
          <w:b/>
          <w:color w:val="auto"/>
          <w:sz w:val="24"/>
          <w:szCs w:val="24"/>
          <w:highlight w:val="none"/>
        </w:rPr>
        <w:t xml:space="preserve">. 对招标人的纪律要求 </w:t>
      </w:r>
    </w:p>
    <w:p w14:paraId="0CD61C4B">
      <w:pPr>
        <w:shd w:val="clear" w:color="auto" w:fill="auto"/>
        <w:adjustRightInd w:val="0"/>
        <w:snapToGrid w:val="0"/>
        <w:spacing w:line="440" w:lineRule="exact"/>
        <w:ind w:firstLine="360" w:firstLineChars="150"/>
        <w:outlineLvl w:val="9"/>
        <w:rPr>
          <w:rFonts w:hint="eastAsia" w:ascii="仿宋" w:hAnsi="仿宋" w:eastAsia="仿宋" w:cs="仿宋"/>
          <w:color w:val="auto"/>
          <w:kern w:val="10"/>
          <w:sz w:val="24"/>
          <w:szCs w:val="24"/>
          <w:highlight w:val="none"/>
        </w:rPr>
      </w:pPr>
      <w:r>
        <w:rPr>
          <w:rFonts w:hint="eastAsia" w:ascii="仿宋" w:hAnsi="仿宋" w:eastAsia="仿宋" w:cs="仿宋"/>
          <w:color w:val="auto"/>
          <w:kern w:val="10"/>
          <w:sz w:val="24"/>
          <w:szCs w:val="24"/>
          <w:highlight w:val="none"/>
          <w:lang w:val="en-US" w:eastAsia="zh-CN"/>
        </w:rPr>
        <w:t>45</w:t>
      </w:r>
      <w:r>
        <w:rPr>
          <w:rFonts w:hint="eastAsia" w:ascii="仿宋" w:hAnsi="仿宋" w:eastAsia="仿宋" w:cs="仿宋"/>
          <w:color w:val="auto"/>
          <w:kern w:val="10"/>
          <w:sz w:val="24"/>
          <w:szCs w:val="24"/>
          <w:highlight w:val="none"/>
        </w:rPr>
        <w:t xml:space="preserve">.1招标人不得泄漏招标投标活动中应当保密的情况和资料，不得与投标人串通损害国家利益，社会公共利益或者他人合法权益。 </w:t>
      </w:r>
    </w:p>
    <w:p w14:paraId="65135AD1">
      <w:pPr>
        <w:shd w:val="clear" w:color="auto" w:fill="auto"/>
        <w:spacing w:line="440" w:lineRule="exact"/>
        <w:ind w:firstLine="352" w:firstLineChars="147"/>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46</w:t>
      </w:r>
      <w:r>
        <w:rPr>
          <w:rFonts w:hint="eastAsia" w:ascii="仿宋" w:hAnsi="仿宋" w:eastAsia="仿宋" w:cs="仿宋"/>
          <w:b/>
          <w:color w:val="auto"/>
          <w:sz w:val="24"/>
          <w:szCs w:val="24"/>
          <w:highlight w:val="none"/>
        </w:rPr>
        <w:t xml:space="preserve">. 对投标人的纪律要求 </w:t>
      </w:r>
    </w:p>
    <w:p w14:paraId="356F35D9">
      <w:pPr>
        <w:shd w:val="clear" w:color="auto" w:fill="auto"/>
        <w:adjustRightInd w:val="0"/>
        <w:snapToGrid w:val="0"/>
        <w:spacing w:line="440" w:lineRule="exact"/>
        <w:ind w:firstLine="360" w:firstLineChars="150"/>
        <w:outlineLvl w:val="9"/>
        <w:rPr>
          <w:rFonts w:hint="eastAsia" w:ascii="仿宋" w:hAnsi="仿宋" w:eastAsia="仿宋" w:cs="仿宋"/>
          <w:color w:val="auto"/>
          <w:kern w:val="10"/>
          <w:sz w:val="24"/>
          <w:szCs w:val="24"/>
          <w:highlight w:val="none"/>
        </w:rPr>
      </w:pPr>
      <w:r>
        <w:rPr>
          <w:rFonts w:hint="eastAsia" w:ascii="仿宋" w:hAnsi="仿宋" w:eastAsia="仿宋" w:cs="仿宋"/>
          <w:color w:val="auto"/>
          <w:kern w:val="10"/>
          <w:sz w:val="24"/>
          <w:szCs w:val="24"/>
          <w:highlight w:val="none"/>
          <w:lang w:val="en-US" w:eastAsia="zh-CN"/>
        </w:rPr>
        <w:t>46</w:t>
      </w:r>
      <w:r>
        <w:rPr>
          <w:rFonts w:hint="eastAsia" w:ascii="仿宋" w:hAnsi="仿宋" w:eastAsia="仿宋" w:cs="仿宋"/>
          <w:color w:val="auto"/>
          <w:kern w:val="10"/>
          <w:sz w:val="24"/>
          <w:szCs w:val="24"/>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14:paraId="4A61688D">
      <w:pPr>
        <w:shd w:val="clear" w:color="auto" w:fill="auto"/>
        <w:spacing w:line="440" w:lineRule="exact"/>
        <w:ind w:firstLine="352" w:firstLineChars="147"/>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47</w:t>
      </w:r>
      <w:r>
        <w:rPr>
          <w:rFonts w:hint="eastAsia" w:ascii="仿宋" w:hAnsi="仿宋" w:eastAsia="仿宋" w:cs="仿宋"/>
          <w:b/>
          <w:color w:val="auto"/>
          <w:sz w:val="24"/>
          <w:szCs w:val="24"/>
          <w:highlight w:val="none"/>
        </w:rPr>
        <w:t>. 对评标委员会成员的纪律要求</w:t>
      </w:r>
    </w:p>
    <w:p w14:paraId="087428CD">
      <w:pPr>
        <w:shd w:val="clear" w:color="auto" w:fill="auto"/>
        <w:adjustRightInd w:val="0"/>
        <w:snapToGrid w:val="0"/>
        <w:spacing w:line="440" w:lineRule="exact"/>
        <w:ind w:firstLine="360" w:firstLineChars="150"/>
        <w:outlineLvl w:val="9"/>
        <w:rPr>
          <w:rFonts w:hint="eastAsia" w:ascii="仿宋" w:hAnsi="仿宋" w:eastAsia="仿宋" w:cs="仿宋"/>
          <w:color w:val="auto"/>
          <w:kern w:val="10"/>
          <w:sz w:val="24"/>
          <w:szCs w:val="24"/>
          <w:highlight w:val="none"/>
        </w:rPr>
      </w:pPr>
      <w:r>
        <w:rPr>
          <w:rFonts w:hint="eastAsia" w:ascii="仿宋" w:hAnsi="仿宋" w:eastAsia="仿宋" w:cs="仿宋"/>
          <w:color w:val="auto"/>
          <w:kern w:val="10"/>
          <w:sz w:val="24"/>
          <w:szCs w:val="24"/>
          <w:highlight w:val="none"/>
          <w:lang w:val="en-US" w:eastAsia="zh-CN"/>
        </w:rPr>
        <w:t>47</w:t>
      </w:r>
      <w:r>
        <w:rPr>
          <w:rFonts w:hint="eastAsia" w:ascii="仿宋" w:hAnsi="仿宋" w:eastAsia="仿宋" w:cs="仿宋"/>
          <w:color w:val="auto"/>
          <w:kern w:val="10"/>
          <w:sz w:val="24"/>
          <w:szCs w:val="24"/>
          <w:highlight w:val="none"/>
        </w:rPr>
        <w:t>.1评标委员会成员不得收受他人的财物或者其他好处，不得向他人透漏对投标文件的评审和比较、中标候选人的推荐情况以及评标有关的其他情况。</w:t>
      </w:r>
    </w:p>
    <w:p w14:paraId="6CD1E4BA">
      <w:pPr>
        <w:shd w:val="clear" w:color="auto" w:fill="auto"/>
        <w:adjustRightInd w:val="0"/>
        <w:snapToGrid w:val="0"/>
        <w:spacing w:line="440" w:lineRule="exact"/>
        <w:ind w:firstLine="360" w:firstLineChars="150"/>
        <w:outlineLvl w:val="9"/>
        <w:rPr>
          <w:rFonts w:hint="eastAsia" w:ascii="仿宋" w:hAnsi="仿宋" w:eastAsia="仿宋" w:cs="仿宋"/>
          <w:color w:val="auto"/>
          <w:kern w:val="10"/>
          <w:sz w:val="24"/>
          <w:szCs w:val="24"/>
          <w:highlight w:val="none"/>
        </w:rPr>
      </w:pPr>
      <w:r>
        <w:rPr>
          <w:rFonts w:hint="eastAsia" w:ascii="仿宋" w:hAnsi="仿宋" w:eastAsia="仿宋" w:cs="仿宋"/>
          <w:color w:val="auto"/>
          <w:kern w:val="10"/>
          <w:sz w:val="24"/>
          <w:szCs w:val="24"/>
          <w:highlight w:val="none"/>
          <w:lang w:val="en-US" w:eastAsia="zh-CN"/>
        </w:rPr>
        <w:t>47</w:t>
      </w:r>
      <w:r>
        <w:rPr>
          <w:rFonts w:hint="eastAsia" w:ascii="仿宋" w:hAnsi="仿宋" w:eastAsia="仿宋" w:cs="仿宋"/>
          <w:color w:val="auto"/>
          <w:kern w:val="10"/>
          <w:sz w:val="24"/>
          <w:szCs w:val="24"/>
          <w:highlight w:val="none"/>
        </w:rPr>
        <w:t>.2在评标活动中，评标委员会成员不得擅离职守，影响评标程序正常进行，不得使用第三章“评标办法”没有规定的评审因素和标准进行评标。</w:t>
      </w:r>
    </w:p>
    <w:p w14:paraId="11B149F5">
      <w:pPr>
        <w:shd w:val="clear" w:color="auto" w:fill="auto"/>
        <w:spacing w:line="440" w:lineRule="exact"/>
        <w:ind w:firstLine="352" w:firstLineChars="147"/>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48</w:t>
      </w:r>
      <w:r>
        <w:rPr>
          <w:rFonts w:hint="eastAsia" w:ascii="仿宋" w:hAnsi="仿宋" w:eastAsia="仿宋" w:cs="仿宋"/>
          <w:b/>
          <w:color w:val="auto"/>
          <w:sz w:val="24"/>
          <w:szCs w:val="24"/>
          <w:highlight w:val="none"/>
        </w:rPr>
        <w:t>. 对与评标活动有关的工作人员的纪律要求</w:t>
      </w:r>
    </w:p>
    <w:p w14:paraId="323DAD97">
      <w:pPr>
        <w:shd w:val="clear" w:color="auto" w:fill="auto"/>
        <w:adjustRightInd w:val="0"/>
        <w:snapToGrid w:val="0"/>
        <w:spacing w:line="440" w:lineRule="exact"/>
        <w:ind w:firstLine="360" w:firstLineChars="150"/>
        <w:outlineLvl w:val="9"/>
        <w:rPr>
          <w:rFonts w:hint="eastAsia" w:ascii="仿宋" w:hAnsi="仿宋" w:eastAsia="仿宋" w:cs="仿宋"/>
          <w:color w:val="auto"/>
          <w:kern w:val="10"/>
          <w:sz w:val="24"/>
          <w:szCs w:val="24"/>
          <w:highlight w:val="none"/>
        </w:rPr>
      </w:pPr>
      <w:r>
        <w:rPr>
          <w:rFonts w:hint="eastAsia" w:ascii="仿宋" w:hAnsi="仿宋" w:eastAsia="仿宋" w:cs="仿宋"/>
          <w:color w:val="auto"/>
          <w:kern w:val="10"/>
          <w:sz w:val="24"/>
          <w:szCs w:val="24"/>
          <w:highlight w:val="none"/>
        </w:rPr>
        <w:t>4</w:t>
      </w:r>
      <w:r>
        <w:rPr>
          <w:rFonts w:hint="eastAsia" w:ascii="仿宋" w:hAnsi="仿宋" w:eastAsia="仿宋" w:cs="仿宋"/>
          <w:color w:val="auto"/>
          <w:kern w:val="10"/>
          <w:sz w:val="24"/>
          <w:szCs w:val="24"/>
          <w:highlight w:val="none"/>
          <w:lang w:val="en-US" w:eastAsia="zh-CN"/>
        </w:rPr>
        <w:t>8</w:t>
      </w:r>
      <w:r>
        <w:rPr>
          <w:rFonts w:hint="eastAsia" w:ascii="仿宋" w:hAnsi="仿宋" w:eastAsia="仿宋" w:cs="仿宋"/>
          <w:color w:val="auto"/>
          <w:kern w:val="10"/>
          <w:sz w:val="24"/>
          <w:szCs w:val="24"/>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7E6B7C1F">
      <w:pPr>
        <w:shd w:val="clear" w:color="auto" w:fill="auto"/>
        <w:spacing w:before="156" w:beforeLines="50" w:after="156" w:afterLines="50" w:line="500" w:lineRule="exact"/>
        <w:jc w:val="center"/>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（八）质疑与投诉</w:t>
      </w:r>
    </w:p>
    <w:p w14:paraId="01555B8C">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49．质疑和投诉</w:t>
      </w:r>
    </w:p>
    <w:p w14:paraId="6676719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758B0DD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（一）对可以质疑的采购文件提出质疑的，为收到采购文件之日或者采购文件公告期限届满之日；</w:t>
      </w:r>
    </w:p>
    <w:p w14:paraId="65FA1632">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（二）对采购过程提出质疑的，为各采购程序环节结束之日；</w:t>
      </w:r>
    </w:p>
    <w:p w14:paraId="4599433E">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（三）对中标或者成交结果提出质疑的，为中标或者成交结果公告期限届满之日。</w:t>
      </w:r>
    </w:p>
    <w:p w14:paraId="4E73ADCF">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1D3D09FE">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供应商为自然人的，应当由本人签字；供应商为法人或者其他组织的，应当由法定代表人、主要负责人，或者其授权代表签字或者盖章，并加盖公章。</w:t>
      </w:r>
    </w:p>
    <w:p w14:paraId="7EA7A7C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49.3供应商质疑、投诉应当有明确的请求和必要的证明材料。供应商投诉的事项不得超出已质疑事项的范围。采购人及采购代理机构按《政府采购质疑和投诉办法》进行处理供应商质疑事项。</w:t>
      </w:r>
    </w:p>
    <w:p w14:paraId="4B585E12">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49.4质疑供应商对采购人、采购代理机构的质疑答复不满意，或者采购人、采购代理机构未在规定期限内作出答复的，供应商可以在答复期满后15个工作日内向同级财政部门提起投诉。</w:t>
      </w:r>
    </w:p>
    <w:p w14:paraId="4E378B33">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49.5供应商有下列情形之一的，将其列入不良行为记录名单：</w:t>
      </w:r>
    </w:p>
    <w:p w14:paraId="4728CD9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（一）一年内三次以上质疑均查无实据的；</w:t>
      </w:r>
    </w:p>
    <w:p w14:paraId="3446D07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（二）捏造事实或者提供虚假质疑材料的。</w:t>
      </w:r>
    </w:p>
    <w:p w14:paraId="640B8DA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（三）以非法手段取得证明材料。证据来源的合法性存在明显疑问，质疑人无法证明其取得方式合法的，视为以非法手段取得证明材料。</w:t>
      </w:r>
    </w:p>
    <w:p w14:paraId="1B86A431">
      <w:pPr>
        <w:shd w:val="clear" w:color="auto" w:fill="auto"/>
        <w:jc w:val="left"/>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br w:type="page"/>
      </w:r>
      <w:r>
        <w:rPr>
          <w:rFonts w:hint="eastAsia" w:ascii="仿宋" w:hAnsi="仿宋" w:eastAsia="仿宋" w:cs="仿宋"/>
          <w:b/>
          <w:bCs/>
          <w:color w:val="auto"/>
          <w:sz w:val="21"/>
          <w:szCs w:val="21"/>
          <w:highlight w:val="none"/>
          <w:lang w:eastAsia="zh-CN"/>
        </w:rPr>
        <w:t>附件：</w:t>
      </w:r>
    </w:p>
    <w:p w14:paraId="562E6F9B">
      <w:pPr>
        <w:shd w:val="clear" w:color="auto" w:fill="auto"/>
        <w:jc w:val="center"/>
        <w:outlineLvl w:val="9"/>
        <w:rPr>
          <w:rFonts w:hint="eastAsia" w:ascii="仿宋" w:hAnsi="仿宋" w:eastAsia="仿宋" w:cs="仿宋"/>
          <w:b/>
          <w:bCs/>
          <w:color w:val="auto"/>
          <w:sz w:val="32"/>
          <w:szCs w:val="32"/>
          <w:highlight w:val="none"/>
          <w:lang w:eastAsia="zh-CN"/>
        </w:rPr>
      </w:pPr>
    </w:p>
    <w:p w14:paraId="1E852D90">
      <w:pPr>
        <w:shd w:val="clear" w:color="auto" w:fill="auto"/>
        <w:jc w:val="cente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32"/>
          <w:szCs w:val="32"/>
          <w:highlight w:val="none"/>
          <w:lang w:eastAsia="zh-CN"/>
        </w:rPr>
        <w:t>政府采购投诉书（范本）、质疑函范本</w:t>
      </w:r>
    </w:p>
    <w:p w14:paraId="3095A398">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b/>
          <w:bCs/>
          <w:color w:val="auto"/>
          <w:sz w:val="28"/>
          <w:szCs w:val="28"/>
          <w:highlight w:val="none"/>
        </w:rPr>
        <w:t>政府采购投诉书（范本）</w:t>
      </w:r>
    </w:p>
    <w:p w14:paraId="103F8E21">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u w:val="single"/>
        </w:rPr>
        <w:t xml:space="preserve">               </w:t>
      </w:r>
    </w:p>
    <w:p w14:paraId="4F9D8BEF">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4B00DAB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委托代理人姓名：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职务：</w:t>
      </w:r>
      <w:r>
        <w:rPr>
          <w:rFonts w:hint="eastAsia" w:ascii="仿宋" w:hAnsi="仿宋" w:eastAsia="仿宋" w:cs="仿宋"/>
          <w:color w:val="auto"/>
          <w:sz w:val="24"/>
          <w:szCs w:val="24"/>
          <w:highlight w:val="none"/>
          <w:u w:val="single"/>
        </w:rPr>
        <w:t xml:space="preserve">               </w:t>
      </w:r>
    </w:p>
    <w:p w14:paraId="07CA7E14">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2C2A674">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u w:val="single"/>
        </w:rPr>
        <w:t xml:space="preserve">         </w:t>
      </w:r>
    </w:p>
    <w:p w14:paraId="17C00597">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p>
    <w:p w14:paraId="17D6AAEB">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p>
    <w:p w14:paraId="6DA3B50F">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我公司参加了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日被投诉人组织的</w:t>
      </w:r>
      <w:r>
        <w:rPr>
          <w:rFonts w:hint="eastAsia" w:ascii="仿宋" w:hAnsi="仿宋" w:eastAsia="仿宋" w:cs="仿宋"/>
          <w:color w:val="auto"/>
          <w:sz w:val="24"/>
          <w:szCs w:val="24"/>
          <w:highlight w:val="none"/>
          <w:u w:val="single"/>
        </w:rPr>
        <w:t>（采购人）（项目名称）（项目编号）</w:t>
      </w:r>
      <w:r>
        <w:rPr>
          <w:rFonts w:hint="eastAsia" w:ascii="仿宋" w:hAnsi="仿宋" w:eastAsia="仿宋" w:cs="仿宋"/>
          <w:color w:val="auto"/>
          <w:sz w:val="24"/>
          <w:szCs w:val="24"/>
          <w:highlight w:val="none"/>
        </w:rPr>
        <w:t>的采购活动，我公司认为该项目的</w:t>
      </w:r>
      <w:r>
        <w:rPr>
          <w:rFonts w:hint="eastAsia" w:ascii="仿宋" w:hAnsi="仿宋" w:eastAsia="仿宋" w:cs="仿宋"/>
          <w:color w:val="auto"/>
          <w:sz w:val="24"/>
          <w:szCs w:val="24"/>
          <w:highlight w:val="none"/>
          <w:u w:val="single"/>
        </w:rPr>
        <w:t>（采购文件/采购过程/中标（</w:t>
      </w:r>
      <w:r>
        <w:rPr>
          <w:rFonts w:hint="eastAsia" w:ascii="仿宋" w:hAnsi="仿宋" w:eastAsia="仿宋" w:cs="仿宋"/>
          <w:color w:val="auto"/>
          <w:sz w:val="24"/>
          <w:szCs w:val="24"/>
          <w:highlight w:val="none"/>
          <w:u w:val="single"/>
          <w:lang w:eastAsia="zh-CN"/>
        </w:rPr>
        <w:t>中标</w:t>
      </w:r>
      <w:r>
        <w:rPr>
          <w:rFonts w:hint="eastAsia" w:ascii="仿宋" w:hAnsi="仿宋" w:eastAsia="仿宋" w:cs="仿宋"/>
          <w:color w:val="auto"/>
          <w:sz w:val="24"/>
          <w:szCs w:val="24"/>
          <w:highlight w:val="none"/>
          <w:u w:val="single"/>
        </w:rPr>
        <w:t>）结果）</w:t>
      </w:r>
      <w:r>
        <w:rPr>
          <w:rFonts w:hint="eastAsia" w:ascii="仿宋" w:hAnsi="仿宋" w:eastAsia="仿宋" w:cs="仿宋"/>
          <w:color w:val="auto"/>
          <w:sz w:val="24"/>
          <w:szCs w:val="24"/>
          <w:highlight w:val="none"/>
        </w:rPr>
        <w:t>损害了我公司权益，对此，我公司于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日向</w:t>
      </w:r>
      <w:r>
        <w:rPr>
          <w:rFonts w:hint="eastAsia" w:ascii="仿宋" w:hAnsi="仿宋" w:eastAsia="仿宋" w:cs="仿宋"/>
          <w:color w:val="auto"/>
          <w:sz w:val="24"/>
          <w:szCs w:val="24"/>
          <w:highlight w:val="none"/>
          <w:u w:val="single"/>
        </w:rPr>
        <w:t>（采购人或者政府采购代理机构）</w:t>
      </w:r>
      <w:r>
        <w:rPr>
          <w:rFonts w:hint="eastAsia" w:ascii="仿宋" w:hAnsi="仿宋" w:eastAsia="仿宋" w:cs="仿宋"/>
          <w:color w:val="auto"/>
          <w:sz w:val="24"/>
          <w:szCs w:val="24"/>
          <w:highlight w:val="none"/>
        </w:rPr>
        <w:t>提出了质疑，</w:t>
      </w:r>
      <w:r>
        <w:rPr>
          <w:rFonts w:hint="eastAsia" w:ascii="仿宋" w:hAnsi="仿宋" w:eastAsia="仿宋" w:cs="仿宋"/>
          <w:color w:val="auto"/>
          <w:sz w:val="24"/>
          <w:szCs w:val="24"/>
          <w:highlight w:val="none"/>
          <w:u w:val="single"/>
        </w:rPr>
        <w:t>（其于    年  月  日作出书面答复，因对其作出的答复不满意）/（被质疑人未在法定期内予以答复，按照政府采购有关规定）</w:t>
      </w:r>
      <w:r>
        <w:rPr>
          <w:rFonts w:hint="eastAsia" w:ascii="仿宋" w:hAnsi="仿宋" w:eastAsia="仿宋" w:cs="仿宋"/>
          <w:color w:val="auto"/>
          <w:sz w:val="24"/>
          <w:szCs w:val="24"/>
          <w:highlight w:val="none"/>
        </w:rPr>
        <w:t>，现向贵机关提起投诉：</w:t>
      </w:r>
    </w:p>
    <w:p w14:paraId="786B9688">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具体的投诉事项及事实依据；</w:t>
      </w:r>
    </w:p>
    <w:p w14:paraId="4D6136E5">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质疑和质疑答复情况简要描述；</w:t>
      </w:r>
    </w:p>
    <w:p w14:paraId="215EBE24">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u w:val="single"/>
        </w:rPr>
        <w:t>投诉请求。</w:t>
      </w:r>
    </w:p>
    <w:p w14:paraId="78FEE610">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p>
    <w:p w14:paraId="37438194">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1.质疑书和质疑答复书；</w:t>
      </w:r>
    </w:p>
    <w:p w14:paraId="352B2D3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2.证据材料（需注明证据来源），证人的姓名、住址和联系方式等；</w:t>
      </w:r>
    </w:p>
    <w:p w14:paraId="118A2D86">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3.营业执照；</w:t>
      </w:r>
    </w:p>
    <w:p w14:paraId="1D5018A8">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4.法定代表人身份证明函</w:t>
      </w:r>
    </w:p>
    <w:p w14:paraId="66D6D389">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5.法定代表人授权委托书（包含法定代表人和委托代理人的身份证复印件）；</w:t>
      </w:r>
    </w:p>
    <w:p w14:paraId="63635120">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6.政府采购监管部门认为应当提供的其它材料。</w:t>
      </w:r>
    </w:p>
    <w:p w14:paraId="1892A2AF">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600" w:firstLineChars="15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投诉供应商：（盖章）</w:t>
      </w:r>
    </w:p>
    <w:p w14:paraId="1AF098E3">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600" w:firstLineChars="15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法定代表人（或主要负责人）：（签字）</w:t>
      </w:r>
    </w:p>
    <w:p w14:paraId="7B65DE39">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840" w:firstLineChars="16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518FA4D6">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本投诉书正本</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份，副本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份并附电子文档。</w:t>
      </w:r>
    </w:p>
    <w:p w14:paraId="74F30F42">
      <w:pPr>
        <w:shd w:val="clear" w:color="auto" w:fill="auto"/>
        <w:ind w:left="7951" w:hanging="5760" w:hangingChars="1800"/>
        <w:jc w:val="center"/>
        <w:outlineLvl w:val="9"/>
        <w:rPr>
          <w:rFonts w:hint="eastAsia" w:ascii="仿宋" w:hAnsi="仿宋" w:eastAsia="仿宋" w:cs="仿宋"/>
          <w:color w:val="auto"/>
          <w:sz w:val="32"/>
          <w:szCs w:val="32"/>
          <w:highlight w:val="none"/>
        </w:rPr>
      </w:pPr>
      <w:bookmarkStart w:id="64" w:name="_Toc17515"/>
      <w:r>
        <w:rPr>
          <w:rFonts w:hint="eastAsia" w:ascii="仿宋" w:hAnsi="仿宋" w:eastAsia="仿宋" w:cs="仿宋"/>
          <w:b/>
          <w:bCs/>
          <w:color w:val="auto"/>
          <w:sz w:val="32"/>
          <w:szCs w:val="32"/>
          <w:highlight w:val="none"/>
        </w:rPr>
        <w:br w:type="page"/>
      </w:r>
      <w:bookmarkStart w:id="65" w:name="_Toc3424"/>
      <w:r>
        <w:rPr>
          <w:rFonts w:hint="eastAsia" w:ascii="仿宋" w:hAnsi="仿宋" w:eastAsia="仿宋" w:cs="仿宋"/>
          <w:b/>
          <w:bCs/>
          <w:color w:val="auto"/>
          <w:sz w:val="32"/>
          <w:szCs w:val="32"/>
          <w:highlight w:val="none"/>
        </w:rPr>
        <w:t>投诉相关说明</w:t>
      </w:r>
      <w:bookmarkEnd w:id="64"/>
      <w:bookmarkEnd w:id="65"/>
    </w:p>
    <w:p w14:paraId="5D0334F8">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投诉人应当满足《政府采购法》、《政府采购法实施条例》和《政府采购供应商投诉处理办法》的相关规定。</w:t>
      </w:r>
    </w:p>
    <w:p w14:paraId="555C5997">
      <w:pPr>
        <w:keepNext w:val="0"/>
        <w:keepLines w:val="0"/>
        <w:pageBreakBefore w:val="0"/>
        <w:numPr>
          <w:ilvl w:val="0"/>
          <w:numId w:val="0"/>
        </w:numPr>
        <w:shd w:val="clear" w:color="auto" w:fill="auto"/>
        <w:kinsoku/>
        <w:wordWrap/>
        <w:overflowPunct/>
        <w:topLinePunct w:val="0"/>
        <w:autoSpaceDE/>
        <w:autoSpaceDN/>
        <w:bidi w:val="0"/>
        <w:adjustRightInd/>
        <w:snapToGrid/>
        <w:spacing w:line="400" w:lineRule="exact"/>
        <w:ind w:left="0" w:leftChars="0" w:firstLine="0" w:firstLineChars="0"/>
        <w:jc w:val="left"/>
        <w:textAlignment w:val="auto"/>
        <w:outlineLvl w:val="9"/>
        <w:rPr>
          <w:rFonts w:hint="eastAsia" w:ascii="仿宋" w:hAnsi="仿宋" w:eastAsia="仿宋" w:cs="仿宋"/>
          <w:b/>
          <w:bCs/>
          <w:color w:val="auto"/>
          <w:sz w:val="24"/>
          <w:szCs w:val="24"/>
          <w:highlight w:val="none"/>
        </w:rPr>
      </w:pPr>
      <w:bookmarkStart w:id="66" w:name="_Toc11499"/>
      <w:bookmarkStart w:id="67" w:name="_Toc23018"/>
      <w:r>
        <w:rPr>
          <w:rFonts w:hint="eastAsia" w:ascii="仿宋" w:hAnsi="仿宋" w:eastAsia="仿宋" w:cs="仿宋"/>
          <w:b/>
          <w:bCs/>
          <w:color w:val="auto"/>
          <w:sz w:val="24"/>
          <w:szCs w:val="24"/>
          <w:highlight w:val="none"/>
          <w:lang w:val="en-US" w:eastAsia="zh-CN"/>
        </w:rPr>
        <w:t>一、</w:t>
      </w:r>
      <w:r>
        <w:rPr>
          <w:rFonts w:hint="eastAsia" w:ascii="仿宋" w:hAnsi="仿宋" w:eastAsia="仿宋" w:cs="仿宋"/>
          <w:b/>
          <w:bCs/>
          <w:color w:val="auto"/>
          <w:sz w:val="24"/>
          <w:szCs w:val="24"/>
          <w:highlight w:val="none"/>
        </w:rPr>
        <w:t>质疑前置及时间要求</w:t>
      </w:r>
      <w:bookmarkEnd w:id="66"/>
      <w:bookmarkEnd w:id="67"/>
    </w:p>
    <w:p w14:paraId="2BCE3822">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outlineLvl w:val="9"/>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sz w:val="24"/>
          <w:szCs w:val="24"/>
          <w:highlight w:val="none"/>
        </w:rPr>
        <w:t>《中华人民共和国政府采购法》</w:t>
      </w:r>
      <w:r>
        <w:rPr>
          <w:rFonts w:hint="eastAsia" w:ascii="仿宋" w:hAnsi="仿宋" w:eastAsia="仿宋" w:cs="仿宋"/>
          <w:color w:val="auto"/>
          <w:kern w:val="0"/>
          <w:sz w:val="24"/>
          <w:szCs w:val="24"/>
          <w:highlight w:val="none"/>
          <w:shd w:val="clear" w:color="auto" w:fill="FFFFFF"/>
        </w:rPr>
        <w:t>第五十一条：供应商对政府采购活动事项有疑问的，可以向采购人提出询问，采购人应当及时作出答复，但答复的内容不得涉及商业秘密。</w:t>
      </w:r>
    </w:p>
    <w:p w14:paraId="26F8C686">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shd w:val="clear" w:color="auto" w:fill="FFFFFF"/>
        </w:rPr>
        <w:t xml:space="preserve"> 第五十二条：供应商认为采购文件、采购过程和中标、</w:t>
      </w:r>
      <w:r>
        <w:rPr>
          <w:rFonts w:hint="eastAsia" w:ascii="仿宋" w:hAnsi="仿宋" w:eastAsia="仿宋" w:cs="仿宋"/>
          <w:color w:val="auto"/>
          <w:kern w:val="0"/>
          <w:sz w:val="24"/>
          <w:szCs w:val="24"/>
          <w:highlight w:val="none"/>
          <w:shd w:val="clear" w:color="auto" w:fill="FFFFFF"/>
          <w:lang w:eastAsia="zh-CN"/>
        </w:rPr>
        <w:t>中标</w:t>
      </w:r>
      <w:r>
        <w:rPr>
          <w:rFonts w:hint="eastAsia" w:ascii="仿宋" w:hAnsi="仿宋" w:eastAsia="仿宋" w:cs="仿宋"/>
          <w:color w:val="auto"/>
          <w:kern w:val="0"/>
          <w:sz w:val="24"/>
          <w:szCs w:val="24"/>
          <w:highlight w:val="none"/>
          <w:shd w:val="clear" w:color="auto" w:fill="FFFFFF"/>
        </w:rPr>
        <w:t>结果使自己的权益受到损害的，可以在知道或者应知其权益受到损害之日起七个工作日内，以书面形式向采购人提出质疑。</w:t>
      </w:r>
    </w:p>
    <w:p w14:paraId="08088D51">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outlineLvl w:val="9"/>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kern w:val="0"/>
          <w:sz w:val="24"/>
          <w:szCs w:val="24"/>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14:paraId="4B7247D6">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outlineLvl w:val="9"/>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kern w:val="0"/>
          <w:sz w:val="24"/>
          <w:szCs w:val="24"/>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5FC95943">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outlineLvl w:val="9"/>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kern w:val="0"/>
          <w:sz w:val="24"/>
          <w:szCs w:val="24"/>
          <w:highlight w:val="none"/>
          <w:shd w:val="clear" w:color="auto" w:fill="FFFFFF"/>
        </w:rPr>
        <w:t>《政府采购实施条例》第五十五条：供应商质疑、投诉应当有明确的请求和必要的证明材料。供应商投诉的事项不得超出质疑事项的范围。</w:t>
      </w:r>
    </w:p>
    <w:p w14:paraId="042C75E4">
      <w:pPr>
        <w:keepNext w:val="0"/>
        <w:keepLines w:val="0"/>
        <w:pageBreakBefore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bookmarkStart w:id="68" w:name="_Toc13508"/>
      <w:bookmarkStart w:id="69" w:name="_Toc21691"/>
      <w:r>
        <w:rPr>
          <w:rFonts w:hint="eastAsia" w:ascii="仿宋" w:hAnsi="仿宋" w:eastAsia="仿宋" w:cs="仿宋"/>
          <w:b/>
          <w:bCs/>
          <w:color w:val="auto"/>
          <w:sz w:val="24"/>
          <w:szCs w:val="24"/>
          <w:highlight w:val="none"/>
        </w:rPr>
        <w:t>二、书面方式</w:t>
      </w:r>
      <w:bookmarkEnd w:id="68"/>
      <w:bookmarkEnd w:id="69"/>
    </w:p>
    <w:p w14:paraId="51B3EE1A">
      <w:pPr>
        <w:keepNext w:val="0"/>
        <w:keepLines w:val="0"/>
        <w:pageBreakBefore w:val="0"/>
        <w:shd w:val="clear" w:color="auto" w:fill="auto"/>
        <w:kinsoku/>
        <w:wordWrap/>
        <w:overflowPunct/>
        <w:topLinePunct w:val="0"/>
        <w:autoSpaceDE/>
        <w:autoSpaceDN/>
        <w:bidi w:val="0"/>
        <w:adjustRightInd/>
        <w:snapToGrid/>
        <w:spacing w:line="400" w:lineRule="exact"/>
        <w:ind w:left="0" w:leftChars="0" w:firstLine="0" w:firstLine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《政府采购供应商投诉处理办法》第八条：投诉人投诉时，应当提交投诉书，并按照被投诉人以及与投诉事项有关的供应商数量提供投诉书的副本。</w:t>
      </w:r>
    </w:p>
    <w:p w14:paraId="498B12AC">
      <w:pPr>
        <w:keepNext w:val="0"/>
        <w:keepLines w:val="0"/>
        <w:pageBreakBefore w:val="0"/>
        <w:shd w:val="clear" w:color="auto" w:fill="auto"/>
        <w:kinsoku/>
        <w:wordWrap/>
        <w:overflowPunct/>
        <w:topLinePunct w:val="0"/>
        <w:autoSpaceDE/>
        <w:autoSpaceDN/>
        <w:bidi w:val="0"/>
        <w:adjustRightInd/>
        <w:snapToGrid/>
        <w:spacing w:line="400" w:lineRule="exact"/>
        <w:ind w:left="5760" w:hanging="4320" w:hangingChars="18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投诉书应当包括下列主要内容：</w:t>
      </w:r>
    </w:p>
    <w:p w14:paraId="6FA12A83">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投诉人和被投诉人的名称、地址、电话等；</w:t>
      </w:r>
    </w:p>
    <w:p w14:paraId="072BBD03">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具体的投诉事项及事实依据；</w:t>
      </w:r>
    </w:p>
    <w:p w14:paraId="2F01C8B5">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质疑和质疑答复情况及相关证明材料；</w:t>
      </w:r>
    </w:p>
    <w:p w14:paraId="742C5DF7">
      <w:pPr>
        <w:keepNext w:val="0"/>
        <w:keepLines w:val="0"/>
        <w:pageBreakBefore w:val="0"/>
        <w:numPr>
          <w:ilvl w:val="0"/>
          <w:numId w:val="3"/>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提起投诉的日期。</w:t>
      </w:r>
    </w:p>
    <w:p w14:paraId="7C48BD35">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投诉书应当署名。投诉人为自然人，应当由本人签字；投诉人为法人或者其他组织的，应当由法定代表人或者主要负责人签字并加盖公章。</w:t>
      </w:r>
    </w:p>
    <w:p w14:paraId="310F2242">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055053B8">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《政府采购供应商投诉处理办法》第十条：投诉人提起投诉应当符合下列条件：</w:t>
      </w:r>
    </w:p>
    <w:p w14:paraId="4A3FFBFF">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投诉人是参与所投诉政府采购活动的供应商；</w:t>
      </w:r>
    </w:p>
    <w:p w14:paraId="59A109CE">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提起投诉诉前已依法进行质疑；</w:t>
      </w:r>
    </w:p>
    <w:p w14:paraId="0F9B5FE5">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投诉书内容符合本办法的规定；</w:t>
      </w:r>
    </w:p>
    <w:p w14:paraId="5DB637EB">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在投诉有效期内提起投诉；</w:t>
      </w:r>
    </w:p>
    <w:p w14:paraId="7ED4176A">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属于本级财政部门管辖；</w:t>
      </w:r>
    </w:p>
    <w:p w14:paraId="3A3731DA">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同一投诉事项未经财政部门投诉处理；</w:t>
      </w:r>
    </w:p>
    <w:p w14:paraId="15524D80">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国务院财政部门规定的其他条件。</w:t>
      </w:r>
    </w:p>
    <w:p w14:paraId="7A340634">
      <w:pPr>
        <w:shd w:val="clear" w:color="auto" w:fill="auto"/>
        <w:outlineLvl w:val="9"/>
        <w:rPr>
          <w:rFonts w:hint="eastAsia" w:ascii="仿宋" w:hAnsi="仿宋" w:eastAsia="仿宋" w:cs="仿宋"/>
          <w:color w:val="auto"/>
          <w:sz w:val="24"/>
          <w:szCs w:val="24"/>
          <w:highlight w:val="none"/>
        </w:rPr>
      </w:pPr>
      <w:bookmarkStart w:id="70" w:name="_Toc18152"/>
      <w:bookmarkStart w:id="71" w:name="_Toc5978"/>
      <w:r>
        <w:rPr>
          <w:rFonts w:hint="eastAsia" w:ascii="仿宋" w:hAnsi="仿宋" w:eastAsia="仿宋" w:cs="仿宋"/>
          <w:b/>
          <w:bCs/>
          <w:color w:val="auto"/>
          <w:sz w:val="24"/>
          <w:szCs w:val="24"/>
          <w:highlight w:val="none"/>
        </w:rPr>
        <w:t>三、虚假、恶意投诉法律责任</w:t>
      </w:r>
      <w:bookmarkEnd w:id="70"/>
      <w:bookmarkEnd w:id="71"/>
    </w:p>
    <w:p w14:paraId="11A2317C">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第七十三条：供应商捏造实施、提供虚假材料或者以非法手段取得证明材料进行投诉的，由财政部门列入不良行为记录名单，禁止其1至3年内参加政府采购活动。</w:t>
      </w:r>
    </w:p>
    <w:p w14:paraId="6CB2738A">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《政府采购供应商投诉处理办法》第二十六条：投诉人有下列情形之一的，属于虚假、恶意投诉，财政部门应当驳回投诉，将其列入不良行为记录名单，并依法予以处罚：</w:t>
      </w:r>
    </w:p>
    <w:p w14:paraId="099168A1">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（一）1年内3次以上投诉均查无实据的；</w:t>
      </w:r>
    </w:p>
    <w:p w14:paraId="361E77D3">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（二）捏造事实或者提供虚假投诉材料的。</w:t>
      </w:r>
    </w:p>
    <w:p w14:paraId="3BE4B88B">
      <w:pPr>
        <w:keepNext w:val="0"/>
        <w:keepLines w:val="0"/>
        <w:pageBreakBefore w:val="0"/>
        <w:shd w:val="clear" w:color="auto" w:fill="auto"/>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z w:val="21"/>
          <w:szCs w:val="21"/>
          <w:highlight w:val="none"/>
        </w:rPr>
      </w:pPr>
    </w:p>
    <w:p w14:paraId="0B579AFF">
      <w:pPr>
        <w:shd w:val="clear" w:color="auto" w:fill="auto"/>
        <w:jc w:val="right"/>
        <w:outlineLvl w:val="9"/>
        <w:rPr>
          <w:rFonts w:hint="eastAsia" w:ascii="仿宋" w:hAnsi="仿宋" w:eastAsia="仿宋" w:cs="仿宋"/>
          <w:color w:val="auto"/>
          <w:sz w:val="32"/>
          <w:szCs w:val="32"/>
          <w:highlight w:val="none"/>
        </w:rPr>
      </w:pPr>
    </w:p>
    <w:p w14:paraId="39BBEDE9">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仿宋" w:hAnsi="仿宋" w:eastAsia="仿宋" w:cs="仿宋"/>
          <w:b/>
          <w:bCs/>
          <w:color w:val="auto"/>
          <w:sz w:val="32"/>
          <w:szCs w:val="32"/>
          <w:highlight w:val="none"/>
        </w:rPr>
      </w:pPr>
      <w:bookmarkStart w:id="72" w:name="_Toc1697"/>
      <w:r>
        <w:rPr>
          <w:rFonts w:hint="eastAsia" w:ascii="仿宋" w:hAnsi="仿宋" w:eastAsia="仿宋" w:cs="仿宋"/>
          <w:b/>
          <w:bCs/>
          <w:color w:val="auto"/>
          <w:sz w:val="32"/>
          <w:szCs w:val="32"/>
          <w:highlight w:val="none"/>
        </w:rPr>
        <w:br w:type="page"/>
      </w:r>
      <w:bookmarkStart w:id="73" w:name="_Toc31922"/>
      <w:r>
        <w:rPr>
          <w:rFonts w:hint="eastAsia" w:ascii="仿宋" w:hAnsi="仿宋" w:eastAsia="仿宋" w:cs="仿宋"/>
          <w:b/>
          <w:bCs/>
          <w:color w:val="auto"/>
          <w:sz w:val="32"/>
          <w:szCs w:val="32"/>
          <w:highlight w:val="none"/>
        </w:rPr>
        <w:t>质疑函范本</w:t>
      </w:r>
      <w:bookmarkEnd w:id="72"/>
      <w:bookmarkEnd w:id="73"/>
    </w:p>
    <w:p w14:paraId="115BD134">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80" w:firstLineChars="200"/>
        <w:textAlignment w:val="auto"/>
        <w:outlineLvl w:val="9"/>
        <w:rPr>
          <w:rFonts w:hint="eastAsia" w:ascii="仿宋" w:hAnsi="仿宋" w:eastAsia="仿宋" w:cs="仿宋"/>
          <w:bCs/>
          <w:color w:val="auto"/>
          <w:sz w:val="24"/>
          <w:szCs w:val="24"/>
          <w:highlight w:val="none"/>
        </w:rPr>
      </w:pPr>
      <w:bookmarkStart w:id="74" w:name="_Toc9061"/>
      <w:bookmarkStart w:id="75" w:name="_Toc22990"/>
      <w:r>
        <w:rPr>
          <w:rFonts w:hint="eastAsia" w:ascii="仿宋" w:hAnsi="仿宋" w:eastAsia="仿宋" w:cs="仿宋"/>
          <w:bCs/>
          <w:color w:val="auto"/>
          <w:sz w:val="24"/>
          <w:szCs w:val="24"/>
          <w:highlight w:val="none"/>
        </w:rPr>
        <w:t>一、质疑供应商基本信息</w:t>
      </w:r>
      <w:bookmarkEnd w:id="74"/>
      <w:bookmarkEnd w:id="75"/>
    </w:p>
    <w:p w14:paraId="3DE9284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hint="eastAsia" w:ascii="仿宋" w:hAnsi="仿宋" w:eastAsia="仿宋" w:cs="仿宋"/>
          <w:color w:val="auto"/>
          <w:sz w:val="24"/>
          <w:szCs w:val="24"/>
          <w:highlight w:val="none"/>
          <w:u w:val="dotted"/>
        </w:rPr>
        <w:t xml:space="preserve">                         </w:t>
      </w:r>
    </w:p>
    <w:p w14:paraId="1442104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p>
    <w:p w14:paraId="1BDFD37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7BD6F6D7">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dotted"/>
        </w:rPr>
        <w:t xml:space="preserve">                                          </w:t>
      </w:r>
    </w:p>
    <w:p w14:paraId="32C87B2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2A62B0A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p>
    <w:p w14:paraId="1196D3E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bCs/>
          <w:color w:val="auto"/>
          <w:sz w:val="24"/>
          <w:szCs w:val="24"/>
          <w:highlight w:val="none"/>
        </w:rPr>
      </w:pPr>
      <w:bookmarkStart w:id="76" w:name="_Toc7359"/>
      <w:bookmarkStart w:id="77" w:name="_Toc15938"/>
      <w:r>
        <w:rPr>
          <w:rFonts w:hint="eastAsia" w:ascii="仿宋" w:hAnsi="仿宋" w:eastAsia="仿宋" w:cs="仿宋"/>
          <w:bCs/>
          <w:color w:val="auto"/>
          <w:sz w:val="24"/>
          <w:szCs w:val="24"/>
          <w:highlight w:val="none"/>
        </w:rPr>
        <w:t>二、质疑项目基本情况</w:t>
      </w:r>
      <w:bookmarkEnd w:id="76"/>
      <w:bookmarkEnd w:id="77"/>
    </w:p>
    <w:p w14:paraId="2F52A3D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r>
        <w:rPr>
          <w:rFonts w:hint="eastAsia" w:ascii="仿宋" w:hAnsi="仿宋" w:eastAsia="仿宋" w:cs="仿宋"/>
          <w:color w:val="auto"/>
          <w:sz w:val="24"/>
          <w:szCs w:val="24"/>
          <w:highlight w:val="none"/>
          <w:u w:val="dotted"/>
        </w:rPr>
        <w:t xml:space="preserve">                                     </w:t>
      </w:r>
    </w:p>
    <w:p w14:paraId="252E7A4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hint="eastAsia" w:ascii="仿宋" w:hAnsi="仿宋" w:eastAsia="仿宋" w:cs="仿宋"/>
          <w:color w:val="auto"/>
          <w:sz w:val="24"/>
          <w:szCs w:val="24"/>
          <w:highlight w:val="none"/>
          <w:u w:val="dotted"/>
        </w:rPr>
        <w:t xml:space="preserve">                </w:t>
      </w:r>
    </w:p>
    <w:p w14:paraId="7EE207D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dotted"/>
        </w:rPr>
        <w:t xml:space="preserve">                                         </w:t>
      </w:r>
    </w:p>
    <w:p w14:paraId="7B5E9ACC">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采购文件获取日期：</w:t>
      </w:r>
      <w:r>
        <w:rPr>
          <w:rFonts w:hint="eastAsia" w:ascii="仿宋" w:hAnsi="仿宋" w:eastAsia="仿宋" w:cs="仿宋"/>
          <w:color w:val="auto"/>
          <w:sz w:val="24"/>
          <w:szCs w:val="24"/>
          <w:highlight w:val="none"/>
          <w:u w:val="dotted"/>
        </w:rPr>
        <w:t xml:space="preserve">                                   </w:t>
      </w:r>
    </w:p>
    <w:p w14:paraId="4A79FAF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bCs/>
          <w:color w:val="auto"/>
          <w:sz w:val="24"/>
          <w:szCs w:val="24"/>
          <w:highlight w:val="none"/>
        </w:rPr>
      </w:pPr>
      <w:bookmarkStart w:id="78" w:name="_Toc18271"/>
      <w:bookmarkStart w:id="79" w:name="_Toc1043"/>
      <w:r>
        <w:rPr>
          <w:rFonts w:hint="eastAsia" w:ascii="仿宋" w:hAnsi="仿宋" w:eastAsia="仿宋" w:cs="仿宋"/>
          <w:bCs/>
          <w:color w:val="auto"/>
          <w:sz w:val="24"/>
          <w:szCs w:val="24"/>
          <w:highlight w:val="none"/>
        </w:rPr>
        <w:t>三、质疑事项具体内容</w:t>
      </w:r>
      <w:bookmarkEnd w:id="78"/>
      <w:bookmarkEnd w:id="79"/>
    </w:p>
    <w:p w14:paraId="16F07A7B">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r>
        <w:rPr>
          <w:rFonts w:hint="eastAsia" w:ascii="仿宋" w:hAnsi="仿宋" w:eastAsia="仿宋" w:cs="仿宋"/>
          <w:color w:val="auto"/>
          <w:sz w:val="24"/>
          <w:szCs w:val="24"/>
          <w:highlight w:val="none"/>
          <w:u w:val="dotted"/>
        </w:rPr>
        <w:t xml:space="preserve">                                         </w:t>
      </w:r>
    </w:p>
    <w:p w14:paraId="2C014EB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dotted"/>
        </w:rPr>
        <w:t xml:space="preserve">                                           </w:t>
      </w:r>
    </w:p>
    <w:p w14:paraId="6274F4A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dotted"/>
        </w:rPr>
        <w:t xml:space="preserve">                                           </w:t>
      </w:r>
    </w:p>
    <w:p w14:paraId="5D9BE3A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2ACA5EE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46FCABB6">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bCs/>
          <w:color w:val="auto"/>
          <w:sz w:val="24"/>
          <w:szCs w:val="24"/>
          <w:highlight w:val="none"/>
        </w:rPr>
      </w:pPr>
      <w:bookmarkStart w:id="80" w:name="_Toc16593"/>
      <w:bookmarkStart w:id="81" w:name="_Toc22365"/>
      <w:r>
        <w:rPr>
          <w:rFonts w:hint="eastAsia" w:ascii="仿宋" w:hAnsi="仿宋" w:eastAsia="仿宋" w:cs="仿宋"/>
          <w:bCs/>
          <w:color w:val="auto"/>
          <w:sz w:val="24"/>
          <w:szCs w:val="24"/>
          <w:highlight w:val="none"/>
        </w:rPr>
        <w:t>四、与质疑事项相关的质疑请求</w:t>
      </w:r>
      <w:bookmarkEnd w:id="80"/>
      <w:bookmarkEnd w:id="81"/>
    </w:p>
    <w:p w14:paraId="5E0B06EE">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80" w:firstLineChars="20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w:t>
      </w:r>
      <w:r>
        <w:rPr>
          <w:rFonts w:hint="eastAsia" w:ascii="仿宋" w:hAnsi="仿宋" w:eastAsia="仿宋" w:cs="仿宋"/>
          <w:color w:val="auto"/>
          <w:sz w:val="24"/>
          <w:szCs w:val="24"/>
          <w:highlight w:val="none"/>
          <w:u w:val="dotted"/>
        </w:rPr>
        <w:t xml:space="preserve">                                               </w:t>
      </w:r>
    </w:p>
    <w:p w14:paraId="652CAFED">
      <w:pPr>
        <w:keepNext w:val="0"/>
        <w:keepLines w:val="0"/>
        <w:pageBreakBefore w:val="0"/>
        <w:widowControl w:val="0"/>
        <w:shd w:val="clear" w:color="auto" w:fill="auto"/>
        <w:kinsoku/>
        <w:wordWrap/>
        <w:overflowPunct/>
        <w:topLinePunct w:val="0"/>
        <w:autoSpaceDE/>
        <w:autoSpaceDN/>
        <w:bidi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签字(签章)：                   公章：                      </w:t>
      </w:r>
    </w:p>
    <w:p w14:paraId="6B7BF16A">
      <w:pPr>
        <w:keepNext w:val="0"/>
        <w:keepLines w:val="0"/>
        <w:pageBreakBefore w:val="0"/>
        <w:widowControl w:val="0"/>
        <w:shd w:val="clear" w:color="auto" w:fill="auto"/>
        <w:kinsoku/>
        <w:wordWrap/>
        <w:overflowPunct/>
        <w:topLinePunct w:val="0"/>
        <w:autoSpaceDE/>
        <w:autoSpaceDN/>
        <w:bidi w:val="0"/>
        <w:spacing w:line="54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5F4C9AD7">
      <w:pPr>
        <w:pStyle w:val="14"/>
        <w:rPr>
          <w:rFonts w:hint="eastAsia" w:ascii="仿宋" w:hAnsi="仿宋" w:eastAsia="仿宋" w:cs="仿宋"/>
          <w:color w:val="auto"/>
          <w:sz w:val="24"/>
          <w:szCs w:val="24"/>
          <w:highlight w:val="none"/>
        </w:rPr>
      </w:pPr>
    </w:p>
    <w:p w14:paraId="5ED6EC2C">
      <w:pPr>
        <w:pStyle w:val="14"/>
        <w:rPr>
          <w:rFonts w:hint="eastAsia" w:ascii="仿宋" w:hAnsi="仿宋" w:eastAsia="仿宋" w:cs="仿宋"/>
          <w:color w:val="auto"/>
          <w:sz w:val="24"/>
          <w:szCs w:val="24"/>
          <w:highlight w:val="none"/>
        </w:rPr>
      </w:pPr>
    </w:p>
    <w:p w14:paraId="5C616536">
      <w:pPr>
        <w:pStyle w:val="14"/>
        <w:rPr>
          <w:rFonts w:hint="eastAsia" w:ascii="仿宋" w:hAnsi="仿宋" w:eastAsia="仿宋" w:cs="仿宋"/>
          <w:color w:val="auto"/>
          <w:sz w:val="24"/>
          <w:szCs w:val="24"/>
          <w:highlight w:val="none"/>
        </w:rPr>
      </w:pPr>
    </w:p>
    <w:p w14:paraId="0653C2D8">
      <w:pPr>
        <w:pStyle w:val="14"/>
        <w:rPr>
          <w:rFonts w:hint="eastAsia" w:ascii="仿宋" w:hAnsi="仿宋" w:eastAsia="仿宋" w:cs="仿宋"/>
          <w:color w:val="auto"/>
          <w:sz w:val="21"/>
          <w:szCs w:val="21"/>
          <w:highlight w:val="none"/>
        </w:rPr>
      </w:pPr>
    </w:p>
    <w:p w14:paraId="2830ADF8">
      <w:pPr>
        <w:pStyle w:val="18"/>
        <w:outlineLvl w:val="0"/>
        <w:rPr>
          <w:rFonts w:hint="eastAsia" w:ascii="仿宋" w:hAnsi="仿宋" w:eastAsia="仿宋" w:cs="仿宋"/>
          <w:b/>
          <w:bCs/>
          <w:color w:val="auto"/>
          <w:sz w:val="36"/>
          <w:szCs w:val="20"/>
          <w:highlight w:val="none"/>
        </w:rPr>
      </w:pPr>
      <w:bookmarkStart w:id="82" w:name="_Toc30189"/>
      <w:bookmarkStart w:id="83" w:name="_Toc26839"/>
      <w:bookmarkStart w:id="84" w:name="_Toc17416"/>
      <w:r>
        <w:rPr>
          <w:rFonts w:hint="eastAsia" w:ascii="仿宋" w:hAnsi="仿宋" w:eastAsia="仿宋" w:cs="仿宋"/>
          <w:b/>
          <w:bCs/>
          <w:color w:val="auto"/>
          <w:sz w:val="36"/>
          <w:szCs w:val="20"/>
          <w:highlight w:val="none"/>
        </w:rPr>
        <w:t>第三章 评标办法</w:t>
      </w:r>
      <w:bookmarkEnd w:id="82"/>
      <w:bookmarkEnd w:id="83"/>
      <w:bookmarkEnd w:id="84"/>
    </w:p>
    <w:p w14:paraId="4C1E38F9">
      <w:pPr>
        <w:shd w:val="clear" w:color="auto" w:fill="auto"/>
        <w:jc w:val="center"/>
        <w:outlineLvl w:val="1"/>
        <w:rPr>
          <w:rFonts w:hint="eastAsia" w:ascii="仿宋" w:hAnsi="仿宋" w:eastAsia="仿宋" w:cs="仿宋"/>
          <w:b/>
          <w:color w:val="auto"/>
          <w:sz w:val="32"/>
          <w:szCs w:val="32"/>
          <w:highlight w:val="none"/>
        </w:rPr>
      </w:pPr>
      <w:bookmarkStart w:id="85" w:name="_Toc29367"/>
      <w:bookmarkStart w:id="86" w:name="_Toc5254"/>
      <w:bookmarkStart w:id="87" w:name="_Toc362983802"/>
      <w:bookmarkStart w:id="88" w:name="_Toc469495733"/>
      <w:bookmarkStart w:id="89" w:name="_Toc267320058"/>
      <w:bookmarkStart w:id="90" w:name="_Toc363135205"/>
      <w:r>
        <w:rPr>
          <w:rFonts w:hint="eastAsia" w:ascii="仿宋" w:hAnsi="仿宋" w:eastAsia="仿宋" w:cs="仿宋"/>
          <w:b/>
          <w:color w:val="auto"/>
          <w:sz w:val="32"/>
          <w:szCs w:val="32"/>
          <w:highlight w:val="none"/>
        </w:rPr>
        <w:t>一</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rPr>
        <w:t>总  则</w:t>
      </w:r>
      <w:bookmarkEnd w:id="85"/>
      <w:bookmarkEnd w:id="86"/>
    </w:p>
    <w:p w14:paraId="2C4CA597">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1、一般规定</w:t>
      </w:r>
    </w:p>
    <w:p w14:paraId="4810C315">
      <w:pPr>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1.1本项目的招标按照《中华人民共和国政府采购法》、《</w:t>
      </w:r>
      <w:r>
        <w:rPr>
          <w:rFonts w:hint="eastAsia" w:ascii="仿宋" w:hAnsi="仿宋" w:eastAsia="仿宋" w:cs="仿宋"/>
          <w:color w:val="auto"/>
          <w:sz w:val="24"/>
          <w:szCs w:val="24"/>
          <w:highlight w:val="none"/>
          <w:lang w:eastAsia="zh-CN"/>
        </w:rPr>
        <w:t>政府采购货物和服务招标投标管理办法</w:t>
      </w:r>
      <w:r>
        <w:rPr>
          <w:rFonts w:hint="eastAsia" w:ascii="仿宋" w:hAnsi="仿宋" w:eastAsia="仿宋" w:cs="仿宋"/>
          <w:color w:val="auto"/>
          <w:sz w:val="24"/>
          <w:szCs w:val="24"/>
          <w:highlight w:val="none"/>
        </w:rPr>
        <w:t>》、《政府采购</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采购方式管理暂行办法》及政府采购的有关规定进行。</w:t>
      </w:r>
    </w:p>
    <w:p w14:paraId="469DA68C">
      <w:pPr>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1.2评标必须遵循公开、公平、公正、诚实信用的原则。</w:t>
      </w:r>
    </w:p>
    <w:p w14:paraId="419AD787">
      <w:pPr>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1.3招标代理机构组织招标、开标、评标工作，全过程接受政府采购有关部门的监督、管理和指导。</w:t>
      </w:r>
    </w:p>
    <w:p w14:paraId="353A8721">
      <w:pPr>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1.4评标按照</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规定的内容进行，采取综合比较和分项打分相结合的评标方法（综合评分法），避免纯技术或纯经济的倾向。</w:t>
      </w:r>
    </w:p>
    <w:p w14:paraId="4F295306">
      <w:pPr>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1.5本办法的评标对象是指供应商按照</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要求提供的有效</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，包括供应商应</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小组要求对原</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作出的正式书面澄清文件。</w:t>
      </w:r>
    </w:p>
    <w:p w14:paraId="41C5B05C">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组织机构的组成</w:t>
      </w:r>
    </w:p>
    <w:p w14:paraId="40C68E54">
      <w:pPr>
        <w:tabs>
          <w:tab w:val="left" w:pos="567"/>
          <w:tab w:val="left" w:pos="1145"/>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小组成员由招标人的代表和随机抽取的有关方面的</w:t>
      </w:r>
      <w:r>
        <w:rPr>
          <w:rFonts w:hint="eastAsia" w:ascii="仿宋" w:hAnsi="仿宋" w:eastAsia="仿宋" w:cs="仿宋"/>
          <w:b w:val="0"/>
          <w:bCs w:val="0"/>
          <w:color w:val="auto"/>
          <w:sz w:val="24"/>
          <w:szCs w:val="24"/>
          <w:highlight w:val="none"/>
          <w:u w:val="none"/>
        </w:rPr>
        <w:t>专家组成</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小组的成员在评标过程中</w:t>
      </w:r>
      <w:r>
        <w:rPr>
          <w:rFonts w:hint="eastAsia" w:ascii="仿宋" w:hAnsi="仿宋" w:eastAsia="仿宋" w:cs="仿宋"/>
          <w:color w:val="auto"/>
          <w:sz w:val="24"/>
          <w:szCs w:val="24"/>
          <w:highlight w:val="none"/>
          <w:lang w:val="zh-CN"/>
        </w:rPr>
        <w:t>必须严格遵守政府采购的有关规定</w:t>
      </w:r>
      <w:r>
        <w:rPr>
          <w:rFonts w:hint="eastAsia" w:ascii="仿宋" w:hAnsi="仿宋" w:eastAsia="仿宋" w:cs="仿宋"/>
          <w:color w:val="auto"/>
          <w:sz w:val="24"/>
          <w:szCs w:val="24"/>
          <w:highlight w:val="none"/>
        </w:rPr>
        <w:t>。专家从当地专家库中随机抽取产生。</w:t>
      </w:r>
    </w:p>
    <w:p w14:paraId="25E4737B">
      <w:pPr>
        <w:tabs>
          <w:tab w:val="left" w:pos="567"/>
          <w:tab w:val="left" w:pos="1145"/>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2.2评标工作组由招标人及有关专家组成，由</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小组确认，并接受其领导。</w:t>
      </w:r>
    </w:p>
    <w:p w14:paraId="5436AD09">
      <w:pPr>
        <w:tabs>
          <w:tab w:val="left" w:pos="567"/>
          <w:tab w:val="left" w:pos="1145"/>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小组应相对独立工作，负责评标、撰写技术、商务评标报告。采购代理机构负责评标过程中资料的保管、发放、回收，整理、汇总评标资料。</w:t>
      </w:r>
    </w:p>
    <w:p w14:paraId="1CA81F18">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小组职责</w:t>
      </w:r>
    </w:p>
    <w:p w14:paraId="0A9DDC4F">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3.1审查</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是否符合</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要求，并作出评价；</w:t>
      </w:r>
    </w:p>
    <w:p w14:paraId="5C875A11">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3.2要求供应商对</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有关事项作出解释或者澄清；</w:t>
      </w:r>
    </w:p>
    <w:p w14:paraId="043F1B95">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3.3推荐成交候选人名单；</w:t>
      </w:r>
    </w:p>
    <w:p w14:paraId="45CCD92C">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3.4向招标人、招标代理机构或者有关部门报告非法干预评标工作的行为。</w:t>
      </w:r>
    </w:p>
    <w:p w14:paraId="1709861E">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小组义务</w:t>
      </w:r>
    </w:p>
    <w:p w14:paraId="34D3963A">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4.1遵纪守法，客观、公正、廉洁地履行职责；</w:t>
      </w:r>
    </w:p>
    <w:p w14:paraId="531DB099">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4.2按照</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规定的评标方法和评标标准进行评标，对评审意见承担个人责任；</w:t>
      </w:r>
    </w:p>
    <w:p w14:paraId="173DD894">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4.3对评标过程和结果，以及供应商的商业秘密保密；</w:t>
      </w:r>
    </w:p>
    <w:p w14:paraId="2AE90F14">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4.4参与评标报告的起草；</w:t>
      </w:r>
    </w:p>
    <w:p w14:paraId="225417C8">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4.5配合有关部门的投诉处理工作；</w:t>
      </w:r>
    </w:p>
    <w:p w14:paraId="02730F77">
      <w:pPr>
        <w:tabs>
          <w:tab w:val="left" w:pos="567"/>
          <w:tab w:val="left" w:pos="600"/>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4.6配合招标人、招标代理机构答复</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供应商提出的质疑。</w:t>
      </w:r>
    </w:p>
    <w:p w14:paraId="63FDC202">
      <w:pPr>
        <w:tabs>
          <w:tab w:val="left" w:pos="1547"/>
        </w:tabs>
        <w:spacing w:line="440" w:lineRule="exact"/>
        <w:ind w:firstLine="612" w:firstLineChars="25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 评标程序</w:t>
      </w:r>
    </w:p>
    <w:p w14:paraId="78303E00">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5.1本次评标首先由招标小组对供应商的投标文件进行初审，对未能通过初审的投标文件作废标处理；</w:t>
      </w:r>
    </w:p>
    <w:p w14:paraId="0450AA36">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5.2对通过初审的供应商的投标文件进行详细的比较和评价。如需要，进行必要的澄清工作；</w:t>
      </w:r>
    </w:p>
    <w:p w14:paraId="45B6CF62">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5.3评标报告与推荐成交候选人</w:t>
      </w:r>
    </w:p>
    <w:p w14:paraId="58321AB7">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招标小组各成员应当独立对每个有效响应的文件进行评价、打分，然后汇总每个供应商每项评分因素的得分。</w:t>
      </w:r>
    </w:p>
    <w:p w14:paraId="120DD232">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综合评分法</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lang w:eastAsia="zh-CN"/>
        </w:rPr>
        <w:t>项目的价格分值占总分值的比重(即权值)为</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lang w:eastAsia="zh-CN"/>
        </w:rPr>
        <w:t>％，采购项目中含不同采购对象的，以占项目资金比例最高的采购对象确定其项目属性。其价格不列为评分因素，有特殊情况需要在上述规定范围外设定价格分权重的。</w:t>
      </w:r>
    </w:p>
    <w:p w14:paraId="04F10FF4">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综合评分法中的价格分统一采用低价优先法计算，即满足招标文件要求且最后报价最低的供应商的价格为招标基准价，其价格分为满分。其他供应商的价格分统一按照下列公式计算：</w:t>
      </w:r>
    </w:p>
    <w:p w14:paraId="727CDCDD">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投标报价得分=(评标基准价／投标报价)×30%×100，项目评审过程中，不得去掉最后报价中的最高报价和最低报价。</w:t>
      </w:r>
    </w:p>
    <w:p w14:paraId="14F1C955">
      <w:pPr>
        <w:pStyle w:val="29"/>
        <w:spacing w:before="0" w:beforeAutospacing="0" w:after="0" w:afterAutospacing="0" w:line="440" w:lineRule="exact"/>
        <w:ind w:firstLine="612" w:firstLineChars="25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评标委员会按照招标文件的评标办法负责向采购人推荐一家或一至三家供应商为中标候选人。</w:t>
      </w:r>
    </w:p>
    <w:p w14:paraId="0134ED4F">
      <w:pPr>
        <w:shd w:val="clear" w:color="auto" w:fill="auto"/>
        <w:jc w:val="center"/>
        <w:outlineLvl w:val="1"/>
        <w:rPr>
          <w:rFonts w:hint="eastAsia" w:ascii="仿宋" w:hAnsi="仿宋" w:eastAsia="仿宋" w:cs="仿宋"/>
          <w:b/>
          <w:color w:val="auto"/>
          <w:sz w:val="32"/>
          <w:szCs w:val="32"/>
          <w:highlight w:val="none"/>
        </w:rPr>
      </w:pPr>
      <w:bookmarkStart w:id="91" w:name="_Toc18154"/>
      <w:bookmarkStart w:id="92" w:name="_Toc14642"/>
      <w:r>
        <w:rPr>
          <w:rFonts w:hint="eastAsia" w:ascii="仿宋" w:hAnsi="仿宋" w:eastAsia="仿宋" w:cs="仿宋"/>
          <w:b/>
          <w:color w:val="auto"/>
          <w:sz w:val="32"/>
          <w:szCs w:val="32"/>
          <w:highlight w:val="none"/>
        </w:rPr>
        <w:t>二  投标文件初审</w:t>
      </w:r>
      <w:bookmarkEnd w:id="87"/>
      <w:bookmarkEnd w:id="88"/>
      <w:bookmarkEnd w:id="91"/>
      <w:bookmarkEnd w:id="92"/>
    </w:p>
    <w:p w14:paraId="3CC0FE70">
      <w:pPr>
        <w:shd w:val="clear" w:color="auto" w:fill="auto"/>
        <w:spacing w:line="400" w:lineRule="exact"/>
        <w:ind w:firstLine="352" w:firstLineChars="147"/>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.资格性审查:</w:t>
      </w:r>
    </w:p>
    <w:p w14:paraId="2CC894BC">
      <w:pPr>
        <w:shd w:val="clear" w:color="auto" w:fill="auto"/>
        <w:spacing w:line="400" w:lineRule="exact"/>
        <w:ind w:firstLine="352" w:firstLineChars="147"/>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.1评审细则</w:t>
      </w:r>
    </w:p>
    <w:tbl>
      <w:tblPr>
        <w:tblStyle w:val="20"/>
        <w:tblW w:w="97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9"/>
        <w:gridCol w:w="445"/>
        <w:gridCol w:w="8651"/>
      </w:tblGrid>
      <w:tr w14:paraId="57591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649" w:type="dxa"/>
            <w:vMerge w:val="restart"/>
            <w:noWrap w:val="0"/>
            <w:vAlign w:val="center"/>
          </w:tcPr>
          <w:p w14:paraId="0F5D3540">
            <w:pPr>
              <w:shd w:val="clear" w:color="auto" w:fill="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9096" w:type="dxa"/>
            <w:gridSpan w:val="2"/>
            <w:vMerge w:val="restart"/>
            <w:noWrap w:val="0"/>
            <w:vAlign w:val="center"/>
          </w:tcPr>
          <w:p w14:paraId="778E541C">
            <w:pPr>
              <w:shd w:val="clear" w:color="auto" w:fill="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评审内容</w:t>
            </w:r>
          </w:p>
        </w:tc>
      </w:tr>
      <w:tr w14:paraId="24E4D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649" w:type="dxa"/>
            <w:vMerge w:val="continue"/>
            <w:noWrap w:val="0"/>
            <w:vAlign w:val="center"/>
          </w:tcPr>
          <w:p w14:paraId="04030ACE">
            <w:pPr>
              <w:shd w:val="clear" w:color="auto" w:fill="auto"/>
              <w:outlineLvl w:val="9"/>
              <w:rPr>
                <w:rFonts w:hint="eastAsia" w:ascii="仿宋" w:hAnsi="仿宋" w:eastAsia="仿宋" w:cs="仿宋"/>
                <w:color w:val="auto"/>
                <w:sz w:val="24"/>
                <w:szCs w:val="24"/>
                <w:highlight w:val="none"/>
              </w:rPr>
            </w:pPr>
          </w:p>
        </w:tc>
        <w:tc>
          <w:tcPr>
            <w:tcW w:w="9096" w:type="dxa"/>
            <w:gridSpan w:val="2"/>
            <w:vMerge w:val="continue"/>
            <w:noWrap w:val="0"/>
            <w:vAlign w:val="top"/>
          </w:tcPr>
          <w:p w14:paraId="677499EE">
            <w:pPr>
              <w:shd w:val="clear" w:color="auto" w:fill="auto"/>
              <w:outlineLvl w:val="9"/>
              <w:rPr>
                <w:rFonts w:hint="eastAsia" w:ascii="仿宋" w:hAnsi="仿宋" w:eastAsia="仿宋" w:cs="仿宋"/>
                <w:color w:val="auto"/>
                <w:sz w:val="24"/>
                <w:szCs w:val="24"/>
                <w:highlight w:val="none"/>
              </w:rPr>
            </w:pPr>
          </w:p>
        </w:tc>
      </w:tr>
      <w:tr w14:paraId="15F9C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9" w:type="dxa"/>
            <w:vMerge w:val="restart"/>
            <w:noWrap w:val="0"/>
            <w:vAlign w:val="center"/>
          </w:tcPr>
          <w:p w14:paraId="6DB74C93">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审</w:t>
            </w:r>
          </w:p>
          <w:p w14:paraId="4D8AF30A">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查</w:t>
            </w:r>
          </w:p>
          <w:p w14:paraId="02F1B036">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w:t>
            </w:r>
          </w:p>
          <w:p w14:paraId="417CC358">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准</w:t>
            </w:r>
          </w:p>
          <w:p w14:paraId="020BF899">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(适</w:t>
            </w:r>
          </w:p>
          <w:p w14:paraId="67207855">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w:t>
            </w:r>
          </w:p>
          <w:p w14:paraId="1F8C1251">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于</w:t>
            </w:r>
          </w:p>
          <w:p w14:paraId="32BBB5EF">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w:t>
            </w:r>
          </w:p>
          <w:p w14:paraId="67405175">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格</w:t>
            </w:r>
          </w:p>
          <w:p w14:paraId="6242D65E">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后</w:t>
            </w:r>
          </w:p>
          <w:p w14:paraId="11F0ADC0">
            <w:pPr>
              <w:shd w:val="clear" w:color="auto" w:fill="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审)</w:t>
            </w:r>
          </w:p>
        </w:tc>
        <w:tc>
          <w:tcPr>
            <w:tcW w:w="445" w:type="dxa"/>
            <w:noWrap w:val="0"/>
            <w:vAlign w:val="center"/>
          </w:tcPr>
          <w:p w14:paraId="5A8CB066">
            <w:pPr>
              <w:autoSpaceDN w:val="0"/>
              <w:jc w:val="center"/>
              <w:textAlignment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8651" w:type="dxa"/>
            <w:noWrap w:val="0"/>
            <w:vAlign w:val="center"/>
          </w:tcPr>
          <w:p w14:paraId="7045C4DF">
            <w:pPr>
              <w:autoSpaceDN w:val="0"/>
              <w:jc w:val="left"/>
              <w:textAlignment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合格有效的</w:t>
            </w:r>
            <w:r>
              <w:rPr>
                <w:rFonts w:hint="eastAsia" w:ascii="仿宋" w:hAnsi="仿宋" w:eastAsia="仿宋" w:cs="仿宋"/>
                <w:color w:val="auto"/>
                <w:sz w:val="24"/>
                <w:szCs w:val="24"/>
                <w:highlight w:val="none"/>
              </w:rPr>
              <w:t>营业执照</w:t>
            </w:r>
            <w:r>
              <w:rPr>
                <w:rFonts w:hint="eastAsia" w:ascii="仿宋" w:hAnsi="仿宋" w:eastAsia="仿宋" w:cs="仿宋"/>
                <w:color w:val="auto"/>
                <w:sz w:val="24"/>
                <w:szCs w:val="24"/>
                <w:highlight w:val="none"/>
                <w:lang w:eastAsia="zh-CN"/>
              </w:rPr>
              <w:t>；</w:t>
            </w:r>
          </w:p>
        </w:tc>
      </w:tr>
      <w:tr w14:paraId="5A01A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exact"/>
          <w:jc w:val="center"/>
        </w:trPr>
        <w:tc>
          <w:tcPr>
            <w:tcW w:w="649" w:type="dxa"/>
            <w:vMerge w:val="continue"/>
            <w:noWrap w:val="0"/>
            <w:vAlign w:val="center"/>
          </w:tcPr>
          <w:p w14:paraId="7F2FD6F3">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481CB8D2">
            <w:pPr>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w:t>
            </w:r>
          </w:p>
        </w:tc>
        <w:tc>
          <w:tcPr>
            <w:tcW w:w="8651" w:type="dxa"/>
            <w:noWrap w:val="0"/>
            <w:vAlign w:val="center"/>
          </w:tcPr>
          <w:p w14:paraId="3FDBFFFF">
            <w:pPr>
              <w:autoSpaceDN w:val="0"/>
              <w:jc w:val="left"/>
              <w:textAlignment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具有良好的商业信誉和健全的财务会计制度（由具备资质的中介机构出具的</w:t>
            </w:r>
            <w:r>
              <w:rPr>
                <w:rFonts w:hint="eastAsia" w:ascii="仿宋" w:hAnsi="仿宋" w:eastAsia="仿宋" w:cs="仿宋"/>
                <w:color w:val="auto"/>
                <w:sz w:val="24"/>
                <w:szCs w:val="24"/>
                <w:highlight w:val="none"/>
                <w:lang w:val="en-US" w:eastAsia="zh-CN"/>
              </w:rPr>
              <w:t>2023年</w:t>
            </w:r>
            <w:r>
              <w:rPr>
                <w:rFonts w:hint="eastAsia" w:ascii="仿宋" w:hAnsi="仿宋" w:eastAsia="仿宋" w:cs="仿宋"/>
                <w:color w:val="auto"/>
                <w:sz w:val="24"/>
                <w:szCs w:val="24"/>
                <w:highlight w:val="none"/>
              </w:rPr>
              <w:t>财务审计报告</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由基本户开户行出具的银行资信证明</w:t>
            </w:r>
            <w:r>
              <w:rPr>
                <w:rFonts w:hint="eastAsia" w:ascii="仿宋" w:hAnsi="仿宋" w:eastAsia="仿宋" w:cs="仿宋"/>
                <w:color w:val="auto"/>
                <w:sz w:val="24"/>
                <w:szCs w:val="24"/>
                <w:highlight w:val="none"/>
              </w:rPr>
              <w:t>；成立不满一年企业提供</w:t>
            </w:r>
            <w:r>
              <w:rPr>
                <w:rFonts w:hint="eastAsia" w:ascii="仿宋" w:hAnsi="仿宋" w:eastAsia="仿宋" w:cs="仿宋"/>
                <w:color w:val="auto"/>
                <w:sz w:val="24"/>
                <w:szCs w:val="24"/>
                <w:highlight w:val="none"/>
                <w:lang w:val="en-US" w:eastAsia="zh-CN"/>
              </w:rPr>
              <w:t>完整的</w:t>
            </w:r>
            <w:r>
              <w:rPr>
                <w:rFonts w:hint="eastAsia" w:ascii="仿宋" w:hAnsi="仿宋" w:eastAsia="仿宋" w:cs="仿宋"/>
                <w:color w:val="auto"/>
                <w:sz w:val="24"/>
                <w:szCs w:val="24"/>
                <w:highlight w:val="none"/>
              </w:rPr>
              <w:t>财务报表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40062AD9">
            <w:pPr>
              <w:autoSpaceDN w:val="0"/>
              <w:jc w:val="left"/>
              <w:textAlignment w:val="center"/>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rPr>
              <w:t>;</w:t>
            </w:r>
          </w:p>
        </w:tc>
      </w:tr>
      <w:tr w14:paraId="1BC4B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49" w:type="dxa"/>
            <w:vMerge w:val="continue"/>
            <w:noWrap w:val="0"/>
            <w:vAlign w:val="center"/>
          </w:tcPr>
          <w:p w14:paraId="6D4769E5">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3F978938">
            <w:pPr>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p>
        </w:tc>
        <w:tc>
          <w:tcPr>
            <w:tcW w:w="8651" w:type="dxa"/>
            <w:noWrap w:val="0"/>
            <w:vAlign w:val="center"/>
          </w:tcPr>
          <w:p w14:paraId="370260B5">
            <w:pPr>
              <w:autoSpaceDN w:val="0"/>
              <w:jc w:val="left"/>
              <w:textAlignment w:val="center"/>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rPr>
              <w:t>有依法缴纳税收和社会保障资金的良好记录（近</w:t>
            </w:r>
            <w:r>
              <w:rPr>
                <w:rFonts w:hint="eastAsia" w:ascii="仿宋" w:hAnsi="仿宋" w:eastAsia="仿宋" w:cs="仿宋"/>
                <w:color w:val="auto"/>
                <w:sz w:val="24"/>
                <w:szCs w:val="24"/>
                <w:highlight w:val="none"/>
                <w:lang w:val="en-US" w:eastAsia="zh-CN"/>
              </w:rPr>
              <w:t>六个月任意一个月</w:t>
            </w:r>
            <w:r>
              <w:rPr>
                <w:rFonts w:hint="eastAsia" w:ascii="仿宋" w:hAnsi="仿宋" w:eastAsia="仿宋" w:cs="仿宋"/>
                <w:color w:val="auto"/>
                <w:sz w:val="24"/>
                <w:szCs w:val="24"/>
                <w:highlight w:val="none"/>
              </w:rPr>
              <w:t>缴纳税收和社保的相关证明材料）</w:t>
            </w:r>
            <w:r>
              <w:rPr>
                <w:rFonts w:hint="eastAsia" w:ascii="仿宋" w:hAnsi="仿宋" w:eastAsia="仿宋" w:cs="仿宋"/>
                <w:color w:val="auto"/>
                <w:sz w:val="24"/>
                <w:szCs w:val="24"/>
                <w:highlight w:val="none"/>
                <w:lang w:eastAsia="zh-CN"/>
              </w:rPr>
              <w:t>；</w:t>
            </w:r>
          </w:p>
        </w:tc>
      </w:tr>
      <w:tr w14:paraId="3CDCA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49" w:type="dxa"/>
            <w:vMerge w:val="continue"/>
            <w:noWrap w:val="0"/>
            <w:vAlign w:val="center"/>
          </w:tcPr>
          <w:p w14:paraId="6079A36C">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5E260609">
            <w:pPr>
              <w:shd w:val="clear" w:color="auto" w:fill="auto"/>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w:t>
            </w:r>
          </w:p>
        </w:tc>
        <w:tc>
          <w:tcPr>
            <w:tcW w:w="8651" w:type="dxa"/>
            <w:noWrap w:val="0"/>
            <w:vAlign w:val="center"/>
          </w:tcPr>
          <w:p w14:paraId="072B0B50">
            <w:pPr>
              <w:autoSpaceDN w:val="0"/>
              <w:jc w:val="left"/>
              <w:textAlignment w:val="center"/>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rPr>
              <w:t>参加政府采购活动前三年内，在经营活动中没有重大违法记录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提供承诺函</w:t>
            </w:r>
            <w:r>
              <w:rPr>
                <w:rFonts w:hint="eastAsia" w:ascii="仿宋" w:hAnsi="仿宋" w:eastAsia="仿宋" w:cs="仿宋"/>
                <w:color w:val="auto"/>
                <w:sz w:val="24"/>
                <w:szCs w:val="24"/>
                <w:highlight w:val="none"/>
                <w:lang w:eastAsia="zh-CN"/>
              </w:rPr>
              <w:t>）；</w:t>
            </w:r>
          </w:p>
        </w:tc>
      </w:tr>
      <w:tr w14:paraId="7A36D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49" w:type="dxa"/>
            <w:vMerge w:val="continue"/>
            <w:noWrap w:val="0"/>
            <w:vAlign w:val="center"/>
          </w:tcPr>
          <w:p w14:paraId="52C0D35D">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18A97281">
            <w:pPr>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w:t>
            </w:r>
          </w:p>
        </w:tc>
        <w:tc>
          <w:tcPr>
            <w:tcW w:w="8651" w:type="dxa"/>
            <w:noWrap w:val="0"/>
            <w:vAlign w:val="center"/>
          </w:tcPr>
          <w:p w14:paraId="127A586C">
            <w:pPr>
              <w:autoSpaceDN w:val="0"/>
              <w:jc w:val="left"/>
              <w:textAlignment w:val="center"/>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lang w:val="en-US" w:eastAsia="zh-CN"/>
              </w:rPr>
              <w:t>法人</w:t>
            </w:r>
            <w:r>
              <w:rPr>
                <w:rFonts w:hint="eastAsia" w:ascii="仿宋" w:hAnsi="仿宋" w:eastAsia="仿宋" w:cs="仿宋"/>
                <w:color w:val="auto"/>
                <w:sz w:val="24"/>
                <w:szCs w:val="24"/>
                <w:highlight w:val="none"/>
              </w:rPr>
              <w:t>授权委托书</w:t>
            </w:r>
            <w:r>
              <w:rPr>
                <w:rFonts w:hint="eastAsia" w:ascii="仿宋" w:hAnsi="仿宋" w:eastAsia="仿宋" w:cs="仿宋"/>
                <w:color w:val="auto"/>
                <w:sz w:val="24"/>
                <w:szCs w:val="24"/>
                <w:highlight w:val="none"/>
                <w:lang w:val="en-US" w:eastAsia="zh-CN"/>
              </w:rPr>
              <w:t>或法定代表人证明文件；</w:t>
            </w:r>
          </w:p>
        </w:tc>
      </w:tr>
      <w:tr w14:paraId="688C4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49" w:type="dxa"/>
            <w:vMerge w:val="continue"/>
            <w:noWrap w:val="0"/>
            <w:vAlign w:val="center"/>
          </w:tcPr>
          <w:p w14:paraId="1FB38242">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5C010B2A">
            <w:pPr>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w:t>
            </w:r>
          </w:p>
        </w:tc>
        <w:tc>
          <w:tcPr>
            <w:tcW w:w="8651" w:type="dxa"/>
            <w:noWrap w:val="0"/>
            <w:vAlign w:val="center"/>
          </w:tcPr>
          <w:p w14:paraId="65798399">
            <w:pPr>
              <w:autoSpaceDN w:val="0"/>
              <w:jc w:val="left"/>
              <w:textAlignment w:val="center"/>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rPr>
              <w:t>投标保证金</w:t>
            </w:r>
            <w:r>
              <w:rPr>
                <w:rFonts w:hint="eastAsia" w:ascii="仿宋" w:hAnsi="仿宋" w:eastAsia="仿宋" w:cs="仿宋"/>
                <w:color w:val="auto"/>
                <w:sz w:val="24"/>
                <w:szCs w:val="24"/>
                <w:highlight w:val="none"/>
                <w:lang w:val="en-US" w:eastAsia="zh-CN"/>
              </w:rPr>
              <w:t>交纳凭证或</w:t>
            </w:r>
            <w:r>
              <w:rPr>
                <w:rFonts w:hint="eastAsia" w:ascii="仿宋" w:hAnsi="仿宋" w:eastAsia="仿宋" w:cs="仿宋"/>
                <w:color w:val="auto"/>
                <w:sz w:val="24"/>
                <w:szCs w:val="24"/>
                <w:highlight w:val="none"/>
              </w:rPr>
              <w:t>银行</w:t>
            </w:r>
            <w:r>
              <w:rPr>
                <w:rFonts w:hint="eastAsia" w:ascii="仿宋" w:hAnsi="仿宋" w:eastAsia="仿宋" w:cs="仿宋"/>
                <w:color w:val="auto"/>
                <w:sz w:val="24"/>
                <w:szCs w:val="24"/>
                <w:highlight w:val="none"/>
                <w:lang w:val="en-US" w:eastAsia="zh-CN"/>
              </w:rPr>
              <w:t>保函</w:t>
            </w:r>
            <w:r>
              <w:rPr>
                <w:rFonts w:hint="eastAsia" w:ascii="仿宋" w:hAnsi="仿宋" w:eastAsia="仿宋" w:cs="仿宋"/>
                <w:color w:val="auto"/>
                <w:sz w:val="24"/>
                <w:szCs w:val="24"/>
                <w:highlight w:val="none"/>
                <w:lang w:eastAsia="zh-CN"/>
              </w:rPr>
              <w:t>；</w:t>
            </w:r>
          </w:p>
        </w:tc>
      </w:tr>
      <w:tr w14:paraId="2F2B6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49" w:type="dxa"/>
            <w:vMerge w:val="continue"/>
            <w:noWrap w:val="0"/>
            <w:vAlign w:val="center"/>
          </w:tcPr>
          <w:p w14:paraId="4A79CC6D">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44C1BC9A">
            <w:pPr>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w:t>
            </w:r>
          </w:p>
        </w:tc>
        <w:tc>
          <w:tcPr>
            <w:tcW w:w="8651" w:type="dxa"/>
            <w:noWrap w:val="0"/>
            <w:vAlign w:val="center"/>
          </w:tcPr>
          <w:p w14:paraId="102D31DE">
            <w:pPr>
              <w:pStyle w:val="27"/>
              <w:numPr>
                <w:ilvl w:val="0"/>
                <w:numId w:val="0"/>
              </w:numPr>
              <w:snapToGrid w:val="0"/>
              <w:spacing w:line="360" w:lineRule="auto"/>
              <w:jc w:val="both"/>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所投产品属于第二类医疗器械的，需提供有效的行政主管部门颁发的医疗器械经营备案凭证（或医疗器械生产许可证或医疗器械经营许可证）；所投产品属于第三类医疗器械的，需提供有效的行政主管部门颁发的医疗器械生产许可证（或医疗器械经营许可证）。</w:t>
            </w:r>
          </w:p>
        </w:tc>
      </w:tr>
      <w:tr w14:paraId="5659F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9" w:hRule="exact"/>
          <w:jc w:val="center"/>
        </w:trPr>
        <w:tc>
          <w:tcPr>
            <w:tcW w:w="649" w:type="dxa"/>
            <w:vMerge w:val="continue"/>
            <w:noWrap w:val="0"/>
            <w:vAlign w:val="center"/>
          </w:tcPr>
          <w:p w14:paraId="3A3F6E99">
            <w:pPr>
              <w:shd w:val="clear" w:color="auto" w:fill="auto"/>
              <w:outlineLvl w:val="9"/>
              <w:rPr>
                <w:rFonts w:hint="eastAsia" w:ascii="仿宋" w:hAnsi="仿宋" w:eastAsia="仿宋" w:cs="仿宋"/>
                <w:color w:val="auto"/>
                <w:sz w:val="24"/>
                <w:szCs w:val="24"/>
                <w:highlight w:val="none"/>
              </w:rPr>
            </w:pPr>
          </w:p>
        </w:tc>
        <w:tc>
          <w:tcPr>
            <w:tcW w:w="445" w:type="dxa"/>
            <w:noWrap w:val="0"/>
            <w:vAlign w:val="center"/>
          </w:tcPr>
          <w:p w14:paraId="2C069D26">
            <w:pPr>
              <w:autoSpaceDN w:val="0"/>
              <w:jc w:val="center"/>
              <w:textAlignment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8</w:t>
            </w:r>
          </w:p>
        </w:tc>
        <w:tc>
          <w:tcPr>
            <w:tcW w:w="8651" w:type="dxa"/>
            <w:noWrap w:val="0"/>
            <w:vAlign w:val="center"/>
          </w:tcPr>
          <w:p w14:paraId="74778957">
            <w:pPr>
              <w:autoSpaceDN w:val="0"/>
              <w:jc w:val="left"/>
              <w:textAlignment w:val="center"/>
              <w:outlineLvl w:val="9"/>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sz w:val="24"/>
                <w:szCs w:val="24"/>
                <w:highlight w:val="none"/>
              </w:rPr>
              <w:t>投标人不得为“信用中国”网站（www.creditchina.gov.cn ）中列入失信被执行人和重大税收违法案件当事人名单的供应商，不得为中国政府采购网（www.ccgp.gov.cn ）政府采购严重违法失信行为记录名单中被财政部门禁止参加政府采购活动的供应商（处罚决定规定的时间和地域范围内）。信用信息截止时点为</w:t>
            </w:r>
            <w:r>
              <w:rPr>
                <w:rFonts w:hint="eastAsia" w:ascii="仿宋" w:hAnsi="仿宋" w:eastAsia="仿宋" w:cs="仿宋"/>
                <w:color w:val="auto"/>
                <w:sz w:val="24"/>
                <w:szCs w:val="24"/>
                <w:highlight w:val="none"/>
                <w:lang w:eastAsia="zh-CN"/>
              </w:rPr>
              <w:t>获取招标文件之日起投标截止时间止</w:t>
            </w:r>
            <w:r>
              <w:rPr>
                <w:rFonts w:hint="eastAsia" w:ascii="仿宋" w:hAnsi="仿宋" w:eastAsia="仿宋" w:cs="仿宋"/>
                <w:color w:val="auto"/>
                <w:sz w:val="24"/>
                <w:szCs w:val="24"/>
                <w:highlight w:val="none"/>
              </w:rPr>
              <w:t>。（提供查询结果网页截图并加盖供应商公章）</w:t>
            </w:r>
            <w:r>
              <w:rPr>
                <w:rFonts w:hint="eastAsia" w:ascii="仿宋" w:hAnsi="仿宋" w:eastAsia="仿宋" w:cs="仿宋"/>
                <w:color w:val="auto"/>
                <w:sz w:val="24"/>
                <w:szCs w:val="24"/>
                <w:highlight w:val="none"/>
                <w:lang w:eastAsia="zh-CN"/>
              </w:rPr>
              <w:t>。</w:t>
            </w:r>
          </w:p>
        </w:tc>
      </w:tr>
      <w:tr w14:paraId="70088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649" w:type="dxa"/>
            <w:vMerge w:val="continue"/>
            <w:noWrap w:val="0"/>
            <w:vAlign w:val="center"/>
          </w:tcPr>
          <w:p w14:paraId="6E13F9BA">
            <w:pPr>
              <w:shd w:val="clear" w:color="auto" w:fill="auto"/>
              <w:outlineLvl w:val="9"/>
              <w:rPr>
                <w:rFonts w:hint="eastAsia" w:ascii="仿宋" w:hAnsi="仿宋" w:eastAsia="仿宋" w:cs="仿宋"/>
                <w:color w:val="auto"/>
                <w:sz w:val="24"/>
                <w:szCs w:val="24"/>
                <w:highlight w:val="none"/>
              </w:rPr>
            </w:pPr>
          </w:p>
        </w:tc>
        <w:tc>
          <w:tcPr>
            <w:tcW w:w="9096" w:type="dxa"/>
            <w:gridSpan w:val="2"/>
            <w:vMerge w:val="restart"/>
            <w:noWrap w:val="0"/>
            <w:vAlign w:val="center"/>
          </w:tcPr>
          <w:p w14:paraId="0A8F2700">
            <w:pPr>
              <w:shd w:val="clear" w:color="auto" w:fil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结论：是否通过评审（须填写通过或不通过）</w:t>
            </w:r>
          </w:p>
          <w:p w14:paraId="38D8C253">
            <w:pPr>
              <w:shd w:val="clear" w:color="auto" w:fil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注：如有一项不合格，作废标处理。</w:t>
            </w:r>
          </w:p>
        </w:tc>
      </w:tr>
      <w:tr w14:paraId="1770B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649" w:type="dxa"/>
            <w:vMerge w:val="continue"/>
            <w:noWrap w:val="0"/>
            <w:vAlign w:val="center"/>
          </w:tcPr>
          <w:p w14:paraId="34B73D9A">
            <w:pPr>
              <w:shd w:val="clear" w:color="auto" w:fill="auto"/>
              <w:jc w:val="center"/>
              <w:outlineLvl w:val="9"/>
              <w:rPr>
                <w:rFonts w:hint="eastAsia" w:ascii="仿宋" w:hAnsi="仿宋" w:eastAsia="仿宋" w:cs="仿宋"/>
                <w:color w:val="auto"/>
                <w:sz w:val="24"/>
                <w:szCs w:val="24"/>
                <w:highlight w:val="none"/>
              </w:rPr>
            </w:pPr>
          </w:p>
        </w:tc>
        <w:tc>
          <w:tcPr>
            <w:tcW w:w="9096" w:type="dxa"/>
            <w:gridSpan w:val="2"/>
            <w:vMerge w:val="continue"/>
            <w:noWrap w:val="0"/>
            <w:vAlign w:val="top"/>
          </w:tcPr>
          <w:p w14:paraId="7C16FEF1">
            <w:pPr>
              <w:shd w:val="clear" w:color="auto" w:fill="auto"/>
              <w:outlineLvl w:val="9"/>
              <w:rPr>
                <w:rFonts w:hint="eastAsia" w:ascii="仿宋" w:hAnsi="仿宋" w:eastAsia="仿宋" w:cs="仿宋"/>
                <w:color w:val="auto"/>
                <w:sz w:val="24"/>
                <w:szCs w:val="24"/>
                <w:highlight w:val="none"/>
              </w:rPr>
            </w:pPr>
          </w:p>
        </w:tc>
      </w:tr>
    </w:tbl>
    <w:p w14:paraId="456C4C89">
      <w:pPr>
        <w:shd w:val="clear" w:color="auto" w:fill="auto"/>
        <w:spacing w:line="400" w:lineRule="exact"/>
        <w:ind w:firstLine="578" w:firstLineChars="241"/>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.2如评标专家在检验电子标书过程中，如果由于投标人自身原因导致评标专家无法查看并检验电子标书中以上相关资料的，否决其投标。即使投标单位将原件携带至现场的，同样按无效投标处理。</w:t>
      </w:r>
    </w:p>
    <w:p w14:paraId="67F36DEB">
      <w:pPr>
        <w:shd w:val="clear" w:color="auto" w:fill="auto"/>
        <w:spacing w:before="156" w:beforeLines="50" w:line="440" w:lineRule="exact"/>
        <w:ind w:firstLine="352" w:firstLineChars="147"/>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7</w:t>
      </w:r>
      <w:r>
        <w:rPr>
          <w:rFonts w:hint="eastAsia" w:ascii="仿宋" w:hAnsi="仿宋" w:eastAsia="仿宋" w:cs="仿宋"/>
          <w:b/>
          <w:color w:val="auto"/>
          <w:sz w:val="24"/>
          <w:szCs w:val="24"/>
          <w:highlight w:val="none"/>
        </w:rPr>
        <w:t>.符合性审查</w:t>
      </w:r>
    </w:p>
    <w:p w14:paraId="0445A3ED">
      <w:pPr>
        <w:shd w:val="clear" w:color="auto" w:fill="auto"/>
        <w:spacing w:line="440" w:lineRule="exact"/>
        <w:ind w:firstLine="360" w:firstLineChars="15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．1评审细则</w:t>
      </w:r>
    </w:p>
    <w:tbl>
      <w:tblPr>
        <w:tblStyle w:val="20"/>
        <w:tblW w:w="974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73"/>
        <w:gridCol w:w="648"/>
        <w:gridCol w:w="8528"/>
      </w:tblGrid>
      <w:tr w14:paraId="0E1496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1" w:hRule="atLeast"/>
          <w:jc w:val="center"/>
        </w:trPr>
        <w:tc>
          <w:tcPr>
            <w:tcW w:w="573" w:type="dxa"/>
            <w:tcBorders>
              <w:top w:val="single" w:color="auto" w:sz="4" w:space="0"/>
              <w:left w:val="single" w:color="auto" w:sz="4" w:space="0"/>
              <w:bottom w:val="single" w:color="auto" w:sz="4" w:space="0"/>
              <w:right w:val="single" w:color="auto" w:sz="4" w:space="0"/>
            </w:tcBorders>
            <w:noWrap w:val="0"/>
            <w:vAlign w:val="center"/>
          </w:tcPr>
          <w:p w14:paraId="37682BDF">
            <w:pPr>
              <w:shd w:val="clear" w:color="auto" w:fill="auto"/>
              <w:spacing w:line="440" w:lineRule="exact"/>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b w:val="0"/>
                <w:bCs/>
                <w:color w:val="auto"/>
                <w:sz w:val="24"/>
                <w:szCs w:val="24"/>
                <w:highlight w:val="none"/>
              </w:rPr>
              <w:t>项目</w:t>
            </w:r>
          </w:p>
        </w:tc>
        <w:tc>
          <w:tcPr>
            <w:tcW w:w="9176" w:type="dxa"/>
            <w:gridSpan w:val="2"/>
            <w:tcBorders>
              <w:top w:val="single" w:color="auto" w:sz="4" w:space="0"/>
              <w:left w:val="single" w:color="auto" w:sz="4" w:space="0"/>
              <w:bottom w:val="single" w:color="auto" w:sz="4" w:space="0"/>
              <w:right w:val="single" w:color="auto" w:sz="4" w:space="0"/>
            </w:tcBorders>
            <w:noWrap w:val="0"/>
            <w:vAlign w:val="center"/>
          </w:tcPr>
          <w:p w14:paraId="3B303BAE">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评审内容</w:t>
            </w:r>
          </w:p>
        </w:tc>
      </w:tr>
      <w:tr w14:paraId="1B0EE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jc w:val="center"/>
        </w:trPr>
        <w:tc>
          <w:tcPr>
            <w:tcW w:w="573" w:type="dxa"/>
            <w:vMerge w:val="restart"/>
            <w:tcBorders>
              <w:top w:val="single" w:color="auto" w:sz="4" w:space="0"/>
              <w:left w:val="single" w:color="auto" w:sz="4" w:space="0"/>
              <w:bottom w:val="single" w:color="auto" w:sz="4" w:space="0"/>
              <w:right w:val="single" w:color="auto" w:sz="4" w:space="0"/>
            </w:tcBorders>
            <w:noWrap w:val="0"/>
            <w:vAlign w:val="center"/>
          </w:tcPr>
          <w:p w14:paraId="00A0EE14">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审</w:t>
            </w:r>
          </w:p>
          <w:p w14:paraId="78E06674">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查</w:t>
            </w:r>
          </w:p>
          <w:p w14:paraId="3099AA3A">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标</w:t>
            </w:r>
          </w:p>
          <w:p w14:paraId="155E4D48">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准</w:t>
            </w:r>
          </w:p>
        </w:tc>
        <w:tc>
          <w:tcPr>
            <w:tcW w:w="648" w:type="dxa"/>
            <w:tcBorders>
              <w:top w:val="single" w:color="auto" w:sz="4" w:space="0"/>
              <w:left w:val="single" w:color="auto" w:sz="4" w:space="0"/>
              <w:bottom w:val="single" w:color="auto" w:sz="4" w:space="0"/>
              <w:right w:val="single" w:color="auto" w:sz="4" w:space="0"/>
            </w:tcBorders>
            <w:noWrap w:val="0"/>
            <w:vAlign w:val="center"/>
          </w:tcPr>
          <w:p w14:paraId="5EE5C0C0">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2FCE8A99">
            <w:pPr>
              <w:widowControl/>
              <w:shd w:val="clear" w:color="auto" w:fill="auto"/>
              <w:jc w:val="left"/>
              <w:textAlignment w:val="center"/>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eastAsia="zh-CN"/>
              </w:rPr>
              <w:t>投标文件组成完整，主要内容按招标文件规定的内容、格式填写</w:t>
            </w:r>
            <w:r>
              <w:rPr>
                <w:rFonts w:hint="eastAsia" w:ascii="仿宋" w:hAnsi="仿宋" w:eastAsia="仿宋" w:cs="仿宋"/>
                <w:b w:val="0"/>
                <w:bCs/>
                <w:color w:val="auto"/>
                <w:sz w:val="24"/>
                <w:szCs w:val="24"/>
                <w:highlight w:val="none"/>
                <w:lang w:val="en-US" w:eastAsia="zh-CN"/>
              </w:rPr>
              <w:t>,</w:t>
            </w:r>
            <w:r>
              <w:rPr>
                <w:rFonts w:ascii="仿宋" w:hAnsi="仿宋" w:eastAsia="仿宋" w:cs="仿宋"/>
                <w:spacing w:val="16"/>
                <w:sz w:val="23"/>
                <w:szCs w:val="23"/>
              </w:rPr>
              <w:t>投</w:t>
            </w:r>
            <w:r>
              <w:rPr>
                <w:rFonts w:ascii="仿宋" w:hAnsi="仿宋" w:eastAsia="仿宋" w:cs="仿宋"/>
                <w:spacing w:val="14"/>
                <w:sz w:val="23"/>
                <w:szCs w:val="23"/>
              </w:rPr>
              <w:t>标</w:t>
            </w:r>
            <w:r>
              <w:rPr>
                <w:rFonts w:ascii="仿宋" w:hAnsi="仿宋" w:eastAsia="仿宋" w:cs="仿宋"/>
                <w:spacing w:val="8"/>
                <w:sz w:val="23"/>
                <w:szCs w:val="23"/>
              </w:rPr>
              <w:t>文件内容齐全、字迹清晰可辨、无遗漏</w:t>
            </w:r>
            <w:r>
              <w:rPr>
                <w:rFonts w:hint="eastAsia" w:ascii="仿宋" w:hAnsi="仿宋" w:eastAsia="仿宋" w:cs="仿宋"/>
                <w:spacing w:val="8"/>
                <w:sz w:val="23"/>
                <w:szCs w:val="23"/>
                <w:lang w:eastAsia="zh-CN"/>
              </w:rPr>
              <w:t>，</w:t>
            </w:r>
            <w:r>
              <w:rPr>
                <w:rFonts w:hint="eastAsia" w:ascii="仿宋" w:hAnsi="仿宋" w:eastAsia="仿宋" w:cs="仿宋"/>
                <w:b w:val="0"/>
                <w:bCs/>
                <w:color w:val="auto"/>
                <w:sz w:val="24"/>
                <w:szCs w:val="24"/>
                <w:highlight w:val="none"/>
                <w:lang w:val="en-US" w:eastAsia="zh-CN"/>
              </w:rPr>
              <w:t>封皮是否标有“正本”字样，封皮中是否加盖公章、法人签章及被授权委托人签字；</w:t>
            </w:r>
          </w:p>
        </w:tc>
      </w:tr>
      <w:tr w14:paraId="157FA3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17BB5D49">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04C2EA27">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44D311B3">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投标文件的有效期满足招标文件的规定</w:t>
            </w:r>
            <w:r>
              <w:rPr>
                <w:rFonts w:hint="eastAsia" w:ascii="仿宋" w:hAnsi="仿宋" w:eastAsia="仿宋" w:cs="仿宋"/>
                <w:b w:val="0"/>
                <w:bCs/>
                <w:color w:val="auto"/>
                <w:sz w:val="24"/>
                <w:szCs w:val="24"/>
                <w:highlight w:val="none"/>
              </w:rPr>
              <w:t>；</w:t>
            </w:r>
          </w:p>
        </w:tc>
      </w:tr>
      <w:tr w14:paraId="7AF4BF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4"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7329F7A9">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6B49B33C">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0674D15F">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投标代表授权书由法定代表人签署并加盖公章</w:t>
            </w:r>
            <w:r>
              <w:rPr>
                <w:rFonts w:hint="eastAsia" w:ascii="仿宋" w:hAnsi="仿宋" w:eastAsia="仿宋" w:cs="仿宋"/>
                <w:b w:val="0"/>
                <w:bCs/>
                <w:color w:val="auto"/>
                <w:sz w:val="24"/>
                <w:szCs w:val="24"/>
                <w:highlight w:val="none"/>
              </w:rPr>
              <w:t>；</w:t>
            </w:r>
          </w:p>
        </w:tc>
      </w:tr>
      <w:tr w14:paraId="65FDCF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3345D08A">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1478680C">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4</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7F2BDD58">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投标文件按照规定在应由企业法人</w:t>
            </w:r>
            <w:r>
              <w:rPr>
                <w:rFonts w:hint="eastAsia" w:ascii="仿宋" w:hAnsi="仿宋" w:eastAsia="仿宋" w:cs="仿宋"/>
                <w:b w:val="0"/>
                <w:bCs/>
                <w:color w:val="auto"/>
                <w:sz w:val="24"/>
                <w:szCs w:val="24"/>
                <w:highlight w:val="none"/>
                <w:lang w:val="en-US" w:eastAsia="zh-CN"/>
              </w:rPr>
              <w:t>及</w:t>
            </w:r>
            <w:r>
              <w:rPr>
                <w:rFonts w:hint="eastAsia" w:ascii="仿宋" w:hAnsi="仿宋" w:eastAsia="仿宋" w:cs="仿宋"/>
                <w:b w:val="0"/>
                <w:bCs/>
                <w:color w:val="auto"/>
                <w:sz w:val="24"/>
                <w:szCs w:val="24"/>
                <w:highlight w:val="none"/>
                <w:lang w:eastAsia="zh-CN"/>
              </w:rPr>
              <w:t>法人授权代表在所有规定签章处逐一签署及加盖单位公章</w:t>
            </w:r>
            <w:r>
              <w:rPr>
                <w:rFonts w:hint="eastAsia" w:ascii="仿宋" w:hAnsi="仿宋" w:eastAsia="仿宋" w:cs="仿宋"/>
                <w:b w:val="0"/>
                <w:bCs/>
                <w:color w:val="auto"/>
                <w:sz w:val="24"/>
                <w:szCs w:val="24"/>
                <w:highlight w:val="none"/>
              </w:rPr>
              <w:t>；</w:t>
            </w:r>
          </w:p>
        </w:tc>
      </w:tr>
      <w:tr w14:paraId="3BBABA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6867E9E8">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08A7BBD4">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5</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4CE1EDFD">
            <w:pPr>
              <w:widowControl/>
              <w:shd w:val="clear" w:color="auto" w:fill="auto"/>
              <w:jc w:val="left"/>
              <w:textAlignment w:val="center"/>
              <w:outlineLvl w:val="9"/>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rPr>
              <w:t>投标文件针对同一种货物未出现了两个或两个以上的报价</w:t>
            </w:r>
            <w:r>
              <w:rPr>
                <w:rFonts w:hint="eastAsia" w:ascii="仿宋" w:hAnsi="仿宋" w:eastAsia="仿宋" w:cs="仿宋"/>
                <w:b w:val="0"/>
                <w:bCs/>
                <w:color w:val="auto"/>
                <w:sz w:val="24"/>
                <w:szCs w:val="24"/>
                <w:highlight w:val="none"/>
                <w:lang w:eastAsia="zh-CN"/>
              </w:rPr>
              <w:t>；</w:t>
            </w:r>
          </w:p>
        </w:tc>
      </w:tr>
      <w:tr w14:paraId="3792B6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8"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199E3D49">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6E83C3CA">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6</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4B09D524">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投标文件载明的招标项目交货期限未超过招标文件规定的期限；</w:t>
            </w:r>
          </w:p>
        </w:tc>
      </w:tr>
      <w:tr w14:paraId="0E1E5C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7EE7F8E4">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545A357C">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7</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7F568D10">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投标文件载明的功能需求、验收标准和方法等符合招标文件的要求；</w:t>
            </w:r>
          </w:p>
        </w:tc>
      </w:tr>
      <w:tr w14:paraId="60B565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3098D184">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3EA279D3">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8</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367393BE">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投标人</w:t>
            </w:r>
            <w:r>
              <w:rPr>
                <w:rFonts w:hint="eastAsia" w:ascii="仿宋" w:hAnsi="仿宋" w:eastAsia="仿宋" w:cs="仿宋"/>
                <w:b w:val="0"/>
                <w:bCs/>
                <w:color w:val="auto"/>
                <w:sz w:val="24"/>
                <w:szCs w:val="24"/>
                <w:highlight w:val="none"/>
              </w:rPr>
              <w:t>的报价未超过预算价或最高限价；</w:t>
            </w:r>
          </w:p>
        </w:tc>
      </w:tr>
      <w:tr w14:paraId="24F32F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1EBF5483">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4E99BC95">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9</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16015EE7">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投标文件未含有采购人不能接受的附加条件；</w:t>
            </w:r>
          </w:p>
        </w:tc>
      </w:tr>
      <w:tr w14:paraId="04009B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573" w:type="dxa"/>
            <w:vMerge w:val="continue"/>
            <w:tcBorders>
              <w:top w:val="single" w:color="auto" w:sz="4" w:space="0"/>
              <w:left w:val="single" w:color="auto" w:sz="4" w:space="0"/>
              <w:bottom w:val="single" w:color="auto" w:sz="4" w:space="0"/>
              <w:right w:val="single" w:color="auto" w:sz="4" w:space="0"/>
            </w:tcBorders>
            <w:noWrap w:val="0"/>
            <w:vAlign w:val="center"/>
          </w:tcPr>
          <w:p w14:paraId="4037CA16">
            <w:pPr>
              <w:shd w:val="clear" w:color="auto" w:fill="auto"/>
              <w:outlineLvl w:val="9"/>
              <w:rPr>
                <w:rFonts w:hint="eastAsia" w:ascii="仿宋" w:hAnsi="仿宋" w:eastAsia="仿宋" w:cs="仿宋"/>
                <w:b w:val="0"/>
                <w:bCs/>
                <w:color w:val="auto"/>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center"/>
          </w:tcPr>
          <w:p w14:paraId="1AD80B09">
            <w:pPr>
              <w:shd w:val="clear" w:color="auto" w:fill="auto"/>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10</w:t>
            </w:r>
          </w:p>
        </w:tc>
        <w:tc>
          <w:tcPr>
            <w:tcW w:w="8528" w:type="dxa"/>
            <w:tcBorders>
              <w:top w:val="single" w:color="auto" w:sz="4" w:space="0"/>
              <w:left w:val="single" w:color="auto" w:sz="4" w:space="0"/>
              <w:bottom w:val="single" w:color="auto" w:sz="4" w:space="0"/>
              <w:right w:val="single" w:color="auto" w:sz="4" w:space="0"/>
            </w:tcBorders>
            <w:noWrap w:val="0"/>
            <w:vAlign w:val="center"/>
          </w:tcPr>
          <w:p w14:paraId="147543B2">
            <w:pPr>
              <w:widowControl/>
              <w:shd w:val="clear" w:color="auto" w:fill="auto"/>
              <w:jc w:val="left"/>
              <w:textAlignment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无不</w:t>
            </w:r>
            <w:r>
              <w:rPr>
                <w:rFonts w:hint="eastAsia" w:ascii="仿宋" w:hAnsi="仿宋" w:eastAsia="仿宋" w:cs="仿宋"/>
                <w:b w:val="0"/>
                <w:bCs/>
                <w:color w:val="auto"/>
                <w:sz w:val="24"/>
                <w:szCs w:val="24"/>
                <w:highlight w:val="none"/>
              </w:rPr>
              <w:t>符合法律、法规和招标文件中规定的其他实质性要求。</w:t>
            </w:r>
          </w:p>
        </w:tc>
      </w:tr>
      <w:tr w14:paraId="2F6843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jc w:val="center"/>
        </w:trPr>
        <w:tc>
          <w:tcPr>
            <w:tcW w:w="573" w:type="dxa"/>
            <w:tcBorders>
              <w:top w:val="single" w:color="auto" w:sz="4" w:space="0"/>
              <w:left w:val="single" w:color="auto" w:sz="4" w:space="0"/>
              <w:bottom w:val="single" w:color="auto" w:sz="4" w:space="0"/>
              <w:right w:val="single" w:color="auto" w:sz="4" w:space="0"/>
            </w:tcBorders>
            <w:noWrap w:val="0"/>
            <w:vAlign w:val="center"/>
          </w:tcPr>
          <w:p w14:paraId="305041F6">
            <w:pPr>
              <w:shd w:val="clear" w:color="auto" w:fill="auto"/>
              <w:jc w:val="center"/>
              <w:outlineLvl w:val="9"/>
              <w:rPr>
                <w:rFonts w:hint="eastAsia" w:ascii="仿宋" w:hAnsi="仿宋" w:eastAsia="仿宋" w:cs="仿宋"/>
                <w:b w:val="0"/>
                <w:bCs/>
                <w:color w:val="auto"/>
                <w:sz w:val="24"/>
                <w:szCs w:val="24"/>
                <w:highlight w:val="none"/>
              </w:rPr>
            </w:pPr>
          </w:p>
        </w:tc>
        <w:tc>
          <w:tcPr>
            <w:tcW w:w="9176" w:type="dxa"/>
            <w:gridSpan w:val="2"/>
            <w:tcBorders>
              <w:top w:val="single" w:color="auto" w:sz="4" w:space="0"/>
              <w:left w:val="single" w:color="auto" w:sz="4" w:space="0"/>
              <w:bottom w:val="single" w:color="auto" w:sz="4" w:space="0"/>
              <w:right w:val="single" w:color="auto" w:sz="4" w:space="0"/>
            </w:tcBorders>
            <w:noWrap w:val="0"/>
            <w:vAlign w:val="top"/>
          </w:tcPr>
          <w:p w14:paraId="1120DF55">
            <w:pPr>
              <w:shd w:val="clear" w:color="auto" w:fil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结论：是否通过评审（须填写通过或不通过）</w:t>
            </w:r>
          </w:p>
          <w:p w14:paraId="6B03FACE">
            <w:pPr>
              <w:shd w:val="clear" w:color="auto" w:fill="auto"/>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注：如有一项不合格，作废标处理。</w:t>
            </w:r>
          </w:p>
        </w:tc>
      </w:tr>
    </w:tbl>
    <w:p w14:paraId="3A666C70">
      <w:pPr>
        <w:shd w:val="clear" w:color="auto" w:fill="auto"/>
        <w:spacing w:line="400" w:lineRule="exact"/>
        <w:ind w:firstLine="578" w:firstLineChars="241"/>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.2评委会判定投标文件的响应性只根据投标文件本身的内容，而不寻求外部的证据，但投标有不真实不正确的内容时除外。</w:t>
      </w:r>
    </w:p>
    <w:p w14:paraId="51A4CAC1">
      <w:pPr>
        <w:shd w:val="clear" w:color="auto" w:fill="auto"/>
        <w:spacing w:line="400" w:lineRule="exact"/>
        <w:ind w:firstLine="578" w:firstLineChars="241"/>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.3如果投标文件实质上没有响应</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的要求，评委会将予以拒绝，投标人不得通过修正或撤销不符合要求的偏离或保留，而使其投标成为实质上响应的投标。</w:t>
      </w:r>
    </w:p>
    <w:p w14:paraId="791625B4">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.4投标人可在现场20分钟内对评标委员会的评审结论提出异议，评标委员会根据</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及有关规定对投标人的异议进行复议</w:t>
      </w:r>
    </w:p>
    <w:p w14:paraId="41042EDD">
      <w:pPr>
        <w:shd w:val="clear" w:color="auto" w:fill="auto"/>
        <w:spacing w:line="400" w:lineRule="exact"/>
        <w:ind w:firstLine="600" w:firstLineChars="25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.5只有通过初审的投标人才能进入下一步评标程序。</w:t>
      </w:r>
    </w:p>
    <w:p w14:paraId="221D1599">
      <w:pPr>
        <w:shd w:val="clear" w:color="auto" w:fill="auto"/>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14:paraId="3B5D56D6">
      <w:pPr>
        <w:shd w:val="clear" w:color="auto" w:fill="auto"/>
        <w:spacing w:before="156" w:beforeLines="50" w:line="400" w:lineRule="exact"/>
        <w:jc w:val="center"/>
        <w:outlineLvl w:val="1"/>
        <w:rPr>
          <w:rFonts w:hint="eastAsia" w:ascii="仿宋" w:hAnsi="仿宋" w:eastAsia="仿宋" w:cs="仿宋"/>
          <w:b/>
          <w:color w:val="auto"/>
          <w:sz w:val="32"/>
          <w:szCs w:val="32"/>
          <w:highlight w:val="none"/>
        </w:rPr>
      </w:pPr>
      <w:bookmarkStart w:id="93" w:name="_Toc362983803"/>
      <w:bookmarkStart w:id="94" w:name="_Toc20754"/>
      <w:bookmarkStart w:id="95" w:name="_Toc15264"/>
      <w:bookmarkStart w:id="96" w:name="_Toc469495734"/>
      <w:r>
        <w:rPr>
          <w:rFonts w:hint="eastAsia" w:ascii="仿宋" w:hAnsi="仿宋" w:eastAsia="仿宋" w:cs="仿宋"/>
          <w:b/>
          <w:color w:val="auto"/>
          <w:sz w:val="32"/>
          <w:szCs w:val="32"/>
          <w:highlight w:val="none"/>
        </w:rPr>
        <w:t>三  投标文件的澄清和补正</w:t>
      </w:r>
      <w:bookmarkEnd w:id="93"/>
      <w:bookmarkEnd w:id="94"/>
      <w:bookmarkEnd w:id="95"/>
      <w:bookmarkEnd w:id="96"/>
    </w:p>
    <w:p w14:paraId="07E2695B">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8．澄清、说明或补正的形式</w:t>
      </w:r>
    </w:p>
    <w:p w14:paraId="5BD537D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6549CCC4">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6B9152E0">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3CBDF84C">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9．错误修正的原则</w:t>
      </w:r>
    </w:p>
    <w:p w14:paraId="695247F8">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电子交易平台客户端里开标一览表录入的投标报价或优惠率与扫描上传的报价文件信息不一致的，以扫描上传的报价文件信息为准进行修正。</w:t>
      </w:r>
    </w:p>
    <w:p w14:paraId="0F0BD37E">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投标文件报价出现前后不一致的，除采购文件另有规定外，按照下列规定修正：</w:t>
      </w:r>
    </w:p>
    <w:p w14:paraId="31530FCA">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9.1 投标函中表述的内容与报价表中不一致的，以报价表为准；报价表中的内容与报价明细表不一致的，以报价表为准；</w:t>
      </w:r>
    </w:p>
    <w:p w14:paraId="04A7BC60">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9.2 投标文件中的大写金额和小写金额不一致的，以大写金额为准；</w:t>
      </w:r>
    </w:p>
    <w:p w14:paraId="0AE0E997">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9.3 单价金额小数点或者百分比有明显错位的，以开标一览表的总价为准，并修改单价；</w:t>
      </w:r>
    </w:p>
    <w:p w14:paraId="7B81C867">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9.4 总价金额与按单价汇总金额不一致的，以单价金额计算结果为准；</w:t>
      </w:r>
    </w:p>
    <w:p w14:paraId="6A66FD4D">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9.5 若用文字表示的数值与用数字表示的数值不一致，以文字表示的数值为准；</w:t>
      </w:r>
    </w:p>
    <w:p w14:paraId="68B1AFE6">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9.6 如有多报（指数量超出采购文件需求）、重报（指同一货物重复报价），其投标总价在评标过程中不予调整，如其中标，其合同价按其投标单价予以调整；</w:t>
      </w:r>
    </w:p>
    <w:p w14:paraId="1B742A49">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9.7 对不同文字文本投标文件的解释发生异议的，以中文文本为准；</w:t>
      </w:r>
    </w:p>
    <w:p w14:paraId="4B5C1D15">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351FBE9D">
      <w:pPr>
        <w:shd w:val="clear" w:color="auto" w:fill="auto"/>
        <w:spacing w:line="400" w:lineRule="exact"/>
        <w:ind w:firstLine="403" w:firstLineChars="192"/>
        <w:outlineLvl w:val="9"/>
        <w:rPr>
          <w:rFonts w:hint="eastAsia" w:ascii="仿宋" w:hAnsi="仿宋" w:eastAsia="仿宋" w:cs="仿宋"/>
          <w:color w:val="auto"/>
          <w:szCs w:val="21"/>
          <w:highlight w:val="none"/>
        </w:rPr>
      </w:pPr>
    </w:p>
    <w:p w14:paraId="38BC5436">
      <w:pPr>
        <w:shd w:val="clear" w:color="auto" w:fill="auto"/>
        <w:spacing w:line="400" w:lineRule="exact"/>
        <w:jc w:val="center"/>
        <w:outlineLvl w:val="1"/>
        <w:rPr>
          <w:rFonts w:hint="eastAsia" w:ascii="仿宋" w:hAnsi="仿宋" w:eastAsia="仿宋" w:cs="仿宋"/>
          <w:b/>
          <w:color w:val="auto"/>
          <w:sz w:val="24"/>
          <w:highlight w:val="none"/>
        </w:rPr>
      </w:pPr>
      <w:bookmarkStart w:id="97" w:name="_Toc27688"/>
      <w:bookmarkStart w:id="98" w:name="_Toc469495735"/>
      <w:bookmarkStart w:id="99" w:name="_Toc26574"/>
      <w:r>
        <w:rPr>
          <w:rFonts w:hint="eastAsia" w:ascii="仿宋" w:hAnsi="仿宋" w:eastAsia="仿宋" w:cs="仿宋"/>
          <w:b/>
          <w:color w:val="auto"/>
          <w:sz w:val="32"/>
          <w:szCs w:val="22"/>
          <w:highlight w:val="none"/>
        </w:rPr>
        <w:t>四 比较与评价</w:t>
      </w:r>
      <w:bookmarkEnd w:id="97"/>
      <w:bookmarkEnd w:id="98"/>
      <w:bookmarkEnd w:id="99"/>
    </w:p>
    <w:p w14:paraId="55598EB9">
      <w:pPr>
        <w:shd w:val="clear" w:color="auto" w:fill="auto"/>
        <w:tabs>
          <w:tab w:val="left" w:pos="720"/>
        </w:tabs>
        <w:spacing w:line="440" w:lineRule="exact"/>
        <w:ind w:firstLine="612" w:firstLineChars="255"/>
        <w:outlineLvl w:val="9"/>
        <w:rPr>
          <w:rFonts w:hint="eastAsia" w:ascii="仿宋" w:hAnsi="仿宋" w:eastAsia="仿宋" w:cs="仿宋"/>
          <w:color w:val="auto"/>
          <w:sz w:val="24"/>
          <w:szCs w:val="24"/>
          <w:highlight w:val="none"/>
          <w:lang w:bidi="ar-SA"/>
        </w:rPr>
      </w:pPr>
      <w:bookmarkStart w:id="100" w:name="_Toc469495736"/>
      <w:bookmarkStart w:id="101" w:name="_Toc362983805"/>
      <w:r>
        <w:rPr>
          <w:rFonts w:hint="eastAsia" w:ascii="仿宋" w:hAnsi="仿宋" w:eastAsia="仿宋" w:cs="仿宋"/>
          <w:color w:val="auto"/>
          <w:sz w:val="24"/>
          <w:szCs w:val="24"/>
          <w:highlight w:val="none"/>
          <w:lang w:val="en-US" w:eastAsia="zh-CN" w:bidi="ar-SA"/>
        </w:rPr>
        <w:t>10.1</w:t>
      </w:r>
      <w:r>
        <w:rPr>
          <w:rFonts w:hint="eastAsia" w:ascii="仿宋" w:hAnsi="仿宋" w:eastAsia="仿宋" w:cs="仿宋"/>
          <w:color w:val="auto"/>
          <w:sz w:val="24"/>
          <w:szCs w:val="24"/>
          <w:highlight w:val="none"/>
          <w:lang w:bidi="ar-SA"/>
        </w:rPr>
        <w:t>评标委员会按</w:t>
      </w:r>
      <w:r>
        <w:rPr>
          <w:rFonts w:hint="eastAsia" w:ascii="仿宋" w:hAnsi="仿宋" w:eastAsia="仿宋" w:cs="仿宋"/>
          <w:color w:val="auto"/>
          <w:sz w:val="24"/>
          <w:szCs w:val="24"/>
          <w:highlight w:val="none"/>
          <w:lang w:eastAsia="zh-CN" w:bidi="ar-SA"/>
        </w:rPr>
        <w:t>招标文件</w:t>
      </w:r>
      <w:r>
        <w:rPr>
          <w:rFonts w:hint="eastAsia" w:ascii="仿宋" w:hAnsi="仿宋" w:eastAsia="仿宋" w:cs="仿宋"/>
          <w:color w:val="auto"/>
          <w:sz w:val="24"/>
          <w:szCs w:val="24"/>
          <w:highlight w:val="none"/>
          <w:lang w:bidi="ar-SA"/>
        </w:rPr>
        <w:t>中规定的评标方法和标准，对资格性检查和符合性检查合格的投标文件进行商务和技术评估、综合比较与评价。</w:t>
      </w:r>
    </w:p>
    <w:p w14:paraId="195B95FC">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val="en-US" w:eastAsia="zh-CN" w:bidi="ar-SA"/>
        </w:rPr>
        <w:t>10.2</w:t>
      </w:r>
      <w:r>
        <w:rPr>
          <w:rFonts w:hint="eastAsia" w:ascii="仿宋" w:hAnsi="仿宋" w:eastAsia="仿宋" w:cs="仿宋"/>
          <w:color w:val="auto"/>
          <w:sz w:val="24"/>
          <w:szCs w:val="24"/>
          <w:highlight w:val="none"/>
          <w:lang w:bidi="ar-SA"/>
        </w:rPr>
        <w:t>评标委员会根据商务和技术评估的结果，采用综合评分法，分别对投标文件的商务、技术、价格等内容进行打分。其中，商务评估、技术评估、价格评估的评分权值（详见附件1）。</w:t>
      </w:r>
    </w:p>
    <w:p w14:paraId="63D6C768">
      <w:pPr>
        <w:shd w:val="clear" w:color="auto" w:fill="auto"/>
        <w:spacing w:line="440" w:lineRule="exact"/>
        <w:ind w:firstLine="616" w:firstLineChars="257"/>
        <w:outlineLvl w:val="9"/>
        <w:rPr>
          <w:rFonts w:hint="eastAsia" w:ascii="仿宋" w:hAnsi="仿宋" w:eastAsia="仿宋" w:cs="仿宋"/>
          <w:bCs/>
          <w:color w:val="auto"/>
          <w:sz w:val="24"/>
          <w:szCs w:val="24"/>
          <w:highlight w:val="none"/>
          <w:lang w:bidi="ar-SA"/>
        </w:rPr>
      </w:pPr>
      <w:r>
        <w:rPr>
          <w:rFonts w:hint="eastAsia" w:ascii="仿宋" w:hAnsi="仿宋" w:eastAsia="仿宋" w:cs="仿宋"/>
          <w:color w:val="auto"/>
          <w:sz w:val="24"/>
          <w:szCs w:val="24"/>
          <w:highlight w:val="none"/>
          <w:lang w:val="en-US" w:eastAsia="zh-CN" w:bidi="ar-SA"/>
        </w:rPr>
        <w:t>10.</w:t>
      </w:r>
      <w:r>
        <w:rPr>
          <w:rFonts w:hint="eastAsia" w:ascii="仿宋" w:hAnsi="仿宋" w:eastAsia="仿宋" w:cs="仿宋"/>
          <w:bCs/>
          <w:color w:val="auto"/>
          <w:sz w:val="24"/>
          <w:szCs w:val="24"/>
          <w:highlight w:val="none"/>
          <w:lang w:val="en-US" w:eastAsia="zh-CN" w:bidi="ar-SA"/>
        </w:rPr>
        <w:t>2.1</w:t>
      </w:r>
      <w:r>
        <w:rPr>
          <w:rFonts w:hint="eastAsia" w:ascii="仿宋" w:hAnsi="仿宋" w:eastAsia="仿宋" w:cs="仿宋"/>
          <w:bCs/>
          <w:color w:val="auto"/>
          <w:sz w:val="24"/>
          <w:szCs w:val="24"/>
          <w:highlight w:val="none"/>
          <w:lang w:bidi="ar-SA"/>
        </w:rPr>
        <w:t>评委打分办法</w:t>
      </w:r>
    </w:p>
    <w:p w14:paraId="235B71FB">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bCs/>
          <w:color w:val="auto"/>
          <w:sz w:val="24"/>
          <w:szCs w:val="24"/>
          <w:highlight w:val="none"/>
          <w:lang w:bidi="ar-SA"/>
        </w:rPr>
        <w:t>（1）</w:t>
      </w:r>
      <w:r>
        <w:rPr>
          <w:rFonts w:hint="eastAsia" w:ascii="仿宋" w:hAnsi="仿宋" w:eastAsia="仿宋" w:cs="仿宋"/>
          <w:color w:val="auto"/>
          <w:sz w:val="24"/>
          <w:szCs w:val="24"/>
          <w:highlight w:val="none"/>
          <w:lang w:bidi="ar-SA"/>
        </w:rPr>
        <w:t>参加评分的评委应尽力体现客观、实事求是，避免学派偏见和个人偏好。</w:t>
      </w:r>
    </w:p>
    <w:p w14:paraId="612F5096">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（2）衡量、对比的依据，应以</w:t>
      </w:r>
      <w:r>
        <w:rPr>
          <w:rFonts w:hint="eastAsia" w:ascii="仿宋" w:hAnsi="仿宋" w:eastAsia="仿宋" w:cs="仿宋"/>
          <w:color w:val="auto"/>
          <w:sz w:val="24"/>
          <w:szCs w:val="24"/>
          <w:highlight w:val="none"/>
          <w:lang w:eastAsia="zh-CN" w:bidi="ar-SA"/>
        </w:rPr>
        <w:t>招标文件</w:t>
      </w:r>
      <w:r>
        <w:rPr>
          <w:rFonts w:hint="eastAsia" w:ascii="仿宋" w:hAnsi="仿宋" w:eastAsia="仿宋" w:cs="仿宋"/>
          <w:color w:val="auto"/>
          <w:sz w:val="24"/>
          <w:szCs w:val="24"/>
          <w:highlight w:val="none"/>
          <w:lang w:bidi="ar-SA"/>
        </w:rPr>
        <w:t>、投标文件、提供的正式试验数据、质询澄清中的文字为准，口头回答和收集的资料只作为参考。</w:t>
      </w:r>
    </w:p>
    <w:p w14:paraId="66358D01">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（3）评分主要是为比较各投标人的价格、商务和技术综合排序。</w:t>
      </w:r>
    </w:p>
    <w:p w14:paraId="3C44F10C">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（4）评委打分采取记名形式。</w:t>
      </w:r>
    </w:p>
    <w:p w14:paraId="3F49F5F4">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（5）各评委根据提供的技术打分表独立自主打分，任何人不得要求评委统一打分或统一确定等次顺序。</w:t>
      </w:r>
    </w:p>
    <w:p w14:paraId="776BB276">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（6）对打分表中的每项条款，各评委应根据投标文件、澄清材料、</w:t>
      </w:r>
      <w:r>
        <w:rPr>
          <w:rFonts w:hint="eastAsia" w:ascii="仿宋" w:hAnsi="仿宋" w:eastAsia="仿宋" w:cs="仿宋"/>
          <w:color w:val="auto"/>
          <w:sz w:val="24"/>
          <w:szCs w:val="24"/>
          <w:highlight w:val="none"/>
          <w:lang w:eastAsia="zh-CN" w:bidi="ar-SA"/>
        </w:rPr>
        <w:t>招标文件</w:t>
      </w:r>
      <w:r>
        <w:rPr>
          <w:rFonts w:hint="eastAsia" w:ascii="仿宋" w:hAnsi="仿宋" w:eastAsia="仿宋" w:cs="仿宋"/>
          <w:color w:val="auto"/>
          <w:sz w:val="24"/>
          <w:szCs w:val="24"/>
          <w:highlight w:val="none"/>
          <w:lang w:bidi="ar-SA"/>
        </w:rPr>
        <w:t>要求，按满足的程度给投标人打分。</w:t>
      </w:r>
    </w:p>
    <w:p w14:paraId="3D171147">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（7）评分程序</w:t>
      </w:r>
    </w:p>
    <w:p w14:paraId="2C32FF94">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1)就投标人的投标文件对照整理出商务、技术评标因素对比表、偏差表，并在经过校核的基础上逐项打分。</w:t>
      </w:r>
    </w:p>
    <w:p w14:paraId="05D8EA05">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2)各评委独立完成打分后，将评分表交给代理机构，由代理机构组织进行分数统计。</w:t>
      </w:r>
    </w:p>
    <w:p w14:paraId="0AAC3254">
      <w:pPr>
        <w:shd w:val="clear" w:color="auto" w:fill="auto"/>
        <w:spacing w:line="440" w:lineRule="exact"/>
        <w:ind w:firstLine="616" w:firstLineChars="257"/>
        <w:outlineLvl w:val="9"/>
        <w:rPr>
          <w:rFonts w:hint="eastAsia" w:ascii="仿宋" w:hAnsi="仿宋" w:eastAsia="仿宋" w:cs="仿宋"/>
          <w:color w:val="auto"/>
          <w:sz w:val="24"/>
          <w:szCs w:val="24"/>
          <w:highlight w:val="none"/>
          <w:lang w:bidi="ar-SA"/>
        </w:rPr>
      </w:pPr>
      <w:r>
        <w:rPr>
          <w:rFonts w:hint="eastAsia" w:ascii="仿宋" w:hAnsi="仿宋" w:eastAsia="仿宋" w:cs="仿宋"/>
          <w:color w:val="auto"/>
          <w:sz w:val="24"/>
          <w:szCs w:val="24"/>
          <w:highlight w:val="none"/>
          <w:lang w:bidi="ar-SA"/>
        </w:rPr>
        <w:t>3)最终汇总表中各投标人得分应为评委打分的算术平均值。</w:t>
      </w:r>
    </w:p>
    <w:p w14:paraId="7F6DBEC4">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（8）评分标准和细则（综合评分法评分标准）</w:t>
      </w:r>
    </w:p>
    <w:p w14:paraId="55D7E189">
      <w:pPr>
        <w:shd w:val="clear" w:color="auto" w:fill="auto"/>
        <w:spacing w:line="400" w:lineRule="exact"/>
        <w:jc w:val="center"/>
        <w:outlineLvl w:val="1"/>
        <w:rPr>
          <w:rFonts w:hint="eastAsia" w:ascii="仿宋" w:hAnsi="仿宋" w:eastAsia="仿宋" w:cs="仿宋"/>
          <w:b/>
          <w:color w:val="auto"/>
          <w:sz w:val="32"/>
          <w:szCs w:val="22"/>
          <w:highlight w:val="none"/>
          <w:lang w:val="en-US" w:eastAsia="zh-CN"/>
        </w:rPr>
      </w:pPr>
      <w:bookmarkStart w:id="102" w:name="_Toc30836"/>
      <w:r>
        <w:rPr>
          <w:rFonts w:hint="eastAsia" w:ascii="仿宋" w:hAnsi="仿宋" w:eastAsia="仿宋" w:cs="仿宋"/>
          <w:b/>
          <w:color w:val="auto"/>
          <w:sz w:val="32"/>
          <w:szCs w:val="22"/>
          <w:highlight w:val="none"/>
          <w:lang w:val="en-US" w:eastAsia="zh-CN"/>
        </w:rPr>
        <w:t>五 评分标准</w:t>
      </w:r>
      <w:bookmarkEnd w:id="102"/>
    </w:p>
    <w:p w14:paraId="53C22E6E">
      <w:pPr>
        <w:shd w:val="clear" w:color="auto" w:fill="auto"/>
        <w:spacing w:line="400" w:lineRule="exact"/>
        <w:jc w:val="center"/>
        <w:outlineLvl w:val="9"/>
        <w:rPr>
          <w:rFonts w:hint="eastAsia" w:ascii="仿宋" w:hAnsi="仿宋" w:eastAsia="仿宋" w:cs="仿宋"/>
          <w:b/>
          <w:color w:val="auto"/>
          <w:sz w:val="28"/>
          <w:szCs w:val="21"/>
          <w:highlight w:val="none"/>
          <w:lang w:val="en-US" w:eastAsia="zh-CN"/>
        </w:rPr>
      </w:pPr>
    </w:p>
    <w:p w14:paraId="1524A6EC">
      <w:pPr>
        <w:pStyle w:val="19"/>
        <w:tabs>
          <w:tab w:val="left" w:pos="567"/>
        </w:tabs>
        <w:rPr>
          <w:rFonts w:hint="eastAsia" w:ascii="仿宋" w:hAnsi="仿宋" w:eastAsia="仿宋" w:cs="仿宋"/>
          <w:b/>
          <w:color w:val="auto"/>
          <w:sz w:val="24"/>
          <w:highlight w:val="none"/>
          <w:lang w:val="en-US" w:eastAsia="zh-CN"/>
        </w:rPr>
      </w:pPr>
      <w:r>
        <w:rPr>
          <w:rFonts w:hint="eastAsia" w:ascii="仿宋" w:hAnsi="仿宋" w:eastAsia="仿宋" w:cs="仿宋"/>
          <w:color w:val="000000"/>
          <w:kern w:val="0"/>
          <w:sz w:val="28"/>
          <w:szCs w:val="28"/>
          <w:u w:val="none"/>
          <w:lang w:val="en-US" w:eastAsia="zh-CN" w:bidi="ar"/>
        </w:rPr>
        <w:t>评分标准：</w:t>
      </w:r>
    </w:p>
    <w:tbl>
      <w:tblPr>
        <w:tblStyle w:val="21"/>
        <w:tblpPr w:leftFromText="180" w:rightFromText="180" w:vertAnchor="text" w:horzAnchor="page" w:tblpX="1429" w:tblpY="644"/>
        <w:tblOverlap w:val="never"/>
        <w:tblW w:w="91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2188"/>
        <w:gridCol w:w="6209"/>
      </w:tblGrid>
      <w:tr w14:paraId="067C8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9103" w:type="dxa"/>
            <w:gridSpan w:val="3"/>
            <w:vAlign w:val="center"/>
          </w:tcPr>
          <w:p w14:paraId="219426A5">
            <w:pPr>
              <w:keepNext w:val="0"/>
              <w:keepLines w:val="0"/>
              <w:pageBreakBefore w:val="0"/>
              <w:kinsoku/>
              <w:wordWrap/>
              <w:overflowPunct/>
              <w:topLinePunct w:val="0"/>
              <w:autoSpaceDE/>
              <w:autoSpaceDN/>
              <w:bidi w:val="0"/>
              <w:spacing w:line="480" w:lineRule="exact"/>
              <w:jc w:val="center"/>
              <w:textAlignment w:val="auto"/>
              <w:rPr>
                <w:rFonts w:hint="eastAsia" w:ascii="仿宋" w:hAnsi="仿宋" w:eastAsia="仿宋" w:cs="仿宋"/>
                <w:b/>
                <w:color w:val="000000"/>
                <w:sz w:val="24"/>
                <w:szCs w:val="24"/>
                <w:lang w:val="en-US" w:eastAsia="zh-CN"/>
              </w:rPr>
            </w:pPr>
            <w:r>
              <w:rPr>
                <w:rFonts w:hint="eastAsia" w:ascii="仿宋" w:hAnsi="仿宋" w:eastAsia="仿宋" w:cs="仿宋"/>
                <w:color w:val="auto"/>
                <w:sz w:val="24"/>
                <w:szCs w:val="24"/>
                <w:highlight w:val="none"/>
                <w:lang w:val="en-US" w:eastAsia="zh-CN"/>
              </w:rPr>
              <w:t>商务和技术部分（70分）</w:t>
            </w:r>
            <w:r>
              <w:rPr>
                <w:rFonts w:hint="eastAsia" w:ascii="仿宋" w:hAnsi="仿宋" w:eastAsia="仿宋" w:cs="仿宋"/>
                <w:b/>
                <w:bCs/>
                <w:color w:val="auto"/>
                <w:sz w:val="24"/>
                <w:szCs w:val="24"/>
                <w:highlight w:val="none"/>
                <w:lang w:val="en-US" w:eastAsia="zh-CN"/>
              </w:rPr>
              <w:t>（以下得分保留小数点后2位）</w:t>
            </w:r>
          </w:p>
        </w:tc>
      </w:tr>
      <w:tr w14:paraId="0FFC9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06" w:type="dxa"/>
            <w:vAlign w:val="center"/>
          </w:tcPr>
          <w:p w14:paraId="77F0736A">
            <w:pPr>
              <w:keepNext w:val="0"/>
              <w:keepLines w:val="0"/>
              <w:pageBreakBefore w:val="0"/>
              <w:kinsoku/>
              <w:wordWrap/>
              <w:overflowPunct/>
              <w:topLinePunct w:val="0"/>
              <w:autoSpaceDE/>
              <w:autoSpaceDN/>
              <w:bidi w:val="0"/>
              <w:spacing w:line="48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color w:val="000000"/>
                <w:sz w:val="24"/>
                <w:szCs w:val="24"/>
              </w:rPr>
              <w:t>序号</w:t>
            </w:r>
          </w:p>
        </w:tc>
        <w:tc>
          <w:tcPr>
            <w:tcW w:w="2188" w:type="dxa"/>
            <w:vAlign w:val="center"/>
          </w:tcPr>
          <w:p w14:paraId="32FEB9A6">
            <w:pPr>
              <w:keepNext w:val="0"/>
              <w:keepLines w:val="0"/>
              <w:pageBreakBefore w:val="0"/>
              <w:kinsoku/>
              <w:wordWrap/>
              <w:overflowPunct/>
              <w:topLinePunct w:val="0"/>
              <w:autoSpaceDE/>
              <w:autoSpaceDN/>
              <w:bidi w:val="0"/>
              <w:spacing w:line="48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color w:val="000000"/>
                <w:sz w:val="24"/>
                <w:szCs w:val="24"/>
              </w:rPr>
              <w:t>评审项目</w:t>
            </w:r>
          </w:p>
        </w:tc>
        <w:tc>
          <w:tcPr>
            <w:tcW w:w="6209" w:type="dxa"/>
            <w:vAlign w:val="center"/>
          </w:tcPr>
          <w:p w14:paraId="45520463">
            <w:pPr>
              <w:keepNext w:val="0"/>
              <w:keepLines w:val="0"/>
              <w:pageBreakBefore w:val="0"/>
              <w:kinsoku/>
              <w:wordWrap/>
              <w:overflowPunct/>
              <w:topLinePunct w:val="0"/>
              <w:autoSpaceDE/>
              <w:autoSpaceDN/>
              <w:bidi w:val="0"/>
              <w:spacing w:line="48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color w:val="000000"/>
                <w:sz w:val="24"/>
                <w:szCs w:val="24"/>
                <w:lang w:val="en-US" w:eastAsia="zh-CN"/>
              </w:rPr>
              <w:t>评审细则</w:t>
            </w:r>
          </w:p>
        </w:tc>
      </w:tr>
      <w:tr w14:paraId="7C34E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06" w:type="dxa"/>
            <w:vAlign w:val="center"/>
          </w:tcPr>
          <w:p w14:paraId="6039DAA9">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val="0"/>
                <w:bCs w:val="0"/>
                <w:color w:val="000000"/>
                <w:kern w:val="2"/>
                <w:sz w:val="24"/>
                <w:szCs w:val="24"/>
                <w:lang w:val="en-US" w:eastAsia="zh-CN" w:bidi="ar-SA"/>
              </w:rPr>
              <w:t>1</w:t>
            </w:r>
          </w:p>
        </w:tc>
        <w:tc>
          <w:tcPr>
            <w:tcW w:w="2188" w:type="dxa"/>
            <w:vAlign w:val="center"/>
          </w:tcPr>
          <w:p w14:paraId="533F732F">
            <w:pPr>
              <w:pStyle w:val="18"/>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kern w:val="2"/>
                <w:sz w:val="24"/>
                <w:szCs w:val="24"/>
                <w:vertAlign w:val="baseline"/>
                <w:lang w:val="en-US" w:eastAsia="zh-CN" w:bidi="ar-SA"/>
              </w:rPr>
            </w:pPr>
            <w:bookmarkStart w:id="103" w:name="_Toc5935"/>
            <w:r>
              <w:rPr>
                <w:rFonts w:hint="eastAsia" w:ascii="仿宋" w:hAnsi="仿宋" w:eastAsia="仿宋" w:cs="仿宋"/>
                <w:b w:val="0"/>
                <w:bCs w:val="0"/>
                <w:color w:val="000000"/>
                <w:sz w:val="24"/>
                <w:szCs w:val="24"/>
              </w:rPr>
              <w:t>技术标响应情况（技术指标、参数）</w:t>
            </w:r>
            <w:r>
              <w:rPr>
                <w:rFonts w:hint="eastAsia" w:ascii="仿宋" w:hAnsi="仿宋" w:eastAsia="仿宋" w:cs="仿宋"/>
                <w:b w:val="0"/>
                <w:bCs w:val="0"/>
                <w:color w:val="000000"/>
                <w:sz w:val="24"/>
                <w:szCs w:val="24"/>
                <w:lang w:eastAsia="zh-CN"/>
              </w:rPr>
              <w:t>（</w:t>
            </w:r>
            <w:r>
              <w:rPr>
                <w:rFonts w:hint="eastAsia" w:ascii="仿宋" w:hAnsi="仿宋" w:eastAsia="仿宋" w:cs="仿宋"/>
                <w:b w:val="0"/>
                <w:bCs w:val="0"/>
                <w:color w:val="000000"/>
                <w:sz w:val="24"/>
                <w:szCs w:val="24"/>
                <w:lang w:val="en-US" w:eastAsia="zh-CN"/>
              </w:rPr>
              <w:t>44分</w:t>
            </w:r>
            <w:r>
              <w:rPr>
                <w:rFonts w:hint="eastAsia" w:ascii="仿宋" w:hAnsi="仿宋" w:eastAsia="仿宋" w:cs="仿宋"/>
                <w:b w:val="0"/>
                <w:bCs w:val="0"/>
                <w:color w:val="000000"/>
                <w:sz w:val="24"/>
                <w:szCs w:val="24"/>
                <w:lang w:eastAsia="zh-CN"/>
              </w:rPr>
              <w:t>）</w:t>
            </w:r>
            <w:bookmarkEnd w:id="103"/>
          </w:p>
        </w:tc>
        <w:tc>
          <w:tcPr>
            <w:tcW w:w="6209" w:type="dxa"/>
            <w:vAlign w:val="top"/>
          </w:tcPr>
          <w:p w14:paraId="51180D85">
            <w:pPr>
              <w:spacing w:line="360" w:lineRule="exact"/>
              <w:rPr>
                <w:rFonts w:hint="default" w:ascii="仿宋" w:hAnsi="仿宋" w:eastAsia="宋体"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满足招标文件技术指标、参数要求的得44分，以此为基础，</w:t>
            </w:r>
            <w:r>
              <w:rPr>
                <w:rFonts w:hint="eastAsia" w:asciiTheme="minorEastAsia" w:hAnsiTheme="minorEastAsia"/>
                <w:color w:val="auto"/>
                <w:lang w:val="en-US" w:eastAsia="zh-CN"/>
              </w:rPr>
              <w:t>标*项为本项目重要参数，</w:t>
            </w:r>
            <w:r>
              <w:rPr>
                <w:rFonts w:hint="eastAsia" w:ascii="仿宋" w:hAnsi="仿宋" w:eastAsia="仿宋" w:cs="仿宋"/>
                <w:b w:val="0"/>
                <w:bCs w:val="0"/>
                <w:color w:val="auto"/>
                <w:kern w:val="2"/>
                <w:sz w:val="24"/>
                <w:szCs w:val="24"/>
                <w:lang w:val="en-US" w:eastAsia="zh-CN" w:bidi="ar-SA"/>
              </w:rPr>
              <w:t>投标人技术参数有一项负偏离减5分，减完为止；未标注</w:t>
            </w:r>
            <w:r>
              <w:rPr>
                <w:rFonts w:hint="eastAsia" w:asciiTheme="minorEastAsia" w:hAnsiTheme="minorEastAsia"/>
                <w:color w:val="auto"/>
                <w:lang w:val="en-US" w:eastAsia="zh-CN"/>
              </w:rPr>
              <w:t>*的为一般参数，</w:t>
            </w:r>
            <w:r>
              <w:rPr>
                <w:rFonts w:hint="eastAsia" w:ascii="仿宋" w:hAnsi="仿宋" w:eastAsia="仿宋" w:cs="仿宋"/>
                <w:b w:val="0"/>
                <w:bCs w:val="0"/>
                <w:color w:val="auto"/>
                <w:kern w:val="2"/>
                <w:sz w:val="24"/>
                <w:szCs w:val="24"/>
                <w:lang w:val="en-US" w:eastAsia="zh-CN" w:bidi="ar-SA"/>
              </w:rPr>
              <w:t>投标人技术参数有一项负偏离减3分，减完为止。</w:t>
            </w:r>
          </w:p>
          <w:p w14:paraId="390C17E7">
            <w:pPr>
              <w:spacing w:line="360" w:lineRule="exact"/>
              <w:rPr>
                <w:rFonts w:hint="eastAsia" w:ascii="仿宋" w:hAnsi="仿宋" w:eastAsia="仿宋" w:cs="仿宋"/>
                <w:kern w:val="2"/>
                <w:sz w:val="24"/>
                <w:szCs w:val="24"/>
                <w:vertAlign w:val="baseline"/>
                <w:lang w:val="en-US" w:eastAsia="zh-CN" w:bidi="ar-SA"/>
              </w:rPr>
            </w:pPr>
            <w:r>
              <w:rPr>
                <w:rFonts w:hint="eastAsia" w:ascii="仿宋" w:hAnsi="仿宋" w:eastAsia="仿宋" w:cs="仿宋"/>
                <w:b/>
                <w:bCs/>
                <w:color w:val="auto"/>
                <w:kern w:val="2"/>
                <w:sz w:val="24"/>
                <w:szCs w:val="24"/>
                <w:lang w:val="en-US" w:eastAsia="zh-CN" w:bidi="ar-SA"/>
              </w:rPr>
              <w:t>注：应提供由第三方出具的检测报告（检测报告或与技术文件一致的彩页证明）等支持文件以证明是否满足技术要求，未提供证明材料的，视为不满足相应要求。</w:t>
            </w:r>
          </w:p>
        </w:tc>
      </w:tr>
      <w:tr w14:paraId="51FB9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06" w:type="dxa"/>
            <w:vAlign w:val="center"/>
          </w:tcPr>
          <w:p w14:paraId="1BC49205">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val="0"/>
                <w:bCs w:val="0"/>
                <w:color w:val="000000"/>
                <w:kern w:val="2"/>
                <w:sz w:val="24"/>
                <w:szCs w:val="24"/>
                <w:lang w:val="en-US" w:eastAsia="zh-CN" w:bidi="ar-SA"/>
              </w:rPr>
              <w:t>2</w:t>
            </w:r>
          </w:p>
        </w:tc>
        <w:tc>
          <w:tcPr>
            <w:tcW w:w="2188" w:type="dxa"/>
            <w:vAlign w:val="center"/>
          </w:tcPr>
          <w:p w14:paraId="790BC8AD">
            <w:pPr>
              <w:pStyle w:val="18"/>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kern w:val="2"/>
                <w:sz w:val="24"/>
                <w:szCs w:val="24"/>
                <w:vertAlign w:val="baseline"/>
                <w:lang w:val="en-US" w:eastAsia="zh-CN" w:bidi="ar-SA"/>
              </w:rPr>
            </w:pPr>
            <w:bookmarkStart w:id="104" w:name="_Toc22649"/>
            <w:r>
              <w:rPr>
                <w:rFonts w:hint="eastAsia" w:ascii="仿宋" w:hAnsi="仿宋" w:eastAsia="仿宋" w:cs="仿宋"/>
                <w:b w:val="0"/>
                <w:bCs w:val="0"/>
                <w:color w:val="auto"/>
                <w:sz w:val="24"/>
                <w:szCs w:val="24"/>
                <w:highlight w:val="none"/>
              </w:rPr>
              <w:t>运输、配送方案</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6分</w:t>
            </w:r>
            <w:r>
              <w:rPr>
                <w:rFonts w:hint="eastAsia" w:ascii="仿宋" w:hAnsi="仿宋" w:eastAsia="仿宋" w:cs="仿宋"/>
                <w:b w:val="0"/>
                <w:bCs w:val="0"/>
                <w:color w:val="auto"/>
                <w:sz w:val="24"/>
                <w:szCs w:val="24"/>
                <w:highlight w:val="none"/>
                <w:lang w:eastAsia="zh-CN"/>
              </w:rPr>
              <w:t>）</w:t>
            </w:r>
            <w:bookmarkEnd w:id="104"/>
          </w:p>
        </w:tc>
        <w:tc>
          <w:tcPr>
            <w:tcW w:w="6209" w:type="dxa"/>
            <w:vAlign w:val="center"/>
          </w:tcPr>
          <w:p w14:paraId="3AAA6294">
            <w:pPr>
              <w:widowControl/>
              <w:jc w:val="left"/>
              <w:textAlignment w:val="center"/>
              <w:rPr>
                <w:rFonts w:hint="eastAsia" w:ascii="仿宋" w:hAnsi="仿宋" w:eastAsia="仿宋" w:cs="仿宋"/>
                <w:sz w:val="24"/>
                <w:szCs w:val="24"/>
              </w:rPr>
            </w:pPr>
            <w:r>
              <w:rPr>
                <w:rFonts w:hint="eastAsia" w:ascii="仿宋" w:hAnsi="仿宋" w:eastAsia="仿宋" w:cs="仿宋"/>
                <w:sz w:val="24"/>
                <w:szCs w:val="24"/>
              </w:rPr>
              <w:t>方案设计合理、人员配备及安排、进度计划及保证措施合理、安装调试程序、措施得当，培训方案到位的</w:t>
            </w:r>
            <w:r>
              <w:rPr>
                <w:rFonts w:hint="eastAsia" w:ascii="仿宋" w:hAnsi="仿宋" w:eastAsia="仿宋" w:cs="仿宋"/>
                <w:sz w:val="24"/>
                <w:szCs w:val="24"/>
                <w:lang w:val="en-US" w:eastAsia="zh-CN"/>
              </w:rPr>
              <w:t>得6</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有缺漏项，欠合理的，每处扣</w:t>
            </w:r>
            <w:r>
              <w:rPr>
                <w:rFonts w:hint="eastAsia" w:ascii="仿宋" w:hAnsi="仿宋" w:eastAsia="仿宋" w:cs="仿宋"/>
                <w:sz w:val="24"/>
                <w:szCs w:val="24"/>
                <w:lang w:val="en-US" w:eastAsia="zh-CN"/>
              </w:rPr>
              <w:t>1</w:t>
            </w:r>
            <w:r>
              <w:rPr>
                <w:rFonts w:hint="eastAsia" w:ascii="仿宋" w:hAnsi="仿宋" w:eastAsia="仿宋" w:cs="仿宋"/>
                <w:sz w:val="24"/>
                <w:szCs w:val="24"/>
              </w:rPr>
              <w:t>分，扣完为止。</w:t>
            </w:r>
          </w:p>
          <w:p w14:paraId="46DCBB09">
            <w:pPr>
              <w:widowControl/>
              <w:jc w:val="left"/>
              <w:textAlignment w:val="center"/>
              <w:rPr>
                <w:rFonts w:hint="eastAsia" w:ascii="仿宋" w:hAnsi="仿宋" w:eastAsia="仿宋" w:cs="仿宋"/>
                <w:kern w:val="2"/>
                <w:sz w:val="24"/>
                <w:szCs w:val="24"/>
                <w:vertAlign w:val="baseline"/>
                <w:lang w:val="en-US" w:eastAsia="zh-CN" w:bidi="ar-SA"/>
              </w:rPr>
            </w:pPr>
            <w:r>
              <w:rPr>
                <w:rFonts w:hint="eastAsia" w:ascii="仿宋" w:hAnsi="仿宋" w:eastAsia="仿宋" w:cs="仿宋"/>
                <w:b/>
                <w:bCs/>
                <w:sz w:val="24"/>
                <w:szCs w:val="24"/>
                <w:lang w:val="en-US" w:eastAsia="zh-CN"/>
              </w:rPr>
              <w:t>注：</w:t>
            </w:r>
            <w:r>
              <w:rPr>
                <w:rFonts w:hint="eastAsia" w:ascii="仿宋" w:hAnsi="仿宋" w:eastAsia="仿宋" w:cs="仿宋"/>
                <w:b/>
                <w:bCs/>
                <w:kern w:val="0"/>
                <w:sz w:val="24"/>
                <w:szCs w:val="24"/>
                <w:lang w:bidi="ar"/>
              </w:rPr>
              <w:t>供应商提供针对本项目的配送方案包括：安全管理制度</w:t>
            </w:r>
            <w:r>
              <w:rPr>
                <w:rFonts w:hint="eastAsia" w:ascii="仿宋" w:hAnsi="仿宋" w:eastAsia="仿宋" w:cs="仿宋"/>
                <w:b/>
                <w:bCs/>
                <w:kern w:val="0"/>
                <w:sz w:val="24"/>
                <w:szCs w:val="24"/>
                <w:lang w:eastAsia="zh-CN" w:bidi="ar"/>
              </w:rPr>
              <w:t>、</w:t>
            </w:r>
            <w:r>
              <w:rPr>
                <w:rFonts w:hint="eastAsia" w:ascii="仿宋" w:hAnsi="仿宋" w:eastAsia="仿宋" w:cs="仿宋"/>
                <w:b/>
                <w:bCs/>
                <w:kern w:val="0"/>
                <w:sz w:val="24"/>
                <w:szCs w:val="24"/>
                <w:lang w:bidi="ar"/>
              </w:rPr>
              <w:t>配送服务计划和措施</w:t>
            </w:r>
            <w:r>
              <w:rPr>
                <w:rFonts w:hint="eastAsia" w:ascii="仿宋" w:hAnsi="仿宋" w:eastAsia="仿宋" w:cs="仿宋"/>
                <w:b/>
                <w:bCs/>
                <w:kern w:val="0"/>
                <w:sz w:val="24"/>
                <w:szCs w:val="24"/>
                <w:lang w:eastAsia="zh-CN" w:bidi="ar"/>
              </w:rPr>
              <w:t>；</w:t>
            </w:r>
            <w:r>
              <w:rPr>
                <w:rFonts w:hint="eastAsia" w:ascii="仿宋" w:hAnsi="仿宋" w:eastAsia="仿宋" w:cs="仿宋"/>
                <w:b/>
                <w:bCs/>
                <w:kern w:val="0"/>
                <w:sz w:val="24"/>
                <w:szCs w:val="24"/>
                <w:lang w:bidi="ar"/>
              </w:rPr>
              <w:t>自然灾害、交通意外等情况下的应急预案；确保产品</w:t>
            </w:r>
            <w:r>
              <w:rPr>
                <w:rFonts w:hint="eastAsia" w:ascii="仿宋" w:hAnsi="仿宋" w:eastAsia="仿宋" w:cs="仿宋"/>
                <w:b/>
                <w:bCs/>
                <w:kern w:val="0"/>
                <w:sz w:val="24"/>
                <w:szCs w:val="24"/>
                <w:lang w:val="en-US" w:eastAsia="zh-CN" w:bidi="ar"/>
              </w:rPr>
              <w:t>在供货周期内</w:t>
            </w:r>
            <w:r>
              <w:rPr>
                <w:rFonts w:hint="eastAsia" w:ascii="仿宋" w:hAnsi="仿宋" w:eastAsia="仿宋" w:cs="仿宋"/>
                <w:b/>
                <w:bCs/>
                <w:kern w:val="0"/>
                <w:sz w:val="24"/>
                <w:szCs w:val="24"/>
                <w:lang w:bidi="ar"/>
              </w:rPr>
              <w:t>及时送达采购方</w:t>
            </w:r>
            <w:r>
              <w:rPr>
                <w:rFonts w:hint="eastAsia" w:ascii="仿宋" w:hAnsi="仿宋" w:eastAsia="仿宋" w:cs="仿宋"/>
                <w:b/>
                <w:bCs/>
                <w:kern w:val="0"/>
                <w:sz w:val="24"/>
                <w:szCs w:val="24"/>
                <w:lang w:eastAsia="zh-CN" w:bidi="ar"/>
              </w:rPr>
              <w:t>，</w:t>
            </w:r>
            <w:r>
              <w:rPr>
                <w:rFonts w:hint="eastAsia" w:ascii="仿宋" w:hAnsi="仿宋" w:eastAsia="仿宋" w:cs="仿宋"/>
                <w:b/>
                <w:bCs/>
                <w:kern w:val="0"/>
                <w:sz w:val="24"/>
                <w:szCs w:val="24"/>
                <w:lang w:bidi="ar"/>
              </w:rPr>
              <w:t>验收使用时间等内容承诺函</w:t>
            </w:r>
            <w:r>
              <w:rPr>
                <w:rFonts w:hint="eastAsia" w:ascii="仿宋" w:hAnsi="仿宋" w:eastAsia="仿宋" w:cs="仿宋"/>
                <w:b/>
                <w:bCs/>
                <w:kern w:val="0"/>
                <w:sz w:val="24"/>
                <w:szCs w:val="24"/>
                <w:lang w:eastAsia="zh-CN" w:bidi="ar"/>
              </w:rPr>
              <w:t>。</w:t>
            </w:r>
          </w:p>
        </w:tc>
      </w:tr>
      <w:tr w14:paraId="42A6F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06" w:type="dxa"/>
            <w:vAlign w:val="center"/>
          </w:tcPr>
          <w:p w14:paraId="7518402A">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val="0"/>
                <w:bCs w:val="0"/>
                <w:color w:val="000000"/>
                <w:kern w:val="2"/>
                <w:sz w:val="24"/>
                <w:szCs w:val="24"/>
                <w:lang w:val="en-US" w:eastAsia="zh-CN" w:bidi="ar-SA"/>
              </w:rPr>
              <w:t>3</w:t>
            </w:r>
          </w:p>
        </w:tc>
        <w:tc>
          <w:tcPr>
            <w:tcW w:w="2188" w:type="dxa"/>
            <w:vAlign w:val="center"/>
          </w:tcPr>
          <w:p w14:paraId="151BC52D">
            <w:pPr>
              <w:ind w:right="21" w:rightChars="0"/>
              <w:jc w:val="center"/>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质保</w:t>
            </w:r>
          </w:p>
          <w:p w14:paraId="1E538B3D">
            <w:pPr>
              <w:ind w:right="-20" w:rightChars="0"/>
              <w:jc w:val="center"/>
              <w:rPr>
                <w:rFonts w:hint="eastAsia" w:ascii="仿宋" w:hAnsi="仿宋" w:eastAsia="仿宋" w:cs="仿宋"/>
                <w:kern w:val="2"/>
                <w:sz w:val="24"/>
                <w:szCs w:val="24"/>
                <w:vertAlign w:val="baseline"/>
                <w:lang w:val="en-US" w:eastAsia="zh-CN" w:bidi="ar-SA"/>
              </w:rPr>
            </w:pPr>
            <w:r>
              <w:rPr>
                <w:rFonts w:hint="eastAsia" w:ascii="仿宋" w:hAnsi="仿宋" w:eastAsia="仿宋" w:cs="仿宋"/>
                <w:b w:val="0"/>
                <w:bCs w:val="0"/>
                <w:color w:val="000000"/>
                <w:kern w:val="2"/>
                <w:sz w:val="24"/>
                <w:szCs w:val="24"/>
                <w:lang w:val="en-US" w:eastAsia="zh-CN" w:bidi="ar-SA"/>
              </w:rPr>
              <w:t>期限（2分）</w:t>
            </w:r>
          </w:p>
        </w:tc>
        <w:tc>
          <w:tcPr>
            <w:tcW w:w="6209" w:type="dxa"/>
            <w:vAlign w:val="center"/>
          </w:tcPr>
          <w:p w14:paraId="56229799">
            <w:pPr>
              <w:spacing w:before="12"/>
              <w:ind w:right="100" w:rightChars="0"/>
              <w:jc w:val="both"/>
              <w:rPr>
                <w:rFonts w:hint="eastAsia" w:ascii="仿宋" w:hAnsi="仿宋" w:eastAsia="仿宋" w:cs="仿宋"/>
                <w:kern w:val="2"/>
                <w:sz w:val="24"/>
                <w:szCs w:val="24"/>
                <w:vertAlign w:val="baseline"/>
                <w:lang w:val="en-US" w:eastAsia="zh-CN" w:bidi="ar-SA"/>
              </w:rPr>
            </w:pPr>
            <w:r>
              <w:rPr>
                <w:rFonts w:hint="eastAsia" w:ascii="仿宋" w:hAnsi="仿宋" w:eastAsia="仿宋" w:cs="仿宋"/>
                <w:color w:val="auto"/>
                <w:sz w:val="24"/>
                <w:szCs w:val="24"/>
                <w:highlight w:val="none"/>
              </w:rPr>
              <w:t>质保期限承诺符合招标文件要求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满</w:t>
            </w:r>
            <w:r>
              <w:rPr>
                <w:rFonts w:hint="eastAsia" w:ascii="仿宋" w:hAnsi="仿宋" w:eastAsia="仿宋" w:cs="仿宋"/>
                <w:color w:val="auto"/>
                <w:sz w:val="24"/>
                <w:szCs w:val="24"/>
                <w:highlight w:val="none"/>
              </w:rPr>
              <w:t>分</w:t>
            </w:r>
            <w:r>
              <w:rPr>
                <w:rFonts w:hint="eastAsia" w:ascii="仿宋" w:hAnsi="仿宋" w:eastAsia="仿宋" w:cs="仿宋"/>
                <w:color w:val="auto"/>
                <w:w w:val="85"/>
                <w:sz w:val="24"/>
                <w:szCs w:val="24"/>
                <w:highlight w:val="none"/>
                <w:lang w:val="en-US" w:eastAsia="zh-CN"/>
              </w:rPr>
              <w:t>2</w:t>
            </w:r>
            <w:r>
              <w:rPr>
                <w:rFonts w:hint="eastAsia" w:ascii="仿宋" w:hAnsi="仿宋" w:eastAsia="仿宋" w:cs="仿宋"/>
                <w:color w:val="auto"/>
                <w:sz w:val="24"/>
                <w:szCs w:val="24"/>
                <w:highlight w:val="none"/>
              </w:rPr>
              <w:t>分；质保期</w:t>
            </w:r>
            <w:r>
              <w:rPr>
                <w:rFonts w:hint="eastAsia" w:ascii="仿宋" w:hAnsi="仿宋" w:eastAsia="仿宋" w:cs="仿宋"/>
                <w:color w:val="auto"/>
                <w:sz w:val="24"/>
                <w:szCs w:val="24"/>
                <w:highlight w:val="none"/>
                <w:lang w:val="en-US" w:eastAsia="zh-CN"/>
              </w:rPr>
              <w:t>少</w:t>
            </w:r>
            <w:r>
              <w:rPr>
                <w:rFonts w:hint="eastAsia" w:ascii="仿宋" w:hAnsi="仿宋" w:eastAsia="仿宋" w:cs="仿宋"/>
                <w:color w:val="auto"/>
                <w:sz w:val="24"/>
                <w:szCs w:val="24"/>
                <w:highlight w:val="none"/>
              </w:rPr>
              <w:t>于招标文件要求每</w:t>
            </w:r>
            <w:r>
              <w:rPr>
                <w:rFonts w:hint="eastAsia" w:ascii="仿宋" w:hAnsi="仿宋" w:eastAsia="仿宋" w:cs="仿宋"/>
                <w:color w:val="auto"/>
                <w:sz w:val="24"/>
                <w:szCs w:val="24"/>
                <w:highlight w:val="none"/>
                <w:lang w:val="en-US" w:eastAsia="zh-CN"/>
              </w:rPr>
              <w:t>减少半年减0.5分。</w:t>
            </w:r>
          </w:p>
        </w:tc>
      </w:tr>
      <w:tr w14:paraId="6EB4C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06" w:type="dxa"/>
            <w:vAlign w:val="center"/>
          </w:tcPr>
          <w:p w14:paraId="5757485E">
            <w:pPr>
              <w:keepNext w:val="0"/>
              <w:keepLines w:val="0"/>
              <w:pageBreakBefore w:val="0"/>
              <w:kinsoku/>
              <w:wordWrap/>
              <w:overflowPunct/>
              <w:topLinePunct w:val="0"/>
              <w:autoSpaceDE/>
              <w:autoSpaceDN/>
              <w:bidi w:val="0"/>
              <w:snapToGrid w:val="0"/>
              <w:spacing w:line="480" w:lineRule="exact"/>
              <w:jc w:val="center"/>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val="0"/>
                <w:bCs w:val="0"/>
                <w:color w:val="000000"/>
                <w:kern w:val="2"/>
                <w:sz w:val="24"/>
                <w:szCs w:val="24"/>
                <w:lang w:val="en-US" w:eastAsia="zh-CN" w:bidi="ar-SA"/>
              </w:rPr>
              <w:t>4</w:t>
            </w:r>
          </w:p>
        </w:tc>
        <w:tc>
          <w:tcPr>
            <w:tcW w:w="2188" w:type="dxa"/>
            <w:vAlign w:val="center"/>
          </w:tcPr>
          <w:p w14:paraId="1322C603">
            <w:pPr>
              <w:pStyle w:val="18"/>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2"/>
                <w:sz w:val="24"/>
                <w:szCs w:val="24"/>
                <w:vertAlign w:val="baseline"/>
                <w:lang w:val="en-US" w:eastAsia="zh-CN" w:bidi="ar-SA"/>
              </w:rPr>
            </w:pPr>
            <w:bookmarkStart w:id="105" w:name="_Toc26649"/>
            <w:r>
              <w:rPr>
                <w:rFonts w:hint="eastAsia" w:ascii="仿宋" w:hAnsi="仿宋" w:eastAsia="仿宋" w:cs="仿宋"/>
                <w:b w:val="0"/>
                <w:bCs w:val="0"/>
                <w:color w:val="000000"/>
                <w:kern w:val="2"/>
                <w:sz w:val="24"/>
                <w:szCs w:val="24"/>
                <w:lang w:val="en-US" w:eastAsia="zh-CN" w:bidi="ar-SA"/>
              </w:rPr>
              <w:t>售后服务（6分）</w:t>
            </w:r>
            <w:bookmarkEnd w:id="105"/>
          </w:p>
        </w:tc>
        <w:tc>
          <w:tcPr>
            <w:tcW w:w="6209" w:type="dxa"/>
            <w:vAlign w:val="center"/>
          </w:tcPr>
          <w:p w14:paraId="4B7F94B3">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 w:hAnsi="仿宋" w:eastAsia="仿宋" w:cs="仿宋"/>
                <w:kern w:val="2"/>
                <w:sz w:val="24"/>
                <w:szCs w:val="24"/>
                <w:vertAlign w:val="baseline"/>
                <w:lang w:val="en-US" w:eastAsia="zh-CN" w:bidi="ar-SA"/>
              </w:rPr>
            </w:pPr>
            <w:r>
              <w:rPr>
                <w:rFonts w:hint="eastAsia" w:ascii="仿宋" w:hAnsi="仿宋" w:eastAsia="仿宋" w:cs="仿宋"/>
                <w:b w:val="0"/>
                <w:bCs w:val="0"/>
                <w:color w:val="000000"/>
                <w:kern w:val="2"/>
                <w:sz w:val="24"/>
                <w:szCs w:val="24"/>
                <w:lang w:val="en-US" w:eastAsia="zh-CN" w:bidi="ar-SA"/>
              </w:rPr>
              <w:t>具有详尽的售后服务方案，包括计划、内容、响应速度等，承诺详细、具体，满足用户明确项目技术、支持人员、故障处理时限、现场服务条件及到位时间，方案全面、科学、可行性强，在新疆有稳定的售后地点和服务人员（需提供售后地点和售后服务人员的证明文件）的得6分，较为全面、科学、</w:t>
            </w:r>
            <w:r>
              <w:rPr>
                <w:rFonts w:hint="eastAsia" w:ascii="仿宋" w:hAnsi="仿宋" w:eastAsia="仿宋" w:cs="仿宋"/>
                <w:b w:val="0"/>
                <w:bCs w:val="0"/>
                <w:color w:val="000000"/>
                <w:sz w:val="24"/>
                <w:szCs w:val="24"/>
                <w:lang w:val="en-US" w:eastAsia="zh-CN"/>
              </w:rPr>
              <w:t>可行性</w:t>
            </w:r>
            <w:r>
              <w:rPr>
                <w:rFonts w:hint="eastAsia" w:ascii="仿宋" w:hAnsi="仿宋" w:eastAsia="仿宋" w:cs="仿宋"/>
                <w:b w:val="0"/>
                <w:bCs w:val="0"/>
                <w:color w:val="000000"/>
                <w:kern w:val="2"/>
                <w:sz w:val="24"/>
                <w:szCs w:val="24"/>
                <w:lang w:val="en-US" w:eastAsia="zh-CN" w:bidi="ar-SA"/>
              </w:rPr>
              <w:t>一般得3分；不全面的不得分。</w:t>
            </w:r>
          </w:p>
        </w:tc>
      </w:tr>
      <w:tr w14:paraId="6CA4B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jc w:val="center"/>
        </w:trPr>
        <w:tc>
          <w:tcPr>
            <w:tcW w:w="706" w:type="dxa"/>
            <w:vAlign w:val="center"/>
          </w:tcPr>
          <w:p w14:paraId="6909AC80">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2188" w:type="dxa"/>
            <w:vAlign w:val="center"/>
          </w:tcPr>
          <w:p w14:paraId="1C18F00F">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质量保证措施（4 分）</w:t>
            </w:r>
          </w:p>
        </w:tc>
        <w:tc>
          <w:tcPr>
            <w:tcW w:w="6209" w:type="dxa"/>
            <w:vAlign w:val="center"/>
          </w:tcPr>
          <w:p w14:paraId="0B9250D3">
            <w:pPr>
              <w:keepNext w:val="0"/>
              <w:keepLines w:val="0"/>
              <w:pageBreakBefore w:val="0"/>
              <w:widowControl w:val="0"/>
              <w:kinsoku/>
              <w:wordWrap/>
              <w:overflowPunct/>
              <w:topLinePunct w:val="0"/>
              <w:autoSpaceDE/>
              <w:autoSpaceDN/>
              <w:bidi w:val="0"/>
              <w:adjustRightInd/>
              <w:spacing w:line="300" w:lineRule="exact"/>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质量保障措施包括：①货物质量保证措施；②检验、试验质量保障措施；③包装、运输质量保障措施；④交货质量保障措施。 以上方案每项得 1 分，缺项不得分。每有一处存在缺陷扣 0.5 分（缺陷是指：存在不适用项目实际情况的情形、凭空编造、 内容前后不一致、前后逻辑错误、涉及的规范及标准错误、地 点区域错误、内容缺失、不符合采购需求等）（满分 4 分）</w:t>
            </w:r>
          </w:p>
        </w:tc>
      </w:tr>
      <w:tr w14:paraId="406B8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jc w:val="center"/>
        </w:trPr>
        <w:tc>
          <w:tcPr>
            <w:tcW w:w="706" w:type="dxa"/>
            <w:vAlign w:val="center"/>
          </w:tcPr>
          <w:p w14:paraId="005F4A7D">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2188" w:type="dxa"/>
            <w:vAlign w:val="center"/>
          </w:tcPr>
          <w:p w14:paraId="2E6025FE">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零配件保障（4分）</w:t>
            </w:r>
          </w:p>
        </w:tc>
        <w:tc>
          <w:tcPr>
            <w:tcW w:w="6209" w:type="dxa"/>
            <w:vAlign w:val="center"/>
          </w:tcPr>
          <w:p w14:paraId="04718842">
            <w:pPr>
              <w:keepNext w:val="0"/>
              <w:keepLines w:val="0"/>
              <w:pageBreakBefore w:val="0"/>
              <w:widowControl w:val="0"/>
              <w:kinsoku/>
              <w:wordWrap/>
              <w:overflowPunct/>
              <w:topLinePunct w:val="0"/>
              <w:autoSpaceDE/>
              <w:autoSpaceDN/>
              <w:bidi w:val="0"/>
              <w:adjustRightInd/>
              <w:spacing w:line="300" w:lineRule="exact"/>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零配件保障包括：①需要更换设备的零配件情况；②备件情况； ③生产年限（如提供的备品备件生产时间早于设备生产时间， 视为无效零配件）； ④零配件质量承诺。 以上方案每项得 1 分，缺项不得分。每有一处存在缺陷扣 0.5 分（缺陷是指：存在不适用项目实际情况的情形、凭空编造、内容前后不一致、 前后逻辑错误、涉及的规范及标准错误、地点区域错误、内容 缺失、不符合采购需求等）（满分 4 分）</w:t>
            </w:r>
          </w:p>
        </w:tc>
      </w:tr>
      <w:tr w14:paraId="707D4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jc w:val="center"/>
        </w:trPr>
        <w:tc>
          <w:tcPr>
            <w:tcW w:w="706" w:type="dxa"/>
            <w:vAlign w:val="center"/>
          </w:tcPr>
          <w:p w14:paraId="3427B0DD">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2188" w:type="dxa"/>
            <w:vAlign w:val="center"/>
          </w:tcPr>
          <w:p w14:paraId="166AC296">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业绩（4分）</w:t>
            </w:r>
          </w:p>
        </w:tc>
        <w:tc>
          <w:tcPr>
            <w:tcW w:w="6209" w:type="dxa"/>
            <w:vAlign w:val="center"/>
          </w:tcPr>
          <w:p w14:paraId="72BA68E9">
            <w:pPr>
              <w:keepNext w:val="0"/>
              <w:keepLines w:val="0"/>
              <w:pageBreakBefore w:val="0"/>
              <w:widowControl w:val="0"/>
              <w:kinsoku/>
              <w:wordWrap/>
              <w:overflowPunct/>
              <w:topLinePunct w:val="0"/>
              <w:autoSpaceDE/>
              <w:autoSpaceDN/>
              <w:bidi w:val="0"/>
              <w:adjustRightInd/>
              <w:spacing w:line="3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lang w:val="en-US" w:eastAsia="zh-CN"/>
              </w:rPr>
              <w:t>近三年内（从投标截至时间往前推算）每有一项同类业绩的得1分，最多得4分(须提供合同或中标通知书，否则不得分）。</w:t>
            </w:r>
          </w:p>
        </w:tc>
      </w:tr>
      <w:tr w14:paraId="0F255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9103" w:type="dxa"/>
            <w:gridSpan w:val="3"/>
            <w:vAlign w:val="center"/>
          </w:tcPr>
          <w:p w14:paraId="44F9AEE5">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投标报价（30分）</w:t>
            </w:r>
          </w:p>
        </w:tc>
      </w:tr>
      <w:tr w14:paraId="626C4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06" w:type="dxa"/>
            <w:vAlign w:val="center"/>
          </w:tcPr>
          <w:p w14:paraId="3CBDD883">
            <w:pPr>
              <w:keepNext w:val="0"/>
              <w:keepLines w:val="0"/>
              <w:pageBreakBefore w:val="0"/>
              <w:kinsoku/>
              <w:wordWrap/>
              <w:overflowPunct/>
              <w:topLinePunct w:val="0"/>
              <w:autoSpaceDE/>
              <w:autoSpaceDN/>
              <w:bidi w:val="0"/>
              <w:snapToGrid w:val="0"/>
              <w:spacing w:line="480" w:lineRule="exact"/>
              <w:jc w:val="center"/>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1</w:t>
            </w:r>
          </w:p>
        </w:tc>
        <w:tc>
          <w:tcPr>
            <w:tcW w:w="2188" w:type="dxa"/>
            <w:vAlign w:val="center"/>
          </w:tcPr>
          <w:p w14:paraId="44C0EBE7">
            <w:pPr>
              <w:pStyle w:val="18"/>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 w:hAnsi="仿宋" w:eastAsia="仿宋" w:cs="仿宋"/>
                <w:b w:val="0"/>
                <w:bCs w:val="0"/>
                <w:color w:val="000000"/>
                <w:sz w:val="24"/>
                <w:szCs w:val="24"/>
                <w:vertAlign w:val="baseline"/>
                <w:lang w:val="en-US" w:eastAsia="zh-CN"/>
              </w:rPr>
            </w:pPr>
            <w:bookmarkStart w:id="106" w:name="_Toc14002"/>
            <w:r>
              <w:rPr>
                <w:rFonts w:hint="eastAsia" w:ascii="仿宋" w:hAnsi="仿宋" w:eastAsia="仿宋" w:cs="仿宋"/>
                <w:b w:val="0"/>
                <w:bCs w:val="0"/>
                <w:color w:val="auto"/>
                <w:sz w:val="24"/>
                <w:szCs w:val="24"/>
                <w:highlight w:val="none"/>
                <w:lang w:val="en-US" w:eastAsia="zh-CN"/>
              </w:rPr>
              <w:t>投标报价(30分)</w:t>
            </w:r>
            <w:bookmarkEnd w:id="106"/>
          </w:p>
        </w:tc>
        <w:tc>
          <w:tcPr>
            <w:tcW w:w="6209" w:type="dxa"/>
            <w:vAlign w:val="center"/>
          </w:tcPr>
          <w:p w14:paraId="13200FDA">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color w:val="auto"/>
                <w:sz w:val="24"/>
                <w:szCs w:val="24"/>
                <w:highlight w:val="none"/>
                <w:lang w:val="en-US" w:eastAsia="zh-CN"/>
              </w:rPr>
              <w:t>在满足招标文件要求的前提下，取各投标人有效报价的最低投标报价（投标单价合计）作为评标基准价,满分为30分；价格分的计算投标报价得分=(评标基准价／投标报价)×30。（计算分值时，百分比按四舍五入原则，保留小数点后二位数）</w:t>
            </w:r>
          </w:p>
        </w:tc>
      </w:tr>
    </w:tbl>
    <w:p w14:paraId="07898273">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p>
    <w:p w14:paraId="4813D9E0">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p>
    <w:p w14:paraId="79464E0F">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1、根据《政府采购服务和服务招投标管理办法》第87号令第六十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C307852">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2、供应商在评标过程中，所进行的力图影响评标结果的不符合招标规则的活动，可能导致其被取消中标资格。</w:t>
      </w:r>
    </w:p>
    <w:p w14:paraId="7ECD67CA">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3、与招标文件有重大偏离的投标文件将被拒绝。</w:t>
      </w:r>
    </w:p>
    <w:p w14:paraId="3D1490DD">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附：对于商务部分（投标报价）的评分，按以下方法进行：价格分统一采用低价优先法计算，即满足招标文件要求且评标价格最低的报价为评标基准价，其价格分为满分。其他投标人的价格分统一按照下列公式计算：报价得分=(评标基准价／评标价格)×30%×100。</w:t>
      </w:r>
    </w:p>
    <w:bookmarkEnd w:id="100"/>
    <w:bookmarkEnd w:id="101"/>
    <w:p w14:paraId="264F936E">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各评标委员会成员对每个投标人的上述指标的打分（除报价外）的算术平均分，加上经计算的报价得分，即为该投标人的最终综合评估分。评标委员会将按投标人得分顺序由高到低依次排名，得分相同的，按投标报价由低到高顺序排列。得分及报价相同的，按技术指标优劣顺序排列。得分最高的前一名至前三名投标人将成为中标候选人。</w:t>
      </w:r>
    </w:p>
    <w:p w14:paraId="667BBD99">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5、最低报价不作为评标的唯一依据。采购人不承诺将合同授予报价最低的投标人。</w:t>
      </w:r>
    </w:p>
    <w:p w14:paraId="21F21F09">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6、经评标委员会评议，认为投标报价过高、超出采购人预算的项目，可以不确立中标人，做为废标处理。</w:t>
      </w:r>
    </w:p>
    <w:bookmarkEnd w:id="89"/>
    <w:p w14:paraId="39E8967C">
      <w:pPr>
        <w:shd w:val="clear" w:color="auto" w:fill="auto"/>
        <w:snapToGrid w:val="0"/>
        <w:spacing w:line="40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12.</w:t>
      </w:r>
      <w:r>
        <w:rPr>
          <w:rFonts w:hint="eastAsia" w:ascii="仿宋" w:hAnsi="仿宋" w:eastAsia="仿宋" w:cs="仿宋"/>
          <w:b/>
          <w:color w:val="auto"/>
          <w:sz w:val="24"/>
          <w:szCs w:val="24"/>
          <w:highlight w:val="none"/>
        </w:rPr>
        <w:t>无效投标条款</w:t>
      </w:r>
    </w:p>
    <w:p w14:paraId="6BA02190">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.1投标文件有下列情形之一的,其投标文件拒收:</w:t>
      </w:r>
    </w:p>
    <w:p w14:paraId="3839D588">
      <w:pPr>
        <w:shd w:val="clear" w:color="auto" w:fill="auto"/>
        <w:snapToGrid w:val="0"/>
        <w:spacing w:line="400" w:lineRule="exact"/>
        <w:ind w:firstLine="480" w:firstLineChars="200"/>
        <w:jc w:val="left"/>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未在开标截止时间前通过网上招标投标系统递交有效电子投标文件的，开标系统不予接收。</w:t>
      </w:r>
    </w:p>
    <w:p w14:paraId="3CC1A9CF">
      <w:pPr>
        <w:shd w:val="clear" w:color="auto" w:fill="auto"/>
        <w:snapToGrid w:val="0"/>
        <w:spacing w:line="400" w:lineRule="exact"/>
        <w:ind w:firstLine="480" w:firstLineChars="200"/>
        <w:jc w:val="left"/>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color w:val="auto"/>
          <w:sz w:val="24"/>
          <w:szCs w:val="24"/>
          <w:highlight w:val="none"/>
        </w:rPr>
        <w:t>所有投标人应在规定时间里完成投标文件的解密工作</w:t>
      </w:r>
      <w:r>
        <w:rPr>
          <w:rFonts w:hint="eastAsia" w:ascii="仿宋" w:hAnsi="仿宋" w:eastAsia="仿宋" w:cs="仿宋"/>
          <w:b/>
          <w:bCs/>
          <w:color w:val="auto"/>
          <w:sz w:val="24"/>
          <w:szCs w:val="24"/>
          <w:highlight w:val="none"/>
        </w:rPr>
        <w:t>【投标人</w:t>
      </w:r>
      <w:r>
        <w:rPr>
          <w:rFonts w:hint="eastAsia" w:ascii="仿宋" w:hAnsi="仿宋" w:eastAsia="仿宋" w:cs="仿宋"/>
          <w:b/>
          <w:bCs/>
          <w:color w:val="auto"/>
          <w:sz w:val="24"/>
          <w:szCs w:val="24"/>
          <w:highlight w:val="none"/>
          <w:lang w:eastAsia="zh-CN"/>
        </w:rPr>
        <w:t>使用</w:t>
      </w:r>
      <w:r>
        <w:rPr>
          <w:rFonts w:hint="eastAsia" w:ascii="仿宋" w:hAnsi="仿宋" w:eastAsia="仿宋" w:cs="仿宋"/>
          <w:b/>
          <w:bCs/>
          <w:color w:val="auto"/>
          <w:sz w:val="24"/>
          <w:szCs w:val="24"/>
          <w:highlight w:val="none"/>
        </w:rPr>
        <w:t>其有效加密锁（CA锁）</w:t>
      </w:r>
      <w:r>
        <w:rPr>
          <w:rFonts w:hint="eastAsia" w:ascii="仿宋" w:hAnsi="仿宋" w:eastAsia="仿宋" w:cs="仿宋"/>
          <w:b/>
          <w:bCs/>
          <w:color w:val="auto"/>
          <w:sz w:val="24"/>
          <w:szCs w:val="24"/>
          <w:highlight w:val="none"/>
          <w:lang w:eastAsia="zh-CN"/>
        </w:rPr>
        <w:t>进行</w:t>
      </w:r>
      <w:r>
        <w:rPr>
          <w:rFonts w:hint="eastAsia" w:ascii="仿宋" w:hAnsi="仿宋" w:eastAsia="仿宋" w:cs="仿宋"/>
          <w:b/>
          <w:bCs/>
          <w:color w:val="auto"/>
          <w:sz w:val="24"/>
          <w:szCs w:val="24"/>
          <w:highlight w:val="none"/>
        </w:rPr>
        <w:t>解密（因投标人原因未能提供有效CA锁对其投标文件进行解密的，其投标文件按无效标处理），以网上招投标系统解密倒计时为准】</w:t>
      </w:r>
      <w:r>
        <w:rPr>
          <w:rFonts w:hint="eastAsia" w:ascii="仿宋" w:hAnsi="仿宋" w:eastAsia="仿宋" w:cs="仿宋"/>
          <w:b/>
          <w:color w:val="auto"/>
          <w:sz w:val="24"/>
          <w:szCs w:val="24"/>
          <w:highlight w:val="none"/>
        </w:rPr>
        <w:t>，因系统原因未能成功解密的投标文件，可导入</w:t>
      </w:r>
      <w:r>
        <w:rPr>
          <w:rFonts w:hint="eastAsia" w:ascii="仿宋" w:hAnsi="仿宋" w:eastAsia="仿宋" w:cs="仿宋"/>
          <w:b/>
          <w:color w:val="auto"/>
          <w:sz w:val="24"/>
          <w:szCs w:val="24"/>
          <w:highlight w:val="none"/>
          <w:lang w:eastAsia="zh-CN"/>
        </w:rPr>
        <w:t>备份投标文件</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eastAsia="zh-CN"/>
        </w:rPr>
        <w:t>备份投标文件</w:t>
      </w:r>
      <w:r>
        <w:rPr>
          <w:rFonts w:hint="eastAsia" w:ascii="仿宋" w:hAnsi="仿宋" w:eastAsia="仿宋" w:cs="仿宋"/>
          <w:b/>
          <w:color w:val="auto"/>
          <w:sz w:val="24"/>
          <w:szCs w:val="24"/>
          <w:highlight w:val="none"/>
        </w:rPr>
        <w:t>也无法导入的，则投标文件被否决。</w:t>
      </w:r>
    </w:p>
    <w:p w14:paraId="249B1819">
      <w:pPr>
        <w:shd w:val="clear" w:color="auto" w:fill="auto"/>
        <w:snapToGrid w:val="0"/>
        <w:spacing w:line="40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.2投标人有下列情形之一的,资格审查后其投标作无效投标处理：</w:t>
      </w:r>
    </w:p>
    <w:p w14:paraId="6185391F">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(1)法定代表人参加开标会议未携带有效的法定代表人身份证明原件和本人身份证的；委托代理人参加开标会议未携带有效的法定代表人授权书和本人身份证；</w:t>
      </w:r>
    </w:p>
    <w:p w14:paraId="54E2D0A8">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(2)投标人为本项目提供招标代理服务的；</w:t>
      </w:r>
    </w:p>
    <w:p w14:paraId="7AAA7FC7">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(3)投标人与在本项目代理机构存在相互任职或工作的；</w:t>
      </w:r>
    </w:p>
    <w:p w14:paraId="6E893AA5">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(4)投标保证金未按规定要求缴纳的；</w:t>
      </w:r>
    </w:p>
    <w:p w14:paraId="45D0769A">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b w:val="0"/>
          <w:bCs w:val="0"/>
          <w:color w:val="auto"/>
          <w:sz w:val="24"/>
          <w:szCs w:val="24"/>
          <w:highlight w:val="none"/>
        </w:rPr>
        <w:t>评标专家无法查看并检验电子标书中相关资料的；</w:t>
      </w:r>
    </w:p>
    <w:p w14:paraId="3272E890">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(6)投标人超出营业范围投标的；</w:t>
      </w:r>
    </w:p>
    <w:p w14:paraId="365BCAF1">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(7)联合体投标未提交联合体协议的；</w:t>
      </w:r>
    </w:p>
    <w:p w14:paraId="66506AE5">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(8)被暂停营业的；</w:t>
      </w:r>
    </w:p>
    <w:p w14:paraId="3ED026CB">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(9)被暂停或取消投标资格的；</w:t>
      </w:r>
    </w:p>
    <w:p w14:paraId="2943C113">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(10)财产被接管或冻结的；</w:t>
      </w:r>
    </w:p>
    <w:p w14:paraId="2C55F8FC">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(11)投标人单位负责人为同一人或者存在控股、管理关系的不同单位的；</w:t>
      </w:r>
    </w:p>
    <w:p w14:paraId="2747D5E0">
      <w:pPr>
        <w:shd w:val="clear" w:color="auto" w:fill="auto"/>
        <w:snapToGrid w:val="0"/>
        <w:spacing w:line="400" w:lineRule="exact"/>
        <w:ind w:firstLine="360" w:firstLineChars="15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投标人基本资格条件和特定资格条件中有一项及以上不符合要求的；</w:t>
      </w:r>
    </w:p>
    <w:p w14:paraId="47C533D4">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（13）投标人使用相同的MAC地址进行报名的；</w:t>
      </w:r>
    </w:p>
    <w:p w14:paraId="5F1EA75B">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（14）其它情形，经评标委员会委提出按无效投标处理，并经公共资源交易监督部门核准的；</w:t>
      </w:r>
    </w:p>
    <w:p w14:paraId="59ED028B">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（15）投标人使用相同IP地址报名的，一经发现，监管部门将进一步核实，查实后按串通投标处理；</w:t>
      </w:r>
    </w:p>
    <w:p w14:paraId="2B0561BF">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规定的其它无效投标情形。</w:t>
      </w:r>
    </w:p>
    <w:p w14:paraId="31D808E6">
      <w:pPr>
        <w:shd w:val="clear" w:color="auto" w:fill="auto"/>
        <w:snapToGrid w:val="0"/>
        <w:spacing w:line="400" w:lineRule="exact"/>
        <w:ind w:firstLine="480" w:firstLineChars="200"/>
        <w:jc w:val="left"/>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12</w:t>
      </w:r>
      <w:r>
        <w:rPr>
          <w:rFonts w:hint="eastAsia" w:ascii="仿宋" w:hAnsi="仿宋" w:eastAsia="仿宋" w:cs="仿宋"/>
          <w:b/>
          <w:bCs/>
          <w:color w:val="auto"/>
          <w:sz w:val="24"/>
          <w:szCs w:val="24"/>
          <w:highlight w:val="none"/>
        </w:rPr>
        <w:t>.3 投标人有下列情形之一的,符合性审查后其投标按无效投标处理：</w:t>
      </w:r>
    </w:p>
    <w:p w14:paraId="512A370C">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(1)投标文件签字、盖章不全，经评标委员会一致认定对开评标内容有实质性影响并经监督部门核准的；</w:t>
      </w:r>
    </w:p>
    <w:p w14:paraId="13B549E0">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)未按规定的格式填写，实质性内容不全或关键字迹模糊、无法辨认; 经监督部门核准的；</w:t>
      </w:r>
    </w:p>
    <w:p w14:paraId="6300C012">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)同一投标人提交两个以上不同的投标文件或者投标报价，但</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规定提交备选方案的除外；</w:t>
      </w:r>
    </w:p>
    <w:p w14:paraId="1356830A">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rPr>
        <w:t>)投标文件没有对</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的实质性要求和条件作出响应;</w:t>
      </w:r>
    </w:p>
    <w:p w14:paraId="12C364B2">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rPr>
        <w:t>)投标报价超出规定的投标限价或公布的采购预算的；注：投标人的投标报价各项单价均不得高于</w:t>
      </w:r>
      <w:r>
        <w:rPr>
          <w:rFonts w:hint="eastAsia" w:ascii="仿宋" w:hAnsi="仿宋" w:eastAsia="仿宋" w:cs="仿宋"/>
          <w:b/>
          <w:bCs/>
          <w:color w:val="auto"/>
          <w:sz w:val="24"/>
          <w:szCs w:val="24"/>
          <w:highlight w:val="none"/>
          <w:lang w:eastAsia="zh-CN"/>
        </w:rPr>
        <w:t>招标文件</w:t>
      </w:r>
      <w:r>
        <w:rPr>
          <w:rFonts w:hint="eastAsia" w:ascii="仿宋" w:hAnsi="仿宋" w:eastAsia="仿宋" w:cs="仿宋"/>
          <w:b/>
          <w:bCs/>
          <w:color w:val="auto"/>
          <w:sz w:val="24"/>
          <w:szCs w:val="24"/>
          <w:highlight w:val="none"/>
        </w:rPr>
        <w:t>给定的单价最高限价，否则，其投标文件将按无效投标处理。</w:t>
      </w:r>
    </w:p>
    <w:p w14:paraId="646F6FDB">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rPr>
        <w:t>)不按评标委员会要求澄清、说明或补正的，或者评标委员会根据</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的规定对</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的计算错误进行修正后，投标人不接受修正的投标报价的。</w:t>
      </w:r>
    </w:p>
    <w:p w14:paraId="5336B7B4">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）其它情形，经评标委员会委提出按无效投标处理，并经公共资源交易监督部门核准的；</w:t>
      </w:r>
    </w:p>
    <w:p w14:paraId="50EE3760">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）未按照</w:t>
      </w:r>
      <w:r>
        <w:rPr>
          <w:rFonts w:hint="eastAsia" w:ascii="仿宋" w:hAnsi="仿宋" w:eastAsia="仿宋" w:cs="仿宋"/>
          <w:b/>
          <w:bCs/>
          <w:color w:val="auto"/>
          <w:sz w:val="24"/>
          <w:szCs w:val="24"/>
          <w:highlight w:val="none"/>
          <w:lang w:eastAsia="zh-CN"/>
        </w:rPr>
        <w:t>招标文件</w:t>
      </w:r>
      <w:r>
        <w:rPr>
          <w:rFonts w:hint="eastAsia" w:ascii="仿宋" w:hAnsi="仿宋" w:eastAsia="仿宋" w:cs="仿宋"/>
          <w:b/>
          <w:bCs/>
          <w:color w:val="auto"/>
          <w:sz w:val="24"/>
          <w:szCs w:val="24"/>
          <w:highlight w:val="none"/>
        </w:rPr>
        <w:t>的规定提交投标保证金的；</w:t>
      </w:r>
    </w:p>
    <w:p w14:paraId="34288F4F">
      <w:pPr>
        <w:shd w:val="clear" w:color="auto" w:fill="auto"/>
        <w:snapToGrid w:val="0"/>
        <w:spacing w:line="400" w:lineRule="exact"/>
        <w:ind w:firstLine="480"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9</w:t>
      </w:r>
      <w:r>
        <w:rPr>
          <w:rFonts w:hint="eastAsia" w:ascii="仿宋" w:hAnsi="仿宋" w:eastAsia="仿宋" w:cs="仿宋"/>
          <w:b/>
          <w:bCs/>
          <w:color w:val="auto"/>
          <w:sz w:val="24"/>
          <w:szCs w:val="24"/>
          <w:highlight w:val="none"/>
        </w:rPr>
        <w:t>）投标文件含有采购人不能接受的附加条件的;</w:t>
      </w:r>
    </w:p>
    <w:p w14:paraId="6106FCD7">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规定的其它无效投标情形。</w:t>
      </w:r>
    </w:p>
    <w:p w14:paraId="16777B84">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.4 投标人有下列情形之一的, 详细评审后其投标按无效投标处理：</w:t>
      </w:r>
    </w:p>
    <w:p w14:paraId="740BA53F">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投标产品不符合必须强制执行的国家标准的；</w:t>
      </w:r>
    </w:p>
    <w:p w14:paraId="13E15236">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投标人有串通投标、弄虚作假、行贿等违法行为；</w:t>
      </w:r>
    </w:p>
    <w:p w14:paraId="616092B2">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投标文件含有违反国家法律、法规的内容，或附有招标人不能接受的条件的；</w:t>
      </w:r>
    </w:p>
    <w:p w14:paraId="60741178">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在同一项目（或同一标段）中有多个投标人有效投标报价接近最高限价，且评标委员会认为报价出现异常的，可以宣布其投标无效；</w:t>
      </w:r>
    </w:p>
    <w:p w14:paraId="60EA2196">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（5）报价明显低于其他投标人，且不能证明报价合理性的投标无效；</w:t>
      </w:r>
    </w:p>
    <w:p w14:paraId="3540088C">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（6）拒不确认评标委员会评审修正的投标无效；</w:t>
      </w:r>
    </w:p>
    <w:p w14:paraId="439FFF00">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（7）其它情形，经评标委员会委提出按无效投标处理，并经公共资源交易监督部门核准的；</w:t>
      </w:r>
    </w:p>
    <w:p w14:paraId="4B435863">
      <w:pPr>
        <w:shd w:val="clear" w:color="auto" w:fill="auto"/>
        <w:snapToGrid w:val="0"/>
        <w:spacing w:line="40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规定的其它无效投标情形。</w:t>
      </w:r>
    </w:p>
    <w:bookmarkEnd w:id="90"/>
    <w:p w14:paraId="537D1467">
      <w:pPr>
        <w:pStyle w:val="19"/>
        <w:ind w:left="0" w:leftChars="0" w:firstLine="0" w:firstLineChars="0"/>
        <w:rPr>
          <w:rFonts w:hint="eastAsia"/>
          <w:color w:val="auto"/>
          <w:highlight w:val="none"/>
        </w:rPr>
        <w:sectPr>
          <w:footerReference r:id="rId7" w:type="first"/>
          <w:footerReference r:id="rId6" w:type="default"/>
          <w:pgSz w:w="11906" w:h="16838"/>
          <w:pgMar w:top="1440" w:right="1080" w:bottom="1440" w:left="1080" w:header="851" w:footer="851" w:gutter="0"/>
          <w:pgNumType w:fmt="numberInDash" w:start="1"/>
          <w:cols w:space="720" w:num="1"/>
          <w:titlePg/>
          <w:docGrid w:type="linesAndChars" w:linePitch="312" w:charSpace="0"/>
        </w:sectPr>
      </w:pPr>
    </w:p>
    <w:p w14:paraId="2F7F48C4">
      <w:pPr>
        <w:pStyle w:val="18"/>
        <w:numPr>
          <w:ilvl w:val="0"/>
          <w:numId w:val="5"/>
        </w:numPr>
        <w:ind w:left="0" w:leftChars="0" w:firstLine="0" w:firstLineChars="0"/>
        <w:jc w:val="center"/>
        <w:outlineLvl w:val="0"/>
        <w:rPr>
          <w:rFonts w:hint="eastAsia" w:ascii="仿宋" w:hAnsi="仿宋" w:eastAsia="仿宋" w:cs="仿宋"/>
          <w:color w:val="auto"/>
          <w:sz w:val="36"/>
          <w:highlight w:val="none"/>
        </w:rPr>
      </w:pPr>
      <w:bookmarkStart w:id="107" w:name="_Toc10919"/>
      <w:bookmarkStart w:id="108" w:name="_Toc10924"/>
      <w:r>
        <w:rPr>
          <w:rFonts w:hint="eastAsia" w:ascii="仿宋" w:hAnsi="仿宋" w:eastAsia="仿宋" w:cs="仿宋"/>
          <w:color w:val="auto"/>
          <w:sz w:val="36"/>
          <w:highlight w:val="none"/>
        </w:rPr>
        <w:t>招标内容</w:t>
      </w:r>
      <w:bookmarkEnd w:id="107"/>
      <w:r>
        <w:rPr>
          <w:rFonts w:hint="eastAsia" w:ascii="仿宋" w:hAnsi="仿宋" w:eastAsia="仿宋" w:cs="仿宋"/>
          <w:color w:val="auto"/>
          <w:sz w:val="36"/>
          <w:highlight w:val="none"/>
          <w:lang w:val="en-US" w:eastAsia="zh-CN"/>
        </w:rPr>
        <w:t>及技术要求</w:t>
      </w:r>
      <w:bookmarkEnd w:id="108"/>
    </w:p>
    <w:p w14:paraId="0AE51B3C">
      <w:pPr>
        <w:rPr>
          <w:rFonts w:hint="eastAsia"/>
        </w:rPr>
      </w:pPr>
    </w:p>
    <w:tbl>
      <w:tblPr>
        <w:tblStyle w:val="20"/>
        <w:tblW w:w="9759" w:type="dxa"/>
        <w:tblInd w:w="95" w:type="dxa"/>
        <w:tblLayout w:type="fixed"/>
        <w:tblCellMar>
          <w:top w:w="0" w:type="dxa"/>
          <w:left w:w="108" w:type="dxa"/>
          <w:bottom w:w="0" w:type="dxa"/>
          <w:right w:w="108" w:type="dxa"/>
        </w:tblCellMar>
      </w:tblPr>
      <w:tblGrid>
        <w:gridCol w:w="580"/>
        <w:gridCol w:w="709"/>
        <w:gridCol w:w="909"/>
        <w:gridCol w:w="636"/>
        <w:gridCol w:w="552"/>
        <w:gridCol w:w="5652"/>
        <w:gridCol w:w="721"/>
      </w:tblGrid>
      <w:tr w14:paraId="33B59BBA">
        <w:tblPrEx>
          <w:tblCellMar>
            <w:top w:w="0" w:type="dxa"/>
            <w:left w:w="108" w:type="dxa"/>
            <w:bottom w:w="0" w:type="dxa"/>
            <w:right w:w="108" w:type="dxa"/>
          </w:tblCellMar>
        </w:tblPrEx>
        <w:trPr>
          <w:trHeight w:val="762" w:hRule="atLeast"/>
        </w:trPr>
        <w:tc>
          <w:tcPr>
            <w:tcW w:w="9759" w:type="dxa"/>
            <w:gridSpan w:val="7"/>
            <w:tcBorders>
              <w:top w:val="nil"/>
              <w:left w:val="nil"/>
              <w:bottom w:val="nil"/>
              <w:right w:val="nil"/>
            </w:tcBorders>
            <w:shd w:val="clear" w:color="auto" w:fill="auto"/>
            <w:noWrap/>
            <w:vAlign w:val="center"/>
          </w:tcPr>
          <w:p w14:paraId="6410DF66">
            <w:pPr>
              <w:jc w:val="center"/>
              <w:rPr>
                <w:rFonts w:hint="eastAsia" w:ascii="仿宋" w:hAnsi="仿宋" w:eastAsia="仿宋" w:cs="仿宋"/>
                <w:sz w:val="24"/>
                <w:szCs w:val="24"/>
                <w:highlight w:val="none"/>
              </w:rPr>
            </w:pPr>
            <w:r>
              <w:rPr>
                <w:rFonts w:hint="eastAsia" w:ascii="仿宋" w:hAnsi="仿宋" w:eastAsia="仿宋" w:cs="仿宋"/>
                <w:b/>
                <w:bCs/>
                <w:sz w:val="24"/>
                <w:szCs w:val="24"/>
                <w:highlight w:val="none"/>
              </w:rPr>
              <w:t>招标内容</w:t>
            </w:r>
            <w:r>
              <w:rPr>
                <w:rFonts w:hint="eastAsia" w:ascii="仿宋" w:hAnsi="仿宋" w:eastAsia="仿宋" w:cs="仿宋"/>
                <w:b/>
                <w:bCs/>
                <w:sz w:val="24"/>
                <w:szCs w:val="24"/>
                <w:highlight w:val="none"/>
                <w:lang w:val="en-US" w:eastAsia="zh-CN"/>
              </w:rPr>
              <w:t>及技术要求</w:t>
            </w:r>
          </w:p>
        </w:tc>
      </w:tr>
      <w:tr w14:paraId="7E5FA3A7">
        <w:tblPrEx>
          <w:tblCellMar>
            <w:top w:w="0" w:type="dxa"/>
            <w:left w:w="108" w:type="dxa"/>
            <w:bottom w:w="0" w:type="dxa"/>
            <w:right w:w="108" w:type="dxa"/>
          </w:tblCellMar>
        </w:tblPrEx>
        <w:trPr>
          <w:trHeight w:val="582" w:hRule="atLeast"/>
        </w:trPr>
        <w:tc>
          <w:tcPr>
            <w:tcW w:w="5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D03187">
            <w:pPr>
              <w:rPr>
                <w:rFonts w:hint="eastAsia" w:ascii="仿宋" w:hAnsi="仿宋" w:eastAsia="仿宋" w:cs="仿宋"/>
                <w:sz w:val="24"/>
                <w:szCs w:val="24"/>
                <w:highlight w:val="none"/>
              </w:rPr>
            </w:pPr>
            <w:r>
              <w:rPr>
                <w:rFonts w:hint="eastAsia" w:ascii="仿宋" w:hAnsi="仿宋" w:eastAsia="仿宋" w:cs="仿宋"/>
                <w:sz w:val="24"/>
                <w:szCs w:val="24"/>
                <w:highlight w:val="none"/>
              </w:rPr>
              <w:t>大类</w:t>
            </w:r>
          </w:p>
        </w:tc>
        <w:tc>
          <w:tcPr>
            <w:tcW w:w="709" w:type="dxa"/>
            <w:tcBorders>
              <w:top w:val="single" w:color="auto" w:sz="4" w:space="0"/>
              <w:left w:val="nil"/>
              <w:bottom w:val="single" w:color="auto" w:sz="4" w:space="0"/>
              <w:right w:val="single" w:color="auto" w:sz="4" w:space="0"/>
            </w:tcBorders>
            <w:shd w:val="clear" w:color="auto" w:fill="auto"/>
            <w:noWrap/>
            <w:vAlign w:val="center"/>
          </w:tcPr>
          <w:p w14:paraId="0EAFF096">
            <w:pP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909" w:type="dxa"/>
            <w:tcBorders>
              <w:top w:val="single" w:color="auto" w:sz="4" w:space="0"/>
              <w:left w:val="nil"/>
              <w:bottom w:val="single" w:color="auto" w:sz="4" w:space="0"/>
              <w:right w:val="single" w:color="auto" w:sz="4" w:space="0"/>
            </w:tcBorders>
            <w:shd w:val="clear" w:color="000000" w:fill="FFFFFF"/>
            <w:noWrap/>
            <w:vAlign w:val="center"/>
          </w:tcPr>
          <w:p w14:paraId="28D3D09E">
            <w:pPr>
              <w:rPr>
                <w:rFonts w:hint="eastAsia" w:ascii="仿宋" w:hAnsi="仿宋" w:eastAsia="仿宋" w:cs="仿宋"/>
                <w:sz w:val="24"/>
                <w:szCs w:val="24"/>
                <w:highlight w:val="none"/>
              </w:rPr>
            </w:pPr>
            <w:r>
              <w:rPr>
                <w:rFonts w:hint="eastAsia" w:ascii="仿宋" w:hAnsi="仿宋" w:eastAsia="仿宋" w:cs="仿宋"/>
                <w:sz w:val="24"/>
                <w:szCs w:val="24"/>
                <w:highlight w:val="none"/>
              </w:rPr>
              <w:t>产品名称</w:t>
            </w:r>
          </w:p>
        </w:tc>
        <w:tc>
          <w:tcPr>
            <w:tcW w:w="636" w:type="dxa"/>
            <w:tcBorders>
              <w:top w:val="single" w:color="auto" w:sz="4" w:space="0"/>
              <w:left w:val="nil"/>
              <w:bottom w:val="single" w:color="auto" w:sz="4" w:space="0"/>
              <w:right w:val="single" w:color="auto" w:sz="4" w:space="0"/>
            </w:tcBorders>
            <w:shd w:val="clear" w:color="000000" w:fill="FFFFFF"/>
            <w:noWrap/>
            <w:vAlign w:val="center"/>
          </w:tcPr>
          <w:p w14:paraId="16358FE4">
            <w:pPr>
              <w:rPr>
                <w:rFonts w:hint="eastAsia" w:ascii="仿宋" w:hAnsi="仿宋" w:eastAsia="仿宋" w:cs="仿宋"/>
                <w:sz w:val="24"/>
                <w:szCs w:val="24"/>
                <w:highlight w:val="none"/>
              </w:rPr>
            </w:pPr>
            <w:r>
              <w:rPr>
                <w:rFonts w:hint="eastAsia" w:ascii="仿宋" w:hAnsi="仿宋" w:eastAsia="仿宋" w:cs="仿宋"/>
                <w:sz w:val="24"/>
                <w:szCs w:val="24"/>
                <w:highlight w:val="none"/>
              </w:rPr>
              <w:t>单位</w:t>
            </w:r>
          </w:p>
        </w:tc>
        <w:tc>
          <w:tcPr>
            <w:tcW w:w="552" w:type="dxa"/>
            <w:tcBorders>
              <w:top w:val="single" w:color="auto" w:sz="4" w:space="0"/>
              <w:left w:val="nil"/>
              <w:bottom w:val="single" w:color="auto" w:sz="4" w:space="0"/>
              <w:right w:val="single" w:color="auto" w:sz="4" w:space="0"/>
            </w:tcBorders>
            <w:shd w:val="clear" w:color="000000" w:fill="FFFFFF"/>
            <w:noWrap/>
            <w:vAlign w:val="center"/>
          </w:tcPr>
          <w:p w14:paraId="2CE1FF9F">
            <w:pPr>
              <w:rPr>
                <w:rFonts w:hint="eastAsia" w:ascii="仿宋" w:hAnsi="仿宋" w:eastAsia="仿宋" w:cs="仿宋"/>
                <w:sz w:val="24"/>
                <w:szCs w:val="24"/>
                <w:highlight w:val="none"/>
              </w:rPr>
            </w:pPr>
            <w:r>
              <w:rPr>
                <w:rFonts w:hint="eastAsia" w:ascii="仿宋" w:hAnsi="仿宋" w:eastAsia="仿宋" w:cs="仿宋"/>
                <w:sz w:val="24"/>
                <w:szCs w:val="24"/>
                <w:highlight w:val="none"/>
              </w:rPr>
              <w:t>数量</w:t>
            </w:r>
          </w:p>
        </w:tc>
        <w:tc>
          <w:tcPr>
            <w:tcW w:w="5652" w:type="dxa"/>
            <w:tcBorders>
              <w:top w:val="single" w:color="auto" w:sz="4" w:space="0"/>
              <w:left w:val="nil"/>
              <w:bottom w:val="single" w:color="auto" w:sz="4" w:space="0"/>
              <w:right w:val="single" w:color="auto" w:sz="4" w:space="0"/>
            </w:tcBorders>
            <w:shd w:val="clear" w:color="000000" w:fill="FFFFFF"/>
            <w:noWrap/>
            <w:vAlign w:val="center"/>
          </w:tcPr>
          <w:p w14:paraId="4ADE305D">
            <w:pPr>
              <w:rPr>
                <w:rFonts w:hint="eastAsia" w:ascii="仿宋" w:hAnsi="仿宋" w:eastAsia="仿宋" w:cs="仿宋"/>
                <w:sz w:val="24"/>
                <w:szCs w:val="24"/>
                <w:highlight w:val="none"/>
              </w:rPr>
            </w:pPr>
            <w:r>
              <w:rPr>
                <w:rFonts w:hint="eastAsia" w:ascii="仿宋" w:hAnsi="仿宋" w:eastAsia="仿宋" w:cs="仿宋"/>
                <w:sz w:val="24"/>
                <w:szCs w:val="24"/>
                <w:highlight w:val="none"/>
              </w:rPr>
              <w:t>详细参数</w:t>
            </w:r>
          </w:p>
        </w:tc>
        <w:tc>
          <w:tcPr>
            <w:tcW w:w="721" w:type="dxa"/>
            <w:tcBorders>
              <w:top w:val="single" w:color="auto" w:sz="4" w:space="0"/>
              <w:left w:val="nil"/>
              <w:bottom w:val="single" w:color="auto" w:sz="4" w:space="0"/>
              <w:right w:val="single" w:color="auto" w:sz="4" w:space="0"/>
            </w:tcBorders>
            <w:shd w:val="clear" w:color="000000" w:fill="FFFFFF"/>
            <w:vAlign w:val="center"/>
          </w:tcPr>
          <w:p w14:paraId="22B17A6E">
            <w:pP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tc>
      </w:tr>
      <w:tr w14:paraId="2245C34E">
        <w:tblPrEx>
          <w:tblCellMar>
            <w:top w:w="0" w:type="dxa"/>
            <w:left w:w="108" w:type="dxa"/>
            <w:bottom w:w="0" w:type="dxa"/>
            <w:right w:w="108" w:type="dxa"/>
          </w:tblCellMar>
        </w:tblPrEx>
        <w:trPr>
          <w:trHeight w:val="2370" w:hRule="atLeast"/>
        </w:trPr>
        <w:tc>
          <w:tcPr>
            <w:tcW w:w="580" w:type="dxa"/>
            <w:vMerge w:val="restart"/>
            <w:tcBorders>
              <w:top w:val="nil"/>
              <w:left w:val="single" w:color="auto" w:sz="4" w:space="0"/>
              <w:bottom w:val="single" w:color="auto" w:sz="4" w:space="0"/>
              <w:right w:val="single" w:color="auto" w:sz="4" w:space="0"/>
            </w:tcBorders>
            <w:shd w:val="clear" w:color="auto" w:fill="auto"/>
            <w:vAlign w:val="center"/>
          </w:tcPr>
          <w:p w14:paraId="60526B8C">
            <w:pPr>
              <w:rPr>
                <w:rFonts w:hint="eastAsia" w:ascii="仿宋" w:hAnsi="仿宋" w:eastAsia="仿宋" w:cs="仿宋"/>
                <w:sz w:val="24"/>
                <w:szCs w:val="24"/>
                <w:highlight w:val="none"/>
              </w:rPr>
            </w:pPr>
            <w:r>
              <w:rPr>
                <w:rFonts w:hint="eastAsia" w:ascii="仿宋" w:hAnsi="仿宋" w:eastAsia="仿宋" w:cs="仿宋"/>
                <w:sz w:val="24"/>
                <w:szCs w:val="24"/>
                <w:highlight w:val="none"/>
              </w:rPr>
              <w:t>中医门诊诊疗类</w:t>
            </w:r>
          </w:p>
        </w:tc>
        <w:tc>
          <w:tcPr>
            <w:tcW w:w="709" w:type="dxa"/>
            <w:tcBorders>
              <w:top w:val="nil"/>
              <w:left w:val="nil"/>
              <w:bottom w:val="single" w:color="auto" w:sz="4" w:space="0"/>
              <w:right w:val="single" w:color="auto" w:sz="4" w:space="0"/>
            </w:tcBorders>
            <w:shd w:val="clear" w:color="auto" w:fill="auto"/>
            <w:noWrap/>
            <w:vAlign w:val="center"/>
          </w:tcPr>
          <w:p w14:paraId="19B3073E">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909" w:type="dxa"/>
            <w:tcBorders>
              <w:top w:val="nil"/>
              <w:left w:val="nil"/>
              <w:bottom w:val="single" w:color="auto" w:sz="4" w:space="0"/>
              <w:right w:val="single" w:color="auto" w:sz="4" w:space="0"/>
            </w:tcBorders>
            <w:shd w:val="clear" w:color="000000" w:fill="FFFFFF"/>
            <w:vAlign w:val="center"/>
          </w:tcPr>
          <w:p w14:paraId="08E45F0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诊查床</w:t>
            </w:r>
          </w:p>
        </w:tc>
        <w:tc>
          <w:tcPr>
            <w:tcW w:w="636" w:type="dxa"/>
            <w:tcBorders>
              <w:top w:val="nil"/>
              <w:left w:val="nil"/>
              <w:bottom w:val="single" w:color="auto" w:sz="4" w:space="0"/>
              <w:right w:val="single" w:color="auto" w:sz="4" w:space="0"/>
            </w:tcBorders>
            <w:shd w:val="clear" w:color="000000" w:fill="FFFFFF"/>
            <w:noWrap/>
            <w:vAlign w:val="center"/>
          </w:tcPr>
          <w:p w14:paraId="4B00B43B">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53E5ADE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p>
        </w:tc>
        <w:tc>
          <w:tcPr>
            <w:tcW w:w="5652" w:type="dxa"/>
            <w:tcBorders>
              <w:top w:val="nil"/>
              <w:left w:val="nil"/>
              <w:bottom w:val="single" w:color="auto" w:sz="4" w:space="0"/>
              <w:right w:val="single" w:color="auto" w:sz="4" w:space="0"/>
            </w:tcBorders>
            <w:shd w:val="clear" w:color="000000" w:fill="FFFFFF"/>
            <w:vAlign w:val="center"/>
          </w:tcPr>
          <w:p w14:paraId="29BD311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规格：≥1890×610×640mm；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 床边采用25×50碳钢矩管壁厚度≥1.2mm，床脚采用床脚采用Φ38钢管壁厚度≥1.2mm；抬条采用20×40碳钢矩管壁厚度≥1.0mm；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 床面由皮革、≥2公分高密度海绵、≥1.5公分中密度纤维板组成；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 整体表面采用环保材料：除锈-脱脂-磷化-钝化-静电环氧树脂粉沫喷涂；分离式床脚。</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5、床面有效载荷≥200kg</w:t>
            </w:r>
          </w:p>
        </w:tc>
        <w:tc>
          <w:tcPr>
            <w:tcW w:w="721" w:type="dxa"/>
            <w:tcBorders>
              <w:top w:val="nil"/>
              <w:left w:val="nil"/>
              <w:bottom w:val="single" w:color="auto" w:sz="4" w:space="0"/>
              <w:right w:val="single" w:color="auto" w:sz="4" w:space="0"/>
            </w:tcBorders>
            <w:shd w:val="clear" w:color="000000" w:fill="FFFFFF"/>
            <w:vAlign w:val="center"/>
          </w:tcPr>
          <w:p w14:paraId="17A0D5AF">
            <w:pPr>
              <w:rPr>
                <w:rFonts w:hint="eastAsia" w:ascii="仿宋" w:hAnsi="仿宋" w:eastAsia="仿宋" w:cs="仿宋"/>
                <w:color w:val="000000" w:themeColor="text1"/>
                <w:sz w:val="24"/>
                <w:szCs w:val="24"/>
                <w:highlight w:val="none"/>
                <w:lang w:val="en-US" w:eastAsia="zh-CN"/>
                <w14:textFill>
                  <w14:solidFill>
                    <w14:schemeClr w14:val="tx1"/>
                  </w14:solidFill>
                </w14:textFill>
              </w:rPr>
            </w:pPr>
          </w:p>
        </w:tc>
      </w:tr>
      <w:tr w14:paraId="3316C727">
        <w:tblPrEx>
          <w:tblCellMar>
            <w:top w:w="0" w:type="dxa"/>
            <w:left w:w="108" w:type="dxa"/>
            <w:bottom w:w="0" w:type="dxa"/>
            <w:right w:w="108" w:type="dxa"/>
          </w:tblCellMar>
        </w:tblPrEx>
        <w:trPr>
          <w:trHeight w:val="5430" w:hRule="atLeast"/>
        </w:trPr>
        <w:tc>
          <w:tcPr>
            <w:tcW w:w="580" w:type="dxa"/>
            <w:vMerge w:val="continue"/>
            <w:tcBorders>
              <w:top w:val="nil"/>
              <w:left w:val="single" w:color="auto" w:sz="4" w:space="0"/>
              <w:bottom w:val="single" w:color="auto" w:sz="4" w:space="0"/>
              <w:right w:val="single" w:color="auto" w:sz="4" w:space="0"/>
            </w:tcBorders>
            <w:vAlign w:val="center"/>
          </w:tcPr>
          <w:p w14:paraId="70A20B8F">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EC4AEBB">
            <w:pP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909" w:type="dxa"/>
            <w:tcBorders>
              <w:top w:val="nil"/>
              <w:left w:val="nil"/>
              <w:bottom w:val="single" w:color="auto" w:sz="4" w:space="0"/>
              <w:right w:val="single" w:color="auto" w:sz="4" w:space="0"/>
            </w:tcBorders>
            <w:shd w:val="clear" w:color="000000" w:fill="FFFFFF"/>
            <w:noWrap/>
            <w:vAlign w:val="center"/>
          </w:tcPr>
          <w:p w14:paraId="03766BE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多功能牵引床</w:t>
            </w:r>
          </w:p>
        </w:tc>
        <w:tc>
          <w:tcPr>
            <w:tcW w:w="636" w:type="dxa"/>
            <w:tcBorders>
              <w:top w:val="nil"/>
              <w:left w:val="nil"/>
              <w:bottom w:val="single" w:color="auto" w:sz="4" w:space="0"/>
              <w:right w:val="single" w:color="auto" w:sz="4" w:space="0"/>
            </w:tcBorders>
            <w:shd w:val="clear" w:color="000000" w:fill="FFFFFF"/>
            <w:noWrap/>
            <w:vAlign w:val="center"/>
          </w:tcPr>
          <w:p w14:paraId="74B094A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58BDEF8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c>
          <w:tcPr>
            <w:tcW w:w="5652" w:type="dxa"/>
            <w:tcBorders>
              <w:top w:val="nil"/>
              <w:left w:val="nil"/>
              <w:bottom w:val="single" w:color="auto" w:sz="4" w:space="0"/>
              <w:right w:val="single" w:color="auto" w:sz="4" w:space="0"/>
            </w:tcBorders>
            <w:shd w:val="clear" w:color="000000" w:fill="FFFFFF"/>
            <w:vAlign w:val="center"/>
          </w:tcPr>
          <w:p w14:paraId="5811A3A4">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腰椎牵引行程：0～300mm,允差±10mm。</w:t>
            </w:r>
          </w:p>
          <w:p w14:paraId="2D8D5056">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主动牵引行程：0～200mm，允差±10mm。</w:t>
            </w:r>
          </w:p>
          <w:p w14:paraId="07742BE2">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对抗加力牵引行程：100mm，允差±10mm。</w:t>
            </w:r>
          </w:p>
          <w:p w14:paraId="0C814839">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腰椎牵引力范围：0～990N连续可调3、牵引总时间范围：0～99min，允差±30s。</w:t>
            </w:r>
          </w:p>
          <w:p w14:paraId="0F4E18EA">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持续牵引时间范围：0～9min，允差±30s。</w:t>
            </w:r>
          </w:p>
          <w:p w14:paraId="4DE99FB8">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间歇牵引时间范围：0～9min，允差±30s。</w:t>
            </w:r>
          </w:p>
          <w:p w14:paraId="2066A55A">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成角动作范围：-10°～+30°连续可调，允差±2°。</w:t>
            </w:r>
          </w:p>
          <w:p w14:paraId="77AFB347">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平摆动作范围：±20°连续可调，允差±2°。</w:t>
            </w:r>
          </w:p>
          <w:p w14:paraId="4EEA3A39">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旋转动作范围：±25°连续可调，允差±2°。</w:t>
            </w:r>
          </w:p>
          <w:p w14:paraId="5B36D6BD">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腰部热疗加热温度45℃，允差±3℃。</w:t>
            </w:r>
          </w:p>
          <w:p w14:paraId="6460D9F0">
            <w:pPr>
              <w:pStyle w:val="31"/>
              <w:numPr>
                <w:ilvl w:val="0"/>
                <w:numId w:val="0"/>
              </w:numPr>
              <w:ind w:left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color w:val="000000" w:themeColor="text1"/>
                <w:sz w:val="24"/>
                <w:szCs w:val="24"/>
                <w:highlight w:val="none"/>
                <w14:textFill>
                  <w14:solidFill>
                    <w14:schemeClr w14:val="tx1"/>
                  </w14:solidFill>
                </w14:textFill>
              </w:rPr>
              <w:t>慢速牵引功能，≥8种不同牵引模式及牵引力自动补偿功能。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多种安全控制（最大牵引力990N，患者应急复位线控手柄开关、医务人员操作急退键等）。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≥20种存储治疗方案。</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四维牵引功能：上成角牵引、下成角牵引、左右旋转、左右平摆牵引及对抗式牵引、单向平行牵引等。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具有开机自检功能。</w:t>
            </w:r>
          </w:p>
        </w:tc>
        <w:tc>
          <w:tcPr>
            <w:tcW w:w="721" w:type="dxa"/>
            <w:tcBorders>
              <w:top w:val="nil"/>
              <w:left w:val="nil"/>
              <w:bottom w:val="single" w:color="auto" w:sz="4" w:space="0"/>
              <w:right w:val="single" w:color="auto" w:sz="4" w:space="0"/>
            </w:tcBorders>
            <w:shd w:val="clear" w:color="000000" w:fill="FFFFFF"/>
            <w:vAlign w:val="center"/>
          </w:tcPr>
          <w:p w14:paraId="1D31A30E">
            <w:pPr>
              <w:rPr>
                <w:rFonts w:hint="eastAsia" w:ascii="仿宋" w:hAnsi="仿宋" w:eastAsia="仿宋" w:cs="仿宋"/>
                <w:color w:val="000000" w:themeColor="text1"/>
                <w:sz w:val="24"/>
                <w:szCs w:val="24"/>
                <w:highlight w:val="none"/>
                <w14:textFill>
                  <w14:solidFill>
                    <w14:schemeClr w14:val="tx1"/>
                  </w14:solidFill>
                </w14:textFill>
              </w:rPr>
            </w:pPr>
          </w:p>
        </w:tc>
      </w:tr>
      <w:tr w14:paraId="71ED2DE7">
        <w:tblPrEx>
          <w:tblCellMar>
            <w:top w:w="0" w:type="dxa"/>
            <w:left w:w="108" w:type="dxa"/>
            <w:bottom w:w="0" w:type="dxa"/>
            <w:right w:w="108" w:type="dxa"/>
          </w:tblCellMar>
        </w:tblPrEx>
        <w:trPr>
          <w:trHeight w:val="2196" w:hRule="atLeast"/>
        </w:trPr>
        <w:tc>
          <w:tcPr>
            <w:tcW w:w="580" w:type="dxa"/>
            <w:vMerge w:val="continue"/>
            <w:tcBorders>
              <w:top w:val="nil"/>
              <w:left w:val="single" w:color="auto" w:sz="4" w:space="0"/>
              <w:bottom w:val="single" w:color="auto" w:sz="4" w:space="0"/>
              <w:right w:val="single" w:color="auto" w:sz="4" w:space="0"/>
            </w:tcBorders>
            <w:vAlign w:val="center"/>
          </w:tcPr>
          <w:p w14:paraId="64E69FBB">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5484CC9">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909" w:type="dxa"/>
            <w:tcBorders>
              <w:top w:val="nil"/>
              <w:left w:val="nil"/>
              <w:bottom w:val="single" w:color="auto" w:sz="4" w:space="0"/>
              <w:right w:val="single" w:color="auto" w:sz="4" w:space="0"/>
            </w:tcBorders>
            <w:shd w:val="clear" w:color="000000" w:fill="FFFFFF"/>
            <w:noWrap/>
            <w:vAlign w:val="center"/>
          </w:tcPr>
          <w:p w14:paraId="2DED3D0A">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电动吸引器</w:t>
            </w:r>
          </w:p>
        </w:tc>
        <w:tc>
          <w:tcPr>
            <w:tcW w:w="636" w:type="dxa"/>
            <w:tcBorders>
              <w:top w:val="nil"/>
              <w:left w:val="nil"/>
              <w:bottom w:val="single" w:color="auto" w:sz="4" w:space="0"/>
              <w:right w:val="single" w:color="auto" w:sz="4" w:space="0"/>
            </w:tcBorders>
            <w:shd w:val="clear" w:color="000000" w:fill="FFFFFF"/>
            <w:noWrap/>
            <w:vAlign w:val="center"/>
          </w:tcPr>
          <w:p w14:paraId="08F01CB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7DF62F7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5652" w:type="dxa"/>
            <w:tcBorders>
              <w:top w:val="nil"/>
              <w:left w:val="nil"/>
              <w:bottom w:val="single" w:color="auto" w:sz="4" w:space="0"/>
              <w:right w:val="single" w:color="auto" w:sz="4" w:space="0"/>
            </w:tcBorders>
            <w:shd w:val="clear" w:color="000000" w:fill="FFFFFF"/>
            <w:vAlign w:val="center"/>
          </w:tcPr>
          <w:p w14:paraId="407B373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1.电源：AC220V±10% 50Hz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2.泵结构：膜式泵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3.抽气速率：≥35L/min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4.负压调节范围：0.013～0.090MPa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5.吸液瓶：2500ml×2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6.噪音：≤65dB      </w:t>
            </w:r>
          </w:p>
        </w:tc>
        <w:tc>
          <w:tcPr>
            <w:tcW w:w="721" w:type="dxa"/>
            <w:tcBorders>
              <w:top w:val="nil"/>
              <w:left w:val="nil"/>
              <w:bottom w:val="single" w:color="auto" w:sz="4" w:space="0"/>
              <w:right w:val="single" w:color="auto" w:sz="4" w:space="0"/>
            </w:tcBorders>
            <w:shd w:val="clear" w:color="000000" w:fill="FFFFFF"/>
            <w:vAlign w:val="center"/>
          </w:tcPr>
          <w:p w14:paraId="2A28A1D4">
            <w:pPr>
              <w:rPr>
                <w:rFonts w:hint="eastAsia" w:ascii="仿宋" w:hAnsi="仿宋" w:eastAsia="仿宋" w:cs="仿宋"/>
                <w:color w:val="000000" w:themeColor="text1"/>
                <w:sz w:val="24"/>
                <w:szCs w:val="24"/>
                <w:highlight w:val="none"/>
                <w14:textFill>
                  <w14:solidFill>
                    <w14:schemeClr w14:val="tx1"/>
                  </w14:solidFill>
                </w14:textFill>
              </w:rPr>
            </w:pPr>
          </w:p>
        </w:tc>
      </w:tr>
      <w:tr w14:paraId="6665364A">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33B958C1">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112D8F2C">
            <w:pP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909" w:type="dxa"/>
            <w:tcBorders>
              <w:top w:val="nil"/>
              <w:left w:val="nil"/>
              <w:bottom w:val="single" w:color="auto" w:sz="4" w:space="0"/>
              <w:right w:val="single" w:color="auto" w:sz="4" w:space="0"/>
            </w:tcBorders>
            <w:shd w:val="clear" w:color="000000" w:fill="FFFFFF"/>
            <w:noWrap/>
            <w:vAlign w:val="center"/>
          </w:tcPr>
          <w:p w14:paraId="0AA0EB0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车载吸引器</w:t>
            </w:r>
          </w:p>
        </w:tc>
        <w:tc>
          <w:tcPr>
            <w:tcW w:w="636" w:type="dxa"/>
            <w:tcBorders>
              <w:top w:val="nil"/>
              <w:left w:val="nil"/>
              <w:bottom w:val="single" w:color="auto" w:sz="4" w:space="0"/>
              <w:right w:val="single" w:color="auto" w:sz="4" w:space="0"/>
            </w:tcBorders>
            <w:shd w:val="clear" w:color="000000" w:fill="FFFFFF"/>
            <w:noWrap/>
            <w:vAlign w:val="center"/>
          </w:tcPr>
          <w:p w14:paraId="07D02B8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4BFA20C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59BD3DC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1.电源：AC220V±22V 50Hz±1Hz   DC 12V ≥3Ah</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2.抽气速率：≥25L/min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3.负压调节范围：0.02MPa～0.085MPa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4.噪声：≤65dB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5.输入功率：≤70VA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6.吸液瓶：≥1000ml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7.工作制：间隙加载连续运行</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8.外壳采用ABS工程塑料制作，手提式。</w:t>
            </w:r>
          </w:p>
        </w:tc>
        <w:tc>
          <w:tcPr>
            <w:tcW w:w="721" w:type="dxa"/>
            <w:tcBorders>
              <w:top w:val="nil"/>
              <w:left w:val="nil"/>
              <w:bottom w:val="single" w:color="auto" w:sz="4" w:space="0"/>
              <w:right w:val="single" w:color="auto" w:sz="4" w:space="0"/>
            </w:tcBorders>
            <w:shd w:val="clear" w:color="000000" w:fill="FFFFFF"/>
            <w:vAlign w:val="center"/>
          </w:tcPr>
          <w:p w14:paraId="0766BC42">
            <w:pPr>
              <w:rPr>
                <w:rFonts w:hint="eastAsia" w:ascii="仿宋" w:hAnsi="仿宋" w:eastAsia="仿宋" w:cs="仿宋"/>
                <w:color w:val="000000" w:themeColor="text1"/>
                <w:sz w:val="24"/>
                <w:szCs w:val="24"/>
                <w:highlight w:val="none"/>
                <w14:textFill>
                  <w14:solidFill>
                    <w14:schemeClr w14:val="tx1"/>
                  </w14:solidFill>
                </w14:textFill>
              </w:rPr>
            </w:pPr>
          </w:p>
        </w:tc>
      </w:tr>
      <w:tr w14:paraId="325BA79F">
        <w:tblPrEx>
          <w:tblCellMar>
            <w:top w:w="0" w:type="dxa"/>
            <w:left w:w="108" w:type="dxa"/>
            <w:bottom w:w="0" w:type="dxa"/>
            <w:right w:w="108" w:type="dxa"/>
          </w:tblCellMar>
        </w:tblPrEx>
        <w:trPr>
          <w:trHeight w:val="1522" w:hRule="atLeast"/>
        </w:trPr>
        <w:tc>
          <w:tcPr>
            <w:tcW w:w="580" w:type="dxa"/>
            <w:vMerge w:val="continue"/>
            <w:tcBorders>
              <w:top w:val="nil"/>
              <w:left w:val="single" w:color="auto" w:sz="4" w:space="0"/>
              <w:bottom w:val="single" w:color="auto" w:sz="4" w:space="0"/>
              <w:right w:val="single" w:color="auto" w:sz="4" w:space="0"/>
            </w:tcBorders>
            <w:vAlign w:val="center"/>
          </w:tcPr>
          <w:p w14:paraId="5EB8AAAE">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654E8A0B">
            <w:pP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909" w:type="dxa"/>
            <w:tcBorders>
              <w:top w:val="nil"/>
              <w:left w:val="nil"/>
              <w:bottom w:val="single" w:color="auto" w:sz="4" w:space="0"/>
              <w:right w:val="single" w:color="auto" w:sz="4" w:space="0"/>
            </w:tcBorders>
            <w:shd w:val="clear" w:color="000000" w:fill="FFFFFF"/>
            <w:vAlign w:val="center"/>
          </w:tcPr>
          <w:p w14:paraId="0FA80D1B">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妇科熏蒸桶</w:t>
            </w:r>
          </w:p>
        </w:tc>
        <w:tc>
          <w:tcPr>
            <w:tcW w:w="636" w:type="dxa"/>
            <w:tcBorders>
              <w:top w:val="nil"/>
              <w:left w:val="nil"/>
              <w:bottom w:val="single" w:color="auto" w:sz="4" w:space="0"/>
              <w:right w:val="single" w:color="auto" w:sz="4" w:space="0"/>
            </w:tcBorders>
            <w:shd w:val="clear" w:color="000000" w:fill="FFFFFF"/>
            <w:noWrap/>
            <w:vAlign w:val="center"/>
          </w:tcPr>
          <w:p w14:paraId="43506EF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个</w:t>
            </w:r>
          </w:p>
        </w:tc>
        <w:tc>
          <w:tcPr>
            <w:tcW w:w="552" w:type="dxa"/>
            <w:tcBorders>
              <w:top w:val="nil"/>
              <w:left w:val="nil"/>
              <w:bottom w:val="single" w:color="auto" w:sz="4" w:space="0"/>
              <w:right w:val="single" w:color="auto" w:sz="4" w:space="0"/>
            </w:tcBorders>
            <w:shd w:val="clear" w:color="000000" w:fill="FFFFFF"/>
            <w:noWrap/>
            <w:vAlign w:val="center"/>
          </w:tcPr>
          <w:p w14:paraId="5877DA0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c>
          <w:tcPr>
            <w:tcW w:w="5652" w:type="dxa"/>
            <w:tcBorders>
              <w:top w:val="nil"/>
              <w:left w:val="nil"/>
              <w:bottom w:val="single" w:color="auto" w:sz="4" w:space="0"/>
              <w:right w:val="single" w:color="auto" w:sz="4" w:space="0"/>
            </w:tcBorders>
            <w:shd w:val="clear" w:color="000000" w:fill="FFFFFF"/>
            <w:vAlign w:val="center"/>
          </w:tcPr>
          <w:p w14:paraId="4F8002D3">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1.约42X42X61cm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2.蒸足</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3.蒸痔疮、妇科病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4.蒸头、痛风</w:t>
            </w:r>
          </w:p>
        </w:tc>
        <w:tc>
          <w:tcPr>
            <w:tcW w:w="721" w:type="dxa"/>
            <w:tcBorders>
              <w:top w:val="nil"/>
              <w:left w:val="nil"/>
              <w:bottom w:val="single" w:color="auto" w:sz="4" w:space="0"/>
              <w:right w:val="single" w:color="auto" w:sz="4" w:space="0"/>
            </w:tcBorders>
            <w:shd w:val="clear" w:color="000000" w:fill="FFFFFF"/>
            <w:vAlign w:val="center"/>
          </w:tcPr>
          <w:p w14:paraId="741726C6">
            <w:pPr>
              <w:rPr>
                <w:rFonts w:hint="eastAsia" w:ascii="仿宋" w:hAnsi="仿宋" w:eastAsia="仿宋" w:cs="仿宋"/>
                <w:color w:val="000000" w:themeColor="text1"/>
                <w:sz w:val="24"/>
                <w:szCs w:val="24"/>
                <w:highlight w:val="none"/>
                <w14:textFill>
                  <w14:solidFill>
                    <w14:schemeClr w14:val="tx1"/>
                  </w14:solidFill>
                </w14:textFill>
              </w:rPr>
            </w:pPr>
          </w:p>
        </w:tc>
      </w:tr>
      <w:tr w14:paraId="0D81CB8C">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770E734A">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7CE10D7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w:t>
            </w:r>
          </w:p>
        </w:tc>
        <w:tc>
          <w:tcPr>
            <w:tcW w:w="909" w:type="dxa"/>
            <w:tcBorders>
              <w:top w:val="nil"/>
              <w:left w:val="nil"/>
              <w:bottom w:val="single" w:color="auto" w:sz="4" w:space="0"/>
              <w:right w:val="single" w:color="auto" w:sz="4" w:space="0"/>
            </w:tcBorders>
            <w:shd w:val="clear" w:color="000000" w:fill="FFFFFF"/>
            <w:noWrap/>
            <w:vAlign w:val="center"/>
          </w:tcPr>
          <w:p w14:paraId="431E4E4B">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熏蒸治疗机</w:t>
            </w:r>
          </w:p>
        </w:tc>
        <w:tc>
          <w:tcPr>
            <w:tcW w:w="636" w:type="dxa"/>
            <w:tcBorders>
              <w:top w:val="nil"/>
              <w:left w:val="nil"/>
              <w:bottom w:val="single" w:color="auto" w:sz="4" w:space="0"/>
              <w:right w:val="single" w:color="auto" w:sz="4" w:space="0"/>
            </w:tcBorders>
            <w:shd w:val="clear" w:color="000000" w:fill="FFFFFF"/>
            <w:noWrap/>
            <w:vAlign w:val="center"/>
          </w:tcPr>
          <w:p w14:paraId="565E721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4CD54E8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5652" w:type="dxa"/>
            <w:tcBorders>
              <w:top w:val="nil"/>
              <w:left w:val="nil"/>
              <w:bottom w:val="single" w:color="auto" w:sz="4" w:space="0"/>
              <w:right w:val="single" w:color="auto" w:sz="4" w:space="0"/>
            </w:tcBorders>
            <w:shd w:val="clear" w:color="000000" w:fill="FFFFFF"/>
            <w:vAlign w:val="center"/>
          </w:tcPr>
          <w:p w14:paraId="7F0FD750">
            <w:pPr>
              <w:pStyle w:val="31"/>
              <w:numPr>
                <w:ilvl w:val="0"/>
                <w:numId w:val="0"/>
              </w:numPr>
              <w:ind w:leftChars="0"/>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通道数：≥2通道（≥2个喷头）微电脑独立控制</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4DADBC6C">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2.治疗</w:t>
            </w:r>
            <w:r>
              <w:rPr>
                <w:rFonts w:hint="eastAsia" w:ascii="仿宋" w:hAnsi="仿宋" w:eastAsia="仿宋" w:cs="仿宋"/>
                <w:color w:val="000000" w:themeColor="text1"/>
                <w:sz w:val="24"/>
                <w:szCs w:val="24"/>
                <w:highlight w:val="none"/>
                <w14:textFill>
                  <w14:solidFill>
                    <w14:schemeClr w14:val="tx1"/>
                  </w14:solidFill>
                </w14:textFill>
              </w:rPr>
              <w:t>时间0-99min可调；</w:t>
            </w:r>
          </w:p>
          <w:p w14:paraId="2612ABF8">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熏蒸温度0-95℃可调；</w:t>
            </w:r>
          </w:p>
          <w:p w14:paraId="173B2C08">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加热功率0-20档可调；</w:t>
            </w:r>
          </w:p>
          <w:p w14:paraId="6DEF2FD8">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5.加热时间：≤8分钟,5L水量。</w:t>
            </w:r>
          </w:p>
          <w:p w14:paraId="7B5799D2">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6.两个独立的控制面板熏蒸气体压力：≤0.035Mpa当蒸汽机药罐中气压大于0.08Mpa时，减压阀排气减压。</w:t>
            </w:r>
          </w:p>
          <w:p w14:paraId="2BF9BC76">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7.显示方式：大尺寸液晶显示屏。</w:t>
            </w:r>
          </w:p>
          <w:p w14:paraId="09B20FEB">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8.喷头关节四轴旋转可调，喷头动作角度可调</w:t>
            </w:r>
          </w:p>
          <w:p w14:paraId="2DB3FB13">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9.整机推车版，配有四角万向轮。</w:t>
            </w:r>
          </w:p>
          <w:p w14:paraId="6E4016C2">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*10.装药容量：≥5L</w:t>
            </w:r>
          </w:p>
          <w:p w14:paraId="1F65FADC">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11.具有缺液报警及缺液自动停止加热功能</w:t>
            </w:r>
          </w:p>
          <w:p w14:paraId="2BC2E1B5">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12.机箱容器部分和电路显示部分采用分体设计，便于保养和维修，并做到完全隔离</w:t>
            </w:r>
          </w:p>
          <w:p w14:paraId="14FC8BFE">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13.排液管路直径≥25mm</w:t>
            </w:r>
          </w:p>
          <w:p w14:paraId="7F6070FA">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14.外置气路过滤器</w:t>
            </w:r>
          </w:p>
          <w:p w14:paraId="46511CC6">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15.采用材料为304钢</w:t>
            </w:r>
          </w:p>
          <w:p w14:paraId="57F7371E">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16.蒸馏水回收抽屉。</w:t>
            </w:r>
          </w:p>
          <w:p w14:paraId="2328B4BD">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17.加热器内置隐藏</w:t>
            </w:r>
          </w:p>
          <w:p w14:paraId="3524ECDB">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18.机械式，防止烫伤装置，当蒸汽到达皮肤时候，通过机械散热装置，散去多余热量，达到温度最佳状态，进行皮肤治疗。</w:t>
            </w:r>
          </w:p>
          <w:p w14:paraId="021A01D8">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jc w:val="both"/>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19.喷头旋转角度：360度，双节控制柄，蒸汽治疗高度达到1米高度。</w:t>
            </w:r>
          </w:p>
          <w:p w14:paraId="10E80207">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p>
        </w:tc>
        <w:tc>
          <w:tcPr>
            <w:tcW w:w="721" w:type="dxa"/>
            <w:tcBorders>
              <w:top w:val="nil"/>
              <w:left w:val="nil"/>
              <w:bottom w:val="single" w:color="auto" w:sz="4" w:space="0"/>
              <w:right w:val="single" w:color="auto" w:sz="4" w:space="0"/>
            </w:tcBorders>
            <w:shd w:val="clear" w:color="000000" w:fill="FFFFFF"/>
            <w:vAlign w:val="center"/>
          </w:tcPr>
          <w:p w14:paraId="12D12B93">
            <w:pPr>
              <w:rPr>
                <w:rFonts w:hint="eastAsia" w:ascii="仿宋" w:hAnsi="仿宋" w:eastAsia="仿宋" w:cs="仿宋"/>
                <w:color w:val="000000" w:themeColor="text1"/>
                <w:sz w:val="24"/>
                <w:szCs w:val="24"/>
                <w:highlight w:val="none"/>
                <w14:textFill>
                  <w14:solidFill>
                    <w14:schemeClr w14:val="tx1"/>
                  </w14:solidFill>
                </w14:textFill>
              </w:rPr>
            </w:pPr>
          </w:p>
        </w:tc>
      </w:tr>
      <w:tr w14:paraId="540CFB1A">
        <w:tblPrEx>
          <w:tblCellMar>
            <w:top w:w="0" w:type="dxa"/>
            <w:left w:w="108" w:type="dxa"/>
            <w:bottom w:w="0" w:type="dxa"/>
            <w:right w:w="108" w:type="dxa"/>
          </w:tblCellMar>
        </w:tblPrEx>
        <w:trPr>
          <w:trHeight w:val="4044" w:hRule="atLeast"/>
        </w:trPr>
        <w:tc>
          <w:tcPr>
            <w:tcW w:w="580" w:type="dxa"/>
            <w:vMerge w:val="continue"/>
            <w:tcBorders>
              <w:top w:val="nil"/>
              <w:left w:val="single" w:color="auto" w:sz="4" w:space="0"/>
              <w:bottom w:val="single" w:color="auto" w:sz="4" w:space="0"/>
              <w:right w:val="single" w:color="auto" w:sz="4" w:space="0"/>
            </w:tcBorders>
            <w:vAlign w:val="center"/>
          </w:tcPr>
          <w:p w14:paraId="3AB5936D">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0D6EB5C1">
            <w:pP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909" w:type="dxa"/>
            <w:tcBorders>
              <w:top w:val="nil"/>
              <w:left w:val="nil"/>
              <w:bottom w:val="single" w:color="auto" w:sz="4" w:space="0"/>
              <w:right w:val="single" w:color="auto" w:sz="4" w:space="0"/>
            </w:tcBorders>
            <w:shd w:val="clear" w:color="000000" w:fill="FFFFFF"/>
            <w:vAlign w:val="center"/>
          </w:tcPr>
          <w:p w14:paraId="253DEE6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智能儿童雾化桌卡通动画工位</w:t>
            </w:r>
          </w:p>
        </w:tc>
        <w:tc>
          <w:tcPr>
            <w:tcW w:w="636" w:type="dxa"/>
            <w:tcBorders>
              <w:top w:val="nil"/>
              <w:left w:val="nil"/>
              <w:bottom w:val="single" w:color="auto" w:sz="4" w:space="0"/>
              <w:right w:val="single" w:color="auto" w:sz="4" w:space="0"/>
            </w:tcBorders>
            <w:shd w:val="clear" w:color="000000" w:fill="FFFFFF"/>
            <w:noWrap/>
            <w:vAlign w:val="center"/>
          </w:tcPr>
          <w:p w14:paraId="5DD2077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1468F87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5652" w:type="dxa"/>
            <w:tcBorders>
              <w:top w:val="nil"/>
              <w:left w:val="nil"/>
              <w:bottom w:val="single" w:color="auto" w:sz="4" w:space="0"/>
              <w:right w:val="single" w:color="auto" w:sz="4" w:space="0"/>
            </w:tcBorders>
            <w:shd w:val="clear" w:color="000000" w:fill="FFFFFF"/>
            <w:vAlign w:val="center"/>
          </w:tcPr>
          <w:p w14:paraId="572190E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桌体材质：人造板；</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甲醛释放限量：符合《GB18580-2017》的要求；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尺寸：长60-80cm\宽50-65cm\高110-125cm；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桌体安装：桌体可拆装，安装简单、方便维护和修理；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桌体配色：≥2种颜色；</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雾化桌同时满足医院不同气源（可直接连接中心供养设备带)；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噪音：≤56dB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视频播放器：全彩屏，≥15寸彩色显示屏；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播放器功能：可调节音量大小、切换视频；</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雾化率：连接雾化器后雾化率≥0.3ml/min。</w:t>
            </w:r>
          </w:p>
        </w:tc>
        <w:tc>
          <w:tcPr>
            <w:tcW w:w="721" w:type="dxa"/>
            <w:tcBorders>
              <w:top w:val="nil"/>
              <w:left w:val="nil"/>
              <w:bottom w:val="single" w:color="auto" w:sz="4" w:space="0"/>
              <w:right w:val="single" w:color="auto" w:sz="4" w:space="0"/>
            </w:tcBorders>
            <w:shd w:val="clear" w:color="000000" w:fill="FFFFFF"/>
            <w:vAlign w:val="center"/>
          </w:tcPr>
          <w:p w14:paraId="120B302D">
            <w:pPr>
              <w:rPr>
                <w:rFonts w:hint="eastAsia" w:ascii="仿宋" w:hAnsi="仿宋" w:eastAsia="仿宋" w:cs="仿宋"/>
                <w:color w:val="000000" w:themeColor="text1"/>
                <w:sz w:val="24"/>
                <w:szCs w:val="24"/>
                <w:highlight w:val="none"/>
                <w14:textFill>
                  <w14:solidFill>
                    <w14:schemeClr w14:val="tx1"/>
                  </w14:solidFill>
                </w14:textFill>
              </w:rPr>
            </w:pPr>
          </w:p>
        </w:tc>
      </w:tr>
      <w:tr w14:paraId="461E978F">
        <w:tblPrEx>
          <w:tblCellMar>
            <w:top w:w="0" w:type="dxa"/>
            <w:left w:w="108" w:type="dxa"/>
            <w:bottom w:w="0" w:type="dxa"/>
            <w:right w:w="108" w:type="dxa"/>
          </w:tblCellMar>
        </w:tblPrEx>
        <w:trPr>
          <w:trHeight w:val="3381" w:hRule="atLeast"/>
        </w:trPr>
        <w:tc>
          <w:tcPr>
            <w:tcW w:w="580" w:type="dxa"/>
            <w:vMerge w:val="continue"/>
            <w:tcBorders>
              <w:top w:val="nil"/>
              <w:left w:val="single" w:color="auto" w:sz="4" w:space="0"/>
              <w:bottom w:val="single" w:color="auto" w:sz="4" w:space="0"/>
              <w:right w:val="single" w:color="auto" w:sz="4" w:space="0"/>
            </w:tcBorders>
            <w:vAlign w:val="center"/>
          </w:tcPr>
          <w:p w14:paraId="1F189B17">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4314CC2F">
            <w:pP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909" w:type="dxa"/>
            <w:tcBorders>
              <w:top w:val="nil"/>
              <w:left w:val="nil"/>
              <w:bottom w:val="single" w:color="auto" w:sz="4" w:space="0"/>
              <w:right w:val="single" w:color="auto" w:sz="4" w:space="0"/>
            </w:tcBorders>
            <w:shd w:val="clear" w:color="000000" w:fill="FFFFFF"/>
            <w:noWrap/>
            <w:vAlign w:val="center"/>
          </w:tcPr>
          <w:p w14:paraId="682B810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电脑恒温电蜡疗仪</w:t>
            </w:r>
          </w:p>
        </w:tc>
        <w:tc>
          <w:tcPr>
            <w:tcW w:w="636" w:type="dxa"/>
            <w:tcBorders>
              <w:top w:val="nil"/>
              <w:left w:val="nil"/>
              <w:bottom w:val="single" w:color="auto" w:sz="4" w:space="0"/>
              <w:right w:val="single" w:color="auto" w:sz="4" w:space="0"/>
            </w:tcBorders>
            <w:shd w:val="clear" w:color="000000" w:fill="FFFFFF"/>
            <w:noWrap/>
            <w:vAlign w:val="center"/>
          </w:tcPr>
          <w:p w14:paraId="768A92C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788D236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621E4E6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电源：AC220V±22V ，50Hz±1Hz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输入功率：≥2000VA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设定温度：0-99℃，测温误差：±1℃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最大容积：≥50L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保温性能：停机后，保温12小时重新升温至60℃的时间≤1小时。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水位过低自动报警装置，并自动切断加热器电源。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自动控温装置，可设定在58~60℃之间。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数码管显示，自动控温。</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熔蜡内胆采用不锈钢材质。</w:t>
            </w:r>
          </w:p>
        </w:tc>
        <w:tc>
          <w:tcPr>
            <w:tcW w:w="721" w:type="dxa"/>
            <w:tcBorders>
              <w:top w:val="nil"/>
              <w:left w:val="nil"/>
              <w:bottom w:val="single" w:color="auto" w:sz="4" w:space="0"/>
              <w:right w:val="single" w:color="auto" w:sz="4" w:space="0"/>
            </w:tcBorders>
            <w:shd w:val="clear" w:color="000000" w:fill="FFFFFF"/>
            <w:vAlign w:val="center"/>
          </w:tcPr>
          <w:p w14:paraId="5449BAF7">
            <w:pPr>
              <w:rPr>
                <w:rFonts w:hint="eastAsia" w:ascii="仿宋" w:hAnsi="仿宋" w:eastAsia="仿宋" w:cs="仿宋"/>
                <w:color w:val="000000" w:themeColor="text1"/>
                <w:sz w:val="24"/>
                <w:szCs w:val="24"/>
                <w:highlight w:val="none"/>
                <w14:textFill>
                  <w14:solidFill>
                    <w14:schemeClr w14:val="tx1"/>
                  </w14:solidFill>
                </w14:textFill>
              </w:rPr>
            </w:pPr>
          </w:p>
        </w:tc>
      </w:tr>
      <w:tr w14:paraId="0552A49E">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79D554A9">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6E072091">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w:t>
            </w:r>
          </w:p>
        </w:tc>
        <w:tc>
          <w:tcPr>
            <w:tcW w:w="909" w:type="dxa"/>
            <w:tcBorders>
              <w:top w:val="nil"/>
              <w:left w:val="nil"/>
              <w:bottom w:val="single" w:color="auto" w:sz="4" w:space="0"/>
              <w:right w:val="single" w:color="auto" w:sz="4" w:space="0"/>
            </w:tcBorders>
            <w:shd w:val="clear" w:color="000000" w:fill="FFFFFF"/>
            <w:noWrap/>
            <w:vAlign w:val="center"/>
          </w:tcPr>
          <w:p w14:paraId="729918CB">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煎药机</w:t>
            </w:r>
          </w:p>
        </w:tc>
        <w:tc>
          <w:tcPr>
            <w:tcW w:w="636" w:type="dxa"/>
            <w:tcBorders>
              <w:top w:val="nil"/>
              <w:left w:val="nil"/>
              <w:bottom w:val="single" w:color="auto" w:sz="4" w:space="0"/>
              <w:right w:val="single" w:color="auto" w:sz="4" w:space="0"/>
            </w:tcBorders>
            <w:shd w:val="clear" w:color="000000" w:fill="FFFFFF"/>
            <w:noWrap/>
            <w:vAlign w:val="center"/>
          </w:tcPr>
          <w:p w14:paraId="6FB65F8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1E60BD1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633DD54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常压双锅煎药包装一体机</w:t>
            </w:r>
          </w:p>
          <w:p w14:paraId="63A65A1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同时煎煮两个处方。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常压下煎煮，文火、武火自动转换，先煎后下均可。</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煎药锅的容量≥20000mI钢化玻璃。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传感器：恒温传感器。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中药成袋尺寸可根据容量变化，适用不同需要。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包装容量50-</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00ml，可根据需要进行调整。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包装电机可反转(倒转功能)，自动倒转，方便卡袋维修。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中药包装成品7袋-10袋/分钟，自动包装。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双根探针探测水位，敏感度高，气泡小，药液储存时间长。</w:t>
            </w:r>
          </w:p>
          <w:p w14:paraId="5A61E0D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color w:val="000000" w:themeColor="text1"/>
                <w:sz w:val="24"/>
                <w:szCs w:val="24"/>
                <w:highlight w:val="none"/>
                <w14:textFill>
                  <w14:solidFill>
                    <w14:schemeClr w14:val="tx1"/>
                  </w14:solidFill>
                </w14:textFill>
              </w:rPr>
              <w:t>预约浸泡功能，浸泡时间根据药材属性设置，同时设置武火、文火煎药时间，浸泡时间结束后可自动启动武火、文火加热，煎药结束后自动关机。</w:t>
            </w:r>
          </w:p>
          <w:p w14:paraId="13F011A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w:t>
            </w:r>
            <w:r>
              <w:rPr>
                <w:rFonts w:hint="eastAsia" w:ascii="仿宋" w:hAnsi="仿宋" w:eastAsia="仿宋" w:cs="仿宋"/>
                <w:color w:val="000000" w:themeColor="text1"/>
                <w:sz w:val="24"/>
                <w:szCs w:val="24"/>
                <w:highlight w:val="none"/>
                <w14:textFill>
                  <w14:solidFill>
                    <w14:schemeClr w14:val="tx1"/>
                  </w14:solidFill>
                </w14:textFill>
              </w:rPr>
              <w:t>包装电路板自动启动功能，当煎药时间低于40分钟时包装电路板自动启动预热，可在煎药完成后立即包装药液。</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13.</w:t>
            </w:r>
            <w:r>
              <w:rPr>
                <w:rFonts w:hint="eastAsia" w:ascii="仿宋" w:hAnsi="仿宋" w:eastAsia="仿宋" w:cs="仿宋"/>
                <w:color w:val="000000" w:themeColor="text1"/>
                <w:sz w:val="24"/>
                <w:szCs w:val="24"/>
                <w:highlight w:val="none"/>
                <w14:textFill>
                  <w14:solidFill>
                    <w14:schemeClr w14:val="tx1"/>
                  </w14:solidFill>
                </w14:textFill>
              </w:rPr>
              <w:t>煎药桶容量：20000mlx2</w:t>
            </w:r>
            <w:r>
              <w:rPr>
                <w:rFonts w:hint="eastAsia" w:ascii="仿宋" w:hAnsi="仿宋" w:eastAsia="仿宋" w:cs="仿宋"/>
                <w:color w:val="000000" w:themeColor="text1"/>
                <w:sz w:val="24"/>
                <w:szCs w:val="24"/>
                <w:highlight w:val="none"/>
                <w14:textFill>
                  <w14:solidFill>
                    <w14:schemeClr w14:val="tx1"/>
                  </w14:solidFill>
                </w14:textFill>
              </w:rPr>
              <w:br w:type="textWrapping"/>
            </w:r>
          </w:p>
        </w:tc>
        <w:tc>
          <w:tcPr>
            <w:tcW w:w="721" w:type="dxa"/>
            <w:tcBorders>
              <w:top w:val="nil"/>
              <w:left w:val="nil"/>
              <w:bottom w:val="single" w:color="auto" w:sz="4" w:space="0"/>
              <w:right w:val="single" w:color="auto" w:sz="4" w:space="0"/>
            </w:tcBorders>
            <w:shd w:val="clear" w:color="000000" w:fill="FFFFFF"/>
            <w:vAlign w:val="center"/>
          </w:tcPr>
          <w:p w14:paraId="496613C8">
            <w:pPr>
              <w:rPr>
                <w:rFonts w:hint="eastAsia" w:ascii="仿宋" w:hAnsi="仿宋" w:eastAsia="仿宋" w:cs="仿宋"/>
                <w:sz w:val="24"/>
                <w:szCs w:val="24"/>
                <w:highlight w:val="none"/>
              </w:rPr>
            </w:pPr>
          </w:p>
        </w:tc>
      </w:tr>
      <w:tr w14:paraId="5BC33982">
        <w:tblPrEx>
          <w:tblCellMar>
            <w:top w:w="0" w:type="dxa"/>
            <w:left w:w="108" w:type="dxa"/>
            <w:bottom w:w="0" w:type="dxa"/>
            <w:right w:w="108" w:type="dxa"/>
          </w:tblCellMar>
        </w:tblPrEx>
        <w:trPr>
          <w:trHeight w:val="998" w:hRule="atLeast"/>
        </w:trPr>
        <w:tc>
          <w:tcPr>
            <w:tcW w:w="580" w:type="dxa"/>
            <w:vMerge w:val="continue"/>
            <w:tcBorders>
              <w:top w:val="nil"/>
              <w:left w:val="single" w:color="auto" w:sz="4" w:space="0"/>
              <w:bottom w:val="single" w:color="auto" w:sz="4" w:space="0"/>
              <w:right w:val="single" w:color="auto" w:sz="4" w:space="0"/>
            </w:tcBorders>
            <w:vAlign w:val="center"/>
          </w:tcPr>
          <w:p w14:paraId="2AEBB2D5">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10FB8805">
            <w:pP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909" w:type="dxa"/>
            <w:tcBorders>
              <w:top w:val="nil"/>
              <w:left w:val="nil"/>
              <w:bottom w:val="single" w:color="auto" w:sz="4" w:space="0"/>
              <w:right w:val="single" w:color="auto" w:sz="4" w:space="0"/>
            </w:tcBorders>
            <w:shd w:val="clear" w:color="000000" w:fill="FFFFFF"/>
            <w:noWrap/>
            <w:vAlign w:val="center"/>
          </w:tcPr>
          <w:p w14:paraId="387EFCCA">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紫外线空气消毒器</w:t>
            </w:r>
          </w:p>
        </w:tc>
        <w:tc>
          <w:tcPr>
            <w:tcW w:w="636" w:type="dxa"/>
            <w:tcBorders>
              <w:top w:val="nil"/>
              <w:left w:val="nil"/>
              <w:bottom w:val="single" w:color="auto" w:sz="4" w:space="0"/>
              <w:right w:val="single" w:color="auto" w:sz="4" w:space="0"/>
            </w:tcBorders>
            <w:shd w:val="clear" w:color="000000" w:fill="FFFFFF"/>
            <w:noWrap/>
            <w:vAlign w:val="center"/>
          </w:tcPr>
          <w:p w14:paraId="1DEB393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2A0277C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2C8DDE4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采用紫外线消毒，杀菌广谱、彻底；内含初效过滤器，过滤毛发、粉尘等大尘埃颗粒；选用颗粒状活性炭复合净化板，可有效去除有机气体和医院药水等各种异味；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紫外线空气消毒器壳体采用注塑件，移动方便、防尘效果好、使用寿命长、安全系数高；</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四个万向脚轮，可任意移动；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人机共存，可在有人状态下进行连续动态消毒，对人及物品没有任何伤害；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整机重量≤22kg，可适用≥80m³体积及以下的场所；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紫外线杀菌灯寿命≥8000h；</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配备负离子发生器，所产生负离子密度≥6×106个/cm3；</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机内紫外线辐射照度≥17000μW/cm2；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光触媒抗菌除异味，采用电镜平均粒径≤10nm的锐钛型二氧化钛做光触媒，可有效的降解甲醛、苯、甲苯、二甲苯、TVOC等污染物，并具有高效广谱的消毒性能，能够杀灭和抑制细菌、真菌和病毒的存活。</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z w:val="24"/>
                <w:szCs w:val="24"/>
                <w:highlight w:val="none"/>
                <w14:textFill>
                  <w14:solidFill>
                    <w14:schemeClr w14:val="tx1"/>
                  </w14:solidFill>
                </w14:textFill>
              </w:rPr>
              <w:t>紫外线泄漏量：＜1uW/cm2；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设备持续工作时间≥1h，臭氧残留量＜0.003mg/m³。</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单根紫外线杀菌灯紫外线强度（1m）：≥148μW/cm2；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13.</w:t>
            </w:r>
            <w:r>
              <w:rPr>
                <w:rFonts w:hint="eastAsia" w:ascii="仿宋" w:hAnsi="仿宋" w:eastAsia="仿宋" w:cs="仿宋"/>
                <w:color w:val="000000" w:themeColor="text1"/>
                <w:sz w:val="24"/>
                <w:szCs w:val="24"/>
                <w:highlight w:val="none"/>
                <w14:textFill>
                  <w14:solidFill>
                    <w14:schemeClr w14:val="tx1"/>
                  </w14:solidFill>
                </w14:textFill>
              </w:rPr>
              <w:t>净化消毒效果要求：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1）对白色葡萄球菌杀灭率＞99.90%；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2）设备持续运行30min，对铜绿假单胞菌杀灭率≥99.98%，对龟分枝杆菌杀灭率≥99.99%，对黑曲霉菌杀灭率≥99.95%；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3）设备持续运行60min，对枯草杆菌黑色变种芽孢杀灭率≥99.99%；</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4）设备持续工作90min，对体积为100m3室内空气的自然菌平均消亡率均＞90%；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5）设备持续工作60min，对金黄色葡萄球菌杀灭率＞99.99%，对肺炎克雷伯氏菌杀灭率＞99.99%，对大肠杆菌杀灭率＞99.99%；</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6）设备持续工作60min，对冠状病毒HCoV-229E杀灭率＞99.99%，对甲型流感病毒H1N1杀灭率＞99.99%；</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7）设备持续工作60min，对气雾室鼠伤寒沙门氏菌、粘质沙雷氏菌、乙型溶血性链球菌杀灭率＞99.9%；</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8）设备持续工作60min，对气雾室新型冠状病毒SARS-CoV-2杀灭率＞99.9%；</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9）设备持续工作60min，对气雾室脊髓灰质炎病毒杀灭率＞99.99%；</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10）设备持续工作60min，对气雾室白色念珠菌杀灭率＞99.9%。</w:t>
            </w:r>
          </w:p>
        </w:tc>
        <w:tc>
          <w:tcPr>
            <w:tcW w:w="721" w:type="dxa"/>
            <w:tcBorders>
              <w:top w:val="nil"/>
              <w:left w:val="nil"/>
              <w:bottom w:val="single" w:color="auto" w:sz="4" w:space="0"/>
              <w:right w:val="single" w:color="auto" w:sz="4" w:space="0"/>
            </w:tcBorders>
            <w:shd w:val="clear" w:color="000000" w:fill="FFFFFF"/>
            <w:vAlign w:val="center"/>
          </w:tcPr>
          <w:p w14:paraId="33339977">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307FA8C6">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0A16489A">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12EF1949">
            <w:pP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909" w:type="dxa"/>
            <w:tcBorders>
              <w:top w:val="nil"/>
              <w:left w:val="nil"/>
              <w:bottom w:val="single" w:color="auto" w:sz="4" w:space="0"/>
              <w:right w:val="single" w:color="auto" w:sz="4" w:space="0"/>
            </w:tcBorders>
            <w:shd w:val="clear" w:color="000000" w:fill="FFFFFF"/>
            <w:noWrap/>
            <w:vAlign w:val="center"/>
          </w:tcPr>
          <w:p w14:paraId="6FA0DA8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产后访视包</w:t>
            </w:r>
          </w:p>
        </w:tc>
        <w:tc>
          <w:tcPr>
            <w:tcW w:w="636" w:type="dxa"/>
            <w:tcBorders>
              <w:top w:val="nil"/>
              <w:left w:val="nil"/>
              <w:bottom w:val="single" w:color="auto" w:sz="4" w:space="0"/>
              <w:right w:val="single" w:color="auto" w:sz="4" w:space="0"/>
            </w:tcBorders>
            <w:shd w:val="clear" w:color="000000" w:fill="FFFFFF"/>
            <w:noWrap/>
            <w:vAlign w:val="center"/>
          </w:tcPr>
          <w:p w14:paraId="612479A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5D5AFE1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w:t>
            </w:r>
          </w:p>
        </w:tc>
        <w:tc>
          <w:tcPr>
            <w:tcW w:w="5652" w:type="dxa"/>
            <w:tcBorders>
              <w:top w:val="nil"/>
              <w:left w:val="nil"/>
              <w:bottom w:val="single" w:color="auto" w:sz="4" w:space="0"/>
              <w:right w:val="single" w:color="auto" w:sz="4" w:space="0"/>
            </w:tcBorders>
            <w:shd w:val="clear" w:color="000000" w:fill="FFFFFF"/>
            <w:vAlign w:val="center"/>
          </w:tcPr>
          <w:p w14:paraId="4A0A10F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多功能母婴秤</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1.新生儿身长测量：头顶部垂直定位装置（垂直高度≥7.5cm,高于新生儿头顶中心位置以达到有效身长测量初始定位），身长测量精度±0.1cm；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2.头部初始垂直定位面采用柔软材料安全性，秤面可拉伸的面板在拉伸前及拉伸后应有锁紧装置以确保新生儿安全。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3.头部的垂直定位装置配备保护新生儿头部的软头垫，长度＞20cm及宽度＞15cm；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4.便携式访视包（双肩包）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5.儿童健康生长发育专业分析软件；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6.婴幼儿体重测量范围：0-20kg，测量精度：±0.05kg；</w:t>
            </w:r>
          </w:p>
          <w:p w14:paraId="0509FD61">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婴幼儿身长测量范围：41-84cm；</w:t>
            </w:r>
          </w:p>
          <w:p w14:paraId="779D2E8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婴儿身高（卧式）测量滑杆 ；一体化旋转折叠结构，</w:t>
            </w:r>
          </w:p>
          <w:p w14:paraId="1A3A92B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测量产后妈妈及孕妇体重：量程0-100KG；</w:t>
            </w:r>
          </w:p>
          <w:p w14:paraId="442B701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具备自动断电功能，纽扣电池供电；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color w:val="000000" w:themeColor="text1"/>
                <w:sz w:val="24"/>
                <w:szCs w:val="24"/>
                <w:highlight w:val="none"/>
                <w14:textFill>
                  <w14:solidFill>
                    <w14:schemeClr w14:val="tx1"/>
                  </w14:solidFill>
                </w14:textFill>
              </w:rPr>
              <w:t>.其它：血压表，听诊器（双听），体温计， 拆线剪,药水瓶（盛放碘伏、酒精或双氧水的容器）, 不锈钢消毒盘, 纱布绷带，消毒棉签，棉球，软皮尺，鞋套等访视用品。</w:t>
            </w:r>
          </w:p>
        </w:tc>
        <w:tc>
          <w:tcPr>
            <w:tcW w:w="721" w:type="dxa"/>
            <w:tcBorders>
              <w:top w:val="nil"/>
              <w:left w:val="nil"/>
              <w:bottom w:val="single" w:color="auto" w:sz="4" w:space="0"/>
              <w:right w:val="single" w:color="auto" w:sz="4" w:space="0"/>
            </w:tcBorders>
            <w:shd w:val="clear" w:color="000000" w:fill="FFFFFF"/>
            <w:vAlign w:val="center"/>
          </w:tcPr>
          <w:p w14:paraId="138050DB">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w:t>
            </w:r>
          </w:p>
        </w:tc>
      </w:tr>
      <w:tr w14:paraId="33792F04">
        <w:tblPrEx>
          <w:tblCellMar>
            <w:top w:w="0" w:type="dxa"/>
            <w:left w:w="108" w:type="dxa"/>
            <w:bottom w:w="0" w:type="dxa"/>
            <w:right w:w="108" w:type="dxa"/>
          </w:tblCellMar>
        </w:tblPrEx>
        <w:trPr>
          <w:trHeight w:val="718" w:hRule="atLeast"/>
        </w:trPr>
        <w:tc>
          <w:tcPr>
            <w:tcW w:w="580" w:type="dxa"/>
            <w:vMerge w:val="continue"/>
            <w:tcBorders>
              <w:top w:val="nil"/>
              <w:left w:val="single" w:color="auto" w:sz="4" w:space="0"/>
              <w:bottom w:val="single" w:color="auto" w:sz="4" w:space="0"/>
              <w:right w:val="single" w:color="auto" w:sz="4" w:space="0"/>
            </w:tcBorders>
            <w:vAlign w:val="center"/>
          </w:tcPr>
          <w:p w14:paraId="03AE3D52">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46593601">
            <w:pP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909" w:type="dxa"/>
            <w:tcBorders>
              <w:top w:val="nil"/>
              <w:left w:val="nil"/>
              <w:bottom w:val="single" w:color="auto" w:sz="4" w:space="0"/>
              <w:right w:val="single" w:color="auto" w:sz="4" w:space="0"/>
            </w:tcBorders>
            <w:shd w:val="clear" w:color="000000" w:fill="FFFFFF"/>
            <w:noWrap/>
            <w:vAlign w:val="center"/>
          </w:tcPr>
          <w:p w14:paraId="7656F0C9">
            <w:pPr>
              <w:rPr>
                <w:rFonts w:hint="eastAsia" w:ascii="仿宋" w:hAnsi="仿宋" w:eastAsia="仿宋" w:cs="仿宋"/>
                <w:sz w:val="24"/>
                <w:szCs w:val="24"/>
                <w:highlight w:val="none"/>
              </w:rPr>
            </w:pPr>
            <w:r>
              <w:rPr>
                <w:rFonts w:hint="eastAsia" w:ascii="仿宋" w:hAnsi="仿宋" w:eastAsia="仿宋" w:cs="仿宋"/>
                <w:sz w:val="24"/>
                <w:szCs w:val="24"/>
                <w:highlight w:val="none"/>
              </w:rPr>
              <w:t>压缩空气式雾化器</w:t>
            </w:r>
          </w:p>
        </w:tc>
        <w:tc>
          <w:tcPr>
            <w:tcW w:w="636" w:type="dxa"/>
            <w:tcBorders>
              <w:top w:val="nil"/>
              <w:left w:val="nil"/>
              <w:bottom w:val="single" w:color="auto" w:sz="4" w:space="0"/>
              <w:right w:val="single" w:color="auto" w:sz="4" w:space="0"/>
            </w:tcBorders>
            <w:shd w:val="clear" w:color="000000" w:fill="FFFFFF"/>
            <w:noWrap/>
            <w:vAlign w:val="center"/>
          </w:tcPr>
          <w:p w14:paraId="592A05E9">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4750B31C">
            <w:pP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5652" w:type="dxa"/>
            <w:tcBorders>
              <w:top w:val="nil"/>
              <w:left w:val="nil"/>
              <w:bottom w:val="single" w:color="auto" w:sz="4" w:space="0"/>
              <w:right w:val="single" w:color="auto" w:sz="4" w:space="0"/>
            </w:tcBorders>
            <w:shd w:val="clear" w:color="000000" w:fill="FFFFFF"/>
            <w:vAlign w:val="center"/>
          </w:tcPr>
          <w:p w14:paraId="4CF01314">
            <w:p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电源电压：AC220V±220V，50Hz±1Hz</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最大雾化率：≥0.2mL/min</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压缩泵自由空气流量：≥10L/min</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噪音：≤60dB（A）</w:t>
            </w:r>
          </w:p>
        </w:tc>
        <w:tc>
          <w:tcPr>
            <w:tcW w:w="721" w:type="dxa"/>
            <w:tcBorders>
              <w:top w:val="nil"/>
              <w:left w:val="nil"/>
              <w:bottom w:val="single" w:color="auto" w:sz="4" w:space="0"/>
              <w:right w:val="single" w:color="auto" w:sz="4" w:space="0"/>
            </w:tcBorders>
            <w:shd w:val="clear" w:color="000000" w:fill="FFFFFF"/>
            <w:vAlign w:val="center"/>
          </w:tcPr>
          <w:p w14:paraId="1DCEE5FF">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6657DCA8">
        <w:tblPrEx>
          <w:tblCellMar>
            <w:top w:w="0" w:type="dxa"/>
            <w:left w:w="108" w:type="dxa"/>
            <w:bottom w:w="0" w:type="dxa"/>
            <w:right w:w="108" w:type="dxa"/>
          </w:tblCellMar>
        </w:tblPrEx>
        <w:trPr>
          <w:trHeight w:val="422" w:hRule="atLeast"/>
        </w:trPr>
        <w:tc>
          <w:tcPr>
            <w:tcW w:w="580" w:type="dxa"/>
            <w:vMerge w:val="continue"/>
            <w:tcBorders>
              <w:top w:val="nil"/>
              <w:left w:val="single" w:color="auto" w:sz="4" w:space="0"/>
              <w:bottom w:val="single" w:color="auto" w:sz="4" w:space="0"/>
              <w:right w:val="single" w:color="auto" w:sz="4" w:space="0"/>
            </w:tcBorders>
            <w:vAlign w:val="center"/>
          </w:tcPr>
          <w:p w14:paraId="160ACCEF">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6A115037">
            <w:pP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909" w:type="dxa"/>
            <w:tcBorders>
              <w:top w:val="nil"/>
              <w:left w:val="nil"/>
              <w:bottom w:val="single" w:color="auto" w:sz="4" w:space="0"/>
              <w:right w:val="single" w:color="auto" w:sz="4" w:space="0"/>
            </w:tcBorders>
            <w:shd w:val="clear" w:color="000000" w:fill="FFFFFF"/>
            <w:noWrap/>
            <w:vAlign w:val="center"/>
          </w:tcPr>
          <w:p w14:paraId="7B070AB4">
            <w:pPr>
              <w:rPr>
                <w:rFonts w:hint="eastAsia" w:ascii="仿宋" w:hAnsi="仿宋" w:eastAsia="仿宋" w:cs="仿宋"/>
                <w:sz w:val="24"/>
                <w:szCs w:val="24"/>
                <w:highlight w:val="none"/>
              </w:rPr>
            </w:pPr>
            <w:r>
              <w:rPr>
                <w:rFonts w:hint="eastAsia" w:ascii="仿宋" w:hAnsi="仿宋" w:eastAsia="仿宋" w:cs="仿宋"/>
                <w:sz w:val="24"/>
                <w:szCs w:val="24"/>
                <w:highlight w:val="none"/>
              </w:rPr>
              <w:t>全自动洗胃机</w:t>
            </w:r>
          </w:p>
        </w:tc>
        <w:tc>
          <w:tcPr>
            <w:tcW w:w="636" w:type="dxa"/>
            <w:tcBorders>
              <w:top w:val="nil"/>
              <w:left w:val="nil"/>
              <w:bottom w:val="single" w:color="auto" w:sz="4" w:space="0"/>
              <w:right w:val="single" w:color="auto" w:sz="4" w:space="0"/>
            </w:tcBorders>
            <w:shd w:val="clear" w:color="000000" w:fill="FFFFFF"/>
            <w:noWrap/>
            <w:vAlign w:val="center"/>
          </w:tcPr>
          <w:p w14:paraId="2C264524">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482832CB">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5652" w:type="dxa"/>
            <w:tcBorders>
              <w:top w:val="nil"/>
              <w:left w:val="nil"/>
              <w:bottom w:val="single" w:color="auto" w:sz="4" w:space="0"/>
              <w:right w:val="single" w:color="auto" w:sz="4" w:space="0"/>
            </w:tcBorders>
            <w:shd w:val="clear" w:color="000000" w:fill="FFFFFF"/>
            <w:vAlign w:val="center"/>
          </w:tcPr>
          <w:p w14:paraId="337523C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适合医疗单位抢救服毒、食物中毒患者手术前洗胃。</w:t>
            </w:r>
          </w:p>
          <w:p w14:paraId="3D4A35D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全塑外壳；</w:t>
            </w:r>
          </w:p>
          <w:p w14:paraId="42283E8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采用无油膜式泵，</w:t>
            </w:r>
          </w:p>
          <w:p w14:paraId="3548CAE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CPU控制，</w:t>
            </w:r>
          </w:p>
          <w:p w14:paraId="158AC5B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压力传感元件，具有自动压力反馈控制系统，无需人工调节；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机器无堵塞卡死现象，具有进出胃液量平衡功能；</w:t>
            </w:r>
          </w:p>
          <w:p w14:paraId="63E25B93">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中文液晶显示洗胃压力和洗胃次数；</w:t>
            </w:r>
          </w:p>
          <w:p w14:paraId="3F099A2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洗胃次数可以设置，进出胃压力可以调节。</w:t>
            </w:r>
          </w:p>
          <w:p w14:paraId="556666FB">
            <w:pPr>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泵结构：无油膜式泵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进出胃液量：冲液量（进胃）≤350ml/次，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吸液量（出胃）≤450ml/次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洗胃压力：0-50KPa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洗胃频次：≤20S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噪音：≤55dB</w:t>
            </w:r>
          </w:p>
        </w:tc>
        <w:tc>
          <w:tcPr>
            <w:tcW w:w="721" w:type="dxa"/>
            <w:tcBorders>
              <w:top w:val="nil"/>
              <w:left w:val="nil"/>
              <w:bottom w:val="single" w:color="auto" w:sz="4" w:space="0"/>
              <w:right w:val="single" w:color="auto" w:sz="4" w:space="0"/>
            </w:tcBorders>
            <w:shd w:val="clear" w:color="000000" w:fill="FFFFFF"/>
            <w:vAlign w:val="center"/>
          </w:tcPr>
          <w:p w14:paraId="6981FB21">
            <w:pPr>
              <w:rPr>
                <w:rFonts w:hint="eastAsia" w:ascii="仿宋" w:hAnsi="仿宋" w:eastAsia="仿宋" w:cs="仿宋"/>
                <w:sz w:val="24"/>
                <w:szCs w:val="24"/>
                <w:highlight w:val="none"/>
              </w:rPr>
            </w:pPr>
          </w:p>
        </w:tc>
      </w:tr>
      <w:tr w14:paraId="62D2F744">
        <w:tblPrEx>
          <w:tblCellMar>
            <w:top w:w="0" w:type="dxa"/>
            <w:left w:w="108" w:type="dxa"/>
            <w:bottom w:w="0" w:type="dxa"/>
            <w:right w:w="108" w:type="dxa"/>
          </w:tblCellMar>
        </w:tblPrEx>
        <w:trPr>
          <w:trHeight w:val="4806" w:hRule="atLeast"/>
        </w:trPr>
        <w:tc>
          <w:tcPr>
            <w:tcW w:w="580" w:type="dxa"/>
            <w:vMerge w:val="continue"/>
            <w:tcBorders>
              <w:top w:val="nil"/>
              <w:left w:val="single" w:color="auto" w:sz="4" w:space="0"/>
              <w:bottom w:val="single" w:color="auto" w:sz="4" w:space="0"/>
              <w:right w:val="single" w:color="auto" w:sz="4" w:space="0"/>
            </w:tcBorders>
            <w:vAlign w:val="center"/>
          </w:tcPr>
          <w:p w14:paraId="5BE9FA87">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29D45C4F">
            <w:pP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909" w:type="dxa"/>
            <w:tcBorders>
              <w:top w:val="nil"/>
              <w:left w:val="nil"/>
              <w:bottom w:val="single" w:color="auto" w:sz="4" w:space="0"/>
              <w:right w:val="single" w:color="auto" w:sz="4" w:space="0"/>
            </w:tcBorders>
            <w:shd w:val="clear" w:color="000000" w:fill="FFFFFF"/>
            <w:noWrap/>
            <w:vAlign w:val="center"/>
          </w:tcPr>
          <w:p w14:paraId="1FF14DD9">
            <w:pPr>
              <w:rPr>
                <w:rFonts w:hint="eastAsia" w:ascii="仿宋" w:hAnsi="仿宋" w:eastAsia="仿宋" w:cs="仿宋"/>
                <w:sz w:val="24"/>
                <w:szCs w:val="24"/>
                <w:highlight w:val="none"/>
              </w:rPr>
            </w:pPr>
            <w:r>
              <w:rPr>
                <w:rFonts w:hint="eastAsia" w:ascii="仿宋" w:hAnsi="仿宋" w:eastAsia="仿宋" w:cs="仿宋"/>
                <w:sz w:val="24"/>
                <w:szCs w:val="24"/>
                <w:highlight w:val="none"/>
              </w:rPr>
              <w:t>简易呼吸器（小儿型）</w:t>
            </w:r>
          </w:p>
        </w:tc>
        <w:tc>
          <w:tcPr>
            <w:tcW w:w="636" w:type="dxa"/>
            <w:tcBorders>
              <w:top w:val="nil"/>
              <w:left w:val="nil"/>
              <w:bottom w:val="single" w:color="auto" w:sz="4" w:space="0"/>
              <w:right w:val="single" w:color="auto" w:sz="4" w:space="0"/>
            </w:tcBorders>
            <w:shd w:val="clear" w:color="000000" w:fill="FFFFFF"/>
            <w:noWrap/>
            <w:vAlign w:val="center"/>
          </w:tcPr>
          <w:p w14:paraId="5ED3DEEC">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705C7764">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150FAA86">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由呼吸球、面罩、呼吸阀阀体、呼吸阀活瓣、压气阀、进气阀活瓣、面罩接头、开气阀阀体、储气袋、氧气连接管、口腔通气管、开口器组成。</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呼吸球材质为：PVC材质</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按压体积为：350ml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呼气阻抗（30L/min时）：＜40cmH2O</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5</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安全阀压力设定：当大于40cmH2O时，自动开启</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6</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平均死腔逆止阀7ml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7</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球体容积为：≥550ml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储气袋容积为:≥1000ml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9</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呼吸球患者接头内径不小于15mm外径不小于22mm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10</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呼吸球接头≥25mm内径</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接储气袋端为内径≥29mm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氧气接头外径≥6 mm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操作方式：单手操作</w:t>
            </w:r>
          </w:p>
        </w:tc>
        <w:tc>
          <w:tcPr>
            <w:tcW w:w="721" w:type="dxa"/>
            <w:tcBorders>
              <w:top w:val="nil"/>
              <w:left w:val="nil"/>
              <w:bottom w:val="single" w:color="auto" w:sz="4" w:space="0"/>
              <w:right w:val="single" w:color="auto" w:sz="4" w:space="0"/>
            </w:tcBorders>
            <w:shd w:val="clear" w:color="000000" w:fill="FFFFFF"/>
            <w:vAlign w:val="center"/>
          </w:tcPr>
          <w:p w14:paraId="794429F8">
            <w:pPr>
              <w:rPr>
                <w:rFonts w:hint="eastAsia" w:ascii="仿宋" w:hAnsi="仿宋" w:eastAsia="仿宋" w:cs="仿宋"/>
                <w:sz w:val="24"/>
                <w:szCs w:val="24"/>
                <w:highlight w:val="none"/>
              </w:rPr>
            </w:pPr>
          </w:p>
        </w:tc>
      </w:tr>
      <w:tr w14:paraId="7AEA6FB6">
        <w:tblPrEx>
          <w:tblCellMar>
            <w:top w:w="0" w:type="dxa"/>
            <w:left w:w="108" w:type="dxa"/>
            <w:bottom w:w="0" w:type="dxa"/>
            <w:right w:w="108" w:type="dxa"/>
          </w:tblCellMar>
        </w:tblPrEx>
        <w:trPr>
          <w:trHeight w:val="4830" w:hRule="atLeast"/>
        </w:trPr>
        <w:tc>
          <w:tcPr>
            <w:tcW w:w="580" w:type="dxa"/>
            <w:vMerge w:val="continue"/>
            <w:tcBorders>
              <w:top w:val="nil"/>
              <w:left w:val="single" w:color="auto" w:sz="4" w:space="0"/>
              <w:bottom w:val="single" w:color="auto" w:sz="4" w:space="0"/>
              <w:right w:val="single" w:color="auto" w:sz="4" w:space="0"/>
            </w:tcBorders>
            <w:vAlign w:val="center"/>
          </w:tcPr>
          <w:p w14:paraId="7171651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1DE53890">
            <w:pP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909" w:type="dxa"/>
            <w:tcBorders>
              <w:top w:val="nil"/>
              <w:left w:val="nil"/>
              <w:bottom w:val="single" w:color="auto" w:sz="4" w:space="0"/>
              <w:right w:val="single" w:color="auto" w:sz="4" w:space="0"/>
            </w:tcBorders>
            <w:shd w:val="clear" w:color="000000" w:fill="FFFFFF"/>
            <w:noWrap/>
            <w:vAlign w:val="center"/>
          </w:tcPr>
          <w:p w14:paraId="752DB5E0">
            <w:pPr>
              <w:rPr>
                <w:rFonts w:hint="eastAsia" w:ascii="仿宋" w:hAnsi="仿宋" w:eastAsia="仿宋" w:cs="仿宋"/>
                <w:sz w:val="24"/>
                <w:szCs w:val="24"/>
                <w:highlight w:val="none"/>
              </w:rPr>
            </w:pPr>
            <w:r>
              <w:rPr>
                <w:rFonts w:hint="eastAsia" w:ascii="仿宋" w:hAnsi="仿宋" w:eastAsia="仿宋" w:cs="仿宋"/>
                <w:sz w:val="24"/>
                <w:szCs w:val="24"/>
                <w:highlight w:val="none"/>
              </w:rPr>
              <w:t>简易呼吸器</w:t>
            </w:r>
          </w:p>
        </w:tc>
        <w:tc>
          <w:tcPr>
            <w:tcW w:w="636" w:type="dxa"/>
            <w:tcBorders>
              <w:top w:val="nil"/>
              <w:left w:val="nil"/>
              <w:bottom w:val="single" w:color="auto" w:sz="4" w:space="0"/>
              <w:right w:val="single" w:color="auto" w:sz="4" w:space="0"/>
            </w:tcBorders>
            <w:shd w:val="clear" w:color="000000" w:fill="FFFFFF"/>
            <w:noWrap/>
            <w:vAlign w:val="center"/>
          </w:tcPr>
          <w:p w14:paraId="317EA97E">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004E2416">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5652" w:type="dxa"/>
            <w:tcBorders>
              <w:top w:val="nil"/>
              <w:left w:val="nil"/>
              <w:bottom w:val="single" w:color="auto" w:sz="4" w:space="0"/>
              <w:right w:val="single" w:color="auto" w:sz="4" w:space="0"/>
            </w:tcBorders>
            <w:shd w:val="clear" w:color="000000" w:fill="FFFFFF"/>
            <w:vAlign w:val="center"/>
          </w:tcPr>
          <w:p w14:paraId="26EB0F32">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由呼吸球、面罩、呼吸阀阀体、呼吸阀活瓣、压气阀、进气阀活瓣、面罩接头、开气阀阀体、储气袋、氧气连接管、口腔通气管、开口器组成。</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呼吸球材质为：PVC材质</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按压体积为：1350ml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呼气阻抗（50L/min时）：＜60cmH2O</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5</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安全阀压力设定：当大于60cmH2O时，自动开启。</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6</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平均死腔逆止阀7ml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7</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球体容积为：≥1600ml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储气袋容积为:≥2000ml</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9</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呼吸球患者接头内径不小于15mm外径不小于22mm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10</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呼吸球接头≥25mm内径</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接储气袋端为内径≥29mm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氧气接头外径≥6 mm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操作方式：双手操作</w:t>
            </w:r>
          </w:p>
        </w:tc>
        <w:tc>
          <w:tcPr>
            <w:tcW w:w="721" w:type="dxa"/>
            <w:tcBorders>
              <w:top w:val="nil"/>
              <w:left w:val="nil"/>
              <w:bottom w:val="single" w:color="auto" w:sz="4" w:space="0"/>
              <w:right w:val="single" w:color="auto" w:sz="4" w:space="0"/>
            </w:tcBorders>
            <w:shd w:val="clear" w:color="000000" w:fill="FFFFFF"/>
            <w:vAlign w:val="center"/>
          </w:tcPr>
          <w:p w14:paraId="218191F5">
            <w:pPr>
              <w:rPr>
                <w:rFonts w:hint="eastAsia" w:ascii="仿宋" w:hAnsi="仿宋" w:eastAsia="仿宋" w:cs="仿宋"/>
                <w:sz w:val="24"/>
                <w:szCs w:val="24"/>
                <w:highlight w:val="none"/>
              </w:rPr>
            </w:pPr>
          </w:p>
        </w:tc>
      </w:tr>
      <w:tr w14:paraId="786BEBA1">
        <w:tblPrEx>
          <w:tblCellMar>
            <w:top w:w="0" w:type="dxa"/>
            <w:left w:w="108" w:type="dxa"/>
            <w:bottom w:w="0" w:type="dxa"/>
            <w:right w:w="108" w:type="dxa"/>
          </w:tblCellMar>
        </w:tblPrEx>
        <w:trPr>
          <w:trHeight w:val="230" w:hRule="atLeast"/>
        </w:trPr>
        <w:tc>
          <w:tcPr>
            <w:tcW w:w="580" w:type="dxa"/>
            <w:vMerge w:val="continue"/>
            <w:tcBorders>
              <w:top w:val="nil"/>
              <w:left w:val="single" w:color="auto" w:sz="4" w:space="0"/>
              <w:bottom w:val="single" w:color="auto" w:sz="4" w:space="0"/>
              <w:right w:val="single" w:color="auto" w:sz="4" w:space="0"/>
            </w:tcBorders>
            <w:vAlign w:val="center"/>
          </w:tcPr>
          <w:p w14:paraId="520465F1">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7D9540E3">
            <w:pP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909" w:type="dxa"/>
            <w:tcBorders>
              <w:top w:val="nil"/>
              <w:left w:val="nil"/>
              <w:bottom w:val="single" w:color="auto" w:sz="4" w:space="0"/>
              <w:right w:val="single" w:color="auto" w:sz="4" w:space="0"/>
            </w:tcBorders>
            <w:shd w:val="clear" w:color="000000" w:fill="FFFFFF"/>
            <w:vAlign w:val="center"/>
          </w:tcPr>
          <w:p w14:paraId="7DA874F3">
            <w:pPr>
              <w:rPr>
                <w:rFonts w:hint="eastAsia" w:ascii="仿宋" w:hAnsi="仿宋" w:eastAsia="仿宋" w:cs="仿宋"/>
                <w:sz w:val="24"/>
                <w:szCs w:val="24"/>
                <w:highlight w:val="none"/>
              </w:rPr>
            </w:pPr>
            <w:r>
              <w:rPr>
                <w:rFonts w:hint="eastAsia" w:ascii="仿宋" w:hAnsi="仿宋" w:eastAsia="仿宋" w:cs="仿宋"/>
                <w:sz w:val="24"/>
                <w:szCs w:val="24"/>
                <w:highlight w:val="none"/>
              </w:rPr>
              <w:t>制氧机</w:t>
            </w:r>
          </w:p>
        </w:tc>
        <w:tc>
          <w:tcPr>
            <w:tcW w:w="636" w:type="dxa"/>
            <w:tcBorders>
              <w:top w:val="nil"/>
              <w:left w:val="nil"/>
              <w:bottom w:val="single" w:color="auto" w:sz="4" w:space="0"/>
              <w:right w:val="single" w:color="auto" w:sz="4" w:space="0"/>
            </w:tcBorders>
            <w:shd w:val="clear" w:color="000000" w:fill="FFFFFF"/>
            <w:noWrap/>
            <w:vAlign w:val="center"/>
          </w:tcPr>
          <w:p w14:paraId="4481D11E">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11EFC969">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5652" w:type="dxa"/>
            <w:tcBorders>
              <w:top w:val="nil"/>
              <w:left w:val="nil"/>
              <w:bottom w:val="single" w:color="auto" w:sz="4" w:space="0"/>
              <w:right w:val="single" w:color="auto" w:sz="4" w:space="0"/>
            </w:tcBorders>
            <w:shd w:val="clear" w:color="000000" w:fill="FFFFFF"/>
            <w:vAlign w:val="center"/>
          </w:tcPr>
          <w:p w14:paraId="6928078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最大推荐流量：5L/min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出口标称压力为零和7kPa时的流量范围：0.5~5L/min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在最大推荐流量时， 施加7kPa的背压， 流量变化：≤0.5L/min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出口标称压力为零时的氧浓度(在初始开机30min内， 达到规定的浓度水平) ：氧流量0.5~5L/min时， 氧浓度≥90%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输出压力：40~70kPa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压缩机安全阀释放压力：250kPa±50kPa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噪声：≤60dB(A)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雾化率：≥0.1mL/min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海拔高度：海平面至1828米时不会降低氧浓度，从1828米至4000米时氧浓度</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90%。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z w:val="24"/>
                <w:szCs w:val="24"/>
                <w:highlight w:val="none"/>
                <w14:textFill>
                  <w14:solidFill>
                    <w14:schemeClr w14:val="tx1"/>
                  </w14:solidFill>
                </w14:textFill>
              </w:rPr>
              <w:t>安全系统：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·电流过载或连线松脱，停机；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·压缩机高温，停机；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·压力、循环故障，报警停机；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·压缩机故障，报警停机；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·低氧浓度，报警；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工作时间：≥30分钟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电气分类：Ⅱ类设备，BF型应用部分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工作制：连续运行</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防进液等级：IPX 0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氧气输出口温度：≤46℃</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16.</w:t>
            </w:r>
            <w:r>
              <w:rPr>
                <w:rFonts w:hint="eastAsia" w:ascii="仿宋" w:hAnsi="仿宋" w:eastAsia="仿宋" w:cs="仿宋"/>
                <w:color w:val="000000" w:themeColor="text1"/>
                <w:sz w:val="24"/>
                <w:szCs w:val="24"/>
                <w:highlight w:val="none"/>
                <w14:textFill>
                  <w14:solidFill>
                    <w14:schemeClr w14:val="tx1"/>
                  </w14:solidFill>
                </w14:textFill>
              </w:rPr>
              <w:t>设备类型：非AP/APG设备(不能在有与空气混合的易燃麻醉气或与氧或氧化亚氮混合的易燃麻醉气情况下使用)</w:t>
            </w:r>
          </w:p>
        </w:tc>
        <w:tc>
          <w:tcPr>
            <w:tcW w:w="721" w:type="dxa"/>
            <w:tcBorders>
              <w:top w:val="nil"/>
              <w:left w:val="nil"/>
              <w:bottom w:val="single" w:color="auto" w:sz="4" w:space="0"/>
              <w:right w:val="single" w:color="auto" w:sz="4" w:space="0"/>
            </w:tcBorders>
            <w:shd w:val="clear" w:color="000000" w:fill="FFFFFF"/>
            <w:vAlign w:val="center"/>
          </w:tcPr>
          <w:p w14:paraId="2613E900">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64AE1F15">
        <w:tblPrEx>
          <w:tblCellMar>
            <w:top w:w="0" w:type="dxa"/>
            <w:left w:w="108" w:type="dxa"/>
            <w:bottom w:w="0" w:type="dxa"/>
            <w:right w:w="108" w:type="dxa"/>
          </w:tblCellMar>
        </w:tblPrEx>
        <w:trPr>
          <w:trHeight w:val="4452" w:hRule="atLeast"/>
        </w:trPr>
        <w:tc>
          <w:tcPr>
            <w:tcW w:w="580" w:type="dxa"/>
            <w:vMerge w:val="continue"/>
            <w:tcBorders>
              <w:top w:val="nil"/>
              <w:left w:val="single" w:color="auto" w:sz="4" w:space="0"/>
              <w:bottom w:val="single" w:color="auto" w:sz="4" w:space="0"/>
              <w:right w:val="single" w:color="auto" w:sz="4" w:space="0"/>
            </w:tcBorders>
            <w:vAlign w:val="center"/>
          </w:tcPr>
          <w:p w14:paraId="0FC07530">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8E40FC1">
            <w:pPr>
              <w:rPr>
                <w:rFonts w:hint="eastAsia" w:ascii="仿宋" w:hAnsi="仿宋" w:eastAsia="仿宋" w:cs="仿宋"/>
                <w:sz w:val="24"/>
                <w:szCs w:val="24"/>
                <w:highlight w:val="none"/>
              </w:rPr>
            </w:pPr>
            <w:r>
              <w:rPr>
                <w:rFonts w:hint="eastAsia" w:ascii="仿宋" w:hAnsi="仿宋" w:eastAsia="仿宋" w:cs="仿宋"/>
                <w:sz w:val="24"/>
                <w:szCs w:val="24"/>
                <w:highlight w:val="none"/>
              </w:rPr>
              <w:t>17</w:t>
            </w:r>
          </w:p>
        </w:tc>
        <w:tc>
          <w:tcPr>
            <w:tcW w:w="909" w:type="dxa"/>
            <w:tcBorders>
              <w:top w:val="nil"/>
              <w:left w:val="nil"/>
              <w:bottom w:val="single" w:color="auto" w:sz="4" w:space="0"/>
              <w:right w:val="single" w:color="auto" w:sz="4" w:space="0"/>
            </w:tcBorders>
            <w:shd w:val="clear" w:color="000000" w:fill="FFFFFF"/>
            <w:noWrap/>
            <w:vAlign w:val="center"/>
          </w:tcPr>
          <w:p w14:paraId="0BC6318D">
            <w:pPr>
              <w:rPr>
                <w:rFonts w:hint="eastAsia" w:ascii="仿宋" w:hAnsi="仿宋" w:eastAsia="仿宋" w:cs="仿宋"/>
                <w:sz w:val="24"/>
                <w:szCs w:val="24"/>
                <w:highlight w:val="none"/>
              </w:rPr>
            </w:pPr>
            <w:r>
              <w:rPr>
                <w:rFonts w:hint="eastAsia" w:ascii="仿宋" w:hAnsi="仿宋" w:eastAsia="仿宋" w:cs="仿宋"/>
                <w:sz w:val="24"/>
                <w:szCs w:val="24"/>
                <w:highlight w:val="none"/>
              </w:rPr>
              <w:t>红外光灸疗机</w:t>
            </w:r>
          </w:p>
        </w:tc>
        <w:tc>
          <w:tcPr>
            <w:tcW w:w="636" w:type="dxa"/>
            <w:tcBorders>
              <w:top w:val="nil"/>
              <w:left w:val="nil"/>
              <w:bottom w:val="single" w:color="auto" w:sz="4" w:space="0"/>
              <w:right w:val="single" w:color="auto" w:sz="4" w:space="0"/>
            </w:tcBorders>
            <w:shd w:val="clear" w:color="000000" w:fill="FFFFFF"/>
            <w:noWrap/>
            <w:vAlign w:val="center"/>
          </w:tcPr>
          <w:p w14:paraId="7735DFE4">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41A35F60">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7CD55F88">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适用范围：用于颈肩腰腿疼、急慢性软组织损伤引起疼痛的辅助治疗，联合艾灸进行辅助治疗。</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输出通道：单通道。</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支架高度调节范围：460～1400mm，允差±30mm。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显示方式：数码管显示。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治疗头：支持三维旋转方向；具有磁吸装置，确保在不同位置下盖子不掉落。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艾灸能量裙，使艾灸集中于病灶，又避免暴露隐私。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红外光波长范围：580nm～1050nm。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输出光功率：0- 10W可调。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光疗档位：多档可调。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艾灸加热温度：100℃～160℃可调，允差±10℃。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工作时间：1min～99min 可调，允差±60s。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具有两路独立的温度保护装置。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红光和艾灸可单独或同时使用。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具备防倾倒保护功能。</w:t>
            </w:r>
          </w:p>
          <w:p w14:paraId="44AA2A8A">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无烟灸疗，自动控温。</w:t>
            </w:r>
          </w:p>
        </w:tc>
        <w:tc>
          <w:tcPr>
            <w:tcW w:w="721" w:type="dxa"/>
            <w:tcBorders>
              <w:top w:val="nil"/>
              <w:left w:val="nil"/>
              <w:bottom w:val="single" w:color="auto" w:sz="4" w:space="0"/>
              <w:right w:val="single" w:color="auto" w:sz="4" w:space="0"/>
            </w:tcBorders>
            <w:shd w:val="clear" w:color="000000" w:fill="FFFFFF"/>
            <w:vAlign w:val="center"/>
          </w:tcPr>
          <w:p w14:paraId="2A7E6045">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3631661F">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0AE15F01">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08CDDAE2">
            <w:pPr>
              <w:rPr>
                <w:rFonts w:hint="eastAsia" w:ascii="仿宋" w:hAnsi="仿宋" w:eastAsia="仿宋" w:cs="仿宋"/>
                <w:sz w:val="24"/>
                <w:szCs w:val="24"/>
                <w:highlight w:val="none"/>
              </w:rPr>
            </w:pPr>
            <w:r>
              <w:rPr>
                <w:rFonts w:hint="eastAsia" w:ascii="仿宋" w:hAnsi="仿宋" w:eastAsia="仿宋" w:cs="仿宋"/>
                <w:sz w:val="24"/>
                <w:szCs w:val="24"/>
                <w:highlight w:val="none"/>
              </w:rPr>
              <w:t>18</w:t>
            </w:r>
          </w:p>
        </w:tc>
        <w:tc>
          <w:tcPr>
            <w:tcW w:w="909" w:type="dxa"/>
            <w:tcBorders>
              <w:top w:val="nil"/>
              <w:left w:val="nil"/>
              <w:bottom w:val="single" w:color="auto" w:sz="4" w:space="0"/>
              <w:right w:val="single" w:color="auto" w:sz="4" w:space="0"/>
            </w:tcBorders>
            <w:shd w:val="clear" w:color="000000" w:fill="FFFFFF"/>
            <w:noWrap/>
            <w:vAlign w:val="center"/>
          </w:tcPr>
          <w:p w14:paraId="249FA78F">
            <w:pPr>
              <w:rPr>
                <w:rFonts w:hint="eastAsia" w:ascii="仿宋" w:hAnsi="仿宋" w:eastAsia="仿宋" w:cs="仿宋"/>
                <w:sz w:val="24"/>
                <w:szCs w:val="24"/>
                <w:highlight w:val="none"/>
              </w:rPr>
            </w:pPr>
            <w:r>
              <w:rPr>
                <w:rFonts w:hint="eastAsia" w:ascii="仿宋" w:hAnsi="仿宋" w:eastAsia="仿宋" w:cs="仿宋"/>
                <w:sz w:val="24"/>
                <w:szCs w:val="24"/>
                <w:highlight w:val="none"/>
              </w:rPr>
              <w:t>微波治疗仪</w:t>
            </w:r>
          </w:p>
        </w:tc>
        <w:tc>
          <w:tcPr>
            <w:tcW w:w="636" w:type="dxa"/>
            <w:tcBorders>
              <w:top w:val="nil"/>
              <w:left w:val="nil"/>
              <w:bottom w:val="single" w:color="auto" w:sz="4" w:space="0"/>
              <w:right w:val="single" w:color="auto" w:sz="4" w:space="0"/>
            </w:tcBorders>
            <w:shd w:val="clear" w:color="000000" w:fill="FFFFFF"/>
            <w:noWrap/>
            <w:vAlign w:val="center"/>
          </w:tcPr>
          <w:p w14:paraId="34602ECC">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6942264C">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03D43EE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适用范围：用于消炎、止痛、改善微循环、促进炎症吸收以及妇科尖锐湿疣和宫颈糜烂的治疗。</w:t>
            </w:r>
          </w:p>
          <w:p w14:paraId="78B9A77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整机输入功率：≤400W</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单微波源，输出功率：≥80W</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微波频率：2450MHz±30MHz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显示方式:数码显示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功率范围：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①理疗：0W—30W之间，连续可调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②治疗：0W—80W之间，连续可调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治疗时间定时范围：0—99S可调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理疗时间定时范围：0—30min可调，到达治疗时间，理疗蜂鸣报警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可根据手术具体情况控制手术时间。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工作方式：分理疗、治疗两种，均为连续工作，输出控制方式为双路输出控制 采用微电脑控制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可以在适当的治疗位置进行长时间的停留，不会出现支撑装置失效治疗头跌落的情况；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辐射防护：</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A、外壳泄漏≤2Mw/cm2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B、无用辐射≤2Mw/cm2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C、探头驻波比≤3</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D、输出阻抗≤50Ω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E、自动调节电压</w:t>
            </w:r>
          </w:p>
          <w:p w14:paraId="7D66BFAA">
            <w:pPr>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13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具有多种理疗辐射器规格：大圆杯尺寸：直径 180mm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手术、理疗一体化，可以选择不同类型手术辐射器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理疗输出模式：连续波、脉冲波、集束波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具有输出的定时功能，可预置设定，采用数字显示，时间结束</w:t>
            </w:r>
            <w:r>
              <w:rPr>
                <w:rFonts w:hint="eastAsia" w:ascii="仿宋" w:hAnsi="仿宋" w:eastAsia="仿宋" w:cs="仿宋"/>
                <w:sz w:val="24"/>
                <w:szCs w:val="24"/>
                <w:highlight w:val="none"/>
              </w:rPr>
              <w:t xml:space="preserve">可显示，具有自动闭锁功能及过载自动保护系统.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17</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 xml:space="preserve">具有过热保护功能。电路过热时会自动切断电源，故障排除后系统自动恢复供电，仪器正常工作。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一体化推车式，车轮可以锁定。</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输出微波功率和治疗时间可预置并储存记忆</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0.</w:t>
            </w:r>
            <w:r>
              <w:rPr>
                <w:rFonts w:hint="eastAsia" w:ascii="仿宋" w:hAnsi="仿宋" w:eastAsia="仿宋" w:cs="仿宋"/>
                <w:sz w:val="24"/>
                <w:szCs w:val="24"/>
                <w:highlight w:val="none"/>
              </w:rPr>
              <w:t>理疗疼痛科：理疗头2个；妇科：手术头7只，带脚踏开关.</w:t>
            </w:r>
          </w:p>
        </w:tc>
        <w:tc>
          <w:tcPr>
            <w:tcW w:w="721" w:type="dxa"/>
            <w:tcBorders>
              <w:top w:val="nil"/>
              <w:left w:val="nil"/>
              <w:bottom w:val="single" w:color="auto" w:sz="4" w:space="0"/>
              <w:right w:val="single" w:color="auto" w:sz="4" w:space="0"/>
            </w:tcBorders>
            <w:shd w:val="clear" w:color="000000" w:fill="FFFFFF"/>
            <w:vAlign w:val="center"/>
          </w:tcPr>
          <w:p w14:paraId="175F24B1">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　</w:t>
            </w:r>
          </w:p>
        </w:tc>
      </w:tr>
      <w:tr w14:paraId="33B2D973">
        <w:tblPrEx>
          <w:tblCellMar>
            <w:top w:w="0" w:type="dxa"/>
            <w:left w:w="108" w:type="dxa"/>
            <w:bottom w:w="0" w:type="dxa"/>
            <w:right w:w="108" w:type="dxa"/>
          </w:tblCellMar>
        </w:tblPrEx>
        <w:trPr>
          <w:trHeight w:val="728" w:hRule="atLeast"/>
        </w:trPr>
        <w:tc>
          <w:tcPr>
            <w:tcW w:w="580" w:type="dxa"/>
            <w:vMerge w:val="continue"/>
            <w:tcBorders>
              <w:top w:val="nil"/>
              <w:left w:val="single" w:color="auto" w:sz="4" w:space="0"/>
              <w:bottom w:val="single" w:color="auto" w:sz="4" w:space="0"/>
              <w:right w:val="single" w:color="auto" w:sz="4" w:space="0"/>
            </w:tcBorders>
            <w:vAlign w:val="center"/>
          </w:tcPr>
          <w:p w14:paraId="7AB85B1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59870A4F">
            <w:pPr>
              <w:rPr>
                <w:rFonts w:hint="eastAsia" w:ascii="仿宋" w:hAnsi="仿宋" w:eastAsia="仿宋" w:cs="仿宋"/>
                <w:sz w:val="24"/>
                <w:szCs w:val="24"/>
                <w:highlight w:val="none"/>
              </w:rPr>
            </w:pPr>
            <w:r>
              <w:rPr>
                <w:rFonts w:hint="eastAsia" w:ascii="仿宋" w:hAnsi="仿宋" w:eastAsia="仿宋" w:cs="仿宋"/>
                <w:sz w:val="24"/>
                <w:szCs w:val="24"/>
                <w:highlight w:val="none"/>
              </w:rPr>
              <w:t>19</w:t>
            </w:r>
          </w:p>
        </w:tc>
        <w:tc>
          <w:tcPr>
            <w:tcW w:w="909" w:type="dxa"/>
            <w:tcBorders>
              <w:top w:val="nil"/>
              <w:left w:val="nil"/>
              <w:bottom w:val="single" w:color="auto" w:sz="4" w:space="0"/>
              <w:right w:val="single" w:color="auto" w:sz="4" w:space="0"/>
            </w:tcBorders>
            <w:shd w:val="clear" w:color="000000" w:fill="FFFFFF"/>
            <w:noWrap/>
            <w:vAlign w:val="center"/>
          </w:tcPr>
          <w:p w14:paraId="167DA3A0">
            <w:pPr>
              <w:rPr>
                <w:rFonts w:hint="eastAsia" w:ascii="仿宋" w:hAnsi="仿宋" w:eastAsia="仿宋" w:cs="仿宋"/>
                <w:sz w:val="24"/>
                <w:szCs w:val="24"/>
                <w:highlight w:val="none"/>
              </w:rPr>
            </w:pPr>
            <w:r>
              <w:rPr>
                <w:rFonts w:hint="eastAsia" w:ascii="仿宋" w:hAnsi="仿宋" w:eastAsia="仿宋" w:cs="仿宋"/>
                <w:sz w:val="24"/>
                <w:szCs w:val="24"/>
                <w:highlight w:val="none"/>
              </w:rPr>
              <w:t>磁振热治疗仪</w:t>
            </w:r>
          </w:p>
        </w:tc>
        <w:tc>
          <w:tcPr>
            <w:tcW w:w="636" w:type="dxa"/>
            <w:tcBorders>
              <w:top w:val="nil"/>
              <w:left w:val="nil"/>
              <w:bottom w:val="single" w:color="auto" w:sz="4" w:space="0"/>
              <w:right w:val="single" w:color="auto" w:sz="4" w:space="0"/>
            </w:tcBorders>
            <w:shd w:val="clear" w:color="000000" w:fill="FFFFFF"/>
            <w:noWrap/>
            <w:vAlign w:val="center"/>
          </w:tcPr>
          <w:p w14:paraId="58E5680B">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5FB1C72E">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5DB8478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适用于慢性软组织损伤和颈肩腰腿痛的辅助治疗。</w:t>
            </w:r>
          </w:p>
          <w:p w14:paraId="3D6EA8D2">
            <w:pPr>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具有磁疗、振动、热疗三种治疗方式，具有镇痛、消炎、消肿等作用。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磁场强度范围：≥35mT。</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振动频率：50Hz，允差±1Hz。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振动幅度：2mm～5mm。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≥6种治疗模式，工作周期、频率、占空比多档可调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温度控制：40℃～55℃多档可调，允差±3℃。</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治疗定时时间：1min～60min可调，允差±5%。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磁疗，振动，热疗三种治疗方式相结合由一种导子输出，三种治疗同步进行。</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输出通道：双通道（可同时连接两个导子）。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数码管显示窗口。</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配置1个标准温热导子和1个颈肩温热导子</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1个专用台车</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治疗完毕停止输出，并有峰鸣器提示声。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超温保护装置：超温保护装置动作时，停止输出，应用部分的温度不超过</w:t>
            </w:r>
            <w:r>
              <w:rPr>
                <w:rFonts w:hint="eastAsia" w:ascii="仿宋" w:hAnsi="仿宋" w:eastAsia="仿宋" w:cs="仿宋"/>
                <w:sz w:val="24"/>
                <w:szCs w:val="24"/>
                <w:highlight w:val="none"/>
              </w:rPr>
              <w:t>60℃。</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15</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具有负载检测功能。</w:t>
            </w:r>
          </w:p>
        </w:tc>
        <w:tc>
          <w:tcPr>
            <w:tcW w:w="721" w:type="dxa"/>
            <w:tcBorders>
              <w:top w:val="nil"/>
              <w:left w:val="nil"/>
              <w:bottom w:val="single" w:color="auto" w:sz="4" w:space="0"/>
              <w:right w:val="single" w:color="auto" w:sz="4" w:space="0"/>
            </w:tcBorders>
            <w:shd w:val="clear" w:color="000000" w:fill="FFFFFF"/>
            <w:vAlign w:val="center"/>
          </w:tcPr>
          <w:p w14:paraId="32231A6E">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0AD4AEAD">
        <w:tblPrEx>
          <w:tblCellMar>
            <w:top w:w="0" w:type="dxa"/>
            <w:left w:w="108" w:type="dxa"/>
            <w:bottom w:w="0" w:type="dxa"/>
            <w:right w:w="108" w:type="dxa"/>
          </w:tblCellMar>
        </w:tblPrEx>
        <w:trPr>
          <w:trHeight w:val="2081" w:hRule="atLeast"/>
        </w:trPr>
        <w:tc>
          <w:tcPr>
            <w:tcW w:w="580" w:type="dxa"/>
            <w:vMerge w:val="continue"/>
            <w:tcBorders>
              <w:top w:val="nil"/>
              <w:left w:val="single" w:color="auto" w:sz="4" w:space="0"/>
              <w:bottom w:val="single" w:color="auto" w:sz="4" w:space="0"/>
              <w:right w:val="single" w:color="auto" w:sz="4" w:space="0"/>
            </w:tcBorders>
            <w:vAlign w:val="center"/>
          </w:tcPr>
          <w:p w14:paraId="0D84C489">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07049BA8">
            <w:pPr>
              <w:rPr>
                <w:rFonts w:hint="eastAsia" w:ascii="仿宋" w:hAnsi="仿宋" w:eastAsia="仿宋" w:cs="仿宋"/>
                <w:sz w:val="24"/>
                <w:szCs w:val="24"/>
                <w:highlight w:val="none"/>
              </w:rPr>
            </w:pPr>
            <w:r>
              <w:rPr>
                <w:rFonts w:hint="eastAsia" w:ascii="仿宋" w:hAnsi="仿宋" w:eastAsia="仿宋" w:cs="仿宋"/>
                <w:sz w:val="24"/>
                <w:szCs w:val="24"/>
                <w:highlight w:val="none"/>
              </w:rPr>
              <w:t>20</w:t>
            </w:r>
          </w:p>
        </w:tc>
        <w:tc>
          <w:tcPr>
            <w:tcW w:w="909" w:type="dxa"/>
            <w:tcBorders>
              <w:top w:val="nil"/>
              <w:left w:val="nil"/>
              <w:bottom w:val="single" w:color="auto" w:sz="4" w:space="0"/>
              <w:right w:val="single" w:color="auto" w:sz="4" w:space="0"/>
            </w:tcBorders>
            <w:shd w:val="clear" w:color="000000" w:fill="FFFFFF"/>
            <w:noWrap/>
            <w:vAlign w:val="center"/>
          </w:tcPr>
          <w:p w14:paraId="47012AC2">
            <w:pPr>
              <w:rPr>
                <w:rFonts w:hint="eastAsia" w:ascii="仿宋" w:hAnsi="仿宋" w:eastAsia="仿宋" w:cs="仿宋"/>
                <w:sz w:val="24"/>
                <w:szCs w:val="24"/>
                <w:highlight w:val="none"/>
              </w:rPr>
            </w:pPr>
            <w:r>
              <w:rPr>
                <w:rFonts w:hint="eastAsia" w:ascii="仿宋" w:hAnsi="仿宋" w:eastAsia="仿宋" w:cs="仿宋"/>
                <w:sz w:val="24"/>
                <w:szCs w:val="24"/>
                <w:highlight w:val="none"/>
              </w:rPr>
              <w:t>电脑中频经络通治疗仪</w:t>
            </w:r>
          </w:p>
        </w:tc>
        <w:tc>
          <w:tcPr>
            <w:tcW w:w="636" w:type="dxa"/>
            <w:tcBorders>
              <w:top w:val="nil"/>
              <w:left w:val="nil"/>
              <w:bottom w:val="single" w:color="auto" w:sz="4" w:space="0"/>
              <w:right w:val="single" w:color="auto" w:sz="4" w:space="0"/>
            </w:tcBorders>
            <w:shd w:val="clear" w:color="000000" w:fill="FFFFFF"/>
            <w:noWrap/>
            <w:vAlign w:val="center"/>
          </w:tcPr>
          <w:p w14:paraId="2246D10D">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408A608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2FF6E31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适应范围：广泛应用于各类骨关节软组织肌肉疾病、神经系统疾病，达到消炎、消肿、镇痛的作用。</w:t>
            </w:r>
          </w:p>
          <w:p w14:paraId="7A9E89F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输出通道：一组二维/三维干扰电输出。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治疗仪工作频率：2kHz、3kHz、4kHz、5kHz、6kHz等多档可选。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输出波形：调制正弦波。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调制波形：单向正弦波、单向方波、单向三角波、双向正弦波、双向方波、双向三角波等多种波形。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干涉波差频频率：1～200Hz。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每路最大输出电流有效值≥60mA，允差±10%。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输出电流变化率≤10%。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调幅度：0%、25%、50%、75%、100%，允差±5%。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调制频率：0～150Hz。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电极种类：吸附电极、普通电极，吸附电极具有负压拔罐功能。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负压装置：负压调节范围：-20kPa～-40kPa可调，允差±10%。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≥5种处方模式：IFC、IFCW、PMC、PMC2、可编程处方；具备干扰电疗法和调制中频电疗法。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≥5种治疗模式：根据频率划分范围。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≥10档动态节律：10档可选，允差±10%；动态位移应不超过动态节律的±30%。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≥4种差频周期：4种可选，允差±10%。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定时设置范围：1min～99min连续可调，允差±5%。治疗仪治疗时间结束，有蜂鸣器提示声。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内置4个固定处方和1个可编程处方。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一键飞梭旋钮，具有旋钮自动锁定功能。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14:textFill>
                  <w14:solidFill>
                    <w14:schemeClr w14:val="tx1"/>
                  </w14:solidFill>
                </w14:textFill>
              </w:rPr>
              <w:t>治疗过程中吸附电极脱落报警且输出归零。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多重安全保护：过电流保护、过电压保护、断路保护等。</w:t>
            </w:r>
          </w:p>
        </w:tc>
        <w:tc>
          <w:tcPr>
            <w:tcW w:w="721" w:type="dxa"/>
            <w:tcBorders>
              <w:top w:val="nil"/>
              <w:left w:val="nil"/>
              <w:bottom w:val="single" w:color="auto" w:sz="4" w:space="0"/>
              <w:right w:val="single" w:color="auto" w:sz="4" w:space="0"/>
            </w:tcBorders>
            <w:shd w:val="clear" w:color="000000" w:fill="FFFFFF"/>
            <w:vAlign w:val="center"/>
          </w:tcPr>
          <w:p w14:paraId="18B1DACD">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　</w:t>
            </w:r>
          </w:p>
        </w:tc>
      </w:tr>
      <w:tr w14:paraId="757119C3">
        <w:tblPrEx>
          <w:tblCellMar>
            <w:top w:w="0" w:type="dxa"/>
            <w:left w:w="108" w:type="dxa"/>
            <w:bottom w:w="0" w:type="dxa"/>
            <w:right w:w="108" w:type="dxa"/>
          </w:tblCellMar>
        </w:tblPrEx>
        <w:trPr>
          <w:trHeight w:val="318" w:hRule="atLeast"/>
        </w:trPr>
        <w:tc>
          <w:tcPr>
            <w:tcW w:w="580" w:type="dxa"/>
            <w:vMerge w:val="continue"/>
            <w:tcBorders>
              <w:top w:val="nil"/>
              <w:left w:val="single" w:color="auto" w:sz="4" w:space="0"/>
              <w:bottom w:val="single" w:color="auto" w:sz="4" w:space="0"/>
              <w:right w:val="single" w:color="auto" w:sz="4" w:space="0"/>
            </w:tcBorders>
            <w:vAlign w:val="center"/>
          </w:tcPr>
          <w:p w14:paraId="69C6E55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23232B73">
            <w:pPr>
              <w:rPr>
                <w:rFonts w:hint="eastAsia" w:ascii="仿宋" w:hAnsi="仿宋" w:eastAsia="仿宋" w:cs="仿宋"/>
                <w:sz w:val="24"/>
                <w:szCs w:val="24"/>
                <w:highlight w:val="none"/>
              </w:rPr>
            </w:pPr>
            <w:r>
              <w:rPr>
                <w:rFonts w:hint="eastAsia" w:ascii="仿宋" w:hAnsi="仿宋" w:eastAsia="仿宋" w:cs="仿宋"/>
                <w:sz w:val="24"/>
                <w:szCs w:val="24"/>
                <w:highlight w:val="none"/>
              </w:rPr>
              <w:t>21</w:t>
            </w:r>
          </w:p>
        </w:tc>
        <w:tc>
          <w:tcPr>
            <w:tcW w:w="909" w:type="dxa"/>
            <w:tcBorders>
              <w:top w:val="nil"/>
              <w:left w:val="nil"/>
              <w:bottom w:val="single" w:color="auto" w:sz="4" w:space="0"/>
              <w:right w:val="single" w:color="auto" w:sz="4" w:space="0"/>
            </w:tcBorders>
            <w:shd w:val="clear" w:color="000000" w:fill="FFFFFF"/>
            <w:noWrap/>
            <w:vAlign w:val="center"/>
          </w:tcPr>
          <w:p w14:paraId="5B351227">
            <w:pPr>
              <w:rPr>
                <w:rFonts w:hint="eastAsia" w:ascii="仿宋" w:hAnsi="仿宋" w:eastAsia="仿宋" w:cs="仿宋"/>
                <w:sz w:val="24"/>
                <w:szCs w:val="24"/>
                <w:highlight w:val="none"/>
              </w:rPr>
            </w:pPr>
            <w:r>
              <w:rPr>
                <w:rFonts w:hint="eastAsia" w:ascii="仿宋" w:hAnsi="仿宋" w:eastAsia="仿宋" w:cs="仿宋"/>
                <w:sz w:val="24"/>
                <w:szCs w:val="24"/>
                <w:highlight w:val="none"/>
              </w:rPr>
              <w:t>电脑中频治疗仪</w:t>
            </w:r>
          </w:p>
        </w:tc>
        <w:tc>
          <w:tcPr>
            <w:tcW w:w="636" w:type="dxa"/>
            <w:tcBorders>
              <w:top w:val="nil"/>
              <w:left w:val="nil"/>
              <w:bottom w:val="single" w:color="auto" w:sz="4" w:space="0"/>
              <w:right w:val="single" w:color="auto" w:sz="4" w:space="0"/>
            </w:tcBorders>
            <w:shd w:val="clear" w:color="000000" w:fill="FFFFFF"/>
            <w:noWrap/>
            <w:vAlign w:val="center"/>
          </w:tcPr>
          <w:p w14:paraId="03AA6BEE">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315512FF">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79FE28E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适应范围：广泛应用于各类骨关节软组织肌肉疾病、神经系统疾病，达到消炎、消肿、镇痛的作用。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输出通道≥4路中频加透热输出、≥4路离子导入直流输出、≥2两路干扰电输出。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中频频率：1kHz～10kHz，单一频率允差±10%。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调制频率：0～150Hz，单一频率允差±10%或±1Hz取大值。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中频载波波形：双向方波。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调制波形：正弦波、方波、三角波、指数波、锯齿波、尖波、等幅波。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调制方式：连续、断续、间歇、变频、疏密和交替调制。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脉宽：50μs～500μs，允差±10%。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中频调幅度：0%、25%、50%、75%、100%，允差±5%。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干扰电性能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工作频率：4kHz，允差±10%。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调制频率：0.125Hz，允差±10%。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差频频率范围：0～112Hz，允差±10%或±1Hz取较大值。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调幅度：0%、100%，允差±5%。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差频变化周期：5.5s、32s，允差±10%。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液晶触摸操作屏。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处方：≥60个固定处方。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中频输出电流：每路输出电流≤100mA。输出强度≥90级可调。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中频输出峰值电压：在开路条件下测量时，中频输出峰值电压不得超过500V。</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电极板温度：38℃～55℃，≥6档可调，允差±3℃。</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离子导入输出直流电流：每路输出电流≤50mA，≥90级可调。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根据处方不同设置治疗时间：治疗结束有音响提示。</w:t>
            </w:r>
          </w:p>
        </w:tc>
        <w:tc>
          <w:tcPr>
            <w:tcW w:w="721" w:type="dxa"/>
            <w:tcBorders>
              <w:top w:val="nil"/>
              <w:left w:val="nil"/>
              <w:bottom w:val="single" w:color="auto" w:sz="4" w:space="0"/>
              <w:right w:val="single" w:color="auto" w:sz="4" w:space="0"/>
            </w:tcBorders>
            <w:shd w:val="clear" w:color="000000" w:fill="FFFFFF"/>
            <w:vAlign w:val="center"/>
          </w:tcPr>
          <w:p w14:paraId="2FFE7939">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36E7ED04">
        <w:tblPrEx>
          <w:tblCellMar>
            <w:top w:w="0" w:type="dxa"/>
            <w:left w:w="108" w:type="dxa"/>
            <w:bottom w:w="0" w:type="dxa"/>
            <w:right w:w="108" w:type="dxa"/>
          </w:tblCellMar>
        </w:tblPrEx>
        <w:trPr>
          <w:trHeight w:val="6576" w:hRule="atLeast"/>
        </w:trPr>
        <w:tc>
          <w:tcPr>
            <w:tcW w:w="580" w:type="dxa"/>
            <w:vMerge w:val="continue"/>
            <w:tcBorders>
              <w:top w:val="nil"/>
              <w:left w:val="single" w:color="auto" w:sz="4" w:space="0"/>
              <w:bottom w:val="single" w:color="auto" w:sz="4" w:space="0"/>
              <w:right w:val="single" w:color="auto" w:sz="4" w:space="0"/>
            </w:tcBorders>
            <w:vAlign w:val="center"/>
          </w:tcPr>
          <w:p w14:paraId="0FF9E15F">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4662049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w:t>
            </w:r>
          </w:p>
        </w:tc>
        <w:tc>
          <w:tcPr>
            <w:tcW w:w="909" w:type="dxa"/>
            <w:tcBorders>
              <w:top w:val="nil"/>
              <w:left w:val="nil"/>
              <w:bottom w:val="single" w:color="auto" w:sz="4" w:space="0"/>
              <w:right w:val="single" w:color="auto" w:sz="4" w:space="0"/>
            </w:tcBorders>
            <w:shd w:val="clear" w:color="000000" w:fill="FFFFFF"/>
            <w:noWrap/>
            <w:vAlign w:val="center"/>
          </w:tcPr>
          <w:p w14:paraId="4363EA3B">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智能无烟艾灸床</w:t>
            </w:r>
          </w:p>
        </w:tc>
        <w:tc>
          <w:tcPr>
            <w:tcW w:w="636" w:type="dxa"/>
            <w:tcBorders>
              <w:top w:val="nil"/>
              <w:left w:val="nil"/>
              <w:bottom w:val="single" w:color="auto" w:sz="4" w:space="0"/>
              <w:right w:val="single" w:color="auto" w:sz="4" w:space="0"/>
            </w:tcBorders>
            <w:shd w:val="clear" w:color="000000" w:fill="FFFFFF"/>
            <w:noWrap/>
            <w:vAlign w:val="center"/>
          </w:tcPr>
          <w:p w14:paraId="104EF14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56B87E7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5A3F9C25">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灸盒数据：直径55cm</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允差±5%</w:t>
            </w:r>
            <w:r>
              <w:rPr>
                <w:rFonts w:hint="eastAsia" w:ascii="仿宋" w:hAnsi="仿宋" w:eastAsia="仿宋" w:cs="仿宋"/>
                <w:color w:val="000000" w:themeColor="text1"/>
                <w:sz w:val="24"/>
                <w:szCs w:val="24"/>
                <w:highlight w:val="none"/>
                <w14:textFill>
                  <w14:solidFill>
                    <w14:schemeClr w14:val="tx1"/>
                  </w14:solidFill>
                </w14:textFill>
              </w:rPr>
              <w:t>，灸盒数量≥10个</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 xml:space="preserve"> 灸材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（1）灸材材质：灸材应仅由艾绒制成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（2）干燥度：≥85%。</w:t>
            </w:r>
          </w:p>
          <w:p w14:paraId="3E602116">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温度：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a）灸疗盒加热温度调节范围：70度-170度，级差±10度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b）治疗温度：治疗温度恒定后，热量接受面的温度不得超过55℃。</w:t>
            </w:r>
          </w:p>
          <w:p w14:paraId="0C96382A">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治疗时间：0～99min可调，允差±5%。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工作噪声：≤60dB(A)。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艾灸床有手动停止输出的功能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断电再恢复时，不应有任何输出。</w:t>
            </w:r>
          </w:p>
          <w:p w14:paraId="6B051FCC">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输出时有指示功能。</w:t>
            </w:r>
          </w:p>
          <w:p w14:paraId="19DACD7F">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温度保护功能：具有两路独立的温度保护装置，当达到治疗温度时，第一路保护装置动作，切断加热输出；如第一路保护装置失效时，温度继续升高到60℃，第二路保护装置动作切断加热电源。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（5）治疗部位为上灸（颈肩灸）、中灸（腰部灸）、下灸（左腿灸）、下灸（右腿灸</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风速：风速0～9可调，级差1。</w:t>
            </w:r>
          </w:p>
        </w:tc>
        <w:tc>
          <w:tcPr>
            <w:tcW w:w="721" w:type="dxa"/>
            <w:tcBorders>
              <w:top w:val="nil"/>
              <w:left w:val="nil"/>
              <w:bottom w:val="single" w:color="auto" w:sz="4" w:space="0"/>
              <w:right w:val="single" w:color="auto" w:sz="4" w:space="0"/>
            </w:tcBorders>
            <w:shd w:val="clear" w:color="000000" w:fill="FFFFFF"/>
            <w:vAlign w:val="center"/>
          </w:tcPr>
          <w:p w14:paraId="21DD4F18">
            <w:pP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w:t>
            </w:r>
          </w:p>
        </w:tc>
      </w:tr>
      <w:tr w14:paraId="724596D7">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22D5A504">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6CB77BB6">
            <w:pPr>
              <w:rPr>
                <w:rFonts w:hint="eastAsia" w:ascii="仿宋" w:hAnsi="仿宋" w:eastAsia="仿宋" w:cs="仿宋"/>
                <w:sz w:val="24"/>
                <w:szCs w:val="24"/>
                <w:highlight w:val="none"/>
              </w:rPr>
            </w:pPr>
            <w:r>
              <w:rPr>
                <w:rFonts w:hint="eastAsia" w:ascii="仿宋" w:hAnsi="仿宋" w:eastAsia="仿宋" w:cs="仿宋"/>
                <w:sz w:val="24"/>
                <w:szCs w:val="24"/>
                <w:highlight w:val="none"/>
              </w:rPr>
              <w:t>23</w:t>
            </w:r>
          </w:p>
        </w:tc>
        <w:tc>
          <w:tcPr>
            <w:tcW w:w="909" w:type="dxa"/>
            <w:tcBorders>
              <w:top w:val="nil"/>
              <w:left w:val="nil"/>
              <w:bottom w:val="single" w:color="auto" w:sz="4" w:space="0"/>
              <w:right w:val="single" w:color="auto" w:sz="4" w:space="0"/>
            </w:tcBorders>
            <w:shd w:val="clear" w:color="000000" w:fill="FFFFFF"/>
            <w:vAlign w:val="center"/>
          </w:tcPr>
          <w:p w14:paraId="1FAA6E73">
            <w:pPr>
              <w:rPr>
                <w:rFonts w:hint="eastAsia" w:ascii="仿宋" w:hAnsi="仿宋" w:eastAsia="仿宋" w:cs="仿宋"/>
                <w:sz w:val="24"/>
                <w:szCs w:val="24"/>
                <w:highlight w:val="none"/>
              </w:rPr>
            </w:pPr>
            <w:r>
              <w:rPr>
                <w:rFonts w:hint="eastAsia" w:ascii="仿宋" w:hAnsi="仿宋" w:eastAsia="仿宋" w:cs="仿宋"/>
                <w:sz w:val="24"/>
                <w:szCs w:val="24"/>
                <w:highlight w:val="none"/>
              </w:rPr>
              <w:t>电动吸痰机</w:t>
            </w:r>
          </w:p>
        </w:tc>
        <w:tc>
          <w:tcPr>
            <w:tcW w:w="636" w:type="dxa"/>
            <w:tcBorders>
              <w:top w:val="nil"/>
              <w:left w:val="nil"/>
              <w:bottom w:val="single" w:color="auto" w:sz="4" w:space="0"/>
              <w:right w:val="single" w:color="auto" w:sz="4" w:space="0"/>
            </w:tcBorders>
            <w:shd w:val="clear" w:color="000000" w:fill="FFFFFF"/>
            <w:noWrap/>
            <w:vAlign w:val="center"/>
          </w:tcPr>
          <w:p w14:paraId="2930C09D">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5AAC5E9E">
            <w:pP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5652" w:type="dxa"/>
            <w:tcBorders>
              <w:top w:val="nil"/>
              <w:left w:val="nil"/>
              <w:bottom w:val="single" w:color="auto" w:sz="4" w:space="0"/>
              <w:right w:val="single" w:color="auto" w:sz="4" w:space="0"/>
            </w:tcBorders>
            <w:shd w:val="clear" w:color="000000" w:fill="FFFFFF"/>
            <w:vAlign w:val="center"/>
          </w:tcPr>
          <w:p w14:paraId="64DB920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抽气速率：≥15L/min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负压调节范围：0.02MPa～0.08MPa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噪声：≤65dB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输入功率：150VA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吸液瓶：1000ml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工作制：间隙加载连续运行</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产品的材质：外壳采用优质ABS工程塑料制作，轻便坚固，手提式。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产品性能：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便携式吸引器，可用于医疗单位吸痰和粘质分泌物，也可用于家庭急救吸痰。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无油自润滑真空泵，无油雾污染，泵体为单向式，无正压产生。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溢流保护装置，防止液体进入泵体。</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高分子吸引瓶，易消毒、清洗。</w:t>
            </w:r>
          </w:p>
        </w:tc>
        <w:tc>
          <w:tcPr>
            <w:tcW w:w="721" w:type="dxa"/>
            <w:tcBorders>
              <w:top w:val="nil"/>
              <w:left w:val="nil"/>
              <w:bottom w:val="single" w:color="auto" w:sz="4" w:space="0"/>
              <w:right w:val="single" w:color="auto" w:sz="4" w:space="0"/>
            </w:tcBorders>
            <w:shd w:val="clear" w:color="000000" w:fill="FFFFFF"/>
            <w:vAlign w:val="center"/>
          </w:tcPr>
          <w:p w14:paraId="70D13EC3">
            <w:pPr>
              <w:rPr>
                <w:rFonts w:hint="eastAsia" w:ascii="仿宋" w:hAnsi="仿宋" w:eastAsia="仿宋" w:cs="仿宋"/>
                <w:sz w:val="24"/>
                <w:szCs w:val="24"/>
                <w:highlight w:val="none"/>
                <w:lang w:val="en-US" w:eastAsia="zh-CN"/>
              </w:rPr>
            </w:pPr>
          </w:p>
        </w:tc>
      </w:tr>
      <w:tr w14:paraId="31242086">
        <w:tblPrEx>
          <w:tblCellMar>
            <w:top w:w="0" w:type="dxa"/>
            <w:left w:w="108" w:type="dxa"/>
            <w:bottom w:w="0" w:type="dxa"/>
            <w:right w:w="108" w:type="dxa"/>
          </w:tblCellMar>
        </w:tblPrEx>
        <w:trPr>
          <w:trHeight w:val="2220" w:hRule="atLeast"/>
        </w:trPr>
        <w:tc>
          <w:tcPr>
            <w:tcW w:w="580" w:type="dxa"/>
            <w:vMerge w:val="continue"/>
            <w:tcBorders>
              <w:top w:val="nil"/>
              <w:left w:val="single" w:color="auto" w:sz="4" w:space="0"/>
              <w:bottom w:val="single" w:color="auto" w:sz="4" w:space="0"/>
              <w:right w:val="single" w:color="auto" w:sz="4" w:space="0"/>
            </w:tcBorders>
            <w:vAlign w:val="center"/>
          </w:tcPr>
          <w:p w14:paraId="2DB980AE">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A1D3EAD">
            <w:pPr>
              <w:rPr>
                <w:rFonts w:hint="eastAsia" w:ascii="仿宋" w:hAnsi="仿宋" w:eastAsia="仿宋" w:cs="仿宋"/>
                <w:sz w:val="24"/>
                <w:szCs w:val="24"/>
                <w:highlight w:val="none"/>
              </w:rPr>
            </w:pPr>
            <w:r>
              <w:rPr>
                <w:rFonts w:hint="eastAsia" w:ascii="仿宋" w:hAnsi="仿宋" w:eastAsia="仿宋" w:cs="仿宋"/>
                <w:sz w:val="24"/>
                <w:szCs w:val="24"/>
                <w:highlight w:val="none"/>
              </w:rPr>
              <w:t>24</w:t>
            </w:r>
          </w:p>
        </w:tc>
        <w:tc>
          <w:tcPr>
            <w:tcW w:w="909" w:type="dxa"/>
            <w:tcBorders>
              <w:top w:val="nil"/>
              <w:left w:val="nil"/>
              <w:bottom w:val="single" w:color="auto" w:sz="4" w:space="0"/>
              <w:right w:val="single" w:color="auto" w:sz="4" w:space="0"/>
            </w:tcBorders>
            <w:shd w:val="clear" w:color="000000" w:fill="FFFFFF"/>
            <w:vAlign w:val="center"/>
          </w:tcPr>
          <w:p w14:paraId="23E1EEC7">
            <w:pPr>
              <w:rPr>
                <w:rFonts w:hint="eastAsia" w:ascii="仿宋" w:hAnsi="仿宋" w:eastAsia="仿宋" w:cs="仿宋"/>
                <w:sz w:val="24"/>
                <w:szCs w:val="24"/>
                <w:highlight w:val="none"/>
              </w:rPr>
            </w:pPr>
            <w:r>
              <w:rPr>
                <w:rFonts w:hint="eastAsia" w:ascii="仿宋" w:hAnsi="仿宋" w:eastAsia="仿宋" w:cs="仿宋"/>
                <w:sz w:val="24"/>
                <w:szCs w:val="24"/>
                <w:highlight w:val="none"/>
              </w:rPr>
              <w:t>新生儿电子称</w:t>
            </w:r>
          </w:p>
        </w:tc>
        <w:tc>
          <w:tcPr>
            <w:tcW w:w="636" w:type="dxa"/>
            <w:tcBorders>
              <w:top w:val="nil"/>
              <w:left w:val="nil"/>
              <w:bottom w:val="single" w:color="auto" w:sz="4" w:space="0"/>
              <w:right w:val="single" w:color="auto" w:sz="4" w:space="0"/>
            </w:tcBorders>
            <w:shd w:val="clear" w:color="000000" w:fill="FFFFFF"/>
            <w:noWrap/>
            <w:vAlign w:val="center"/>
          </w:tcPr>
          <w:p w14:paraId="64E72672">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5EE266DE">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184196C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电子婴儿秤采用≥6个压力传感器的测量方式，秤体可折叠，其中秤体展开尺寸约为:703x300x54mm;折叠尺寸约为:382x300x72mm;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电子婴儿秤携带轻便，整机重量≤ 2kg;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液晶屏显示: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具有自动锁定、去皮功能;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 体重测量范围 50g-10kg，测量精度士10g。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承载主体采用ABS环保工程塑料一次性注塑成型，头部配备食品级硅胶材质头垫，具有抗菌作用;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电子婴儿秤测身长量程为 40~65cm，测量精度±1 mm</w:t>
            </w:r>
          </w:p>
        </w:tc>
        <w:tc>
          <w:tcPr>
            <w:tcW w:w="721" w:type="dxa"/>
            <w:tcBorders>
              <w:top w:val="nil"/>
              <w:left w:val="nil"/>
              <w:bottom w:val="single" w:color="auto" w:sz="4" w:space="0"/>
              <w:right w:val="single" w:color="auto" w:sz="4" w:space="0"/>
            </w:tcBorders>
            <w:shd w:val="clear" w:color="000000" w:fill="FFFFFF"/>
            <w:vAlign w:val="center"/>
          </w:tcPr>
          <w:p w14:paraId="3D868962">
            <w:pPr>
              <w:rPr>
                <w:rFonts w:hint="eastAsia" w:ascii="仿宋" w:hAnsi="仿宋" w:eastAsia="仿宋" w:cs="仿宋"/>
                <w:sz w:val="24"/>
                <w:szCs w:val="24"/>
                <w:highlight w:val="none"/>
                <w:lang w:val="en-US" w:eastAsia="zh-CN"/>
              </w:rPr>
            </w:pPr>
          </w:p>
        </w:tc>
      </w:tr>
      <w:tr w14:paraId="658F22A3">
        <w:tblPrEx>
          <w:tblCellMar>
            <w:top w:w="0" w:type="dxa"/>
            <w:left w:w="108" w:type="dxa"/>
            <w:bottom w:w="0" w:type="dxa"/>
            <w:right w:w="108" w:type="dxa"/>
          </w:tblCellMar>
        </w:tblPrEx>
        <w:trPr>
          <w:trHeight w:val="3512" w:hRule="atLeast"/>
        </w:trPr>
        <w:tc>
          <w:tcPr>
            <w:tcW w:w="580" w:type="dxa"/>
            <w:vMerge w:val="restart"/>
            <w:tcBorders>
              <w:top w:val="nil"/>
              <w:left w:val="single" w:color="auto" w:sz="4" w:space="0"/>
              <w:bottom w:val="single" w:color="auto" w:sz="4" w:space="0"/>
              <w:right w:val="single" w:color="auto" w:sz="4" w:space="0"/>
            </w:tcBorders>
            <w:shd w:val="clear" w:color="auto" w:fill="auto"/>
            <w:vAlign w:val="center"/>
          </w:tcPr>
          <w:p w14:paraId="6282D7AA">
            <w:pPr>
              <w:rPr>
                <w:rFonts w:hint="eastAsia" w:ascii="仿宋" w:hAnsi="仿宋" w:eastAsia="仿宋" w:cs="仿宋"/>
                <w:sz w:val="24"/>
                <w:szCs w:val="24"/>
                <w:highlight w:val="none"/>
              </w:rPr>
            </w:pPr>
            <w:r>
              <w:rPr>
                <w:rFonts w:hint="eastAsia" w:ascii="仿宋" w:hAnsi="仿宋" w:eastAsia="仿宋" w:cs="仿宋"/>
                <w:sz w:val="24"/>
                <w:szCs w:val="24"/>
                <w:highlight w:val="none"/>
              </w:rPr>
              <w:t>影像类</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急救类</w:t>
            </w:r>
          </w:p>
        </w:tc>
        <w:tc>
          <w:tcPr>
            <w:tcW w:w="709" w:type="dxa"/>
            <w:tcBorders>
              <w:top w:val="nil"/>
              <w:left w:val="nil"/>
              <w:bottom w:val="single" w:color="auto" w:sz="4" w:space="0"/>
              <w:right w:val="single" w:color="auto" w:sz="4" w:space="0"/>
            </w:tcBorders>
            <w:shd w:val="clear" w:color="auto" w:fill="auto"/>
            <w:noWrap/>
            <w:vAlign w:val="center"/>
          </w:tcPr>
          <w:p w14:paraId="3F80C127">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909" w:type="dxa"/>
            <w:tcBorders>
              <w:top w:val="nil"/>
              <w:left w:val="nil"/>
              <w:bottom w:val="single" w:color="auto" w:sz="4" w:space="0"/>
              <w:right w:val="single" w:color="auto" w:sz="4" w:space="0"/>
            </w:tcBorders>
            <w:shd w:val="clear" w:color="000000" w:fill="FFFFFF"/>
            <w:vAlign w:val="center"/>
          </w:tcPr>
          <w:p w14:paraId="4B72A74B">
            <w:pPr>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DR-X光机</w:t>
            </w:r>
          </w:p>
        </w:tc>
        <w:tc>
          <w:tcPr>
            <w:tcW w:w="636" w:type="dxa"/>
            <w:tcBorders>
              <w:top w:val="nil"/>
              <w:left w:val="nil"/>
              <w:bottom w:val="single" w:color="auto" w:sz="4" w:space="0"/>
              <w:right w:val="single" w:color="auto" w:sz="4" w:space="0"/>
            </w:tcBorders>
            <w:shd w:val="clear" w:color="000000" w:fill="FFFFFF"/>
            <w:noWrap/>
            <w:vAlign w:val="center"/>
          </w:tcPr>
          <w:p w14:paraId="777F6B92">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3F278F59">
            <w:pPr>
              <w:rPr>
                <w:rFonts w:hint="eastAsia" w:ascii="仿宋" w:hAnsi="仿宋" w:eastAsia="仿宋" w:cs="仿宋"/>
                <w:sz w:val="24"/>
                <w:szCs w:val="24"/>
                <w:highlight w:val="none"/>
                <w:lang w:eastAsia="zh-CN"/>
              </w:rPr>
            </w:pPr>
            <w:r>
              <w:rPr>
                <w:rFonts w:hint="eastAsia" w:ascii="仿宋" w:hAnsi="仿宋" w:eastAsia="仿宋" w:cs="仿宋"/>
                <w:color w:val="FF0000"/>
                <w:sz w:val="24"/>
                <w:szCs w:val="24"/>
                <w:highlight w:val="none"/>
                <w:lang w:val="en-US" w:eastAsia="zh-CN"/>
              </w:rPr>
              <w:t>4</w:t>
            </w:r>
          </w:p>
        </w:tc>
        <w:tc>
          <w:tcPr>
            <w:tcW w:w="5652" w:type="dxa"/>
            <w:tcBorders>
              <w:top w:val="nil"/>
              <w:left w:val="nil"/>
              <w:bottom w:val="single" w:color="auto" w:sz="4" w:space="0"/>
              <w:right w:val="single" w:color="auto" w:sz="4" w:space="0"/>
            </w:tcBorders>
            <w:shd w:val="clear" w:color="000000" w:fill="FFFFFF"/>
            <w:vAlign w:val="center"/>
          </w:tcPr>
          <w:p w14:paraId="01DAA623">
            <w:pP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设备要求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功能要求：能进行人体全身各部位的立位、卧位、水平侧位等X线影像学检查，实现X线数字成像、数字图像的DICOM网络传输、打印、存贮管理及能激光打印胶片、图像后处理功能。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性能要求：为保证稳定性，球管、平板探测器和高压发生器及采集软件需为同一品牌。</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主要技术规格和要求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X线球管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2.1.1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阳极热容量≥300KHU</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2.1.2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焦点：小焦点 ≤0.6mm，大焦点≤1.2mm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2.1.3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焦点功率：小焦点≥29KW，大焦点≥70KW</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2.1.4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靶角≥12°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2.1.5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阳极最大热耗散：≥700W</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高压发生器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2.2.1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高频逆变式：高压发生器为整机原厂设计生产。</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输出功率≥50KW</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*2.2.3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高压发生器逆变频率≥490KHZ</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最大电压≥150KV</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2.2.5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自动曝光功能及手动调节设置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最短曝光时间≤5ms，最长曝光时间≥6.3s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最大输出电流≥620mA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最大mAs:≥630mAs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无线平板探测器：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非晶硅碘化铯无线平板探测器；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有效采集区域≥43×43cm；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像素矩阵≥3070X3070；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2.3.4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空间分辨率≥3.7lp/mm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*2.3.5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像素尺寸≤140微米；</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2.3.6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图像成像时间：＜</w:t>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2.3.7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系统后期支持升级双平板摄影功能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X线球管支撑装置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2.4.1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立柱式：摄影床+立式摄影架结构，满足全身各部位立位和卧位投照摄影临床需求。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2.4.2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立柱可沿摄影床轨道左右移动，移动范围≥130cm；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*2.4.3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球</w:t>
            </w:r>
            <w:r>
              <w:rPr>
                <w:rFonts w:hint="eastAsia" w:ascii="仿宋" w:hAnsi="仿宋" w:eastAsia="仿宋" w:cs="仿宋"/>
                <w:color w:val="000000" w:themeColor="text1"/>
                <w:sz w:val="24"/>
                <w:szCs w:val="24"/>
                <w:highlight w:val="none"/>
                <w:lang w:val="en-US" w:eastAsia="zh-CN"/>
                <w14:textFill>
                  <w14:solidFill>
                    <w14:schemeClr w14:val="tx1"/>
                  </w14:solidFill>
                </w14:textFill>
              </w:rPr>
              <w:t>管</w:t>
            </w:r>
            <w:r>
              <w:rPr>
                <w:rFonts w:hint="eastAsia" w:ascii="仿宋" w:hAnsi="仿宋" w:eastAsia="仿宋" w:cs="仿宋"/>
                <w:color w:val="000000" w:themeColor="text1"/>
                <w:sz w:val="24"/>
                <w:szCs w:val="24"/>
                <w:highlight w:val="none"/>
                <w14:textFill>
                  <w14:solidFill>
                    <w14:schemeClr w14:val="tx1"/>
                  </w14:solidFill>
                </w14:textFill>
              </w:rPr>
              <w:t>操作控制装置采用触摸屏，触摸屏尺寸：≥10英寸，显示信息可随球</w:t>
            </w:r>
            <w:r>
              <w:rPr>
                <w:rFonts w:hint="eastAsia" w:ascii="仿宋" w:hAnsi="仿宋" w:eastAsia="仿宋" w:cs="仿宋"/>
                <w:color w:val="000000" w:themeColor="text1"/>
                <w:sz w:val="24"/>
                <w:szCs w:val="24"/>
                <w:highlight w:val="none"/>
                <w:lang w:val="en-US" w:eastAsia="zh-CN"/>
                <w14:textFill>
                  <w14:solidFill>
                    <w14:schemeClr w14:val="tx1"/>
                  </w14:solidFill>
                </w14:textFill>
              </w:rPr>
              <w:t>管</w:t>
            </w:r>
            <w:r>
              <w:rPr>
                <w:rFonts w:hint="eastAsia" w:ascii="仿宋" w:hAnsi="仿宋" w:eastAsia="仿宋" w:cs="仿宋"/>
                <w:color w:val="000000" w:themeColor="text1"/>
                <w:sz w:val="24"/>
                <w:szCs w:val="24"/>
                <w:highlight w:val="none"/>
                <w14:textFill>
                  <w14:solidFill>
                    <w14:schemeClr w14:val="tx1"/>
                  </w14:solidFill>
                </w14:textFill>
              </w:rPr>
              <w:t>方向自动调整。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2.4.3.1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摄影条件近台同步调整，可调节相应曝光参数（kV、mAs、mA、ms控制）。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2.4.3.2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可显示患者性别、年龄等信息。</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2.4.3.3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具备曝光体位引导模块，能液晶显示各种曝光体位图示化引导图像。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2.4.3.4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患者体型选择，大小焦点快速切换。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2.4.3.5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可以显示球管组件绕水平轴旋转角度等信息。</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球管支撑臂可沿立柱上下移动，移动范围≥75cm。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摄影床</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2.5.1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承重能力≥ 200 kg；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立式摄影架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升降方式：手电一体</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纵向移动范围≥100cm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2.6.3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探测器具备与球管自动对中功能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2.6.4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标配滤线栅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2.6.5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栅比≥10:1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2.6.6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栅焦距≥130cm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DR工作站</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2.7.1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工作站硬件：CPU：≥i3-4590/3.3GHz，内存容量：≥8G，硬盘容量：≥1T.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2.7.2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工作站软件需由DR 制造商自主研发生产，Windows 操作系统；全中文操作界面，功能模块高度集成，DICOM.3.0输出标准；集成图像采集、图像处理、图像输出、报告诊断系统及病例管理功能；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2.7.3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图像基本后处理功能：宽、窗位和Gamma调节，多点LUT曲线调整正负片转换、图像缩放、平移、镜像、旋转、放大镜显示；图像平滑、锐化、降噪、提取边缘、组织均衡；图像标注功能，包括画直线、矩形、多边形、箭头和文字；图像原始显示、全屏显示、直方图显示、不同部位窗宽窗位预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2.7.4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图像采集工作站可检测球管热容量并具备显示球管热容比功能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2.7.5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图像采集工作站可检测平板探测器电量及温度并具备显示功能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2.7.</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具备低剂量摄影控制功能。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2.7.</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具备影像采集诊断及图文报告功能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 其他要求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3.1.</w:t>
            </w:r>
            <w:r>
              <w:rPr>
                <w:rFonts w:hint="eastAsia" w:ascii="仿宋" w:hAnsi="仿宋" w:eastAsia="仿宋" w:cs="仿宋"/>
                <w:color w:val="000000" w:themeColor="text1"/>
                <w:sz w:val="24"/>
                <w:szCs w:val="24"/>
                <w:highlight w:val="none"/>
                <w14:textFill>
                  <w14:solidFill>
                    <w14:schemeClr w14:val="tx1"/>
                  </w14:solidFill>
                </w14:textFill>
              </w:rPr>
              <w:t>制造商具有全国400或800免费服务热线。</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本项目为交钥匙工程，包括保证该设备正常合法运行相关的工程防护施工、附属设备配置（包括但不限于胶片打印机、胶片等）以及证照手续办理（机房预评、环评、控评等手续），验收时保障设备正常运行使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3.6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中标方负责连接上级医院信息系统，并承担相关信息化建设端口费用</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达到临床使用标准。</w:t>
            </w:r>
          </w:p>
        </w:tc>
        <w:tc>
          <w:tcPr>
            <w:tcW w:w="721" w:type="dxa"/>
            <w:tcBorders>
              <w:top w:val="nil"/>
              <w:left w:val="nil"/>
              <w:bottom w:val="single" w:color="auto" w:sz="4" w:space="0"/>
              <w:right w:val="single" w:color="auto" w:sz="4" w:space="0"/>
            </w:tcBorders>
            <w:shd w:val="clear" w:color="000000" w:fill="FFFFFF"/>
            <w:vAlign w:val="center"/>
          </w:tcPr>
          <w:p w14:paraId="2584D431">
            <w:pPr>
              <w:rPr>
                <w:rFonts w:hint="eastAsia" w:ascii="仿宋" w:hAnsi="仿宋" w:eastAsia="仿宋" w:cs="仿宋"/>
                <w:sz w:val="24"/>
                <w:szCs w:val="24"/>
                <w:highlight w:val="none"/>
              </w:rPr>
            </w:pPr>
            <w:r>
              <w:rPr>
                <w:rFonts w:hint="eastAsia" w:ascii="仿宋" w:hAnsi="仿宋" w:eastAsia="仿宋" w:cs="仿宋"/>
                <w:sz w:val="24"/>
                <w:szCs w:val="24"/>
                <w:highlight w:val="none"/>
              </w:rPr>
              <w:t>含打印机、预评环评控评、装修费、端口费</w:t>
            </w:r>
          </w:p>
          <w:p w14:paraId="7A520DB8">
            <w:pPr>
              <w:rPr>
                <w:rFonts w:hint="eastAsia" w:ascii="仿宋" w:hAnsi="仿宋" w:eastAsia="仿宋" w:cs="仿宋"/>
                <w:color w:val="FF0000"/>
                <w:sz w:val="24"/>
                <w:szCs w:val="24"/>
                <w:highlight w:val="none"/>
                <w:lang w:val="en-US" w:eastAsia="zh-CN"/>
              </w:rPr>
            </w:pPr>
          </w:p>
        </w:tc>
      </w:tr>
      <w:tr w14:paraId="60BCE0C0">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3FA1C238">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255C7B62">
            <w:pP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909" w:type="dxa"/>
            <w:tcBorders>
              <w:top w:val="nil"/>
              <w:left w:val="nil"/>
              <w:bottom w:val="single" w:color="auto" w:sz="4" w:space="0"/>
              <w:right w:val="single" w:color="auto" w:sz="4" w:space="0"/>
            </w:tcBorders>
            <w:shd w:val="clear" w:color="000000" w:fill="FFFFFF"/>
            <w:vAlign w:val="center"/>
          </w:tcPr>
          <w:p w14:paraId="4BA4021A">
            <w:pPr>
              <w:rPr>
                <w:rFonts w:hint="eastAsia" w:ascii="仿宋" w:hAnsi="仿宋" w:eastAsia="仿宋" w:cs="仿宋"/>
                <w:sz w:val="24"/>
                <w:szCs w:val="24"/>
                <w:highlight w:val="none"/>
              </w:rPr>
            </w:pPr>
            <w:r>
              <w:rPr>
                <w:rFonts w:hint="eastAsia" w:ascii="仿宋" w:hAnsi="仿宋" w:eastAsia="仿宋" w:cs="仿宋"/>
                <w:sz w:val="24"/>
                <w:szCs w:val="24"/>
                <w:highlight w:val="none"/>
              </w:rPr>
              <w:t>全数字彩色多普勒超声诊断仪</w:t>
            </w:r>
          </w:p>
        </w:tc>
        <w:tc>
          <w:tcPr>
            <w:tcW w:w="636" w:type="dxa"/>
            <w:tcBorders>
              <w:top w:val="nil"/>
              <w:left w:val="nil"/>
              <w:bottom w:val="single" w:color="auto" w:sz="4" w:space="0"/>
              <w:right w:val="single" w:color="auto" w:sz="4" w:space="0"/>
            </w:tcBorders>
            <w:shd w:val="clear" w:color="000000" w:fill="FFFFFF"/>
            <w:noWrap/>
            <w:vAlign w:val="center"/>
          </w:tcPr>
          <w:p w14:paraId="224375BF">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0C201E6E">
            <w:pPr>
              <w:rPr>
                <w:rFonts w:hint="eastAsia" w:ascii="仿宋" w:hAnsi="仿宋" w:eastAsia="仿宋" w:cs="仿宋"/>
                <w:sz w:val="24"/>
                <w:szCs w:val="24"/>
                <w:highlight w:val="none"/>
                <w:lang w:eastAsia="zh-CN"/>
              </w:rPr>
            </w:pPr>
            <w:r>
              <w:rPr>
                <w:rFonts w:hint="eastAsia" w:ascii="仿宋" w:hAnsi="仿宋" w:eastAsia="仿宋" w:cs="仿宋"/>
                <w:color w:val="FF0000"/>
                <w:sz w:val="24"/>
                <w:szCs w:val="24"/>
                <w:highlight w:val="none"/>
                <w:lang w:val="en-US" w:eastAsia="zh-CN"/>
              </w:rPr>
              <w:t>1</w:t>
            </w:r>
          </w:p>
        </w:tc>
        <w:tc>
          <w:tcPr>
            <w:tcW w:w="5652" w:type="dxa"/>
            <w:tcBorders>
              <w:top w:val="nil"/>
              <w:left w:val="nil"/>
              <w:bottom w:val="single" w:color="auto" w:sz="4" w:space="0"/>
              <w:right w:val="single" w:color="auto" w:sz="4" w:space="0"/>
            </w:tcBorders>
            <w:shd w:val="clear" w:color="000000" w:fill="FFFFFF"/>
            <w:vAlign w:val="center"/>
          </w:tcPr>
          <w:p w14:paraId="3FE1450F">
            <w:pPr>
              <w:numPr>
                <w:ilvl w:val="0"/>
                <w:numId w:val="0"/>
              </w:num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用途说明：腹部、产科、妇科、心脏、小器官、泌尿、血管、儿科、急诊、麻醉、介入、神经、肌骨、颅脑及其它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、主要技术规格及系统概述：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主机系统性能</w:t>
            </w:r>
          </w:p>
          <w:p w14:paraId="77FDA8A9">
            <w:pPr>
              <w:numPr>
                <w:ilvl w:val="0"/>
                <w:numId w:val="0"/>
              </w:num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1.*≥21”高分辨率彩色液晶显示器 </w:t>
            </w:r>
          </w:p>
          <w:p w14:paraId="00F504E2">
            <w:pPr>
              <w:numPr>
                <w:ilvl w:val="0"/>
                <w:numId w:val="0"/>
              </w:num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≥13”彩色液晶触摸屏,  触摸屏可独立调整角度 </w:t>
            </w:r>
          </w:p>
          <w:p w14:paraId="74FC166F">
            <w:pPr>
              <w:numPr>
                <w:ilvl w:val="0"/>
                <w:numId w:val="0"/>
              </w:num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触摸屏界面可调整菜单顺序或隐藏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主机内置≥5个大小一致探头接口，4个全激活互通互用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.数字波束形成器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多倍信号并行处理技术</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数字化全程动态聚焦</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彩色M型成像单元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.解剖M型成像单元：≥3条取样线</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.彩色多普勒成像单元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.频谱多普勒成像单元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.数字化可变孔径及动态变迹技术，A/D≥1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bit</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.二维灰阶成像单元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.谐波成像单元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.M型成像单元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.组织多普勒成像单元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.自由臂三维成像单元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.3D/4D成像单元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 空间复合成像，梯形成像模式下可用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.二维角度独立偏转成像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.斑点噪音抑制≥5档可调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.扩展成像≥2档可调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.二维/彩色双实时对比成像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.一键优化，支持独立按键操作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.局部放大：≥10倍</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.穿刺引导功能：支持单线和双线区间引导两种方式，可调节位置及角度;支持碎石引导线</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.穿刺针增强技术</w:t>
            </w:r>
          </w:p>
          <w:p w14:paraId="0FC89256">
            <w:pPr>
              <w:numPr>
                <w:ilvl w:val="0"/>
                <w:numId w:val="0"/>
              </w:num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 xml:space="preserve">内置超声教学软件，支持肾脏、脾脏、子宫及附件、胆道系统、甲状腺、乳腺、心脏等方面应用，机器内部能提供扫查手法图、解剖示意图、标准超声声像图和操作者实时检查图像，支持医生对超声扫查的自学和训练 </w:t>
            </w:r>
          </w:p>
          <w:p w14:paraId="5C8986B3">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*29.</w:t>
            </w:r>
            <w:r>
              <w:rPr>
                <w:rFonts w:hint="eastAsia" w:ascii="仿宋" w:hAnsi="仿宋" w:eastAsia="仿宋" w:cs="仿宋"/>
                <w:color w:val="auto"/>
                <w:sz w:val="24"/>
                <w:szCs w:val="24"/>
                <w:highlight w:val="none"/>
              </w:rPr>
              <w:t>可支持高分辨率血流成像，支持线阵和凸阵</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30.电影回放及原始数据处理</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31.支持手动、自动回放，支持4D 电影自动回放</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32.支持不同探头≥4幅图像同屏动态回放，回放速度可调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33.原始数据处理，可对回放的动态图像进行离线参数分析，如增益、伪彩、灰阶曲线、斑点噪声抑制等各种参数的调节</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34.存储及数据管理</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35.内置超声工作站</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36.同屏一体化智能剪切板：可实时同屏存储、回放动态及静态图像，可随时调阅、传输、删除图像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37.多种图像格式传输：支持JPG、WMV、BMP、AVI、TIF等格式输出</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38.连通性要求</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39</w:t>
            </w:r>
            <w:r>
              <w:rPr>
                <w:rFonts w:hint="eastAsia" w:ascii="仿宋" w:hAnsi="仿宋" w:eastAsia="仿宋" w:cs="仿宋"/>
                <w:color w:val="auto"/>
                <w:sz w:val="24"/>
                <w:szCs w:val="24"/>
                <w:highlight w:val="none"/>
              </w:rPr>
              <w:t>. 主机内置USB接口≧4个</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.具有无线数据传输功能，实现将临床图像从超声设备传输到移动智能终端</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.主机内置HDMI接口，无需任何转接设备</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.系统技术参数及要求</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.二维灰阶成像单元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.焦点个数≥10个</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.预设条件：针对不同的检查脏器，预置最佳化图像的检查条件，减少操作时的调节，并以脏器图形化直观显示并配有部位名称，而非单独的中文或英文显示。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.TGC: ≥8段</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.LGC: ≥</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段</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48</w:t>
            </w:r>
            <w:r>
              <w:rPr>
                <w:rFonts w:hint="eastAsia" w:ascii="仿宋" w:hAnsi="仿宋" w:eastAsia="仿宋" w:cs="仿宋"/>
                <w:color w:val="auto"/>
                <w:sz w:val="24"/>
                <w:szCs w:val="24"/>
                <w:highlight w:val="none"/>
              </w:rPr>
              <w:t>.动态范围: ≥</w:t>
            </w: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0，可视可调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*49</w:t>
            </w:r>
            <w:r>
              <w:rPr>
                <w:rFonts w:hint="eastAsia" w:ascii="仿宋" w:hAnsi="仿宋" w:eastAsia="仿宋" w:cs="仿宋"/>
                <w:color w:val="auto"/>
                <w:sz w:val="24"/>
                <w:szCs w:val="24"/>
                <w:highlight w:val="none"/>
              </w:rPr>
              <w:t>.增益调节≥2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 xml:space="preserve">. 最大显示深度≥40.0cm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.伪彩图谱: ≥12种</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.声功率≥100%，步进1</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.彩色多普勒成像单元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.包括速度、速度方差、能量、方向能量显示等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.显示方式：B/C、B/C/M、B/PDI、B/DPDI</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.增益调节≥200</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.壁滤波可调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.智能血流追踪技术，单键操作，取样框自动识别并追踪血管位置及血流方向，同时自动偏转</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.彩色基线调节：±</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级可调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 xml:space="preserve">.频谱多普勒成像单元 </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.包括脉冲多普勒、高脉冲重复频率、连续多普勒</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.显示方式：PW，B/PW, B/C/PW, B/CW、B/C/CW、HPRF等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.PW实时自动跟踪测速，随着取样门位置改变，PW速度可进行自动跟踪测量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.彩色滤波器具有自动和手动技术：调节脉冲重复频率时，壁滤波器自动进行相应优化调节</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.取样容积：1-20mm</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.快速角度校正</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.支持频谱自动测量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.零位移动：8 级</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69</w:t>
            </w:r>
            <w:r>
              <w:rPr>
                <w:rFonts w:hint="eastAsia" w:ascii="仿宋" w:hAnsi="仿宋" w:eastAsia="仿宋" w:cs="仿宋"/>
                <w:color w:val="auto"/>
                <w:sz w:val="24"/>
                <w:szCs w:val="24"/>
                <w:highlight w:val="none"/>
              </w:rPr>
              <w:t>.测量/分析和报告</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.常规测量软件包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.泌尿测量软件包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.小器官测量软件包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.定点测速功能，彩色多普勒模式下可同屏测量血管腔内任意位置的血流速度</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.频谱自动测量分析软件，用户可自由配置显示的参数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.专科测量软件包，自动生成报告</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.腹部测量软件包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.妇科测量软件包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.基础测量包，2B模式下支持双幅跨幅测量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79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彩色剖面血流测量：在彩色多普勒模式下，测量血管截面瞬时的血流量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.产科测量软件包：4胞胎对比测量分析，胎儿生长曲线显示、胎儿解剖结构描述、胎儿生理评分、支持NT自动测量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.心脏测量软件包：心肌功能指数，支持心内膜自动描迹</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.儿科测量软件包：髋关节测量可显示Graf法分类</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.血管测量软件包：IMT血管内中膜自动测量，具备前、后壁同屏独立测量显示</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.探头规格</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.可支持探头类型：凸阵、相控阵、线阵、腔内、腹部容积、腔内容积、双平面、指夹式探头及腹腔镜探头等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.探头频率：宽频变频探头,二维、谐波、彩色及频谱多普勒模式分别独立变频≥</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段</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.线阵探头: 4-1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MHz</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.凸阵探头: 1.5-6.5 MHz，最大探测深度30cm</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89</w:t>
            </w:r>
            <w:r>
              <w:rPr>
                <w:rFonts w:hint="eastAsia" w:ascii="仿宋" w:hAnsi="仿宋" w:eastAsia="仿宋" w:cs="仿宋"/>
                <w:color w:val="auto"/>
                <w:sz w:val="24"/>
                <w:szCs w:val="24"/>
                <w:highlight w:val="none"/>
              </w:rPr>
              <w:t>.相控阵探头: 1-6.5 MHz</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.技术、维修、培训及其它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.驻地以上城市具有厂家备件库及售后服务工程师，支持安装、调试及维修</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.厂家提供专业人员现场操作和培训</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中标方负责连接上级医院信息系统，并承担相关信息化建设端口费用</w:t>
            </w:r>
          </w:p>
          <w:p w14:paraId="36CDAA8C">
            <w:pPr>
              <w:numPr>
                <w:ilvl w:val="0"/>
                <w:numId w:val="0"/>
              </w:numPr>
              <w:rPr>
                <w:rFonts w:hint="eastAsia" w:ascii="仿宋" w:hAnsi="仿宋" w:eastAsia="仿宋" w:cs="仿宋"/>
                <w:sz w:val="24"/>
                <w:szCs w:val="24"/>
                <w:highlight w:val="none"/>
              </w:rPr>
            </w:pPr>
            <w:r>
              <w:rPr>
                <w:rFonts w:hint="eastAsia" w:ascii="仿宋" w:hAnsi="仿宋" w:eastAsia="仿宋" w:cs="仿宋"/>
                <w:color w:val="auto"/>
                <w:sz w:val="24"/>
                <w:szCs w:val="24"/>
                <w:highlight w:val="none"/>
                <w:lang w:val="en-US" w:eastAsia="zh-CN"/>
              </w:rPr>
              <w:t>94.</w:t>
            </w:r>
            <w:r>
              <w:rPr>
                <w:rFonts w:hint="eastAsia" w:ascii="仿宋" w:hAnsi="仿宋" w:eastAsia="仿宋" w:cs="仿宋"/>
                <w:color w:val="auto"/>
                <w:sz w:val="24"/>
                <w:szCs w:val="24"/>
                <w:highlight w:val="none"/>
              </w:rPr>
              <w:t>配中文操作系统及工作站</w:t>
            </w:r>
          </w:p>
        </w:tc>
        <w:tc>
          <w:tcPr>
            <w:tcW w:w="721" w:type="dxa"/>
            <w:tcBorders>
              <w:top w:val="nil"/>
              <w:left w:val="nil"/>
              <w:bottom w:val="single" w:color="auto" w:sz="4" w:space="0"/>
              <w:right w:val="single" w:color="auto" w:sz="4" w:space="0"/>
            </w:tcBorders>
            <w:shd w:val="clear" w:color="000000" w:fill="FFFFFF"/>
            <w:vAlign w:val="center"/>
          </w:tcPr>
          <w:p w14:paraId="07E6A1ED">
            <w:pPr>
              <w:rPr>
                <w:rFonts w:hint="eastAsia" w:ascii="仿宋" w:hAnsi="仿宋" w:eastAsia="仿宋" w:cs="仿宋"/>
                <w:sz w:val="24"/>
                <w:szCs w:val="24"/>
                <w:highlight w:val="none"/>
              </w:rPr>
            </w:pPr>
            <w:r>
              <w:rPr>
                <w:rFonts w:hint="eastAsia" w:ascii="仿宋" w:hAnsi="仿宋" w:eastAsia="仿宋" w:cs="仿宋"/>
                <w:sz w:val="24"/>
                <w:szCs w:val="24"/>
                <w:highlight w:val="none"/>
              </w:rPr>
              <w:t>含软件、电脑打印机、端口费、三把探头（小器官、腹部、心脏）、台车</w:t>
            </w:r>
          </w:p>
        </w:tc>
      </w:tr>
      <w:tr w14:paraId="5BB3F194">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7AB93E8E">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24DAF76B">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909" w:type="dxa"/>
            <w:tcBorders>
              <w:top w:val="nil"/>
              <w:left w:val="nil"/>
              <w:bottom w:val="single" w:color="auto" w:sz="4" w:space="0"/>
              <w:right w:val="single" w:color="auto" w:sz="4" w:space="0"/>
            </w:tcBorders>
            <w:shd w:val="clear" w:color="000000" w:fill="FFFFFF"/>
            <w:vAlign w:val="center"/>
          </w:tcPr>
          <w:p w14:paraId="73DA74F3">
            <w:pPr>
              <w:rPr>
                <w:rFonts w:hint="eastAsia" w:ascii="仿宋" w:hAnsi="仿宋" w:eastAsia="仿宋" w:cs="仿宋"/>
                <w:sz w:val="24"/>
                <w:szCs w:val="24"/>
                <w:highlight w:val="none"/>
              </w:rPr>
            </w:pPr>
            <w:r>
              <w:rPr>
                <w:rFonts w:hint="eastAsia" w:ascii="仿宋" w:hAnsi="仿宋" w:eastAsia="仿宋" w:cs="仿宋"/>
                <w:sz w:val="24"/>
                <w:szCs w:val="24"/>
                <w:highlight w:val="none"/>
              </w:rPr>
              <w:t>便携式彩色多普勒超声系统</w:t>
            </w:r>
          </w:p>
        </w:tc>
        <w:tc>
          <w:tcPr>
            <w:tcW w:w="636" w:type="dxa"/>
            <w:tcBorders>
              <w:top w:val="nil"/>
              <w:left w:val="nil"/>
              <w:bottom w:val="single" w:color="auto" w:sz="4" w:space="0"/>
              <w:right w:val="single" w:color="auto" w:sz="4" w:space="0"/>
            </w:tcBorders>
            <w:shd w:val="clear" w:color="000000" w:fill="FFFFFF"/>
            <w:noWrap/>
            <w:vAlign w:val="center"/>
          </w:tcPr>
          <w:p w14:paraId="2F973CDA">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02D6B7A2">
            <w:pP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5652" w:type="dxa"/>
            <w:tcBorders>
              <w:top w:val="nil"/>
              <w:left w:val="nil"/>
              <w:bottom w:val="single" w:color="auto" w:sz="4" w:space="0"/>
              <w:right w:val="single" w:color="auto" w:sz="4" w:space="0"/>
            </w:tcBorders>
            <w:shd w:val="clear" w:color="000000" w:fill="FFFFFF"/>
            <w:vAlign w:val="center"/>
          </w:tcPr>
          <w:p w14:paraId="2FBF9490">
            <w:pPr>
              <w:numPr>
                <w:ilvl w:val="0"/>
                <w:numId w:val="0"/>
              </w:numPr>
              <w:ind w:leftChars="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一、</w:t>
            </w:r>
            <w:r>
              <w:rPr>
                <w:rFonts w:hint="eastAsia" w:ascii="仿宋" w:hAnsi="仿宋" w:eastAsia="仿宋" w:cs="仿宋"/>
                <w:color w:val="auto"/>
                <w:sz w:val="24"/>
                <w:szCs w:val="24"/>
                <w:highlight w:val="none"/>
              </w:rPr>
              <w:t>用途说明：腹部、妇产科、疼痛科、心脏、小器官、泌尿、血管、儿科、急诊、麻醉、介入、神经、肌骨、颅脑及其它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1主机系统性能</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  便携彩超主机</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1.2  主机内置探头接口≥2个，大小一致，全激活，互通互用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1.3  ≥15”超薄宽屏高分辨率彩色液晶显示器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1.4  数字波束形成器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1.5  多倍信号并行处理技术</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1.6  数字化全程动态聚焦</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1.7  数字化可变孔径及动态变迹技术，A/D≥12 bit</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1.8  接收方式：发射、接收通道≥1024</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1.9  空间复合成像，≥4级可调，最高可支持9线空间复合</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1.10  具有组织特异性成像，能够独立选择实质、普通、脂肪、液性成像模式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1.11  二维角度独立偏转成像，≥5级可调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1.12  斑点噪音抑制，多级可调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1.13  一键自动优化，支持二维、M模式、彩色多普勒、能量多普勒、方向能量多普勒及频谱多普勒成像模式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1.14  扩展成像，支持线阵、凸阵，支持二维、彩色多普勒模式</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1.15  图像放大功能，支持前端放大、后端放大</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1.16  支持一键全屏放大</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1.17  多语言操作界面：支持中文键盘输入</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1.18  支持穿刺引导功能，具备单线引导和双线引导以及中位线引导，具备点状引导线，标识进针深度</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1.19   图形化预设置：针对不同的检查脏器，预置最佳图像检查条件，并以脏器图标直观显示</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1.20  二维灰阶成像单元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1.21  谐波成像单元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1.22  M型成像单元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1.23  彩色多普勒成像单元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1.24  频谱多普勒成像单元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2二维灰阶参数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2.1  最大显示深度≥38cm</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2.2  发射声束聚焦：聚焦区域多级可调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2.3  二维增益调节范围≥250 dB</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2.4   动态范围≥300 dB，可视可调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 xml:space="preserve">2.5   物理滑动TGC分段调节≥8段，具有 TGC </w:t>
            </w:r>
            <w:r>
              <w:rPr>
                <w:rFonts w:hint="eastAsia" w:ascii="仿宋" w:hAnsi="仿宋" w:eastAsia="仿宋" w:cs="仿宋"/>
                <w:color w:val="000000" w:themeColor="text1"/>
                <w:sz w:val="24"/>
                <w:szCs w:val="24"/>
                <w:highlight w:val="none"/>
                <w14:textFill>
                  <w14:solidFill>
                    <w14:schemeClr w14:val="tx1"/>
                  </w14:solidFill>
                </w14:textFill>
              </w:rPr>
              <w:t>曲线显示</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2.6  伪彩≥12种</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2.7  声功率1–100%，可视可调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3探头规格</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3.1  超宽频变频探头：基波≥5种，谐波≥5种，彩色多普勒≥3种，PW≥3种，可视可调</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3.2  探头配置：可支持凸阵、线阵、相控阵、微凸阵、腔内等探头</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3.3  相控阵探头，探头频率：1.5-6.0MHz</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3.4  腹部凸阵探头，探头频率：1.5-6.5MHz</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3.5  浅表线阵探头，探头频率：5.5-15.0MHz</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4彩色多普勒参数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4.1  包括速度、速度方差、能量、方向能量显示等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4.2  多普勒增益≥250dB</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4.3  彩色多普勒定量分析软件：彩色血流剖面图、定点测速功能</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5频谱多普勒参数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5.1  方式：脉冲波多普勒（PW）、连续波多普勒（CW）、高脉冲重复频率多普勒（HPRF）</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5.2  B/D兼用：线阵：B/PW，凸阵：B/PW，扇扫：B/PW、B/CW</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5.3  取样宽度及位置范围：宽度 0.5–24mm</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5.4  显示控制：反转显示（左/右；上/下）</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5.5  频谱实时包络功能，在实时诊断下，频谱实时包络并显示血流参数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6系统通用技术规格</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6.1  内置锂电池独立供电，电池独立供电工作时间&gt;1.3小时</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6.2  主机内置USB接口≥2个</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6.3   主机内置HDMI、S-VIDEO等接口</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6.4  专用台车</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7图文工作站</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7.1  系统可存储病人信息，可查询、检索、调阅历史信息</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7.2  支持动、静态图像文件及病人报告的存储，以及病人图像的快速浏览</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7.3  支持以下存储介质：内部硬盘、USB移动存储设备</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7.4  支持AVI、WMV、JPG、BMP、TIF等格式输出</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8图像存储，回放和浏览</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8.1  同屏一体化智能剪切板</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8.2  支持快速存储和浏览屏幕图像、电影</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8.3  存储动、静态图像，屏幕可显示硬盘容量数据信息</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8.4  主机内置报告系统</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9测量和分析</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9.1  常规测量软件包：距离、面积、体积、角度、时间、斜率、心率等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9.2  腹部测量软件包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9.3  妇科测量软件包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9.4  产科测量软件包：具有≥4胞胎对比测量分析，支持胎儿生长曲线显示等</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9.5  心脏测量软件包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9.6  泌尿测量软件包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9.7  小器官测量软件包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9.8  儿科测量软件包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9.9  血管测量软件包</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10中标方负责连接上级医院信息系统，并承担相关信息化建设端口费用</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11 配中文操作系统及工作站</w:t>
            </w:r>
          </w:p>
        </w:tc>
        <w:tc>
          <w:tcPr>
            <w:tcW w:w="721" w:type="dxa"/>
            <w:tcBorders>
              <w:top w:val="nil"/>
              <w:left w:val="nil"/>
              <w:bottom w:val="single" w:color="auto" w:sz="4" w:space="0"/>
              <w:right w:val="single" w:color="auto" w:sz="4" w:space="0"/>
            </w:tcBorders>
            <w:shd w:val="clear" w:color="000000" w:fill="FFFFFF"/>
            <w:vAlign w:val="center"/>
          </w:tcPr>
          <w:p w14:paraId="5EE48C6D">
            <w:pPr>
              <w:rPr>
                <w:rFonts w:hint="eastAsia" w:ascii="仿宋" w:hAnsi="仿宋" w:eastAsia="仿宋" w:cs="仿宋"/>
                <w:sz w:val="24"/>
                <w:szCs w:val="24"/>
                <w:highlight w:val="none"/>
              </w:rPr>
            </w:pPr>
            <w:r>
              <w:rPr>
                <w:rFonts w:hint="eastAsia" w:ascii="仿宋" w:hAnsi="仿宋" w:eastAsia="仿宋" w:cs="仿宋"/>
                <w:sz w:val="24"/>
                <w:szCs w:val="24"/>
                <w:highlight w:val="none"/>
              </w:rPr>
              <w:t>含软件、电脑打印机、端口费、三把探头（小器官、腹部、心脏）、台车</w:t>
            </w:r>
          </w:p>
        </w:tc>
      </w:tr>
      <w:tr w14:paraId="7496E795">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36A27C48">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29CC2432">
            <w:pP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909" w:type="dxa"/>
            <w:tcBorders>
              <w:top w:val="nil"/>
              <w:left w:val="nil"/>
              <w:bottom w:val="single" w:color="auto" w:sz="4" w:space="0"/>
              <w:right w:val="single" w:color="auto" w:sz="4" w:space="0"/>
            </w:tcBorders>
            <w:shd w:val="clear" w:color="000000" w:fill="FFFFFF"/>
            <w:noWrap/>
            <w:vAlign w:val="center"/>
          </w:tcPr>
          <w:p w14:paraId="443AB80E">
            <w:pPr>
              <w:rPr>
                <w:rFonts w:hint="eastAsia" w:ascii="仿宋" w:hAnsi="仿宋" w:eastAsia="仿宋" w:cs="仿宋"/>
                <w:sz w:val="24"/>
                <w:szCs w:val="24"/>
                <w:highlight w:val="none"/>
              </w:rPr>
            </w:pPr>
            <w:r>
              <w:rPr>
                <w:rFonts w:hint="eastAsia" w:ascii="仿宋" w:hAnsi="仿宋" w:eastAsia="仿宋" w:cs="仿宋"/>
                <w:sz w:val="24"/>
                <w:szCs w:val="24"/>
                <w:highlight w:val="none"/>
              </w:rPr>
              <w:t>数字式十二道心电图机</w:t>
            </w:r>
          </w:p>
        </w:tc>
        <w:tc>
          <w:tcPr>
            <w:tcW w:w="636" w:type="dxa"/>
            <w:tcBorders>
              <w:top w:val="nil"/>
              <w:left w:val="nil"/>
              <w:bottom w:val="single" w:color="auto" w:sz="4" w:space="0"/>
              <w:right w:val="single" w:color="auto" w:sz="4" w:space="0"/>
            </w:tcBorders>
            <w:shd w:val="clear" w:color="000000" w:fill="FFFFFF"/>
            <w:noWrap/>
            <w:vAlign w:val="center"/>
          </w:tcPr>
          <w:p w14:paraId="17B789F6">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150A557B">
            <w:pP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5652" w:type="dxa"/>
            <w:tcBorders>
              <w:top w:val="nil"/>
              <w:left w:val="nil"/>
              <w:bottom w:val="single" w:color="auto" w:sz="4" w:space="0"/>
              <w:right w:val="single" w:color="auto" w:sz="4" w:space="0"/>
            </w:tcBorders>
            <w:shd w:val="clear" w:color="000000" w:fill="FFFFFF"/>
            <w:vAlign w:val="center"/>
          </w:tcPr>
          <w:p w14:paraId="47E5D61F">
            <w:p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一</w:t>
            </w:r>
            <w:r>
              <w:rPr>
                <w:rFonts w:hint="eastAsia" w:ascii="仿宋" w:hAnsi="仿宋" w:eastAsia="仿宋" w:cs="仿宋"/>
                <w:sz w:val="24"/>
                <w:szCs w:val="24"/>
                <w:highlight w:val="none"/>
              </w:rPr>
              <w:t>、 ECG输入</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.1ECG输入通道：标准12导联心电信号同步采集</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.2导联选择：手动/自动可选,（支持Nehb、Cabrera导联体系）</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.3输入阻抗：≥100MΩ（10Hz）</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 xml:space="preserve">.4频率响应：0.01-450 Hz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.5定标电压：1mV±1%</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 xml:space="preserve">.6耐极化电压：≥±880 mV（±5%）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.7内部噪声：≤12.5µVp-p</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 xml:space="preserve">.8时间常数：≥5s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 xml:space="preserve">.9共模抑制比：≥140dB（AC滤波开启）；≥123dB（AC滤波关闭）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.10输入电流：≤0.01μA</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.11除颤保护：具有抗除颤电击保护功能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.12导联线：导联线内附抗除颤电击保护功能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.13中文输入及中文操作提示和中文报告语言</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二</w:t>
            </w:r>
            <w:r>
              <w:rPr>
                <w:rFonts w:hint="eastAsia" w:ascii="仿宋" w:hAnsi="仿宋" w:eastAsia="仿宋" w:cs="仿宋"/>
                <w:sz w:val="24"/>
                <w:szCs w:val="24"/>
                <w:highlight w:val="none"/>
              </w:rPr>
              <w:t>、波形处理：</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.1A/D转换：24bit</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 xml:space="preserve">.2采样率：40kHz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.3灵敏度选择：1.25、2.5、5、10、20、10/5、自动（AGC）mm/mV ±5%</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.4抗干扰滤波：具有交流滤波、肌电滤波、基线漂移滤波、低通滤波功能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.5自动分析功能：具有12导联同步自动分析以及RR分析功能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.6自诊断功能：具有设备自诊断及故障提示功能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eastAsia="zh-CN"/>
              </w:rPr>
              <w:t>三</w:t>
            </w:r>
            <w:r>
              <w:rPr>
                <w:rFonts w:hint="eastAsia" w:ascii="仿宋" w:hAnsi="仿宋" w:eastAsia="仿宋" w:cs="仿宋"/>
                <w:sz w:val="24"/>
                <w:szCs w:val="24"/>
                <w:highlight w:val="none"/>
              </w:rPr>
              <w:t>、存储器</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.1设备内置存储器，存储病历</w:t>
            </w:r>
            <w:r>
              <w:rPr>
                <w:rFonts w:hint="eastAsia" w:ascii="仿宋" w:hAnsi="仿宋" w:eastAsia="仿宋" w:cs="仿宋"/>
                <w:color w:val="00B050"/>
                <w:sz w:val="24"/>
                <w:szCs w:val="24"/>
                <w:highlight w:val="none"/>
                <w:lang w:val="en-US" w:eastAsia="zh-CN"/>
              </w:rPr>
              <w:t>≥</w:t>
            </w:r>
            <w:r>
              <w:rPr>
                <w:rFonts w:hint="eastAsia" w:ascii="仿宋" w:hAnsi="仿宋" w:eastAsia="仿宋" w:cs="仿宋"/>
                <w:sz w:val="24"/>
                <w:szCs w:val="24"/>
                <w:highlight w:val="none"/>
              </w:rPr>
              <w:t>800例</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.2数据可通过SD卡、USB口导入导出,外接U盘和SD卡可扩展存储空间</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eastAsia="zh-CN"/>
              </w:rPr>
              <w:t>四</w:t>
            </w:r>
            <w:r>
              <w:rPr>
                <w:rFonts w:hint="eastAsia" w:ascii="仿宋" w:hAnsi="仿宋" w:eastAsia="仿宋" w:cs="仿宋"/>
                <w:sz w:val="24"/>
                <w:szCs w:val="24"/>
                <w:highlight w:val="none"/>
              </w:rPr>
              <w:t>、 显示器：</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.1彩色液晶显示屏，倾斜角设计，支持显示背景网格</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.2显示信息：同屏显示12导同步心电波形</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.3显示内容应包含波形、心率、导联、走纸速度、增益、滤波器、时间、电池电量指示、输入法、文件、信息提示区、中文患者信息等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五</w:t>
            </w:r>
            <w:r>
              <w:rPr>
                <w:rFonts w:hint="eastAsia" w:ascii="仿宋" w:hAnsi="仿宋" w:eastAsia="仿宋" w:cs="仿宋"/>
                <w:sz w:val="24"/>
                <w:szCs w:val="24"/>
                <w:highlight w:val="none"/>
              </w:rPr>
              <w:t>、记录器：</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.1热敏式点阵打印机</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打印方式：实时同步或连续12道心电波形，分段打印</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记录内容：心电波形、分析结果、明尼苏达码、平均模板以及导联名称、走纸速度、增益、滤波器、日期、中文患者信息、标记等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可直接外接打印机，通过A4纸打印12道心电波形和报告</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具备在无网格纸上打印网格功能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六</w:t>
            </w:r>
            <w:r>
              <w:rPr>
                <w:rFonts w:hint="eastAsia" w:ascii="仿宋" w:hAnsi="仿宋" w:eastAsia="仿宋" w:cs="仿宋"/>
                <w:sz w:val="24"/>
                <w:szCs w:val="24"/>
                <w:highlight w:val="none"/>
              </w:rPr>
              <w:t>、功能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.1直接功能键和标准键盘，具有性别、年龄组快速切换键</w:t>
            </w:r>
            <w:r>
              <w:rPr>
                <w:rFonts w:hint="eastAsia" w:ascii="仿宋" w:hAnsi="仿宋" w:eastAsia="仿宋" w:cs="仿宋"/>
                <w:color w:val="FF0000"/>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2</w:t>
            </w:r>
            <w:r>
              <w:rPr>
                <w:rFonts w:hint="eastAsia" w:ascii="仿宋" w:hAnsi="仿宋" w:eastAsia="仿宋" w:cs="仿宋"/>
                <w:color w:val="000000" w:themeColor="text1"/>
                <w:sz w:val="24"/>
                <w:szCs w:val="24"/>
                <w:highlight w:val="none"/>
                <w14:textFill>
                  <w14:solidFill>
                    <w14:schemeClr w14:val="tx1"/>
                  </w14:solidFill>
                </w14:textFill>
              </w:rPr>
              <w:t>电极接触不良并报警</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拥有自动测量功能和自动诊断功能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手动、自动、节律、R-R四种工作模式可供选择。</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R-R间期检测，并将R-R趋势测量报告连同心电波形一并给出</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自动模式下可以支持10-60s时间的采集，记录，存储，传输。</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支持实时采样、触发采样、周期采样模式，支持心律失常检测延时打印报告</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周期记录模式,记录时间间隔最长可设置为60分钟</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长时间波形冻结功能</w:t>
            </w:r>
            <w:r>
              <w:rPr>
                <w:rFonts w:hint="eastAsia" w:ascii="仿宋" w:hAnsi="仿宋" w:eastAsia="仿宋" w:cs="仿宋"/>
                <w:color w:val="FF0000"/>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0</w:t>
            </w:r>
            <w:r>
              <w:rPr>
                <w:rFonts w:hint="eastAsia" w:ascii="仿宋" w:hAnsi="仿宋" w:eastAsia="仿宋" w:cs="仿宋"/>
                <w:sz w:val="24"/>
                <w:szCs w:val="24"/>
                <w:highlight w:val="none"/>
              </w:rPr>
              <w:t>具有病历管理功能，可进行病历查询、预览、修改、传输、打印</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可以通过使用有线、无线方式和心电网络相连，实现病人预约信息的下载，检查数据自动上传，实现全方位信息化管理</w:t>
            </w:r>
            <w:r>
              <w:rPr>
                <w:rFonts w:hint="eastAsia" w:ascii="仿宋" w:hAnsi="仿宋" w:eastAsia="仿宋" w:cs="仿宋"/>
                <w:color w:val="FF0000"/>
                <w:sz w:val="24"/>
                <w:szCs w:val="24"/>
                <w:highlight w:val="none"/>
              </w:rPr>
              <w:br w:type="textWrapping"/>
            </w:r>
            <w:r>
              <w:rPr>
                <w:rFonts w:hint="eastAsia" w:ascii="仿宋" w:hAnsi="仿宋" w:eastAsia="仿宋" w:cs="仿宋"/>
                <w:color w:val="FF0000"/>
                <w:sz w:val="24"/>
                <w:szCs w:val="24"/>
                <w:highlight w:val="none"/>
              </w:rPr>
              <w:br w:type="textWrapping"/>
            </w:r>
            <w:r>
              <w:rPr>
                <w:rFonts w:hint="eastAsia" w:ascii="仿宋" w:hAnsi="仿宋" w:eastAsia="仿宋" w:cs="仿宋"/>
                <w:sz w:val="24"/>
                <w:szCs w:val="24"/>
                <w:highlight w:val="none"/>
                <w:lang w:val="en-US" w:eastAsia="zh-CN"/>
              </w:rPr>
              <w:t>七</w:t>
            </w:r>
            <w:r>
              <w:rPr>
                <w:rFonts w:hint="eastAsia" w:ascii="仿宋" w:hAnsi="仿宋" w:eastAsia="仿宋" w:cs="仿宋"/>
                <w:sz w:val="24"/>
                <w:szCs w:val="24"/>
                <w:highlight w:val="none"/>
              </w:rPr>
              <w:t>、外部输入接口：</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.1USB接口，网络接口功能，外部输入输出端口，SD卡接口</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.2支持内置WIFI，支持使用有线、无线的方式进行联网</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.3支持DAT、PDF、FDA-XML、DICOM格式，满足医院信息化需求</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.4支持一维码，二维码扫描仪获取病人信息</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八</w:t>
            </w:r>
            <w:r>
              <w:rPr>
                <w:rFonts w:hint="eastAsia" w:ascii="仿宋" w:hAnsi="仿宋" w:eastAsia="仿宋" w:cs="仿宋"/>
                <w:sz w:val="24"/>
                <w:szCs w:val="24"/>
                <w:highlight w:val="none"/>
              </w:rPr>
              <w:t>、便携式机器</w:t>
            </w:r>
            <w:r>
              <w:rPr>
                <w:rFonts w:hint="eastAsia" w:ascii="仿宋" w:hAnsi="仿宋" w:eastAsia="仿宋" w:cs="仿宋"/>
                <w:color w:val="FF0000"/>
                <w:sz w:val="24"/>
                <w:szCs w:val="24"/>
                <w:highlight w:val="none"/>
              </w:rPr>
              <w:br w:type="textWrapping"/>
            </w:r>
            <w:r>
              <w:rPr>
                <w:rFonts w:hint="eastAsia" w:ascii="仿宋" w:hAnsi="仿宋" w:eastAsia="仿宋" w:cs="仿宋"/>
                <w:sz w:val="24"/>
                <w:szCs w:val="24"/>
                <w:highlight w:val="none"/>
                <w:lang w:val="en-US" w:eastAsia="zh-CN"/>
              </w:rPr>
              <w:t>九</w:t>
            </w:r>
            <w:r>
              <w:rPr>
                <w:rFonts w:hint="eastAsia" w:ascii="仿宋" w:hAnsi="仿宋" w:eastAsia="仿宋" w:cs="仿宋"/>
                <w:sz w:val="24"/>
                <w:szCs w:val="24"/>
                <w:highlight w:val="none"/>
              </w:rPr>
              <w:t>、电源：交直流两用　自动转换</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.1 直流电源：内置可充电电池，工作时间</w:t>
            </w:r>
            <w:r>
              <w:rPr>
                <w:rFonts w:hint="eastAsia" w:ascii="仿宋" w:hAnsi="仿宋" w:eastAsia="仿宋" w:cs="仿宋"/>
                <w:color w:val="00B050"/>
                <w:sz w:val="24"/>
                <w:szCs w:val="24"/>
                <w:highlight w:val="none"/>
              </w:rPr>
              <w:t>≥</w:t>
            </w:r>
            <w:r>
              <w:rPr>
                <w:rFonts w:hint="eastAsia" w:ascii="仿宋" w:hAnsi="仿宋" w:eastAsia="仿宋" w:cs="仿宋"/>
                <w:sz w:val="24"/>
                <w:szCs w:val="24"/>
                <w:highlight w:val="none"/>
              </w:rPr>
              <w:t xml:space="preserve">4小时 </w:t>
            </w:r>
          </w:p>
        </w:tc>
        <w:tc>
          <w:tcPr>
            <w:tcW w:w="721" w:type="dxa"/>
            <w:tcBorders>
              <w:top w:val="nil"/>
              <w:left w:val="nil"/>
              <w:bottom w:val="single" w:color="auto" w:sz="4" w:space="0"/>
              <w:right w:val="single" w:color="auto" w:sz="4" w:space="0"/>
            </w:tcBorders>
            <w:shd w:val="clear" w:color="000000" w:fill="FFFFFF"/>
            <w:vAlign w:val="center"/>
          </w:tcPr>
          <w:p w14:paraId="56BB1E09">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2914A489">
        <w:tblPrEx>
          <w:tblCellMar>
            <w:top w:w="0" w:type="dxa"/>
            <w:left w:w="108" w:type="dxa"/>
            <w:bottom w:w="0" w:type="dxa"/>
            <w:right w:w="108" w:type="dxa"/>
          </w:tblCellMar>
        </w:tblPrEx>
        <w:trPr>
          <w:trHeight w:val="836" w:hRule="atLeast"/>
        </w:trPr>
        <w:tc>
          <w:tcPr>
            <w:tcW w:w="580" w:type="dxa"/>
            <w:vMerge w:val="continue"/>
            <w:tcBorders>
              <w:top w:val="nil"/>
              <w:left w:val="single" w:color="auto" w:sz="4" w:space="0"/>
              <w:bottom w:val="single" w:color="auto" w:sz="4" w:space="0"/>
              <w:right w:val="single" w:color="auto" w:sz="4" w:space="0"/>
            </w:tcBorders>
            <w:vAlign w:val="center"/>
          </w:tcPr>
          <w:p w14:paraId="645DDFD9">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2AD3095">
            <w:pP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909" w:type="dxa"/>
            <w:tcBorders>
              <w:top w:val="nil"/>
              <w:left w:val="nil"/>
              <w:bottom w:val="single" w:color="auto" w:sz="4" w:space="0"/>
              <w:right w:val="single" w:color="auto" w:sz="4" w:space="0"/>
            </w:tcBorders>
            <w:shd w:val="clear" w:color="000000" w:fill="FFFFFF"/>
            <w:noWrap/>
            <w:vAlign w:val="center"/>
          </w:tcPr>
          <w:p w14:paraId="0F7953D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动态心电图机</w:t>
            </w:r>
          </w:p>
        </w:tc>
        <w:tc>
          <w:tcPr>
            <w:tcW w:w="636" w:type="dxa"/>
            <w:tcBorders>
              <w:top w:val="nil"/>
              <w:left w:val="nil"/>
              <w:bottom w:val="single" w:color="auto" w:sz="4" w:space="0"/>
              <w:right w:val="single" w:color="auto" w:sz="4" w:space="0"/>
            </w:tcBorders>
            <w:shd w:val="clear" w:color="000000" w:fill="FFFFFF"/>
            <w:noWrap/>
            <w:vAlign w:val="center"/>
          </w:tcPr>
          <w:p w14:paraId="530A809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6DE8F8A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p>
        </w:tc>
        <w:tc>
          <w:tcPr>
            <w:tcW w:w="5652" w:type="dxa"/>
            <w:tcBorders>
              <w:top w:val="nil"/>
              <w:left w:val="nil"/>
              <w:bottom w:val="single" w:color="auto" w:sz="4" w:space="0"/>
              <w:right w:val="single" w:color="auto" w:sz="4" w:space="0"/>
            </w:tcBorders>
            <w:shd w:val="clear" w:color="000000" w:fill="FFFFFF"/>
            <w:vAlign w:val="center"/>
          </w:tcPr>
          <w:p w14:paraId="6F9F1C07">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一、采集盒：</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1.1重量≤50g;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 SD卡存储，容量≥1G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 全彩LCD液晶屏幕可显示波形、电池电量、记录时间、记录状态、病人信息、事件标记、起搏状态等信息</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 配备键盘，设置记录器的记录参数、波形切换等操作；具有事件按钮，可以准确记录事件发生的时间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1.5同时支持SD卡和USB2.0高速传输、读取数据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1.6病历保护功能，如果监测到记录器中含有没有分析的数据，记录盒会报警提示，保证数据不丢失</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1.7 电子标签：支持分析软件电子登记、记录器键盘输入病例号等方法进行电子标签标注，记录前将病人基本信息（病例号、姓名、性别、年龄等）写入记录数据包中</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1.8电极脱落提示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1.9 功耗低，1节电池可完成≥140小时的动态心电记录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1.10 电源管理，电池欠压检测提示，长时间空闲状态或记录结束30分钟后将自动关闭电源。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1.11 防水等级：采集盒支持IPX7防水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二、信号处理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2.1频率响应：0.05～60Hz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2.2输入阻抗：≥20MΩ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2.3输入回路电流：≤0.1μA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2.4噪声电平：≤50μVp-p</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2.5极化电压：±300mV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2.6共模抑制比（CMRR）：≥100dB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2.7时间常数：≥3.2s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2.8增益：5mm/mV、10mm/mV、20mm/mV</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2.9记录通道：12导、3导二合一，自动识别导联类型、完成记录模式切换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2.10采样率：25600 Hz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2.11 A/D转换精度：24位</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2.12记录天数：0、1、2天可调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2.13起搏检测：多通道同时检测，可识别±2mV~±200mV, 0.1~2.0ms的起搏信号</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三、分析软件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 软件同时兼容3/12导联记录盒</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3.2 根据用户需要，可自由配置软件界面工作流程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3.3 儿童模式：提供针对儿童的特异性分析算法来进行儿童患者的数据分析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3.4 心电数据滤波：提供工频滤波、基线漂移滤波、低通滤波等多种滤波功能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3.5 心电波形自学习功能，实现模板高效匹配</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3.6 心电图编辑窗口具有自动播放功能，播放速度可调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3.7 具备多种实用心电图编辑工具：如测量、波形放大、导联反转、保存片段图等，方便医生进行心电波形的查看及保存</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3.8 丰富的心律失常分析手段：自动识别各类心律失常，可根据需要修改心律失常的自动判别参数，支持自定义心律失常事件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3.9 准确的QRS形态分类，可自动识别正常、房早、室早、插入性室早、起搏、伪差等心拍类型，并支持≥20种模板分类选项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3.10 模板编辑功能：具有模板合并和拆分功能，方便医生进行快速归类，并对编辑过的模板进行标记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3.11 可同屏显示主模板、子模板、心拍、心电图窗口，支持模板的单拍/多拍显示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3.12 散点图分析：可以提供Lorenz散点图、差值散点图、24小时散点图、小时散点图、时序散点图等多种散点图工具，支持散点图反向定位心搏操作，帮助医生快速诊断异常心搏；支持任意时间段散点图显示，实现快速编辑和确认短暂房颤、短阵过速心律失常现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3.13 叠加图分析：提供心搏叠加窗口，具有反混淆分析功能，能根据心搏形态差异对异常心搏（特别是宽QRS波群或伪差）进行快速分辨、圈选，并加以修改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3.14 散点+叠加图分析：同屏显示所选模板的散点图+叠加图，同时结合RR间期和波形形态实现心拍的快速分类</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3.15 直方图分析：可以提供R-R间期、R-V间期、R-R提前量、R-V提前量、RR间期比、起搏到起搏等20多种常用分布直方图分析工具</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3.16 房颤/房扑自动分析：一键自动检测房颤/房扑，列表显示房颤/房扑发生的时间、持续时间等，支持对房颤/房扑事件的手动修改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3.17 ST段分析：软件支持对全导联ST段抬高、压低情况进行自动列表统计，并显示ST段变化的趋势，方便快速地查找各个时间点心电图和ST段变化；可手动修改/添加/删除ST事件；支持单独界面的ST段重分析操作</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3.18 多通道采集起搏器脉冲信号,并可对AOO、VOO、AAI、VVI、DDD等十六种起搏器进行分析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3.19 支持心率变异自动分析：从R-R间期散点图、时域趋势图、频域趋势图、时域趋势表、频域趋势表、长时程心率变异、心率变异三维图、心律减速力等多个方面进行分析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3.20 具有QT分析功能：可提供QT趋表、QT直方图、QT离散度等多种分析工具</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3.21 可提供心率震荡、起搏、呼吸睡眠、T波电交替、心电向量、心室晚电位，瀑布图等多种自动分析功能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3.22 在高速回放波形过程中，显示屏上同时叠加5分钟波形，当心电波形发生异常改变时，在正常波形的余辉上可观察到叠加的异常波形，及时发现心律失常</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3.23 报告自定义编辑功能:提供自动结论和手动结论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3.24 具有网络化功能，可接入</w:t>
            </w:r>
            <w:r>
              <w:rPr>
                <w:rFonts w:hint="eastAsia" w:ascii="仿宋" w:hAnsi="仿宋" w:eastAsia="仿宋" w:cs="仿宋"/>
                <w:color w:val="000000" w:themeColor="text1"/>
                <w:sz w:val="24"/>
                <w:szCs w:val="24"/>
                <w:highlight w:val="none"/>
                <w:lang w:val="en-US" w:eastAsia="zh-CN"/>
                <w14:textFill>
                  <w14:solidFill>
                    <w14:schemeClr w14:val="tx1"/>
                  </w14:solidFill>
                </w14:textFill>
              </w:rPr>
              <w:t>心电</w:t>
            </w:r>
            <w:r>
              <w:rPr>
                <w:rFonts w:hint="eastAsia" w:ascii="仿宋" w:hAnsi="仿宋" w:eastAsia="仿宋" w:cs="仿宋"/>
                <w:color w:val="000000" w:themeColor="text1"/>
                <w:sz w:val="24"/>
                <w:szCs w:val="24"/>
                <w:highlight w:val="none"/>
                <w14:textFill>
                  <w14:solidFill>
                    <w14:schemeClr w14:val="tx1"/>
                  </w14:solidFill>
                </w14:textFill>
              </w:rPr>
              <w:t>网络系统</w:t>
            </w:r>
          </w:p>
        </w:tc>
        <w:tc>
          <w:tcPr>
            <w:tcW w:w="721" w:type="dxa"/>
            <w:tcBorders>
              <w:top w:val="nil"/>
              <w:left w:val="nil"/>
              <w:bottom w:val="single" w:color="auto" w:sz="4" w:space="0"/>
              <w:right w:val="single" w:color="auto" w:sz="4" w:space="0"/>
            </w:tcBorders>
            <w:shd w:val="clear" w:color="000000" w:fill="FFFFFF"/>
            <w:vAlign w:val="center"/>
          </w:tcPr>
          <w:p w14:paraId="7D0C0705">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0E8A93F8">
        <w:tblPrEx>
          <w:tblCellMar>
            <w:top w:w="0" w:type="dxa"/>
            <w:left w:w="108" w:type="dxa"/>
            <w:bottom w:w="0" w:type="dxa"/>
            <w:right w:w="108" w:type="dxa"/>
          </w:tblCellMar>
        </w:tblPrEx>
        <w:trPr>
          <w:trHeight w:val="416" w:hRule="atLeast"/>
        </w:trPr>
        <w:tc>
          <w:tcPr>
            <w:tcW w:w="580" w:type="dxa"/>
            <w:vMerge w:val="continue"/>
            <w:tcBorders>
              <w:top w:val="nil"/>
              <w:left w:val="single" w:color="auto" w:sz="4" w:space="0"/>
              <w:bottom w:val="single" w:color="auto" w:sz="4" w:space="0"/>
              <w:right w:val="single" w:color="auto" w:sz="4" w:space="0"/>
            </w:tcBorders>
            <w:vAlign w:val="center"/>
          </w:tcPr>
          <w:p w14:paraId="45EC9B33">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698C8C07">
            <w:pP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909" w:type="dxa"/>
            <w:tcBorders>
              <w:top w:val="nil"/>
              <w:left w:val="nil"/>
              <w:bottom w:val="single" w:color="auto" w:sz="4" w:space="0"/>
              <w:right w:val="single" w:color="auto" w:sz="4" w:space="0"/>
            </w:tcBorders>
            <w:shd w:val="clear" w:color="000000" w:fill="FFFFFF"/>
            <w:noWrap/>
            <w:vAlign w:val="center"/>
          </w:tcPr>
          <w:p w14:paraId="1E00F4B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动态血压监测仪</w:t>
            </w:r>
          </w:p>
        </w:tc>
        <w:tc>
          <w:tcPr>
            <w:tcW w:w="636" w:type="dxa"/>
            <w:tcBorders>
              <w:top w:val="nil"/>
              <w:left w:val="nil"/>
              <w:bottom w:val="single" w:color="auto" w:sz="4" w:space="0"/>
              <w:right w:val="single" w:color="auto" w:sz="4" w:space="0"/>
            </w:tcBorders>
            <w:shd w:val="clear" w:color="000000" w:fill="FFFFFF"/>
            <w:noWrap/>
            <w:vAlign w:val="center"/>
          </w:tcPr>
          <w:p w14:paraId="5CDD8EB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5326EB4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w:t>
            </w:r>
          </w:p>
        </w:tc>
        <w:tc>
          <w:tcPr>
            <w:tcW w:w="5652" w:type="dxa"/>
            <w:tcBorders>
              <w:top w:val="nil"/>
              <w:left w:val="nil"/>
              <w:bottom w:val="single" w:color="auto" w:sz="4" w:space="0"/>
              <w:right w:val="single" w:color="auto" w:sz="4" w:space="0"/>
            </w:tcBorders>
            <w:shd w:val="clear" w:color="000000" w:fill="FFFFFF"/>
            <w:vAlign w:val="center"/>
          </w:tcPr>
          <w:p w14:paraId="2A5BDAE8">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一、</w:t>
            </w:r>
            <w:r>
              <w:rPr>
                <w:rFonts w:hint="eastAsia" w:ascii="仿宋" w:hAnsi="仿宋" w:eastAsia="仿宋" w:cs="仿宋"/>
                <w:color w:val="000000" w:themeColor="text1"/>
                <w:sz w:val="24"/>
                <w:szCs w:val="24"/>
                <w:highlight w:val="none"/>
                <w14:textFill>
                  <w14:solidFill>
                    <w14:schemeClr w14:val="tx1"/>
                  </w14:solidFill>
                </w14:textFill>
              </w:rPr>
              <w:t>采集盒：</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1.重量＜160g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2.彩色屏幕显示，能够清晰显示时间、电池电量、血压测量结果</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3.扇形设计的袖带和手臂的贴合，保证患者佩戴舒适性；袖带延长管连接处采用自锁结构，能够快速连接、更换袖带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4.灵活的数据传输方式，支持type C或无线蓝牙的方式进行数据传输、读取</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5.防水等级：支持IP22防水等级</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6.2节AA电池供电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7.支持事件记录功能，结合事件记录对血压数据进行分析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.支持体位记录功能，能够辅助临床判断患者血压测量时的体位情况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.数据存储器：闪存储存，存储≥300组数据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二、测量范围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1.测量方法：示波法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2.量程：0 mmHg~300 mmHg，精度：±3 mmHg (±0.4kPa)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3.压力测量范围：10 mmHg~290 mmHg，最大平均误差：±5 mmHg（0.67kPa），最大标准偏差：8 mmHg（1.07kPa）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4.脉率测量范围：40 bpm~240 bpm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5.过压保护：当血压测量压力值超过297mmHg±3mmHg时，开启过压保护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6.监测时长：≥24小时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7.监测间隔≥8种可调</w:t>
            </w:r>
          </w:p>
          <w:p w14:paraId="32FBD6C1">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8.安全系统：最大充气气压为300 mmHg，最大测量时常为120 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三、分析软件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1.能够自动生成解释性总结，提供诊断术语库，方便医生快速编写诊断结论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2.具有智能检索功能，支持对病例进行快速查找</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3.可自动删除已读取数据，防止病人数据混淆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4.具有数据表、统计表、直方图、饼图、昼夜节律图等分析工具</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5.支持平均压、测量比较功能、脉压分析、动态动脉硬化指数分析、晨峰血压分析、白大衣分析，多种分析功能辅助医生分析诊断</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6.相关图分析：可查看收缩压和舒张压相关性，查看全部和部分相关图，数据范围可支持总体、白天、夜间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7.提供病人信息、管理列表、报告内容自定义配置，灵活的配置满足多样化的需求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8.数据管理和报告打印：用户可以编辑、存储、打印病人的血压、数据表、直方图、饼图、昼夜节律图等信息</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9.支持与同品牌信息化系统集成，可实现数据传输功能</w:t>
            </w:r>
          </w:p>
        </w:tc>
        <w:tc>
          <w:tcPr>
            <w:tcW w:w="721" w:type="dxa"/>
            <w:tcBorders>
              <w:top w:val="nil"/>
              <w:left w:val="nil"/>
              <w:bottom w:val="single" w:color="auto" w:sz="4" w:space="0"/>
              <w:right w:val="single" w:color="auto" w:sz="4" w:space="0"/>
            </w:tcBorders>
            <w:shd w:val="clear" w:color="000000" w:fill="FFFFFF"/>
            <w:vAlign w:val="center"/>
          </w:tcPr>
          <w:p w14:paraId="149F29BD">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4CCE5B6C">
        <w:tblPrEx>
          <w:tblCellMar>
            <w:top w:w="0" w:type="dxa"/>
            <w:left w:w="108" w:type="dxa"/>
            <w:bottom w:w="0" w:type="dxa"/>
            <w:right w:w="108" w:type="dxa"/>
          </w:tblCellMar>
        </w:tblPrEx>
        <w:trPr>
          <w:trHeight w:val="418" w:hRule="atLeast"/>
        </w:trPr>
        <w:tc>
          <w:tcPr>
            <w:tcW w:w="580" w:type="dxa"/>
            <w:vMerge w:val="continue"/>
            <w:tcBorders>
              <w:top w:val="nil"/>
              <w:left w:val="single" w:color="auto" w:sz="4" w:space="0"/>
              <w:bottom w:val="single" w:color="auto" w:sz="4" w:space="0"/>
              <w:right w:val="single" w:color="auto" w:sz="4" w:space="0"/>
            </w:tcBorders>
            <w:vAlign w:val="center"/>
          </w:tcPr>
          <w:p w14:paraId="2AC29453">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F8273B4">
            <w:pP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909" w:type="dxa"/>
            <w:tcBorders>
              <w:top w:val="nil"/>
              <w:left w:val="nil"/>
              <w:bottom w:val="single" w:color="auto" w:sz="4" w:space="0"/>
              <w:right w:val="single" w:color="auto" w:sz="4" w:space="0"/>
            </w:tcBorders>
            <w:shd w:val="clear" w:color="000000" w:fill="FFFFFF"/>
            <w:noWrap/>
            <w:vAlign w:val="center"/>
          </w:tcPr>
          <w:p w14:paraId="4E8DF9A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车载监护仪</w:t>
            </w:r>
          </w:p>
        </w:tc>
        <w:tc>
          <w:tcPr>
            <w:tcW w:w="636" w:type="dxa"/>
            <w:tcBorders>
              <w:top w:val="nil"/>
              <w:left w:val="nil"/>
              <w:bottom w:val="single" w:color="auto" w:sz="4" w:space="0"/>
              <w:right w:val="single" w:color="auto" w:sz="4" w:space="0"/>
            </w:tcBorders>
            <w:shd w:val="clear" w:color="000000" w:fill="FFFFFF"/>
            <w:noWrap/>
            <w:vAlign w:val="center"/>
          </w:tcPr>
          <w:p w14:paraId="1C7FA0C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0573CFE5">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1FC17AB0">
            <w:pPr>
              <w:numPr>
                <w:ilvl w:val="0"/>
                <w:numId w:val="6"/>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监护参数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心电（ECG）、呼吸(RESP)、无创血压(NIBP)、血氧饱和度(SpO2)、脉搏(PR)、双通道体温(TEMP)</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二、显示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 彩色显示屏，分辨率：不低于800×480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 标配触摸屏，并具有锁屏功能</w:t>
            </w:r>
          </w:p>
          <w:p w14:paraId="2980C92A">
            <w:pPr>
              <w:numPr>
                <w:ilvl w:val="0"/>
                <w:numId w:val="7"/>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≥4个参数自由组合和波形进行大字体显示功能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4.具有呼吸氧合图观察界面，同步显示心率、呼吸、血氧饱和度参数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5.具有短趋势共存界面显示，方便同屏查看实时数据及趋势</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6.支持快速进入“趋势图回顾界面”、“趋势表回顾界面”、“快速接收一名病人”、“呼吸氧合界面”等多种快捷键操作，且可根据不同医护人员使用习惯选择是否在主屏幕显示快捷键列表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三、数据存储、回顾</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1.≥150小时趋势图/表存储回顾</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 ≥1200组无创血压测量回顾</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3.3导/5导：≥48小时全息波形；12导：≥35小时全息波形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 ≥200组报警事件/心律失常事件回顾</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5.具备Micro USB数据接口，可将机内存储设备上的数据导出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四、性能特点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 重量&lt;1.5 kg，一体式防滑提手，便于移动使用，防水等级IP44</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2.适用于院外转运环境，包括救护车的转运，要求符合：1)EN 1789：2007地面救护车标准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2)外壳防护等级符合 IEC/EN 60529 规范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 防护等级IP44，环境恶劣野外、雨天仍能正常使用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3.具有待机功能，暂时停止所有监护操作</w:t>
            </w:r>
          </w:p>
          <w:p w14:paraId="301CD6C1">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4. 心电增益有：1.25mm/mv (×0.125), 2.5 mm/mv (×0.25), 5 mm/mv (×0.5),10 mm/mv (×1), 20 mm/mv (×2), 40 mm/mv (×4),自动增益，多种选择，满足临床需求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 共模抑制比：弱滤波模式：&gt;95dB,监护和强滤波模式：&gt;105dB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6.具有药物浓度计算功能、滴定表计算功能、血流动力学计算功能、氧合计算功能、通气计算功能和肾功能计算功能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7.具有脉搏调制音，通过心跳声音的音调变化来判断血氧饱和度的高低变化,使医护人员从听觉中获取病人生命体征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8.分别用不同的声音表示高/中/低三种不同级别的生理报警及技术报警，并提供提示信息</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 技术报警、生理报警分别有各自的报警指示灯（2个独立的报警指示灯），声光双重三级报警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10.适用于成人、小儿、新生儿</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 标配可充电电池，续航时间≥5.5h</w:t>
            </w:r>
          </w:p>
        </w:tc>
        <w:tc>
          <w:tcPr>
            <w:tcW w:w="721" w:type="dxa"/>
            <w:tcBorders>
              <w:top w:val="nil"/>
              <w:left w:val="nil"/>
              <w:bottom w:val="single" w:color="auto" w:sz="4" w:space="0"/>
              <w:right w:val="single" w:color="auto" w:sz="4" w:space="0"/>
            </w:tcBorders>
            <w:shd w:val="clear" w:color="000000" w:fill="FFFFFF"/>
            <w:vAlign w:val="center"/>
          </w:tcPr>
          <w:p w14:paraId="4EDD0923">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5BC113F1">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6ED5FE9D">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02EAC790">
            <w:pP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909" w:type="dxa"/>
            <w:tcBorders>
              <w:top w:val="nil"/>
              <w:left w:val="nil"/>
              <w:bottom w:val="single" w:color="auto" w:sz="4" w:space="0"/>
              <w:right w:val="single" w:color="auto" w:sz="4" w:space="0"/>
            </w:tcBorders>
            <w:shd w:val="clear" w:color="000000" w:fill="FFFFFF"/>
            <w:noWrap/>
            <w:vAlign w:val="center"/>
          </w:tcPr>
          <w:p w14:paraId="3A7D9D0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多参数监护仪</w:t>
            </w:r>
          </w:p>
        </w:tc>
        <w:tc>
          <w:tcPr>
            <w:tcW w:w="636" w:type="dxa"/>
            <w:tcBorders>
              <w:top w:val="nil"/>
              <w:left w:val="nil"/>
              <w:bottom w:val="single" w:color="auto" w:sz="4" w:space="0"/>
              <w:right w:val="single" w:color="auto" w:sz="4" w:space="0"/>
            </w:tcBorders>
            <w:shd w:val="clear" w:color="000000" w:fill="FFFFFF"/>
            <w:noWrap/>
            <w:vAlign w:val="center"/>
          </w:tcPr>
          <w:p w14:paraId="51CB07C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3AE860F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c>
          <w:tcPr>
            <w:tcW w:w="5652" w:type="dxa"/>
            <w:tcBorders>
              <w:top w:val="nil"/>
              <w:left w:val="nil"/>
              <w:bottom w:val="single" w:color="auto" w:sz="4" w:space="0"/>
              <w:right w:val="single" w:color="auto" w:sz="4" w:space="0"/>
            </w:tcBorders>
            <w:shd w:val="clear" w:color="000000" w:fill="FFFFFF"/>
            <w:vAlign w:val="center"/>
          </w:tcPr>
          <w:p w14:paraId="7A6D900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适用于成人、小儿、新生儿的监测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2.一体化多参数监护仪，≥12英寸彩色显示屏，分辨率≥1920*1080，支持同屏显示≥10道波形以同时观察。</w:t>
            </w:r>
          </w:p>
          <w:p w14:paraId="2918CAF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3.触摸屏显示屏可视角≥170 度。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4.具备心电、呼吸、无创血压、血氧饱和度、脉率和体温监测功能。可升级双血氧、6/12电极心电监测。支持升级心电信号进行诊断分析。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.支持升级IBP、AG、C.O.等高级参数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.主机≥2个USB口，可用于外接条码枪扫描枪、键盘、U盘储存等设备，支持选配HDMI视频输出接口。</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 xml:space="preserve">.配有 1 块锂电池。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.支持待机模式、夜间模式、演示模式、插管模式、隐私模式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三、性能特点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1.主机重量＜4 kg。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2.界面显示能根据用户选择的参数数量和波形数量调节布局。</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3.显示屏亮度支持自动、手动调节。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4.配有锁屏健，用户通过点击进入锁屏状态。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5.具有多导心电监护算法，同步分析至少 2 通道心电波形，能够良好抗干扰。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6.可设置智能导联脱落功能，如果当前所选导联无法检测心电信号，监护仪自动切换相应的导联作为计算导联。</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7.支持≥27种实时心律失常分析。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 支持0.67Hz高通滤波。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 支持显示ECG信号质量指数，指示≥10个不同级别的心率信号强度。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 支持≥2种NIBP测量算法。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 支持连续无创血压功能，实时无创监测病人血压，而非NIBP的连续测量模式。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12.RR 测量范围 0-200 rpm。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13.无创血压成人测量范围：收缩压25~290mmHg，舒张压10~250 mmHg。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14.无创血压提供手动、自动、连续、序列四种测量模式。自动模式支持自定义设置血压测量间隔，间隔时间支持从1-460分钟内的任意整数数值。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15.支持在同一肢体上同时测量血氧和血压。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16.实时监测弱灌注指数（PI），测量范围0-20%。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17. IBP测量范围-50 mmHg ~ +400 mmHg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18. 血氧探头光强多级别显示，可帮助临床快速判断探头光衰程度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19.在新生儿模式下支持CCHD新生儿先心病筛查</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20.支持心率变异性分析、ST分析、QT分析、24小时心电概览、24小时血压概览、早期预警评分等临床辅助功能</w:t>
            </w:r>
          </w:p>
        </w:tc>
        <w:tc>
          <w:tcPr>
            <w:tcW w:w="721" w:type="dxa"/>
            <w:tcBorders>
              <w:top w:val="nil"/>
              <w:left w:val="nil"/>
              <w:bottom w:val="single" w:color="auto" w:sz="4" w:space="0"/>
              <w:right w:val="single" w:color="auto" w:sz="4" w:space="0"/>
            </w:tcBorders>
            <w:shd w:val="clear" w:color="000000" w:fill="FFFFFF"/>
            <w:vAlign w:val="center"/>
          </w:tcPr>
          <w:p w14:paraId="22842B3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w:t>
            </w:r>
          </w:p>
        </w:tc>
      </w:tr>
      <w:tr w14:paraId="26741259">
        <w:tblPrEx>
          <w:tblCellMar>
            <w:top w:w="0" w:type="dxa"/>
            <w:left w:w="108" w:type="dxa"/>
            <w:bottom w:w="0" w:type="dxa"/>
            <w:right w:w="108" w:type="dxa"/>
          </w:tblCellMar>
        </w:tblPrEx>
        <w:trPr>
          <w:trHeight w:val="1612" w:hRule="atLeast"/>
        </w:trPr>
        <w:tc>
          <w:tcPr>
            <w:tcW w:w="580" w:type="dxa"/>
            <w:vMerge w:val="continue"/>
            <w:tcBorders>
              <w:top w:val="nil"/>
              <w:left w:val="single" w:color="auto" w:sz="4" w:space="0"/>
              <w:bottom w:val="single" w:color="auto" w:sz="4" w:space="0"/>
              <w:right w:val="single" w:color="auto" w:sz="4" w:space="0"/>
            </w:tcBorders>
            <w:vAlign w:val="center"/>
          </w:tcPr>
          <w:p w14:paraId="4A295AC0">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586E6DB5">
            <w:pP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909" w:type="dxa"/>
            <w:tcBorders>
              <w:top w:val="nil"/>
              <w:left w:val="nil"/>
              <w:bottom w:val="single" w:color="auto" w:sz="4" w:space="0"/>
              <w:right w:val="single" w:color="auto" w:sz="4" w:space="0"/>
            </w:tcBorders>
            <w:shd w:val="clear" w:color="000000" w:fill="FFFFFF"/>
            <w:noWrap/>
            <w:vAlign w:val="center"/>
          </w:tcPr>
          <w:p w14:paraId="639B3325">
            <w:pPr>
              <w:rPr>
                <w:rFonts w:hint="eastAsia" w:ascii="仿宋" w:hAnsi="仿宋" w:eastAsia="仿宋" w:cs="仿宋"/>
                <w:sz w:val="24"/>
                <w:szCs w:val="24"/>
                <w:highlight w:val="none"/>
              </w:rPr>
            </w:pPr>
            <w:r>
              <w:rPr>
                <w:rFonts w:hint="eastAsia" w:ascii="仿宋" w:hAnsi="仿宋" w:eastAsia="仿宋" w:cs="仿宋"/>
                <w:sz w:val="24"/>
                <w:szCs w:val="24"/>
                <w:highlight w:val="none"/>
              </w:rPr>
              <w:t>除颤仪</w:t>
            </w:r>
          </w:p>
        </w:tc>
        <w:tc>
          <w:tcPr>
            <w:tcW w:w="636" w:type="dxa"/>
            <w:tcBorders>
              <w:top w:val="nil"/>
              <w:left w:val="nil"/>
              <w:bottom w:val="single" w:color="auto" w:sz="4" w:space="0"/>
              <w:right w:val="single" w:color="auto" w:sz="4" w:space="0"/>
            </w:tcBorders>
            <w:shd w:val="clear" w:color="000000" w:fill="FFFFFF"/>
            <w:noWrap/>
            <w:vAlign w:val="center"/>
          </w:tcPr>
          <w:p w14:paraId="4C5120F3">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23D04CE1">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5652" w:type="dxa"/>
            <w:tcBorders>
              <w:top w:val="nil"/>
              <w:left w:val="nil"/>
              <w:bottom w:val="single" w:color="auto" w:sz="4" w:space="0"/>
              <w:right w:val="single" w:color="auto" w:sz="4" w:space="0"/>
            </w:tcBorders>
            <w:shd w:val="clear" w:color="000000" w:fill="FFFFFF"/>
            <w:vAlign w:val="center"/>
          </w:tcPr>
          <w:p w14:paraId="4FA1A349">
            <w:pPr>
              <w:pStyle w:val="31"/>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sz w:val="24"/>
                <w:szCs w:val="24"/>
                <w:highlight w:val="none"/>
                <w:lang w:val="en-US" w:eastAsia="zh-CN"/>
              </w:rPr>
              <w:t>一、</w:t>
            </w:r>
            <w:r>
              <w:rPr>
                <w:rFonts w:hint="eastAsia" w:ascii="仿宋" w:hAnsi="仿宋" w:eastAsia="仿宋" w:cs="仿宋"/>
                <w:sz w:val="24"/>
                <w:szCs w:val="24"/>
                <w:highlight w:val="none"/>
              </w:rPr>
              <w:t>适用范围</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主要用于医院或急救车上对病人进行：生命体征监护、手动同步与非同步除颤、AED除颤、起搏、CPR功能等。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二</w:t>
            </w:r>
            <w:r>
              <w:rPr>
                <w:rFonts w:hint="eastAsia" w:ascii="仿宋" w:hAnsi="仿宋" w:eastAsia="仿宋" w:cs="仿宋"/>
                <w:color w:val="000000" w:themeColor="text1"/>
                <w:sz w:val="24"/>
                <w:szCs w:val="24"/>
                <w:highlight w:val="none"/>
                <w14:textFill>
                  <w14:solidFill>
                    <w14:schemeClr w14:val="tx1"/>
                  </w14:solidFill>
                </w14:textFill>
              </w:rPr>
              <w:t>、技术参数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1.≥7英寸彩色TFT屏幕，分辨率≥800×480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2.主机重量（含电池）:≤5.8kg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3.具备</w:t>
            </w:r>
            <w:r>
              <w:rPr>
                <w:rFonts w:hint="eastAsia" w:ascii="仿宋" w:hAnsi="仿宋" w:eastAsia="仿宋" w:cs="仿宋"/>
                <w:color w:val="000000" w:themeColor="text1"/>
                <w:sz w:val="24"/>
                <w:szCs w:val="24"/>
                <w:highlight w:val="none"/>
                <w14:textFill>
                  <w14:solidFill>
                    <w14:schemeClr w14:val="tx1"/>
                  </w14:solidFill>
                </w14:textFill>
              </w:rPr>
              <w:t xml:space="preserve">体外同步/非同步除颤，同步放电延迟时间小于 60ms（自R波尖峰起）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 采用双相指数截断（ BTE）波，波形参数可根据病人阻抗进行自动补偿</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除颤</w:t>
            </w:r>
            <w:r>
              <w:rPr>
                <w:rFonts w:hint="eastAsia" w:ascii="仿宋" w:hAnsi="仿宋" w:eastAsia="仿宋" w:cs="仿宋"/>
                <w:color w:val="000000" w:themeColor="text1"/>
                <w:sz w:val="24"/>
                <w:szCs w:val="24"/>
                <w:highlight w:val="none"/>
                <w:lang w:val="en-US" w:eastAsia="zh-CN"/>
                <w14:textFill>
                  <w14:solidFill>
                    <w14:schemeClr w14:val="tx1"/>
                  </w14:solidFill>
                </w14:textFill>
              </w:rPr>
              <w:t>最大</w:t>
            </w:r>
            <w:r>
              <w:rPr>
                <w:rFonts w:hint="eastAsia" w:ascii="仿宋" w:hAnsi="仿宋" w:eastAsia="仿宋" w:cs="仿宋"/>
                <w:color w:val="000000" w:themeColor="text1"/>
                <w:sz w:val="24"/>
                <w:szCs w:val="24"/>
                <w:highlight w:val="none"/>
                <w14:textFill>
                  <w14:solidFill>
                    <w14:schemeClr w14:val="tx1"/>
                  </w14:solidFill>
                </w14:textFill>
              </w:rPr>
              <w:t xml:space="preserve">能量≥360J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、除颤能能量≥20档</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6.旋钮式能量选择，可1S内快速选择能量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7.除颤充电至200J的时间＜5S，充电至360J的时间＜8S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8.病人阻抗范围：体外手动除颤：25~200欧</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9.AED全自动分析心律，需要进行除颤时按电击按钮进行除颤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10.AED功能具备</w:t>
            </w:r>
            <w:r>
              <w:rPr>
                <w:rFonts w:hint="eastAsia" w:ascii="仿宋" w:hAnsi="仿宋" w:eastAsia="仿宋" w:cs="仿宋"/>
                <w:sz w:val="24"/>
                <w:szCs w:val="24"/>
                <w:highlight w:val="none"/>
              </w:rPr>
              <w:t xml:space="preserve">一键切换成人、儿童、婴幼儿模式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11. 支持指导CPR辅助功能，符合2020 AHA/ERC指南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12.成人/儿童一体化电极板，具有支持能量选择、充电、放电功能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13.手动除颤电极板具备充电完成指示灯和阻抗提示灯，屏幕并显示具体阻抗数值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14.体外起搏模式：按需起搏、固定起搏、降速起搏</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起搏频率 40ppm～170ppm，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起搏电流0mA～200mA，</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起搏波形：单相方波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15.标配3导联心电（ECG)、呼吸（Resp）监护功能及配件</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16.ECG 扫描速度包括：6.25mm/s、12.5mm/s、25mm/s、50mm/s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.心率测量</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新生儿：15bpm～350bpm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小儿：15bpm～350bpm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成人：15bmp～300bpm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.呼吸测量范围：0rpm～120rpm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 xml:space="preserve">.具备高分辨率热敏点阵打印记录仪，记录纸宽50mm,最大可同时输出3道波形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0</w:t>
            </w:r>
            <w:r>
              <w:rPr>
                <w:rFonts w:hint="eastAsia" w:ascii="仿宋" w:hAnsi="仿宋" w:eastAsia="仿宋" w:cs="仿宋"/>
                <w:sz w:val="24"/>
                <w:szCs w:val="24"/>
                <w:highlight w:val="none"/>
              </w:rPr>
              <w:t xml:space="preserve">.记录仪打印速度 12.5mm/s、25mm/s、50mm/s 可选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.智能报警：通过声音、灯光、文字等多种方式进行报警</w:t>
            </w:r>
            <w:r>
              <w:rPr>
                <w:rFonts w:hint="eastAsia" w:ascii="仿宋" w:hAnsi="仿宋" w:eastAsia="仿宋" w:cs="仿宋"/>
                <w:color w:val="FF0000"/>
                <w:sz w:val="24"/>
                <w:szCs w:val="24"/>
                <w:highlight w:val="none"/>
              </w:rPr>
              <w:t xml:space="preserve">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 xml:space="preserve">.系统报警：监护、除颤、电池充电、打印机等；生理报警：心电等；技术报警等参数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.可充电电池，工作时间除颤≥100 次，或起搏≥2h，或监护≥3h；</w:t>
            </w:r>
          </w:p>
          <w:p w14:paraId="348E7344">
            <w:pPr>
              <w:pStyle w:val="31"/>
              <w:ind w:left="0" w:leftChars="0" w:firstLine="0" w:firstLineChars="0"/>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、电池低电量报警后可连续进行≥20min的生命体征监护</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 xml:space="preserve">.充电时间：关机状态时，充电至100%小于3h；开机状态时，充电至100%小于4.5h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 xml:space="preserve">.支持中英文操作界面，AED中英文语音提示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 xml:space="preserve">.防尘防水等级:IP54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sz w:val="24"/>
                <w:szCs w:val="24"/>
                <w:highlight w:val="none"/>
                <w:lang w:val="en-US" w:eastAsia="zh-CN"/>
              </w:rPr>
              <w:t>28</w:t>
            </w:r>
            <w:r>
              <w:rPr>
                <w:rFonts w:hint="eastAsia" w:ascii="仿宋" w:hAnsi="仿宋" w:eastAsia="仿宋" w:cs="仿宋"/>
                <w:sz w:val="24"/>
                <w:szCs w:val="24"/>
                <w:highlight w:val="none"/>
              </w:rPr>
              <w:t xml:space="preserve">.具备USB接口、WIFI功能,可远程监测并导出病人数据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29</w:t>
            </w:r>
            <w:r>
              <w:rPr>
                <w:rFonts w:hint="eastAsia" w:ascii="仿宋" w:hAnsi="仿宋" w:eastAsia="仿宋" w:cs="仿宋"/>
                <w:sz w:val="24"/>
                <w:szCs w:val="24"/>
                <w:highlight w:val="none"/>
              </w:rPr>
              <w:t>.具备黑夜触点功能，能在黑暗环境迅速开启并操作设备</w:t>
            </w:r>
          </w:p>
        </w:tc>
        <w:tc>
          <w:tcPr>
            <w:tcW w:w="721" w:type="dxa"/>
            <w:tcBorders>
              <w:top w:val="nil"/>
              <w:left w:val="nil"/>
              <w:bottom w:val="single" w:color="auto" w:sz="4" w:space="0"/>
              <w:right w:val="single" w:color="auto" w:sz="4" w:space="0"/>
            </w:tcBorders>
            <w:shd w:val="clear" w:color="000000" w:fill="FFFFFF"/>
            <w:vAlign w:val="center"/>
          </w:tcPr>
          <w:p w14:paraId="1A1FDDA6">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16E37FA3">
        <w:tblPrEx>
          <w:tblCellMar>
            <w:top w:w="0" w:type="dxa"/>
            <w:left w:w="108" w:type="dxa"/>
            <w:bottom w:w="0" w:type="dxa"/>
            <w:right w:w="108" w:type="dxa"/>
          </w:tblCellMar>
        </w:tblPrEx>
        <w:trPr>
          <w:trHeight w:val="1883" w:hRule="atLeast"/>
        </w:trPr>
        <w:tc>
          <w:tcPr>
            <w:tcW w:w="580" w:type="dxa"/>
            <w:vMerge w:val="continue"/>
            <w:tcBorders>
              <w:top w:val="nil"/>
              <w:left w:val="single" w:color="auto" w:sz="4" w:space="0"/>
              <w:bottom w:val="single" w:color="auto" w:sz="4" w:space="0"/>
              <w:right w:val="single" w:color="auto" w:sz="4" w:space="0"/>
            </w:tcBorders>
            <w:vAlign w:val="center"/>
          </w:tcPr>
          <w:p w14:paraId="79ADED04">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78CF78D0">
            <w:pP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909" w:type="dxa"/>
            <w:tcBorders>
              <w:top w:val="nil"/>
              <w:left w:val="nil"/>
              <w:bottom w:val="single" w:color="auto" w:sz="4" w:space="0"/>
              <w:right w:val="single" w:color="auto" w:sz="4" w:space="0"/>
            </w:tcBorders>
            <w:shd w:val="clear" w:color="000000" w:fill="FFFFFF"/>
            <w:noWrap/>
            <w:vAlign w:val="center"/>
          </w:tcPr>
          <w:p w14:paraId="3AE913E5">
            <w:pPr>
              <w:rPr>
                <w:rFonts w:hint="eastAsia" w:ascii="仿宋" w:hAnsi="仿宋" w:eastAsia="仿宋" w:cs="仿宋"/>
                <w:sz w:val="24"/>
                <w:szCs w:val="24"/>
                <w:highlight w:val="none"/>
              </w:rPr>
            </w:pPr>
            <w:r>
              <w:rPr>
                <w:rFonts w:hint="eastAsia" w:ascii="仿宋" w:hAnsi="仿宋" w:eastAsia="仿宋" w:cs="仿宋"/>
                <w:sz w:val="24"/>
                <w:szCs w:val="24"/>
                <w:highlight w:val="none"/>
              </w:rPr>
              <w:t>胎心多普勒仪</w:t>
            </w:r>
          </w:p>
        </w:tc>
        <w:tc>
          <w:tcPr>
            <w:tcW w:w="636" w:type="dxa"/>
            <w:tcBorders>
              <w:top w:val="nil"/>
              <w:left w:val="nil"/>
              <w:bottom w:val="single" w:color="auto" w:sz="4" w:space="0"/>
              <w:right w:val="single" w:color="auto" w:sz="4" w:space="0"/>
            </w:tcBorders>
            <w:shd w:val="clear" w:color="000000" w:fill="FFFFFF"/>
            <w:noWrap/>
            <w:vAlign w:val="center"/>
          </w:tcPr>
          <w:p w14:paraId="3C204FD1">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7FBEF494">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372DDE98">
            <w:pPr>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 xml:space="preserve">1.手持式紧凑设计；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2.高亮度OLED屏幕显示胎心数字，探头工作状态及探头工作频率自动识别显示；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3.整机</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350g。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4.超声工作频率：标配3MHz±1% ，可选配2MHz±1%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5.高灵敏度超声探头，可检测9周小孕周胎儿心率；</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6.探头与主机分体式，探头可更换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7.超声输出强度：Iob≤20mW/cm2；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8.胎心率检测范围：50-240bpm，心率检测精度：±2bpm；分辨率：1bpm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9.在探头表面200mm的距离处，灵敏度≥90dB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10.电源：标配充电电池可在线待机充电，连续工作时间≥10小时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11.具有电量低提示功能；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 无信号1分钟自动关机和探头归位自动关机功能；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13.内置扬声器；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 具有音频输出接口，可接驳耳机或有音频输入的录音机；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sz w:val="24"/>
                <w:szCs w:val="24"/>
                <w:highlight w:val="none"/>
                <w14:textFill>
                  <w14:solidFill>
                    <w14:schemeClr w14:val="tx1"/>
                  </w14:solidFill>
                </w14:textFill>
              </w:rPr>
              <w:t>配充电座，机器使用完可直接放充电座上进行充电</w:t>
            </w:r>
          </w:p>
        </w:tc>
        <w:tc>
          <w:tcPr>
            <w:tcW w:w="721" w:type="dxa"/>
            <w:tcBorders>
              <w:top w:val="nil"/>
              <w:left w:val="nil"/>
              <w:bottom w:val="single" w:color="auto" w:sz="4" w:space="0"/>
              <w:right w:val="single" w:color="auto" w:sz="4" w:space="0"/>
            </w:tcBorders>
            <w:shd w:val="clear" w:color="000000" w:fill="FFFFFF"/>
            <w:vAlign w:val="center"/>
          </w:tcPr>
          <w:p w14:paraId="76E63F92">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5797E7A2">
        <w:tblPrEx>
          <w:tblCellMar>
            <w:top w:w="0" w:type="dxa"/>
            <w:left w:w="108" w:type="dxa"/>
            <w:bottom w:w="0" w:type="dxa"/>
            <w:right w:w="108" w:type="dxa"/>
          </w:tblCellMar>
        </w:tblPrEx>
        <w:trPr>
          <w:trHeight w:val="979" w:hRule="atLeast"/>
        </w:trPr>
        <w:tc>
          <w:tcPr>
            <w:tcW w:w="580" w:type="dxa"/>
            <w:vMerge w:val="continue"/>
            <w:tcBorders>
              <w:top w:val="nil"/>
              <w:left w:val="single" w:color="auto" w:sz="4" w:space="0"/>
              <w:bottom w:val="single" w:color="auto" w:sz="4" w:space="0"/>
              <w:right w:val="single" w:color="auto" w:sz="4" w:space="0"/>
            </w:tcBorders>
            <w:vAlign w:val="center"/>
          </w:tcPr>
          <w:p w14:paraId="4C1B6C10">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860ABA0">
            <w:pP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909" w:type="dxa"/>
            <w:tcBorders>
              <w:top w:val="nil"/>
              <w:left w:val="nil"/>
              <w:bottom w:val="single" w:color="auto" w:sz="4" w:space="0"/>
              <w:right w:val="single" w:color="auto" w:sz="4" w:space="0"/>
            </w:tcBorders>
            <w:shd w:val="clear" w:color="000000" w:fill="FFFFFF"/>
            <w:noWrap/>
            <w:vAlign w:val="center"/>
          </w:tcPr>
          <w:p w14:paraId="70910791">
            <w:pPr>
              <w:rPr>
                <w:rFonts w:hint="eastAsia" w:ascii="仿宋" w:hAnsi="仿宋" w:eastAsia="仿宋" w:cs="仿宋"/>
                <w:sz w:val="24"/>
                <w:szCs w:val="24"/>
                <w:highlight w:val="none"/>
              </w:rPr>
            </w:pPr>
            <w:r>
              <w:rPr>
                <w:rFonts w:hint="eastAsia" w:ascii="仿宋" w:hAnsi="仿宋" w:eastAsia="仿宋" w:cs="仿宋"/>
                <w:sz w:val="24"/>
                <w:szCs w:val="24"/>
                <w:highlight w:val="none"/>
              </w:rPr>
              <w:t>转运无创呼吸机</w:t>
            </w:r>
          </w:p>
        </w:tc>
        <w:tc>
          <w:tcPr>
            <w:tcW w:w="636" w:type="dxa"/>
            <w:tcBorders>
              <w:top w:val="nil"/>
              <w:left w:val="nil"/>
              <w:bottom w:val="single" w:color="auto" w:sz="4" w:space="0"/>
              <w:right w:val="single" w:color="auto" w:sz="4" w:space="0"/>
            </w:tcBorders>
            <w:shd w:val="clear" w:color="000000" w:fill="FFFFFF"/>
            <w:noWrap/>
            <w:vAlign w:val="center"/>
          </w:tcPr>
          <w:p w14:paraId="51EF748D">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6B4C4E0E">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5852467B">
            <w:pPr>
              <w:rPr>
                <w:rFonts w:hint="eastAsia" w:ascii="仿宋" w:hAnsi="仿宋" w:eastAsia="仿宋" w:cs="仿宋"/>
                <w:sz w:val="24"/>
                <w:szCs w:val="24"/>
                <w:highlight w:val="none"/>
              </w:rPr>
            </w:pPr>
            <w:r>
              <w:rPr>
                <w:rFonts w:hint="eastAsia" w:ascii="仿宋" w:hAnsi="仿宋" w:eastAsia="仿宋" w:cs="仿宋"/>
                <w:sz w:val="24"/>
                <w:szCs w:val="24"/>
                <w:highlight w:val="none"/>
              </w:rPr>
              <w:t>一、适用范围</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    用于院外或院内的幼儿、儿童、成人患者进行转运途中的呼吸生命支持。</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二、技术参数</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color w:val="000000" w:themeColor="text1"/>
                <w:sz w:val="24"/>
                <w:szCs w:val="24"/>
                <w:highlight w:val="none"/>
                <w14:textFill>
                  <w14:solidFill>
                    <w14:schemeClr w14:val="tx1"/>
                  </w14:solidFill>
                </w14:textFill>
              </w:rPr>
              <w:t>气动电控型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2.彩色屏幕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3.具备中文语音智能导航操作和报警功能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4.主机上可通过不同颜色区分幼儿、儿童及成人模式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5.呼吸模式：IPPV、A/C等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6.CPR功能，心肺复苏指导和自动通气</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7.主机重量: ≤1.4Kg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8.工作压力:2.7 ～ 6.0b</w:t>
            </w:r>
            <w:r>
              <w:rPr>
                <w:rFonts w:hint="eastAsia" w:ascii="仿宋" w:hAnsi="仿宋" w:eastAsia="仿宋" w:cs="仿宋"/>
                <w:sz w:val="24"/>
                <w:szCs w:val="24"/>
                <w:highlight w:val="none"/>
              </w:rPr>
              <w:t>ar</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9.吸呼比:  1:1.67</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10.氧气浓度：60%和100%，</w:t>
            </w:r>
            <w:r>
              <w:rPr>
                <w:rFonts w:hint="eastAsia" w:ascii="仿宋" w:hAnsi="仿宋" w:eastAsia="仿宋" w:cs="仿宋"/>
                <w:color w:val="00B050"/>
                <w:sz w:val="24"/>
                <w:szCs w:val="24"/>
                <w:highlight w:val="none"/>
              </w:rPr>
              <w:t>≥</w:t>
            </w:r>
            <w:r>
              <w:rPr>
                <w:rFonts w:hint="eastAsia" w:ascii="仿宋" w:hAnsi="仿宋" w:eastAsia="仿宋" w:cs="仿宋"/>
                <w:sz w:val="24"/>
                <w:szCs w:val="24"/>
                <w:highlight w:val="none"/>
              </w:rPr>
              <w:t>2档可调</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11.每分钟呼吸流量（MV）：3-20L/min可调，</w:t>
            </w:r>
            <w:r>
              <w:rPr>
                <w:rFonts w:hint="eastAsia" w:ascii="仿宋" w:hAnsi="仿宋" w:eastAsia="仿宋" w:cs="仿宋"/>
                <w:color w:val="00B050"/>
                <w:sz w:val="24"/>
                <w:szCs w:val="24"/>
                <w:highlight w:val="none"/>
              </w:rPr>
              <w:t>≥</w:t>
            </w:r>
            <w:r>
              <w:rPr>
                <w:rFonts w:hint="eastAsia" w:ascii="仿宋" w:hAnsi="仿宋" w:eastAsia="仿宋" w:cs="仿宋"/>
                <w:sz w:val="24"/>
                <w:szCs w:val="24"/>
                <w:highlight w:val="none"/>
              </w:rPr>
              <w:t>8档可调</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12.呼吸频率：5～40bpm，</w:t>
            </w:r>
            <w:r>
              <w:rPr>
                <w:rFonts w:hint="eastAsia" w:ascii="仿宋" w:hAnsi="仿宋" w:eastAsia="仿宋" w:cs="仿宋"/>
                <w:color w:val="00B050"/>
                <w:sz w:val="24"/>
                <w:szCs w:val="24"/>
                <w:highlight w:val="none"/>
              </w:rPr>
              <w:t>≥</w:t>
            </w:r>
            <w:r>
              <w:rPr>
                <w:rFonts w:hint="eastAsia" w:ascii="仿宋" w:hAnsi="仿宋" w:eastAsia="仿宋" w:cs="仿宋"/>
                <w:sz w:val="24"/>
                <w:szCs w:val="24"/>
                <w:highlight w:val="none"/>
              </w:rPr>
              <w:t>10档可调</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13.触发压力：-2mbar</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14.气道压力：20～60mbar</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三、其它</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color w:val="000000" w:themeColor="text1"/>
                <w:sz w:val="24"/>
                <w:szCs w:val="24"/>
                <w:highlight w:val="none"/>
                <w14:textFill>
                  <w14:solidFill>
                    <w14:schemeClr w14:val="tx1"/>
                  </w14:solidFill>
                </w14:textFill>
              </w:rPr>
              <w:t>监测指标：窒息报警，电池电量，气源压力等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2.显示屏可显示电池状态、实时气道压力、平均气道压力、峰值气道压力等状态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 xml:space="preserve">.配备专用急救包转运平台，可手提、单肩背，包可直接固定于急救车或担架床上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.可充电锂电池，可连续使用≥10h，并且有在线充电使用功能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.防水保护等级:IPX4</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.已通过国际EN1789救护车车载测试认证</w:t>
            </w:r>
            <w:r>
              <w:rPr>
                <w:rFonts w:hint="eastAsia" w:ascii="仿宋" w:hAnsi="仿宋" w:eastAsia="仿宋" w:cs="仿宋"/>
                <w:color w:val="000000" w:themeColor="text1"/>
                <w:sz w:val="24"/>
                <w:szCs w:val="24"/>
                <w:highlight w:val="none"/>
                <w:lang w:val="en-US" w:eastAsia="zh-CN"/>
                <w14:textFill>
                  <w14:solidFill>
                    <w14:schemeClr w14:val="tx1"/>
                  </w14:solidFill>
                </w14:textFill>
              </w:rPr>
              <w:t>并提供</w:t>
            </w:r>
            <w:r>
              <w:rPr>
                <w:rFonts w:hint="eastAsia" w:ascii="仿宋" w:hAnsi="仿宋" w:eastAsia="仿宋" w:cs="仿宋"/>
                <w:color w:val="000000" w:themeColor="text1"/>
                <w:sz w:val="24"/>
                <w:szCs w:val="24"/>
                <w:highlight w:val="none"/>
                <w14:textFill>
                  <w14:solidFill>
                    <w14:schemeClr w14:val="tx1"/>
                  </w14:solidFill>
                </w14:textFill>
              </w:rPr>
              <w:t>认证证书</w:t>
            </w:r>
          </w:p>
        </w:tc>
        <w:tc>
          <w:tcPr>
            <w:tcW w:w="721" w:type="dxa"/>
            <w:tcBorders>
              <w:top w:val="nil"/>
              <w:left w:val="nil"/>
              <w:bottom w:val="single" w:color="auto" w:sz="4" w:space="0"/>
              <w:right w:val="single" w:color="auto" w:sz="4" w:space="0"/>
            </w:tcBorders>
            <w:shd w:val="clear" w:color="000000" w:fill="FFFFFF"/>
            <w:vAlign w:val="center"/>
          </w:tcPr>
          <w:p w14:paraId="6D320C85">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16C56B84">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1985C14D">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6D36DD7A">
            <w:pP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909" w:type="dxa"/>
            <w:tcBorders>
              <w:top w:val="nil"/>
              <w:left w:val="nil"/>
              <w:bottom w:val="single" w:color="auto" w:sz="4" w:space="0"/>
              <w:right w:val="single" w:color="auto" w:sz="4" w:space="0"/>
            </w:tcBorders>
            <w:shd w:val="clear" w:color="000000" w:fill="FFFFFF"/>
            <w:noWrap/>
            <w:vAlign w:val="center"/>
          </w:tcPr>
          <w:p w14:paraId="1C80FA8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单通道注射泵</w:t>
            </w:r>
          </w:p>
        </w:tc>
        <w:tc>
          <w:tcPr>
            <w:tcW w:w="636" w:type="dxa"/>
            <w:tcBorders>
              <w:top w:val="nil"/>
              <w:left w:val="nil"/>
              <w:bottom w:val="single" w:color="auto" w:sz="4" w:space="0"/>
              <w:right w:val="single" w:color="auto" w:sz="4" w:space="0"/>
            </w:tcBorders>
            <w:shd w:val="clear" w:color="000000" w:fill="FFFFFF"/>
            <w:noWrap/>
            <w:vAlign w:val="center"/>
          </w:tcPr>
          <w:p w14:paraId="5B697D21">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noWrap/>
            <w:vAlign w:val="center"/>
          </w:tcPr>
          <w:p w14:paraId="3FE5E9F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22D8E74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注射模式：速度/总量、时间/总量、速度/时间、简易≥4种模式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注射器规格：适用5ml、10ml、20ml、30ml、50ml/60ml ≥5种规格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注射器管理：可增加、删除、保存1～20种注射器品牌，校准后适用国内外所有注射器品牌</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精度误差：≤±2% (机械精度误差≤±1%)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校准：自动或手动快速校准注射精度，可对注射器管型大小自动校准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速度范围：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5ml注射器： 0.01～100.0ml/h，快排速度：150.0ml/h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10ml注射器：0.01～300.0ml/h，快排速度：300.0ml/h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20ml注射器：0.01～400.0ml/h，快排速度：400.0ml/h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30ml注射器：0.01～600.0ml/h，快排速度：600.0ml/h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50ml注射器：0.01～1200.0ml/h，快排速度:1200.0ml/h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预置量：0.1-9999ml 及推空 （每级0.1ml）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累计量：0-9999.9ml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KVO：0.1～1ml/h可调，默认：1ml/h</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BOLUS：手动Bolus和自动Bolus</w:t>
            </w:r>
          </w:p>
          <w:p w14:paraId="27E2A993">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压力档位：400mmHg至1200mmHg，≥3档可调，实时压力显示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压力预报警：注射中压力升高时，具有提前预警功能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数字键盘操作，简单快捷。</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输完预报警：注射达到预置量前的报警，可设置提前报警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消除间隙：安装注射器后，自动检测、消除推杆和注射器的间隙</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注射中改参数：注射过程中，可不停机修改预置量、速度与时间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键盘锁：自动锁键盘</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18</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历史记录：可记录注射记录询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19</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自检功能：具有开机自检、重要部件实时自检功能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20</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报警：药物将尽、注射完毕、推空、阻塞、暂停超时、速度异常、压杆错误、推杆错误、推柄夹错误、供电异常、交流掉电、电池欠压、电池损坏、压力传感器脱落、机器故障等≥20 种安全监控报警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灯光提示：多种颜色提示</w:t>
            </w:r>
          </w:p>
          <w:p w14:paraId="41B60DD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无线监护：可以与监护系统相连</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23</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电池：内部锂电池；</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适用范围：供医疗机构对患者进行恒速静脉输注药物时准确连续用</w:t>
            </w:r>
          </w:p>
        </w:tc>
        <w:tc>
          <w:tcPr>
            <w:tcW w:w="721" w:type="dxa"/>
            <w:tcBorders>
              <w:top w:val="nil"/>
              <w:left w:val="nil"/>
              <w:bottom w:val="single" w:color="auto" w:sz="4" w:space="0"/>
              <w:right w:val="single" w:color="auto" w:sz="4" w:space="0"/>
            </w:tcBorders>
            <w:shd w:val="clear" w:color="000000" w:fill="FFFFFF"/>
            <w:vAlign w:val="center"/>
          </w:tcPr>
          <w:p w14:paraId="6BD695D5">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10624116">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10B23DF0">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noWrap/>
            <w:vAlign w:val="center"/>
          </w:tcPr>
          <w:p w14:paraId="3C437E89">
            <w:pP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909" w:type="dxa"/>
            <w:tcBorders>
              <w:top w:val="nil"/>
              <w:left w:val="nil"/>
              <w:bottom w:val="single" w:color="auto" w:sz="4" w:space="0"/>
              <w:right w:val="single" w:color="auto" w:sz="4" w:space="0"/>
            </w:tcBorders>
            <w:shd w:val="clear" w:color="000000" w:fill="FFFFFF"/>
            <w:noWrap/>
            <w:vAlign w:val="center"/>
          </w:tcPr>
          <w:p w14:paraId="1B0D05D3">
            <w:pPr>
              <w:rPr>
                <w:rFonts w:hint="eastAsia" w:ascii="仿宋" w:hAnsi="仿宋" w:eastAsia="仿宋" w:cs="仿宋"/>
                <w:sz w:val="24"/>
                <w:szCs w:val="24"/>
                <w:highlight w:val="none"/>
              </w:rPr>
            </w:pPr>
            <w:r>
              <w:rPr>
                <w:rFonts w:hint="eastAsia" w:ascii="仿宋" w:hAnsi="仿宋" w:eastAsia="仿宋" w:cs="仿宋"/>
                <w:sz w:val="24"/>
                <w:szCs w:val="24"/>
                <w:highlight w:val="none"/>
              </w:rPr>
              <w:t>多功能心肺复苏机</w:t>
            </w:r>
          </w:p>
        </w:tc>
        <w:tc>
          <w:tcPr>
            <w:tcW w:w="636" w:type="dxa"/>
            <w:tcBorders>
              <w:top w:val="nil"/>
              <w:left w:val="nil"/>
              <w:bottom w:val="single" w:color="auto" w:sz="4" w:space="0"/>
              <w:right w:val="single" w:color="auto" w:sz="4" w:space="0"/>
            </w:tcBorders>
            <w:shd w:val="clear" w:color="000000" w:fill="FFFFFF"/>
            <w:noWrap/>
            <w:vAlign w:val="center"/>
          </w:tcPr>
          <w:p w14:paraId="2B6D18E1">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noWrap/>
            <w:vAlign w:val="center"/>
          </w:tcPr>
          <w:p w14:paraId="181C3F5D">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787BB3AB">
            <w:pPr>
              <w:numPr>
                <w:ilvl w:val="0"/>
                <w:numId w:val="8"/>
              </w:numPr>
              <w:rPr>
                <w:rFonts w:hint="eastAsia" w:ascii="仿宋" w:hAnsi="仿宋" w:eastAsia="仿宋" w:cs="仿宋"/>
                <w:sz w:val="24"/>
                <w:szCs w:val="24"/>
                <w:highlight w:val="none"/>
              </w:rPr>
            </w:pPr>
            <w:r>
              <w:rPr>
                <w:rFonts w:hint="eastAsia" w:ascii="仿宋" w:hAnsi="仿宋" w:eastAsia="仿宋" w:cs="仿宋"/>
                <w:sz w:val="24"/>
                <w:szCs w:val="24"/>
                <w:highlight w:val="none"/>
              </w:rPr>
              <w:t>适用范围</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代替人工自动对心脏骤停患者进行精确高效的胸外按压和机械通气，可同时模仿对人体胸部按压和口对口人工呼吸。</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二、技术参数</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1.气动电控型心肺复苏机，可实现按压/通气一体化；</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2.采用全胸腔包裹式的3D按压方式，按压的同时挤压胸腔,实现最优CPR复苏效果；</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3.按压模式：15:2、30:2、连续按压等；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4.按压深度：0~60mm连续可调</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5.实际按压深度可LED显示，清晰可见；</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6.按压频率：110bpm；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7.潮气量:100-1500ml连续可调，且具有自动通气和手动通气</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8.通气频率：12bpm；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9.按压/释放比：1:1；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10.吸呼比：1:1.67；</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11.气道压报警：≥60cmH2O；</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12.内置可充电电池，连续工作≥8小时以上，支持在线充电；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13.报警具有LED灯及语音提</w:t>
            </w:r>
            <w:r>
              <w:rPr>
                <w:rFonts w:hint="eastAsia" w:ascii="仿宋" w:hAnsi="仿宋" w:eastAsia="仿宋" w:cs="仿宋"/>
                <w:sz w:val="24"/>
                <w:szCs w:val="24"/>
                <w:highlight w:val="none"/>
              </w:rPr>
              <w:t>示，报警静音时间≤120s；具有气源压，气道压，电池电量低报警等；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14.配有按压稳定带，便于患者头部及腿部固定。</w:t>
            </w:r>
          </w:p>
          <w:p w14:paraId="7B662D56">
            <w:pPr>
              <w:numPr>
                <w:ilvl w:val="0"/>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15.主机重量≤2.8kg；</w:t>
            </w:r>
          </w:p>
        </w:tc>
        <w:tc>
          <w:tcPr>
            <w:tcW w:w="721" w:type="dxa"/>
            <w:tcBorders>
              <w:top w:val="nil"/>
              <w:left w:val="nil"/>
              <w:bottom w:val="single" w:color="auto" w:sz="4" w:space="0"/>
              <w:right w:val="single" w:color="auto" w:sz="4" w:space="0"/>
            </w:tcBorders>
            <w:shd w:val="clear" w:color="000000" w:fill="FFFFFF"/>
            <w:vAlign w:val="center"/>
          </w:tcPr>
          <w:p w14:paraId="0088E5DB">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3852E7AC">
        <w:tblPrEx>
          <w:tblCellMar>
            <w:top w:w="0" w:type="dxa"/>
            <w:left w:w="108" w:type="dxa"/>
            <w:bottom w:w="0" w:type="dxa"/>
            <w:right w:w="108" w:type="dxa"/>
          </w:tblCellMar>
        </w:tblPrEx>
        <w:trPr>
          <w:trHeight w:val="998" w:hRule="atLeast"/>
        </w:trPr>
        <w:tc>
          <w:tcPr>
            <w:tcW w:w="580" w:type="dxa"/>
            <w:vMerge w:val="restart"/>
            <w:tcBorders>
              <w:top w:val="nil"/>
              <w:left w:val="single" w:color="auto" w:sz="4" w:space="0"/>
              <w:bottom w:val="single" w:color="auto" w:sz="4" w:space="0"/>
              <w:right w:val="single" w:color="auto" w:sz="4" w:space="0"/>
            </w:tcBorders>
            <w:shd w:val="clear" w:color="auto" w:fill="auto"/>
            <w:vAlign w:val="center"/>
          </w:tcPr>
          <w:p w14:paraId="1566765D">
            <w:pPr>
              <w:rPr>
                <w:rFonts w:hint="eastAsia" w:ascii="仿宋" w:hAnsi="仿宋" w:eastAsia="仿宋" w:cs="仿宋"/>
                <w:sz w:val="24"/>
                <w:szCs w:val="24"/>
                <w:highlight w:val="none"/>
              </w:rPr>
            </w:pPr>
            <w:r>
              <w:rPr>
                <w:rFonts w:hint="eastAsia" w:ascii="仿宋" w:hAnsi="仿宋" w:eastAsia="仿宋" w:cs="仿宋"/>
                <w:sz w:val="24"/>
                <w:szCs w:val="24"/>
                <w:highlight w:val="none"/>
              </w:rPr>
              <w:t>检验类</w:t>
            </w:r>
          </w:p>
        </w:tc>
        <w:tc>
          <w:tcPr>
            <w:tcW w:w="709" w:type="dxa"/>
            <w:tcBorders>
              <w:top w:val="nil"/>
              <w:left w:val="nil"/>
              <w:bottom w:val="single" w:color="auto" w:sz="4" w:space="0"/>
              <w:right w:val="single" w:color="auto" w:sz="4" w:space="0"/>
            </w:tcBorders>
            <w:shd w:val="clear" w:color="auto" w:fill="auto"/>
            <w:vAlign w:val="center"/>
          </w:tcPr>
          <w:p w14:paraId="11217548">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909" w:type="dxa"/>
            <w:tcBorders>
              <w:top w:val="nil"/>
              <w:left w:val="nil"/>
              <w:bottom w:val="single" w:color="auto" w:sz="4" w:space="0"/>
              <w:right w:val="single" w:color="auto" w:sz="4" w:space="0"/>
            </w:tcBorders>
            <w:shd w:val="clear" w:color="000000" w:fill="FFFFFF"/>
            <w:vAlign w:val="center"/>
          </w:tcPr>
          <w:p w14:paraId="564FA3D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全自动生化分析仪</w:t>
            </w:r>
          </w:p>
        </w:tc>
        <w:tc>
          <w:tcPr>
            <w:tcW w:w="636" w:type="dxa"/>
            <w:tcBorders>
              <w:top w:val="nil"/>
              <w:left w:val="nil"/>
              <w:bottom w:val="single" w:color="auto" w:sz="4" w:space="0"/>
              <w:right w:val="single" w:color="auto" w:sz="4" w:space="0"/>
            </w:tcBorders>
            <w:shd w:val="clear" w:color="000000" w:fill="FFFFFF"/>
            <w:vAlign w:val="center"/>
          </w:tcPr>
          <w:p w14:paraId="2DABB3A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50AC993B">
            <w:pP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FF0000"/>
                <w:sz w:val="24"/>
                <w:szCs w:val="24"/>
                <w:highlight w:val="none"/>
                <w:lang w:val="en-US" w:eastAsia="zh-CN"/>
              </w:rPr>
              <w:t>2</w:t>
            </w:r>
          </w:p>
        </w:tc>
        <w:tc>
          <w:tcPr>
            <w:tcW w:w="5652" w:type="dxa"/>
            <w:tcBorders>
              <w:top w:val="nil"/>
              <w:left w:val="nil"/>
              <w:bottom w:val="single" w:color="auto" w:sz="4" w:space="0"/>
              <w:right w:val="single" w:color="auto" w:sz="4" w:space="0"/>
            </w:tcBorders>
            <w:shd w:val="clear" w:color="000000" w:fill="FFFFFF"/>
            <w:vAlign w:val="center"/>
          </w:tcPr>
          <w:p w14:paraId="41055D3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一、产品要求：全自动分立式生化分析仪，急诊样本优先检测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二、主要技术性能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1.测量速度：生化比色分析恒速≥800测试/小时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2.测试原理：比色法、比浊法、离子选择电极法（ISE）</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3.测量方法：具备终点法，两点法，速率法，支持单/双波长，线性和非性校准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4.全血糖化血红蛋白检测：具有机内自动溶血糖化血红蛋白检测功能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5.分光方式：全息凹面平像场光栅后分光方式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6.温控方式：恒温循环水浴方式，控温精度37</w:t>
            </w:r>
            <w:r>
              <w:rPr>
                <w:rFonts w:hint="eastAsia" w:ascii="微软雅黑" w:hAnsi="微软雅黑" w:eastAsia="微软雅黑" w:cs="微软雅黑"/>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±0.1</w:t>
            </w:r>
            <w:r>
              <w:rPr>
                <w:rFonts w:hint="eastAsia" w:ascii="微软雅黑" w:hAnsi="微软雅黑" w:eastAsia="微软雅黑" w:cs="微软雅黑"/>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7.样本针功能：具有凝块检测，液面探测、立体防撞、随量跟踪、自动清洗、自动排堵功能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8.同时在线样本位：无需扩展≥190个</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9.同时在线分析项目：≥170个项目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10.试剂系统：≥180试剂位，双试剂盘设计，不停机更换试剂，24小时不间断冷藏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11.反应杯材质：UV光学塑料杯,光径5mm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12.清洗系统：8站11步全自动温水清洗反应杯</w:t>
            </w:r>
          </w:p>
          <w:p w14:paraId="077E818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13.具有原厂配套试剂、校准品和质控品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三、产品配置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1.工作软件：配备中文软件系统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2.装机配套试剂：配备至少三种方法学装机试剂一套</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3.附件配置：操作电脑及激光打印1套，60L纯水机1套，UPS稳压电源1套，断电时可延时半小时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四、售后服务要求：零配件供应期不少于5年。</w:t>
            </w:r>
            <w:r>
              <w:rPr>
                <w:rFonts w:hint="eastAsia" w:ascii="仿宋" w:hAnsi="仿宋" w:eastAsia="仿宋" w:cs="仿宋"/>
                <w:color w:val="000000" w:themeColor="text1"/>
                <w:sz w:val="24"/>
                <w:szCs w:val="24"/>
                <w:highlight w:val="none"/>
                <w14:textFill>
                  <w14:solidFill>
                    <w14:schemeClr w14:val="tx1"/>
                  </w14:solidFill>
                </w14:textFill>
              </w:rPr>
              <w:br w:type="textWrapping"/>
            </w:r>
          </w:p>
        </w:tc>
        <w:tc>
          <w:tcPr>
            <w:tcW w:w="721" w:type="dxa"/>
            <w:tcBorders>
              <w:top w:val="nil"/>
              <w:left w:val="nil"/>
              <w:bottom w:val="single" w:color="auto" w:sz="4" w:space="0"/>
              <w:right w:val="single" w:color="auto" w:sz="4" w:space="0"/>
            </w:tcBorders>
            <w:shd w:val="clear" w:color="000000" w:fill="FFFFFF"/>
            <w:vAlign w:val="center"/>
          </w:tcPr>
          <w:p w14:paraId="44E56B95">
            <w:pPr>
              <w:rPr>
                <w:rFonts w:hint="eastAsia" w:ascii="仿宋" w:hAnsi="仿宋" w:eastAsia="仿宋" w:cs="仿宋"/>
                <w:sz w:val="24"/>
                <w:szCs w:val="24"/>
                <w:highlight w:val="none"/>
              </w:rPr>
            </w:pPr>
            <w:r>
              <w:rPr>
                <w:rFonts w:hint="eastAsia" w:ascii="仿宋" w:hAnsi="仿宋" w:eastAsia="仿宋" w:cs="仿宋"/>
                <w:sz w:val="24"/>
                <w:szCs w:val="24"/>
                <w:highlight w:val="none"/>
              </w:rPr>
              <w:t>含电脑、打印机、UPS电源、60L水机、端口费</w:t>
            </w:r>
          </w:p>
        </w:tc>
      </w:tr>
      <w:tr w14:paraId="7C2C440F">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155AA32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5E25EC63">
            <w:pP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909" w:type="dxa"/>
            <w:tcBorders>
              <w:top w:val="nil"/>
              <w:left w:val="nil"/>
              <w:bottom w:val="single" w:color="auto" w:sz="4" w:space="0"/>
              <w:right w:val="single" w:color="auto" w:sz="4" w:space="0"/>
            </w:tcBorders>
            <w:shd w:val="clear" w:color="000000" w:fill="FFFFFF"/>
            <w:vAlign w:val="center"/>
          </w:tcPr>
          <w:p w14:paraId="5AD98A42">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全自动血细胞分析仪</w:t>
            </w:r>
          </w:p>
        </w:tc>
        <w:tc>
          <w:tcPr>
            <w:tcW w:w="636" w:type="dxa"/>
            <w:tcBorders>
              <w:top w:val="nil"/>
              <w:left w:val="nil"/>
              <w:bottom w:val="single" w:color="auto" w:sz="4" w:space="0"/>
              <w:right w:val="single" w:color="auto" w:sz="4" w:space="0"/>
            </w:tcBorders>
            <w:shd w:val="clear" w:color="000000" w:fill="FFFFFF"/>
            <w:vAlign w:val="center"/>
          </w:tcPr>
          <w:p w14:paraId="7D7067D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369E54B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w:t>
            </w:r>
          </w:p>
        </w:tc>
        <w:tc>
          <w:tcPr>
            <w:tcW w:w="5652" w:type="dxa"/>
            <w:tcBorders>
              <w:top w:val="nil"/>
              <w:left w:val="nil"/>
              <w:bottom w:val="single" w:color="auto" w:sz="4" w:space="0"/>
              <w:right w:val="single" w:color="auto" w:sz="4" w:space="0"/>
            </w:tcBorders>
            <w:shd w:val="clear" w:color="000000" w:fill="FFFFFF"/>
            <w:vAlign w:val="center"/>
          </w:tcPr>
          <w:p w14:paraId="7097221A">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一、产品要求：血细胞五分类检测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二、主要技术性能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1.测试项目：报告参数≥25项 （含散点图、直方图），白细胞五分类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2.检测原理：半导体激光流式细胞技术结合细胞化学染色，电阻抗法，环保型无氰试剂测量HGB</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3.测试模式：具有独立的静脉全血、末梢全血、预稀释血检测模式。且支持预稀释校准功能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4.样本用量：所有模式≤35μl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5.WBC分类通道：有单独的嗜碱性粒细胞分类通道</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6.研究性参数:≥8个，包含异型淋巴细胞、未成熟粒细胞、有核红细胞、原始细胞等参数的计数及百分比</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7.进样方式：全自动进样装置，可进行全自动封闭进样（单个或多个标本）且一次性放置样本≥50个</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8.急诊位：具有单个封闭穿刺进样装置。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9.测试速度：≥60样本/小时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10.≥10寸彩色液晶触摸屏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11.全中文操作分析报告软件，报告单可显示、输出全中文报告</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12.条码扫描：配有条码阅读器接口，具有条码识别功能；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13.质控方法：包含L-J、Xbar、Xbar-R、X-B等至少四种质控方式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14.校准：可对仪器进行自动校准、人工校准、新鲜血校准；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15.存储样本量：≥200000个样本存储（包括直方图），并可按病人信息及时间段检索，打印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16.系统维护：设备具备固定标本量后的自动系统维护功能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三、售后服务要求：零配件供应期不少于5年。</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四、产品配置及企业相关资质要求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1.工作软件：配备中文软件系统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2.装机配套试剂：配备装机试剂一套</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3.附件配置：操作电脑及激光打印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4. .</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5.认证要求：生产企业须提供ISO9001认证、ISO13485认证，实验室CNAS认证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6.系统配套性要求：具有原厂配套试剂，校准品和质控品需提供相关证明。</w:t>
            </w:r>
          </w:p>
        </w:tc>
        <w:tc>
          <w:tcPr>
            <w:tcW w:w="721" w:type="dxa"/>
            <w:tcBorders>
              <w:top w:val="nil"/>
              <w:left w:val="nil"/>
              <w:bottom w:val="single" w:color="auto" w:sz="4" w:space="0"/>
              <w:right w:val="single" w:color="auto" w:sz="4" w:space="0"/>
            </w:tcBorders>
            <w:shd w:val="clear" w:color="000000" w:fill="FFFFFF"/>
            <w:vAlign w:val="center"/>
          </w:tcPr>
          <w:p w14:paraId="03CCD719">
            <w:pPr>
              <w:rPr>
                <w:rFonts w:hint="eastAsia" w:ascii="仿宋" w:hAnsi="仿宋" w:eastAsia="仿宋" w:cs="仿宋"/>
                <w:sz w:val="24"/>
                <w:szCs w:val="24"/>
                <w:highlight w:val="none"/>
              </w:rPr>
            </w:pPr>
            <w:r>
              <w:rPr>
                <w:rFonts w:hint="eastAsia" w:ascii="仿宋" w:hAnsi="仿宋" w:eastAsia="仿宋" w:cs="仿宋"/>
                <w:sz w:val="24"/>
                <w:szCs w:val="24"/>
                <w:highlight w:val="none"/>
              </w:rPr>
              <w:t>含电脑、打印机、端口费</w:t>
            </w:r>
          </w:p>
        </w:tc>
      </w:tr>
      <w:tr w14:paraId="6F5F4230">
        <w:tblPrEx>
          <w:tblCellMar>
            <w:top w:w="0" w:type="dxa"/>
            <w:left w:w="108" w:type="dxa"/>
            <w:bottom w:w="0" w:type="dxa"/>
            <w:right w:w="108" w:type="dxa"/>
          </w:tblCellMar>
        </w:tblPrEx>
        <w:trPr>
          <w:trHeight w:val="1285" w:hRule="atLeast"/>
        </w:trPr>
        <w:tc>
          <w:tcPr>
            <w:tcW w:w="580" w:type="dxa"/>
            <w:vMerge w:val="continue"/>
            <w:tcBorders>
              <w:top w:val="nil"/>
              <w:left w:val="single" w:color="auto" w:sz="4" w:space="0"/>
              <w:bottom w:val="single" w:color="auto" w:sz="4" w:space="0"/>
              <w:right w:val="single" w:color="auto" w:sz="4" w:space="0"/>
            </w:tcBorders>
            <w:vAlign w:val="center"/>
          </w:tcPr>
          <w:p w14:paraId="53F14FCD">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44CAE2EF">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909" w:type="dxa"/>
            <w:tcBorders>
              <w:top w:val="nil"/>
              <w:left w:val="nil"/>
              <w:bottom w:val="single" w:color="auto" w:sz="4" w:space="0"/>
              <w:right w:val="single" w:color="auto" w:sz="4" w:space="0"/>
            </w:tcBorders>
            <w:shd w:val="clear" w:color="000000" w:fill="FFFFFF"/>
            <w:vAlign w:val="center"/>
          </w:tcPr>
          <w:p w14:paraId="323044BB">
            <w:pPr>
              <w:rPr>
                <w:rFonts w:hint="eastAsia" w:ascii="仿宋" w:hAnsi="仿宋" w:eastAsia="仿宋" w:cs="仿宋"/>
                <w:sz w:val="24"/>
                <w:szCs w:val="24"/>
                <w:highlight w:val="none"/>
              </w:rPr>
            </w:pPr>
            <w:r>
              <w:rPr>
                <w:rFonts w:hint="eastAsia" w:ascii="仿宋" w:hAnsi="仿宋" w:eastAsia="仿宋" w:cs="仿宋"/>
                <w:sz w:val="24"/>
                <w:szCs w:val="24"/>
                <w:highlight w:val="none"/>
              </w:rPr>
              <w:t>尿液分析仪</w:t>
            </w:r>
          </w:p>
        </w:tc>
        <w:tc>
          <w:tcPr>
            <w:tcW w:w="636" w:type="dxa"/>
            <w:tcBorders>
              <w:top w:val="nil"/>
              <w:left w:val="nil"/>
              <w:bottom w:val="single" w:color="auto" w:sz="4" w:space="0"/>
              <w:right w:val="single" w:color="auto" w:sz="4" w:space="0"/>
            </w:tcBorders>
            <w:shd w:val="clear" w:color="000000" w:fill="FFFFFF"/>
            <w:vAlign w:val="center"/>
          </w:tcPr>
          <w:p w14:paraId="413BECFB">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7AC970FA">
            <w:pP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5652" w:type="dxa"/>
            <w:tcBorders>
              <w:top w:val="nil"/>
              <w:left w:val="nil"/>
              <w:bottom w:val="single" w:color="auto" w:sz="4" w:space="0"/>
              <w:right w:val="single" w:color="auto" w:sz="4" w:space="0"/>
            </w:tcBorders>
            <w:shd w:val="clear" w:color="000000" w:fill="FFFFFF"/>
            <w:vAlign w:val="center"/>
          </w:tcPr>
          <w:p w14:paraId="10B274B5">
            <w:pPr>
              <w:rPr>
                <w:rFonts w:hint="eastAsia" w:ascii="仿宋" w:hAnsi="仿宋" w:eastAsia="仿宋" w:cs="仿宋"/>
                <w:sz w:val="24"/>
                <w:szCs w:val="24"/>
                <w:highlight w:val="none"/>
              </w:rPr>
            </w:pPr>
            <w:r>
              <w:rPr>
                <w:rFonts w:hint="eastAsia" w:ascii="仿宋" w:hAnsi="仿宋" w:eastAsia="仿宋" w:cs="仿宋"/>
                <w:sz w:val="24"/>
                <w:szCs w:val="24"/>
                <w:highlight w:val="none"/>
              </w:rPr>
              <w:t>1. 技术规格：</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1.1测试项目：≥11项，尿胆原（UBG） 胆红素（BIL） 酮体（KET）血（BLD） 蛋白质（PRO） 微白蛋白（MALB）亚硝酸盐（NIT）白细胞（LEU） 葡萄糖（GLU） 比重（SG）酸碱度（pH） 维生素C（VC）</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1.2测试波长：525nm、572nm、610nm、660nm</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1.3测试原理：采用光电比色法，测试系统采用超高亮度冷光源</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1.4测试速度：≥500条/小时</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1.5数据存储：串行RS-232接口、并行打印接口，5000份测试结果</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1.6显 示 屏：液晶屏，语言：中文，英文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1.7报告方式：国际单位制、常规单位制、符号系统三种单位制可选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1.8打印系统：内置式热敏打印机，并可外接针式打印机</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1.9自动修正试纸非特异性、尿酸碱度、比重、颜色对测试结果的影响</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1.10可外接条码阅读器，并可与尿沉渣分析仪联机</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1.11具有异常值标记功能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1.12自动感应并运送待测试纸条，配有废料收集装置</w:t>
            </w:r>
            <w:r>
              <w:rPr>
                <w:rFonts w:hint="eastAsia" w:ascii="仿宋" w:hAnsi="仿宋" w:eastAsia="仿宋" w:cs="仿宋"/>
                <w:sz w:val="24"/>
                <w:szCs w:val="24"/>
                <w:highlight w:val="none"/>
              </w:rPr>
              <w:br w:type="textWrapping"/>
            </w:r>
            <w:r>
              <w:rPr>
                <w:rFonts w:hint="eastAsia" w:ascii="仿宋" w:hAnsi="仿宋" w:eastAsia="仿宋" w:cs="仿宋"/>
                <w:color w:val="000000" w:themeColor="text1"/>
                <w:sz w:val="24"/>
                <w:szCs w:val="24"/>
                <w:highlight w:val="none"/>
                <w14:textFill>
                  <w14:solidFill>
                    <w14:schemeClr w14:val="tx1"/>
                  </w14:solidFill>
                </w14:textFill>
              </w:rPr>
              <w:t>1.13.</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p>
        </w:tc>
        <w:tc>
          <w:tcPr>
            <w:tcW w:w="721" w:type="dxa"/>
            <w:tcBorders>
              <w:top w:val="nil"/>
              <w:left w:val="nil"/>
              <w:bottom w:val="single" w:color="auto" w:sz="4" w:space="0"/>
              <w:right w:val="single" w:color="auto" w:sz="4" w:space="0"/>
            </w:tcBorders>
            <w:shd w:val="clear" w:color="000000" w:fill="FFFFFF"/>
            <w:vAlign w:val="center"/>
          </w:tcPr>
          <w:p w14:paraId="496D2A5B">
            <w:pPr>
              <w:rPr>
                <w:rFonts w:hint="eastAsia" w:ascii="仿宋" w:hAnsi="仿宋" w:eastAsia="仿宋" w:cs="仿宋"/>
                <w:sz w:val="24"/>
                <w:szCs w:val="24"/>
                <w:highlight w:val="none"/>
              </w:rPr>
            </w:pPr>
            <w:r>
              <w:rPr>
                <w:rFonts w:hint="eastAsia" w:ascii="仿宋" w:hAnsi="仿宋" w:eastAsia="仿宋" w:cs="仿宋"/>
                <w:sz w:val="24"/>
                <w:szCs w:val="24"/>
                <w:highlight w:val="none"/>
              </w:rPr>
              <w:t>含端口费</w:t>
            </w:r>
          </w:p>
        </w:tc>
      </w:tr>
      <w:tr w14:paraId="4C7C771E">
        <w:tblPrEx>
          <w:tblCellMar>
            <w:top w:w="0" w:type="dxa"/>
            <w:left w:w="108" w:type="dxa"/>
            <w:bottom w:w="0" w:type="dxa"/>
            <w:right w:w="108" w:type="dxa"/>
          </w:tblCellMar>
        </w:tblPrEx>
        <w:trPr>
          <w:trHeight w:val="3012" w:hRule="atLeast"/>
        </w:trPr>
        <w:tc>
          <w:tcPr>
            <w:tcW w:w="580" w:type="dxa"/>
            <w:vMerge w:val="continue"/>
            <w:tcBorders>
              <w:top w:val="nil"/>
              <w:left w:val="single" w:color="auto" w:sz="4" w:space="0"/>
              <w:bottom w:val="single" w:color="auto" w:sz="4" w:space="0"/>
              <w:right w:val="single" w:color="auto" w:sz="4" w:space="0"/>
            </w:tcBorders>
            <w:vAlign w:val="center"/>
          </w:tcPr>
          <w:p w14:paraId="6F38A74B">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774C749D">
            <w:pP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909" w:type="dxa"/>
            <w:tcBorders>
              <w:top w:val="nil"/>
              <w:left w:val="nil"/>
              <w:bottom w:val="single" w:color="auto" w:sz="4" w:space="0"/>
              <w:right w:val="single" w:color="auto" w:sz="4" w:space="0"/>
            </w:tcBorders>
            <w:shd w:val="clear" w:color="000000" w:fill="FFFFFF"/>
            <w:vAlign w:val="center"/>
          </w:tcPr>
          <w:p w14:paraId="1CE7332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微量元素分析仪</w:t>
            </w:r>
          </w:p>
        </w:tc>
        <w:tc>
          <w:tcPr>
            <w:tcW w:w="636" w:type="dxa"/>
            <w:tcBorders>
              <w:top w:val="nil"/>
              <w:left w:val="nil"/>
              <w:bottom w:val="single" w:color="auto" w:sz="4" w:space="0"/>
              <w:right w:val="single" w:color="auto" w:sz="4" w:space="0"/>
            </w:tcBorders>
            <w:shd w:val="clear" w:color="000000" w:fill="FFFFFF"/>
            <w:vAlign w:val="center"/>
          </w:tcPr>
          <w:p w14:paraId="59C4A85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6B1BBCE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5652" w:type="dxa"/>
            <w:tcBorders>
              <w:top w:val="nil"/>
              <w:left w:val="nil"/>
              <w:bottom w:val="single" w:color="auto" w:sz="4" w:space="0"/>
              <w:right w:val="single" w:color="auto" w:sz="4" w:space="0"/>
            </w:tcBorders>
            <w:shd w:val="clear" w:color="000000" w:fill="FFFFFF"/>
            <w:vAlign w:val="center"/>
          </w:tcPr>
          <w:p w14:paraId="53DBF2E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高档双通道一体化可移动工作站</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 检测方法 采用卫生部标准方法微分电位溶出法检测铅、铜、镉；采用极谱法检测锌、铁、钙、镁、锰等微量元素。</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 标本 全血、血清、头发</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 技术指标       电位溶出               极谱</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检测下限  ≤0.1µg/L【对Pb（Ⅱ）】 ≤5×10-8mol/L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重复性误差        RSD＜3%             RSD＜1%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校准曲线的精密度  RSD＜8%         </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   RSD＜2%</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线性关系          R≥0.9990         R≥0.9990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 性能指标</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5.1人机工程学设计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5.2标配15个极谱反应位</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5.3配15个溶出测试位，全自动测量铅、铜、镉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5.4多信号扩增高速芯片处理系统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5.5可检测锌、铁、钙、镁、锰、铅、铜、镉等微量元素</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5.6真正的双通道且可同时测量，一个转盘检测铅铜镉，另一个转盘检测锌铁钙镁锰。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5.7电极汞滴微控技术：消除了电极内气泡和共振缺陷，使汞滴生成时间一致、体积大小一致、分离时间可控。</w:t>
            </w:r>
          </w:p>
          <w:p w14:paraId="08F5EB4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5.8多元素同测技术：锌铁钙镁锰或铅铜镉仅需一次测量即可同时完成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5.9汞回流控制技术：提高测量结果的稳定性；</w:t>
            </w:r>
          </w:p>
          <w:p w14:paraId="7484848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5.10固体参比微电极技术：无需添加溶液，免维护，试剂用量小。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5.11自动定标：检测过程中可及时快捷的校正仪器。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5.12软件可自动寻峰,避免了手动寻峰对测量结果的影响。</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5.13具有背景自动扣除功能，有效降低检测限10倍以上</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5.14检测铅铜镉锌铁钙镁锰采血量≤40µl。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6 其它要求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 6.</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需能提供原厂生产的配套校准溶液，以保证测量结果的准确可靠。校准溶液需具备国家食药监局版发的医疗器械注册证。</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r>
              <w:rPr>
                <w:rFonts w:hint="eastAsia" w:ascii="仿宋" w:hAnsi="仿宋" w:eastAsia="仿宋" w:cs="仿宋"/>
                <w:color w:val="000000" w:themeColor="text1"/>
                <w:sz w:val="24"/>
                <w:szCs w:val="24"/>
                <w:highlight w:val="none"/>
                <w14:textFill>
                  <w14:solidFill>
                    <w14:schemeClr w14:val="tx1"/>
                  </w14:solidFill>
                </w14:textFill>
              </w:rPr>
              <w:t>。</w:t>
            </w:r>
          </w:p>
        </w:tc>
        <w:tc>
          <w:tcPr>
            <w:tcW w:w="721" w:type="dxa"/>
            <w:tcBorders>
              <w:top w:val="nil"/>
              <w:left w:val="nil"/>
              <w:bottom w:val="single" w:color="auto" w:sz="4" w:space="0"/>
              <w:right w:val="single" w:color="auto" w:sz="4" w:space="0"/>
            </w:tcBorders>
            <w:shd w:val="clear" w:color="000000" w:fill="FFFFFF"/>
            <w:vAlign w:val="center"/>
          </w:tcPr>
          <w:p w14:paraId="2A5B4E8A">
            <w:pPr>
              <w:rPr>
                <w:rFonts w:hint="eastAsia" w:ascii="仿宋" w:hAnsi="仿宋" w:eastAsia="仿宋" w:cs="仿宋"/>
                <w:sz w:val="24"/>
                <w:szCs w:val="24"/>
                <w:highlight w:val="none"/>
              </w:rPr>
            </w:pPr>
            <w:r>
              <w:rPr>
                <w:rFonts w:hint="eastAsia" w:ascii="仿宋" w:hAnsi="仿宋" w:eastAsia="仿宋" w:cs="仿宋"/>
                <w:sz w:val="24"/>
                <w:szCs w:val="24"/>
                <w:highlight w:val="none"/>
              </w:rPr>
              <w:t>含端口费</w:t>
            </w:r>
          </w:p>
        </w:tc>
      </w:tr>
      <w:tr w14:paraId="69E27BE1">
        <w:tblPrEx>
          <w:tblCellMar>
            <w:top w:w="0" w:type="dxa"/>
            <w:left w:w="108" w:type="dxa"/>
            <w:bottom w:w="0" w:type="dxa"/>
            <w:right w:w="108" w:type="dxa"/>
          </w:tblCellMar>
        </w:tblPrEx>
        <w:trPr>
          <w:trHeight w:val="2937" w:hRule="atLeast"/>
        </w:trPr>
        <w:tc>
          <w:tcPr>
            <w:tcW w:w="580" w:type="dxa"/>
            <w:vMerge w:val="continue"/>
            <w:tcBorders>
              <w:top w:val="nil"/>
              <w:left w:val="single" w:color="auto" w:sz="4" w:space="0"/>
              <w:bottom w:val="single" w:color="auto" w:sz="4" w:space="0"/>
              <w:right w:val="single" w:color="auto" w:sz="4" w:space="0"/>
            </w:tcBorders>
            <w:vAlign w:val="center"/>
          </w:tcPr>
          <w:p w14:paraId="3DDEF27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33D198DD">
            <w:pP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909" w:type="dxa"/>
            <w:tcBorders>
              <w:top w:val="nil"/>
              <w:left w:val="nil"/>
              <w:bottom w:val="single" w:color="auto" w:sz="4" w:space="0"/>
              <w:right w:val="single" w:color="auto" w:sz="4" w:space="0"/>
            </w:tcBorders>
            <w:shd w:val="clear" w:color="000000" w:fill="FFFFFF"/>
            <w:vAlign w:val="center"/>
          </w:tcPr>
          <w:p w14:paraId="551D53CD">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低速离心机</w:t>
            </w:r>
          </w:p>
        </w:tc>
        <w:tc>
          <w:tcPr>
            <w:tcW w:w="636" w:type="dxa"/>
            <w:tcBorders>
              <w:top w:val="nil"/>
              <w:left w:val="nil"/>
              <w:bottom w:val="single" w:color="auto" w:sz="4" w:space="0"/>
              <w:right w:val="single" w:color="auto" w:sz="4" w:space="0"/>
            </w:tcBorders>
            <w:shd w:val="clear" w:color="000000" w:fill="FFFFFF"/>
            <w:vAlign w:val="center"/>
          </w:tcPr>
          <w:p w14:paraId="669926FE">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2131CB93">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5652" w:type="dxa"/>
            <w:tcBorders>
              <w:top w:val="nil"/>
              <w:left w:val="nil"/>
              <w:bottom w:val="single" w:color="auto" w:sz="4" w:space="0"/>
              <w:right w:val="single" w:color="auto" w:sz="4" w:space="0"/>
            </w:tcBorders>
            <w:shd w:val="clear" w:color="000000" w:fill="FFFFFF"/>
            <w:vAlign w:val="center"/>
          </w:tcPr>
          <w:p w14:paraId="21C2C7B6">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.采用全钢结构，不锈钢离心腔。</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.免维护直流无刷电机驱动。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.数码显示，显示清晰、直观。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.运行中可随时修改参数、无需停机。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.自动计算离心力RCF值。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.≥10档加、减速控制。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.适用于2ml/5ml真空采血管离心。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 离心完毕后声音提示，具有瞬时离心功能和离心不平衡补偿装置。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.最高转速：≥ 4200r/min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z w:val="24"/>
                <w:szCs w:val="24"/>
                <w:highlight w:val="none"/>
                <w14:textFill>
                  <w14:solidFill>
                    <w14:schemeClr w14:val="tx1"/>
                  </w14:solidFill>
                </w14:textFill>
              </w:rPr>
              <w:t>.最大相对离心力：≥2760×g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.最大容量： 6*50ml/24×10ml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.显示类型：数码显示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.时间控制：0-99min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.转速精度：±10r/min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sz w:val="24"/>
                <w:szCs w:val="24"/>
                <w:highlight w:val="none"/>
                <w14:textFill>
                  <w14:solidFill>
                    <w14:schemeClr w14:val="tx1"/>
                  </w14:solidFill>
                </w14:textFill>
              </w:rPr>
              <w:t>配置清单：主机 </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角转子：24*10ml 1套</w:t>
            </w:r>
          </w:p>
        </w:tc>
        <w:tc>
          <w:tcPr>
            <w:tcW w:w="721" w:type="dxa"/>
            <w:tcBorders>
              <w:top w:val="nil"/>
              <w:left w:val="nil"/>
              <w:bottom w:val="single" w:color="auto" w:sz="4" w:space="0"/>
              <w:right w:val="single" w:color="auto" w:sz="4" w:space="0"/>
            </w:tcBorders>
            <w:shd w:val="clear" w:color="000000" w:fill="FFFFFF"/>
            <w:vAlign w:val="center"/>
          </w:tcPr>
          <w:p w14:paraId="077A3F3A">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7203697D">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16397C4E">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35D9DD4A">
            <w:pP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909" w:type="dxa"/>
            <w:tcBorders>
              <w:top w:val="nil"/>
              <w:left w:val="nil"/>
              <w:bottom w:val="single" w:color="auto" w:sz="4" w:space="0"/>
              <w:right w:val="single" w:color="auto" w:sz="4" w:space="0"/>
            </w:tcBorders>
            <w:shd w:val="clear" w:color="000000" w:fill="FFFFFF"/>
            <w:vAlign w:val="center"/>
          </w:tcPr>
          <w:p w14:paraId="0BA302E3">
            <w:pPr>
              <w:rPr>
                <w:rFonts w:hint="eastAsia" w:ascii="仿宋" w:hAnsi="仿宋" w:eastAsia="仿宋" w:cs="仿宋"/>
                <w:sz w:val="24"/>
                <w:szCs w:val="24"/>
                <w:highlight w:val="none"/>
              </w:rPr>
            </w:pPr>
            <w:r>
              <w:rPr>
                <w:rFonts w:hint="eastAsia" w:ascii="仿宋" w:hAnsi="仿宋" w:eastAsia="仿宋" w:cs="仿宋"/>
                <w:sz w:val="24"/>
                <w:szCs w:val="24"/>
                <w:highlight w:val="none"/>
              </w:rPr>
              <w:t>高速离心机</w:t>
            </w:r>
          </w:p>
        </w:tc>
        <w:tc>
          <w:tcPr>
            <w:tcW w:w="636" w:type="dxa"/>
            <w:tcBorders>
              <w:top w:val="nil"/>
              <w:left w:val="nil"/>
              <w:bottom w:val="single" w:color="auto" w:sz="4" w:space="0"/>
              <w:right w:val="single" w:color="auto" w:sz="4" w:space="0"/>
            </w:tcBorders>
            <w:shd w:val="clear" w:color="000000" w:fill="FFFFFF"/>
            <w:vAlign w:val="center"/>
          </w:tcPr>
          <w:p w14:paraId="7F425A93">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46D85B34">
            <w:pP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5652" w:type="dxa"/>
            <w:tcBorders>
              <w:top w:val="nil"/>
              <w:left w:val="nil"/>
              <w:bottom w:val="single" w:color="auto" w:sz="4" w:space="0"/>
              <w:right w:val="single" w:color="auto" w:sz="4" w:space="0"/>
            </w:tcBorders>
            <w:shd w:val="clear" w:color="000000" w:fill="FFFFFF"/>
            <w:vAlign w:val="center"/>
          </w:tcPr>
          <w:p w14:paraId="2B4F7D3C">
            <w:pPr>
              <w:numPr>
                <w:ilvl w:val="0"/>
                <w:numId w:val="9"/>
              </w:numPr>
              <w:ind w:left="105"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转子卡扣式安装设计，无需任何工具即可更换转子。</w:t>
            </w:r>
          </w:p>
          <w:p w14:paraId="5F8066F4">
            <w:pPr>
              <w:numPr>
                <w:ilvl w:val="0"/>
                <w:numId w:val="9"/>
              </w:numPr>
              <w:ind w:left="105" w:leftChars="0" w:firstLine="0" w:firstLineChars="0"/>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多功能转头可同时分离多种试管。</w:t>
            </w:r>
          </w:p>
          <w:p w14:paraId="0FD1C36B">
            <w:pPr>
              <w:numPr>
                <w:ilvl w:val="0"/>
                <w:numId w:val="9"/>
              </w:numPr>
              <w:ind w:left="105" w:leftChars="0" w:firstLine="0" w:firstLineChars="0"/>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高强度的主机及转头材料，耐腐蚀，可高温高压灭菌消毒。</w:t>
            </w:r>
            <w:r>
              <w:rPr>
                <w:rFonts w:hint="eastAsia" w:ascii="仿宋" w:hAnsi="仿宋" w:eastAsia="仿宋" w:cs="仿宋"/>
                <w:color w:val="000000" w:themeColor="text1"/>
                <w:sz w:val="24"/>
                <w:szCs w:val="24"/>
                <w:highlight w:val="none"/>
                <w14:textFill>
                  <w14:solidFill>
                    <w14:schemeClr w14:val="tx1"/>
                  </w14:solidFill>
                </w14:textFill>
              </w:rPr>
              <w:br w:type="textWrapping"/>
            </w:r>
          </w:p>
          <w:p w14:paraId="39BC16CD">
            <w:pPr>
              <w:numPr>
                <w:ilvl w:val="0"/>
                <w:numId w:val="9"/>
              </w:numPr>
              <w:ind w:left="105" w:leftChars="0" w:firstLine="0" w:firstLineChars="0"/>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数码显示：时间、转速、运行状态、错误代码；运行中可随时修改参数、无需停机。</w:t>
            </w:r>
          </w:p>
          <w:p w14:paraId="7C4E1A97">
            <w:pPr>
              <w:numPr>
                <w:ilvl w:val="0"/>
                <w:numId w:val="9"/>
              </w:numPr>
              <w:ind w:left="105" w:leftChars="0" w:firstLine="0" w:firstLineChars="0"/>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门盖保护、超速和不平衡探测系统，可以对离心过程实时监控，确保仪器安全运行, 运转结束、出错及出现不平衡时，声音信号提示，同时停止运转，LCD显示结果代码。</w:t>
            </w:r>
          </w:p>
          <w:p w14:paraId="20C75269">
            <w:pPr>
              <w:numPr>
                <w:ilvl w:val="0"/>
                <w:numId w:val="9"/>
              </w:numPr>
              <w:ind w:left="105" w:leftChars="0" w:firstLine="0" w:firstLineChars="0"/>
              <w:rPr>
                <w:rFonts w:hint="eastAsia" w:ascii="仿宋" w:hAnsi="仿宋" w:eastAsia="仿宋" w:cs="仿宋"/>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复合转子：可4个0.2ml八连排管和12个1.5ml试管同时分离</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最高转速：≥12000rpm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8、最大相对离心力：≥9800xg</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9、最大容量：≥ 12×1.5/2ml+ 4×8×0.2ml(排管)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10、转速步增：  500rpm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11、时间控制：  0-99min/1-59s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12、最快加减速时间： 12/16s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14、噪音：   ≤50dB(A)</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sz w:val="24"/>
                <w:szCs w:val="24"/>
                <w:highlight w:val="none"/>
                <w14:textFill>
                  <w14:solidFill>
                    <w14:schemeClr w14:val="tx1"/>
                  </w14:solidFill>
                </w14:textFill>
              </w:rPr>
              <w:t xml:space="preserve">配置要求：主机 </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角转子：12×1.5/2ml+ 4×8×0.2ml(排管)</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联排转子：4×10×0.2ml(排管)</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适配器：0.5ml，0.2ml</w:t>
            </w:r>
          </w:p>
        </w:tc>
        <w:tc>
          <w:tcPr>
            <w:tcW w:w="721" w:type="dxa"/>
            <w:tcBorders>
              <w:top w:val="nil"/>
              <w:left w:val="nil"/>
              <w:bottom w:val="single" w:color="auto" w:sz="4" w:space="0"/>
              <w:right w:val="single" w:color="auto" w:sz="4" w:space="0"/>
            </w:tcBorders>
            <w:shd w:val="clear" w:color="000000" w:fill="FFFFFF"/>
            <w:vAlign w:val="center"/>
          </w:tcPr>
          <w:p w14:paraId="3EC0425D">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2D07D30B">
        <w:tblPrEx>
          <w:tblCellMar>
            <w:top w:w="0" w:type="dxa"/>
            <w:left w:w="108" w:type="dxa"/>
            <w:bottom w:w="0" w:type="dxa"/>
            <w:right w:w="108" w:type="dxa"/>
          </w:tblCellMar>
        </w:tblPrEx>
        <w:trPr>
          <w:trHeight w:val="92" w:hRule="atLeast"/>
        </w:trPr>
        <w:tc>
          <w:tcPr>
            <w:tcW w:w="580" w:type="dxa"/>
            <w:vMerge w:val="continue"/>
            <w:tcBorders>
              <w:top w:val="nil"/>
              <w:left w:val="single" w:color="auto" w:sz="4" w:space="0"/>
              <w:bottom w:val="single" w:color="auto" w:sz="4" w:space="0"/>
              <w:right w:val="single" w:color="auto" w:sz="4" w:space="0"/>
            </w:tcBorders>
            <w:vAlign w:val="center"/>
          </w:tcPr>
          <w:p w14:paraId="2FB7C9A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1B3DED73">
            <w:pP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909" w:type="dxa"/>
            <w:tcBorders>
              <w:top w:val="nil"/>
              <w:left w:val="nil"/>
              <w:bottom w:val="single" w:color="auto" w:sz="4" w:space="0"/>
              <w:right w:val="single" w:color="auto" w:sz="4" w:space="0"/>
            </w:tcBorders>
            <w:shd w:val="clear" w:color="000000" w:fill="FFFFFF"/>
            <w:vAlign w:val="center"/>
          </w:tcPr>
          <w:p w14:paraId="518B0BB3">
            <w:pPr>
              <w:rPr>
                <w:rFonts w:hint="eastAsia" w:ascii="仿宋" w:hAnsi="仿宋" w:eastAsia="仿宋" w:cs="仿宋"/>
                <w:sz w:val="24"/>
                <w:szCs w:val="24"/>
                <w:highlight w:val="none"/>
              </w:rPr>
            </w:pPr>
            <w:r>
              <w:rPr>
                <w:rFonts w:hint="eastAsia" w:ascii="仿宋" w:hAnsi="仿宋" w:eastAsia="仿宋" w:cs="仿宋"/>
                <w:sz w:val="24"/>
                <w:szCs w:val="24"/>
                <w:highlight w:val="none"/>
              </w:rPr>
              <w:t>电解质分析仪</w:t>
            </w:r>
          </w:p>
        </w:tc>
        <w:tc>
          <w:tcPr>
            <w:tcW w:w="636" w:type="dxa"/>
            <w:tcBorders>
              <w:top w:val="nil"/>
              <w:left w:val="nil"/>
              <w:bottom w:val="single" w:color="auto" w:sz="4" w:space="0"/>
              <w:right w:val="single" w:color="auto" w:sz="4" w:space="0"/>
            </w:tcBorders>
            <w:shd w:val="clear" w:color="000000" w:fill="FFFFFF"/>
            <w:vAlign w:val="center"/>
          </w:tcPr>
          <w:p w14:paraId="37EF11CB">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79E2DEB7">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0D5101C1">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产品名称：电解质分析仪</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2.检测项目：K+、Na+、Cl-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3.电解质项目方法学：离子选择电极法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4.测试速度：≥60s/标本</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5.标本量：≤100ul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6.标本类型：血清、血浆、全血、稀释尿液</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7.采样方式：自动升降机构进样</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8.操作方式：全触摸操作屏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9.显示屏幕：5LCD屏幕，中文图形化菜单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10.试剂系统：一体化盒装试剂包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11.输出方式：屏幕显示、高速热敏打印机、实时RS-232数据接口，LIS系统连接</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12.可24小时开机，开机时间≤5分钟；有智能休眠模式。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13.质控查询范围：30天，可打印质控数据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14.定标模式：自动两点定标、单点定标</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15.电极内充液有注册证书</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r>
              <w:rPr>
                <w:rFonts w:hint="eastAsia" w:ascii="仿宋" w:hAnsi="仿宋" w:eastAsia="仿宋" w:cs="仿宋"/>
                <w:color w:val="000000" w:themeColor="text1"/>
                <w:sz w:val="24"/>
                <w:szCs w:val="24"/>
                <w:highlight w:val="none"/>
                <w14:textFill>
                  <w14:solidFill>
                    <w14:schemeClr w14:val="tx1"/>
                  </w14:solidFill>
                </w14:textFill>
              </w:rPr>
              <w:t>。</w:t>
            </w:r>
          </w:p>
          <w:p w14:paraId="318A7D30">
            <w:pPr>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.其他性能参数：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项目   测量范围      分辨率  测量精度（CV）</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K+ 0.50～15.00mmol/L 0.01 mmol/L ≤1.0%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Na+ 30.0～200.0mmol/L 0.1 mmol/L ≤1.0%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Cl- 30.0～200.0mmol/L 0.1 mmol/L ≤1.0%</w:t>
            </w:r>
          </w:p>
        </w:tc>
        <w:tc>
          <w:tcPr>
            <w:tcW w:w="721" w:type="dxa"/>
            <w:tcBorders>
              <w:top w:val="nil"/>
              <w:left w:val="nil"/>
              <w:bottom w:val="single" w:color="auto" w:sz="4" w:space="0"/>
              <w:right w:val="single" w:color="auto" w:sz="4" w:space="0"/>
            </w:tcBorders>
            <w:shd w:val="clear" w:color="000000" w:fill="FFFFFF"/>
            <w:vAlign w:val="center"/>
          </w:tcPr>
          <w:p w14:paraId="4329A90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含端口费</w:t>
            </w:r>
          </w:p>
        </w:tc>
      </w:tr>
      <w:tr w14:paraId="2857BB09">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790E5181">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7DB94FD0">
            <w:pP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909" w:type="dxa"/>
            <w:tcBorders>
              <w:top w:val="nil"/>
              <w:left w:val="nil"/>
              <w:bottom w:val="single" w:color="auto" w:sz="4" w:space="0"/>
              <w:right w:val="single" w:color="auto" w:sz="4" w:space="0"/>
            </w:tcBorders>
            <w:shd w:val="clear" w:color="000000" w:fill="FFFFFF"/>
            <w:vAlign w:val="center"/>
          </w:tcPr>
          <w:p w14:paraId="31949B1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显微镜</w:t>
            </w:r>
          </w:p>
        </w:tc>
        <w:tc>
          <w:tcPr>
            <w:tcW w:w="636" w:type="dxa"/>
            <w:tcBorders>
              <w:top w:val="nil"/>
              <w:left w:val="nil"/>
              <w:bottom w:val="single" w:color="auto" w:sz="4" w:space="0"/>
              <w:right w:val="single" w:color="auto" w:sz="4" w:space="0"/>
            </w:tcBorders>
            <w:shd w:val="clear" w:color="000000" w:fill="FFFFFF"/>
            <w:vAlign w:val="center"/>
          </w:tcPr>
          <w:p w14:paraId="1FCF310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5F9C507C">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55B4F84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铰链式双筒（平移式可选），30°倾斜（45°可选），360°旋转；</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平场大视野目镜， 10X-18mm；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独立消色差物镜，4X，10X，40X（弹簧），100X（弹簧，油）；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机械移动载物台，面积约142mm×134mm ,移动范围≥76mm×50mm；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粗微调同轴，上定位装置，避免物镜打碎切片；</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可升降阿贝聚光镜，N.A.1.25，可变光栏；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高亮度、非球面照明系统；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电压输入：100V-240V，输出：≥20W卤素灯，亮度可调；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LED冷光源，超长工作寿命，无需更换灯泡；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可充电式LED光源，停电后可连续使用50小时以上。</w:t>
            </w:r>
          </w:p>
        </w:tc>
        <w:tc>
          <w:tcPr>
            <w:tcW w:w="721" w:type="dxa"/>
            <w:tcBorders>
              <w:top w:val="nil"/>
              <w:left w:val="nil"/>
              <w:bottom w:val="single" w:color="auto" w:sz="4" w:space="0"/>
              <w:right w:val="single" w:color="auto" w:sz="4" w:space="0"/>
            </w:tcBorders>
            <w:shd w:val="clear" w:color="000000" w:fill="FFFFFF"/>
            <w:vAlign w:val="center"/>
          </w:tcPr>
          <w:p w14:paraId="5873512C">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r w14:paraId="15722919">
        <w:tblPrEx>
          <w:tblCellMar>
            <w:top w:w="0" w:type="dxa"/>
            <w:left w:w="108" w:type="dxa"/>
            <w:bottom w:w="0" w:type="dxa"/>
            <w:right w:w="108" w:type="dxa"/>
          </w:tblCellMar>
        </w:tblPrEx>
        <w:trPr>
          <w:trHeight w:val="3504" w:hRule="atLeast"/>
        </w:trPr>
        <w:tc>
          <w:tcPr>
            <w:tcW w:w="580" w:type="dxa"/>
            <w:vMerge w:val="continue"/>
            <w:tcBorders>
              <w:top w:val="nil"/>
              <w:left w:val="single" w:color="auto" w:sz="4" w:space="0"/>
              <w:bottom w:val="single" w:color="auto" w:sz="4" w:space="0"/>
              <w:right w:val="single" w:color="auto" w:sz="4" w:space="0"/>
            </w:tcBorders>
            <w:vAlign w:val="center"/>
          </w:tcPr>
          <w:p w14:paraId="04031A7E">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4D1A71F8">
            <w:pP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909" w:type="dxa"/>
            <w:tcBorders>
              <w:top w:val="nil"/>
              <w:left w:val="nil"/>
              <w:bottom w:val="single" w:color="auto" w:sz="4" w:space="0"/>
              <w:right w:val="single" w:color="auto" w:sz="4" w:space="0"/>
            </w:tcBorders>
            <w:shd w:val="clear" w:color="000000" w:fill="FFFFFF"/>
            <w:vAlign w:val="center"/>
          </w:tcPr>
          <w:p w14:paraId="079BB4C4">
            <w:pPr>
              <w:rPr>
                <w:rFonts w:hint="eastAsia" w:ascii="仿宋" w:hAnsi="仿宋" w:eastAsia="仿宋" w:cs="仿宋"/>
                <w:sz w:val="24"/>
                <w:szCs w:val="24"/>
                <w:highlight w:val="none"/>
              </w:rPr>
            </w:pPr>
            <w:r>
              <w:rPr>
                <w:rFonts w:hint="eastAsia" w:ascii="仿宋" w:hAnsi="仿宋" w:eastAsia="仿宋" w:cs="仿宋"/>
                <w:sz w:val="24"/>
                <w:szCs w:val="24"/>
                <w:highlight w:val="none"/>
              </w:rPr>
              <w:t>荧光免疫分析仪</w:t>
            </w:r>
          </w:p>
        </w:tc>
        <w:tc>
          <w:tcPr>
            <w:tcW w:w="636" w:type="dxa"/>
            <w:tcBorders>
              <w:top w:val="nil"/>
              <w:left w:val="nil"/>
              <w:bottom w:val="single" w:color="auto" w:sz="4" w:space="0"/>
              <w:right w:val="single" w:color="auto" w:sz="4" w:space="0"/>
            </w:tcBorders>
            <w:shd w:val="clear" w:color="000000" w:fill="FFFFFF"/>
            <w:vAlign w:val="center"/>
          </w:tcPr>
          <w:p w14:paraId="5972AE5D">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08C0B86C">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7E1B408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激发光源：LED蓝光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光谱中心波长（λ0）:≥360nm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光谱中心波长（λ1）:≥500nm</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样本类型:全血，血清，血浆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显示:全触控屏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打印:内置热敏打印机（适配57mm热敏打印纸）</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接口:≥2个USB接口、1个以太网络接口、1个RS232接口、连接LIS系统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准确度:相对偏差应在±15%以内。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重复性:批内测量（CV，%）≤10%。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测量时间≤25min</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color w:val="000000" w:themeColor="text1"/>
                <w:sz w:val="24"/>
                <w:szCs w:val="24"/>
                <w:highlight w:val="none"/>
                <w14:textFill>
                  <w14:solidFill>
                    <w14:schemeClr w14:val="tx1"/>
                  </w14:solidFill>
                </w14:textFill>
              </w:rPr>
              <w:t>稳定性:测试结果的相对偏差应在±8%以内。</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线性相关系数:线性相关系数（r)≥0.97。</w:t>
            </w:r>
          </w:p>
          <w:p w14:paraId="761733B1">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r>
              <w:rPr>
                <w:rFonts w:hint="eastAsia" w:ascii="仿宋" w:hAnsi="仿宋" w:eastAsia="仿宋" w:cs="仿宋"/>
                <w:color w:val="000000" w:themeColor="text1"/>
                <w:sz w:val="24"/>
                <w:szCs w:val="24"/>
                <w:highlight w:val="none"/>
                <w14:textFill>
                  <w14:solidFill>
                    <w14:schemeClr w14:val="tx1"/>
                  </w14:solidFill>
                </w14:textFill>
              </w:rPr>
              <w:t>。</w:t>
            </w:r>
          </w:p>
        </w:tc>
        <w:tc>
          <w:tcPr>
            <w:tcW w:w="721" w:type="dxa"/>
            <w:tcBorders>
              <w:top w:val="nil"/>
              <w:left w:val="nil"/>
              <w:bottom w:val="single" w:color="auto" w:sz="4" w:space="0"/>
              <w:right w:val="single" w:color="auto" w:sz="4" w:space="0"/>
            </w:tcBorders>
            <w:shd w:val="clear" w:color="000000" w:fill="FFFFFF"/>
            <w:vAlign w:val="center"/>
          </w:tcPr>
          <w:p w14:paraId="1E834B9B">
            <w:pPr>
              <w:rPr>
                <w:rFonts w:hint="eastAsia" w:ascii="仿宋" w:hAnsi="仿宋" w:eastAsia="仿宋" w:cs="仿宋"/>
                <w:sz w:val="24"/>
                <w:szCs w:val="24"/>
                <w:highlight w:val="none"/>
              </w:rPr>
            </w:pPr>
            <w:r>
              <w:rPr>
                <w:rFonts w:hint="eastAsia" w:ascii="仿宋" w:hAnsi="仿宋" w:eastAsia="仿宋" w:cs="仿宋"/>
                <w:sz w:val="24"/>
                <w:szCs w:val="24"/>
                <w:highlight w:val="none"/>
              </w:rPr>
              <w:t>含端口费</w:t>
            </w:r>
          </w:p>
        </w:tc>
      </w:tr>
      <w:tr w14:paraId="25ECAB42">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5649DAF5">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1AE0AA2C">
            <w:pP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909" w:type="dxa"/>
            <w:tcBorders>
              <w:top w:val="nil"/>
              <w:left w:val="nil"/>
              <w:bottom w:val="single" w:color="auto" w:sz="4" w:space="0"/>
              <w:right w:val="single" w:color="auto" w:sz="4" w:space="0"/>
            </w:tcBorders>
            <w:shd w:val="clear" w:color="000000" w:fill="FFFFFF"/>
            <w:vAlign w:val="center"/>
          </w:tcPr>
          <w:p w14:paraId="4B2058D1">
            <w:pPr>
              <w:rPr>
                <w:rFonts w:hint="eastAsia" w:ascii="仿宋" w:hAnsi="仿宋" w:eastAsia="仿宋" w:cs="仿宋"/>
                <w:sz w:val="24"/>
                <w:szCs w:val="24"/>
                <w:highlight w:val="none"/>
              </w:rPr>
            </w:pPr>
            <w:r>
              <w:rPr>
                <w:rFonts w:hint="eastAsia" w:ascii="仿宋" w:hAnsi="仿宋" w:eastAsia="仿宋" w:cs="仿宋"/>
                <w:sz w:val="24"/>
                <w:szCs w:val="24"/>
                <w:highlight w:val="none"/>
              </w:rPr>
              <w:t>幽门螺旋杆菌检测仪</w:t>
            </w:r>
          </w:p>
        </w:tc>
        <w:tc>
          <w:tcPr>
            <w:tcW w:w="636" w:type="dxa"/>
            <w:tcBorders>
              <w:top w:val="nil"/>
              <w:left w:val="nil"/>
              <w:bottom w:val="single" w:color="auto" w:sz="4" w:space="0"/>
              <w:right w:val="single" w:color="auto" w:sz="4" w:space="0"/>
            </w:tcBorders>
            <w:shd w:val="clear" w:color="000000" w:fill="FFFFFF"/>
            <w:vAlign w:val="center"/>
          </w:tcPr>
          <w:p w14:paraId="499E0E3E">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7C5CA188">
            <w:pP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652" w:type="dxa"/>
            <w:tcBorders>
              <w:top w:val="nil"/>
              <w:left w:val="nil"/>
              <w:bottom w:val="single" w:color="auto" w:sz="4" w:space="0"/>
              <w:right w:val="single" w:color="auto" w:sz="4" w:space="0"/>
            </w:tcBorders>
            <w:shd w:val="clear" w:color="000000" w:fill="FFFFFF"/>
            <w:vAlign w:val="center"/>
          </w:tcPr>
          <w:p w14:paraId="64DF4E6E">
            <w:pP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采用双道采集数据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 无需淬灭校正</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 自动给出DPM及HP感染的阴性，不确定，阳性+，阳性++，阳性+++，阳性++++六类诊断结果</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 自动故障诊断</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 自动扣除本底计数</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 自动进行测量数据打印，自带热敏式微型打印机</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 采用卡式进样，解决了上下传动和抽屉式进样带来的机械故障</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 所有线路板均高度集成</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 液晶显示屏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 插卡，无需按键就可自动完成测量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 一机多用，凡14C标记的呼气试验均可测量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12 本底计数率＜40 min-1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 计数精密度：符合统计涨落的理论期望值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 8小时稳定性误差≤10%</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 计数容量无限制</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 测量时间仪器自动选定250S</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17</w:t>
            </w:r>
            <w:r>
              <w:rPr>
                <w:rFonts w:hint="eastAsia" w:ascii="仿宋" w:hAnsi="仿宋" w:eastAsia="仿宋" w:cs="仿宋"/>
                <w:color w:val="000000" w:themeColor="text1"/>
                <w:sz w:val="24"/>
                <w:szCs w:val="24"/>
                <w:highlight w:val="none"/>
                <w14:textFill>
                  <w14:solidFill>
                    <w14:schemeClr w14:val="tx1"/>
                  </w14:solidFill>
                </w14:textFill>
              </w:rPr>
              <w:t xml:space="preserve"> 仪器可升级，与用户电脑系统连接实现海量数据管理和连接标准打印机打印格式化报告</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18</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p>
        </w:tc>
        <w:tc>
          <w:tcPr>
            <w:tcW w:w="721" w:type="dxa"/>
            <w:tcBorders>
              <w:top w:val="nil"/>
              <w:left w:val="nil"/>
              <w:bottom w:val="single" w:color="auto" w:sz="4" w:space="0"/>
              <w:right w:val="single" w:color="auto" w:sz="4" w:space="0"/>
            </w:tcBorders>
            <w:shd w:val="clear" w:color="000000" w:fill="FFFFFF"/>
            <w:vAlign w:val="center"/>
          </w:tcPr>
          <w:p w14:paraId="4DA9C6B9">
            <w:pPr>
              <w:rPr>
                <w:rFonts w:hint="eastAsia" w:ascii="仿宋" w:hAnsi="仿宋" w:eastAsia="仿宋" w:cs="仿宋"/>
                <w:sz w:val="24"/>
                <w:szCs w:val="24"/>
                <w:highlight w:val="none"/>
              </w:rPr>
            </w:pPr>
            <w:r>
              <w:rPr>
                <w:rFonts w:hint="eastAsia" w:ascii="仿宋" w:hAnsi="仿宋" w:eastAsia="仿宋" w:cs="仿宋"/>
                <w:sz w:val="24"/>
                <w:szCs w:val="24"/>
                <w:highlight w:val="none"/>
              </w:rPr>
              <w:t>含端口费</w:t>
            </w:r>
          </w:p>
        </w:tc>
      </w:tr>
      <w:tr w14:paraId="1EBCAFF9">
        <w:tblPrEx>
          <w:tblCellMar>
            <w:top w:w="0" w:type="dxa"/>
            <w:left w:w="108" w:type="dxa"/>
            <w:bottom w:w="0" w:type="dxa"/>
            <w:right w:w="108" w:type="dxa"/>
          </w:tblCellMar>
        </w:tblPrEx>
        <w:trPr>
          <w:trHeight w:val="90" w:hRule="atLeast"/>
        </w:trPr>
        <w:tc>
          <w:tcPr>
            <w:tcW w:w="580" w:type="dxa"/>
            <w:vMerge w:val="continue"/>
            <w:tcBorders>
              <w:top w:val="nil"/>
              <w:left w:val="single" w:color="auto" w:sz="4" w:space="0"/>
              <w:bottom w:val="single" w:color="auto" w:sz="4" w:space="0"/>
              <w:right w:val="single" w:color="auto" w:sz="4" w:space="0"/>
            </w:tcBorders>
            <w:vAlign w:val="center"/>
          </w:tcPr>
          <w:p w14:paraId="12412466">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0DC6741A">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w:t>
            </w:r>
          </w:p>
        </w:tc>
        <w:tc>
          <w:tcPr>
            <w:tcW w:w="909" w:type="dxa"/>
            <w:tcBorders>
              <w:top w:val="nil"/>
              <w:left w:val="nil"/>
              <w:bottom w:val="single" w:color="auto" w:sz="4" w:space="0"/>
              <w:right w:val="single" w:color="auto" w:sz="4" w:space="0"/>
            </w:tcBorders>
            <w:shd w:val="clear" w:color="000000" w:fill="FFFFFF"/>
            <w:vAlign w:val="center"/>
          </w:tcPr>
          <w:p w14:paraId="22FDF6E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全自动白带分析仪</w:t>
            </w:r>
          </w:p>
        </w:tc>
        <w:tc>
          <w:tcPr>
            <w:tcW w:w="636" w:type="dxa"/>
            <w:tcBorders>
              <w:top w:val="nil"/>
              <w:left w:val="nil"/>
              <w:bottom w:val="single" w:color="auto" w:sz="4" w:space="0"/>
              <w:right w:val="single" w:color="auto" w:sz="4" w:space="0"/>
            </w:tcBorders>
            <w:shd w:val="clear" w:color="000000" w:fill="FFFFFF"/>
            <w:vAlign w:val="center"/>
          </w:tcPr>
          <w:p w14:paraId="2ACF2DA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552" w:type="dxa"/>
            <w:tcBorders>
              <w:top w:val="nil"/>
              <w:left w:val="nil"/>
              <w:bottom w:val="single" w:color="auto" w:sz="4" w:space="0"/>
              <w:right w:val="single" w:color="auto" w:sz="4" w:space="0"/>
            </w:tcBorders>
            <w:shd w:val="clear" w:color="000000" w:fill="FFFFFF"/>
            <w:vAlign w:val="center"/>
          </w:tcPr>
          <w:p w14:paraId="0714C97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5652" w:type="dxa"/>
            <w:tcBorders>
              <w:top w:val="nil"/>
              <w:left w:val="nil"/>
              <w:bottom w:val="single" w:color="auto" w:sz="4" w:space="0"/>
              <w:right w:val="single" w:color="auto" w:sz="4" w:space="0"/>
            </w:tcBorders>
            <w:shd w:val="clear" w:color="000000" w:fill="FFFFFF"/>
            <w:vAlign w:val="center"/>
          </w:tcPr>
          <w:p w14:paraId="5DDC62F8">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一</w:t>
            </w:r>
            <w:r>
              <w:rPr>
                <w:rFonts w:hint="eastAsia" w:ascii="仿宋" w:hAnsi="仿宋" w:eastAsia="仿宋" w:cs="仿宋"/>
                <w:color w:val="000000" w:themeColor="text1"/>
                <w:sz w:val="24"/>
                <w:szCs w:val="24"/>
                <w:highlight w:val="none"/>
                <w14:textFill>
                  <w14:solidFill>
                    <w14:schemeClr w14:val="tx1"/>
                  </w14:solidFill>
                </w14:textFill>
              </w:rPr>
              <w:t>：技术要求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1.非流动计数池，采用一次性细胞计数板，防止镜头交叉污染，保证标本层次分明，避免重叠现象，检测完成后直接废弃，</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2.内置进口显微镜，实现显微镜自动对焦、自动切换高低倍镜（10×，40×），符合标准镜检要求，保证对焦景深，全视野高像素镜检，选择清晰点进行拍照并录制视频后上传</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3.可自动混匀、</w:t>
            </w:r>
            <w:r>
              <w:rPr>
                <w:rFonts w:hint="eastAsia" w:ascii="仿宋" w:hAnsi="仿宋" w:eastAsia="仿宋" w:cs="仿宋"/>
                <w:bCs/>
                <w:color w:val="000000" w:themeColor="text1"/>
                <w:sz w:val="24"/>
                <w:szCs w:val="24"/>
                <w:highlight w:val="none"/>
                <w14:textFill>
                  <w14:solidFill>
                    <w14:schemeClr w14:val="tx1"/>
                  </w14:solidFill>
                </w14:textFill>
              </w:rPr>
              <w:t>自动涂片盖片</w:t>
            </w:r>
            <w:r>
              <w:rPr>
                <w:rFonts w:hint="eastAsia" w:ascii="仿宋" w:hAnsi="仿宋" w:eastAsia="仿宋" w:cs="仿宋"/>
                <w:color w:val="000000" w:themeColor="text1"/>
                <w:sz w:val="24"/>
                <w:szCs w:val="24"/>
                <w:highlight w:val="none"/>
                <w14:textFill>
                  <w14:solidFill>
                    <w14:schemeClr w14:val="tx1"/>
                  </w14:solidFill>
                </w14:textFill>
              </w:rPr>
              <w:t>、自动清洗加液针，提高病原体检出率，避免出现漏检误检。</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4.收集大量临床对比数据建立数据库，提取图像特征，匹配数据库，实现自动判别镜检结果，识别准确性≥90%，并能生成由镜检和生化检测结果合并检测报告</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5.图像采集软件具有实时的呈现细胞图像采集过程，可以动态的观察到结果的准确性；具有动态的图像录播功能，有利于滴虫的人工复审；</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6.测试结果自动保存细胞的原始图像，结果具有朔源性；</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二</w:t>
            </w:r>
            <w:r>
              <w:rPr>
                <w:rFonts w:hint="eastAsia" w:ascii="仿宋" w:hAnsi="仿宋" w:eastAsia="仿宋" w:cs="仿宋"/>
                <w:color w:val="000000" w:themeColor="text1"/>
                <w:sz w:val="24"/>
                <w:szCs w:val="24"/>
                <w:highlight w:val="none"/>
                <w14:textFill>
                  <w14:solidFill>
                    <w14:schemeClr w14:val="tx1"/>
                  </w14:solidFill>
                </w14:textFill>
              </w:rPr>
              <w:t>、全自动送样与进样装置：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1.采用5X10排管进样方式：放入试管架，自动移动试管架，自动判断有无标本，无标本自动跳过，试管架充满后提示报警；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2.集自动加样，温育，检测，结果判定，报告输出，数据统计，自动废弃检测卡，自动清洗、吸样加样装置为一体，与人肉眼判读结果符合率≥95%。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三</w:t>
            </w:r>
            <w:r>
              <w:rPr>
                <w:rFonts w:hint="eastAsia" w:ascii="仿宋" w:hAnsi="仿宋" w:eastAsia="仿宋" w:cs="仿宋"/>
                <w:color w:val="000000" w:themeColor="text1"/>
                <w:sz w:val="24"/>
                <w:szCs w:val="24"/>
                <w:highlight w:val="none"/>
                <w14:textFill>
                  <w14:solidFill>
                    <w14:schemeClr w14:val="tx1"/>
                  </w14:solidFill>
                </w14:textFill>
              </w:rPr>
              <w:t>、检验项目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1.镜检项目：红细胞、白细胞、上皮细胞、小圆上皮细胞、线索细胞、霉菌（菌丝、孢子、芽孢）、滴虫、清洁度等，可扩展其他项目。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2.生化检测项目：PH值、过氧化氢检测、β-葡萄糖醛酸苷酶、白细胞酯酶、唾液酸苷酶、β-N-乙酰氨基葡萄糖苷酶、脯氨酸氨基肽酶，可扩展其他项目</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四</w:t>
            </w:r>
            <w:r>
              <w:rPr>
                <w:rFonts w:hint="eastAsia" w:ascii="仿宋" w:hAnsi="仿宋" w:eastAsia="仿宋" w:cs="仿宋"/>
                <w:color w:val="000000" w:themeColor="text1"/>
                <w:sz w:val="24"/>
                <w:szCs w:val="24"/>
                <w:highlight w:val="none"/>
                <w14:textFill>
                  <w14:solidFill>
                    <w14:schemeClr w14:val="tx1"/>
                  </w14:solidFill>
                </w14:textFill>
              </w:rPr>
              <w:t>、样本量：最小2.5ml，最小吸入量1ml。</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五</w:t>
            </w:r>
            <w:r>
              <w:rPr>
                <w:rFonts w:hint="eastAsia" w:ascii="仿宋" w:hAnsi="仿宋" w:eastAsia="仿宋" w:cs="仿宋"/>
                <w:color w:val="000000" w:themeColor="text1"/>
                <w:sz w:val="24"/>
                <w:szCs w:val="24"/>
                <w:highlight w:val="none"/>
                <w14:textFill>
                  <w14:solidFill>
                    <w14:schemeClr w14:val="tx1"/>
                  </w14:solidFill>
                </w14:textFill>
              </w:rPr>
              <w:t>、标本处理：标本液化直接上机操作。</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六</w:t>
            </w:r>
            <w:r>
              <w:rPr>
                <w:rFonts w:hint="eastAsia" w:ascii="仿宋" w:hAnsi="仿宋" w:eastAsia="仿宋" w:cs="仿宋"/>
                <w:color w:val="000000" w:themeColor="text1"/>
                <w:sz w:val="24"/>
                <w:szCs w:val="24"/>
                <w:highlight w:val="none"/>
                <w14:textFill>
                  <w14:solidFill>
                    <w14:schemeClr w14:val="tx1"/>
                  </w14:solidFill>
                </w14:textFill>
              </w:rPr>
              <w:t>、项目选择：形态学与功能学项目可任意选择可单独检测也可合并检测。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七</w:t>
            </w:r>
            <w:r>
              <w:rPr>
                <w:rFonts w:hint="eastAsia" w:ascii="仿宋" w:hAnsi="仿宋" w:eastAsia="仿宋" w:cs="仿宋"/>
                <w:color w:val="000000" w:themeColor="text1"/>
                <w:sz w:val="24"/>
                <w:szCs w:val="24"/>
                <w:highlight w:val="none"/>
                <w14:textFill>
                  <w14:solidFill>
                    <w14:schemeClr w14:val="tx1"/>
                  </w14:solidFill>
                </w14:textFill>
              </w:rPr>
              <w:t>、报告方式：形态学与功能学相结合综合报告，图文并茂。</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八</w:t>
            </w:r>
            <w:r>
              <w:rPr>
                <w:rFonts w:hint="eastAsia" w:ascii="仿宋" w:hAnsi="仿宋" w:eastAsia="仿宋" w:cs="仿宋"/>
                <w:color w:val="000000" w:themeColor="text1"/>
                <w:sz w:val="24"/>
                <w:szCs w:val="24"/>
                <w:highlight w:val="none"/>
                <w14:textFill>
                  <w14:solidFill>
                    <w14:schemeClr w14:val="tx1"/>
                  </w14:solidFill>
                </w14:textFill>
              </w:rPr>
              <w:t>、检测速度：</w:t>
            </w:r>
            <w:r>
              <w:rPr>
                <w:rFonts w:hint="eastAsia" w:ascii="仿宋" w:hAnsi="仿宋" w:eastAsia="仿宋" w:cs="仿宋"/>
                <w:color w:val="000000" w:themeColor="text1"/>
                <w:sz w:val="24"/>
                <w:szCs w:val="24"/>
                <w:highlight w:val="none"/>
                <w:lang w:val="en-US" w:eastAsia="zh-CN"/>
                <w14:textFill>
                  <w14:solidFill>
                    <w14:schemeClr w14:val="tx1"/>
                  </w14:solidFill>
                </w14:textFill>
              </w:rPr>
              <w:t>进样</w:t>
            </w:r>
            <w:r>
              <w:rPr>
                <w:rFonts w:hint="eastAsia" w:ascii="仿宋" w:hAnsi="仿宋" w:eastAsia="仿宋" w:cs="仿宋"/>
                <w:color w:val="000000" w:themeColor="text1"/>
                <w:sz w:val="24"/>
                <w:szCs w:val="24"/>
                <w:highlight w:val="none"/>
                <w14:textFill>
                  <w14:solidFill>
                    <w14:schemeClr w14:val="tx1"/>
                  </w14:solidFill>
                </w14:textFill>
              </w:rPr>
              <w:t>≥30个样本，随到随检，批量检测速度≥60个标本/小时，预留急诊位。</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九</w:t>
            </w:r>
            <w:r>
              <w:rPr>
                <w:rFonts w:hint="eastAsia" w:ascii="仿宋" w:hAnsi="仿宋" w:eastAsia="仿宋" w:cs="仿宋"/>
                <w:color w:val="000000" w:themeColor="text1"/>
                <w:sz w:val="24"/>
                <w:szCs w:val="24"/>
                <w:highlight w:val="none"/>
                <w14:textFill>
                  <w14:solidFill>
                    <w14:schemeClr w14:val="tx1"/>
                  </w14:solidFill>
                </w14:textFill>
              </w:rPr>
              <w:t>、检测灵敏度：＜1个目标/µl，无漏检。</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十、重复性测试：CV%≤5%。</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十</w:t>
            </w:r>
            <w:r>
              <w:rPr>
                <w:rFonts w:hint="eastAsia" w:ascii="仿宋" w:hAnsi="仿宋" w:eastAsia="仿宋" w:cs="仿宋"/>
                <w:color w:val="000000" w:themeColor="text1"/>
                <w:sz w:val="24"/>
                <w:szCs w:val="24"/>
                <w:highlight w:val="none"/>
                <w:lang w:val="en-US" w:eastAsia="zh-CN"/>
                <w14:textFill>
                  <w14:solidFill>
                    <w14:schemeClr w14:val="tx1"/>
                  </w14:solidFill>
                </w14:textFill>
              </w:rPr>
              <w:t>一</w:t>
            </w:r>
            <w:r>
              <w:rPr>
                <w:rFonts w:hint="eastAsia" w:ascii="仿宋" w:hAnsi="仿宋" w:eastAsia="仿宋" w:cs="仿宋"/>
                <w:color w:val="000000" w:themeColor="text1"/>
                <w:sz w:val="24"/>
                <w:szCs w:val="24"/>
                <w:highlight w:val="none"/>
                <w14:textFill>
                  <w14:solidFill>
                    <w14:schemeClr w14:val="tx1"/>
                  </w14:solidFill>
                </w14:textFill>
              </w:rPr>
              <w:t>、携带污染率：分析仪的携带污染率≤0.1%。</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十</w:t>
            </w:r>
            <w:r>
              <w:rPr>
                <w:rFonts w:hint="eastAsia" w:ascii="仿宋" w:hAnsi="仿宋" w:eastAsia="仿宋" w:cs="仿宋"/>
                <w:color w:val="000000" w:themeColor="text1"/>
                <w:sz w:val="24"/>
                <w:szCs w:val="24"/>
                <w:highlight w:val="none"/>
                <w:lang w:val="en-US" w:eastAsia="zh-CN"/>
                <w14:textFill>
                  <w14:solidFill>
                    <w14:schemeClr w14:val="tx1"/>
                  </w14:solidFill>
                </w14:textFill>
              </w:rPr>
              <w:t>二</w:t>
            </w:r>
            <w:r>
              <w:rPr>
                <w:rFonts w:hint="eastAsia" w:ascii="仿宋" w:hAnsi="仿宋" w:eastAsia="仿宋" w:cs="仿宋"/>
                <w:color w:val="000000" w:themeColor="text1"/>
                <w:sz w:val="24"/>
                <w:szCs w:val="24"/>
                <w:highlight w:val="none"/>
                <w14:textFill>
                  <w14:solidFill>
                    <w14:schemeClr w14:val="tx1"/>
                  </w14:solidFill>
                </w14:textFill>
              </w:rPr>
              <w:t>、数据接口：双向通讯接口。</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十</w:t>
            </w:r>
            <w:r>
              <w:rPr>
                <w:rFonts w:hint="eastAsia" w:ascii="仿宋" w:hAnsi="仿宋" w:eastAsia="仿宋" w:cs="仿宋"/>
                <w:color w:val="000000" w:themeColor="text1"/>
                <w:sz w:val="24"/>
                <w:szCs w:val="24"/>
                <w:highlight w:val="none"/>
                <w:lang w:val="en-US" w:eastAsia="zh-CN"/>
                <w14:textFill>
                  <w14:solidFill>
                    <w14:schemeClr w14:val="tx1"/>
                  </w14:solidFill>
                </w14:textFill>
              </w:rPr>
              <w:t>三</w:t>
            </w:r>
            <w:r>
              <w:rPr>
                <w:rFonts w:hint="eastAsia" w:ascii="仿宋" w:hAnsi="仿宋" w:eastAsia="仿宋" w:cs="仿宋"/>
                <w:color w:val="000000" w:themeColor="text1"/>
                <w:sz w:val="24"/>
                <w:szCs w:val="24"/>
                <w:highlight w:val="none"/>
                <w14:textFill>
                  <w14:solidFill>
                    <w14:schemeClr w14:val="tx1"/>
                  </w14:solidFill>
                </w14:textFill>
              </w:rPr>
              <w:t>、中标方负责连接医院网络系统并承担</w:t>
            </w:r>
            <w:r>
              <w:rPr>
                <w:rFonts w:hint="eastAsia" w:ascii="仿宋" w:hAnsi="仿宋" w:eastAsia="仿宋" w:cs="仿宋"/>
                <w:color w:val="000000" w:themeColor="text1"/>
                <w:sz w:val="24"/>
                <w:szCs w:val="24"/>
                <w:highlight w:val="none"/>
                <w:lang w:val="en-US" w:eastAsia="zh-CN"/>
                <w14:textFill>
                  <w14:solidFill>
                    <w14:schemeClr w14:val="tx1"/>
                  </w14:solidFill>
                </w14:textFill>
              </w:rPr>
              <w:t>接口</w:t>
            </w:r>
            <w:r>
              <w:rPr>
                <w:rFonts w:hint="eastAsia" w:ascii="仿宋" w:hAnsi="仿宋" w:eastAsia="仿宋" w:cs="仿宋"/>
                <w:color w:val="000000" w:themeColor="text1"/>
                <w:sz w:val="24"/>
                <w:szCs w:val="24"/>
                <w:highlight w:val="none"/>
                <w14:textFill>
                  <w14:solidFill>
                    <w14:schemeClr w14:val="tx1"/>
                  </w14:solidFill>
                </w14:textFill>
              </w:rPr>
              <w:t>费用</w:t>
            </w:r>
          </w:p>
          <w:p w14:paraId="4B0559A0">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十</w:t>
            </w:r>
            <w:r>
              <w:rPr>
                <w:rFonts w:hint="eastAsia" w:ascii="仿宋" w:hAnsi="仿宋" w:eastAsia="仿宋" w:cs="仿宋"/>
                <w:color w:val="000000" w:themeColor="text1"/>
                <w:sz w:val="24"/>
                <w:szCs w:val="24"/>
                <w:highlight w:val="none"/>
                <w:lang w:val="en-US" w:eastAsia="zh-CN"/>
                <w14:textFill>
                  <w14:solidFill>
                    <w14:schemeClr w14:val="tx1"/>
                  </w14:solidFill>
                </w14:textFill>
              </w:rPr>
              <w:t>四</w:t>
            </w:r>
            <w:r>
              <w:rPr>
                <w:rFonts w:hint="eastAsia" w:ascii="仿宋" w:hAnsi="仿宋" w:eastAsia="仿宋" w:cs="仿宋"/>
                <w:color w:val="000000" w:themeColor="text1"/>
                <w:sz w:val="24"/>
                <w:szCs w:val="24"/>
                <w:highlight w:val="none"/>
                <w14:textFill>
                  <w14:solidFill>
                    <w14:schemeClr w14:val="tx1"/>
                  </w14:solidFill>
                </w14:textFill>
              </w:rPr>
              <w:t>、附件配置：操作电脑及激光打印一套</w:t>
            </w:r>
          </w:p>
          <w:p w14:paraId="398C9D58">
            <w:pPr>
              <w:rPr>
                <w:rFonts w:hint="eastAsia" w:ascii="仿宋" w:hAnsi="仿宋" w:eastAsia="仿宋" w:cs="仿宋"/>
                <w:color w:val="000000" w:themeColor="text1"/>
                <w:sz w:val="24"/>
                <w:szCs w:val="24"/>
                <w:highlight w:val="none"/>
                <w14:textFill>
                  <w14:solidFill>
                    <w14:schemeClr w14:val="tx1"/>
                  </w14:solidFill>
                </w14:textFill>
              </w:rPr>
            </w:pPr>
          </w:p>
        </w:tc>
        <w:tc>
          <w:tcPr>
            <w:tcW w:w="721" w:type="dxa"/>
            <w:tcBorders>
              <w:top w:val="nil"/>
              <w:left w:val="nil"/>
              <w:bottom w:val="single" w:color="auto" w:sz="4" w:space="0"/>
              <w:right w:val="single" w:color="auto" w:sz="4" w:space="0"/>
            </w:tcBorders>
            <w:shd w:val="clear" w:color="000000" w:fill="FFFFFF"/>
            <w:vAlign w:val="center"/>
          </w:tcPr>
          <w:p w14:paraId="3F19DB94">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含电脑、打印机、端口费</w:t>
            </w:r>
          </w:p>
        </w:tc>
      </w:tr>
      <w:tr w14:paraId="1F7F2D19">
        <w:tblPrEx>
          <w:tblCellMar>
            <w:top w:w="0" w:type="dxa"/>
            <w:left w:w="108" w:type="dxa"/>
            <w:bottom w:w="0" w:type="dxa"/>
            <w:right w:w="108" w:type="dxa"/>
          </w:tblCellMar>
        </w:tblPrEx>
        <w:trPr>
          <w:trHeight w:val="552" w:hRule="atLeast"/>
        </w:trPr>
        <w:tc>
          <w:tcPr>
            <w:tcW w:w="580" w:type="dxa"/>
            <w:vMerge w:val="continue"/>
            <w:tcBorders>
              <w:top w:val="nil"/>
              <w:left w:val="single" w:color="auto" w:sz="4" w:space="0"/>
              <w:bottom w:val="single" w:color="auto" w:sz="4" w:space="0"/>
              <w:right w:val="single" w:color="auto" w:sz="4" w:space="0"/>
            </w:tcBorders>
            <w:vAlign w:val="center"/>
          </w:tcPr>
          <w:p w14:paraId="65BE6CA3">
            <w:pPr>
              <w:rPr>
                <w:rFonts w:hint="eastAsia" w:ascii="仿宋" w:hAnsi="仿宋" w:eastAsia="仿宋" w:cs="仿宋"/>
                <w:sz w:val="24"/>
                <w:szCs w:val="24"/>
                <w:highlight w:val="none"/>
              </w:rPr>
            </w:pPr>
          </w:p>
        </w:tc>
        <w:tc>
          <w:tcPr>
            <w:tcW w:w="709" w:type="dxa"/>
            <w:tcBorders>
              <w:top w:val="nil"/>
              <w:left w:val="nil"/>
              <w:bottom w:val="single" w:color="auto" w:sz="4" w:space="0"/>
              <w:right w:val="single" w:color="auto" w:sz="4" w:space="0"/>
            </w:tcBorders>
            <w:shd w:val="clear" w:color="auto" w:fill="auto"/>
            <w:vAlign w:val="center"/>
          </w:tcPr>
          <w:p w14:paraId="5105D919">
            <w:pP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909" w:type="dxa"/>
            <w:tcBorders>
              <w:top w:val="nil"/>
              <w:left w:val="nil"/>
              <w:bottom w:val="single" w:color="auto" w:sz="4" w:space="0"/>
              <w:right w:val="single" w:color="auto" w:sz="4" w:space="0"/>
            </w:tcBorders>
            <w:shd w:val="clear" w:color="000000" w:fill="FFFFFF"/>
            <w:vAlign w:val="center"/>
          </w:tcPr>
          <w:p w14:paraId="755A69EA">
            <w:pPr>
              <w:rPr>
                <w:rFonts w:hint="eastAsia" w:ascii="仿宋" w:hAnsi="仿宋" w:eastAsia="仿宋" w:cs="仿宋"/>
                <w:sz w:val="24"/>
                <w:szCs w:val="24"/>
                <w:highlight w:val="none"/>
              </w:rPr>
            </w:pPr>
            <w:r>
              <w:rPr>
                <w:rFonts w:hint="eastAsia" w:ascii="仿宋" w:hAnsi="仿宋" w:eastAsia="仿宋" w:cs="仿宋"/>
                <w:sz w:val="24"/>
                <w:szCs w:val="24"/>
                <w:highlight w:val="none"/>
              </w:rPr>
              <w:t>自动血流变测试仪</w:t>
            </w:r>
          </w:p>
        </w:tc>
        <w:tc>
          <w:tcPr>
            <w:tcW w:w="636" w:type="dxa"/>
            <w:tcBorders>
              <w:top w:val="nil"/>
              <w:left w:val="nil"/>
              <w:bottom w:val="single" w:color="auto" w:sz="4" w:space="0"/>
              <w:right w:val="single" w:color="auto" w:sz="4" w:space="0"/>
            </w:tcBorders>
            <w:shd w:val="clear" w:color="000000" w:fill="FFFFFF"/>
            <w:vAlign w:val="center"/>
          </w:tcPr>
          <w:p w14:paraId="6FAEA275">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29238279">
            <w:pP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5652" w:type="dxa"/>
            <w:tcBorders>
              <w:top w:val="nil"/>
              <w:left w:val="nil"/>
              <w:bottom w:val="single" w:color="auto" w:sz="4" w:space="0"/>
              <w:right w:val="single" w:color="auto" w:sz="4" w:space="0"/>
            </w:tcBorders>
            <w:shd w:val="clear" w:color="000000" w:fill="FFFFFF"/>
            <w:vAlign w:val="center"/>
          </w:tcPr>
          <w:p w14:paraId="1DF26D24">
            <w:p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1</w:t>
            </w:r>
            <w:r>
              <w:rPr>
                <w:rFonts w:hint="eastAsia" w:ascii="仿宋" w:hAnsi="仿宋" w:eastAsia="仿宋" w:cs="仿宋"/>
                <w:color w:val="000000" w:themeColor="text1"/>
                <w:sz w:val="24"/>
                <w:szCs w:val="24"/>
                <w:highlight w:val="none"/>
                <w14:textFill>
                  <w14:solidFill>
                    <w14:schemeClr w14:val="tx1"/>
                  </w14:solidFill>
                </w14:textFill>
              </w:rPr>
              <w:t>、仪器测试范围：全血粘度、血浆粘度、相关参数换算</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采用锥/板式测试机芯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2、全血测试时间≤</w:t>
            </w:r>
            <w:r>
              <w:rPr>
                <w:rFonts w:hint="eastAsia" w:ascii="仿宋" w:hAnsi="仿宋" w:eastAsia="仿宋" w:cs="仿宋"/>
                <w:color w:val="000000" w:themeColor="text1"/>
                <w:sz w:val="24"/>
                <w:szCs w:val="24"/>
                <w:highlight w:val="none"/>
                <w:lang w:val="en-US" w:eastAsia="zh-CN"/>
                <w14:textFill>
                  <w14:solidFill>
                    <w14:schemeClr w14:val="tx1"/>
                  </w14:solidFill>
                </w14:textFill>
              </w:rPr>
              <w:t>30</w:t>
            </w:r>
            <w:r>
              <w:rPr>
                <w:rFonts w:hint="eastAsia" w:ascii="仿宋" w:hAnsi="仿宋" w:eastAsia="仿宋" w:cs="仿宋"/>
                <w:color w:val="000000" w:themeColor="text1"/>
                <w:sz w:val="24"/>
                <w:szCs w:val="24"/>
                <w:highlight w:val="none"/>
                <w14:textFill>
                  <w14:solidFill>
                    <w14:schemeClr w14:val="tx1"/>
                  </w14:solidFill>
                </w14:textFill>
              </w:rPr>
              <w:t>s/标本或（全血测试速度： ≥</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0Ts/h ）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3、锥/板机芯具有双排液孔防堵功能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4、血浆测试时间≤</w:t>
            </w:r>
            <w:r>
              <w:rPr>
                <w:rFonts w:hint="eastAsia" w:ascii="仿宋" w:hAnsi="仿宋" w:eastAsia="仿宋" w:cs="仿宋"/>
                <w:color w:val="000000" w:themeColor="text1"/>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14:textFill>
                  <w14:solidFill>
                    <w14:schemeClr w14:val="tx1"/>
                  </w14:solidFill>
                </w14:textFill>
              </w:rPr>
              <w:t>s/标本或（测试速度： ≥</w:t>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0Ts/h）</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5、锥/板机芯具有轴心水平定位功能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6、结果异常，清洗液不足，废液溢出报警功能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7、可提供经药监局注册配套的牛顿、非牛顿流体质控物</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8、精度误差≤±1%   重复性误差≤1％</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9、全血粘度测量范围：0～30mPa.s</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10、全血测试用血量：≤300ul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11、血浆测试用血量：≤300ul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12、切变率范围：1s-1～200s-1</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、微电脑智能温控系统，精度±0.1℃</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14</w:t>
            </w:r>
            <w:r>
              <w:rPr>
                <w:rFonts w:hint="eastAsia" w:ascii="仿宋" w:hAnsi="仿宋" w:eastAsia="仿宋" w:cs="仿宋"/>
                <w:sz w:val="24"/>
                <w:szCs w:val="24"/>
                <w:highlight w:val="none"/>
              </w:rPr>
              <w:t>、挤压式强力蠕</w:t>
            </w:r>
            <w:r>
              <w:rPr>
                <w:rFonts w:hint="eastAsia" w:ascii="仿宋" w:hAnsi="仿宋" w:eastAsia="仿宋" w:cs="仿宋"/>
                <w:color w:val="000000" w:themeColor="text1"/>
                <w:sz w:val="24"/>
                <w:szCs w:val="24"/>
                <w:highlight w:val="none"/>
                <w14:textFill>
                  <w14:solidFill>
                    <w14:schemeClr w14:val="tx1"/>
                  </w14:solidFill>
                </w14:textFill>
              </w:rPr>
              <w:t>动泵进排液系统</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sz w:val="24"/>
                <w:szCs w:val="24"/>
                <w:highlight w:val="none"/>
                <w14:textFill>
                  <w14:solidFill>
                    <w14:schemeClr w14:val="tx1"/>
                  </w14:solidFill>
                </w14:textFill>
              </w:rPr>
              <w:t>、快速、全量程、逐点、稳态全血测量方式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16</w:t>
            </w:r>
            <w:r>
              <w:rPr>
                <w:rFonts w:hint="eastAsia" w:ascii="仿宋" w:hAnsi="仿宋" w:eastAsia="仿宋" w:cs="仿宋"/>
                <w:color w:val="000000" w:themeColor="text1"/>
                <w:sz w:val="24"/>
                <w:szCs w:val="24"/>
                <w:highlight w:val="none"/>
                <w14:textFill>
                  <w14:solidFill>
                    <w14:schemeClr w14:val="tx1"/>
                  </w14:solidFill>
                </w14:textFill>
              </w:rPr>
              <w:t>、自定义开放式报告单模式，并可数据传输</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*17、</w:t>
            </w:r>
            <w:r>
              <w:rPr>
                <w:rFonts w:hint="eastAsia" w:ascii="仿宋" w:hAnsi="仿宋" w:eastAsia="仿宋" w:cs="仿宋"/>
                <w:color w:val="000000" w:themeColor="text1"/>
                <w:sz w:val="24"/>
                <w:szCs w:val="24"/>
                <w:highlight w:val="none"/>
                <w14:textFill>
                  <w14:solidFill>
                    <w14:schemeClr w14:val="tx1"/>
                  </w14:solidFill>
                </w14:textFill>
              </w:rPr>
              <w:t>血流变单机、联机均可操作，主机有回放功能。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18</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eastAsia="zh-CN"/>
                <w14:textFill>
                  <w14:solidFill>
                    <w14:schemeClr w14:val="tx1"/>
                  </w14:solidFill>
                </w14:textFill>
              </w:rPr>
              <w:t>中标方负责连接医院网络系统并承担接口费用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19</w:t>
            </w:r>
            <w:r>
              <w:rPr>
                <w:rFonts w:hint="eastAsia" w:ascii="仿宋" w:hAnsi="仿宋" w:eastAsia="仿宋" w:cs="仿宋"/>
                <w:color w:val="000000" w:themeColor="text1"/>
                <w:sz w:val="24"/>
                <w:szCs w:val="24"/>
                <w:highlight w:val="none"/>
                <w14:textFill>
                  <w14:solidFill>
                    <w14:schemeClr w14:val="tx1"/>
                  </w14:solidFill>
                </w14:textFill>
              </w:rPr>
              <w:t>、附件配置：操作电脑及激光打印一套</w:t>
            </w:r>
          </w:p>
        </w:tc>
        <w:tc>
          <w:tcPr>
            <w:tcW w:w="721" w:type="dxa"/>
            <w:tcBorders>
              <w:top w:val="nil"/>
              <w:left w:val="nil"/>
              <w:bottom w:val="single" w:color="auto" w:sz="4" w:space="0"/>
              <w:right w:val="single" w:color="auto" w:sz="4" w:space="0"/>
            </w:tcBorders>
            <w:shd w:val="clear" w:color="000000" w:fill="FFFFFF"/>
            <w:vAlign w:val="center"/>
          </w:tcPr>
          <w:p w14:paraId="593E68C8">
            <w:pPr>
              <w:rPr>
                <w:rFonts w:hint="eastAsia" w:ascii="仿宋" w:hAnsi="仿宋" w:eastAsia="仿宋" w:cs="仿宋"/>
                <w:sz w:val="24"/>
                <w:szCs w:val="24"/>
                <w:highlight w:val="none"/>
              </w:rPr>
            </w:pPr>
            <w:r>
              <w:rPr>
                <w:rFonts w:hint="eastAsia" w:ascii="仿宋" w:hAnsi="仿宋" w:eastAsia="仿宋" w:cs="仿宋"/>
                <w:sz w:val="24"/>
                <w:szCs w:val="24"/>
                <w:highlight w:val="none"/>
              </w:rPr>
              <w:t>含电脑、打印机、端口费</w:t>
            </w:r>
          </w:p>
        </w:tc>
      </w:tr>
      <w:tr w14:paraId="3697F2C0">
        <w:tblPrEx>
          <w:tblCellMar>
            <w:top w:w="0" w:type="dxa"/>
            <w:left w:w="108" w:type="dxa"/>
            <w:bottom w:w="0" w:type="dxa"/>
            <w:right w:w="108" w:type="dxa"/>
          </w:tblCellMar>
        </w:tblPrEx>
        <w:trPr>
          <w:trHeight w:val="90" w:hRule="atLeast"/>
        </w:trPr>
        <w:tc>
          <w:tcPr>
            <w:tcW w:w="580" w:type="dxa"/>
            <w:tcBorders>
              <w:top w:val="nil"/>
              <w:left w:val="single" w:color="auto" w:sz="4" w:space="0"/>
              <w:bottom w:val="single" w:color="auto" w:sz="4" w:space="0"/>
              <w:right w:val="single" w:color="auto" w:sz="4" w:space="0"/>
            </w:tcBorders>
            <w:shd w:val="clear" w:color="auto" w:fill="auto"/>
            <w:vAlign w:val="center"/>
          </w:tcPr>
          <w:p w14:paraId="1C94F51D">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c>
          <w:tcPr>
            <w:tcW w:w="709" w:type="dxa"/>
            <w:tcBorders>
              <w:top w:val="nil"/>
              <w:left w:val="nil"/>
              <w:bottom w:val="single" w:color="auto" w:sz="4" w:space="0"/>
              <w:right w:val="single" w:color="auto" w:sz="4" w:space="0"/>
            </w:tcBorders>
            <w:shd w:val="clear" w:color="auto" w:fill="auto"/>
            <w:vAlign w:val="center"/>
          </w:tcPr>
          <w:p w14:paraId="4B419CF6">
            <w:pP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909" w:type="dxa"/>
            <w:tcBorders>
              <w:top w:val="nil"/>
              <w:left w:val="nil"/>
              <w:bottom w:val="single" w:color="auto" w:sz="4" w:space="0"/>
              <w:right w:val="single" w:color="auto" w:sz="4" w:space="0"/>
            </w:tcBorders>
            <w:shd w:val="clear" w:color="000000" w:fill="FFFFFF"/>
            <w:vAlign w:val="center"/>
          </w:tcPr>
          <w:p w14:paraId="110FD371">
            <w:pPr>
              <w:rPr>
                <w:rFonts w:hint="eastAsia" w:ascii="仿宋" w:hAnsi="仿宋" w:eastAsia="仿宋" w:cs="仿宋"/>
                <w:sz w:val="24"/>
                <w:szCs w:val="24"/>
                <w:highlight w:val="none"/>
              </w:rPr>
            </w:pPr>
            <w:r>
              <w:rPr>
                <w:rFonts w:hint="eastAsia" w:ascii="仿宋" w:hAnsi="仿宋" w:eastAsia="仿宋" w:cs="仿宋"/>
                <w:sz w:val="24"/>
                <w:szCs w:val="24"/>
                <w:highlight w:val="none"/>
              </w:rPr>
              <w:t>便携式心电图机（含工作站）</w:t>
            </w:r>
          </w:p>
        </w:tc>
        <w:tc>
          <w:tcPr>
            <w:tcW w:w="636" w:type="dxa"/>
            <w:tcBorders>
              <w:top w:val="nil"/>
              <w:left w:val="nil"/>
              <w:bottom w:val="single" w:color="auto" w:sz="4" w:space="0"/>
              <w:right w:val="single" w:color="auto" w:sz="4" w:space="0"/>
            </w:tcBorders>
            <w:shd w:val="clear" w:color="000000" w:fill="FFFFFF"/>
            <w:vAlign w:val="center"/>
          </w:tcPr>
          <w:p w14:paraId="0325A19F">
            <w:pPr>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552" w:type="dxa"/>
            <w:tcBorders>
              <w:top w:val="nil"/>
              <w:left w:val="nil"/>
              <w:bottom w:val="single" w:color="auto" w:sz="4" w:space="0"/>
              <w:right w:val="single" w:color="auto" w:sz="4" w:space="0"/>
            </w:tcBorders>
            <w:shd w:val="clear" w:color="000000" w:fill="FFFFFF"/>
            <w:vAlign w:val="center"/>
          </w:tcPr>
          <w:p w14:paraId="6B69198C">
            <w:pPr>
              <w:rPr>
                <w:rFonts w:hint="eastAsia" w:ascii="仿宋" w:hAnsi="仿宋" w:eastAsia="仿宋" w:cs="仿宋"/>
                <w:sz w:val="24"/>
                <w:szCs w:val="24"/>
                <w:highlight w:val="none"/>
              </w:rPr>
            </w:pPr>
            <w:r>
              <w:rPr>
                <w:rFonts w:hint="eastAsia" w:ascii="仿宋" w:hAnsi="仿宋" w:eastAsia="仿宋" w:cs="仿宋"/>
                <w:sz w:val="24"/>
                <w:szCs w:val="24"/>
                <w:highlight w:val="none"/>
              </w:rPr>
              <w:t>48</w:t>
            </w:r>
          </w:p>
        </w:tc>
        <w:tc>
          <w:tcPr>
            <w:tcW w:w="5652" w:type="dxa"/>
            <w:tcBorders>
              <w:top w:val="nil"/>
              <w:left w:val="nil"/>
              <w:bottom w:val="single" w:color="auto" w:sz="4" w:space="0"/>
              <w:right w:val="single" w:color="auto" w:sz="4" w:space="0"/>
            </w:tcBorders>
            <w:shd w:val="clear" w:color="000000" w:fill="FFFFFF"/>
            <w:vAlign w:val="center"/>
          </w:tcPr>
          <w:p w14:paraId="3201F048">
            <w:pPr>
              <w:rPr>
                <w:rFonts w:hint="eastAsia" w:ascii="仿宋" w:hAnsi="仿宋" w:eastAsia="仿宋" w:cs="仿宋"/>
                <w:sz w:val="24"/>
                <w:szCs w:val="24"/>
                <w:highlight w:val="none"/>
              </w:rPr>
            </w:pPr>
            <w:r>
              <w:rPr>
                <w:rFonts w:hint="eastAsia" w:ascii="仿宋" w:hAnsi="仿宋" w:eastAsia="仿宋" w:cs="仿宋"/>
                <w:sz w:val="24"/>
                <w:szCs w:val="24"/>
                <w:highlight w:val="none"/>
              </w:rPr>
              <w:t>1、数字式心电图机，支持标准12导心电图同步采集、记录功能；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color w:val="000000" w:themeColor="text1"/>
                <w:sz w:val="24"/>
                <w:szCs w:val="24"/>
                <w:highlight w:val="none"/>
                <w14:textFill>
                  <w14:solidFill>
                    <w14:schemeClr w14:val="tx1"/>
                  </w14:solidFill>
                </w14:textFill>
              </w:rPr>
              <w:t>、心电图机一体化设计，采集仪模块内置于心电图机内部，不接受平板电脑外接采集盒模式；主机全触控操作，无物理硬按键。</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5.5</w:t>
            </w:r>
            <w:r>
              <w:rPr>
                <w:rFonts w:hint="eastAsia" w:ascii="仿宋" w:hAnsi="仿宋" w:eastAsia="仿宋" w:cs="仿宋"/>
                <w:sz w:val="24"/>
                <w:szCs w:val="24"/>
                <w:highlight w:val="none"/>
              </w:rPr>
              <w:t>英寸</w:t>
            </w:r>
            <w:r>
              <w:rPr>
                <w:rFonts w:hint="eastAsia" w:ascii="仿宋" w:hAnsi="仿宋" w:eastAsia="仿宋" w:cs="仿宋"/>
                <w:color w:val="000000" w:themeColor="text1"/>
                <w:sz w:val="24"/>
                <w:szCs w:val="24"/>
                <w:highlight w:val="none"/>
                <w:lang w:val="en-US" w:eastAsia="zh-CN"/>
                <w14:textFill>
                  <w14:solidFill>
                    <w14:schemeClr w14:val="tx1"/>
                  </w14:solidFill>
                </w14:textFill>
              </w:rPr>
              <w:t>左右</w:t>
            </w:r>
            <w:r>
              <w:rPr>
                <w:rFonts w:hint="eastAsia" w:ascii="仿宋" w:hAnsi="仿宋" w:eastAsia="仿宋" w:cs="仿宋"/>
                <w:sz w:val="24"/>
                <w:szCs w:val="24"/>
                <w:highlight w:val="none"/>
              </w:rPr>
              <w:t>高分辨率，全视角液晶显示屏。</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4、手持式便携移动心电采集终端，设备主机重量≤250g。</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 xml:space="preserve">5、支持智能操作系统，可远程更新升级 </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6、设备属于CF型防除颤类型。</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7、心电图主机支持内置4G功能，内置4G卡槽，内置eSIM卡，不接受外置模块，支持全网通联网通讯。</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8、心电图主机支持2.4GHz/5GHz双频段无线Wi-Fi</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9、输入阻抗：≥100MΩ</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10、内部噪声：≤10μVP-P</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11、定标电压：1mV±1%</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12、共模抑</w:t>
            </w:r>
            <w:r>
              <w:rPr>
                <w:rFonts w:hint="eastAsia" w:ascii="仿宋" w:hAnsi="仿宋" w:eastAsia="仿宋" w:cs="仿宋"/>
                <w:color w:val="000000" w:themeColor="text1"/>
                <w:sz w:val="24"/>
                <w:szCs w:val="24"/>
                <w:highlight w:val="none"/>
                <w14:textFill>
                  <w14:solidFill>
                    <w14:schemeClr w14:val="tx1"/>
                  </w14:solidFill>
                </w14:textFill>
              </w:rPr>
              <w:t>制比：≥125</w:t>
            </w:r>
            <w:r>
              <w:rPr>
                <w:rFonts w:hint="eastAsia" w:ascii="仿宋" w:hAnsi="仿宋" w:eastAsia="仿宋" w:cs="仿宋"/>
                <w:sz w:val="24"/>
                <w:szCs w:val="24"/>
                <w:highlight w:val="none"/>
              </w:rPr>
              <w:t>dB</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13、耐极化电压：±920mV</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14、频响范围：0.01-350Hz全频滤波</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15、时间常数：＞5s</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16、支持通过无线座充充电。</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17、临床信息完善：支持识别特定类型病人并提醒采集人员补充完善临床信息，如患者是否佩戴了起搏器，从源头上规避影响诊断的重采问题。</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18、报告自动导出：设备采集的心电数据在完成诊断后，在云端或者设备端查看的同时，可通过蓝牙自动到本地电脑上进行归档备份。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、支持与服务器时间同步</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0</w:t>
            </w:r>
            <w:r>
              <w:rPr>
                <w:rFonts w:hint="eastAsia" w:ascii="仿宋" w:hAnsi="仿宋" w:eastAsia="仿宋" w:cs="仿宋"/>
                <w:sz w:val="24"/>
                <w:szCs w:val="24"/>
                <w:highlight w:val="none"/>
              </w:rPr>
              <w:t>、支持NFC识别功能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、QTc参数测量：内置≥5种以上测量算法，QTc计算方法可通过系统设置调阅并设置</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、心电图机支持批量下载预约记录功能，并支持待检查列表显示，列表应包含检查姓名、性别、年龄等信息。</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、具备全导联起搏检测，准确识别起搏信号。</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、对于危急值检查数据，支持优先诊断功能，以提醒诊断中心优先诊断。</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、心电图机支持导联脱落、伪差、左右手接反、无法识别、心律失常波形的自动检测和提示功能。</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、支持消息实时提醒功能，如危急报告提醒、诊断退回提醒、导联纠错提醒、诊断完成提醒。</w:t>
            </w:r>
            <w:r>
              <w:rPr>
                <w:rFonts w:hint="eastAsia" w:ascii="仿宋" w:hAnsi="仿宋" w:eastAsia="仿宋" w:cs="仿宋"/>
                <w:sz w:val="24"/>
                <w:szCs w:val="24"/>
                <w:highlight w:val="none"/>
              </w:rPr>
              <w:br w:type="textWrapping"/>
            </w:r>
            <w:r>
              <w:rPr>
                <w:rFonts w:hint="eastAsia" w:ascii="仿宋" w:hAnsi="仿宋" w:eastAsia="仿宋" w:cs="仿宋"/>
                <w:sz w:val="24"/>
                <w:szCs w:val="24"/>
                <w:highlight w:val="none"/>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、开机视频：设备内置开机引导视频，包括设备组装和操作演示，方便临床操作使用。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 xml:space="preserve">、内置可充电电池，可持续工作时间≥6小时，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29</w:t>
            </w:r>
            <w:r>
              <w:rPr>
                <w:rFonts w:hint="eastAsia" w:ascii="仿宋" w:hAnsi="仿宋" w:eastAsia="仿宋" w:cs="仿宋"/>
                <w:color w:val="000000" w:themeColor="text1"/>
                <w:sz w:val="24"/>
                <w:szCs w:val="24"/>
                <w:highlight w:val="none"/>
                <w14:textFill>
                  <w14:solidFill>
                    <w14:schemeClr w14:val="tx1"/>
                  </w14:solidFill>
                </w14:textFill>
              </w:rPr>
              <w:t>、存储量：设备内置≥16GB存储器，存储病历≥10000份心电数据存储；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30</w:t>
            </w:r>
            <w:r>
              <w:rPr>
                <w:rFonts w:hint="eastAsia" w:ascii="仿宋" w:hAnsi="仿宋" w:eastAsia="仿宋" w:cs="仿宋"/>
                <w:color w:val="000000" w:themeColor="text1"/>
                <w:sz w:val="24"/>
                <w:szCs w:val="24"/>
                <w:highlight w:val="none"/>
                <w14:textFill>
                  <w14:solidFill>
                    <w14:schemeClr w14:val="tx1"/>
                  </w14:solidFill>
                </w14:textFill>
              </w:rPr>
              <w:t>、记录测值包括：心率、电轴、P波时限、P-R间期、QRS时限、Q-T间期、QTc、T波时限、RV5、SV1等。</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*31</w:t>
            </w:r>
            <w:r>
              <w:rPr>
                <w:rFonts w:hint="eastAsia" w:ascii="仿宋" w:hAnsi="仿宋" w:eastAsia="仿宋" w:cs="仿宋"/>
                <w:color w:val="000000" w:themeColor="text1"/>
                <w:sz w:val="24"/>
                <w:szCs w:val="24"/>
                <w:highlight w:val="none"/>
                <w14:textFill>
                  <w14:solidFill>
                    <w14:schemeClr w14:val="tx1"/>
                  </w14:solidFill>
                </w14:textFill>
              </w:rPr>
              <w:t>、支持在采集端将心电图原始数据生成二维码，并通过手机端微信分享形式将心电图原始波形从内网传输至外网，物理隔离保障网络安全，可应对因网络异常、系统异常导致心电图无法上传至心电诊断中心等情况。</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、中标方负责连接医院</w:t>
            </w:r>
            <w:r>
              <w:rPr>
                <w:rFonts w:hint="eastAsia" w:ascii="仿宋" w:hAnsi="仿宋" w:eastAsia="仿宋" w:cs="仿宋"/>
                <w:color w:val="000000" w:themeColor="text1"/>
                <w:sz w:val="24"/>
                <w:szCs w:val="24"/>
                <w:highlight w:val="none"/>
                <w:lang w:val="en-US" w:eastAsia="zh-CN"/>
                <w14:textFill>
                  <w14:solidFill>
                    <w14:schemeClr w14:val="tx1"/>
                  </w14:solidFill>
                </w14:textFill>
              </w:rPr>
              <w:t>心电</w:t>
            </w:r>
            <w:r>
              <w:rPr>
                <w:rFonts w:hint="eastAsia" w:ascii="仿宋" w:hAnsi="仿宋" w:eastAsia="仿宋" w:cs="仿宋"/>
                <w:color w:val="000000" w:themeColor="text1"/>
                <w:sz w:val="24"/>
                <w:szCs w:val="24"/>
                <w:highlight w:val="none"/>
                <w14:textFill>
                  <w14:solidFill>
                    <w14:schemeClr w14:val="tx1"/>
                  </w14:solidFill>
                </w14:textFill>
              </w:rPr>
              <w:t>网络系统并承担</w:t>
            </w:r>
            <w:r>
              <w:rPr>
                <w:rFonts w:hint="eastAsia" w:ascii="仿宋" w:hAnsi="仿宋" w:eastAsia="仿宋" w:cs="仿宋"/>
                <w:color w:val="000000" w:themeColor="text1"/>
                <w:sz w:val="24"/>
                <w:szCs w:val="24"/>
                <w:highlight w:val="none"/>
                <w:lang w:val="en-US" w:eastAsia="zh-CN"/>
                <w14:textFill>
                  <w14:solidFill>
                    <w14:schemeClr w14:val="tx1"/>
                  </w14:solidFill>
                </w14:textFill>
              </w:rPr>
              <w:t>接口</w:t>
            </w:r>
            <w:r>
              <w:rPr>
                <w:rFonts w:hint="eastAsia" w:ascii="仿宋" w:hAnsi="仿宋" w:eastAsia="仿宋" w:cs="仿宋"/>
                <w:color w:val="000000" w:themeColor="text1"/>
                <w:sz w:val="24"/>
                <w:szCs w:val="24"/>
                <w:highlight w:val="none"/>
                <w14:textFill>
                  <w14:solidFill>
                    <w14:schemeClr w14:val="tx1"/>
                  </w14:solidFill>
                </w14:textFill>
              </w:rPr>
              <w:t>费用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、每台设备配备一套便携式背包。</w:t>
            </w:r>
          </w:p>
        </w:tc>
        <w:tc>
          <w:tcPr>
            <w:tcW w:w="721" w:type="dxa"/>
            <w:tcBorders>
              <w:top w:val="nil"/>
              <w:left w:val="nil"/>
              <w:bottom w:val="single" w:color="auto" w:sz="4" w:space="0"/>
              <w:right w:val="single" w:color="auto" w:sz="4" w:space="0"/>
            </w:tcBorders>
            <w:shd w:val="clear" w:color="000000" w:fill="FFFFFF"/>
            <w:vAlign w:val="center"/>
          </w:tcPr>
          <w:p w14:paraId="7DBD9747">
            <w:pPr>
              <w:rPr>
                <w:rFonts w:hint="eastAsia" w:ascii="仿宋" w:hAnsi="仿宋" w:eastAsia="仿宋" w:cs="仿宋"/>
                <w:sz w:val="24"/>
                <w:szCs w:val="24"/>
                <w:highlight w:val="none"/>
              </w:rPr>
            </w:pPr>
            <w:r>
              <w:rPr>
                <w:rFonts w:hint="eastAsia" w:ascii="仿宋" w:hAnsi="仿宋" w:eastAsia="仿宋" w:cs="仿宋"/>
                <w:sz w:val="24"/>
                <w:szCs w:val="24"/>
                <w:highlight w:val="none"/>
              </w:rPr>
              <w:t>　</w:t>
            </w:r>
          </w:p>
        </w:tc>
      </w:tr>
    </w:tbl>
    <w:p w14:paraId="0A5F5583">
      <w:pPr>
        <w:pStyle w:val="31"/>
        <w:pageBreakBefore w:val="0"/>
        <w:tabs>
          <w:tab w:val="left" w:pos="0"/>
        </w:tabs>
        <w:kinsoku/>
        <w:wordWrap/>
        <w:topLinePunct w:val="0"/>
        <w:bidi w:val="0"/>
        <w:spacing w:line="360" w:lineRule="auto"/>
        <w:ind w:firstLine="280" w:firstLineChars="100"/>
        <w:rPr>
          <w:rFonts w:hint="eastAsia" w:ascii="仿宋" w:hAnsi="仿宋" w:eastAsia="仿宋" w:cs="仿宋"/>
          <w:sz w:val="28"/>
          <w:szCs w:val="28"/>
        </w:rPr>
      </w:pPr>
    </w:p>
    <w:p w14:paraId="223059E0">
      <w:pPr>
        <w:pStyle w:val="31"/>
        <w:pageBreakBefore w:val="0"/>
        <w:tabs>
          <w:tab w:val="left" w:pos="0"/>
        </w:tabs>
        <w:kinsoku/>
        <w:wordWrap/>
        <w:topLinePunct w:val="0"/>
        <w:bidi w:val="0"/>
        <w:spacing w:line="360" w:lineRule="auto"/>
        <w:ind w:firstLine="400" w:firstLineChars="100"/>
        <w:jc w:val="center"/>
        <w:rPr>
          <w:rFonts w:hint="eastAsia" w:ascii="仿宋" w:hAnsi="仿宋" w:eastAsia="仿宋" w:cs="仿宋"/>
          <w:b/>
          <w:bCs/>
          <w:sz w:val="40"/>
          <w:szCs w:val="40"/>
        </w:rPr>
      </w:pPr>
    </w:p>
    <w:p w14:paraId="4987BC73">
      <w:pPr>
        <w:rPr>
          <w:rFonts w:hint="eastAsia" w:ascii="仿宋" w:hAnsi="仿宋" w:eastAsia="仿宋" w:cs="仿宋"/>
          <w:b/>
          <w:bCs/>
          <w:color w:val="auto"/>
          <w:sz w:val="36"/>
          <w:highlight w:val="none"/>
          <w:lang w:val="en-US" w:eastAsia="zh-CN"/>
        </w:rPr>
      </w:pPr>
      <w:bookmarkStart w:id="109" w:name="_Toc2026"/>
    </w:p>
    <w:p w14:paraId="3FF86CB5">
      <w:pPr>
        <w:jc w:val="center"/>
        <w:rPr>
          <w:rFonts w:hint="default" w:eastAsia="仿宋"/>
          <w:b/>
          <w:bCs/>
          <w:color w:val="auto"/>
          <w:highlight w:val="none"/>
          <w:lang w:val="en-US" w:eastAsia="zh-CN"/>
        </w:rPr>
      </w:pPr>
      <w:r>
        <w:rPr>
          <w:rFonts w:hint="eastAsia" w:ascii="仿宋" w:hAnsi="仿宋" w:eastAsia="仿宋" w:cs="仿宋"/>
          <w:b/>
          <w:bCs/>
          <w:color w:val="auto"/>
          <w:sz w:val="36"/>
          <w:highlight w:val="none"/>
          <w:lang w:val="en-US" w:eastAsia="zh-CN"/>
        </w:rPr>
        <w:t>商务要求</w:t>
      </w:r>
    </w:p>
    <w:p w14:paraId="1E4763A3">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both"/>
        <w:textAlignment w:val="auto"/>
        <w:outlineLvl w:val="0"/>
        <w:rPr>
          <w:rFonts w:hint="eastAsia" w:ascii="仿宋" w:hAnsi="仿宋" w:eastAsia="仿宋" w:cs="仿宋"/>
          <w:color w:val="auto"/>
          <w:sz w:val="24"/>
          <w:szCs w:val="22"/>
          <w:highlight w:val="none"/>
          <w:lang w:val="en-US" w:eastAsia="zh-CN"/>
        </w:rPr>
      </w:pPr>
      <w:bookmarkStart w:id="110" w:name="_Toc26329"/>
      <w:r>
        <w:rPr>
          <w:rFonts w:hint="eastAsia" w:ascii="仿宋" w:hAnsi="仿宋" w:eastAsia="仿宋" w:cs="仿宋"/>
          <w:color w:val="auto"/>
          <w:sz w:val="24"/>
          <w:szCs w:val="22"/>
          <w:highlight w:val="none"/>
          <w:lang w:val="en-US" w:eastAsia="zh-CN"/>
        </w:rPr>
        <w:t>投标产品质量要求:</w:t>
      </w:r>
      <w:bookmarkEnd w:id="110"/>
    </w:p>
    <w:p w14:paraId="0D92C4E9">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2"/>
          <w:highlight w:val="none"/>
          <w:lang w:val="en-US" w:eastAsia="zh-CN"/>
        </w:rPr>
      </w:pPr>
      <w:bookmarkStart w:id="111" w:name="_Toc947"/>
      <w:r>
        <w:rPr>
          <w:rFonts w:hint="eastAsia" w:ascii="仿宋" w:hAnsi="仿宋" w:eastAsia="仿宋" w:cs="仿宋"/>
          <w:color w:val="auto"/>
          <w:sz w:val="24"/>
          <w:szCs w:val="22"/>
          <w:highlight w:val="none"/>
          <w:lang w:val="en-US" w:eastAsia="zh-CN"/>
        </w:rPr>
        <w:t>1、资质证照合法、手续齐全；</w:t>
      </w:r>
      <w:bookmarkEnd w:id="111"/>
    </w:p>
    <w:p w14:paraId="766747D5">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2"/>
          <w:highlight w:val="none"/>
          <w:lang w:val="en-US" w:eastAsia="zh-CN"/>
        </w:rPr>
      </w:pPr>
      <w:bookmarkStart w:id="112" w:name="_Toc11252"/>
      <w:r>
        <w:rPr>
          <w:rFonts w:hint="eastAsia" w:ascii="仿宋" w:hAnsi="仿宋" w:eastAsia="仿宋" w:cs="仿宋"/>
          <w:color w:val="auto"/>
          <w:sz w:val="24"/>
          <w:szCs w:val="22"/>
          <w:highlight w:val="none"/>
          <w:lang w:val="en-US" w:eastAsia="zh-CN"/>
        </w:rPr>
        <w:t>2、投标产品实际品牌、规格型号、生产厂家、质量必须与投标书内所投产品描述一致；</w:t>
      </w:r>
      <w:bookmarkEnd w:id="112"/>
    </w:p>
    <w:p w14:paraId="3BAB43F7">
      <w:pPr>
        <w:pStyle w:val="3"/>
        <w:bidi w:val="0"/>
        <w:ind w:firstLine="480" w:firstLineChars="200"/>
        <w:rPr>
          <w:rFonts w:hint="default" w:ascii="仿宋" w:hAnsi="仿宋" w:eastAsia="仿宋" w:cs="仿宋"/>
          <w:color w:val="auto"/>
          <w:sz w:val="24"/>
          <w:szCs w:val="18"/>
          <w:highlight w:val="none"/>
          <w:lang w:val="en-US" w:eastAsia="zh-CN"/>
        </w:rPr>
      </w:pPr>
      <w:r>
        <w:rPr>
          <w:rFonts w:hint="eastAsia" w:ascii="仿宋" w:hAnsi="仿宋" w:eastAsia="仿宋" w:cs="仿宋"/>
          <w:color w:val="auto"/>
          <w:sz w:val="24"/>
          <w:szCs w:val="18"/>
          <w:highlight w:val="none"/>
          <w:lang w:val="en-US" w:eastAsia="zh-CN"/>
        </w:rPr>
        <w:t>3、质保服务期2年；</w:t>
      </w:r>
    </w:p>
    <w:p w14:paraId="0534EFF2">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2"/>
          <w:highlight w:val="none"/>
          <w:lang w:val="en-US" w:eastAsia="zh-CN"/>
        </w:rPr>
      </w:pPr>
      <w:bookmarkStart w:id="113" w:name="_Toc7666"/>
      <w:r>
        <w:rPr>
          <w:rFonts w:hint="eastAsia" w:ascii="仿宋" w:hAnsi="仿宋" w:eastAsia="仿宋" w:cs="仿宋"/>
          <w:color w:val="auto"/>
          <w:sz w:val="24"/>
          <w:szCs w:val="22"/>
          <w:highlight w:val="none"/>
          <w:lang w:val="en-US" w:eastAsia="zh-CN"/>
        </w:rPr>
        <w:t>4、有足够的物资供应配送能力、较好的售后服务保障能力和支持仪器性能校准验证能力；</w:t>
      </w:r>
      <w:bookmarkEnd w:id="113"/>
    </w:p>
    <w:p w14:paraId="59699C8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2"/>
          <w:highlight w:val="none"/>
          <w:lang w:val="en-US" w:eastAsia="zh-CN"/>
        </w:rPr>
      </w:pPr>
      <w:bookmarkStart w:id="114" w:name="_Toc4648"/>
      <w:r>
        <w:rPr>
          <w:rFonts w:hint="eastAsia" w:ascii="仿宋" w:hAnsi="仿宋" w:eastAsia="仿宋" w:cs="仿宋"/>
          <w:color w:val="auto"/>
          <w:sz w:val="24"/>
          <w:szCs w:val="22"/>
          <w:highlight w:val="none"/>
          <w:lang w:val="en-US" w:eastAsia="zh-CN"/>
        </w:rPr>
        <w:t>5、商业信誉良好，在经营活动中无违法记录、无不良销售记录和不规范销售行为记录；</w:t>
      </w:r>
      <w:bookmarkEnd w:id="114"/>
    </w:p>
    <w:p w14:paraId="19B5167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2"/>
          <w:highlight w:val="none"/>
          <w:lang w:val="en-US" w:eastAsia="zh-CN"/>
        </w:rPr>
      </w:pPr>
      <w:bookmarkStart w:id="115" w:name="_Toc30628"/>
      <w:r>
        <w:rPr>
          <w:rFonts w:hint="eastAsia" w:ascii="仿宋" w:hAnsi="仿宋" w:eastAsia="仿宋" w:cs="仿宋"/>
          <w:color w:val="auto"/>
          <w:sz w:val="24"/>
          <w:szCs w:val="22"/>
          <w:highlight w:val="none"/>
          <w:lang w:val="en-US" w:eastAsia="zh-CN"/>
        </w:rPr>
        <w:t>6、具有合法的产品来源，符合法律法规规定的其它条件。</w:t>
      </w:r>
      <w:bookmarkEnd w:id="115"/>
    </w:p>
    <w:p w14:paraId="3A70FE74">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2"/>
          <w:highlight w:val="none"/>
          <w:lang w:val="en-US" w:eastAsia="zh-CN"/>
        </w:rPr>
      </w:pPr>
      <w:bookmarkStart w:id="116" w:name="_Toc24259"/>
      <w:r>
        <w:rPr>
          <w:rFonts w:hint="eastAsia" w:ascii="仿宋" w:hAnsi="仿宋" w:eastAsia="仿宋" w:cs="仿宋"/>
          <w:color w:val="auto"/>
          <w:sz w:val="24"/>
          <w:szCs w:val="22"/>
          <w:highlight w:val="none"/>
          <w:lang w:val="en-US" w:eastAsia="zh-CN"/>
        </w:rPr>
        <w:t>7、投标人必须提供企业及产品的有效资质证明文件，具备该行业国家规定必备的资质、资格，且符合参投品种的经营范围；</w:t>
      </w:r>
      <w:bookmarkEnd w:id="116"/>
    </w:p>
    <w:p w14:paraId="0D357F89">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0"/>
        <w:rPr>
          <w:rFonts w:hint="eastAsia" w:ascii="仿宋" w:hAnsi="仿宋" w:eastAsia="仿宋" w:cs="仿宋"/>
          <w:color w:val="auto"/>
          <w:sz w:val="24"/>
          <w:szCs w:val="24"/>
          <w:highlight w:val="none"/>
        </w:rPr>
      </w:pPr>
      <w:bookmarkStart w:id="117" w:name="_Toc2268"/>
      <w:r>
        <w:rPr>
          <w:rFonts w:hint="eastAsia" w:ascii="仿宋" w:hAnsi="仿宋" w:eastAsia="仿宋" w:cs="仿宋"/>
          <w:color w:val="auto"/>
          <w:sz w:val="24"/>
          <w:szCs w:val="22"/>
          <w:highlight w:val="none"/>
          <w:lang w:val="en-US" w:eastAsia="zh-CN"/>
        </w:rPr>
        <w:t>8、提供所投产品的检测报告（国家无需检测的设备可以不提供检验报告）；提供产品彩页等资料</w:t>
      </w:r>
      <w:bookmarkEnd w:id="117"/>
      <w:r>
        <w:rPr>
          <w:rFonts w:hint="eastAsia" w:ascii="仿宋" w:hAnsi="仿宋" w:eastAsia="仿宋" w:cs="仿宋"/>
          <w:color w:val="auto"/>
          <w:sz w:val="24"/>
          <w:szCs w:val="22"/>
          <w:highlight w:val="none"/>
          <w:lang w:val="en-US" w:eastAsia="zh-CN"/>
        </w:rPr>
        <w:t>。</w:t>
      </w:r>
    </w:p>
    <w:p w14:paraId="3C59F2FB">
      <w:pPr>
        <w:numPr>
          <w:ilvl w:val="0"/>
          <w:numId w:val="10"/>
        </w:numPr>
        <w:jc w:val="center"/>
        <w:outlineLvl w:val="0"/>
        <w:rPr>
          <w:rFonts w:hint="eastAsia" w:ascii="仿宋" w:hAnsi="仿宋" w:eastAsia="仿宋" w:cs="仿宋"/>
          <w:b/>
          <w:bCs/>
          <w:color w:val="auto"/>
          <w:kern w:val="2"/>
          <w:sz w:val="36"/>
          <w:szCs w:val="32"/>
          <w:highlight w:val="none"/>
          <w:lang w:val="en-US" w:eastAsia="zh-CN" w:bidi="ar-SA"/>
        </w:rPr>
      </w:pPr>
      <w:r>
        <w:rPr>
          <w:rFonts w:hint="eastAsia" w:ascii="仿宋" w:hAnsi="仿宋" w:eastAsia="仿宋" w:cs="仿宋"/>
          <w:b/>
          <w:bCs/>
          <w:color w:val="auto"/>
          <w:kern w:val="2"/>
          <w:sz w:val="36"/>
          <w:szCs w:val="32"/>
          <w:highlight w:val="none"/>
          <w:lang w:val="en-US" w:eastAsia="zh-CN" w:bidi="ar-SA"/>
        </w:rPr>
        <w:br w:type="page"/>
      </w:r>
      <w:bookmarkStart w:id="118" w:name="_Toc14757"/>
      <w:r>
        <w:rPr>
          <w:rFonts w:hint="eastAsia" w:ascii="仿宋" w:hAnsi="仿宋" w:eastAsia="仿宋" w:cs="仿宋"/>
          <w:b/>
          <w:bCs/>
          <w:color w:val="auto"/>
          <w:kern w:val="2"/>
          <w:sz w:val="36"/>
          <w:szCs w:val="32"/>
          <w:highlight w:val="none"/>
          <w:lang w:val="en-US" w:eastAsia="zh-CN" w:bidi="ar-SA"/>
        </w:rPr>
        <w:t>合同条款及格式</w:t>
      </w:r>
      <w:bookmarkEnd w:id="109"/>
      <w:bookmarkEnd w:id="118"/>
      <w:bookmarkStart w:id="119" w:name="_Toc20669"/>
    </w:p>
    <w:p w14:paraId="2B60FEDB">
      <w:pPr>
        <w:pStyle w:val="19"/>
        <w:numPr>
          <w:ilvl w:val="0"/>
          <w:numId w:val="0"/>
        </w:num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（具体以实际签订合同为主）</w:t>
      </w:r>
    </w:p>
    <w:bookmarkEnd w:id="119"/>
    <w:p w14:paraId="0A75C999">
      <w:pPr>
        <w:spacing w:line="360" w:lineRule="auto"/>
        <w:ind w:firstLine="560"/>
        <w:rPr>
          <w:rFonts w:hint="eastAsia" w:ascii="仿宋" w:hAnsi="仿宋" w:eastAsia="仿宋" w:cs="仿宋"/>
          <w:color w:val="auto"/>
          <w:sz w:val="24"/>
          <w:szCs w:val="24"/>
          <w:highlight w:val="none"/>
          <w:lang w:eastAsia="zh-CN"/>
        </w:rPr>
      </w:pPr>
      <w:bookmarkStart w:id="120" w:name="_Toc31337"/>
      <w:bookmarkStart w:id="121" w:name="_Toc179632628"/>
      <w:bookmarkStart w:id="122" w:name="_Toc246996253"/>
      <w:bookmarkStart w:id="123" w:name="_Toc152045610"/>
      <w:bookmarkStart w:id="124" w:name="_Toc247085768"/>
      <w:bookmarkStart w:id="125" w:name="_Toc246996996"/>
      <w:bookmarkStart w:id="126" w:name="_Toc144974578"/>
      <w:bookmarkStart w:id="127" w:name="_Toc152042388"/>
      <w:bookmarkStart w:id="128" w:name="_Toc296602498"/>
      <w:r>
        <w:rPr>
          <w:rFonts w:hint="eastAsia" w:ascii="仿宋" w:hAnsi="仿宋" w:eastAsia="仿宋" w:cs="仿宋"/>
          <w:color w:val="auto"/>
          <w:sz w:val="24"/>
          <w:szCs w:val="24"/>
          <w:highlight w:val="none"/>
        </w:rPr>
        <w:t>甲方（买方）：</w:t>
      </w:r>
      <w:r>
        <w:rPr>
          <w:rFonts w:hint="eastAsia" w:ascii="仿宋" w:hAnsi="仿宋" w:eastAsia="仿宋" w:cs="仿宋"/>
          <w:color w:val="auto"/>
          <w:sz w:val="24"/>
          <w:szCs w:val="24"/>
          <w:highlight w:val="none"/>
          <w:lang w:val="en-US" w:eastAsia="zh-CN"/>
        </w:rPr>
        <w:t>富蕴县卫生健康委员会</w:t>
      </w:r>
    </w:p>
    <w:p w14:paraId="517C13AB">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55CDA4D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p>
    <w:p w14:paraId="70FEABAF">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乙方（卖方）：</w:t>
      </w:r>
    </w:p>
    <w:p w14:paraId="68CCDE2C">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7F9F6F02">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电话: </w:t>
      </w:r>
    </w:p>
    <w:p w14:paraId="26B2CEE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富蕴县卫生健康委员会</w:t>
      </w:r>
      <w:r>
        <w:rPr>
          <w:rFonts w:hint="eastAsia" w:ascii="仿宋" w:hAnsi="仿宋" w:eastAsia="仿宋" w:cs="仿宋"/>
          <w:color w:val="auto"/>
          <w:sz w:val="24"/>
          <w:szCs w:val="24"/>
          <w:highlight w:val="none"/>
        </w:rPr>
        <w:t>（以下简称甲方）与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有限公司（以下简称乙方）就</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 xml:space="preserve">采购事宜，根据《中华人民共和国政府采购法》《中华人民共和国民法典》等规定，本着平等、自愿、互利、互惠的原则，经各方协商一致，订立本合同。  </w:t>
      </w:r>
    </w:p>
    <w:p w14:paraId="6662EA04">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一、合同标的</w:t>
      </w:r>
    </w:p>
    <w:p w14:paraId="480F5214">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w:t>
      </w:r>
    </w:p>
    <w:p w14:paraId="41BADFD7">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乙方按照甲方提供的采购计划在商定的时限内保质、保量、及时组织配送，合同一经签订不得随意更改，同时，所供货物的品种、规格、数量、质量、价格、保质期等方面的标准应符合本合同约定的验收标准。</w:t>
      </w:r>
    </w:p>
    <w:p w14:paraId="337D3228">
      <w:pPr>
        <w:numPr>
          <w:ilvl w:val="0"/>
          <w:numId w:val="0"/>
        </w:numPr>
        <w:spacing w:line="360" w:lineRule="auto"/>
        <w:ind w:firstLine="560" w:firstLineChars="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货物的名称、生产厂家、品牌、规格型号及价格详见附表：</w:t>
      </w:r>
    </w:p>
    <w:tbl>
      <w:tblPr>
        <w:tblStyle w:val="20"/>
        <w:tblW w:w="9739" w:type="dxa"/>
        <w:tblInd w:w="108" w:type="dxa"/>
        <w:tblLayout w:type="fixed"/>
        <w:tblCellMar>
          <w:top w:w="0" w:type="dxa"/>
          <w:left w:w="108" w:type="dxa"/>
          <w:bottom w:w="0" w:type="dxa"/>
          <w:right w:w="108" w:type="dxa"/>
        </w:tblCellMar>
      </w:tblPr>
      <w:tblGrid>
        <w:gridCol w:w="950"/>
        <w:gridCol w:w="1129"/>
        <w:gridCol w:w="1603"/>
        <w:gridCol w:w="1247"/>
        <w:gridCol w:w="1247"/>
        <w:gridCol w:w="1056"/>
        <w:gridCol w:w="1535"/>
        <w:gridCol w:w="972"/>
      </w:tblGrid>
      <w:tr w14:paraId="42A0723A">
        <w:tblPrEx>
          <w:tblCellMar>
            <w:top w:w="0" w:type="dxa"/>
            <w:left w:w="108" w:type="dxa"/>
            <w:bottom w:w="0" w:type="dxa"/>
            <w:right w:w="108" w:type="dxa"/>
          </w:tblCellMar>
        </w:tblPrEx>
        <w:trPr>
          <w:trHeight w:val="720" w:hRule="atLeast"/>
        </w:trPr>
        <w:tc>
          <w:tcPr>
            <w:tcW w:w="9739" w:type="dxa"/>
            <w:gridSpan w:val="8"/>
            <w:tcBorders>
              <w:top w:val="single" w:color="auto" w:sz="4" w:space="0"/>
              <w:left w:val="single" w:color="auto" w:sz="4" w:space="0"/>
              <w:bottom w:val="single" w:color="auto" w:sz="4" w:space="0"/>
              <w:right w:val="single" w:color="auto" w:sz="4" w:space="0"/>
            </w:tcBorders>
            <w:noWrap w:val="0"/>
            <w:vAlign w:val="center"/>
          </w:tcPr>
          <w:p w14:paraId="4911C7FB">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中标明细</w:t>
            </w:r>
          </w:p>
        </w:tc>
      </w:tr>
      <w:tr w14:paraId="3E36F4F5">
        <w:tblPrEx>
          <w:tblCellMar>
            <w:top w:w="0" w:type="dxa"/>
            <w:left w:w="108" w:type="dxa"/>
            <w:bottom w:w="0" w:type="dxa"/>
            <w:right w:w="108" w:type="dxa"/>
          </w:tblCellMar>
        </w:tblPrEx>
        <w:trPr>
          <w:trHeight w:val="540" w:hRule="atLeast"/>
        </w:trPr>
        <w:tc>
          <w:tcPr>
            <w:tcW w:w="950" w:type="dxa"/>
            <w:tcBorders>
              <w:top w:val="nil"/>
              <w:left w:val="single" w:color="auto" w:sz="4" w:space="0"/>
              <w:bottom w:val="single" w:color="auto" w:sz="4" w:space="0"/>
              <w:right w:val="single" w:color="auto" w:sz="4" w:space="0"/>
            </w:tcBorders>
            <w:noWrap w:val="0"/>
            <w:vAlign w:val="center"/>
          </w:tcPr>
          <w:p w14:paraId="37CCFA1B">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129" w:type="dxa"/>
            <w:tcBorders>
              <w:top w:val="nil"/>
              <w:left w:val="nil"/>
              <w:bottom w:val="single" w:color="auto" w:sz="4" w:space="0"/>
              <w:right w:val="single" w:color="auto" w:sz="4" w:space="0"/>
            </w:tcBorders>
            <w:noWrap w:val="0"/>
            <w:vAlign w:val="center"/>
          </w:tcPr>
          <w:p w14:paraId="6338FE37">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产品名称</w:t>
            </w:r>
          </w:p>
        </w:tc>
        <w:tc>
          <w:tcPr>
            <w:tcW w:w="1603" w:type="dxa"/>
            <w:tcBorders>
              <w:top w:val="nil"/>
              <w:left w:val="nil"/>
              <w:bottom w:val="single" w:color="auto" w:sz="4" w:space="0"/>
              <w:right w:val="single" w:color="auto" w:sz="4" w:space="0"/>
            </w:tcBorders>
            <w:noWrap w:val="0"/>
            <w:vAlign w:val="center"/>
          </w:tcPr>
          <w:p w14:paraId="733B33A3">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生产厂家/品牌</w:t>
            </w:r>
          </w:p>
        </w:tc>
        <w:tc>
          <w:tcPr>
            <w:tcW w:w="1247" w:type="dxa"/>
            <w:tcBorders>
              <w:top w:val="nil"/>
              <w:left w:val="nil"/>
              <w:bottom w:val="single" w:color="auto" w:sz="4" w:space="0"/>
              <w:right w:val="single" w:color="auto" w:sz="4" w:space="0"/>
            </w:tcBorders>
            <w:noWrap w:val="0"/>
            <w:vAlign w:val="center"/>
          </w:tcPr>
          <w:p w14:paraId="2258862D">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注册证号</w:t>
            </w:r>
          </w:p>
        </w:tc>
        <w:tc>
          <w:tcPr>
            <w:tcW w:w="1247" w:type="dxa"/>
            <w:tcBorders>
              <w:top w:val="nil"/>
              <w:left w:val="nil"/>
              <w:bottom w:val="single" w:color="auto" w:sz="4" w:space="0"/>
              <w:right w:val="single" w:color="auto" w:sz="4" w:space="0"/>
            </w:tcBorders>
            <w:noWrap w:val="0"/>
            <w:vAlign w:val="center"/>
          </w:tcPr>
          <w:p w14:paraId="5895AF5E">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规格型号</w:t>
            </w:r>
          </w:p>
        </w:tc>
        <w:tc>
          <w:tcPr>
            <w:tcW w:w="1056" w:type="dxa"/>
            <w:tcBorders>
              <w:top w:val="nil"/>
              <w:left w:val="nil"/>
              <w:bottom w:val="single" w:color="auto" w:sz="4" w:space="0"/>
              <w:right w:val="single" w:color="auto" w:sz="4" w:space="0"/>
            </w:tcBorders>
            <w:noWrap w:val="0"/>
            <w:vAlign w:val="center"/>
          </w:tcPr>
          <w:p w14:paraId="6D68B0DC">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单位</w:t>
            </w:r>
          </w:p>
        </w:tc>
        <w:tc>
          <w:tcPr>
            <w:tcW w:w="1535" w:type="dxa"/>
            <w:tcBorders>
              <w:top w:val="nil"/>
              <w:left w:val="nil"/>
              <w:bottom w:val="single" w:color="auto" w:sz="4" w:space="0"/>
              <w:right w:val="single" w:color="auto" w:sz="4" w:space="0"/>
            </w:tcBorders>
            <w:noWrap w:val="0"/>
            <w:vAlign w:val="center"/>
          </w:tcPr>
          <w:p w14:paraId="3FFF5EB1">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固定单价（元）</w:t>
            </w:r>
          </w:p>
        </w:tc>
        <w:tc>
          <w:tcPr>
            <w:tcW w:w="972" w:type="dxa"/>
            <w:tcBorders>
              <w:top w:val="nil"/>
              <w:left w:val="nil"/>
              <w:bottom w:val="single" w:color="auto" w:sz="4" w:space="0"/>
              <w:right w:val="single" w:color="auto" w:sz="4" w:space="0"/>
            </w:tcBorders>
            <w:noWrap w:val="0"/>
            <w:vAlign w:val="center"/>
          </w:tcPr>
          <w:p w14:paraId="444F21FA">
            <w:pPr>
              <w:spacing w:line="360" w:lineRule="auto"/>
              <w:ind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tc>
      </w:tr>
      <w:tr w14:paraId="06E43A0E">
        <w:tblPrEx>
          <w:tblCellMar>
            <w:top w:w="0" w:type="dxa"/>
            <w:left w:w="108" w:type="dxa"/>
            <w:bottom w:w="0" w:type="dxa"/>
            <w:right w:w="108" w:type="dxa"/>
          </w:tblCellMar>
        </w:tblPrEx>
        <w:trPr>
          <w:trHeight w:val="592" w:hRule="atLeast"/>
        </w:trPr>
        <w:tc>
          <w:tcPr>
            <w:tcW w:w="950" w:type="dxa"/>
            <w:tcBorders>
              <w:top w:val="nil"/>
              <w:left w:val="single" w:color="auto" w:sz="4" w:space="0"/>
              <w:bottom w:val="single" w:color="auto" w:sz="4" w:space="0"/>
              <w:right w:val="single" w:color="auto" w:sz="4" w:space="0"/>
            </w:tcBorders>
            <w:noWrap w:val="0"/>
            <w:vAlign w:val="center"/>
          </w:tcPr>
          <w:p w14:paraId="0136F8D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129" w:type="dxa"/>
            <w:tcBorders>
              <w:top w:val="nil"/>
              <w:left w:val="nil"/>
              <w:bottom w:val="single" w:color="auto" w:sz="4" w:space="0"/>
              <w:right w:val="single" w:color="auto" w:sz="4" w:space="0"/>
            </w:tcBorders>
            <w:noWrap w:val="0"/>
            <w:vAlign w:val="center"/>
          </w:tcPr>
          <w:p w14:paraId="7DC33ABB">
            <w:pPr>
              <w:spacing w:line="360" w:lineRule="auto"/>
              <w:ind w:firstLine="420"/>
              <w:rPr>
                <w:rFonts w:hint="eastAsia" w:ascii="仿宋" w:hAnsi="仿宋" w:eastAsia="仿宋" w:cs="仿宋"/>
                <w:color w:val="auto"/>
                <w:sz w:val="24"/>
                <w:szCs w:val="24"/>
                <w:highlight w:val="none"/>
              </w:rPr>
            </w:pPr>
          </w:p>
        </w:tc>
        <w:tc>
          <w:tcPr>
            <w:tcW w:w="1603" w:type="dxa"/>
            <w:tcBorders>
              <w:top w:val="nil"/>
              <w:left w:val="nil"/>
              <w:bottom w:val="single" w:color="auto" w:sz="4" w:space="0"/>
              <w:right w:val="single" w:color="auto" w:sz="4" w:space="0"/>
            </w:tcBorders>
            <w:noWrap w:val="0"/>
            <w:vAlign w:val="center"/>
          </w:tcPr>
          <w:p w14:paraId="57C72A53">
            <w:pPr>
              <w:spacing w:line="360" w:lineRule="auto"/>
              <w:ind w:firstLine="420"/>
              <w:rPr>
                <w:rFonts w:hint="eastAsia" w:ascii="仿宋" w:hAnsi="仿宋" w:eastAsia="仿宋" w:cs="仿宋"/>
                <w:color w:val="auto"/>
                <w:sz w:val="24"/>
                <w:szCs w:val="24"/>
                <w:highlight w:val="none"/>
              </w:rPr>
            </w:pPr>
          </w:p>
        </w:tc>
        <w:tc>
          <w:tcPr>
            <w:tcW w:w="1247" w:type="dxa"/>
            <w:tcBorders>
              <w:top w:val="nil"/>
              <w:left w:val="nil"/>
              <w:bottom w:val="single" w:color="auto" w:sz="4" w:space="0"/>
              <w:right w:val="single" w:color="auto" w:sz="4" w:space="0"/>
            </w:tcBorders>
            <w:noWrap w:val="0"/>
            <w:vAlign w:val="center"/>
          </w:tcPr>
          <w:p w14:paraId="4416FEAA">
            <w:pPr>
              <w:spacing w:line="360" w:lineRule="auto"/>
              <w:ind w:firstLine="420"/>
              <w:rPr>
                <w:rFonts w:hint="eastAsia" w:ascii="仿宋" w:hAnsi="仿宋" w:eastAsia="仿宋" w:cs="仿宋"/>
                <w:color w:val="auto"/>
                <w:sz w:val="24"/>
                <w:szCs w:val="24"/>
                <w:highlight w:val="none"/>
              </w:rPr>
            </w:pPr>
          </w:p>
        </w:tc>
        <w:tc>
          <w:tcPr>
            <w:tcW w:w="1247" w:type="dxa"/>
            <w:tcBorders>
              <w:top w:val="nil"/>
              <w:left w:val="nil"/>
              <w:bottom w:val="single" w:color="auto" w:sz="4" w:space="0"/>
              <w:right w:val="single" w:color="auto" w:sz="4" w:space="0"/>
            </w:tcBorders>
            <w:noWrap w:val="0"/>
            <w:vAlign w:val="center"/>
          </w:tcPr>
          <w:p w14:paraId="7B76AF35">
            <w:pPr>
              <w:spacing w:line="360" w:lineRule="auto"/>
              <w:ind w:firstLine="420"/>
              <w:rPr>
                <w:rFonts w:hint="eastAsia" w:ascii="仿宋" w:hAnsi="仿宋" w:eastAsia="仿宋" w:cs="仿宋"/>
                <w:color w:val="auto"/>
                <w:sz w:val="24"/>
                <w:szCs w:val="24"/>
                <w:highlight w:val="none"/>
              </w:rPr>
            </w:pPr>
          </w:p>
        </w:tc>
        <w:tc>
          <w:tcPr>
            <w:tcW w:w="1056" w:type="dxa"/>
            <w:tcBorders>
              <w:top w:val="nil"/>
              <w:left w:val="nil"/>
              <w:bottom w:val="single" w:color="auto" w:sz="4" w:space="0"/>
              <w:right w:val="single" w:color="auto" w:sz="4" w:space="0"/>
            </w:tcBorders>
            <w:noWrap w:val="0"/>
            <w:vAlign w:val="center"/>
          </w:tcPr>
          <w:p w14:paraId="440087F4">
            <w:pPr>
              <w:spacing w:line="360" w:lineRule="auto"/>
              <w:ind w:firstLine="420"/>
              <w:rPr>
                <w:rFonts w:hint="eastAsia" w:ascii="仿宋" w:hAnsi="仿宋" w:eastAsia="仿宋" w:cs="仿宋"/>
                <w:color w:val="auto"/>
                <w:sz w:val="24"/>
                <w:szCs w:val="24"/>
                <w:highlight w:val="none"/>
              </w:rPr>
            </w:pPr>
          </w:p>
        </w:tc>
        <w:tc>
          <w:tcPr>
            <w:tcW w:w="1535" w:type="dxa"/>
            <w:tcBorders>
              <w:top w:val="nil"/>
              <w:left w:val="nil"/>
              <w:bottom w:val="single" w:color="auto" w:sz="4" w:space="0"/>
              <w:right w:val="single" w:color="auto" w:sz="4" w:space="0"/>
            </w:tcBorders>
            <w:noWrap w:val="0"/>
            <w:vAlign w:val="center"/>
          </w:tcPr>
          <w:p w14:paraId="29721722">
            <w:pPr>
              <w:spacing w:line="360" w:lineRule="auto"/>
              <w:ind w:firstLine="560"/>
              <w:rPr>
                <w:rFonts w:hint="eastAsia" w:ascii="仿宋" w:hAnsi="仿宋" w:eastAsia="仿宋" w:cs="仿宋"/>
                <w:color w:val="auto"/>
                <w:sz w:val="24"/>
                <w:szCs w:val="24"/>
                <w:highlight w:val="none"/>
              </w:rPr>
            </w:pPr>
          </w:p>
        </w:tc>
        <w:tc>
          <w:tcPr>
            <w:tcW w:w="972" w:type="dxa"/>
            <w:tcBorders>
              <w:top w:val="nil"/>
              <w:left w:val="nil"/>
              <w:bottom w:val="single" w:color="auto" w:sz="4" w:space="0"/>
              <w:right w:val="single" w:color="auto" w:sz="4" w:space="0"/>
            </w:tcBorders>
            <w:noWrap w:val="0"/>
            <w:vAlign w:val="top"/>
          </w:tcPr>
          <w:p w14:paraId="1EF07FCA">
            <w:pPr>
              <w:spacing w:line="360" w:lineRule="auto"/>
              <w:ind w:firstLine="560"/>
              <w:rPr>
                <w:rFonts w:hint="eastAsia" w:ascii="仿宋" w:hAnsi="仿宋" w:eastAsia="仿宋" w:cs="仿宋"/>
                <w:color w:val="auto"/>
                <w:sz w:val="24"/>
                <w:szCs w:val="24"/>
                <w:highlight w:val="none"/>
              </w:rPr>
            </w:pPr>
          </w:p>
        </w:tc>
      </w:tr>
      <w:tr w14:paraId="1500EE3D">
        <w:tblPrEx>
          <w:tblCellMar>
            <w:top w:w="0" w:type="dxa"/>
            <w:left w:w="108" w:type="dxa"/>
            <w:bottom w:w="0" w:type="dxa"/>
            <w:right w:w="108" w:type="dxa"/>
          </w:tblCellMar>
        </w:tblPrEx>
        <w:trPr>
          <w:trHeight w:val="540" w:hRule="atLeast"/>
        </w:trPr>
        <w:tc>
          <w:tcPr>
            <w:tcW w:w="950" w:type="dxa"/>
            <w:tcBorders>
              <w:top w:val="nil"/>
              <w:left w:val="single" w:color="auto" w:sz="4" w:space="0"/>
              <w:bottom w:val="single" w:color="auto" w:sz="4" w:space="0"/>
              <w:right w:val="single" w:color="auto" w:sz="4" w:space="0"/>
            </w:tcBorders>
            <w:noWrap w:val="0"/>
            <w:vAlign w:val="center"/>
          </w:tcPr>
          <w:p w14:paraId="0958BC2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129" w:type="dxa"/>
            <w:tcBorders>
              <w:top w:val="nil"/>
              <w:left w:val="nil"/>
              <w:bottom w:val="single" w:color="auto" w:sz="4" w:space="0"/>
              <w:right w:val="single" w:color="auto" w:sz="4" w:space="0"/>
            </w:tcBorders>
            <w:noWrap w:val="0"/>
            <w:vAlign w:val="center"/>
          </w:tcPr>
          <w:p w14:paraId="521B14EB">
            <w:pPr>
              <w:spacing w:line="360" w:lineRule="auto"/>
              <w:ind w:firstLine="420"/>
              <w:rPr>
                <w:rFonts w:hint="eastAsia" w:ascii="仿宋" w:hAnsi="仿宋" w:eastAsia="仿宋" w:cs="仿宋"/>
                <w:color w:val="auto"/>
                <w:sz w:val="24"/>
                <w:szCs w:val="24"/>
                <w:highlight w:val="none"/>
              </w:rPr>
            </w:pPr>
          </w:p>
        </w:tc>
        <w:tc>
          <w:tcPr>
            <w:tcW w:w="1603" w:type="dxa"/>
            <w:tcBorders>
              <w:top w:val="nil"/>
              <w:left w:val="nil"/>
              <w:bottom w:val="single" w:color="auto" w:sz="4" w:space="0"/>
              <w:right w:val="single" w:color="auto" w:sz="4" w:space="0"/>
            </w:tcBorders>
            <w:noWrap w:val="0"/>
            <w:vAlign w:val="center"/>
          </w:tcPr>
          <w:p w14:paraId="1A847282">
            <w:pPr>
              <w:spacing w:line="360" w:lineRule="auto"/>
              <w:ind w:firstLine="420"/>
              <w:rPr>
                <w:rFonts w:hint="eastAsia" w:ascii="仿宋" w:hAnsi="仿宋" w:eastAsia="仿宋" w:cs="仿宋"/>
                <w:color w:val="auto"/>
                <w:sz w:val="24"/>
                <w:szCs w:val="24"/>
                <w:highlight w:val="none"/>
              </w:rPr>
            </w:pPr>
          </w:p>
        </w:tc>
        <w:tc>
          <w:tcPr>
            <w:tcW w:w="1247" w:type="dxa"/>
            <w:tcBorders>
              <w:top w:val="nil"/>
              <w:left w:val="nil"/>
              <w:bottom w:val="single" w:color="auto" w:sz="4" w:space="0"/>
              <w:right w:val="single" w:color="auto" w:sz="4" w:space="0"/>
            </w:tcBorders>
            <w:noWrap w:val="0"/>
            <w:vAlign w:val="center"/>
          </w:tcPr>
          <w:p w14:paraId="5E558B18">
            <w:pPr>
              <w:spacing w:line="360" w:lineRule="auto"/>
              <w:ind w:firstLine="420"/>
              <w:rPr>
                <w:rFonts w:hint="eastAsia" w:ascii="仿宋" w:hAnsi="仿宋" w:eastAsia="仿宋" w:cs="仿宋"/>
                <w:color w:val="auto"/>
                <w:sz w:val="24"/>
                <w:szCs w:val="24"/>
                <w:highlight w:val="none"/>
              </w:rPr>
            </w:pPr>
          </w:p>
        </w:tc>
        <w:tc>
          <w:tcPr>
            <w:tcW w:w="1247" w:type="dxa"/>
            <w:tcBorders>
              <w:top w:val="nil"/>
              <w:left w:val="nil"/>
              <w:bottom w:val="single" w:color="auto" w:sz="4" w:space="0"/>
              <w:right w:val="single" w:color="auto" w:sz="4" w:space="0"/>
            </w:tcBorders>
            <w:noWrap w:val="0"/>
            <w:vAlign w:val="center"/>
          </w:tcPr>
          <w:p w14:paraId="38DCAB59">
            <w:pPr>
              <w:spacing w:line="360" w:lineRule="auto"/>
              <w:ind w:firstLine="420"/>
              <w:rPr>
                <w:rFonts w:hint="eastAsia" w:ascii="仿宋" w:hAnsi="仿宋" w:eastAsia="仿宋" w:cs="仿宋"/>
                <w:color w:val="auto"/>
                <w:sz w:val="24"/>
                <w:szCs w:val="24"/>
                <w:highlight w:val="none"/>
              </w:rPr>
            </w:pPr>
          </w:p>
        </w:tc>
        <w:tc>
          <w:tcPr>
            <w:tcW w:w="1056" w:type="dxa"/>
            <w:tcBorders>
              <w:top w:val="nil"/>
              <w:left w:val="nil"/>
              <w:bottom w:val="single" w:color="auto" w:sz="4" w:space="0"/>
              <w:right w:val="single" w:color="auto" w:sz="4" w:space="0"/>
            </w:tcBorders>
            <w:noWrap w:val="0"/>
            <w:vAlign w:val="center"/>
          </w:tcPr>
          <w:p w14:paraId="4DA5EBC4">
            <w:pPr>
              <w:spacing w:line="360" w:lineRule="auto"/>
              <w:ind w:firstLine="420"/>
              <w:rPr>
                <w:rFonts w:hint="eastAsia" w:ascii="仿宋" w:hAnsi="仿宋" w:eastAsia="仿宋" w:cs="仿宋"/>
                <w:color w:val="auto"/>
                <w:sz w:val="24"/>
                <w:szCs w:val="24"/>
                <w:highlight w:val="none"/>
              </w:rPr>
            </w:pPr>
          </w:p>
        </w:tc>
        <w:tc>
          <w:tcPr>
            <w:tcW w:w="1535" w:type="dxa"/>
            <w:tcBorders>
              <w:top w:val="nil"/>
              <w:left w:val="nil"/>
              <w:bottom w:val="single" w:color="auto" w:sz="4" w:space="0"/>
              <w:right w:val="single" w:color="auto" w:sz="4" w:space="0"/>
            </w:tcBorders>
            <w:noWrap w:val="0"/>
            <w:vAlign w:val="center"/>
          </w:tcPr>
          <w:p w14:paraId="2AFB49EE">
            <w:pPr>
              <w:spacing w:line="360" w:lineRule="auto"/>
              <w:ind w:firstLine="560"/>
              <w:rPr>
                <w:rFonts w:hint="eastAsia" w:ascii="仿宋" w:hAnsi="仿宋" w:eastAsia="仿宋" w:cs="仿宋"/>
                <w:color w:val="auto"/>
                <w:sz w:val="24"/>
                <w:szCs w:val="24"/>
                <w:highlight w:val="none"/>
              </w:rPr>
            </w:pPr>
          </w:p>
        </w:tc>
        <w:tc>
          <w:tcPr>
            <w:tcW w:w="972" w:type="dxa"/>
            <w:tcBorders>
              <w:top w:val="nil"/>
              <w:left w:val="nil"/>
              <w:bottom w:val="single" w:color="auto" w:sz="4" w:space="0"/>
              <w:right w:val="single" w:color="auto" w:sz="4" w:space="0"/>
            </w:tcBorders>
            <w:noWrap w:val="0"/>
            <w:vAlign w:val="top"/>
          </w:tcPr>
          <w:p w14:paraId="6CD53A76">
            <w:pPr>
              <w:spacing w:line="360" w:lineRule="auto"/>
              <w:ind w:firstLine="560"/>
              <w:rPr>
                <w:rFonts w:hint="eastAsia" w:ascii="仿宋" w:hAnsi="仿宋" w:eastAsia="仿宋" w:cs="仿宋"/>
                <w:color w:val="auto"/>
                <w:sz w:val="24"/>
                <w:szCs w:val="24"/>
                <w:highlight w:val="none"/>
              </w:rPr>
            </w:pPr>
          </w:p>
        </w:tc>
      </w:tr>
      <w:tr w14:paraId="6B51F9D6">
        <w:tblPrEx>
          <w:tblCellMar>
            <w:top w:w="0" w:type="dxa"/>
            <w:left w:w="108" w:type="dxa"/>
            <w:bottom w:w="0" w:type="dxa"/>
            <w:right w:w="108" w:type="dxa"/>
          </w:tblCellMar>
        </w:tblPrEx>
        <w:trPr>
          <w:trHeight w:val="540" w:hRule="atLeast"/>
        </w:trPr>
        <w:tc>
          <w:tcPr>
            <w:tcW w:w="950" w:type="dxa"/>
            <w:tcBorders>
              <w:top w:val="single" w:color="auto" w:sz="4" w:space="0"/>
              <w:left w:val="single" w:color="auto" w:sz="4" w:space="0"/>
              <w:bottom w:val="single" w:color="auto" w:sz="4" w:space="0"/>
              <w:right w:val="single" w:color="auto" w:sz="4" w:space="0"/>
            </w:tcBorders>
            <w:noWrap w:val="0"/>
            <w:vAlign w:val="center"/>
          </w:tcPr>
          <w:p w14:paraId="6C9100D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129" w:type="dxa"/>
            <w:tcBorders>
              <w:top w:val="single" w:color="auto" w:sz="4" w:space="0"/>
              <w:left w:val="nil"/>
              <w:bottom w:val="single" w:color="auto" w:sz="4" w:space="0"/>
              <w:right w:val="single" w:color="auto" w:sz="4" w:space="0"/>
            </w:tcBorders>
            <w:noWrap w:val="0"/>
            <w:vAlign w:val="center"/>
          </w:tcPr>
          <w:p w14:paraId="57C86954">
            <w:pPr>
              <w:spacing w:line="360" w:lineRule="auto"/>
              <w:ind w:firstLine="420"/>
              <w:rPr>
                <w:rFonts w:hint="eastAsia" w:ascii="仿宋" w:hAnsi="仿宋" w:eastAsia="仿宋" w:cs="仿宋"/>
                <w:color w:val="auto"/>
                <w:sz w:val="24"/>
                <w:szCs w:val="24"/>
                <w:highlight w:val="none"/>
              </w:rPr>
            </w:pPr>
          </w:p>
        </w:tc>
        <w:tc>
          <w:tcPr>
            <w:tcW w:w="1603" w:type="dxa"/>
            <w:tcBorders>
              <w:top w:val="single" w:color="auto" w:sz="4" w:space="0"/>
              <w:left w:val="nil"/>
              <w:bottom w:val="single" w:color="auto" w:sz="4" w:space="0"/>
              <w:right w:val="single" w:color="auto" w:sz="4" w:space="0"/>
            </w:tcBorders>
            <w:noWrap w:val="0"/>
            <w:vAlign w:val="center"/>
          </w:tcPr>
          <w:p w14:paraId="76D3D7F6">
            <w:pPr>
              <w:spacing w:line="360" w:lineRule="auto"/>
              <w:ind w:firstLine="420"/>
              <w:rPr>
                <w:rFonts w:hint="eastAsia" w:ascii="仿宋" w:hAnsi="仿宋" w:eastAsia="仿宋" w:cs="仿宋"/>
                <w:color w:val="auto"/>
                <w:sz w:val="24"/>
                <w:szCs w:val="24"/>
                <w:highlight w:val="none"/>
              </w:rPr>
            </w:pPr>
          </w:p>
        </w:tc>
        <w:tc>
          <w:tcPr>
            <w:tcW w:w="1247" w:type="dxa"/>
            <w:tcBorders>
              <w:top w:val="single" w:color="auto" w:sz="4" w:space="0"/>
              <w:left w:val="nil"/>
              <w:bottom w:val="single" w:color="auto" w:sz="4" w:space="0"/>
              <w:right w:val="single" w:color="auto" w:sz="4" w:space="0"/>
            </w:tcBorders>
            <w:noWrap w:val="0"/>
            <w:vAlign w:val="center"/>
          </w:tcPr>
          <w:p w14:paraId="16477BD6">
            <w:pPr>
              <w:spacing w:line="360" w:lineRule="auto"/>
              <w:ind w:firstLine="420"/>
              <w:rPr>
                <w:rFonts w:hint="eastAsia" w:ascii="仿宋" w:hAnsi="仿宋" w:eastAsia="仿宋" w:cs="仿宋"/>
                <w:color w:val="auto"/>
                <w:sz w:val="24"/>
                <w:szCs w:val="24"/>
                <w:highlight w:val="none"/>
              </w:rPr>
            </w:pPr>
          </w:p>
        </w:tc>
        <w:tc>
          <w:tcPr>
            <w:tcW w:w="1247" w:type="dxa"/>
            <w:tcBorders>
              <w:top w:val="single" w:color="auto" w:sz="4" w:space="0"/>
              <w:left w:val="nil"/>
              <w:bottom w:val="single" w:color="auto" w:sz="4" w:space="0"/>
              <w:right w:val="single" w:color="auto" w:sz="4" w:space="0"/>
            </w:tcBorders>
            <w:noWrap w:val="0"/>
            <w:vAlign w:val="center"/>
          </w:tcPr>
          <w:p w14:paraId="5020F41A">
            <w:pPr>
              <w:spacing w:line="360" w:lineRule="auto"/>
              <w:ind w:firstLine="420"/>
              <w:rPr>
                <w:rFonts w:hint="eastAsia" w:ascii="仿宋" w:hAnsi="仿宋" w:eastAsia="仿宋" w:cs="仿宋"/>
                <w:color w:val="auto"/>
                <w:sz w:val="24"/>
                <w:szCs w:val="24"/>
                <w:highlight w:val="none"/>
              </w:rPr>
            </w:pPr>
          </w:p>
        </w:tc>
        <w:tc>
          <w:tcPr>
            <w:tcW w:w="1056" w:type="dxa"/>
            <w:tcBorders>
              <w:top w:val="single" w:color="auto" w:sz="4" w:space="0"/>
              <w:left w:val="nil"/>
              <w:bottom w:val="single" w:color="auto" w:sz="4" w:space="0"/>
              <w:right w:val="single" w:color="auto" w:sz="4" w:space="0"/>
            </w:tcBorders>
            <w:noWrap w:val="0"/>
            <w:vAlign w:val="center"/>
          </w:tcPr>
          <w:p w14:paraId="5A8670CE">
            <w:pPr>
              <w:spacing w:line="360" w:lineRule="auto"/>
              <w:ind w:firstLine="420"/>
              <w:rPr>
                <w:rFonts w:hint="eastAsia" w:ascii="仿宋" w:hAnsi="仿宋" w:eastAsia="仿宋" w:cs="仿宋"/>
                <w:color w:val="auto"/>
                <w:sz w:val="24"/>
                <w:szCs w:val="24"/>
                <w:highlight w:val="none"/>
              </w:rPr>
            </w:pPr>
          </w:p>
        </w:tc>
        <w:tc>
          <w:tcPr>
            <w:tcW w:w="1535" w:type="dxa"/>
            <w:tcBorders>
              <w:top w:val="single" w:color="auto" w:sz="4" w:space="0"/>
              <w:left w:val="nil"/>
              <w:bottom w:val="single" w:color="auto" w:sz="4" w:space="0"/>
              <w:right w:val="single" w:color="auto" w:sz="4" w:space="0"/>
            </w:tcBorders>
            <w:noWrap w:val="0"/>
            <w:vAlign w:val="center"/>
          </w:tcPr>
          <w:p w14:paraId="75E4A17E">
            <w:pPr>
              <w:spacing w:line="360" w:lineRule="auto"/>
              <w:ind w:firstLine="560"/>
              <w:rPr>
                <w:rFonts w:hint="eastAsia" w:ascii="仿宋" w:hAnsi="仿宋" w:eastAsia="仿宋" w:cs="仿宋"/>
                <w:color w:val="auto"/>
                <w:sz w:val="24"/>
                <w:szCs w:val="24"/>
                <w:highlight w:val="none"/>
              </w:rPr>
            </w:pPr>
          </w:p>
        </w:tc>
        <w:tc>
          <w:tcPr>
            <w:tcW w:w="972" w:type="dxa"/>
            <w:tcBorders>
              <w:top w:val="single" w:color="auto" w:sz="4" w:space="0"/>
              <w:left w:val="nil"/>
              <w:bottom w:val="single" w:color="auto" w:sz="4" w:space="0"/>
              <w:right w:val="single" w:color="auto" w:sz="4" w:space="0"/>
            </w:tcBorders>
            <w:noWrap w:val="0"/>
            <w:vAlign w:val="center"/>
          </w:tcPr>
          <w:p w14:paraId="41BC6F5A">
            <w:pPr>
              <w:spacing w:line="360" w:lineRule="auto"/>
              <w:ind w:firstLine="560"/>
              <w:rPr>
                <w:rFonts w:hint="eastAsia" w:ascii="仿宋" w:hAnsi="仿宋" w:eastAsia="仿宋" w:cs="仿宋"/>
                <w:color w:val="auto"/>
                <w:sz w:val="24"/>
                <w:szCs w:val="24"/>
                <w:highlight w:val="none"/>
              </w:rPr>
            </w:pPr>
          </w:p>
        </w:tc>
      </w:tr>
      <w:tr w14:paraId="46BE9733">
        <w:tblPrEx>
          <w:tblCellMar>
            <w:top w:w="0" w:type="dxa"/>
            <w:left w:w="108" w:type="dxa"/>
            <w:bottom w:w="0" w:type="dxa"/>
            <w:right w:w="108" w:type="dxa"/>
          </w:tblCellMar>
        </w:tblPrEx>
        <w:trPr>
          <w:trHeight w:val="540" w:hRule="atLeast"/>
        </w:trPr>
        <w:tc>
          <w:tcPr>
            <w:tcW w:w="950" w:type="dxa"/>
            <w:tcBorders>
              <w:top w:val="single" w:color="auto" w:sz="4" w:space="0"/>
              <w:left w:val="single" w:color="auto" w:sz="4" w:space="0"/>
              <w:bottom w:val="nil"/>
              <w:right w:val="single" w:color="auto" w:sz="4" w:space="0"/>
            </w:tcBorders>
            <w:noWrap w:val="0"/>
            <w:vAlign w:val="center"/>
          </w:tcPr>
          <w:p w14:paraId="1119ABA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129" w:type="dxa"/>
            <w:tcBorders>
              <w:top w:val="single" w:color="auto" w:sz="4" w:space="0"/>
              <w:left w:val="nil"/>
              <w:bottom w:val="nil"/>
              <w:right w:val="single" w:color="auto" w:sz="4" w:space="0"/>
            </w:tcBorders>
            <w:noWrap w:val="0"/>
            <w:vAlign w:val="center"/>
          </w:tcPr>
          <w:p w14:paraId="6FE0AE6B">
            <w:pPr>
              <w:spacing w:line="360" w:lineRule="auto"/>
              <w:ind w:firstLine="420"/>
              <w:rPr>
                <w:rFonts w:hint="eastAsia" w:ascii="仿宋" w:hAnsi="仿宋" w:eastAsia="仿宋" w:cs="仿宋"/>
                <w:color w:val="auto"/>
                <w:sz w:val="24"/>
                <w:szCs w:val="24"/>
                <w:highlight w:val="none"/>
              </w:rPr>
            </w:pPr>
          </w:p>
        </w:tc>
        <w:tc>
          <w:tcPr>
            <w:tcW w:w="1603" w:type="dxa"/>
            <w:tcBorders>
              <w:top w:val="single" w:color="auto" w:sz="4" w:space="0"/>
              <w:left w:val="nil"/>
              <w:bottom w:val="nil"/>
              <w:right w:val="single" w:color="auto" w:sz="4" w:space="0"/>
            </w:tcBorders>
            <w:noWrap w:val="0"/>
            <w:vAlign w:val="center"/>
          </w:tcPr>
          <w:p w14:paraId="072E2EEB">
            <w:pPr>
              <w:spacing w:line="360" w:lineRule="auto"/>
              <w:ind w:firstLine="420"/>
              <w:rPr>
                <w:rFonts w:hint="eastAsia" w:ascii="仿宋" w:hAnsi="仿宋" w:eastAsia="仿宋" w:cs="仿宋"/>
                <w:color w:val="auto"/>
                <w:sz w:val="24"/>
                <w:szCs w:val="24"/>
                <w:highlight w:val="none"/>
              </w:rPr>
            </w:pPr>
          </w:p>
        </w:tc>
        <w:tc>
          <w:tcPr>
            <w:tcW w:w="1247" w:type="dxa"/>
            <w:tcBorders>
              <w:top w:val="single" w:color="auto" w:sz="4" w:space="0"/>
              <w:left w:val="nil"/>
              <w:bottom w:val="nil"/>
              <w:right w:val="single" w:color="auto" w:sz="4" w:space="0"/>
            </w:tcBorders>
            <w:noWrap w:val="0"/>
            <w:vAlign w:val="center"/>
          </w:tcPr>
          <w:p w14:paraId="1963B410">
            <w:pPr>
              <w:spacing w:line="360" w:lineRule="auto"/>
              <w:ind w:firstLine="420"/>
              <w:rPr>
                <w:rFonts w:hint="eastAsia" w:ascii="仿宋" w:hAnsi="仿宋" w:eastAsia="仿宋" w:cs="仿宋"/>
                <w:color w:val="auto"/>
                <w:sz w:val="24"/>
                <w:szCs w:val="24"/>
                <w:highlight w:val="none"/>
              </w:rPr>
            </w:pPr>
          </w:p>
        </w:tc>
        <w:tc>
          <w:tcPr>
            <w:tcW w:w="1247" w:type="dxa"/>
            <w:tcBorders>
              <w:top w:val="single" w:color="auto" w:sz="4" w:space="0"/>
              <w:left w:val="nil"/>
              <w:bottom w:val="nil"/>
              <w:right w:val="single" w:color="auto" w:sz="4" w:space="0"/>
            </w:tcBorders>
            <w:noWrap w:val="0"/>
            <w:vAlign w:val="center"/>
          </w:tcPr>
          <w:p w14:paraId="4B2D7815">
            <w:pPr>
              <w:spacing w:line="360" w:lineRule="auto"/>
              <w:ind w:firstLine="420"/>
              <w:rPr>
                <w:rFonts w:hint="eastAsia" w:ascii="仿宋" w:hAnsi="仿宋" w:eastAsia="仿宋" w:cs="仿宋"/>
                <w:color w:val="auto"/>
                <w:sz w:val="24"/>
                <w:szCs w:val="24"/>
                <w:highlight w:val="none"/>
              </w:rPr>
            </w:pPr>
          </w:p>
        </w:tc>
        <w:tc>
          <w:tcPr>
            <w:tcW w:w="1056" w:type="dxa"/>
            <w:tcBorders>
              <w:top w:val="single" w:color="auto" w:sz="4" w:space="0"/>
              <w:left w:val="nil"/>
              <w:bottom w:val="nil"/>
              <w:right w:val="single" w:color="auto" w:sz="4" w:space="0"/>
            </w:tcBorders>
            <w:noWrap w:val="0"/>
            <w:vAlign w:val="center"/>
          </w:tcPr>
          <w:p w14:paraId="3EC998AF">
            <w:pPr>
              <w:spacing w:line="360" w:lineRule="auto"/>
              <w:ind w:firstLine="420"/>
              <w:rPr>
                <w:rFonts w:hint="eastAsia" w:ascii="仿宋" w:hAnsi="仿宋" w:eastAsia="仿宋" w:cs="仿宋"/>
                <w:color w:val="auto"/>
                <w:sz w:val="24"/>
                <w:szCs w:val="24"/>
                <w:highlight w:val="none"/>
              </w:rPr>
            </w:pPr>
          </w:p>
        </w:tc>
        <w:tc>
          <w:tcPr>
            <w:tcW w:w="1535" w:type="dxa"/>
            <w:tcBorders>
              <w:top w:val="single" w:color="auto" w:sz="4" w:space="0"/>
              <w:left w:val="nil"/>
              <w:bottom w:val="nil"/>
              <w:right w:val="single" w:color="auto" w:sz="4" w:space="0"/>
            </w:tcBorders>
            <w:noWrap w:val="0"/>
            <w:vAlign w:val="center"/>
          </w:tcPr>
          <w:p w14:paraId="6D9A52CF">
            <w:pPr>
              <w:spacing w:line="360" w:lineRule="auto"/>
              <w:ind w:firstLine="560"/>
              <w:rPr>
                <w:rFonts w:hint="eastAsia" w:ascii="仿宋" w:hAnsi="仿宋" w:eastAsia="仿宋" w:cs="仿宋"/>
                <w:color w:val="auto"/>
                <w:sz w:val="24"/>
                <w:szCs w:val="24"/>
                <w:highlight w:val="none"/>
              </w:rPr>
            </w:pPr>
          </w:p>
        </w:tc>
        <w:tc>
          <w:tcPr>
            <w:tcW w:w="972" w:type="dxa"/>
            <w:tcBorders>
              <w:top w:val="single" w:color="auto" w:sz="4" w:space="0"/>
              <w:left w:val="nil"/>
              <w:bottom w:val="nil"/>
              <w:right w:val="single" w:color="auto" w:sz="4" w:space="0"/>
            </w:tcBorders>
            <w:noWrap w:val="0"/>
            <w:vAlign w:val="top"/>
          </w:tcPr>
          <w:p w14:paraId="700AB108">
            <w:pPr>
              <w:spacing w:line="360" w:lineRule="auto"/>
              <w:ind w:firstLine="560"/>
              <w:rPr>
                <w:rFonts w:hint="eastAsia" w:ascii="仿宋" w:hAnsi="仿宋" w:eastAsia="仿宋" w:cs="仿宋"/>
                <w:color w:val="auto"/>
                <w:sz w:val="24"/>
                <w:szCs w:val="24"/>
                <w:highlight w:val="none"/>
              </w:rPr>
            </w:pPr>
          </w:p>
        </w:tc>
      </w:tr>
      <w:tr w14:paraId="6EAD6B09">
        <w:tblPrEx>
          <w:tblCellMar>
            <w:top w:w="0" w:type="dxa"/>
            <w:left w:w="108" w:type="dxa"/>
            <w:bottom w:w="0" w:type="dxa"/>
            <w:right w:w="108" w:type="dxa"/>
          </w:tblCellMar>
        </w:tblPrEx>
        <w:trPr>
          <w:trHeight w:val="540" w:hRule="atLeast"/>
        </w:trPr>
        <w:tc>
          <w:tcPr>
            <w:tcW w:w="9739" w:type="dxa"/>
            <w:gridSpan w:val="8"/>
            <w:tcBorders>
              <w:top w:val="single" w:color="auto" w:sz="4" w:space="0"/>
              <w:left w:val="single" w:color="auto" w:sz="4" w:space="0"/>
              <w:bottom w:val="single" w:color="auto" w:sz="4" w:space="0"/>
              <w:right w:val="single" w:color="auto" w:sz="4" w:space="0"/>
            </w:tcBorders>
            <w:noWrap w:val="0"/>
            <w:vAlign w:val="center"/>
          </w:tcPr>
          <w:p w14:paraId="7B4A698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说明：含运输费、装卸费、技术指导、增值税</w:t>
            </w:r>
          </w:p>
        </w:tc>
      </w:tr>
    </w:tbl>
    <w:p w14:paraId="33BDADC1">
      <w:pPr>
        <w:spacing w:line="360" w:lineRule="auto"/>
        <w:rPr>
          <w:rFonts w:hint="eastAsia" w:ascii="仿宋" w:hAnsi="仿宋" w:eastAsia="仿宋" w:cs="仿宋"/>
          <w:color w:val="auto"/>
          <w:sz w:val="24"/>
          <w:szCs w:val="24"/>
          <w:highlight w:val="none"/>
        </w:rPr>
      </w:pPr>
    </w:p>
    <w:p w14:paraId="6DB995DB">
      <w:pPr>
        <w:spacing w:line="360" w:lineRule="auto"/>
        <w:ind w:left="210" w:leftChars="100"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3、本合同为固定单价，本合同分项报价合计人民币小写</w:t>
      </w:r>
      <w:r>
        <w:rPr>
          <w:rFonts w:hint="eastAsia" w:ascii="仿宋" w:hAnsi="仿宋" w:eastAsia="仿宋" w:cs="仿宋"/>
          <w:color w:val="auto"/>
          <w:sz w:val="24"/>
          <w:szCs w:val="24"/>
          <w:highlight w:val="none"/>
          <w:u w:val="single"/>
        </w:rPr>
        <w:t>：   元</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元</w:t>
      </w:r>
      <w:r>
        <w:rPr>
          <w:rFonts w:hint="eastAsia" w:ascii="仿宋" w:hAnsi="仿宋" w:eastAsia="仿宋" w:cs="仿宋"/>
          <w:color w:val="auto"/>
          <w:sz w:val="24"/>
          <w:szCs w:val="24"/>
          <w:highlight w:val="none"/>
        </w:rPr>
        <w:t xml:space="preserve">整。合同总价以甲方实际采购并书面验收合格的数量结合上表标明单价进行结算支付。包含增值税。合同价格已包括货物供给、货物包装、运输费、安装费、调试、装卸费和保险等的全部费用及相关税费。乙方应保证甲方除支付合同约定货款之外无需再行支付其他任何费用和款项。 </w:t>
      </w:r>
    </w:p>
    <w:p w14:paraId="3291017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价格清单表是基于乙方在完全理解本项目材料所需为前提，同时甲方对清单中的名称、规格、材质及数量等没有校对的义务，乙方在合同有效期内不得对清单的综合费用提出任何费用的增加。实际供货数量以双方签字确认的数量为准。 </w:t>
      </w:r>
    </w:p>
    <w:p w14:paraId="0697BEB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5、货物的证件要求和乙方责任：</w:t>
      </w:r>
    </w:p>
    <w:p w14:paraId="645F734F">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必须按照《医疗器械管理条例》、《医疗器械使用质量监督管理办法》等相关要求提供符合国家省、市有关医疗器械管理规定的各种证件（如：营业执照、生产企业许可证、经营许可证、医疗器械注册证或备案凭证）等证明文件。</w:t>
      </w:r>
    </w:p>
    <w:p w14:paraId="32FE76D5">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（2）乙方提供的上述各种证件必须完整、真实、有效，协议期内，证件到期更换时乙方应及时向甲方提供更换后的有效证件。</w:t>
      </w:r>
    </w:p>
    <w:p w14:paraId="2E9292A2">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向甲方承诺其具备履行本合同项下义务所需要的各类资质，如果因为应当具备资质而不具有资质，发生事故造成人身伤亡、财产毁损并牵连甲方承担连带责任的，乙方无条件地承诺甲方因上述连带责任支付的赔偿款项全部由乙方承担。</w:t>
      </w:r>
    </w:p>
    <w:p w14:paraId="48218747">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r>
        <w:rPr>
          <w:rFonts w:hint="eastAsia" w:ascii="仿宋" w:hAnsi="仿宋" w:eastAsia="仿宋" w:cs="仿宋"/>
          <w:b/>
          <w:color w:val="auto"/>
          <w:sz w:val="24"/>
          <w:szCs w:val="24"/>
          <w:highlight w:val="none"/>
        </w:rPr>
        <w:t>质量保证</w:t>
      </w:r>
    </w:p>
    <w:p w14:paraId="302C1D38">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产品质量标准（含环保标准）：执行最新国家及行业标准、国家和地方行政主管部门的有关规定。没有国家和行业标准以及国家和地方行政主管部门的有关规定，按照甲方验收标准或者符合合同目的的特定标准履行。</w:t>
      </w:r>
    </w:p>
    <w:p w14:paraId="737BD9B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2、乙方保证本合同货物是全新的、未使用过的、标识清楚，并符合国家技术规格和国家质量标准的出厂原装合格产品，产品型号、数量、规格及技术、质量标准、售后服务必须满足甲方采购要求。</w:t>
      </w:r>
    </w:p>
    <w:p w14:paraId="4C84777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3、乙方保证向甲方提供的货品必须资质齐全、信誉好、质量高、性价比合理、售后有保障的产品。因产品资质或质量问题引发的医疗事故或纠纷，均由乙方承担全部损失。</w:t>
      </w:r>
    </w:p>
    <w:p w14:paraId="28C3F058">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4、乙方提供的货物进入甲方后，应接受国家、省、市有关行业主管部门的抽查或检查。由此发生的资质、标识或产品质量问题的罚没事项均由乙方自行承担。</w:t>
      </w:r>
    </w:p>
    <w:p w14:paraId="239210AF">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5、货物在交货过程中，发生意外事故和故障损失，如撞、刮、裂、损等均由乙方承担责任。</w:t>
      </w:r>
    </w:p>
    <w:p w14:paraId="39309679">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6、乙方提供的产品，如发生过期、失效等问题时，由乙方全部负责，且自收到甲方书面通知后7日内无条件予以补充或调换。</w:t>
      </w:r>
    </w:p>
    <w:p w14:paraId="3E532729">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四、质量保证期</w:t>
      </w:r>
    </w:p>
    <w:p w14:paraId="18065624">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1、质保期自甲方书面验收合格后，乙方开具发票之日起计算。</w:t>
      </w:r>
    </w:p>
    <w:p w14:paraId="61DEAFB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2、乙方提供产品的具体质保期以相关产品生产厂家提供的质保期为准。</w:t>
      </w:r>
    </w:p>
    <w:p w14:paraId="19280142">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3、在质量保证期内，因产品质量出现问题，乙方负责免费更换，并承担与更换有关的运费、安装、调试、保险等一切费用。</w:t>
      </w:r>
    </w:p>
    <w:p w14:paraId="6A498CA6">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五、交货时间、地点</w:t>
      </w:r>
    </w:p>
    <w:p w14:paraId="7C73539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接到甲方提交的采购计划后，须在甲方指定的时间内按计划送货到甲方指定地点；做到货、票、产品合格证及该批次检验报告同行，并有责任配合甲方管理人员做好入库验收登记工作，核对实物与计划相符、实物与票据相符，有问题的及时调整或换货。</w:t>
      </w:r>
    </w:p>
    <w:p w14:paraId="54D93AD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2、在应急情况下（自然灾害等不可抗力因素情况除外），产品应于1小时内送到甲方指定地点，正常情况下产品24小时内送到甲方指定地点：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,节假日保证按时配送。如甲方有特殊配送需求的，乙方必须设法满足，如不能按时到货，造成甲方损失的，乙方将按第九条向甲方承担违约责任。</w:t>
      </w:r>
    </w:p>
    <w:p w14:paraId="0CCDD206">
      <w:pPr>
        <w:spacing w:line="360" w:lineRule="auto"/>
        <w:ind w:firstLine="5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3、到货地点和接货单位（或接货人）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。甲方指定的接货人为：姓名：电话号码：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；双方明确，除该指定接货人外，其他任何人员（包括甲方的其他任何工作人员）签署的接货单，甲方均不予认可。</w:t>
      </w:r>
    </w:p>
    <w:p w14:paraId="1EB7442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4、在交付时，乙方必须向甲方提供质量合格证书等一切相关资料及配件，否则，甲方有权不予付款且不承担违约责任。</w:t>
      </w:r>
    </w:p>
    <w:p w14:paraId="7DF72DB5">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六、产品包装及运输</w:t>
      </w:r>
    </w:p>
    <w:p w14:paraId="4334C9ED">
      <w:pPr>
        <w:spacing w:line="360" w:lineRule="auto"/>
        <w:ind w:firstLine="56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１、包装必须与运输方式相适应，包装方式的确定和包装费用均由乙方负责;由于不适当的包装而造成的货物有任何的损坏由乙方负责。</w:t>
      </w:r>
    </w:p>
    <w:p w14:paraId="1D06174F">
      <w:pPr>
        <w:spacing w:line="360" w:lineRule="auto"/>
        <w:ind w:firstLine="56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２、提供的全部货物必须采用相应的标准的保护措施进行包装。包装应适于远距离运输，并有良好的防潮、防震、防锈和防野蛮装卸等保护措施，以确保货物安全运抵现场。乙方应承担因其包装或防护措施不妥而引起货物锈蚀、损坏和丢失的任何损失的责任或费用。</w:t>
      </w:r>
    </w:p>
    <w:p w14:paraId="37E4678A">
      <w:pPr>
        <w:spacing w:line="360" w:lineRule="auto"/>
        <w:ind w:firstLine="56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3、包装费、运输费、装卸费和保险费均已包含在合同单价内。</w:t>
      </w:r>
    </w:p>
    <w:p w14:paraId="6B80C7D6">
      <w:pPr>
        <w:spacing w:line="360" w:lineRule="auto"/>
        <w:ind w:firstLine="56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4、运输途中的货物安全问题均由乙方负责。</w:t>
      </w:r>
    </w:p>
    <w:p w14:paraId="63C0AA71">
      <w:pPr>
        <w:spacing w:line="360" w:lineRule="auto"/>
        <w:ind w:firstLine="562"/>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七、验收</w:t>
      </w:r>
    </w:p>
    <w:p w14:paraId="1894B43F">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交货前，乙方应确保制造商对货物的有关内在和外观质量、规格、性能、数量和重量进行准确的和全面的检验，并出具货物符合合同规定的证书。该证书将作为申请付款单据的必要条件。但不应视为是对质量、规格、性能、数量的最终定论。质量证书应附有写明制造商检验的细节和结果的说明。</w:t>
      </w:r>
    </w:p>
    <w:p w14:paraId="548B44A6">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2、数量: 乙方交货时，甲乙双方应各指定一名工作人员对货物数量进行统计，交货完成后，就甲方验收合格的货物数量，由双方各自指定的工作人员在随货通行单上签字确认，随货通行单一式肆份，作为今后双方结算的依据之一。</w:t>
      </w:r>
    </w:p>
    <w:p w14:paraId="2041B9E4">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果在合同规定的质量保证期内，发现货物的质量或规格与合同规定不符，或货物有缺陷，包括内在隐蔽瑕疵或使用不合适的原材料或不科学的设计等，甲方有权要去乙方无条件予以更换，亦有权根据质量保证条款向乙方主张质保责任，并在乙方构成违约或侵权时主张索赔。</w:t>
      </w:r>
    </w:p>
    <w:p w14:paraId="76A814D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w:t>
      </w:r>
    </w:p>
    <w:p w14:paraId="4101240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提供货物的有效期至少在一年以上，如发现有效期少于三个月的，甲方库房管理员有权拒绝验货。如乙方供货的的库房存货到达有效期期限，乙方应无条件更换过期产品。若乙方出现不补充或调换过期产品或超过7日补充或调换过期产品的行为共累计3次，甲方有权解除合同，解除通知自到达乙方后生效且视为乙方无异议，乙方应向甲方承担本合同最终结算总额20%的违约金。</w:t>
      </w:r>
    </w:p>
    <w:p w14:paraId="05B1F61F">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八、货款的支付</w:t>
      </w:r>
    </w:p>
    <w:p w14:paraId="150EE8AE">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1、本合同为固定单价，合同总价按甲方付款计划以合同单价乘以甲方实际采购并书面验收合格的数量确定总价进行支付。</w:t>
      </w:r>
    </w:p>
    <w:p w14:paraId="1679C507">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收到乙方交付的货物并经甲方书面验收合格，产品无质量问题及其他纠纷的情况下，在该批次货品用完之后每半年按一定比例以汇票、转账支票或电汇等方式向乙方支付货款,或根据甲方现有财务状况双方协商付款。如遇特殊情况，双方协商解决。</w:t>
      </w:r>
    </w:p>
    <w:p w14:paraId="071B3728">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3、甲方支付上述任何一笔款项前，乙方应提供符合甲方财务做账要求的正规全额增值税发票，否则，甲方有权拒付款项且不承担违约责任。 </w:t>
      </w:r>
    </w:p>
    <w:p w14:paraId="3BA7BD0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4、甲方将上述款项支付至乙方指定的如下银行账户：</w:t>
      </w:r>
    </w:p>
    <w:p w14:paraId="167B4231">
      <w:pPr>
        <w:spacing w:line="360" w:lineRule="auto"/>
        <w:ind w:firstLine="5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开户行：</w:t>
      </w:r>
    </w:p>
    <w:p w14:paraId="1709A6D5">
      <w:pPr>
        <w:spacing w:line="360" w:lineRule="auto"/>
        <w:ind w:firstLine="5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账户名称：</w:t>
      </w:r>
    </w:p>
    <w:p w14:paraId="37A417F6">
      <w:pPr>
        <w:spacing w:line="360" w:lineRule="auto"/>
        <w:ind w:firstLine="5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银行账号：</w:t>
      </w:r>
    </w:p>
    <w:p w14:paraId="2F9A8566">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p>
    <w:p w14:paraId="24E74D5F">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九、违约责任</w:t>
      </w:r>
    </w:p>
    <w:p w14:paraId="51027D77">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严格按照合同约定的时间交货，如乙方延迟交货，甲方有权追究延迟交货的违约责任。甲方要求紧急配送本合同约定的货物的，乙方必须保证能随时供货，每迟延交货一次，向甲方承担1000元违约金；正常配送情况下，如不能按时到货，每发生一次，乙方向甲方承担本次货款的20%的违约金。乙方出现三次不按时配送、延迟配送的情形，甲方有权解除合同并有权要求乙方承担合同总金额20%的违约金。</w:t>
      </w:r>
    </w:p>
    <w:p w14:paraId="795EFF12">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2）乙方必须确保投标的产品和供货的产品一致，如发现供货产品生产厂家、质量和招标时不符的情况，甲方有权立即要求乙方退货、解除合同，并要求乙方承担合同总金额20%的违约金。</w:t>
      </w:r>
    </w:p>
    <w:p w14:paraId="5D408A63">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果乙方提供的货物因质量问题或者设计瑕疵，导致甲方使用过程中发生医疗事故等不良后果的，全部责任均由乙方承担，并赔偿由此给甲方带来的全部损失，同时，剩余未付货款作为违约金全部归甲方所有。</w:t>
      </w:r>
    </w:p>
    <w:p w14:paraId="5F1D7E18">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合同签订后，乙方应严格按照中标价格履行合同，如乙方因价格原因，拒绝供货或不能根据合同约定的品种、规格、数量、质量等标准和要求向甲方配送货物，无法满足甲方采购需要，甲方有权解除合同，同时，乙方按合同总额的20%向甲方承担违约责任。</w:t>
      </w:r>
    </w:p>
    <w:p w14:paraId="2FE85ED6">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5）上述条款中约定的违约金如不能弥补甲方实际损失的，以甲方实际损失为准（包括但不限于第三方索赔、律师费、诉讼费、鉴定费、公证费、差旅费等甲方采取诉讼途径发生的一切费用）。</w:t>
      </w:r>
    </w:p>
    <w:p w14:paraId="17F0F3FA">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乙方销售代表在合同签订及履行过程中，不得实施商业贿赂。若有商业贿赂行为，按照国卫法制发（2013）50号文件《关于建立医药购销领域商业贿赂不良记录的规定》中有关规定执行，或与甲方相关工作人员串通，做出损害甲方利益的任何行为，每次按合同总金额的20%的数额向甲方承担违约金。</w:t>
      </w:r>
    </w:p>
    <w:p w14:paraId="592E1677">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十、争议的解决</w:t>
      </w:r>
    </w:p>
    <w:p w14:paraId="54E02A24">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本合同如发生纠纷，当事人双方应当及时协商解决，协商不成时，可提交甲方所在地法院诉讼解决。</w:t>
      </w:r>
    </w:p>
    <w:p w14:paraId="65A36C3C">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十一、合同的生效与文本</w:t>
      </w:r>
    </w:p>
    <w:p w14:paraId="05B8C5F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1、本合同经双方法定代表人签字或单位盖章或双方委托代理人签字成立生效。</w:t>
      </w:r>
    </w:p>
    <w:p w14:paraId="34590CEE">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2、本合同一式陆份，甲方执伍份，乙方执壹份，具有同等法律效力。</w:t>
      </w:r>
    </w:p>
    <w:p w14:paraId="29ED5B9B">
      <w:pPr>
        <w:spacing w:line="360" w:lineRule="auto"/>
        <w:ind w:firstLine="56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十二、其他</w:t>
      </w:r>
    </w:p>
    <w:p w14:paraId="2574634A">
      <w:pPr>
        <w:spacing w:line="360" w:lineRule="auto"/>
        <w:ind w:firstLine="56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1、本合同有效期自</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年</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月</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日起至</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年</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月</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日止；上述合同有效期内，若甲方上级主管部门对本合同约定由乙方供货的货物进行公开招标，本合同自甲方上级主管部门公开招标时自动终止（具体时间，以甲方通知乙方的时间为准），合同终止后，甲方将恢复执行上级主管部门进行招标采购的结果，甲方无需向乙方承担任何违约责任，乙方对此无异议。</w:t>
      </w:r>
    </w:p>
    <w:p w14:paraId="08E4F82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2、和本合同相关的双方往来函件(包括传真件、电子邮件)与原件具有同等的法律效力，修改无效。</w:t>
      </w:r>
    </w:p>
    <w:p w14:paraId="4D28978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首尾部分签字页双方提供的双方信息，为双方确认的各方准确有效的送达地址信息，如有变更应书面通知对方，未通知视为未变更。双方同意按前述地址向对方送达各类文件、函件等，寄出及发送时间为送达时间。</w:t>
      </w:r>
    </w:p>
    <w:p w14:paraId="12EF7578">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4、与本合同有关的招投标文件、答疑附件、合同附件等均是本合同不可分割的组成部分，与本合同具有同等法律效力，其他未尽事宜从其规定。</w:t>
      </w:r>
    </w:p>
    <w:p w14:paraId="1122B5D0">
      <w:pPr>
        <w:spacing w:line="360" w:lineRule="auto"/>
        <w:ind w:firstLine="560"/>
        <w:rPr>
          <w:rFonts w:hint="eastAsia" w:ascii="仿宋" w:hAnsi="仿宋" w:eastAsia="仿宋" w:cs="仿宋"/>
          <w:color w:val="auto"/>
          <w:sz w:val="24"/>
          <w:szCs w:val="24"/>
          <w:highlight w:val="none"/>
        </w:rPr>
      </w:pPr>
    </w:p>
    <w:p w14:paraId="2D07B389">
      <w:pPr>
        <w:spacing w:line="360" w:lineRule="auto"/>
        <w:ind w:firstLine="560"/>
        <w:outlineLvl w:val="0"/>
        <w:rPr>
          <w:rFonts w:hint="eastAsia" w:ascii="仿宋" w:hAnsi="仿宋" w:eastAsia="仿宋" w:cs="仿宋"/>
          <w:color w:val="auto"/>
          <w:sz w:val="24"/>
          <w:szCs w:val="24"/>
          <w:highlight w:val="none"/>
        </w:rPr>
      </w:pPr>
      <w:bookmarkStart w:id="129" w:name="_Toc29123"/>
      <w:r>
        <w:rPr>
          <w:rFonts w:hint="eastAsia" w:ascii="仿宋" w:hAnsi="仿宋" w:eastAsia="仿宋" w:cs="仿宋"/>
          <w:color w:val="auto"/>
          <w:sz w:val="24"/>
          <w:szCs w:val="24"/>
          <w:highlight w:val="none"/>
        </w:rPr>
        <w:t>（以下无正文，为本合同签署页）</w:t>
      </w:r>
      <w:bookmarkEnd w:id="129"/>
    </w:p>
    <w:p w14:paraId="21F1849D">
      <w:pPr>
        <w:spacing w:line="360" w:lineRule="auto"/>
        <w:ind w:firstLine="560"/>
        <w:rPr>
          <w:rFonts w:hint="eastAsia" w:ascii="仿宋" w:hAnsi="仿宋" w:eastAsia="仿宋" w:cs="仿宋"/>
          <w:color w:val="auto"/>
          <w:sz w:val="24"/>
          <w:szCs w:val="24"/>
          <w:highlight w:val="none"/>
        </w:rPr>
      </w:pPr>
    </w:p>
    <w:p w14:paraId="26B30D60">
      <w:pPr>
        <w:spacing w:line="360" w:lineRule="auto"/>
        <w:ind w:left="6360" w:hanging="6360" w:hangingChars="26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甲方（盖章）：                                   乙方（盖章）：</w:t>
      </w:r>
    </w:p>
    <w:p w14:paraId="5FDA2DD5">
      <w:pPr>
        <w:spacing w:line="360" w:lineRule="auto"/>
        <w:ind w:left="6360" w:hanging="6360" w:hangingChars="26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w:t>
      </w:r>
    </w:p>
    <w:p w14:paraId="37121D35">
      <w:pPr>
        <w:autoSpaceDE w:val="0"/>
        <w:autoSpaceDN w:val="0"/>
        <w:adjustRightIn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 同 章：                                         合 同 章：</w:t>
      </w:r>
    </w:p>
    <w:p w14:paraId="5EAFBFFE">
      <w:pPr>
        <w:autoSpaceDE w:val="0"/>
        <w:autoSpaceDN w:val="0"/>
        <w:adjustRightIn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法人签字：                                         法人签字：</w:t>
      </w:r>
    </w:p>
    <w:p w14:paraId="0F75D9C7">
      <w:pPr>
        <w:autoSpaceDE w:val="0"/>
        <w:autoSpaceDN w:val="0"/>
        <w:adjustRightInd w:val="0"/>
        <w:spacing w:line="360" w:lineRule="auto"/>
        <w:ind w:left="-230" w:leftChars="-256" w:hanging="307" w:hangingChars="128"/>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授权代表签字：                                    授权代表签字：</w:t>
      </w:r>
    </w:p>
    <w:p w14:paraId="77FED993">
      <w:pPr>
        <w:autoSpaceDE w:val="0"/>
        <w:autoSpaceDN w:val="0"/>
        <w:adjustRightInd w:val="0"/>
        <w:spacing w:line="360" w:lineRule="auto"/>
        <w:ind w:left="-230" w:leftChars="-256" w:hanging="307" w:hangingChars="128"/>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电话：</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 xml:space="preserve"> 电话：</w:t>
      </w:r>
    </w:p>
    <w:p w14:paraId="033FD814">
      <w:pPr>
        <w:autoSpaceDE w:val="0"/>
        <w:autoSpaceDN w:val="0"/>
        <w:adjustRightIn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纳税人识别号                                      纳税人识别号：</w:t>
      </w:r>
    </w:p>
    <w:p w14:paraId="0FC4BEFB">
      <w:pPr>
        <w:autoSpaceDE w:val="0"/>
        <w:autoSpaceDN w:val="0"/>
        <w:adjustRightInd w:val="0"/>
        <w:spacing w:line="360" w:lineRule="auto"/>
        <w:ind w:left="5400" w:hanging="5400" w:hangingChars="225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地址：</w:t>
      </w:r>
      <w:r>
        <w:rPr>
          <w:rFonts w:hint="eastAsia" w:ascii="仿宋" w:hAnsi="仿宋" w:eastAsia="仿宋" w:cs="仿宋"/>
          <w:color w:val="auto"/>
          <w:kern w:val="0"/>
          <w:sz w:val="24"/>
          <w:szCs w:val="24"/>
          <w:highlight w:val="none"/>
          <w:lang w:val="en-US" w:eastAsia="zh-CN"/>
        </w:rPr>
        <w:t xml:space="preserve">                                             地址：</w:t>
      </w:r>
    </w:p>
    <w:p w14:paraId="4E910B7A">
      <w:pPr>
        <w:autoSpaceDE w:val="0"/>
        <w:autoSpaceDN w:val="0"/>
        <w:adjustRightInd w:val="0"/>
        <w:spacing w:line="360" w:lineRule="auto"/>
        <w:ind w:left="5400" w:hanging="5400" w:hangingChars="225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p>
    <w:p w14:paraId="72D58E58">
      <w:pPr>
        <w:autoSpaceDE w:val="0"/>
        <w:autoSpaceDN w:val="0"/>
        <w:adjustRightInd w:val="0"/>
        <w:spacing w:line="360" w:lineRule="auto"/>
        <w:ind w:left="5520" w:hanging="5520" w:hangingChars="2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开户行：                                          开户行：</w:t>
      </w:r>
    </w:p>
    <w:p w14:paraId="5A831002">
      <w:pPr>
        <w:autoSpaceDE w:val="0"/>
        <w:autoSpaceDN w:val="0"/>
        <w:adjustRightIn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行号：                                            行号：</w:t>
      </w:r>
    </w:p>
    <w:p w14:paraId="4CA9F6A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                                        银行账号：</w:t>
      </w:r>
    </w:p>
    <w:p w14:paraId="579245A6">
      <w:pPr>
        <w:pStyle w:val="26"/>
        <w:spacing w:line="520" w:lineRule="exact"/>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签订时间：  年  月  日                            签订时间：  年  月  日</w:t>
      </w:r>
    </w:p>
    <w:p w14:paraId="0A7B49BC">
      <w:pPr>
        <w:pStyle w:val="10"/>
        <w:shd w:val="clear" w:color="auto" w:fill="auto"/>
        <w:spacing w:after="0" w:line="400" w:lineRule="exact"/>
        <w:ind w:left="0" w:leftChars="0" w:firstLine="480" w:firstLineChars="200"/>
        <w:rPr>
          <w:rFonts w:hint="eastAsia" w:ascii="仿宋" w:hAnsi="仿宋" w:eastAsia="仿宋" w:cs="仿宋"/>
          <w:color w:val="auto"/>
          <w:kern w:val="0"/>
          <w:sz w:val="24"/>
          <w:szCs w:val="24"/>
          <w:highlight w:val="none"/>
          <w:u w:val="none" w:color="000000"/>
        </w:rPr>
      </w:pPr>
    </w:p>
    <w:bookmarkEnd w:id="120"/>
    <w:p w14:paraId="0BD2C093">
      <w:pPr>
        <w:spacing w:line="580" w:lineRule="exact"/>
        <w:outlineLvl w:val="9"/>
        <w:rPr>
          <w:rFonts w:hint="eastAsia" w:ascii="仿宋" w:hAnsi="仿宋" w:eastAsia="仿宋" w:cs="仿宋"/>
          <w:color w:val="auto"/>
          <w:kern w:val="0"/>
          <w:sz w:val="24"/>
          <w:szCs w:val="24"/>
          <w:highlight w:val="none"/>
        </w:rPr>
      </w:pPr>
      <w:bookmarkStart w:id="130" w:name="_Toc16530"/>
      <w:r>
        <w:rPr>
          <w:rFonts w:hint="eastAsia" w:ascii="仿宋" w:hAnsi="仿宋" w:eastAsia="仿宋" w:cs="仿宋"/>
          <w:b/>
          <w:color w:val="auto"/>
          <w:sz w:val="24"/>
          <w:szCs w:val="24"/>
          <w:highlight w:val="none"/>
        </w:rPr>
        <w:br w:type="page"/>
      </w:r>
      <w:bookmarkEnd w:id="121"/>
      <w:bookmarkEnd w:id="122"/>
      <w:bookmarkEnd w:id="123"/>
      <w:bookmarkEnd w:id="124"/>
      <w:bookmarkEnd w:id="125"/>
      <w:bookmarkEnd w:id="126"/>
      <w:bookmarkEnd w:id="127"/>
      <w:bookmarkEnd w:id="128"/>
      <w:bookmarkEnd w:id="130"/>
    </w:p>
    <w:p w14:paraId="33D4BFAD">
      <w:pPr>
        <w:spacing w:line="520" w:lineRule="exact"/>
        <w:ind w:left="560" w:firstLine="720" w:firstLineChars="200"/>
        <w:outlineLvl w:val="9"/>
        <w:rPr>
          <w:rFonts w:hint="eastAsia" w:ascii="仿宋" w:hAnsi="仿宋" w:eastAsia="仿宋" w:cs="仿宋"/>
          <w:b/>
          <w:color w:val="auto"/>
          <w:sz w:val="36"/>
          <w:highlight w:val="none"/>
        </w:rPr>
      </w:pPr>
    </w:p>
    <w:p w14:paraId="75676D73">
      <w:pPr>
        <w:numPr>
          <w:ilvl w:val="0"/>
          <w:numId w:val="10"/>
        </w:numPr>
        <w:spacing w:line="360" w:lineRule="atLeast"/>
        <w:ind w:left="0" w:leftChars="0" w:firstLine="0" w:firstLineChars="0"/>
        <w:jc w:val="center"/>
        <w:outlineLvl w:val="0"/>
        <w:rPr>
          <w:rFonts w:hint="eastAsia" w:ascii="仿宋" w:hAnsi="仿宋" w:eastAsia="仿宋" w:cs="仿宋"/>
          <w:b/>
          <w:color w:val="auto"/>
          <w:sz w:val="36"/>
          <w:highlight w:val="none"/>
        </w:rPr>
      </w:pPr>
      <w:bookmarkStart w:id="131" w:name="_Toc8939"/>
      <w:bookmarkStart w:id="132" w:name="_Toc32653"/>
      <w:r>
        <w:rPr>
          <w:rFonts w:hint="eastAsia" w:ascii="仿宋" w:hAnsi="仿宋" w:eastAsia="仿宋" w:cs="仿宋"/>
          <w:b/>
          <w:color w:val="auto"/>
          <w:sz w:val="36"/>
          <w:highlight w:val="none"/>
        </w:rPr>
        <w:t>投标书格式</w:t>
      </w:r>
      <w:bookmarkEnd w:id="131"/>
      <w:bookmarkEnd w:id="132"/>
      <w:bookmarkStart w:id="133" w:name="_Toc61184635"/>
      <w:bookmarkStart w:id="134" w:name="_Toc56170392"/>
    </w:p>
    <w:p w14:paraId="0A19850E">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7F51701F">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6ABD2683">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06EDB5DC">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61A76C5A">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7DA42B21">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75300730">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0362FDCE">
      <w:pPr>
        <w:numPr>
          <w:ilvl w:val="0"/>
          <w:numId w:val="0"/>
        </w:numPr>
        <w:spacing w:line="360" w:lineRule="atLeast"/>
        <w:ind w:leftChars="0"/>
        <w:jc w:val="center"/>
        <w:outlineLvl w:val="0"/>
        <w:rPr>
          <w:rFonts w:hint="default" w:ascii="仿宋" w:hAnsi="仿宋" w:eastAsia="仿宋" w:cs="仿宋"/>
          <w:b/>
          <w:color w:val="auto"/>
          <w:sz w:val="48"/>
          <w:szCs w:val="24"/>
          <w:highlight w:val="none"/>
          <w:lang w:val="en-US" w:eastAsia="zh-CN"/>
        </w:rPr>
      </w:pPr>
      <w:bookmarkStart w:id="135" w:name="_Toc6169"/>
      <w:r>
        <w:rPr>
          <w:rFonts w:hint="eastAsia" w:ascii="仿宋" w:hAnsi="仿宋" w:eastAsia="仿宋" w:cs="仿宋"/>
          <w:b/>
          <w:color w:val="auto"/>
          <w:sz w:val="48"/>
          <w:szCs w:val="24"/>
          <w:highlight w:val="none"/>
          <w:lang w:val="en-US" w:eastAsia="zh-CN"/>
        </w:rPr>
        <w:t>封皮格式自拟</w:t>
      </w:r>
      <w:bookmarkEnd w:id="135"/>
    </w:p>
    <w:p w14:paraId="67A26E80">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4D88481F">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184DD10F">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16D3CF8E">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26D7B5A4">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4237ABB2">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54D759C2">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2300F856">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501C15AF">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00AFB88C">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60019A41">
      <w:pPr>
        <w:numPr>
          <w:ilvl w:val="0"/>
          <w:numId w:val="0"/>
        </w:numPr>
        <w:spacing w:line="360" w:lineRule="atLeast"/>
        <w:ind w:leftChars="0"/>
        <w:jc w:val="both"/>
        <w:outlineLvl w:val="9"/>
        <w:rPr>
          <w:rFonts w:hint="eastAsia" w:ascii="仿宋" w:hAnsi="仿宋" w:eastAsia="仿宋" w:cs="仿宋"/>
          <w:b/>
          <w:color w:val="auto"/>
          <w:sz w:val="36"/>
          <w:highlight w:val="none"/>
        </w:rPr>
      </w:pPr>
    </w:p>
    <w:p w14:paraId="492B4198">
      <w:pPr>
        <w:numPr>
          <w:ilvl w:val="0"/>
          <w:numId w:val="0"/>
        </w:numPr>
        <w:spacing w:line="360" w:lineRule="atLeast"/>
        <w:ind w:leftChars="0"/>
        <w:jc w:val="both"/>
        <w:outlineLvl w:val="9"/>
        <w:rPr>
          <w:rFonts w:hint="eastAsia" w:ascii="仿宋" w:hAnsi="仿宋" w:eastAsia="仿宋" w:cs="仿宋"/>
          <w:b/>
          <w:color w:val="auto"/>
          <w:sz w:val="36"/>
          <w:highlight w:val="none"/>
        </w:rPr>
      </w:pPr>
    </w:p>
    <w:bookmarkEnd w:id="133"/>
    <w:bookmarkEnd w:id="134"/>
    <w:p w14:paraId="24163E82">
      <w:pPr>
        <w:jc w:val="center"/>
        <w:outlineLvl w:val="1"/>
        <w:rPr>
          <w:rFonts w:hint="eastAsia" w:ascii="仿宋" w:hAnsi="仿宋" w:eastAsia="仿宋" w:cs="仿宋"/>
          <w:color w:val="auto"/>
          <w:highlight w:val="none"/>
        </w:rPr>
      </w:pPr>
      <w:bookmarkStart w:id="136" w:name="_Toc13962"/>
      <w:bookmarkStart w:id="137" w:name="_Toc61184636"/>
      <w:bookmarkStart w:id="138" w:name="_Toc56170393"/>
      <w:bookmarkStart w:id="139" w:name="_Toc10657"/>
      <w:r>
        <w:rPr>
          <w:rFonts w:hint="eastAsia" w:ascii="仿宋" w:hAnsi="仿宋" w:eastAsia="仿宋" w:cs="仿宋"/>
          <w:color w:val="auto"/>
          <w:sz w:val="28"/>
          <w:szCs w:val="28"/>
          <w:highlight w:val="none"/>
        </w:rPr>
        <w:t>附件一、投标书</w:t>
      </w:r>
      <w:bookmarkEnd w:id="136"/>
      <w:bookmarkEnd w:id="137"/>
      <w:bookmarkEnd w:id="138"/>
      <w:bookmarkEnd w:id="139"/>
    </w:p>
    <w:p w14:paraId="71148141">
      <w:pPr>
        <w:pStyle w:val="39"/>
        <w:spacing w:line="360" w:lineRule="auto"/>
        <w:ind w:firstLine="0" w:firstLineChars="0"/>
        <w:jc w:val="both"/>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新疆浩瑞兴建设工程项目管理咨询有限公司</w:t>
      </w:r>
      <w:r>
        <w:rPr>
          <w:rFonts w:hint="eastAsia" w:ascii="仿宋" w:hAnsi="仿宋" w:eastAsia="仿宋" w:cs="仿宋"/>
          <w:b w:val="0"/>
          <w:color w:val="auto"/>
          <w:sz w:val="24"/>
          <w:szCs w:val="24"/>
          <w:highlight w:val="none"/>
        </w:rPr>
        <w:t>：</w:t>
      </w:r>
    </w:p>
    <w:p w14:paraId="2596088D">
      <w:pPr>
        <w:spacing w:line="360" w:lineRule="auto"/>
        <w:ind w:firstLine="420"/>
        <w:outlineLvl w:val="9"/>
        <w:rPr>
          <w:rFonts w:hint="eastAsia" w:ascii="仿宋" w:hAnsi="仿宋" w:eastAsia="仿宋" w:cs="仿宋"/>
          <w:color w:val="auto"/>
          <w:sz w:val="24"/>
          <w:szCs w:val="24"/>
          <w:highlight w:val="none"/>
        </w:rPr>
      </w:pPr>
    </w:p>
    <w:p w14:paraId="17EC43F2">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我们收到你们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招标文件，经认真研究，我们决定参加投标。</w:t>
      </w:r>
    </w:p>
    <w:p w14:paraId="5DC12CC4">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⒈按照招标文件中的一切要求，提供投标货物、安装及技术服务，投标总价</w:t>
      </w:r>
    </w:p>
    <w:p w14:paraId="378A12DC">
      <w:pPr>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元（用阿拉伯数字书写）人民币，明细见投标产品名称数量报价表。</w:t>
      </w:r>
    </w:p>
    <w:p w14:paraId="1A15C672">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⒉如果我们的响应文件被接受，我们将履行招标文件中规定的每一项要求，按期、按质、按量完成交货和完工任务。</w:t>
      </w:r>
    </w:p>
    <w:p w14:paraId="09F80BB5">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⒊我们同意按招标文件的规定，本响应文件的有效期为投标截止后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w:t>
      </w:r>
    </w:p>
    <w:p w14:paraId="6B83A8DC">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⒋我们愿意提供采购人在招标文件中要求的所有资料。</w:t>
      </w:r>
    </w:p>
    <w:p w14:paraId="7AC2C639">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⒌我们认为你们有选择或拒绝任何投标者成交的权力。我们理解，最低报价不是成交的唯一条件。</w:t>
      </w:r>
    </w:p>
    <w:p w14:paraId="37697BF9">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⒍我们愿按合同法履行自己的全部责任。</w:t>
      </w:r>
    </w:p>
    <w:p w14:paraId="155C7AA7">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⒎我方愿意遵守国家有关规定及招标文件中规定的收费标准，承付成交服务费。</w:t>
      </w:r>
    </w:p>
    <w:p w14:paraId="7C333B38">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⒏该项承诺在开标后的全过程中保持有效，不作任何更改和变动。</w:t>
      </w:r>
    </w:p>
    <w:p w14:paraId="5299AB04">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⒐我们同意按招标文件规定，交纳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大写：元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的投标保证金。并同意在确定最终成交供应商、发出成交通知书之后5个工作日内退还我公司的投标保证金。（如因特殊原因，在投标有效期之后确定成交供应商，本承诺依然有效。）</w:t>
      </w:r>
    </w:p>
    <w:p w14:paraId="26316ECB">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⒑综合说明：</w:t>
      </w:r>
    </w:p>
    <w:p w14:paraId="797EADFA">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（1）材料的详细技术参数、技术条件、技术标准、拟达到的质量标准和保险期限。</w:t>
      </w:r>
    </w:p>
    <w:p w14:paraId="18B93ED3">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（2）易损件、配件及供应方式。</w:t>
      </w:r>
    </w:p>
    <w:p w14:paraId="74F0DCFD">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（3）工程安装计划、组织机构及人员安排。</w:t>
      </w:r>
    </w:p>
    <w:p w14:paraId="617EBB79">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（5）技术服务。</w:t>
      </w:r>
    </w:p>
    <w:p w14:paraId="4048229A">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（6）运输方式。</w:t>
      </w:r>
    </w:p>
    <w:p w14:paraId="3E95F986">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（7）要求项目单位提供的配合。</w:t>
      </w:r>
    </w:p>
    <w:p w14:paraId="482040F3">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（8）对招标文件内容有不同意见的偏离说明。</w:t>
      </w:r>
    </w:p>
    <w:p w14:paraId="16B262A9">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（9）其它。</w:t>
      </w:r>
    </w:p>
    <w:p w14:paraId="4CA451C8">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11.所有有关本标书的函电，请按下列地址联系：</w:t>
      </w:r>
    </w:p>
    <w:p w14:paraId="30D1164A">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       位：</w:t>
      </w:r>
    </w:p>
    <w:p w14:paraId="00AE11C6">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p>
    <w:p w14:paraId="78F5F7D9">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p w14:paraId="5B024557">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p>
    <w:p w14:paraId="55AFCE3A">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 政 编 码：</w:t>
      </w:r>
    </w:p>
    <w:p w14:paraId="4F6E49B4">
      <w:pPr>
        <w:spacing w:line="360" w:lineRule="auto"/>
        <w:ind w:firstLine="56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p w14:paraId="14ECE970">
      <w:pPr>
        <w:spacing w:line="360" w:lineRule="auto"/>
        <w:ind w:firstLine="560"/>
        <w:outlineLvl w:val="9"/>
        <w:rPr>
          <w:rFonts w:hint="eastAsia" w:ascii="仿宋" w:hAnsi="仿宋" w:eastAsia="仿宋" w:cs="仿宋"/>
          <w:color w:val="auto"/>
          <w:sz w:val="24"/>
          <w:szCs w:val="24"/>
          <w:highlight w:val="none"/>
        </w:rPr>
      </w:pPr>
    </w:p>
    <w:p w14:paraId="0BFA407B">
      <w:pPr>
        <w:pStyle w:val="26"/>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投标单位名称</w:t>
      </w:r>
      <w:r>
        <w:rPr>
          <w:rFonts w:hint="eastAsia" w:ascii="仿宋" w:hAnsi="仿宋" w:eastAsia="仿宋" w:cs="仿宋"/>
          <w:color w:val="auto"/>
          <w:sz w:val="24"/>
          <w:szCs w:val="24"/>
          <w:highlight w:val="none"/>
        </w:rPr>
        <w:t>：（公章）</w:t>
      </w:r>
    </w:p>
    <w:p w14:paraId="0CB61646">
      <w:pPr>
        <w:pStyle w:val="26"/>
        <w:spacing w:line="360" w:lineRule="auto"/>
        <w:ind w:firstLine="480" w:firstLineChars="20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法定代表授权委托人：（签字</w:t>
      </w:r>
      <w:r>
        <w:rPr>
          <w:rFonts w:hint="eastAsia" w:ascii="仿宋" w:hAnsi="仿宋" w:eastAsia="仿宋" w:cs="仿宋"/>
          <w:color w:val="auto"/>
          <w:sz w:val="24"/>
          <w:szCs w:val="24"/>
          <w:highlight w:val="none"/>
          <w:lang w:val="en-US" w:eastAsia="zh-CN"/>
        </w:rPr>
        <w:t>或盖章</w:t>
      </w:r>
      <w:r>
        <w:rPr>
          <w:rFonts w:hint="eastAsia" w:ascii="仿宋" w:hAnsi="仿宋" w:eastAsia="仿宋" w:cs="仿宋"/>
          <w:color w:val="auto"/>
          <w:sz w:val="24"/>
          <w:szCs w:val="24"/>
          <w:highlight w:val="none"/>
        </w:rPr>
        <w:t>）</w:t>
      </w:r>
    </w:p>
    <w:p w14:paraId="16329564">
      <w:pPr>
        <w:pStyle w:val="26"/>
        <w:spacing w:line="360" w:lineRule="auto"/>
        <w:ind w:firstLine="1200" w:firstLineChars="5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0423DA8">
      <w:pPr>
        <w:pStyle w:val="26"/>
        <w:spacing w:line="360" w:lineRule="auto"/>
        <w:ind w:left="0" w:leftChars="0" w:firstLine="0" w:firstLineChars="0"/>
        <w:jc w:val="center"/>
        <w:outlineLvl w:val="1"/>
        <w:rPr>
          <w:rFonts w:hint="default" w:ascii="仿宋" w:hAnsi="仿宋" w:eastAsia="仿宋" w:cs="仿宋"/>
          <w:color w:val="auto"/>
          <w:highlight w:val="none"/>
          <w:lang w:val="en-US" w:eastAsia="zh-CN"/>
        </w:rPr>
      </w:pPr>
      <w:r>
        <w:rPr>
          <w:rFonts w:hint="eastAsia" w:ascii="仿宋" w:hAnsi="仿宋" w:eastAsia="仿宋" w:cs="仿宋"/>
          <w:color w:val="auto"/>
          <w:highlight w:val="none"/>
        </w:rPr>
        <w:br w:type="page"/>
      </w:r>
      <w:bookmarkStart w:id="140" w:name="_Toc18422"/>
      <w:bookmarkStart w:id="141" w:name="_Toc61184637"/>
      <w:bookmarkStart w:id="142" w:name="_Toc26466"/>
      <w:bookmarkStart w:id="143" w:name="_Toc56170394"/>
      <w:r>
        <w:rPr>
          <w:rFonts w:hint="eastAsia" w:ascii="仿宋" w:hAnsi="仿宋" w:eastAsia="仿宋" w:cs="仿宋"/>
          <w:color w:val="auto"/>
          <w:highlight w:val="none"/>
        </w:rPr>
        <w:t>附件二、法定代表人资格证明书</w:t>
      </w:r>
      <w:bookmarkEnd w:id="140"/>
      <w:bookmarkEnd w:id="141"/>
      <w:bookmarkEnd w:id="142"/>
      <w:bookmarkEnd w:id="143"/>
      <w:r>
        <w:rPr>
          <w:rFonts w:hint="eastAsia" w:ascii="仿宋" w:hAnsi="仿宋" w:eastAsia="仿宋" w:cs="仿宋"/>
          <w:color w:val="auto"/>
          <w:highlight w:val="none"/>
          <w:lang w:val="en-US" w:eastAsia="zh-CN"/>
        </w:rPr>
        <w:t>(法人投标时提供）</w:t>
      </w:r>
    </w:p>
    <w:p w14:paraId="78D3C8C8">
      <w:pPr>
        <w:spacing w:line="360" w:lineRule="auto"/>
        <w:outlineLvl w:val="9"/>
        <w:rPr>
          <w:rFonts w:hint="eastAsia" w:ascii="仿宋" w:hAnsi="仿宋" w:eastAsia="仿宋" w:cs="仿宋"/>
          <w:color w:val="auto"/>
          <w:szCs w:val="21"/>
          <w:highlight w:val="none"/>
        </w:rPr>
      </w:pPr>
    </w:p>
    <w:p w14:paraId="3FE7E41B">
      <w:pPr>
        <w:pStyle w:val="26"/>
        <w:spacing w:line="360" w:lineRule="auto"/>
        <w:ind w:firstLine="560"/>
        <w:outlineLvl w:val="9"/>
        <w:rPr>
          <w:rFonts w:hint="eastAsia" w:ascii="仿宋" w:hAnsi="仿宋" w:eastAsia="仿宋" w:cs="仿宋"/>
          <w:color w:val="auto"/>
          <w:sz w:val="24"/>
          <w:szCs w:val="18"/>
          <w:highlight w:val="none"/>
          <w:u w:val="single"/>
        </w:rPr>
      </w:pPr>
      <w:r>
        <w:rPr>
          <w:rFonts w:hint="eastAsia" w:ascii="仿宋" w:hAnsi="仿宋" w:eastAsia="仿宋" w:cs="仿宋"/>
          <w:color w:val="auto"/>
          <w:sz w:val="24"/>
          <w:szCs w:val="18"/>
          <w:highlight w:val="none"/>
        </w:rPr>
        <w:t>单位名称：</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w:t>
      </w:r>
    </w:p>
    <w:p w14:paraId="28036D8F">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地    址：</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w:t>
      </w:r>
    </w:p>
    <w:p w14:paraId="5D74F71B">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姓    名：</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性别：</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年龄：</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职务：</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w:t>
      </w:r>
    </w:p>
    <w:p w14:paraId="0CA259C4">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该同志系</w:t>
      </w:r>
      <w:r>
        <w:rPr>
          <w:rFonts w:hint="eastAsia" w:ascii="仿宋" w:hAnsi="仿宋" w:eastAsia="仿宋" w:cs="仿宋"/>
          <w:color w:val="auto"/>
          <w:sz w:val="24"/>
          <w:szCs w:val="18"/>
          <w:highlight w:val="none"/>
          <w:u w:val="single"/>
        </w:rPr>
        <w:t xml:space="preserve">                                  公司</w:t>
      </w:r>
      <w:r>
        <w:rPr>
          <w:rFonts w:hint="eastAsia" w:ascii="仿宋" w:hAnsi="仿宋" w:eastAsia="仿宋" w:cs="仿宋"/>
          <w:color w:val="auto"/>
          <w:sz w:val="24"/>
          <w:szCs w:val="18"/>
          <w:highlight w:val="none"/>
        </w:rPr>
        <w:t>的法定代表人。为参加本项目，签署上述的文件、进行合同谈判、签署合同和处理与之有关的一切事务。</w:t>
      </w:r>
    </w:p>
    <w:p w14:paraId="705B16CE">
      <w:pPr>
        <w:pStyle w:val="26"/>
        <w:spacing w:line="360" w:lineRule="auto"/>
        <w:ind w:firstLine="560"/>
        <w:outlineLvl w:val="9"/>
        <w:rPr>
          <w:rFonts w:hint="eastAsia" w:ascii="仿宋" w:hAnsi="仿宋" w:eastAsia="仿宋" w:cs="仿宋"/>
          <w:color w:val="auto"/>
          <w:sz w:val="24"/>
          <w:szCs w:val="18"/>
          <w:highlight w:val="none"/>
        </w:rPr>
      </w:pPr>
    </w:p>
    <w:p w14:paraId="1CAE296E">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特此证明</w:t>
      </w:r>
    </w:p>
    <w:p w14:paraId="0794A166">
      <w:pPr>
        <w:pStyle w:val="26"/>
        <w:spacing w:line="360" w:lineRule="auto"/>
        <w:ind w:firstLine="560"/>
        <w:outlineLvl w:val="9"/>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1312" behindDoc="0" locked="0" layoutInCell="1" allowOverlap="1">
                <wp:simplePos x="0" y="0"/>
                <wp:positionH relativeFrom="column">
                  <wp:posOffset>3171825</wp:posOffset>
                </wp:positionH>
                <wp:positionV relativeFrom="paragraph">
                  <wp:posOffset>191770</wp:posOffset>
                </wp:positionV>
                <wp:extent cx="2710180" cy="1793875"/>
                <wp:effectExtent l="12700" t="12700" r="20320" b="22225"/>
                <wp:wrapNone/>
                <wp:docPr id="6" name="圆角矩形 6"/>
                <wp:cNvGraphicFramePr/>
                <a:graphic xmlns:a="http://schemas.openxmlformats.org/drawingml/2006/main">
                  <a:graphicData uri="http://schemas.microsoft.com/office/word/2010/wordprocessingShape">
                    <wps:wsp>
                      <wps:cNvSpPr/>
                      <wps:spPr>
                        <a:xfrm>
                          <a:off x="0" y="0"/>
                          <a:ext cx="2710180" cy="1793875"/>
                        </a:xfrm>
                        <a:prstGeom prst="roundRect">
                          <a:avLst>
                            <a:gd name="adj" fmla="val 4035"/>
                          </a:avLst>
                        </a:prstGeom>
                        <a:noFill/>
                        <a:ln w="25400" cap="flat" cmpd="sng" algn="ctr">
                          <a:solidFill>
                            <a:srgbClr val="000000"/>
                          </a:solidFill>
                          <a:prstDash val="solid"/>
                        </a:ln>
                        <a:effectLst/>
                      </wps:spPr>
                      <wps:txbx>
                        <w:txbxContent>
                          <w:p w14:paraId="638B3971">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法人身份证反面</w:t>
                            </w:r>
                          </w:p>
                          <w:p w14:paraId="1817418A">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49.75pt;margin-top:15.1pt;height:141.25pt;width:213.4pt;z-index:251661312;v-text-anchor:middle;mso-width-relative:page;mso-height-relative:page;" filled="f" stroked="t" coordsize="21600,21600" arcsize="0.0403703703703704" o:gfxdata="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FsCyQ7WAAAACgEA&#10;AA8AAAAAAAAAAQAgAAAAIgAAAGRycy9kb3ducmV2LnhtbFBLAQIUABQAAAAIAIdO4kB3oNfujgIA&#10;AAQFAAAOAAAAAAAAAAEAIAAAACUBAABkcnMvZTJvRG9jLnhtbFBLBQYAAAAABgAGAFkBAAAlBgAA&#10;AAA=&#10;">
                <v:fill on="f" focussize="0,0"/>
                <v:stroke weight="2pt" color="#000000" joinstyle="round"/>
                <v:imagedata o:title=""/>
                <o:lock v:ext="edit" aspectratio="f"/>
                <v:textbox>
                  <w:txbxContent>
                    <w:p w14:paraId="638B3971">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法人身份证反面</w:t>
                      </w:r>
                    </w:p>
                    <w:p w14:paraId="1817418A">
                      <w:pPr>
                        <w:jc w:val="center"/>
                      </w:pPr>
                    </w:p>
                  </w:txbxContent>
                </v:textbox>
              </v:round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315595</wp:posOffset>
                </wp:positionH>
                <wp:positionV relativeFrom="paragraph">
                  <wp:posOffset>191770</wp:posOffset>
                </wp:positionV>
                <wp:extent cx="2710180" cy="1793875"/>
                <wp:effectExtent l="12700" t="12700" r="20320" b="22225"/>
                <wp:wrapNone/>
                <wp:docPr id="16" name="圆角矩形 16"/>
                <wp:cNvGraphicFramePr/>
                <a:graphic xmlns:a="http://schemas.openxmlformats.org/drawingml/2006/main">
                  <a:graphicData uri="http://schemas.microsoft.com/office/word/2010/wordprocessingShape">
                    <wps:wsp>
                      <wps:cNvSpPr/>
                      <wps:spPr>
                        <a:xfrm>
                          <a:off x="1072515" y="5060315"/>
                          <a:ext cx="2710180" cy="1793875"/>
                        </a:xfrm>
                        <a:prstGeom prst="roundRect">
                          <a:avLst>
                            <a:gd name="adj" fmla="val 4035"/>
                          </a:avLst>
                        </a:prstGeom>
                        <a:noFill/>
                        <a:ln w="25400" cap="flat" cmpd="sng" algn="ctr">
                          <a:solidFill>
                            <a:srgbClr val="000000"/>
                          </a:solidFill>
                          <a:prstDash val="solid"/>
                        </a:ln>
                        <a:effectLst/>
                      </wps:spPr>
                      <wps:txbx>
                        <w:txbxContent>
                          <w:p w14:paraId="5B467C39">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法人身份证正面</w:t>
                            </w:r>
                          </w:p>
                          <w:p w14:paraId="56FDB534">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4.85pt;margin-top:15.1pt;height:141.25pt;width:213.4pt;z-index:251660288;v-text-anchor:middle;mso-width-relative:page;mso-height-relative:page;" filled="f" stroked="t" coordsize="21600,21600" arcsize="0.0403703703703704" o:gfxdata="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livSstYAAAAJAQAADwAAAAAAAAABACAAAAAiAAAAZHJzL2Rvd25yZXYueG1sUEsBAhQAFAAA&#10;AAgAh07iQNEAMOmcAgAAEgUAAA4AAAAAAAAAAQAgAAAAJQEAAGRycy9lMm9Eb2MueG1sUEsFBgAA&#10;AAAGAAYAWQEAADMGAAAAAA==&#10;">
                <v:fill on="f" focussize="0,0"/>
                <v:stroke weight="2pt" color="#000000" joinstyle="round"/>
                <v:imagedata o:title=""/>
                <o:lock v:ext="edit" aspectratio="f"/>
                <v:textbox>
                  <w:txbxContent>
                    <w:p w14:paraId="5B467C39">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法人身份证正面</w:t>
                      </w:r>
                    </w:p>
                    <w:p w14:paraId="56FDB534">
                      <w:pPr>
                        <w:jc w:val="center"/>
                      </w:pPr>
                    </w:p>
                  </w:txbxContent>
                </v:textbox>
              </v:roundrect>
            </w:pict>
          </mc:Fallback>
        </mc:AlternateContent>
      </w:r>
    </w:p>
    <w:p w14:paraId="01DFBFBB">
      <w:pPr>
        <w:pStyle w:val="26"/>
        <w:spacing w:line="360" w:lineRule="auto"/>
        <w:ind w:firstLine="560"/>
        <w:jc w:val="left"/>
        <w:outlineLvl w:val="9"/>
        <w:rPr>
          <w:rFonts w:hint="eastAsia" w:ascii="仿宋" w:hAnsi="仿宋" w:eastAsia="仿宋" w:cs="仿宋"/>
          <w:color w:val="auto"/>
          <w:highlight w:val="none"/>
        </w:rPr>
      </w:pPr>
    </w:p>
    <w:p w14:paraId="2413DCFB">
      <w:pPr>
        <w:pStyle w:val="26"/>
        <w:spacing w:line="360" w:lineRule="auto"/>
        <w:ind w:firstLine="560"/>
        <w:outlineLvl w:val="9"/>
        <w:rPr>
          <w:rFonts w:hint="eastAsia" w:ascii="仿宋" w:hAnsi="仿宋" w:eastAsia="仿宋" w:cs="仿宋"/>
          <w:color w:val="auto"/>
          <w:highlight w:val="none"/>
        </w:rPr>
      </w:pPr>
    </w:p>
    <w:p w14:paraId="63D98877">
      <w:pPr>
        <w:pStyle w:val="26"/>
        <w:spacing w:line="360" w:lineRule="auto"/>
        <w:ind w:firstLine="560"/>
        <w:outlineLvl w:val="9"/>
        <w:rPr>
          <w:rFonts w:hint="eastAsia" w:ascii="仿宋" w:hAnsi="仿宋" w:eastAsia="仿宋" w:cs="仿宋"/>
          <w:color w:val="auto"/>
          <w:highlight w:val="none"/>
        </w:rPr>
      </w:pPr>
    </w:p>
    <w:p w14:paraId="6E4EB65E">
      <w:pPr>
        <w:pStyle w:val="26"/>
        <w:spacing w:line="360" w:lineRule="auto"/>
        <w:ind w:firstLine="4200" w:firstLineChars="1500"/>
        <w:outlineLvl w:val="9"/>
        <w:rPr>
          <w:rFonts w:hint="eastAsia" w:ascii="仿宋" w:hAnsi="仿宋" w:eastAsia="仿宋" w:cs="仿宋"/>
          <w:color w:val="auto"/>
          <w:highlight w:val="none"/>
        </w:rPr>
      </w:pPr>
    </w:p>
    <w:p w14:paraId="4141CD13">
      <w:pPr>
        <w:pStyle w:val="26"/>
        <w:spacing w:line="360" w:lineRule="auto"/>
        <w:ind w:firstLine="4200" w:firstLineChars="1500"/>
        <w:outlineLvl w:val="9"/>
        <w:rPr>
          <w:rFonts w:hint="eastAsia" w:ascii="仿宋" w:hAnsi="仿宋" w:eastAsia="仿宋" w:cs="仿宋"/>
          <w:color w:val="auto"/>
          <w:highlight w:val="none"/>
        </w:rPr>
      </w:pPr>
    </w:p>
    <w:p w14:paraId="5662BFAE">
      <w:pPr>
        <w:pStyle w:val="26"/>
        <w:spacing w:line="360" w:lineRule="auto"/>
        <w:jc w:val="left"/>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lang w:val="en-US" w:eastAsia="zh-CN"/>
        </w:rPr>
        <w:t>投标单位名称</w:t>
      </w:r>
      <w:r>
        <w:rPr>
          <w:rFonts w:hint="eastAsia" w:ascii="仿宋" w:hAnsi="仿宋" w:eastAsia="仿宋" w:cs="仿宋"/>
          <w:color w:val="auto"/>
          <w:sz w:val="24"/>
          <w:szCs w:val="18"/>
          <w:highlight w:val="none"/>
        </w:rPr>
        <w:t>：（公章）</w:t>
      </w:r>
    </w:p>
    <w:p w14:paraId="195CB7C9">
      <w:pPr>
        <w:pStyle w:val="26"/>
        <w:spacing w:line="360" w:lineRule="auto"/>
        <w:jc w:val="left"/>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法定代表人：（签字</w:t>
      </w:r>
      <w:r>
        <w:rPr>
          <w:rFonts w:hint="eastAsia" w:ascii="仿宋" w:hAnsi="仿宋" w:eastAsia="仿宋" w:cs="仿宋"/>
          <w:color w:val="auto"/>
          <w:sz w:val="24"/>
          <w:szCs w:val="18"/>
          <w:highlight w:val="none"/>
          <w:lang w:val="en-US" w:eastAsia="zh-CN"/>
        </w:rPr>
        <w:t>、盖章</w:t>
      </w:r>
      <w:r>
        <w:rPr>
          <w:rFonts w:hint="eastAsia" w:ascii="仿宋" w:hAnsi="仿宋" w:eastAsia="仿宋" w:cs="仿宋"/>
          <w:color w:val="auto"/>
          <w:sz w:val="24"/>
          <w:szCs w:val="18"/>
          <w:highlight w:val="none"/>
        </w:rPr>
        <w:t>）</w:t>
      </w:r>
    </w:p>
    <w:p w14:paraId="0DD97CDE">
      <w:pPr>
        <w:pStyle w:val="26"/>
        <w:spacing w:line="360" w:lineRule="auto"/>
        <w:ind w:firstLine="1200" w:firstLineChars="500"/>
        <w:jc w:val="left"/>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年      月     日</w:t>
      </w:r>
    </w:p>
    <w:p w14:paraId="68CD8412">
      <w:pPr>
        <w:pStyle w:val="26"/>
        <w:spacing w:line="360" w:lineRule="auto"/>
        <w:jc w:val="center"/>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0"/>
          <w:szCs w:val="18"/>
          <w:highlight w:val="none"/>
        </w:rPr>
        <w:br w:type="page"/>
      </w:r>
      <w:bookmarkStart w:id="144" w:name="_Toc61184638"/>
      <w:bookmarkStart w:id="145" w:name="_Toc56170395"/>
      <w:bookmarkStart w:id="146" w:name="_Toc3373"/>
      <w:bookmarkStart w:id="147" w:name="_Toc10811"/>
      <w:r>
        <w:rPr>
          <w:rFonts w:hint="eastAsia" w:ascii="仿宋" w:hAnsi="仿宋" w:eastAsia="仿宋" w:cs="仿宋"/>
          <w:color w:val="auto"/>
          <w:sz w:val="28"/>
          <w:szCs w:val="28"/>
          <w:highlight w:val="none"/>
        </w:rPr>
        <w:t>附件三、法定代表人授权委托书</w:t>
      </w:r>
      <w:bookmarkEnd w:id="144"/>
      <w:bookmarkEnd w:id="145"/>
      <w:bookmarkEnd w:id="146"/>
      <w:bookmarkEnd w:id="147"/>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授权代表人参加投标时提供</w:t>
      </w:r>
      <w:r>
        <w:rPr>
          <w:rFonts w:hint="eastAsia" w:ascii="仿宋" w:hAnsi="仿宋" w:eastAsia="仿宋" w:cs="仿宋"/>
          <w:color w:val="auto"/>
          <w:sz w:val="28"/>
          <w:szCs w:val="28"/>
          <w:highlight w:val="none"/>
          <w:lang w:eastAsia="zh-CN"/>
        </w:rPr>
        <w:t>）</w:t>
      </w:r>
    </w:p>
    <w:p w14:paraId="1A730DDD">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本授权委托书声明：我</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（姓名）系</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w:t>
      </w:r>
      <w:r>
        <w:rPr>
          <w:rFonts w:hint="eastAsia" w:ascii="仿宋" w:hAnsi="仿宋" w:eastAsia="仿宋" w:cs="仿宋"/>
          <w:color w:val="auto"/>
          <w:sz w:val="24"/>
          <w:szCs w:val="18"/>
          <w:highlight w:val="none"/>
          <w:lang w:val="en-US" w:eastAsia="zh-CN"/>
        </w:rPr>
        <w:t>投标人</w:t>
      </w:r>
      <w:r>
        <w:rPr>
          <w:rFonts w:hint="eastAsia" w:ascii="仿宋" w:hAnsi="仿宋" w:eastAsia="仿宋" w:cs="仿宋"/>
          <w:color w:val="auto"/>
          <w:sz w:val="24"/>
          <w:szCs w:val="18"/>
          <w:highlight w:val="none"/>
        </w:rPr>
        <w:t>名称）的法定代表人，现授权委托</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（单位名称）的</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（姓名）为我公司签署本项目投标文件的法定代表人授权委托代理人，全权代表我单位处理本次投标的有关事宜。代理人所签署的一切有关文件，我单位均予承认。</w:t>
      </w:r>
    </w:p>
    <w:p w14:paraId="1E22B369">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代理人无转委托权，特此声明！</w:t>
      </w:r>
    </w:p>
    <w:p w14:paraId="54413809">
      <w:pPr>
        <w:pStyle w:val="26"/>
        <w:spacing w:line="360" w:lineRule="auto"/>
        <w:ind w:firstLine="560"/>
        <w:outlineLvl w:val="9"/>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3104515</wp:posOffset>
                </wp:positionH>
                <wp:positionV relativeFrom="paragraph">
                  <wp:posOffset>38735</wp:posOffset>
                </wp:positionV>
                <wp:extent cx="2710180" cy="1588770"/>
                <wp:effectExtent l="12700" t="12700" r="20320" b="13970"/>
                <wp:wrapNone/>
                <wp:docPr id="17" name="圆角矩形 17"/>
                <wp:cNvGraphicFramePr/>
                <a:graphic xmlns:a="http://schemas.openxmlformats.org/drawingml/2006/main">
                  <a:graphicData uri="http://schemas.microsoft.com/office/word/2010/wordprocessingShape">
                    <wps:wsp>
                      <wps:cNvSpPr/>
                      <wps:spPr>
                        <a:xfrm>
                          <a:off x="0" y="0"/>
                          <a:ext cx="2710180" cy="1588770"/>
                        </a:xfrm>
                        <a:prstGeom prst="roundRect">
                          <a:avLst>
                            <a:gd name="adj" fmla="val 4035"/>
                          </a:avLst>
                        </a:prstGeom>
                        <a:noFill/>
                        <a:ln w="25400" cap="flat" cmpd="sng" algn="ctr">
                          <a:solidFill>
                            <a:srgbClr val="000000"/>
                          </a:solidFill>
                          <a:prstDash val="solid"/>
                        </a:ln>
                        <a:effectLst/>
                      </wps:spPr>
                      <wps:txbx>
                        <w:txbxContent>
                          <w:p w14:paraId="7AE27BCC">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被授权人身份证正面</w:t>
                            </w:r>
                          </w:p>
                          <w:p w14:paraId="3C78591B">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44.45pt;margin-top:3.05pt;height:125.1pt;width:213.4pt;z-index:251663360;v-text-anchor:middle;mso-width-relative:page;mso-height-relative:page;" filled="f" stroked="t" coordsize="21600,21600" arcsize="0.0403703703703704" o:gfxdata="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D7Xdd81gAAAAkB&#10;AAAPAAAAAAAAAAEAIAAAACIAAABkcnMvZG93bnJldi54bWxQSwECFAAUAAAACACHTuJAfOXys48C&#10;AAAGBQAADgAAAAAAAAABACAAAAAlAQAAZHJzL2Uyb0RvYy54bWxQSwUGAAAAAAYABgBZAQAAJgYA&#10;AAAA&#10;">
                <v:fill on="f" focussize="0,0"/>
                <v:stroke weight="2pt" color="#000000" joinstyle="round"/>
                <v:imagedata o:title=""/>
                <o:lock v:ext="edit" aspectratio="f"/>
                <v:textbox>
                  <w:txbxContent>
                    <w:p w14:paraId="7AE27BCC">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被授权人身份证正面</w:t>
                      </w:r>
                    </w:p>
                    <w:p w14:paraId="3C78591B">
                      <w:pPr>
                        <w:jc w:val="center"/>
                      </w:pPr>
                    </w:p>
                  </w:txbxContent>
                </v:textbox>
              </v:round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248285</wp:posOffset>
                </wp:positionH>
                <wp:positionV relativeFrom="paragraph">
                  <wp:posOffset>38735</wp:posOffset>
                </wp:positionV>
                <wp:extent cx="2710180" cy="1588770"/>
                <wp:effectExtent l="12700" t="12700" r="20320" b="13970"/>
                <wp:wrapNone/>
                <wp:docPr id="18" name="圆角矩形 18"/>
                <wp:cNvGraphicFramePr/>
                <a:graphic xmlns:a="http://schemas.openxmlformats.org/drawingml/2006/main">
                  <a:graphicData uri="http://schemas.microsoft.com/office/word/2010/wordprocessingShape">
                    <wps:wsp>
                      <wps:cNvSpPr/>
                      <wps:spPr>
                        <a:xfrm>
                          <a:off x="0" y="0"/>
                          <a:ext cx="2710180" cy="1588770"/>
                        </a:xfrm>
                        <a:prstGeom prst="roundRect">
                          <a:avLst>
                            <a:gd name="adj" fmla="val 4035"/>
                          </a:avLst>
                        </a:prstGeom>
                        <a:noFill/>
                        <a:ln w="25400" cap="flat" cmpd="sng" algn="ctr">
                          <a:solidFill>
                            <a:srgbClr val="000000"/>
                          </a:solidFill>
                          <a:prstDash val="solid"/>
                        </a:ln>
                        <a:effectLst/>
                      </wps:spPr>
                      <wps:txbx>
                        <w:txbxContent>
                          <w:p w14:paraId="381D88BC">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法人身份证正面</w:t>
                            </w:r>
                          </w:p>
                          <w:p w14:paraId="0B6EC298">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9.55pt;margin-top:3.05pt;height:125.1pt;width:213.4pt;z-index:251662336;v-text-anchor:middle;mso-width-relative:page;mso-height-relative:page;" filled="f" stroked="t" coordsize="21600,21600" arcsize="0.0403703703703704" o:gfxdata="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AgnZwl1gAAAAgB&#10;AAAPAAAAAAAAAAEAIAAAACIAAABkcnMvZG93bnJldi54bWxQSwECFAAUAAAACACHTuJANvF5A48C&#10;AAAGBQAADgAAAAAAAAABACAAAAAlAQAAZHJzL2Uyb0RvYy54bWxQSwUGAAAAAAYABgBZAQAAJgYA&#10;AAAA&#10;">
                <v:fill on="f" focussize="0,0"/>
                <v:stroke weight="2pt" color="#000000" joinstyle="round"/>
                <v:imagedata o:title=""/>
                <o:lock v:ext="edit" aspectratio="f"/>
                <v:textbox>
                  <w:txbxContent>
                    <w:p w14:paraId="381D88BC">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法人身份证正面</w:t>
                      </w:r>
                    </w:p>
                    <w:p w14:paraId="0B6EC298">
                      <w:pPr>
                        <w:jc w:val="center"/>
                      </w:pPr>
                    </w:p>
                  </w:txbxContent>
                </v:textbox>
              </v:roundrect>
            </w:pict>
          </mc:Fallback>
        </mc:AlternateContent>
      </w:r>
      <w:r>
        <w:rPr>
          <w:rFonts w:hint="eastAsia" w:ascii="仿宋" w:hAnsi="仿宋" w:eastAsia="仿宋" w:cs="仿宋"/>
          <w:color w:val="auto"/>
          <w:highlight w:val="none"/>
        </w:rPr>
        <w:t xml:space="preserve"> </w:t>
      </w:r>
    </w:p>
    <w:p w14:paraId="79BDADD9">
      <w:pPr>
        <w:pStyle w:val="26"/>
        <w:spacing w:line="360" w:lineRule="auto"/>
        <w:ind w:firstLine="560"/>
        <w:outlineLvl w:val="9"/>
        <w:rPr>
          <w:rFonts w:hint="eastAsia" w:ascii="仿宋" w:hAnsi="仿宋" w:eastAsia="仿宋" w:cs="仿宋"/>
          <w:color w:val="auto"/>
          <w:highlight w:val="none"/>
        </w:rPr>
      </w:pPr>
    </w:p>
    <w:p w14:paraId="02455D58">
      <w:pPr>
        <w:pStyle w:val="26"/>
        <w:spacing w:line="360" w:lineRule="auto"/>
        <w:ind w:firstLine="560"/>
        <w:outlineLvl w:val="9"/>
        <w:rPr>
          <w:rFonts w:hint="eastAsia" w:ascii="仿宋" w:hAnsi="仿宋" w:eastAsia="仿宋" w:cs="仿宋"/>
          <w:color w:val="auto"/>
          <w:highlight w:val="none"/>
        </w:rPr>
      </w:pPr>
    </w:p>
    <w:p w14:paraId="6669A14D">
      <w:pPr>
        <w:pStyle w:val="26"/>
        <w:spacing w:line="360" w:lineRule="auto"/>
        <w:ind w:firstLine="560"/>
        <w:outlineLvl w:val="9"/>
        <w:rPr>
          <w:rFonts w:hint="eastAsia" w:ascii="仿宋" w:hAnsi="仿宋" w:eastAsia="仿宋" w:cs="仿宋"/>
          <w:color w:val="auto"/>
          <w:highlight w:val="none"/>
        </w:rPr>
      </w:pPr>
    </w:p>
    <w:p w14:paraId="30276094">
      <w:pPr>
        <w:pStyle w:val="26"/>
        <w:spacing w:line="360" w:lineRule="auto"/>
        <w:ind w:firstLine="560"/>
        <w:outlineLvl w:val="9"/>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248285</wp:posOffset>
                </wp:positionH>
                <wp:positionV relativeFrom="paragraph">
                  <wp:posOffset>137160</wp:posOffset>
                </wp:positionV>
                <wp:extent cx="2710180" cy="1588770"/>
                <wp:effectExtent l="12700" t="12700" r="20320" b="13970"/>
                <wp:wrapNone/>
                <wp:docPr id="19" name="圆角矩形 19"/>
                <wp:cNvGraphicFramePr/>
                <a:graphic xmlns:a="http://schemas.openxmlformats.org/drawingml/2006/main">
                  <a:graphicData uri="http://schemas.microsoft.com/office/word/2010/wordprocessingShape">
                    <wps:wsp>
                      <wps:cNvSpPr/>
                      <wps:spPr>
                        <a:xfrm>
                          <a:off x="0" y="0"/>
                          <a:ext cx="2710180" cy="1588770"/>
                        </a:xfrm>
                        <a:prstGeom prst="roundRect">
                          <a:avLst>
                            <a:gd name="adj" fmla="val 4035"/>
                          </a:avLst>
                        </a:prstGeom>
                        <a:noFill/>
                        <a:ln w="25400" cap="flat" cmpd="sng" algn="ctr">
                          <a:solidFill>
                            <a:srgbClr val="000000"/>
                          </a:solidFill>
                          <a:prstDash val="solid"/>
                        </a:ln>
                        <a:effectLst/>
                      </wps:spPr>
                      <wps:txbx>
                        <w:txbxContent>
                          <w:p w14:paraId="21C63170">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法人身份证反面</w:t>
                            </w:r>
                          </w:p>
                          <w:p w14:paraId="7F877CE3">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9.55pt;margin-top:10.8pt;height:125.1pt;width:213.4pt;z-index:251664384;v-text-anchor:middle;mso-width-relative:page;mso-height-relative:page;" filled="f" stroked="t" coordsize="21600,21600" arcsize="0.0403703703703704" o:gfxdata="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DIbjs61gAAAAkB&#10;AAAPAAAAAAAAAAEAIAAAACIAAABkcnMvZG93bnJldi54bWxQSwECFAAUAAAACACHTuJAIsLNxI8C&#10;AAAGBQAADgAAAAAAAAABACAAAAAlAQAAZHJzL2Uyb0RvYy54bWxQSwUGAAAAAAYABgBZAQAAJgYA&#10;AAAA&#10;">
                <v:fill on="f" focussize="0,0"/>
                <v:stroke weight="2pt" color="#000000" joinstyle="round"/>
                <v:imagedata o:title=""/>
                <o:lock v:ext="edit" aspectratio="f"/>
                <v:textbox>
                  <w:txbxContent>
                    <w:p w14:paraId="21C63170">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法人身份证反面</w:t>
                      </w:r>
                    </w:p>
                    <w:p w14:paraId="7F877CE3">
                      <w:pPr>
                        <w:jc w:val="center"/>
                      </w:pPr>
                    </w:p>
                  </w:txbxContent>
                </v:textbox>
              </v:round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65408" behindDoc="0" locked="0" layoutInCell="1" allowOverlap="1">
                <wp:simplePos x="0" y="0"/>
                <wp:positionH relativeFrom="column">
                  <wp:posOffset>3104515</wp:posOffset>
                </wp:positionH>
                <wp:positionV relativeFrom="paragraph">
                  <wp:posOffset>137160</wp:posOffset>
                </wp:positionV>
                <wp:extent cx="2710180" cy="1588770"/>
                <wp:effectExtent l="12700" t="12700" r="20320" b="13970"/>
                <wp:wrapNone/>
                <wp:docPr id="20" name="圆角矩形 20"/>
                <wp:cNvGraphicFramePr/>
                <a:graphic xmlns:a="http://schemas.openxmlformats.org/drawingml/2006/main">
                  <a:graphicData uri="http://schemas.microsoft.com/office/word/2010/wordprocessingShape">
                    <wps:wsp>
                      <wps:cNvSpPr/>
                      <wps:spPr>
                        <a:xfrm>
                          <a:off x="0" y="0"/>
                          <a:ext cx="2710180" cy="1588770"/>
                        </a:xfrm>
                        <a:prstGeom prst="roundRect">
                          <a:avLst>
                            <a:gd name="adj" fmla="val 4035"/>
                          </a:avLst>
                        </a:prstGeom>
                        <a:noFill/>
                        <a:ln w="25400" cap="flat" cmpd="sng" algn="ctr">
                          <a:solidFill>
                            <a:srgbClr val="000000"/>
                          </a:solidFill>
                          <a:prstDash val="solid"/>
                        </a:ln>
                        <a:effectLst/>
                      </wps:spPr>
                      <wps:txbx>
                        <w:txbxContent>
                          <w:p w14:paraId="33E60517">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被授权人身份证反面</w:t>
                            </w:r>
                          </w:p>
                          <w:p w14:paraId="453A80DC">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44.45pt;margin-top:10.8pt;height:125.1pt;width:213.4pt;z-index:251665408;v-text-anchor:middle;mso-width-relative:page;mso-height-relative:page;" filled="f" stroked="t" coordsize="21600,21600" arcsize="0.0403703703703704" o:gfxdata="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A/IW6DWAAAACgEA&#10;AA8AAAAAAAAAAQAgAAAAIgAAAGRycy9kb3ducmV2LnhtbFBLAQIUABQAAAAIAIdO4kAB1kqmjgIA&#10;AAYFAAAOAAAAAAAAAAEAIAAAACUBAABkcnMvZTJvRG9jLnhtbFBLBQYAAAAABgAGAFkBAAAlBgAA&#10;AAA=&#10;">
                <v:fill on="f" focussize="0,0"/>
                <v:stroke weight="2pt" color="#000000" joinstyle="round"/>
                <v:imagedata o:title=""/>
                <o:lock v:ext="edit" aspectratio="f"/>
                <v:textbox>
                  <w:txbxContent>
                    <w:p w14:paraId="33E60517">
                      <w:pPr>
                        <w:pStyle w:val="26"/>
                        <w:spacing w:line="360" w:lineRule="auto"/>
                        <w:ind w:firstLine="0" w:firstLineChars="0"/>
                        <w:jc w:val="center"/>
                        <w:rPr>
                          <w:rFonts w:ascii="仿宋" w:hAnsi="仿宋" w:eastAsia="仿宋"/>
                          <w:color w:val="000000"/>
                        </w:rPr>
                      </w:pPr>
                      <w:r>
                        <w:rPr>
                          <w:rFonts w:hint="eastAsia" w:ascii="仿宋" w:hAnsi="仿宋" w:eastAsia="仿宋"/>
                          <w:color w:val="000000"/>
                        </w:rPr>
                        <w:t>被授权人身份证反面</w:t>
                      </w:r>
                    </w:p>
                    <w:p w14:paraId="453A80DC">
                      <w:pPr>
                        <w:jc w:val="center"/>
                      </w:pPr>
                    </w:p>
                  </w:txbxContent>
                </v:textbox>
              </v:roundrect>
            </w:pict>
          </mc:Fallback>
        </mc:AlternateContent>
      </w:r>
    </w:p>
    <w:p w14:paraId="1E25A244">
      <w:pPr>
        <w:pStyle w:val="26"/>
        <w:spacing w:line="360" w:lineRule="auto"/>
        <w:ind w:firstLine="560"/>
        <w:outlineLvl w:val="9"/>
        <w:rPr>
          <w:rFonts w:hint="eastAsia" w:ascii="仿宋" w:hAnsi="仿宋" w:eastAsia="仿宋" w:cs="仿宋"/>
          <w:color w:val="auto"/>
          <w:highlight w:val="none"/>
        </w:rPr>
      </w:pPr>
    </w:p>
    <w:p w14:paraId="6AFEBC1B">
      <w:pPr>
        <w:pStyle w:val="26"/>
        <w:spacing w:line="360" w:lineRule="auto"/>
        <w:ind w:firstLine="560"/>
        <w:outlineLvl w:val="9"/>
        <w:rPr>
          <w:rFonts w:hint="eastAsia" w:ascii="仿宋" w:hAnsi="仿宋" w:eastAsia="仿宋" w:cs="仿宋"/>
          <w:color w:val="auto"/>
          <w:highlight w:val="none"/>
        </w:rPr>
      </w:pPr>
    </w:p>
    <w:p w14:paraId="50012EFF">
      <w:pPr>
        <w:pStyle w:val="26"/>
        <w:spacing w:line="360" w:lineRule="auto"/>
        <w:ind w:firstLine="0" w:firstLineChars="0"/>
        <w:outlineLvl w:val="9"/>
        <w:rPr>
          <w:rFonts w:hint="eastAsia" w:ascii="仿宋" w:hAnsi="仿宋" w:eastAsia="仿宋" w:cs="仿宋"/>
          <w:color w:val="auto"/>
          <w:highlight w:val="none"/>
        </w:rPr>
      </w:pPr>
    </w:p>
    <w:p w14:paraId="7EE61D4A">
      <w:pPr>
        <w:pStyle w:val="26"/>
        <w:spacing w:line="360" w:lineRule="auto"/>
        <w:ind w:firstLine="0" w:firstLineChars="0"/>
        <w:outlineLvl w:val="9"/>
        <w:rPr>
          <w:rFonts w:hint="eastAsia" w:ascii="仿宋" w:hAnsi="仿宋" w:eastAsia="仿宋" w:cs="仿宋"/>
          <w:color w:val="auto"/>
          <w:highlight w:val="none"/>
        </w:rPr>
      </w:pPr>
    </w:p>
    <w:p w14:paraId="70FF3329">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代理人：姓名：</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性别：</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年龄：</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w:t>
      </w:r>
    </w:p>
    <w:p w14:paraId="44032BAD">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身份证号码：</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职务：</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w:t>
      </w:r>
    </w:p>
    <w:p w14:paraId="51ABFCBF">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lang w:val="en-US" w:eastAsia="zh-CN"/>
        </w:rPr>
        <w:t>投标人名称</w:t>
      </w:r>
      <w:r>
        <w:rPr>
          <w:rFonts w:hint="eastAsia" w:ascii="仿宋" w:hAnsi="仿宋" w:eastAsia="仿宋" w:cs="仿宋"/>
          <w:color w:val="auto"/>
          <w:sz w:val="24"/>
          <w:szCs w:val="18"/>
          <w:highlight w:val="none"/>
        </w:rPr>
        <w:t>：</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（盖章）</w:t>
      </w:r>
    </w:p>
    <w:p w14:paraId="6CB7FCBF">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法定代表人</w:t>
      </w:r>
      <w:r>
        <w:rPr>
          <w:rFonts w:hint="eastAsia" w:ascii="仿宋" w:hAnsi="仿宋" w:eastAsia="仿宋" w:cs="仿宋"/>
          <w:color w:val="auto"/>
          <w:sz w:val="24"/>
          <w:szCs w:val="18"/>
          <w:highlight w:val="none"/>
          <w:lang w:eastAsia="zh-CN"/>
        </w:rPr>
        <w:t>、</w:t>
      </w:r>
      <w:r>
        <w:rPr>
          <w:rFonts w:hint="eastAsia" w:ascii="仿宋" w:hAnsi="仿宋" w:eastAsia="仿宋" w:cs="仿宋"/>
          <w:color w:val="auto"/>
          <w:sz w:val="24"/>
          <w:szCs w:val="18"/>
          <w:highlight w:val="none"/>
        </w:rPr>
        <w:t>法定代表授权委托人：</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（签字</w:t>
      </w:r>
      <w:r>
        <w:rPr>
          <w:rFonts w:hint="eastAsia" w:ascii="仿宋" w:hAnsi="仿宋" w:eastAsia="仿宋" w:cs="仿宋"/>
          <w:color w:val="auto"/>
          <w:sz w:val="24"/>
          <w:szCs w:val="18"/>
          <w:highlight w:val="none"/>
          <w:lang w:val="en-US" w:eastAsia="zh-CN"/>
        </w:rPr>
        <w:t>或盖章</w:t>
      </w:r>
      <w:r>
        <w:rPr>
          <w:rFonts w:hint="eastAsia" w:ascii="仿宋" w:hAnsi="仿宋" w:eastAsia="仿宋" w:cs="仿宋"/>
          <w:color w:val="auto"/>
          <w:sz w:val="24"/>
          <w:szCs w:val="18"/>
          <w:highlight w:val="none"/>
        </w:rPr>
        <w:t>）</w:t>
      </w:r>
    </w:p>
    <w:p w14:paraId="6D382565">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授权委托日期：</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年</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月</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日</w:t>
      </w:r>
    </w:p>
    <w:p w14:paraId="048AA669">
      <w:pPr>
        <w:pStyle w:val="26"/>
        <w:spacing w:line="360" w:lineRule="auto"/>
        <w:ind w:firstLine="560"/>
        <w:outlineLvl w:val="9"/>
        <w:rPr>
          <w:rFonts w:hint="eastAsia" w:ascii="仿宋" w:hAnsi="仿宋" w:eastAsia="仿宋" w:cs="仿宋"/>
          <w:color w:val="auto"/>
          <w:sz w:val="24"/>
          <w:szCs w:val="18"/>
          <w:highlight w:val="none"/>
        </w:rPr>
      </w:pPr>
    </w:p>
    <w:p w14:paraId="66657452">
      <w:pPr>
        <w:jc w:val="center"/>
        <w:outlineLvl w:val="1"/>
        <w:rPr>
          <w:rFonts w:hint="eastAsia" w:ascii="仿宋" w:hAnsi="仿宋" w:eastAsia="仿宋" w:cs="仿宋"/>
          <w:color w:val="auto"/>
          <w:highlight w:val="none"/>
        </w:rPr>
      </w:pPr>
      <w:r>
        <w:rPr>
          <w:rFonts w:hint="eastAsia" w:ascii="仿宋" w:hAnsi="仿宋" w:eastAsia="仿宋" w:cs="仿宋"/>
          <w:color w:val="auto"/>
          <w:highlight w:val="none"/>
        </w:rPr>
        <w:br w:type="page"/>
      </w:r>
      <w:bookmarkStart w:id="148" w:name="_Toc21188"/>
      <w:bookmarkStart w:id="149" w:name="_Toc56170396"/>
      <w:bookmarkStart w:id="150" w:name="_Toc61184639"/>
      <w:bookmarkStart w:id="151" w:name="_Toc9301"/>
      <w:r>
        <w:rPr>
          <w:rFonts w:hint="eastAsia" w:ascii="仿宋" w:hAnsi="仿宋" w:eastAsia="仿宋" w:cs="仿宋"/>
          <w:color w:val="auto"/>
          <w:sz w:val="28"/>
          <w:szCs w:val="28"/>
          <w:highlight w:val="none"/>
        </w:rPr>
        <w:t>附件四、关于招标文件的声明函</w:t>
      </w:r>
      <w:bookmarkEnd w:id="148"/>
      <w:bookmarkEnd w:id="149"/>
      <w:bookmarkEnd w:id="150"/>
      <w:bookmarkEnd w:id="151"/>
    </w:p>
    <w:p w14:paraId="4AD07237">
      <w:pPr>
        <w:adjustRightInd w:val="0"/>
        <w:snapToGrid w:val="0"/>
        <w:spacing w:line="360" w:lineRule="auto"/>
        <w:ind w:firstLine="560" w:firstLineChars="200"/>
        <w:outlineLvl w:val="9"/>
        <w:rPr>
          <w:rFonts w:hint="eastAsia" w:ascii="仿宋" w:hAnsi="仿宋" w:eastAsia="仿宋" w:cs="仿宋"/>
          <w:color w:val="auto"/>
          <w:sz w:val="28"/>
          <w:szCs w:val="28"/>
          <w:highlight w:val="none"/>
        </w:rPr>
      </w:pPr>
    </w:p>
    <w:p w14:paraId="64B5C3E0">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致：</w:t>
      </w:r>
      <w:r>
        <w:rPr>
          <w:rFonts w:hint="eastAsia" w:ascii="仿宋" w:hAnsi="仿宋" w:eastAsia="仿宋" w:cs="仿宋"/>
          <w:color w:val="auto"/>
          <w:sz w:val="24"/>
          <w:szCs w:val="18"/>
          <w:highlight w:val="none"/>
          <w:lang w:eastAsia="zh-CN"/>
        </w:rPr>
        <w:t>新疆浩瑞兴建设工程项目管理咨询有限公司</w:t>
      </w:r>
      <w:r>
        <w:rPr>
          <w:rFonts w:hint="eastAsia" w:ascii="仿宋" w:hAnsi="仿宋" w:eastAsia="仿宋" w:cs="仿宋"/>
          <w:color w:val="auto"/>
          <w:sz w:val="24"/>
          <w:szCs w:val="18"/>
          <w:highlight w:val="none"/>
        </w:rPr>
        <w:t>：</w:t>
      </w:r>
    </w:p>
    <w:p w14:paraId="1CDDEE9B">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为响应你方</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年</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月</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日的</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投标邀请，下述签字人自愿参与投标，提供招标文件技术需求书中规定的</w:t>
      </w:r>
      <w:r>
        <w:rPr>
          <w:rFonts w:hint="eastAsia" w:ascii="仿宋" w:hAnsi="仿宋" w:eastAsia="仿宋" w:cs="仿宋"/>
          <w:color w:val="auto"/>
          <w:sz w:val="24"/>
          <w:szCs w:val="18"/>
          <w:highlight w:val="none"/>
          <w:u w:val="single"/>
        </w:rPr>
        <w:t xml:space="preserve">         </w:t>
      </w:r>
      <w:r>
        <w:rPr>
          <w:rFonts w:hint="eastAsia" w:ascii="仿宋" w:hAnsi="仿宋" w:eastAsia="仿宋" w:cs="仿宋"/>
          <w:color w:val="auto"/>
          <w:sz w:val="24"/>
          <w:szCs w:val="18"/>
          <w:highlight w:val="none"/>
        </w:rPr>
        <w:t>项目，提交下述文件并声明全部说明是真实的和正确的。下述签字人将就下述文件中存在的虚假或不真实内容对采购代理机构和采购人承担法律责任。</w:t>
      </w:r>
    </w:p>
    <w:p w14:paraId="0A418527">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下述签字人证明本资格文件中的内容是真实的和正确的。</w:t>
      </w:r>
    </w:p>
    <w:p w14:paraId="29E70B5C">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下述签字人知道，采购人可能要求其提供进一步的资格材料并同意按采购人的要求提交。</w:t>
      </w:r>
    </w:p>
    <w:p w14:paraId="2724B0FC">
      <w:pPr>
        <w:pStyle w:val="26"/>
        <w:spacing w:line="360" w:lineRule="auto"/>
        <w:outlineLvl w:val="9"/>
        <w:rPr>
          <w:rFonts w:hint="eastAsia" w:ascii="仿宋" w:hAnsi="仿宋" w:eastAsia="仿宋" w:cs="仿宋"/>
          <w:color w:val="auto"/>
          <w:sz w:val="24"/>
          <w:szCs w:val="18"/>
          <w:highlight w:val="none"/>
          <w:lang w:val="en-US" w:eastAsia="zh-CN"/>
        </w:rPr>
      </w:pPr>
    </w:p>
    <w:p w14:paraId="50B29069">
      <w:pPr>
        <w:pStyle w:val="26"/>
        <w:spacing w:line="360" w:lineRule="auto"/>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lang w:val="en-US" w:eastAsia="zh-CN"/>
        </w:rPr>
        <w:t>投标单位名称</w:t>
      </w:r>
      <w:r>
        <w:rPr>
          <w:rFonts w:hint="eastAsia" w:ascii="仿宋" w:hAnsi="仿宋" w:eastAsia="仿宋" w:cs="仿宋"/>
          <w:color w:val="auto"/>
          <w:sz w:val="24"/>
          <w:szCs w:val="18"/>
          <w:highlight w:val="none"/>
        </w:rPr>
        <w:t>：（公章）</w:t>
      </w:r>
    </w:p>
    <w:p w14:paraId="1AB60E63">
      <w:pPr>
        <w:pStyle w:val="26"/>
        <w:spacing w:line="360" w:lineRule="auto"/>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法定代表人</w:t>
      </w:r>
      <w:r>
        <w:rPr>
          <w:rFonts w:hint="eastAsia" w:ascii="仿宋" w:hAnsi="仿宋" w:eastAsia="仿宋" w:cs="仿宋"/>
          <w:color w:val="auto"/>
          <w:sz w:val="24"/>
          <w:szCs w:val="18"/>
          <w:highlight w:val="none"/>
          <w:lang w:val="en-US" w:eastAsia="zh-CN"/>
        </w:rPr>
        <w:t>、</w:t>
      </w:r>
      <w:r>
        <w:rPr>
          <w:rFonts w:hint="eastAsia" w:ascii="仿宋" w:hAnsi="仿宋" w:eastAsia="仿宋" w:cs="仿宋"/>
          <w:color w:val="auto"/>
          <w:sz w:val="24"/>
          <w:szCs w:val="18"/>
          <w:highlight w:val="none"/>
        </w:rPr>
        <w:t>法定代表授权委托人：（签字</w:t>
      </w:r>
      <w:r>
        <w:rPr>
          <w:rFonts w:hint="eastAsia" w:ascii="仿宋" w:hAnsi="仿宋" w:eastAsia="仿宋" w:cs="仿宋"/>
          <w:color w:val="auto"/>
          <w:sz w:val="24"/>
          <w:szCs w:val="18"/>
          <w:highlight w:val="none"/>
          <w:lang w:val="en-US" w:eastAsia="zh-CN"/>
        </w:rPr>
        <w:t>或盖章</w:t>
      </w:r>
      <w:r>
        <w:rPr>
          <w:rFonts w:hint="eastAsia" w:ascii="仿宋" w:hAnsi="仿宋" w:eastAsia="仿宋" w:cs="仿宋"/>
          <w:color w:val="auto"/>
          <w:sz w:val="24"/>
          <w:szCs w:val="18"/>
          <w:highlight w:val="none"/>
        </w:rPr>
        <w:t>）</w:t>
      </w:r>
    </w:p>
    <w:p w14:paraId="4CBD62B0">
      <w:pPr>
        <w:pStyle w:val="26"/>
        <w:spacing w:line="360" w:lineRule="auto"/>
        <w:ind w:firstLine="1200" w:firstLineChars="50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年      月     日</w:t>
      </w:r>
    </w:p>
    <w:p w14:paraId="37612DAD">
      <w:pPr>
        <w:jc w:val="center"/>
        <w:outlineLvl w:val="1"/>
        <w:rPr>
          <w:rFonts w:hint="eastAsia" w:ascii="仿宋" w:hAnsi="仿宋" w:eastAsia="仿宋" w:cs="仿宋"/>
          <w:color w:val="auto"/>
          <w:highlight w:val="none"/>
        </w:rPr>
      </w:pPr>
      <w:r>
        <w:rPr>
          <w:rFonts w:hint="eastAsia" w:ascii="仿宋" w:hAnsi="仿宋" w:eastAsia="仿宋" w:cs="仿宋"/>
          <w:color w:val="auto"/>
          <w:sz w:val="20"/>
          <w:szCs w:val="18"/>
          <w:highlight w:val="none"/>
        </w:rPr>
        <w:br w:type="page"/>
      </w:r>
      <w:bookmarkStart w:id="152" w:name="_Toc56170397"/>
      <w:bookmarkStart w:id="153" w:name="_Toc61184640"/>
      <w:bookmarkStart w:id="154" w:name="_Toc29264"/>
      <w:bookmarkStart w:id="155" w:name="_Toc5174"/>
      <w:r>
        <w:rPr>
          <w:rFonts w:hint="eastAsia" w:ascii="仿宋" w:hAnsi="仿宋" w:eastAsia="仿宋" w:cs="仿宋"/>
          <w:color w:val="auto"/>
          <w:sz w:val="28"/>
          <w:szCs w:val="28"/>
          <w:highlight w:val="none"/>
        </w:rPr>
        <w:t>附件五、诚信投标承诺书</w:t>
      </w:r>
      <w:bookmarkEnd w:id="152"/>
      <w:bookmarkEnd w:id="153"/>
      <w:bookmarkEnd w:id="154"/>
      <w:bookmarkEnd w:id="155"/>
    </w:p>
    <w:p w14:paraId="0890C398">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本人以企业法定代表人的身份郑重承诺：</w:t>
      </w:r>
    </w:p>
    <w:p w14:paraId="26573A86">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一、招标文件中所提供的一切材料都是真实、有效、合法的；</w:t>
      </w:r>
    </w:p>
    <w:p w14:paraId="43BB5D0C">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二、不以他人名义投标或者以其他方式弄虚作假，骗取成交；</w:t>
      </w:r>
    </w:p>
    <w:p w14:paraId="48DEF82C">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三、不与其他供应商互相串通投标，不排挤其他供应商的公平竞争，不损害供应商的合法权益；</w:t>
      </w:r>
    </w:p>
    <w:p w14:paraId="1034863E">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四、不与采购人或者采购代理机构串通投标，损害国家利益、社会公共利益或者他人的合法权益；</w:t>
      </w:r>
    </w:p>
    <w:p w14:paraId="0831B7CA">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五、不向采购人或者评标委员会成员行贿以牟取成交；</w:t>
      </w:r>
    </w:p>
    <w:p w14:paraId="04EF5506">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六、如在开标过程和公示期间需要投诉，则保证按照《中华人民共和国招标投标法》的要求进行。投诉的内容和程序符合法律法规的规定，投诉材料加盖企业公章或由法定代表人或授权委托人签字，并附有相关身份证明复印件；</w:t>
      </w:r>
    </w:p>
    <w:p w14:paraId="292408D4">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七、遵守《中华人民共和国政府采购法》、《政府采购货物和服务招标投标管理办法》（财政部87号令）、《财政部关于加强政府采购货物和服务项目价格评审管理的通知》（财库【2007】2号文）和《政府采购非招标采购方式管理办法》（财政部74号令）的规定，保证不进行恶意投诉。</w:t>
      </w:r>
    </w:p>
    <w:p w14:paraId="0CE71991">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以上内容我已仔细阅读。如若违反上述承诺或形成恶意投诉，我们自愿接受以下一种或几种处罚：自动放弃成交供应商资格、限制以后投标、记入不良信用档案、没收本次投标保证金，并愿意承担由此引起的其他法律责任。</w:t>
      </w:r>
    </w:p>
    <w:p w14:paraId="6F886046">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lang w:val="en-US" w:eastAsia="zh-CN"/>
        </w:rPr>
        <w:t>投标单位名称</w:t>
      </w:r>
      <w:r>
        <w:rPr>
          <w:rFonts w:hint="eastAsia" w:ascii="仿宋" w:hAnsi="仿宋" w:eastAsia="仿宋" w:cs="仿宋"/>
          <w:color w:val="auto"/>
          <w:sz w:val="24"/>
          <w:szCs w:val="18"/>
          <w:highlight w:val="none"/>
        </w:rPr>
        <w:t>：（公章）</w:t>
      </w:r>
    </w:p>
    <w:p w14:paraId="7B2E9E47">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法定代表人</w:t>
      </w:r>
      <w:r>
        <w:rPr>
          <w:rFonts w:hint="eastAsia" w:ascii="仿宋" w:hAnsi="仿宋" w:eastAsia="仿宋" w:cs="仿宋"/>
          <w:color w:val="auto"/>
          <w:sz w:val="24"/>
          <w:szCs w:val="18"/>
          <w:highlight w:val="none"/>
          <w:lang w:val="en-US" w:eastAsia="zh-CN"/>
        </w:rPr>
        <w:t>、</w:t>
      </w:r>
      <w:r>
        <w:rPr>
          <w:rFonts w:hint="eastAsia" w:ascii="仿宋" w:hAnsi="仿宋" w:eastAsia="仿宋" w:cs="仿宋"/>
          <w:color w:val="auto"/>
          <w:sz w:val="24"/>
          <w:szCs w:val="18"/>
          <w:highlight w:val="none"/>
        </w:rPr>
        <w:t>法定代表授权委托人：（签字</w:t>
      </w:r>
      <w:r>
        <w:rPr>
          <w:rFonts w:hint="eastAsia" w:ascii="仿宋" w:hAnsi="仿宋" w:eastAsia="仿宋" w:cs="仿宋"/>
          <w:color w:val="auto"/>
          <w:sz w:val="24"/>
          <w:szCs w:val="18"/>
          <w:highlight w:val="none"/>
          <w:lang w:val="en-US" w:eastAsia="zh-CN"/>
        </w:rPr>
        <w:t>或盖章</w:t>
      </w:r>
      <w:r>
        <w:rPr>
          <w:rFonts w:hint="eastAsia" w:ascii="仿宋" w:hAnsi="仿宋" w:eastAsia="仿宋" w:cs="仿宋"/>
          <w:color w:val="auto"/>
          <w:sz w:val="24"/>
          <w:szCs w:val="18"/>
          <w:highlight w:val="none"/>
        </w:rPr>
        <w:t>）</w:t>
      </w:r>
    </w:p>
    <w:p w14:paraId="2401B2F4">
      <w:pPr>
        <w:pStyle w:val="26"/>
        <w:spacing w:line="360" w:lineRule="auto"/>
        <w:ind w:firstLine="1200" w:firstLineChars="500"/>
        <w:jc w:val="both"/>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      月     日</w:t>
      </w:r>
    </w:p>
    <w:p w14:paraId="0E8DF9D2">
      <w:pPr>
        <w:jc w:val="center"/>
        <w:outlineLvl w:val="1"/>
        <w:rPr>
          <w:rFonts w:hint="eastAsia" w:ascii="仿宋" w:hAnsi="仿宋" w:eastAsia="仿宋" w:cs="仿宋"/>
          <w:color w:val="auto"/>
          <w:sz w:val="28"/>
          <w:szCs w:val="28"/>
          <w:highlight w:val="none"/>
        </w:rPr>
      </w:pPr>
      <w:bookmarkStart w:id="156" w:name="_Toc435087575"/>
      <w:bookmarkStart w:id="157" w:name="_Toc30642"/>
      <w:bookmarkStart w:id="158" w:name="_Toc61184641"/>
      <w:bookmarkStart w:id="159" w:name="_Toc29347"/>
      <w:bookmarkStart w:id="160" w:name="_Toc56170398"/>
    </w:p>
    <w:p w14:paraId="4D01F7E4">
      <w:pPr>
        <w:jc w:val="center"/>
        <w:outlineLvl w:val="1"/>
        <w:rPr>
          <w:rFonts w:hint="eastAsia" w:ascii="仿宋" w:hAnsi="仿宋" w:eastAsia="仿宋" w:cs="仿宋"/>
          <w:color w:val="auto"/>
          <w:sz w:val="28"/>
          <w:szCs w:val="28"/>
          <w:highlight w:val="none"/>
        </w:rPr>
      </w:pPr>
    </w:p>
    <w:p w14:paraId="15F458E1">
      <w:pPr>
        <w:jc w:val="center"/>
        <w:outlineLvl w:val="1"/>
        <w:rPr>
          <w:rFonts w:hint="eastAsia" w:ascii="仿宋" w:hAnsi="仿宋" w:eastAsia="仿宋" w:cs="仿宋"/>
          <w:color w:val="auto"/>
          <w:sz w:val="28"/>
          <w:szCs w:val="28"/>
          <w:highlight w:val="none"/>
        </w:rPr>
      </w:pPr>
    </w:p>
    <w:p w14:paraId="0E230DF1">
      <w:pPr>
        <w:jc w:val="center"/>
        <w:outlineLvl w:val="1"/>
        <w:rPr>
          <w:rFonts w:hint="eastAsia" w:ascii="仿宋" w:hAnsi="仿宋" w:eastAsia="仿宋" w:cs="仿宋"/>
          <w:color w:val="auto"/>
          <w:sz w:val="28"/>
          <w:szCs w:val="28"/>
          <w:highlight w:val="none"/>
        </w:rPr>
      </w:pPr>
    </w:p>
    <w:p w14:paraId="19DFB48A">
      <w:pPr>
        <w:jc w:val="center"/>
        <w:outlineLvl w:val="1"/>
        <w:rPr>
          <w:rFonts w:hint="eastAsia" w:ascii="仿宋" w:hAnsi="仿宋" w:eastAsia="仿宋" w:cs="仿宋"/>
          <w:color w:val="auto"/>
          <w:sz w:val="28"/>
          <w:szCs w:val="28"/>
          <w:highlight w:val="none"/>
        </w:rPr>
      </w:pPr>
    </w:p>
    <w:p w14:paraId="37E02BD9">
      <w:pPr>
        <w:jc w:val="center"/>
        <w:outlineLvl w:val="1"/>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w:t>
      </w:r>
      <w:bookmarkEnd w:id="156"/>
      <w:r>
        <w:rPr>
          <w:rFonts w:hint="eastAsia" w:ascii="仿宋" w:hAnsi="仿宋" w:eastAsia="仿宋" w:cs="仿宋"/>
          <w:color w:val="auto"/>
          <w:sz w:val="28"/>
          <w:szCs w:val="28"/>
          <w:highlight w:val="none"/>
        </w:rPr>
        <w:t>六、供应商反商业贿赂承诺书</w:t>
      </w:r>
      <w:bookmarkEnd w:id="157"/>
      <w:bookmarkEnd w:id="158"/>
      <w:bookmarkEnd w:id="159"/>
      <w:bookmarkEnd w:id="160"/>
    </w:p>
    <w:p w14:paraId="55FF1CC2">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lang w:val="zh-CN"/>
        </w:rPr>
      </w:pPr>
    </w:p>
    <w:p w14:paraId="5366DEA1">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在</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none"/>
          <w:lang w:val="en-US" w:eastAsia="zh-CN"/>
        </w:rPr>
        <w:t>项目编</w:t>
      </w:r>
      <w:r>
        <w:rPr>
          <w:rFonts w:hint="eastAsia" w:ascii="仿宋" w:hAnsi="仿宋" w:eastAsia="仿宋" w:cs="仿宋"/>
          <w:color w:val="auto"/>
          <w:kern w:val="0"/>
          <w:sz w:val="24"/>
          <w:szCs w:val="24"/>
          <w:highlight w:val="none"/>
          <w:u w:val="none"/>
        </w:rPr>
        <w:t>号</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项目）招标活动中，我公司承诺如下 ：</w:t>
      </w:r>
    </w:p>
    <w:p w14:paraId="3EC4310E">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1、不给予国家工作人员及其亲属各种形式的商业贿赂（包括送礼金礼品、有价证券、购物券、回扣、佣金、咨询费、劳务费、赞助费、宣传费、支付旅游费用、报销各种消费凭证、宴请、娱乐等）；</w:t>
      </w:r>
    </w:p>
    <w:p w14:paraId="6AEBB20C">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2、不与采购人相互勾结私下协议，弄虚作假，搞假投标、陪标、串通投标，明招暗定，暗箱操作。</w:t>
      </w:r>
    </w:p>
    <w:p w14:paraId="58ECA487">
      <w:pPr>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3、我公司法人及项目参与人员有亲戚担任业主方副科级以上领导职务时，自愿放弃此次投标权。</w:t>
      </w:r>
    </w:p>
    <w:p w14:paraId="2FD62BA2">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如有上述行为，一经发现，我公司及项目参与人员愿意按照《政府采购法》、《招投标法》、《反不正当竞争法》的有关规定接受处罚。</w:t>
      </w:r>
    </w:p>
    <w:p w14:paraId="34E91F6F">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p>
    <w:p w14:paraId="5A201FCD">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lang w:val="en-US" w:eastAsia="zh-CN"/>
        </w:rPr>
        <w:t>投标单位名称</w:t>
      </w:r>
      <w:r>
        <w:rPr>
          <w:rFonts w:hint="eastAsia" w:ascii="仿宋" w:hAnsi="仿宋" w:eastAsia="仿宋" w:cs="仿宋"/>
          <w:color w:val="auto"/>
          <w:sz w:val="24"/>
          <w:szCs w:val="18"/>
          <w:highlight w:val="none"/>
        </w:rPr>
        <w:t>：（公章）</w:t>
      </w:r>
    </w:p>
    <w:p w14:paraId="05308073">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法定代表人</w:t>
      </w:r>
      <w:r>
        <w:rPr>
          <w:rFonts w:hint="eastAsia" w:ascii="仿宋" w:hAnsi="仿宋" w:eastAsia="仿宋" w:cs="仿宋"/>
          <w:color w:val="auto"/>
          <w:sz w:val="24"/>
          <w:szCs w:val="18"/>
          <w:highlight w:val="none"/>
          <w:lang w:val="en-US" w:eastAsia="zh-CN"/>
        </w:rPr>
        <w:t>、</w:t>
      </w:r>
      <w:r>
        <w:rPr>
          <w:rFonts w:hint="eastAsia" w:ascii="仿宋" w:hAnsi="仿宋" w:eastAsia="仿宋" w:cs="仿宋"/>
          <w:color w:val="auto"/>
          <w:sz w:val="24"/>
          <w:szCs w:val="18"/>
          <w:highlight w:val="none"/>
        </w:rPr>
        <w:t>法定代表授权委托人：（签字</w:t>
      </w:r>
      <w:r>
        <w:rPr>
          <w:rFonts w:hint="eastAsia" w:ascii="仿宋" w:hAnsi="仿宋" w:eastAsia="仿宋" w:cs="仿宋"/>
          <w:color w:val="auto"/>
          <w:sz w:val="24"/>
          <w:szCs w:val="18"/>
          <w:highlight w:val="none"/>
          <w:lang w:val="en-US" w:eastAsia="zh-CN"/>
        </w:rPr>
        <w:t>或盖章</w:t>
      </w:r>
      <w:r>
        <w:rPr>
          <w:rFonts w:hint="eastAsia" w:ascii="仿宋" w:hAnsi="仿宋" w:eastAsia="仿宋" w:cs="仿宋"/>
          <w:color w:val="auto"/>
          <w:sz w:val="24"/>
          <w:szCs w:val="18"/>
          <w:highlight w:val="none"/>
        </w:rPr>
        <w:t>）</w:t>
      </w:r>
    </w:p>
    <w:p w14:paraId="2F59438B">
      <w:pPr>
        <w:pStyle w:val="26"/>
        <w:spacing w:line="360" w:lineRule="auto"/>
        <w:ind w:firstLine="1200" w:firstLineChars="500"/>
        <w:jc w:val="both"/>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      月     日</w:t>
      </w:r>
    </w:p>
    <w:p w14:paraId="34D6CB11">
      <w:pPr>
        <w:jc w:val="center"/>
        <w:outlineLvl w:val="1"/>
        <w:rPr>
          <w:rFonts w:hint="eastAsia" w:ascii="仿宋" w:hAnsi="仿宋" w:eastAsia="仿宋" w:cs="仿宋"/>
          <w:color w:val="auto"/>
          <w:sz w:val="19"/>
          <w:szCs w:val="19"/>
          <w:highlight w:val="none"/>
        </w:rPr>
      </w:pPr>
      <w:r>
        <w:rPr>
          <w:rFonts w:hint="eastAsia" w:ascii="仿宋" w:hAnsi="仿宋" w:eastAsia="仿宋" w:cs="仿宋"/>
          <w:color w:val="auto"/>
          <w:sz w:val="20"/>
          <w:szCs w:val="18"/>
          <w:highlight w:val="none"/>
        </w:rPr>
        <w:br w:type="page"/>
      </w:r>
      <w:bookmarkStart w:id="161" w:name="_Toc5490"/>
      <w:bookmarkStart w:id="162" w:name="_Toc31315"/>
      <w:r>
        <w:rPr>
          <w:rFonts w:hint="eastAsia" w:ascii="仿宋" w:hAnsi="仿宋" w:eastAsia="仿宋" w:cs="仿宋"/>
          <w:color w:val="auto"/>
          <w:sz w:val="28"/>
          <w:szCs w:val="28"/>
          <w:highlight w:val="none"/>
        </w:rPr>
        <w:t>附件七、中小企业声明函（货物）</w:t>
      </w:r>
      <w:bookmarkEnd w:id="161"/>
      <w:bookmarkEnd w:id="162"/>
    </w:p>
    <w:p w14:paraId="38C81E44">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368FC4DF">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u w:val="single"/>
        </w:rPr>
        <w:t>（标的名称）</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rPr>
        <w:t>采购文件中明确的所属行业）</w:t>
      </w:r>
      <w:r>
        <w:rPr>
          <w:rFonts w:hint="eastAsia" w:ascii="仿宋" w:hAnsi="仿宋" w:eastAsia="仿宋" w:cs="仿宋"/>
          <w:color w:val="auto"/>
          <w:kern w:val="0"/>
          <w:sz w:val="24"/>
          <w:szCs w:val="24"/>
          <w:highlight w:val="none"/>
        </w:rPr>
        <w:t>；制造商为</w:t>
      </w:r>
      <w:r>
        <w:rPr>
          <w:rFonts w:hint="eastAsia" w:ascii="仿宋" w:hAnsi="仿宋" w:eastAsia="仿宋" w:cs="仿宋"/>
          <w:color w:val="auto"/>
          <w:kern w:val="0"/>
          <w:sz w:val="24"/>
          <w:szCs w:val="24"/>
          <w:highlight w:val="none"/>
          <w:u w:val="single"/>
        </w:rPr>
        <w:t>（企业名称）</w:t>
      </w:r>
      <w:r>
        <w:rPr>
          <w:rFonts w:hint="eastAsia" w:ascii="仿宋" w:hAnsi="仿宋" w:eastAsia="仿宋" w:cs="仿宋"/>
          <w:color w:val="auto"/>
          <w:kern w:val="0"/>
          <w:sz w:val="24"/>
          <w:szCs w:val="24"/>
          <w:highlight w:val="none"/>
        </w:rPr>
        <w:t>，从业人员</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人，营业收入为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万元，资产总额为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万元，属于</w:t>
      </w:r>
      <w:r>
        <w:rPr>
          <w:rFonts w:hint="eastAsia" w:ascii="仿宋" w:hAnsi="仿宋" w:eastAsia="仿宋" w:cs="仿宋"/>
          <w:color w:val="auto"/>
          <w:kern w:val="0"/>
          <w:sz w:val="24"/>
          <w:szCs w:val="24"/>
          <w:highlight w:val="none"/>
          <w:u w:val="single"/>
        </w:rPr>
        <w:t>（中型企业、小型企业、微型企业）</w:t>
      </w:r>
      <w:r>
        <w:rPr>
          <w:rFonts w:hint="eastAsia" w:ascii="仿宋" w:hAnsi="仿宋" w:eastAsia="仿宋" w:cs="仿宋"/>
          <w:color w:val="auto"/>
          <w:kern w:val="0"/>
          <w:sz w:val="24"/>
          <w:szCs w:val="24"/>
          <w:highlight w:val="none"/>
        </w:rPr>
        <w:t>；</w:t>
      </w:r>
    </w:p>
    <w:p w14:paraId="258BA677">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u w:val="single"/>
        </w:rPr>
        <w:t>（标的名称）</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rPr>
        <w:t>（采购文件中明确的所属行业）</w:t>
      </w:r>
      <w:r>
        <w:rPr>
          <w:rFonts w:hint="eastAsia" w:ascii="仿宋" w:hAnsi="仿宋" w:eastAsia="仿宋" w:cs="仿宋"/>
          <w:color w:val="auto"/>
          <w:kern w:val="0"/>
          <w:sz w:val="24"/>
          <w:szCs w:val="24"/>
          <w:highlight w:val="none"/>
        </w:rPr>
        <w:t>；制造商为</w:t>
      </w:r>
      <w:r>
        <w:rPr>
          <w:rFonts w:hint="eastAsia" w:ascii="仿宋" w:hAnsi="仿宋" w:eastAsia="仿宋" w:cs="仿宋"/>
          <w:color w:val="auto"/>
          <w:kern w:val="0"/>
          <w:sz w:val="24"/>
          <w:szCs w:val="24"/>
          <w:highlight w:val="none"/>
          <w:u w:val="single"/>
        </w:rPr>
        <w:t>（企业名称）</w:t>
      </w:r>
      <w:r>
        <w:rPr>
          <w:rFonts w:hint="eastAsia" w:ascii="仿宋" w:hAnsi="仿宋" w:eastAsia="仿宋" w:cs="仿宋"/>
          <w:color w:val="auto"/>
          <w:kern w:val="0"/>
          <w:sz w:val="24"/>
          <w:szCs w:val="24"/>
          <w:highlight w:val="none"/>
        </w:rPr>
        <w:t>，从业人员</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人，营业收入为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万元，资产总额为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万元，属于</w:t>
      </w:r>
      <w:r>
        <w:rPr>
          <w:rFonts w:hint="eastAsia" w:ascii="仿宋" w:hAnsi="仿宋" w:eastAsia="仿宋" w:cs="仿宋"/>
          <w:color w:val="auto"/>
          <w:kern w:val="0"/>
          <w:sz w:val="24"/>
          <w:szCs w:val="24"/>
          <w:highlight w:val="none"/>
          <w:u w:val="single"/>
        </w:rPr>
        <w:t>（中型企业、小型企业、微型企业）</w:t>
      </w:r>
      <w:r>
        <w:rPr>
          <w:rFonts w:hint="eastAsia" w:ascii="仿宋" w:hAnsi="仿宋" w:eastAsia="仿宋" w:cs="仿宋"/>
          <w:color w:val="auto"/>
          <w:kern w:val="0"/>
          <w:sz w:val="24"/>
          <w:szCs w:val="24"/>
          <w:highlight w:val="none"/>
        </w:rPr>
        <w:t>；</w:t>
      </w:r>
    </w:p>
    <w:p w14:paraId="411578B1">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43FE0D00">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以上企业，不属于大企业的分支机构，不存在控股股东为大企业的情形，也不存在与大企业的负责人为同一人的情形。</w:t>
      </w:r>
    </w:p>
    <w:p w14:paraId="3CE271D9">
      <w:pPr>
        <w:autoSpaceDE w:val="0"/>
        <w:autoSpaceDN w:val="0"/>
        <w:adjustRightInd w:val="0"/>
        <w:snapToGrid w:val="0"/>
        <w:spacing w:line="360" w:lineRule="auto"/>
        <w:ind w:firstLine="480" w:firstLineChars="200"/>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本企业对上述声明内容的真实性负责。如有虚假，将依法承担相应责任。</w:t>
      </w:r>
    </w:p>
    <w:p w14:paraId="13125411">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lang w:val="en-US" w:eastAsia="zh-CN"/>
        </w:rPr>
        <w:t>投标单位名称</w:t>
      </w:r>
      <w:r>
        <w:rPr>
          <w:rFonts w:hint="eastAsia" w:ascii="仿宋" w:hAnsi="仿宋" w:eastAsia="仿宋" w:cs="仿宋"/>
          <w:color w:val="auto"/>
          <w:sz w:val="24"/>
          <w:szCs w:val="18"/>
          <w:highlight w:val="none"/>
        </w:rPr>
        <w:t>：（公章）</w:t>
      </w:r>
    </w:p>
    <w:p w14:paraId="48EFD0DA">
      <w:pPr>
        <w:pStyle w:val="26"/>
        <w:spacing w:line="360" w:lineRule="auto"/>
        <w:ind w:firstLine="560"/>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 xml:space="preserve"> ……</w:t>
      </w:r>
    </w:p>
    <w:p w14:paraId="3CB5E527">
      <w:pPr>
        <w:pStyle w:val="26"/>
        <w:spacing w:line="360" w:lineRule="auto"/>
        <w:ind w:firstLine="560"/>
        <w:outlineLvl w:val="9"/>
        <w:rPr>
          <w:rFonts w:hint="default" w:ascii="仿宋" w:hAnsi="仿宋" w:eastAsia="仿宋" w:cs="仿宋"/>
          <w:color w:val="auto"/>
          <w:sz w:val="24"/>
          <w:szCs w:val="18"/>
          <w:highlight w:val="none"/>
          <w:lang w:val="en-US" w:eastAsia="zh-CN"/>
        </w:rPr>
      </w:pPr>
      <w:r>
        <w:rPr>
          <w:rFonts w:hint="eastAsia" w:ascii="仿宋" w:hAnsi="仿宋" w:eastAsia="仿宋" w:cs="仿宋"/>
          <w:color w:val="auto"/>
          <w:sz w:val="24"/>
          <w:szCs w:val="18"/>
          <w:highlight w:val="none"/>
          <w:lang w:val="en-US" w:eastAsia="zh-CN"/>
        </w:rPr>
        <w:t xml:space="preserve">                                        </w:t>
      </w:r>
      <w:r>
        <w:rPr>
          <w:rFonts w:hint="eastAsia" w:ascii="仿宋" w:hAnsi="仿宋" w:eastAsia="仿宋" w:cs="仿宋"/>
          <w:b/>
          <w:bCs/>
          <w:color w:val="auto"/>
          <w:sz w:val="24"/>
          <w:szCs w:val="18"/>
          <w:highlight w:val="none"/>
        </w:rPr>
        <w:t xml:space="preserve"> </w:t>
      </w:r>
      <w:r>
        <w:rPr>
          <w:rFonts w:hint="eastAsia" w:ascii="仿宋" w:hAnsi="仿宋" w:eastAsia="仿宋" w:cs="仿宋"/>
          <w:color w:val="auto"/>
          <w:kern w:val="0"/>
          <w:sz w:val="24"/>
          <w:szCs w:val="24"/>
          <w:highlight w:val="none"/>
        </w:rPr>
        <w:t>年      月     日</w:t>
      </w:r>
    </w:p>
    <w:p w14:paraId="12CF6C0B">
      <w:pPr>
        <w:pStyle w:val="26"/>
        <w:spacing w:line="360" w:lineRule="auto"/>
        <w:ind w:firstLine="560"/>
        <w:outlineLvl w:val="9"/>
        <w:rPr>
          <w:rFonts w:hint="eastAsia" w:ascii="仿宋" w:hAnsi="仿宋" w:eastAsia="仿宋" w:cs="仿宋"/>
          <w:b/>
          <w:bCs/>
          <w:color w:val="auto"/>
          <w:sz w:val="24"/>
          <w:szCs w:val="18"/>
          <w:highlight w:val="none"/>
        </w:rPr>
      </w:pPr>
      <w:r>
        <w:rPr>
          <w:rFonts w:hint="eastAsia" w:ascii="仿宋" w:hAnsi="仿宋" w:eastAsia="仿宋" w:cs="仿宋"/>
          <w:b/>
          <w:bCs/>
          <w:color w:val="auto"/>
          <w:sz w:val="24"/>
          <w:szCs w:val="18"/>
          <w:highlight w:val="none"/>
        </w:rPr>
        <w:t>注：</w:t>
      </w:r>
      <w:r>
        <w:rPr>
          <w:rFonts w:hint="eastAsia" w:ascii="仿宋" w:hAnsi="仿宋" w:eastAsia="仿宋" w:cs="仿宋"/>
          <w:b/>
          <w:bCs/>
          <w:color w:val="auto"/>
          <w:sz w:val="24"/>
          <w:szCs w:val="18"/>
          <w:highlight w:val="none"/>
          <w:lang w:val="en-US" w:eastAsia="zh-CN"/>
        </w:rPr>
        <w:t>1、</w:t>
      </w:r>
      <w:r>
        <w:rPr>
          <w:rFonts w:hint="eastAsia" w:ascii="仿宋" w:hAnsi="仿宋" w:eastAsia="仿宋" w:cs="仿宋"/>
          <w:b/>
          <w:bCs/>
          <w:color w:val="auto"/>
          <w:sz w:val="24"/>
          <w:szCs w:val="18"/>
          <w:highlight w:val="none"/>
        </w:rPr>
        <w:t xml:space="preserve">以上企业，不属于大企业的分支机构，不存在控股股东为大企业的情形，也不存在与大企业的负责人为同一人的情形。 </w:t>
      </w:r>
    </w:p>
    <w:p w14:paraId="214D107A">
      <w:pPr>
        <w:pStyle w:val="26"/>
        <w:spacing w:line="360" w:lineRule="auto"/>
        <w:ind w:firstLine="560"/>
        <w:outlineLvl w:val="9"/>
        <w:rPr>
          <w:rFonts w:hint="eastAsia" w:ascii="仿宋" w:hAnsi="仿宋" w:eastAsia="仿宋" w:cs="仿宋"/>
          <w:b/>
          <w:bCs/>
          <w:color w:val="auto"/>
          <w:sz w:val="24"/>
          <w:szCs w:val="18"/>
          <w:highlight w:val="none"/>
        </w:rPr>
      </w:pPr>
      <w:r>
        <w:rPr>
          <w:rFonts w:hint="eastAsia" w:ascii="仿宋" w:hAnsi="仿宋" w:eastAsia="仿宋" w:cs="仿宋"/>
          <w:b/>
          <w:bCs/>
          <w:color w:val="auto"/>
          <w:kern w:val="2"/>
          <w:sz w:val="24"/>
          <w:szCs w:val="18"/>
          <w:highlight w:val="none"/>
          <w:lang w:val="en-US" w:eastAsia="zh-CN" w:bidi="ar-SA"/>
        </w:rPr>
        <w:t>2、</w:t>
      </w:r>
      <w:r>
        <w:rPr>
          <w:rFonts w:hint="eastAsia" w:ascii="仿宋" w:hAnsi="仿宋" w:eastAsia="仿宋" w:cs="仿宋"/>
          <w:b/>
          <w:bCs/>
          <w:color w:val="auto"/>
          <w:sz w:val="24"/>
          <w:szCs w:val="18"/>
          <w:highlight w:val="none"/>
        </w:rPr>
        <w:t>本企业对上述声明内容的真实性负责。如有虚假，将依法承担相应责任。</w:t>
      </w:r>
    </w:p>
    <w:p w14:paraId="22050E54">
      <w:pPr>
        <w:pStyle w:val="26"/>
        <w:spacing w:line="360" w:lineRule="auto"/>
        <w:ind w:firstLine="560"/>
        <w:jc w:val="right"/>
        <w:outlineLvl w:val="9"/>
        <w:rPr>
          <w:rFonts w:hint="eastAsia" w:ascii="仿宋" w:hAnsi="仿宋" w:eastAsia="仿宋" w:cs="仿宋"/>
          <w:color w:val="auto"/>
          <w:kern w:val="0"/>
          <w:sz w:val="24"/>
          <w:szCs w:val="24"/>
          <w:highlight w:val="none"/>
        </w:rPr>
      </w:pPr>
    </w:p>
    <w:p w14:paraId="14B55935">
      <w:pPr>
        <w:pStyle w:val="26"/>
        <w:spacing w:line="360" w:lineRule="auto"/>
        <w:ind w:firstLine="560"/>
        <w:outlineLvl w:val="9"/>
        <w:rPr>
          <w:rFonts w:hint="eastAsia" w:ascii="仿宋" w:hAnsi="仿宋" w:eastAsia="仿宋" w:cs="仿宋"/>
          <w:b/>
          <w:bCs/>
          <w:color w:val="auto"/>
          <w:sz w:val="24"/>
          <w:szCs w:val="18"/>
          <w:highlight w:val="none"/>
        </w:rPr>
      </w:pPr>
    </w:p>
    <w:p w14:paraId="4498CB57">
      <w:pPr>
        <w:pStyle w:val="26"/>
        <w:spacing w:line="360" w:lineRule="auto"/>
        <w:ind w:firstLine="560"/>
        <w:outlineLvl w:val="9"/>
        <w:rPr>
          <w:rFonts w:hint="eastAsia" w:ascii="仿宋" w:hAnsi="仿宋" w:eastAsia="仿宋" w:cs="仿宋"/>
          <w:color w:val="auto"/>
          <w:highlight w:val="none"/>
        </w:rPr>
      </w:pPr>
    </w:p>
    <w:p w14:paraId="0CFA4E71">
      <w:pPr>
        <w:spacing w:line="360" w:lineRule="auto"/>
        <w:ind w:firstLine="622"/>
        <w:outlineLvl w:val="9"/>
        <w:rPr>
          <w:rFonts w:hint="eastAsia" w:ascii="仿宋" w:hAnsi="仿宋" w:eastAsia="仿宋" w:cs="仿宋"/>
          <w:color w:val="auto"/>
          <w:sz w:val="31"/>
          <w:highlight w:val="none"/>
        </w:rPr>
        <w:sectPr>
          <w:footerReference r:id="rId9" w:type="first"/>
          <w:footerReference r:id="rId8" w:type="default"/>
          <w:pgSz w:w="11906" w:h="16838"/>
          <w:pgMar w:top="1440" w:right="1080" w:bottom="1440" w:left="1080" w:header="851" w:footer="851" w:gutter="0"/>
          <w:pgNumType w:fmt="numberInDash"/>
          <w:cols w:space="720" w:num="1"/>
          <w:titlePg/>
          <w:docGrid w:type="linesAndChars" w:linePitch="312" w:charSpace="0"/>
        </w:sectPr>
      </w:pPr>
    </w:p>
    <w:p w14:paraId="3AD30BB1">
      <w:pPr>
        <w:spacing w:line="360" w:lineRule="auto"/>
        <w:jc w:val="center"/>
        <w:outlineLvl w:val="1"/>
        <w:rPr>
          <w:rFonts w:hint="eastAsia" w:ascii="仿宋" w:hAnsi="仿宋" w:eastAsia="仿宋" w:cs="仿宋"/>
          <w:color w:val="auto"/>
          <w:sz w:val="24"/>
          <w:szCs w:val="24"/>
          <w:highlight w:val="none"/>
        </w:rPr>
      </w:pPr>
      <w:bookmarkStart w:id="163" w:name="_Toc16288"/>
      <w:bookmarkStart w:id="164" w:name="_Toc56170399"/>
      <w:bookmarkStart w:id="165" w:name="_Toc61184642"/>
      <w:bookmarkStart w:id="166" w:name="_Toc22501"/>
      <w:r>
        <w:rPr>
          <w:rFonts w:hint="eastAsia" w:ascii="仿宋" w:hAnsi="仿宋" w:eastAsia="仿宋" w:cs="仿宋"/>
          <w:color w:val="auto"/>
          <w:sz w:val="28"/>
          <w:szCs w:val="28"/>
          <w:highlight w:val="none"/>
        </w:rPr>
        <w:t>附件八、开标一览表</w:t>
      </w:r>
      <w:bookmarkEnd w:id="163"/>
      <w:bookmarkEnd w:id="164"/>
      <w:bookmarkEnd w:id="165"/>
      <w:bookmarkEnd w:id="166"/>
    </w:p>
    <w:p w14:paraId="44D22475">
      <w:pPr>
        <w:spacing w:before="131" w:line="229" w:lineRule="auto"/>
        <w:ind w:left="495"/>
        <w:rPr>
          <w:rFonts w:ascii="仿宋" w:hAnsi="仿宋" w:eastAsia="仿宋" w:cs="仿宋"/>
          <w:sz w:val="23"/>
          <w:szCs w:val="23"/>
        </w:rPr>
      </w:pPr>
      <w:bookmarkStart w:id="167" w:name="_Toc61184643"/>
      <w:bookmarkStart w:id="168" w:name="_Toc2236"/>
      <w:bookmarkStart w:id="169" w:name="_Toc56170400"/>
      <w:bookmarkStart w:id="170" w:name="_Toc20340"/>
      <w:r>
        <w:rPr>
          <w:rFonts w:ascii="仿宋" w:hAnsi="仿宋" w:eastAsia="仿宋" w:cs="仿宋"/>
          <w:spacing w:val="-1"/>
          <w:sz w:val="23"/>
          <w:szCs w:val="23"/>
        </w:rPr>
        <w:t>项目名称：                                        项目编号/标项</w:t>
      </w:r>
      <w:r>
        <w:rPr>
          <w:rFonts w:ascii="仿宋" w:hAnsi="仿宋" w:eastAsia="仿宋" w:cs="仿宋"/>
          <w:sz w:val="23"/>
          <w:szCs w:val="23"/>
        </w:rPr>
        <w:t>号：</w:t>
      </w:r>
    </w:p>
    <w:p w14:paraId="534C8A88">
      <w:pPr>
        <w:spacing w:line="70" w:lineRule="auto"/>
        <w:rPr>
          <w:rFonts w:ascii="Arial"/>
          <w:sz w:val="2"/>
        </w:rPr>
      </w:pPr>
    </w:p>
    <w:tbl>
      <w:tblPr>
        <w:tblStyle w:val="40"/>
        <w:tblW w:w="9093" w:type="dxa"/>
        <w:tblInd w:w="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08"/>
        <w:gridCol w:w="6985"/>
      </w:tblGrid>
      <w:tr w14:paraId="5C9FE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2108" w:type="dxa"/>
            <w:vAlign w:val="top"/>
          </w:tcPr>
          <w:p w14:paraId="2798639F">
            <w:pPr>
              <w:spacing w:before="269" w:line="229" w:lineRule="auto"/>
              <w:ind w:left="122"/>
              <w:rPr>
                <w:rFonts w:ascii="仿宋" w:hAnsi="仿宋" w:eastAsia="仿宋" w:cs="仿宋"/>
                <w:sz w:val="23"/>
                <w:szCs w:val="23"/>
              </w:rPr>
            </w:pPr>
            <w:r>
              <w:rPr>
                <w:rFonts w:ascii="仿宋" w:hAnsi="仿宋" w:eastAsia="仿宋" w:cs="仿宋"/>
                <w:spacing w:val="7"/>
                <w:sz w:val="23"/>
                <w:szCs w:val="23"/>
              </w:rPr>
              <w:t>投标人名</w:t>
            </w:r>
            <w:r>
              <w:rPr>
                <w:rFonts w:ascii="仿宋" w:hAnsi="仿宋" w:eastAsia="仿宋" w:cs="仿宋"/>
                <w:spacing w:val="6"/>
                <w:sz w:val="23"/>
                <w:szCs w:val="23"/>
              </w:rPr>
              <w:t>称</w:t>
            </w:r>
          </w:p>
        </w:tc>
        <w:tc>
          <w:tcPr>
            <w:tcW w:w="6985" w:type="dxa"/>
            <w:vAlign w:val="top"/>
          </w:tcPr>
          <w:p w14:paraId="57FEC9F4">
            <w:pPr>
              <w:rPr>
                <w:rFonts w:ascii="Arial"/>
                <w:sz w:val="21"/>
              </w:rPr>
            </w:pPr>
          </w:p>
        </w:tc>
      </w:tr>
      <w:tr w14:paraId="7BEF97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9" w:hRule="atLeast"/>
        </w:trPr>
        <w:tc>
          <w:tcPr>
            <w:tcW w:w="2108" w:type="dxa"/>
            <w:vAlign w:val="top"/>
          </w:tcPr>
          <w:p w14:paraId="0913BA6E">
            <w:pPr>
              <w:spacing w:line="263" w:lineRule="auto"/>
              <w:rPr>
                <w:rFonts w:ascii="Arial"/>
                <w:sz w:val="21"/>
              </w:rPr>
            </w:pPr>
          </w:p>
          <w:p w14:paraId="4FEA92C1">
            <w:pPr>
              <w:spacing w:before="74" w:line="231" w:lineRule="auto"/>
              <w:ind w:left="122"/>
              <w:rPr>
                <w:rFonts w:ascii="宋体" w:hAnsi="宋体" w:eastAsia="宋体" w:cs="宋体"/>
                <w:sz w:val="20"/>
                <w:szCs w:val="20"/>
              </w:rPr>
            </w:pPr>
            <w:r>
              <w:drawing>
                <wp:anchor distT="0" distB="0" distL="0" distR="0" simplePos="0" relativeHeight="251669504" behindDoc="1" locked="0" layoutInCell="1" allowOverlap="1">
                  <wp:simplePos x="0" y="0"/>
                  <wp:positionH relativeFrom="column">
                    <wp:posOffset>1270</wp:posOffset>
                  </wp:positionH>
                  <wp:positionV relativeFrom="paragraph">
                    <wp:posOffset>-168910</wp:posOffset>
                  </wp:positionV>
                  <wp:extent cx="1333500" cy="805180"/>
                  <wp:effectExtent l="0" t="0" r="7620" b="2540"/>
                  <wp:wrapNone/>
                  <wp:docPr id="13" name="IM 2"/>
                  <wp:cNvGraphicFramePr/>
                  <a:graphic xmlns:a="http://schemas.openxmlformats.org/drawingml/2006/main">
                    <a:graphicData uri="http://schemas.openxmlformats.org/drawingml/2006/picture">
                      <pic:pic xmlns:pic="http://schemas.openxmlformats.org/drawingml/2006/picture">
                        <pic:nvPicPr>
                          <pic:cNvPr id="13" name="IM 2"/>
                          <pic:cNvPicPr/>
                        </pic:nvPicPr>
                        <pic:blipFill>
                          <a:blip r:embed="rId13"/>
                          <a:stretch>
                            <a:fillRect/>
                          </a:stretch>
                        </pic:blipFill>
                        <pic:spPr>
                          <a:xfrm>
                            <a:off x="0" y="0"/>
                            <a:ext cx="1333500" cy="805180"/>
                          </a:xfrm>
                          <a:prstGeom prst="rect">
                            <a:avLst/>
                          </a:prstGeom>
                        </pic:spPr>
                      </pic:pic>
                    </a:graphicData>
                  </a:graphic>
                </wp:anchor>
              </w:drawing>
            </w:r>
            <w:r>
              <w:rPr>
                <w:rFonts w:ascii="仿宋" w:hAnsi="仿宋" w:eastAsia="仿宋" w:cs="仿宋"/>
                <w:spacing w:val="6"/>
                <w:sz w:val="23"/>
                <w:szCs w:val="23"/>
              </w:rPr>
              <w:t>投标</w:t>
            </w:r>
            <w:r>
              <w:rPr>
                <w:rFonts w:ascii="仿宋" w:hAnsi="仿宋" w:eastAsia="仿宋" w:cs="仿宋"/>
                <w:spacing w:val="3"/>
                <w:sz w:val="23"/>
                <w:szCs w:val="23"/>
              </w:rPr>
              <w:t xml:space="preserve">总价 </w:t>
            </w:r>
            <w:r>
              <w:rPr>
                <w:rFonts w:ascii="宋体" w:hAnsi="宋体" w:eastAsia="宋体" w:cs="宋体"/>
                <w:spacing w:val="3"/>
                <w:sz w:val="20"/>
                <w:szCs w:val="20"/>
              </w:rPr>
              <w:t>(元)</w:t>
            </w:r>
          </w:p>
          <w:p w14:paraId="4F5ADD54">
            <w:pPr>
              <w:spacing w:before="153" w:line="231" w:lineRule="auto"/>
              <w:ind w:left="128"/>
              <w:rPr>
                <w:rFonts w:ascii="仿宋" w:hAnsi="仿宋" w:eastAsia="仿宋" w:cs="仿宋"/>
                <w:sz w:val="23"/>
                <w:szCs w:val="23"/>
              </w:rPr>
            </w:pPr>
            <w:r>
              <w:rPr>
                <w:rFonts w:ascii="仿宋" w:hAnsi="仿宋" w:eastAsia="仿宋" w:cs="仿宋"/>
                <w:spacing w:val="27"/>
                <w:sz w:val="23"/>
                <w:szCs w:val="23"/>
              </w:rPr>
              <w:t>(人民币</w:t>
            </w:r>
            <w:r>
              <w:rPr>
                <w:rFonts w:ascii="仿宋" w:hAnsi="仿宋" w:eastAsia="仿宋" w:cs="仿宋"/>
                <w:spacing w:val="26"/>
                <w:sz w:val="23"/>
                <w:szCs w:val="23"/>
              </w:rPr>
              <w:t>)</w:t>
            </w:r>
          </w:p>
        </w:tc>
        <w:tc>
          <w:tcPr>
            <w:tcW w:w="6985" w:type="dxa"/>
            <w:vAlign w:val="top"/>
          </w:tcPr>
          <w:p w14:paraId="10168686">
            <w:pPr>
              <w:spacing w:line="263" w:lineRule="auto"/>
              <w:rPr>
                <w:rFonts w:ascii="Arial"/>
                <w:sz w:val="21"/>
              </w:rPr>
            </w:pPr>
          </w:p>
          <w:p w14:paraId="10B6A850">
            <w:pPr>
              <w:spacing w:before="75" w:line="232" w:lineRule="auto"/>
              <w:ind w:left="122"/>
              <w:rPr>
                <w:rFonts w:ascii="仿宋" w:hAnsi="仿宋" w:eastAsia="仿宋" w:cs="仿宋"/>
                <w:sz w:val="23"/>
                <w:szCs w:val="23"/>
              </w:rPr>
            </w:pPr>
            <w:r>
              <w:drawing>
                <wp:anchor distT="0" distB="0" distL="0" distR="0" simplePos="0" relativeHeight="251672576" behindDoc="1" locked="0" layoutInCell="1" allowOverlap="1">
                  <wp:simplePos x="0" y="0"/>
                  <wp:positionH relativeFrom="column">
                    <wp:posOffset>0</wp:posOffset>
                  </wp:positionH>
                  <wp:positionV relativeFrom="paragraph">
                    <wp:posOffset>-168275</wp:posOffset>
                  </wp:positionV>
                  <wp:extent cx="4431665" cy="805180"/>
                  <wp:effectExtent l="0" t="0" r="3175" b="2540"/>
                  <wp:wrapNone/>
                  <wp:docPr id="14" name="IM 3"/>
                  <wp:cNvGraphicFramePr/>
                  <a:graphic xmlns:a="http://schemas.openxmlformats.org/drawingml/2006/main">
                    <a:graphicData uri="http://schemas.openxmlformats.org/drawingml/2006/picture">
                      <pic:pic xmlns:pic="http://schemas.openxmlformats.org/drawingml/2006/picture">
                        <pic:nvPicPr>
                          <pic:cNvPr id="14" name="IM 3"/>
                          <pic:cNvPicPr/>
                        </pic:nvPicPr>
                        <pic:blipFill>
                          <a:blip r:embed="rId14"/>
                          <a:stretch>
                            <a:fillRect/>
                          </a:stretch>
                        </pic:blipFill>
                        <pic:spPr>
                          <a:xfrm>
                            <a:off x="0" y="0"/>
                            <a:ext cx="4431664" cy="805180"/>
                          </a:xfrm>
                          <a:prstGeom prst="rect">
                            <a:avLst/>
                          </a:prstGeom>
                        </pic:spPr>
                      </pic:pic>
                    </a:graphicData>
                  </a:graphic>
                </wp:anchor>
              </w:drawing>
            </w:r>
            <w:r>
              <w:rPr>
                <w:rFonts w:ascii="仿宋" w:hAnsi="仿宋" w:eastAsia="仿宋" w:cs="仿宋"/>
                <w:spacing w:val="1"/>
                <w:sz w:val="23"/>
                <w:szCs w:val="23"/>
              </w:rPr>
              <w:t>大</w:t>
            </w:r>
            <w:r>
              <w:rPr>
                <w:rFonts w:ascii="仿宋" w:hAnsi="仿宋" w:eastAsia="仿宋" w:cs="仿宋"/>
                <w:sz w:val="23"/>
                <w:szCs w:val="23"/>
              </w:rPr>
              <w:t>写：</w:t>
            </w:r>
            <w:r>
              <w:rPr>
                <w:rFonts w:ascii="仿宋" w:hAnsi="仿宋" w:eastAsia="仿宋" w:cs="仿宋"/>
                <w:sz w:val="23"/>
                <w:szCs w:val="23"/>
                <w:u w:val="single" w:color="auto"/>
              </w:rPr>
              <w:t xml:space="preserve">         </w:t>
            </w:r>
          </w:p>
          <w:p w14:paraId="3EBF8057">
            <w:pPr>
              <w:spacing w:before="152" w:line="233" w:lineRule="auto"/>
              <w:ind w:left="119"/>
              <w:rPr>
                <w:rFonts w:ascii="仿宋" w:hAnsi="仿宋" w:eastAsia="仿宋" w:cs="仿宋"/>
                <w:sz w:val="23"/>
                <w:szCs w:val="23"/>
              </w:rPr>
            </w:pPr>
            <w:r>
              <w:rPr>
                <w:rFonts w:ascii="仿宋" w:hAnsi="仿宋" w:eastAsia="仿宋" w:cs="仿宋"/>
                <w:spacing w:val="2"/>
                <w:sz w:val="23"/>
                <w:szCs w:val="23"/>
              </w:rPr>
              <w:t>小</w:t>
            </w:r>
            <w:r>
              <w:rPr>
                <w:rFonts w:ascii="仿宋" w:hAnsi="仿宋" w:eastAsia="仿宋" w:cs="仿宋"/>
                <w:spacing w:val="1"/>
                <w:sz w:val="23"/>
                <w:szCs w:val="23"/>
              </w:rPr>
              <w:t>写：</w:t>
            </w:r>
            <w:r>
              <w:rPr>
                <w:rFonts w:ascii="仿宋" w:hAnsi="仿宋" w:eastAsia="仿宋" w:cs="仿宋"/>
                <w:sz w:val="23"/>
                <w:szCs w:val="23"/>
                <w:u w:val="single" w:color="auto"/>
              </w:rPr>
              <w:t xml:space="preserve">         </w:t>
            </w:r>
          </w:p>
        </w:tc>
      </w:tr>
      <w:tr w14:paraId="68D929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2108" w:type="dxa"/>
            <w:vAlign w:val="top"/>
          </w:tcPr>
          <w:p w14:paraId="0B32E5C3">
            <w:pPr>
              <w:spacing w:before="211" w:line="231" w:lineRule="auto"/>
              <w:ind w:left="128"/>
              <w:rPr>
                <w:rFonts w:ascii="仿宋" w:hAnsi="仿宋" w:eastAsia="仿宋" w:cs="仿宋"/>
                <w:sz w:val="23"/>
                <w:szCs w:val="23"/>
              </w:rPr>
            </w:pPr>
            <w:r>
              <w:drawing>
                <wp:anchor distT="0" distB="0" distL="0" distR="0" simplePos="0" relativeHeight="251670528" behindDoc="1" locked="0" layoutInCell="1" allowOverlap="1">
                  <wp:simplePos x="0" y="0"/>
                  <wp:positionH relativeFrom="column">
                    <wp:posOffset>1270</wp:posOffset>
                  </wp:positionH>
                  <wp:positionV relativeFrom="paragraph">
                    <wp:posOffset>635</wp:posOffset>
                  </wp:positionV>
                  <wp:extent cx="1333500" cy="359410"/>
                  <wp:effectExtent l="0" t="0" r="7620" b="6350"/>
                  <wp:wrapNone/>
                  <wp:docPr id="15" name="IM 4"/>
                  <wp:cNvGraphicFramePr/>
                  <a:graphic xmlns:a="http://schemas.openxmlformats.org/drawingml/2006/main">
                    <a:graphicData uri="http://schemas.openxmlformats.org/drawingml/2006/picture">
                      <pic:pic xmlns:pic="http://schemas.openxmlformats.org/drawingml/2006/picture">
                        <pic:nvPicPr>
                          <pic:cNvPr id="15" name="IM 4"/>
                          <pic:cNvPicPr/>
                        </pic:nvPicPr>
                        <pic:blipFill>
                          <a:blip r:embed="rId15"/>
                          <a:stretch>
                            <a:fillRect/>
                          </a:stretch>
                        </pic:blipFill>
                        <pic:spPr>
                          <a:xfrm>
                            <a:off x="0" y="0"/>
                            <a:ext cx="1333500" cy="359409"/>
                          </a:xfrm>
                          <a:prstGeom prst="rect">
                            <a:avLst/>
                          </a:prstGeom>
                        </pic:spPr>
                      </pic:pic>
                    </a:graphicData>
                  </a:graphic>
                </wp:anchor>
              </w:drawing>
            </w:r>
            <w:r>
              <w:rPr>
                <w:rFonts w:ascii="仿宋" w:hAnsi="仿宋" w:eastAsia="仿宋" w:cs="仿宋"/>
                <w:spacing w:val="4"/>
                <w:sz w:val="23"/>
                <w:szCs w:val="23"/>
              </w:rPr>
              <w:t>交</w:t>
            </w:r>
            <w:r>
              <w:rPr>
                <w:rFonts w:ascii="仿宋" w:hAnsi="仿宋" w:eastAsia="仿宋" w:cs="仿宋"/>
                <w:spacing w:val="2"/>
                <w:sz w:val="23"/>
                <w:szCs w:val="23"/>
              </w:rPr>
              <w:t>货期</w:t>
            </w:r>
          </w:p>
        </w:tc>
        <w:tc>
          <w:tcPr>
            <w:tcW w:w="6985" w:type="dxa"/>
            <w:shd w:val="clear" w:color="auto" w:fill="FFFFFF"/>
            <w:vAlign w:val="top"/>
          </w:tcPr>
          <w:p w14:paraId="20DF4341">
            <w:pPr>
              <w:rPr>
                <w:rFonts w:ascii="Arial"/>
                <w:sz w:val="21"/>
              </w:rPr>
            </w:pPr>
          </w:p>
        </w:tc>
      </w:tr>
      <w:tr w14:paraId="1658A6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108" w:type="dxa"/>
            <w:vAlign w:val="top"/>
          </w:tcPr>
          <w:p w14:paraId="11160AD8">
            <w:pPr>
              <w:spacing w:before="266" w:line="229" w:lineRule="auto"/>
              <w:ind w:left="128"/>
              <w:rPr>
                <w:rFonts w:ascii="仿宋" w:hAnsi="仿宋" w:eastAsia="仿宋" w:cs="仿宋"/>
                <w:sz w:val="23"/>
                <w:szCs w:val="23"/>
              </w:rPr>
            </w:pPr>
            <w:r>
              <w:drawing>
                <wp:anchor distT="0" distB="0" distL="0" distR="0" simplePos="0" relativeHeight="251671552" behindDoc="1" locked="0" layoutInCell="1" allowOverlap="1">
                  <wp:simplePos x="0" y="0"/>
                  <wp:positionH relativeFrom="column">
                    <wp:posOffset>1270</wp:posOffset>
                  </wp:positionH>
                  <wp:positionV relativeFrom="paragraph">
                    <wp:posOffset>1270</wp:posOffset>
                  </wp:positionV>
                  <wp:extent cx="1333500" cy="429895"/>
                  <wp:effectExtent l="0" t="0" r="7620" b="12065"/>
                  <wp:wrapNone/>
                  <wp:docPr id="22" name="IM 5"/>
                  <wp:cNvGraphicFramePr/>
                  <a:graphic xmlns:a="http://schemas.openxmlformats.org/drawingml/2006/main">
                    <a:graphicData uri="http://schemas.openxmlformats.org/drawingml/2006/picture">
                      <pic:pic xmlns:pic="http://schemas.openxmlformats.org/drawingml/2006/picture">
                        <pic:nvPicPr>
                          <pic:cNvPr id="22" name="IM 5"/>
                          <pic:cNvPicPr/>
                        </pic:nvPicPr>
                        <pic:blipFill>
                          <a:blip r:embed="rId16"/>
                          <a:stretch>
                            <a:fillRect/>
                          </a:stretch>
                        </pic:blipFill>
                        <pic:spPr>
                          <a:xfrm>
                            <a:off x="0" y="0"/>
                            <a:ext cx="1333500" cy="429894"/>
                          </a:xfrm>
                          <a:prstGeom prst="rect">
                            <a:avLst/>
                          </a:prstGeom>
                        </pic:spPr>
                      </pic:pic>
                    </a:graphicData>
                  </a:graphic>
                </wp:anchor>
              </w:drawing>
            </w:r>
            <w:r>
              <w:rPr>
                <w:rFonts w:ascii="仿宋" w:hAnsi="仿宋" w:eastAsia="仿宋" w:cs="仿宋"/>
                <w:spacing w:val="4"/>
                <w:sz w:val="23"/>
                <w:szCs w:val="23"/>
              </w:rPr>
              <w:t>质</w:t>
            </w:r>
            <w:r>
              <w:rPr>
                <w:rFonts w:ascii="仿宋" w:hAnsi="仿宋" w:eastAsia="仿宋" w:cs="仿宋"/>
                <w:spacing w:val="2"/>
                <w:sz w:val="23"/>
                <w:szCs w:val="23"/>
              </w:rPr>
              <w:t>保期</w:t>
            </w:r>
          </w:p>
        </w:tc>
        <w:tc>
          <w:tcPr>
            <w:tcW w:w="6985" w:type="dxa"/>
            <w:vAlign w:val="top"/>
          </w:tcPr>
          <w:p w14:paraId="79560992">
            <w:pPr>
              <w:spacing w:before="1" w:line="677" w:lineRule="exact"/>
              <w:textAlignment w:val="center"/>
            </w:pPr>
            <w:r>
              <w:drawing>
                <wp:inline distT="0" distB="0" distL="0" distR="0">
                  <wp:extent cx="4431030" cy="429260"/>
                  <wp:effectExtent l="0" t="0" r="3810" b="12700"/>
                  <wp:docPr id="23" name="IM 6"/>
                  <wp:cNvGraphicFramePr/>
                  <a:graphic xmlns:a="http://schemas.openxmlformats.org/drawingml/2006/main">
                    <a:graphicData uri="http://schemas.openxmlformats.org/drawingml/2006/picture">
                      <pic:pic xmlns:pic="http://schemas.openxmlformats.org/drawingml/2006/picture">
                        <pic:nvPicPr>
                          <pic:cNvPr id="23" name="IM 6"/>
                          <pic:cNvPicPr/>
                        </pic:nvPicPr>
                        <pic:blipFill>
                          <a:blip r:embed="rId17"/>
                          <a:stretch>
                            <a:fillRect/>
                          </a:stretch>
                        </pic:blipFill>
                        <pic:spPr>
                          <a:xfrm>
                            <a:off x="0" y="0"/>
                            <a:ext cx="4431538" cy="429894"/>
                          </a:xfrm>
                          <a:prstGeom prst="rect">
                            <a:avLst/>
                          </a:prstGeom>
                        </pic:spPr>
                      </pic:pic>
                    </a:graphicData>
                  </a:graphic>
                </wp:inline>
              </w:drawing>
            </w:r>
          </w:p>
        </w:tc>
      </w:tr>
      <w:tr w14:paraId="246495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108" w:type="dxa"/>
            <w:vAlign w:val="top"/>
          </w:tcPr>
          <w:p w14:paraId="05CC8124">
            <w:pPr>
              <w:spacing w:before="268" w:line="231" w:lineRule="auto"/>
              <w:ind w:left="123"/>
              <w:rPr>
                <w:rFonts w:ascii="仿宋" w:hAnsi="仿宋" w:eastAsia="仿宋" w:cs="仿宋"/>
                <w:sz w:val="23"/>
                <w:szCs w:val="23"/>
              </w:rPr>
            </w:pPr>
            <w:r>
              <mc:AlternateContent>
                <mc:Choice Requires="wpg">
                  <w:drawing>
                    <wp:anchor distT="0" distB="0" distL="114300" distR="114300" simplePos="0" relativeHeight="251668480" behindDoc="1" locked="0" layoutInCell="1" allowOverlap="1">
                      <wp:simplePos x="0" y="0"/>
                      <wp:positionH relativeFrom="column">
                        <wp:posOffset>1270</wp:posOffset>
                      </wp:positionH>
                      <wp:positionV relativeFrom="paragraph">
                        <wp:posOffset>1270</wp:posOffset>
                      </wp:positionV>
                      <wp:extent cx="1334135" cy="431800"/>
                      <wp:effectExtent l="0" t="0" r="6985" b="10160"/>
                      <wp:wrapNone/>
                      <wp:docPr id="29" name="组合 29"/>
                      <wp:cNvGraphicFramePr/>
                      <a:graphic xmlns:a="http://schemas.openxmlformats.org/drawingml/2006/main">
                        <a:graphicData uri="http://schemas.microsoft.com/office/word/2010/wordprocessingGroup">
                          <wpg:wgp>
                            <wpg:cNvGrpSpPr/>
                            <wpg:grpSpPr>
                              <a:xfrm>
                                <a:off x="0" y="0"/>
                                <a:ext cx="1334135" cy="431800"/>
                                <a:chOff x="0" y="0"/>
                                <a:chExt cx="2101" cy="680"/>
                              </a:xfrm>
                            </wpg:grpSpPr>
                            <wps:wsp>
                              <wps:cNvPr id="27" name="任意多边形 27"/>
                              <wps:cNvSpPr/>
                              <wps:spPr>
                                <a:xfrm>
                                  <a:off x="0" y="0"/>
                                  <a:ext cx="2101" cy="680"/>
                                </a:xfrm>
                                <a:custGeom>
                                  <a:avLst/>
                                  <a:gdLst/>
                                  <a:ahLst/>
                                  <a:cxnLst/>
                                  <a:pathLst>
                                    <a:path w="2101" h="680">
                                      <a:moveTo>
                                        <a:pt x="0" y="0"/>
                                      </a:moveTo>
                                      <a:lnTo>
                                        <a:pt x="2100" y="0"/>
                                      </a:lnTo>
                                      <a:lnTo>
                                        <a:pt x="2100" y="680"/>
                                      </a:lnTo>
                                      <a:lnTo>
                                        <a:pt x="0" y="680"/>
                                      </a:lnTo>
                                      <a:lnTo>
                                        <a:pt x="0" y="0"/>
                                      </a:lnTo>
                                      <a:close/>
                                    </a:path>
                                  </a:pathLst>
                                </a:custGeom>
                                <a:solidFill>
                                  <a:srgbClr val="F3F3F3"/>
                                </a:solidFill>
                                <a:ln>
                                  <a:noFill/>
                                </a:ln>
                              </wps:spPr>
                              <wps:bodyPr upright="1"/>
                            </wps:wsp>
                            <wps:wsp>
                              <wps:cNvPr id="28" name="任意多边形 28"/>
                              <wps:cNvSpPr/>
                              <wps:spPr>
                                <a:xfrm>
                                  <a:off x="105" y="118"/>
                                  <a:ext cx="1890" cy="440"/>
                                </a:xfrm>
                                <a:custGeom>
                                  <a:avLst/>
                                  <a:gdLst/>
                                  <a:ahLst/>
                                  <a:cxnLst/>
                                  <a:pathLst>
                                    <a:path w="1890" h="440">
                                      <a:moveTo>
                                        <a:pt x="0" y="0"/>
                                      </a:moveTo>
                                      <a:lnTo>
                                        <a:pt x="1889" y="0"/>
                                      </a:lnTo>
                                      <a:lnTo>
                                        <a:pt x="1889" y="440"/>
                                      </a:lnTo>
                                      <a:lnTo>
                                        <a:pt x="0" y="440"/>
                                      </a:lnTo>
                                      <a:lnTo>
                                        <a:pt x="0" y="0"/>
                                      </a:lnTo>
                                      <a:close/>
                                    </a:path>
                                  </a:pathLst>
                                </a:custGeom>
                                <a:solidFill>
                                  <a:srgbClr val="FFFFFF"/>
                                </a:solidFill>
                                <a:ln>
                                  <a:noFill/>
                                </a:ln>
                              </wps:spPr>
                              <wps:bodyPr upright="1"/>
                            </wps:wsp>
                          </wpg:wgp>
                        </a:graphicData>
                      </a:graphic>
                    </wp:anchor>
                  </w:drawing>
                </mc:Choice>
                <mc:Fallback>
                  <w:pict>
                    <v:group id="_x0000_s1026" o:spid="_x0000_s1026" o:spt="203" style="position:absolute;left:0pt;margin-left:0.1pt;margin-top:0.1pt;height:34pt;width:105.05pt;z-index:-251648000;mso-width-relative:page;mso-height-relative:page;" coordsize="2101,680" o:gfxdata="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">
                      <o:lock v:ext="edit" aspectratio="f"/>
                      <v:shape id="_x0000_s1026" o:spid="_x0000_s1026" o:spt="100" style="position:absolute;left:0;top:0;height:680;width:2101;" fillcolor="#F3F3F3" filled="t" stroked="f" coordsize="2101,680" o:gfxdata="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h/1eK8AAAA&#10;2wAAAA8AAAAAAAAAAQAgAAAAIgAAAGRycy9kb3ducmV2LnhtbFBLAQIUABQAAAAIAIdO4kAzLwWe&#10;OwAAADkAAAAQAAAAAAAAAAEAIAAAAAsBAABkcnMvc2hhcGV4bWwueG1sUEsFBgAAAAAGAAYAWwEA&#10;ALUDAAAAAA==&#10;" path="m0,0l2100,0,2100,680,0,680,0,0xe">
                        <v:fill on="t" focussize="0,0"/>
                        <v:stroke on="f"/>
                        <v:imagedata o:title=""/>
                        <o:lock v:ext="edit" aspectratio="f"/>
                      </v:shape>
                      <v:shape id="_x0000_s1026" o:spid="_x0000_s1026" o:spt="100" style="position:absolute;left:105;top:118;height:440;width:1890;" fillcolor="#FFFFFF" filled="t" stroked="f" coordsize="1890,440" o:gfxdata="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RmZp5ugAAANsA&#10;AAAPAAAAAAAAAAEAIAAAACIAAABkcnMvZG93bnJldi54bWxQSwECFAAUAAAACACHTuJAMy8FnjsA&#10;AAA5AAAAEAAAAAAAAAABACAAAAAJAQAAZHJzL3NoYXBleG1sLnhtbFBLBQYAAAAABgAGAFsBAACz&#10;AwAAAAA=&#10;" path="m0,0l1889,0,1889,440,0,440,0,0xe">
                        <v:fill on="t" focussize="0,0"/>
                        <v:stroke on="f"/>
                        <v:imagedata o:title=""/>
                        <o:lock v:ext="edit" aspectratio="f"/>
                      </v:shape>
                    </v:group>
                  </w:pict>
                </mc:Fallback>
              </mc:AlternateContent>
            </w:r>
            <w:r>
              <w:rPr>
                <w:rFonts w:ascii="仿宋" w:hAnsi="仿宋" w:eastAsia="仿宋" w:cs="仿宋"/>
                <w:spacing w:val="6"/>
                <w:sz w:val="23"/>
                <w:szCs w:val="23"/>
              </w:rPr>
              <w:t>报价说明</w:t>
            </w:r>
          </w:p>
        </w:tc>
        <w:tc>
          <w:tcPr>
            <w:tcW w:w="6985" w:type="dxa"/>
            <w:vAlign w:val="top"/>
          </w:tcPr>
          <w:p w14:paraId="2A676452">
            <w:pPr>
              <w:spacing w:before="2" w:line="680" w:lineRule="exact"/>
              <w:textAlignment w:val="center"/>
            </w:pPr>
            <w:r>
              <mc:AlternateContent>
                <mc:Choice Requires="wpg">
                  <w:drawing>
                    <wp:inline distT="0" distB="0" distL="114300" distR="114300">
                      <wp:extent cx="4431665" cy="431800"/>
                      <wp:effectExtent l="0" t="0" r="3175" b="10160"/>
                      <wp:docPr id="26" name="组合 26"/>
                      <wp:cNvGraphicFramePr/>
                      <a:graphic xmlns:a="http://schemas.openxmlformats.org/drawingml/2006/main">
                        <a:graphicData uri="http://schemas.microsoft.com/office/word/2010/wordprocessingGroup">
                          <wpg:wgp>
                            <wpg:cNvGrpSpPr/>
                            <wpg:grpSpPr>
                              <a:xfrm>
                                <a:off x="0" y="0"/>
                                <a:ext cx="4431665" cy="431800"/>
                                <a:chOff x="0" y="0"/>
                                <a:chExt cx="6979" cy="680"/>
                              </a:xfrm>
                            </wpg:grpSpPr>
                            <wps:wsp>
                              <wps:cNvPr id="24" name="任意多边形 24"/>
                              <wps:cNvSpPr/>
                              <wps:spPr>
                                <a:xfrm>
                                  <a:off x="0" y="0"/>
                                  <a:ext cx="6979" cy="680"/>
                                </a:xfrm>
                                <a:custGeom>
                                  <a:avLst/>
                                  <a:gdLst/>
                                  <a:ahLst/>
                                  <a:cxnLst/>
                                  <a:pathLst>
                                    <a:path w="6979" h="680">
                                      <a:moveTo>
                                        <a:pt x="0" y="0"/>
                                      </a:moveTo>
                                      <a:lnTo>
                                        <a:pt x="6978" y="0"/>
                                      </a:lnTo>
                                      <a:lnTo>
                                        <a:pt x="6978" y="680"/>
                                      </a:lnTo>
                                      <a:lnTo>
                                        <a:pt x="0" y="680"/>
                                      </a:lnTo>
                                      <a:lnTo>
                                        <a:pt x="0" y="0"/>
                                      </a:lnTo>
                                      <a:close/>
                                    </a:path>
                                  </a:pathLst>
                                </a:custGeom>
                                <a:solidFill>
                                  <a:srgbClr val="F3F3F3"/>
                                </a:solidFill>
                                <a:ln>
                                  <a:noFill/>
                                </a:ln>
                              </wps:spPr>
                              <wps:bodyPr upright="1"/>
                            </wps:wsp>
                            <wps:wsp>
                              <wps:cNvPr id="25" name="任意多边形 25"/>
                              <wps:cNvSpPr/>
                              <wps:spPr>
                                <a:xfrm>
                                  <a:off x="105" y="118"/>
                                  <a:ext cx="6767" cy="440"/>
                                </a:xfrm>
                                <a:custGeom>
                                  <a:avLst/>
                                  <a:gdLst/>
                                  <a:ahLst/>
                                  <a:cxnLst/>
                                  <a:pathLst>
                                    <a:path w="6767" h="440">
                                      <a:moveTo>
                                        <a:pt x="0" y="0"/>
                                      </a:moveTo>
                                      <a:lnTo>
                                        <a:pt x="6767" y="0"/>
                                      </a:lnTo>
                                      <a:lnTo>
                                        <a:pt x="6767" y="440"/>
                                      </a:lnTo>
                                      <a:lnTo>
                                        <a:pt x="0" y="440"/>
                                      </a:lnTo>
                                      <a:lnTo>
                                        <a:pt x="0" y="0"/>
                                      </a:lnTo>
                                      <a:close/>
                                    </a:path>
                                  </a:pathLst>
                                </a:custGeom>
                                <a:solidFill>
                                  <a:srgbClr val="FFFFFF"/>
                                </a:solidFill>
                                <a:ln>
                                  <a:noFill/>
                                </a:ln>
                              </wps:spPr>
                              <wps:bodyPr upright="1"/>
                            </wps:wsp>
                          </wpg:wgp>
                        </a:graphicData>
                      </a:graphic>
                    </wp:inline>
                  </w:drawing>
                </mc:Choice>
                <mc:Fallback>
                  <w:pict>
                    <v:group id="_x0000_s1026" o:spid="_x0000_s1026" o:spt="203" style="height:34pt;width:348.95pt;" coordsize="6979,680" o:gfxdata="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AAAAABkcnMvUEsBAhQAFAAAAAgAh07iQNGb&#10;ESDVAAAABAEAAA8AAAAAAAAAAQAgAAAAIgAAAGRycy9kb3ducmV2LnhtbFBLAQIUABQAAAAIAIdO&#10;4kCH9Qd10QIAAEkIAAAOAAAAAAAAAAEAIAAAACQBAABkcnMvZTJvRG9jLnhtbFBLBQYAAAAABgAG&#10;AFkBAABnBgAAAAA=&#10;">
                      <o:lock v:ext="edit" aspectratio="f"/>
                      <v:shape id="_x0000_s1026" o:spid="_x0000_s1026" o:spt="100" style="position:absolute;left:0;top:0;height:680;width:6979;" fillcolor="#F3F3F3" filled="t" stroked="f" coordsize="6979,680" o:gfxdata="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dxz0tvQAA&#10;ANsAAAAPAAAAAAAAAAEAIAAAACIAAABkcnMvZG93bnJldi54bWxQSwECFAAUAAAACACHTuJAMy8F&#10;njsAAAA5AAAAEAAAAAAAAAABACAAAAAMAQAAZHJzL3NoYXBleG1sLnhtbFBLBQYAAAAABgAGAFsB&#10;AAC2AwAAAAA=&#10;" path="m0,0l6978,0,6978,680,0,680,0,0xe">
                        <v:fill on="t" focussize="0,0"/>
                        <v:stroke on="f"/>
                        <v:imagedata o:title=""/>
                        <o:lock v:ext="edit" aspectratio="f"/>
                      </v:shape>
                      <v:shape id="_x0000_s1026" o:spid="_x0000_s1026" o:spt="100" style="position:absolute;left:105;top:118;height:440;width:6767;" fillcolor="#FFFFFF" filled="t" stroked="f" coordsize="6767,440" o:gfxdata="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Ey44LsAAADb&#10;AAAADwAAAAAAAAABACAAAAAiAAAAZHJzL2Rvd25yZXYueG1sUEsBAhQAFAAAAAgAh07iQDMvBZ47&#10;AAAAOQAAABAAAAAAAAAAAQAgAAAACgEAAGRycy9zaGFwZXhtbC54bWxQSwUGAAAAAAYABgBbAQAA&#10;tAMAAAAA&#10;" path="m0,0l6767,0,6767,440,0,440,0,0xe">
                        <v:fill on="t" focussize="0,0"/>
                        <v:stroke on="f"/>
                        <v:imagedata o:title=""/>
                        <o:lock v:ext="edit" aspectratio="f"/>
                      </v:shape>
                      <w10:wrap type="none"/>
                      <w10:anchorlock/>
                    </v:group>
                  </w:pict>
                </mc:Fallback>
              </mc:AlternateContent>
            </w:r>
          </w:p>
        </w:tc>
      </w:tr>
    </w:tbl>
    <w:p w14:paraId="0EFDE624">
      <w:pPr>
        <w:spacing w:before="147" w:line="233" w:lineRule="auto"/>
        <w:ind w:left="16"/>
        <w:rPr>
          <w:rFonts w:ascii="仿宋" w:hAnsi="仿宋" w:eastAsia="仿宋" w:cs="仿宋"/>
          <w:sz w:val="23"/>
          <w:szCs w:val="23"/>
        </w:rPr>
      </w:pPr>
      <w:r>
        <w:rPr>
          <w:rFonts w:ascii="仿宋" w:hAnsi="仿宋" w:eastAsia="仿宋" w:cs="仿宋"/>
          <w:spacing w:val="1"/>
          <w:sz w:val="23"/>
          <w:szCs w:val="23"/>
        </w:rPr>
        <w:t>备注</w:t>
      </w:r>
      <w:r>
        <w:rPr>
          <w:rFonts w:ascii="仿宋" w:hAnsi="仿宋" w:eastAsia="仿宋" w:cs="仿宋"/>
          <w:sz w:val="23"/>
          <w:szCs w:val="23"/>
        </w:rPr>
        <w:t>：</w:t>
      </w:r>
    </w:p>
    <w:p w14:paraId="15C3DC65">
      <w:pPr>
        <w:spacing w:before="149" w:line="229" w:lineRule="auto"/>
        <w:ind w:left="23"/>
        <w:rPr>
          <w:rFonts w:ascii="仿宋" w:hAnsi="仿宋" w:eastAsia="仿宋" w:cs="仿宋"/>
          <w:sz w:val="23"/>
          <w:szCs w:val="23"/>
        </w:rPr>
      </w:pPr>
      <w:r>
        <w:rPr>
          <w:rFonts w:ascii="Times New Roman" w:hAnsi="Times New Roman" w:eastAsia="Times New Roman" w:cs="Times New Roman"/>
          <w:spacing w:val="1"/>
          <w:sz w:val="20"/>
          <w:szCs w:val="20"/>
        </w:rPr>
        <w:t xml:space="preserve">1 </w:t>
      </w:r>
      <w:r>
        <w:rPr>
          <w:rFonts w:ascii="宋体" w:hAnsi="宋体" w:eastAsia="宋体" w:cs="宋体"/>
          <w:spacing w:val="1"/>
          <w:sz w:val="20"/>
          <w:szCs w:val="20"/>
        </w:rPr>
        <w:t>、</w:t>
      </w:r>
      <w:r>
        <w:rPr>
          <w:rFonts w:ascii="仿宋" w:hAnsi="仿宋" w:eastAsia="仿宋" w:cs="仿宋"/>
          <w:spacing w:val="1"/>
          <w:sz w:val="23"/>
          <w:szCs w:val="23"/>
        </w:rPr>
        <w:t>投标总报价以元为单位，小数点</w:t>
      </w:r>
      <w:r>
        <w:rPr>
          <w:rFonts w:ascii="仿宋" w:hAnsi="仿宋" w:eastAsia="仿宋" w:cs="仿宋"/>
          <w:sz w:val="23"/>
          <w:szCs w:val="23"/>
        </w:rPr>
        <w:t>后保留 2 位。</w:t>
      </w:r>
    </w:p>
    <w:p w14:paraId="7A83047F">
      <w:pPr>
        <w:spacing w:before="153" w:line="313" w:lineRule="exact"/>
        <w:ind w:left="10"/>
        <w:rPr>
          <w:rFonts w:ascii="仿宋" w:hAnsi="仿宋" w:eastAsia="仿宋" w:cs="仿宋"/>
          <w:sz w:val="23"/>
          <w:szCs w:val="23"/>
        </w:rPr>
      </w:pPr>
      <w:r>
        <w:rPr>
          <w:rFonts w:ascii="仿宋" w:hAnsi="仿宋" w:eastAsia="仿宋" w:cs="仿宋"/>
          <w:spacing w:val="13"/>
          <w:position w:val="2"/>
          <w:sz w:val="23"/>
          <w:szCs w:val="23"/>
        </w:rPr>
        <w:t>2</w:t>
      </w:r>
      <w:r>
        <w:rPr>
          <w:rFonts w:ascii="仿宋" w:hAnsi="仿宋" w:eastAsia="仿宋" w:cs="仿宋"/>
          <w:spacing w:val="8"/>
          <w:position w:val="2"/>
          <w:sz w:val="23"/>
          <w:szCs w:val="23"/>
        </w:rPr>
        <w:t>、合计金额应为各分项价格之和。</w:t>
      </w:r>
    </w:p>
    <w:p w14:paraId="178F57D3">
      <w:pPr>
        <w:spacing w:before="128" w:line="291" w:lineRule="auto"/>
        <w:ind w:left="27" w:hanging="15"/>
        <w:rPr>
          <w:rFonts w:ascii="仿宋" w:hAnsi="仿宋" w:eastAsia="仿宋" w:cs="仿宋"/>
          <w:sz w:val="23"/>
          <w:szCs w:val="23"/>
        </w:rPr>
      </w:pPr>
      <w:r>
        <w:rPr>
          <w:rFonts w:ascii="仿宋" w:hAnsi="仿宋" w:eastAsia="仿宋" w:cs="仿宋"/>
          <w:spacing w:val="5"/>
          <w:sz w:val="23"/>
          <w:szCs w:val="23"/>
        </w:rPr>
        <w:t>3、综合单价报价应包含货物的采购、包装、运输、装卸、保险、技术支持、验收、检</w:t>
      </w:r>
      <w:r>
        <w:rPr>
          <w:rFonts w:ascii="仿宋" w:hAnsi="仿宋" w:eastAsia="仿宋" w:cs="仿宋"/>
          <w:spacing w:val="2"/>
          <w:sz w:val="23"/>
          <w:szCs w:val="23"/>
        </w:rPr>
        <w:t>验</w:t>
      </w:r>
      <w:r>
        <w:rPr>
          <w:rFonts w:ascii="仿宋" w:hAnsi="仿宋" w:eastAsia="仿宋" w:cs="仿宋"/>
          <w:sz w:val="23"/>
          <w:szCs w:val="23"/>
        </w:rPr>
        <w:t xml:space="preserve">、 </w:t>
      </w:r>
      <w:r>
        <w:rPr>
          <w:rFonts w:ascii="仿宋" w:hAnsi="仿宋" w:eastAsia="仿宋" w:cs="仿宋"/>
          <w:spacing w:val="7"/>
          <w:sz w:val="23"/>
          <w:szCs w:val="23"/>
        </w:rPr>
        <w:t>售后服务、培训等一切费用</w:t>
      </w:r>
      <w:r>
        <w:rPr>
          <w:rFonts w:ascii="仿宋" w:hAnsi="仿宋" w:eastAsia="仿宋" w:cs="仿宋"/>
          <w:spacing w:val="6"/>
          <w:sz w:val="23"/>
          <w:szCs w:val="23"/>
        </w:rPr>
        <w:t>。</w:t>
      </w:r>
    </w:p>
    <w:p w14:paraId="624C49CA">
      <w:pPr>
        <w:spacing w:before="154" w:line="292" w:lineRule="auto"/>
        <w:ind w:left="13" w:right="104" w:hanging="7"/>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0"/>
          <w:sz w:val="23"/>
          <w:szCs w:val="23"/>
        </w:rPr>
        <w:t>、</w:t>
      </w:r>
      <w:r>
        <w:rPr>
          <w:rFonts w:ascii="仿宋" w:hAnsi="仿宋" w:eastAsia="仿宋" w:cs="仿宋"/>
          <w:spacing w:val="8"/>
          <w:sz w:val="23"/>
          <w:szCs w:val="23"/>
        </w:rPr>
        <w:t>投标人必须自行考虑本项目在实施期间的一切可能产生的费用。在合同执行过程中，</w:t>
      </w:r>
      <w:r>
        <w:rPr>
          <w:rFonts w:ascii="仿宋" w:hAnsi="仿宋" w:eastAsia="仿宋" w:cs="仿宋"/>
          <w:sz w:val="23"/>
          <w:szCs w:val="23"/>
        </w:rPr>
        <w:t xml:space="preserve"> </w:t>
      </w:r>
      <w:r>
        <w:rPr>
          <w:rFonts w:ascii="仿宋" w:hAnsi="仿宋" w:eastAsia="仿宋" w:cs="仿宋"/>
          <w:spacing w:val="9"/>
          <w:sz w:val="23"/>
          <w:szCs w:val="23"/>
        </w:rPr>
        <w:t xml:space="preserve">招标人将不再另行支付与本项目相关的任何费用 (非本项目要求的其它内容除外) </w:t>
      </w:r>
      <w:r>
        <w:rPr>
          <w:rFonts w:ascii="仿宋" w:hAnsi="仿宋" w:eastAsia="仿宋" w:cs="仿宋"/>
          <w:spacing w:val="4"/>
          <w:sz w:val="23"/>
          <w:szCs w:val="23"/>
        </w:rPr>
        <w:t>。</w:t>
      </w:r>
    </w:p>
    <w:p w14:paraId="3BD3AF27">
      <w:pPr>
        <w:pStyle w:val="19"/>
        <w:rPr>
          <w:rFonts w:hint="eastAsia" w:ascii="仿宋" w:hAnsi="仿宋" w:eastAsia="仿宋" w:cs="仿宋"/>
          <w:color w:val="auto"/>
          <w:kern w:val="2"/>
          <w:sz w:val="24"/>
          <w:szCs w:val="22"/>
          <w:highlight w:val="none"/>
          <w:lang w:val="en-US" w:eastAsia="zh-CN" w:bidi="ar-SA"/>
        </w:rPr>
      </w:pPr>
    </w:p>
    <w:p w14:paraId="4CDB9A27">
      <w:pPr>
        <w:pStyle w:val="19"/>
        <w:rPr>
          <w:rFonts w:hint="eastAsia" w:ascii="仿宋" w:hAnsi="仿宋" w:eastAsia="仿宋" w:cs="仿宋"/>
          <w:color w:val="auto"/>
          <w:kern w:val="2"/>
          <w:sz w:val="24"/>
          <w:szCs w:val="22"/>
          <w:highlight w:val="none"/>
          <w:lang w:val="en-US" w:eastAsia="zh-CN" w:bidi="ar-SA"/>
        </w:rPr>
      </w:pPr>
    </w:p>
    <w:p w14:paraId="6D420C1A">
      <w:pPr>
        <w:pStyle w:val="19"/>
        <w:ind w:firstLine="480" w:firstLineChars="200"/>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投标单位名称：（公章）</w:t>
      </w:r>
    </w:p>
    <w:p w14:paraId="76AB419D">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法定代表人、法定代表授权委托人：（签字或盖章）</w:t>
      </w:r>
    </w:p>
    <w:p w14:paraId="19F9CA1A">
      <w:pPr>
        <w:pStyle w:val="19"/>
        <w:ind w:firstLine="720" w:firstLineChars="300"/>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年      月     日</w:t>
      </w:r>
    </w:p>
    <w:p w14:paraId="56204F12">
      <w:pPr>
        <w:jc w:val="both"/>
        <w:outlineLvl w:val="9"/>
        <w:rPr>
          <w:rFonts w:hint="eastAsia" w:ascii="仿宋" w:hAnsi="仿宋" w:eastAsia="仿宋" w:cs="仿宋"/>
          <w:color w:val="auto"/>
          <w:sz w:val="24"/>
          <w:szCs w:val="24"/>
          <w:highlight w:val="none"/>
        </w:rPr>
      </w:pPr>
    </w:p>
    <w:p w14:paraId="1B9A59CD">
      <w:pPr>
        <w:jc w:val="center"/>
        <w:outlineLvl w:val="1"/>
        <w:rPr>
          <w:rFonts w:hint="eastAsia" w:ascii="仿宋" w:hAnsi="仿宋" w:eastAsia="仿宋" w:cs="仿宋"/>
          <w:color w:val="auto"/>
          <w:sz w:val="28"/>
          <w:szCs w:val="28"/>
          <w:highlight w:val="none"/>
        </w:rPr>
      </w:pPr>
    </w:p>
    <w:p w14:paraId="2A0624A8">
      <w:pPr>
        <w:jc w:val="both"/>
        <w:outlineLvl w:val="1"/>
        <w:rPr>
          <w:rFonts w:hint="eastAsia" w:ascii="仿宋" w:hAnsi="仿宋" w:eastAsia="仿宋" w:cs="仿宋"/>
          <w:color w:val="auto"/>
          <w:sz w:val="28"/>
          <w:szCs w:val="28"/>
          <w:highlight w:val="none"/>
        </w:rPr>
      </w:pPr>
    </w:p>
    <w:p w14:paraId="2A26280D">
      <w:pPr>
        <w:jc w:val="both"/>
        <w:outlineLvl w:val="1"/>
        <w:rPr>
          <w:rFonts w:hint="eastAsia" w:ascii="仿宋" w:hAnsi="仿宋" w:eastAsia="仿宋" w:cs="仿宋"/>
          <w:color w:val="auto"/>
          <w:sz w:val="28"/>
          <w:szCs w:val="28"/>
          <w:highlight w:val="none"/>
        </w:rPr>
      </w:pPr>
    </w:p>
    <w:p w14:paraId="4E5B49EA">
      <w:pPr>
        <w:jc w:val="both"/>
        <w:outlineLvl w:val="1"/>
        <w:rPr>
          <w:rFonts w:hint="eastAsia" w:ascii="仿宋" w:hAnsi="仿宋" w:eastAsia="仿宋" w:cs="仿宋"/>
          <w:color w:val="auto"/>
          <w:sz w:val="28"/>
          <w:szCs w:val="28"/>
          <w:highlight w:val="none"/>
        </w:rPr>
      </w:pPr>
    </w:p>
    <w:p w14:paraId="58824B65">
      <w:pPr>
        <w:jc w:val="both"/>
        <w:outlineLvl w:val="1"/>
        <w:rPr>
          <w:rFonts w:hint="eastAsia" w:ascii="仿宋" w:hAnsi="仿宋" w:eastAsia="仿宋" w:cs="仿宋"/>
          <w:color w:val="auto"/>
          <w:sz w:val="28"/>
          <w:szCs w:val="28"/>
          <w:highlight w:val="none"/>
        </w:rPr>
      </w:pPr>
    </w:p>
    <w:p w14:paraId="41C7D82C">
      <w:pPr>
        <w:jc w:val="center"/>
        <w:outlineLvl w:val="1"/>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附件九、投标产品名称、数量、规格分项报价表</w:t>
      </w:r>
      <w:bookmarkEnd w:id="167"/>
      <w:bookmarkEnd w:id="168"/>
      <w:bookmarkEnd w:id="169"/>
      <w:bookmarkEnd w:id="170"/>
    </w:p>
    <w:p w14:paraId="0D46F6D9">
      <w:pPr>
        <w:jc w:val="both"/>
        <w:outlineLvl w:val="1"/>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项目名称：                  </w:t>
      </w:r>
      <w:r>
        <w:rPr>
          <w:rFonts w:hint="eastAsia" w:ascii="仿宋" w:hAnsi="仿宋" w:eastAsia="仿宋" w:cs="仿宋"/>
          <w:color w:val="auto"/>
          <w:sz w:val="28"/>
          <w:szCs w:val="28"/>
          <w:highlight w:val="none"/>
          <w:lang w:val="en-US" w:eastAsia="zh-CN"/>
        </w:rPr>
        <w:t>项目</w:t>
      </w:r>
      <w:r>
        <w:rPr>
          <w:rFonts w:hint="eastAsia" w:ascii="仿宋" w:hAnsi="仿宋" w:eastAsia="仿宋" w:cs="仿宋"/>
          <w:color w:val="auto"/>
          <w:sz w:val="28"/>
          <w:szCs w:val="28"/>
          <w:highlight w:val="none"/>
        </w:rPr>
        <w:t>编号：</w:t>
      </w:r>
      <w:r>
        <w:rPr>
          <w:rFonts w:hint="eastAsia" w:ascii="仿宋" w:hAnsi="仿宋" w:eastAsia="仿宋" w:cs="仿宋"/>
          <w:color w:val="auto"/>
          <w:sz w:val="28"/>
          <w:szCs w:val="28"/>
          <w:highlight w:val="none"/>
          <w:lang w:val="en-US" w:eastAsia="zh-CN"/>
        </w:rPr>
        <w:t xml:space="preserve">               </w:t>
      </w:r>
    </w:p>
    <w:tbl>
      <w:tblPr>
        <w:tblStyle w:val="21"/>
        <w:tblW w:w="9767" w:type="dxa"/>
        <w:tblInd w:w="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7"/>
        <w:gridCol w:w="1161"/>
        <w:gridCol w:w="669"/>
        <w:gridCol w:w="1080"/>
        <w:gridCol w:w="908"/>
        <w:gridCol w:w="754"/>
        <w:gridCol w:w="996"/>
        <w:gridCol w:w="924"/>
        <w:gridCol w:w="924"/>
        <w:gridCol w:w="924"/>
      </w:tblGrid>
      <w:tr w14:paraId="5DEBC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3" w:hRule="atLeast"/>
        </w:trPr>
        <w:tc>
          <w:tcPr>
            <w:tcW w:w="1427" w:type="dxa"/>
            <w:noWrap w:val="0"/>
            <w:vAlign w:val="center"/>
          </w:tcPr>
          <w:p w14:paraId="43FB2FB5">
            <w:pPr>
              <w:keepNext w:val="0"/>
              <w:keepLines w:val="0"/>
              <w:widowControl/>
              <w:suppressLineNumbers w:val="0"/>
              <w:jc w:val="center"/>
              <w:textAlignment w:val="center"/>
              <w:rPr>
                <w:rFonts w:hint="eastAsia" w:ascii="仿宋" w:hAnsi="仿宋" w:eastAsia="仿宋" w:cs="仿宋"/>
                <w:color w:val="auto"/>
                <w:highlight w:val="none"/>
                <w:vertAlign w:val="baseline"/>
              </w:rPr>
            </w:pPr>
            <w:r>
              <w:rPr>
                <w:rFonts w:hint="eastAsia" w:ascii="仿宋" w:hAnsi="仿宋" w:eastAsia="仿宋" w:cs="仿宋"/>
                <w:i w:val="0"/>
                <w:iCs w:val="0"/>
                <w:color w:val="auto"/>
                <w:kern w:val="0"/>
                <w:sz w:val="22"/>
                <w:szCs w:val="22"/>
                <w:highlight w:val="none"/>
                <w:u w:val="none"/>
                <w:lang w:val="en-US" w:eastAsia="zh-CN" w:bidi="ar"/>
              </w:rPr>
              <w:t>商品名称</w:t>
            </w:r>
          </w:p>
        </w:tc>
        <w:tc>
          <w:tcPr>
            <w:tcW w:w="1161" w:type="dxa"/>
            <w:noWrap w:val="0"/>
            <w:vAlign w:val="center"/>
          </w:tcPr>
          <w:p w14:paraId="05FB8DE4">
            <w:pPr>
              <w:keepNext w:val="0"/>
              <w:keepLines w:val="0"/>
              <w:widowControl/>
              <w:suppressLineNumbers w:val="0"/>
              <w:jc w:val="center"/>
              <w:textAlignment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型号</w:t>
            </w:r>
          </w:p>
        </w:tc>
        <w:tc>
          <w:tcPr>
            <w:tcW w:w="669" w:type="dxa"/>
            <w:noWrap w:val="0"/>
            <w:vAlign w:val="center"/>
          </w:tcPr>
          <w:p w14:paraId="564A86E7">
            <w:pPr>
              <w:keepNext w:val="0"/>
              <w:keepLines w:val="0"/>
              <w:widowControl/>
              <w:suppressLineNumbers w:val="0"/>
              <w:jc w:val="center"/>
              <w:textAlignment w:val="center"/>
              <w:rPr>
                <w:rFonts w:hint="eastAsia" w:ascii="仿宋" w:hAnsi="仿宋" w:eastAsia="仿宋" w:cs="仿宋"/>
                <w:color w:val="auto"/>
                <w:highlight w:val="none"/>
                <w:vertAlign w:val="baseline"/>
              </w:rPr>
            </w:pPr>
            <w:r>
              <w:rPr>
                <w:rFonts w:hint="eastAsia" w:ascii="仿宋" w:hAnsi="仿宋" w:eastAsia="仿宋" w:cs="仿宋"/>
                <w:i w:val="0"/>
                <w:iCs w:val="0"/>
                <w:color w:val="auto"/>
                <w:kern w:val="0"/>
                <w:sz w:val="22"/>
                <w:szCs w:val="22"/>
                <w:highlight w:val="none"/>
                <w:u w:val="none"/>
                <w:lang w:val="en-US" w:eastAsia="zh-CN" w:bidi="ar"/>
              </w:rPr>
              <w:t>规格</w:t>
            </w:r>
          </w:p>
        </w:tc>
        <w:tc>
          <w:tcPr>
            <w:tcW w:w="1080" w:type="dxa"/>
            <w:noWrap w:val="0"/>
            <w:vAlign w:val="center"/>
          </w:tcPr>
          <w:p w14:paraId="143CEE50">
            <w:pPr>
              <w:keepNext w:val="0"/>
              <w:keepLines w:val="0"/>
              <w:widowControl/>
              <w:suppressLineNumbers w:val="0"/>
              <w:jc w:val="center"/>
              <w:textAlignment w:val="center"/>
              <w:rPr>
                <w:rFonts w:hint="eastAsia" w:ascii="仿宋" w:hAnsi="仿宋" w:eastAsia="仿宋" w:cs="仿宋"/>
                <w:color w:val="auto"/>
                <w:highlight w:val="none"/>
                <w:vertAlign w:val="baseline"/>
              </w:rPr>
            </w:pPr>
            <w:r>
              <w:rPr>
                <w:rFonts w:hint="eastAsia" w:ascii="仿宋" w:hAnsi="仿宋" w:eastAsia="仿宋" w:cs="仿宋"/>
                <w:i w:val="0"/>
                <w:iCs w:val="0"/>
                <w:color w:val="auto"/>
                <w:kern w:val="0"/>
                <w:sz w:val="20"/>
                <w:szCs w:val="20"/>
                <w:highlight w:val="none"/>
                <w:u w:val="none"/>
                <w:lang w:val="en-US" w:eastAsia="zh-CN" w:bidi="ar"/>
              </w:rPr>
              <w:t>产品注册证名称</w:t>
            </w:r>
          </w:p>
        </w:tc>
        <w:tc>
          <w:tcPr>
            <w:tcW w:w="908" w:type="dxa"/>
            <w:noWrap w:val="0"/>
            <w:vAlign w:val="center"/>
          </w:tcPr>
          <w:p w14:paraId="25330D6D">
            <w:pPr>
              <w:keepNext w:val="0"/>
              <w:keepLines w:val="0"/>
              <w:widowControl/>
              <w:suppressLineNumbers w:val="0"/>
              <w:jc w:val="center"/>
              <w:textAlignment w:val="center"/>
              <w:rPr>
                <w:rFonts w:hint="eastAsia" w:ascii="仿宋" w:hAnsi="仿宋" w:eastAsia="仿宋" w:cs="仿宋"/>
                <w:color w:val="auto"/>
                <w:highlight w:val="none"/>
                <w:vertAlign w:val="baseline"/>
              </w:rPr>
            </w:pPr>
            <w:r>
              <w:rPr>
                <w:rFonts w:hint="eastAsia" w:ascii="仿宋" w:hAnsi="仿宋" w:eastAsia="仿宋" w:cs="仿宋"/>
                <w:i w:val="0"/>
                <w:iCs w:val="0"/>
                <w:color w:val="auto"/>
                <w:kern w:val="0"/>
                <w:sz w:val="20"/>
                <w:szCs w:val="20"/>
                <w:highlight w:val="none"/>
                <w:u w:val="none"/>
                <w:lang w:val="en-US" w:eastAsia="zh-CN" w:bidi="ar"/>
              </w:rPr>
              <w:t>产品注册证号</w:t>
            </w:r>
          </w:p>
        </w:tc>
        <w:tc>
          <w:tcPr>
            <w:tcW w:w="754" w:type="dxa"/>
            <w:noWrap w:val="0"/>
            <w:vAlign w:val="center"/>
          </w:tcPr>
          <w:p w14:paraId="6196233B">
            <w:pPr>
              <w:keepNext w:val="0"/>
              <w:keepLines w:val="0"/>
              <w:widowControl/>
              <w:suppressLineNumbers w:val="0"/>
              <w:jc w:val="center"/>
              <w:textAlignment w:val="center"/>
              <w:rPr>
                <w:rFonts w:hint="eastAsia" w:ascii="仿宋" w:hAnsi="仿宋" w:eastAsia="仿宋" w:cs="仿宋"/>
                <w:color w:val="auto"/>
                <w:highlight w:val="none"/>
                <w:vertAlign w:val="baseline"/>
              </w:rPr>
            </w:pPr>
            <w:r>
              <w:rPr>
                <w:rFonts w:hint="eastAsia" w:ascii="仿宋" w:hAnsi="仿宋" w:eastAsia="仿宋" w:cs="仿宋"/>
                <w:i w:val="0"/>
                <w:iCs w:val="0"/>
                <w:color w:val="auto"/>
                <w:kern w:val="0"/>
                <w:sz w:val="20"/>
                <w:szCs w:val="20"/>
                <w:highlight w:val="none"/>
                <w:u w:val="none"/>
                <w:lang w:val="en-US" w:eastAsia="zh-CN" w:bidi="ar"/>
              </w:rPr>
              <w:t>生产厂家</w:t>
            </w:r>
          </w:p>
        </w:tc>
        <w:tc>
          <w:tcPr>
            <w:tcW w:w="996" w:type="dxa"/>
            <w:noWrap w:val="0"/>
            <w:vAlign w:val="center"/>
          </w:tcPr>
          <w:p w14:paraId="038A857E">
            <w:pPr>
              <w:keepNext w:val="0"/>
              <w:keepLines w:val="0"/>
              <w:widowControl/>
              <w:suppressLineNumbers w:val="0"/>
              <w:jc w:val="center"/>
              <w:textAlignment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数量</w:t>
            </w:r>
          </w:p>
        </w:tc>
        <w:tc>
          <w:tcPr>
            <w:tcW w:w="924" w:type="dxa"/>
            <w:noWrap w:val="0"/>
            <w:vAlign w:val="center"/>
          </w:tcPr>
          <w:p w14:paraId="6651D95A">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单位</w:t>
            </w:r>
          </w:p>
        </w:tc>
        <w:tc>
          <w:tcPr>
            <w:tcW w:w="924" w:type="dxa"/>
            <w:noWrap w:val="0"/>
            <w:vAlign w:val="center"/>
          </w:tcPr>
          <w:p w14:paraId="3A5E196E">
            <w:pPr>
              <w:keepNext w:val="0"/>
              <w:keepLines w:val="0"/>
              <w:widowControl/>
              <w:suppressLineNumbers w:val="0"/>
              <w:jc w:val="center"/>
              <w:textAlignment w:val="center"/>
              <w:rPr>
                <w:rFonts w:hint="default"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单价/元</w:t>
            </w:r>
          </w:p>
        </w:tc>
        <w:tc>
          <w:tcPr>
            <w:tcW w:w="924" w:type="dxa"/>
            <w:noWrap w:val="0"/>
            <w:vAlign w:val="center"/>
          </w:tcPr>
          <w:p w14:paraId="16FA25FE">
            <w:pPr>
              <w:keepNext w:val="0"/>
              <w:keepLines w:val="0"/>
              <w:widowControl/>
              <w:suppressLineNumbers w:val="0"/>
              <w:jc w:val="center"/>
              <w:textAlignment w:val="center"/>
              <w:rPr>
                <w:rFonts w:hint="default"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金额</w:t>
            </w:r>
          </w:p>
        </w:tc>
      </w:tr>
      <w:tr w14:paraId="12BF7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5A3E4450">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180EC1B8">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1027FC88">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67A29C81">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141CD0CF">
            <w:pPr>
              <w:keepNext w:val="0"/>
              <w:keepLines w:val="0"/>
              <w:widowControl/>
              <w:suppressLineNumbers w:val="0"/>
              <w:jc w:val="center"/>
              <w:textAlignment w:val="center"/>
              <w:rPr>
                <w:rFonts w:hint="eastAsia"/>
                <w:color w:val="auto"/>
                <w:highlight w:val="none"/>
                <w:vertAlign w:val="baseline"/>
              </w:rPr>
            </w:pPr>
          </w:p>
        </w:tc>
        <w:tc>
          <w:tcPr>
            <w:tcW w:w="754" w:type="dxa"/>
            <w:noWrap w:val="0"/>
            <w:vAlign w:val="center"/>
          </w:tcPr>
          <w:p w14:paraId="1CC7E8EB">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2502C3BC">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6F13127D">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46570BF3">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59B79477">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0E630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089F881D">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66F155C1">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0A9B9299">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5C7723CC">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4F4E1122">
            <w:pPr>
              <w:jc w:val="center"/>
              <w:rPr>
                <w:rFonts w:hint="eastAsia"/>
                <w:color w:val="auto"/>
                <w:highlight w:val="none"/>
                <w:vertAlign w:val="baseline"/>
              </w:rPr>
            </w:pPr>
          </w:p>
        </w:tc>
        <w:tc>
          <w:tcPr>
            <w:tcW w:w="754" w:type="dxa"/>
            <w:noWrap w:val="0"/>
            <w:vAlign w:val="center"/>
          </w:tcPr>
          <w:p w14:paraId="11FC3E1F">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5362C4D7">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0BDC2390">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047DE270">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18457F4D">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607A8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5A2CB5A2">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2C4C4A9D">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1DE14141">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13709110">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2C992505">
            <w:pPr>
              <w:jc w:val="center"/>
              <w:rPr>
                <w:rFonts w:hint="eastAsia"/>
                <w:color w:val="auto"/>
                <w:highlight w:val="none"/>
                <w:vertAlign w:val="baseline"/>
              </w:rPr>
            </w:pPr>
          </w:p>
        </w:tc>
        <w:tc>
          <w:tcPr>
            <w:tcW w:w="754" w:type="dxa"/>
            <w:noWrap w:val="0"/>
            <w:vAlign w:val="center"/>
          </w:tcPr>
          <w:p w14:paraId="339D47BF">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1F591020">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34721F0B">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214662D8">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225D0664">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7774F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21019587">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6DE96385">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34476022">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1CCF0D94">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5AC6A6F7">
            <w:pPr>
              <w:jc w:val="center"/>
              <w:rPr>
                <w:rFonts w:hint="eastAsia"/>
                <w:color w:val="auto"/>
                <w:highlight w:val="none"/>
                <w:vertAlign w:val="baseline"/>
              </w:rPr>
            </w:pPr>
          </w:p>
        </w:tc>
        <w:tc>
          <w:tcPr>
            <w:tcW w:w="754" w:type="dxa"/>
            <w:noWrap w:val="0"/>
            <w:vAlign w:val="center"/>
          </w:tcPr>
          <w:p w14:paraId="6B2235DD">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019BCE47">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0CCFD83D">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2BBE3F54">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4F345296">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4128A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22E013F2">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568DE21C">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371741F6">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7790D240">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16C7BC55">
            <w:pPr>
              <w:jc w:val="center"/>
              <w:rPr>
                <w:rFonts w:hint="eastAsia"/>
                <w:color w:val="auto"/>
                <w:highlight w:val="none"/>
                <w:vertAlign w:val="baseline"/>
              </w:rPr>
            </w:pPr>
          </w:p>
        </w:tc>
        <w:tc>
          <w:tcPr>
            <w:tcW w:w="754" w:type="dxa"/>
            <w:noWrap w:val="0"/>
            <w:vAlign w:val="center"/>
          </w:tcPr>
          <w:p w14:paraId="5FF29412">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4A094C94">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2F700807">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67EE6660">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05DA5E47">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4614E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0F248DE1">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1746E8A4">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385B758B">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47557CEB">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7AFBD0A7">
            <w:pPr>
              <w:jc w:val="center"/>
              <w:rPr>
                <w:rFonts w:hint="eastAsia"/>
                <w:color w:val="auto"/>
                <w:highlight w:val="none"/>
                <w:vertAlign w:val="baseline"/>
              </w:rPr>
            </w:pPr>
          </w:p>
        </w:tc>
        <w:tc>
          <w:tcPr>
            <w:tcW w:w="754" w:type="dxa"/>
            <w:noWrap w:val="0"/>
            <w:vAlign w:val="center"/>
          </w:tcPr>
          <w:p w14:paraId="21C07DC3">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153FF081">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0DE98874">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5F35B3FF">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39810A11">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45A53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27" w:type="dxa"/>
            <w:noWrap w:val="0"/>
            <w:vAlign w:val="center"/>
          </w:tcPr>
          <w:p w14:paraId="0D625152">
            <w:pPr>
              <w:keepNext w:val="0"/>
              <w:keepLines w:val="0"/>
              <w:widowControl/>
              <w:suppressLineNumbers w:val="0"/>
              <w:jc w:val="center"/>
              <w:textAlignment w:val="center"/>
              <w:rPr>
                <w:rFonts w:hint="eastAsia"/>
                <w:color w:val="auto"/>
                <w:highlight w:val="none"/>
                <w:vertAlign w:val="baseline"/>
              </w:rPr>
            </w:pPr>
          </w:p>
        </w:tc>
        <w:tc>
          <w:tcPr>
            <w:tcW w:w="1161" w:type="dxa"/>
            <w:noWrap w:val="0"/>
            <w:vAlign w:val="center"/>
          </w:tcPr>
          <w:p w14:paraId="49A48445">
            <w:pPr>
              <w:keepNext w:val="0"/>
              <w:keepLines w:val="0"/>
              <w:widowControl/>
              <w:suppressLineNumbers w:val="0"/>
              <w:jc w:val="center"/>
              <w:textAlignment w:val="center"/>
              <w:rPr>
                <w:rFonts w:hint="eastAsia"/>
                <w:color w:val="auto"/>
                <w:highlight w:val="none"/>
                <w:vertAlign w:val="baseline"/>
              </w:rPr>
            </w:pPr>
          </w:p>
        </w:tc>
        <w:tc>
          <w:tcPr>
            <w:tcW w:w="669" w:type="dxa"/>
            <w:noWrap w:val="0"/>
            <w:vAlign w:val="center"/>
          </w:tcPr>
          <w:p w14:paraId="1C3B97D0">
            <w:pPr>
              <w:keepNext w:val="0"/>
              <w:keepLines w:val="0"/>
              <w:widowControl/>
              <w:suppressLineNumbers w:val="0"/>
              <w:jc w:val="center"/>
              <w:textAlignment w:val="center"/>
              <w:rPr>
                <w:rFonts w:hint="eastAsia"/>
                <w:color w:val="auto"/>
                <w:highlight w:val="none"/>
                <w:vertAlign w:val="baseline"/>
              </w:rPr>
            </w:pPr>
          </w:p>
        </w:tc>
        <w:tc>
          <w:tcPr>
            <w:tcW w:w="1080" w:type="dxa"/>
            <w:noWrap w:val="0"/>
            <w:vAlign w:val="center"/>
          </w:tcPr>
          <w:p w14:paraId="5BE777A0">
            <w:pPr>
              <w:keepNext w:val="0"/>
              <w:keepLines w:val="0"/>
              <w:widowControl/>
              <w:suppressLineNumbers w:val="0"/>
              <w:jc w:val="center"/>
              <w:textAlignment w:val="center"/>
              <w:rPr>
                <w:rFonts w:hint="eastAsia"/>
                <w:color w:val="auto"/>
                <w:highlight w:val="none"/>
                <w:vertAlign w:val="baseline"/>
              </w:rPr>
            </w:pPr>
          </w:p>
        </w:tc>
        <w:tc>
          <w:tcPr>
            <w:tcW w:w="908" w:type="dxa"/>
            <w:noWrap w:val="0"/>
            <w:vAlign w:val="center"/>
          </w:tcPr>
          <w:p w14:paraId="29C03B4D">
            <w:pPr>
              <w:jc w:val="center"/>
              <w:rPr>
                <w:rFonts w:hint="eastAsia"/>
                <w:color w:val="auto"/>
                <w:highlight w:val="none"/>
                <w:vertAlign w:val="baseline"/>
              </w:rPr>
            </w:pPr>
          </w:p>
        </w:tc>
        <w:tc>
          <w:tcPr>
            <w:tcW w:w="754" w:type="dxa"/>
            <w:noWrap w:val="0"/>
            <w:vAlign w:val="center"/>
          </w:tcPr>
          <w:p w14:paraId="5B249D43">
            <w:pPr>
              <w:keepNext w:val="0"/>
              <w:keepLines w:val="0"/>
              <w:widowControl/>
              <w:suppressLineNumbers w:val="0"/>
              <w:jc w:val="center"/>
              <w:textAlignment w:val="center"/>
              <w:rPr>
                <w:rFonts w:hint="eastAsia"/>
                <w:color w:val="auto"/>
                <w:highlight w:val="none"/>
                <w:vertAlign w:val="baseline"/>
              </w:rPr>
            </w:pPr>
          </w:p>
        </w:tc>
        <w:tc>
          <w:tcPr>
            <w:tcW w:w="996" w:type="dxa"/>
            <w:noWrap w:val="0"/>
            <w:vAlign w:val="center"/>
          </w:tcPr>
          <w:p w14:paraId="7F26142F">
            <w:pPr>
              <w:keepNext w:val="0"/>
              <w:keepLines w:val="0"/>
              <w:widowControl/>
              <w:suppressLineNumbers w:val="0"/>
              <w:jc w:val="center"/>
              <w:textAlignment w:val="center"/>
              <w:rPr>
                <w:rFonts w:hint="eastAsia"/>
                <w:color w:val="auto"/>
                <w:highlight w:val="none"/>
                <w:vertAlign w:val="baseline"/>
              </w:rPr>
            </w:pPr>
          </w:p>
        </w:tc>
        <w:tc>
          <w:tcPr>
            <w:tcW w:w="924" w:type="dxa"/>
            <w:noWrap w:val="0"/>
            <w:vAlign w:val="center"/>
          </w:tcPr>
          <w:p w14:paraId="76919495">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0267AA5C">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924" w:type="dxa"/>
            <w:noWrap w:val="0"/>
            <w:vAlign w:val="center"/>
          </w:tcPr>
          <w:p w14:paraId="673E986D">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r>
      <w:tr w14:paraId="72689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2588" w:type="dxa"/>
            <w:gridSpan w:val="2"/>
            <w:noWrap w:val="0"/>
            <w:vAlign w:val="center"/>
          </w:tcPr>
          <w:p w14:paraId="415D9FA2">
            <w:pPr>
              <w:keepNext w:val="0"/>
              <w:keepLines w:val="0"/>
              <w:widowControl/>
              <w:suppressLineNumbers w:val="0"/>
              <w:jc w:val="center"/>
              <w:textAlignment w:val="center"/>
              <w:rPr>
                <w:rFonts w:hint="eastAsia" w:eastAsia="宋体"/>
                <w:color w:val="auto"/>
                <w:highlight w:val="none"/>
                <w:vertAlign w:val="baseline"/>
                <w:lang w:val="en-US" w:eastAsia="zh-CN"/>
              </w:rPr>
            </w:pPr>
            <w:r>
              <w:rPr>
                <w:rFonts w:hint="eastAsia"/>
                <w:color w:val="auto"/>
                <w:highlight w:val="none"/>
                <w:vertAlign w:val="baseline"/>
                <w:lang w:val="en-US" w:eastAsia="zh-CN"/>
              </w:rPr>
              <w:t>合计</w:t>
            </w:r>
          </w:p>
        </w:tc>
        <w:tc>
          <w:tcPr>
            <w:tcW w:w="7179" w:type="dxa"/>
            <w:gridSpan w:val="8"/>
            <w:noWrap w:val="0"/>
            <w:vAlign w:val="center"/>
          </w:tcPr>
          <w:p w14:paraId="2BE4CEFC">
            <w:pPr>
              <w:keepNext w:val="0"/>
              <w:keepLines w:val="0"/>
              <w:widowControl/>
              <w:suppressLineNumbers w:val="0"/>
              <w:jc w:val="both"/>
              <w:textAlignment w:val="center"/>
              <w:rPr>
                <w:rFonts w:hint="default" w:ascii="仿宋" w:hAnsi="仿宋" w:eastAsia="仿宋" w:cs="仿宋"/>
                <w:i w:val="0"/>
                <w:iCs w:val="0"/>
                <w:color w:val="auto"/>
                <w:kern w:val="0"/>
                <w:sz w:val="22"/>
                <w:szCs w:val="22"/>
                <w:highlight w:val="none"/>
                <w:u w:val="single"/>
                <w:lang w:val="en-US" w:eastAsia="zh-CN" w:bidi="ar"/>
              </w:rPr>
            </w:pPr>
            <w:r>
              <w:rPr>
                <w:rFonts w:hint="eastAsia" w:ascii="仿宋" w:hAnsi="仿宋" w:eastAsia="仿宋" w:cs="仿宋"/>
                <w:i w:val="0"/>
                <w:iCs w:val="0"/>
                <w:color w:val="auto"/>
                <w:kern w:val="0"/>
                <w:sz w:val="22"/>
                <w:szCs w:val="22"/>
                <w:highlight w:val="none"/>
                <w:u w:val="none"/>
                <w:lang w:val="en-US" w:eastAsia="zh-CN" w:bidi="ar"/>
              </w:rPr>
              <w:t>小写：</w:t>
            </w:r>
            <w:r>
              <w:rPr>
                <w:rFonts w:hint="eastAsia" w:ascii="仿宋" w:hAnsi="仿宋" w:eastAsia="仿宋" w:cs="仿宋"/>
                <w:i w:val="0"/>
                <w:iCs w:val="0"/>
                <w:color w:val="auto"/>
                <w:kern w:val="0"/>
                <w:sz w:val="22"/>
                <w:szCs w:val="22"/>
                <w:highlight w:val="none"/>
                <w:u w:val="single"/>
                <w:lang w:val="en-US" w:eastAsia="zh-CN" w:bidi="ar"/>
              </w:rPr>
              <w:t xml:space="preserve">                      </w:t>
            </w:r>
            <w:r>
              <w:rPr>
                <w:rFonts w:hint="eastAsia" w:ascii="仿宋" w:hAnsi="仿宋" w:eastAsia="仿宋" w:cs="仿宋"/>
                <w:i w:val="0"/>
                <w:iCs w:val="0"/>
                <w:color w:val="auto"/>
                <w:kern w:val="0"/>
                <w:sz w:val="22"/>
                <w:szCs w:val="22"/>
                <w:highlight w:val="none"/>
                <w:u w:val="none"/>
                <w:lang w:val="en-US" w:eastAsia="zh-CN" w:bidi="ar"/>
              </w:rPr>
              <w:t>元  大写：</w:t>
            </w:r>
          </w:p>
        </w:tc>
      </w:tr>
    </w:tbl>
    <w:p w14:paraId="07525847">
      <w:pPr>
        <w:spacing w:beforeLines="50" w:line="360" w:lineRule="auto"/>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注：1、如果按单价计算的结果与总价不一致，以单价为准修正总价。</w:t>
      </w:r>
    </w:p>
    <w:p w14:paraId="3A2441F5">
      <w:pPr>
        <w:pStyle w:val="26"/>
        <w:numPr>
          <w:ilvl w:val="0"/>
          <w:numId w:val="11"/>
        </w:numPr>
        <w:spacing w:line="360" w:lineRule="auto"/>
        <w:ind w:firstLine="560"/>
        <w:outlineLvl w:val="9"/>
        <w:rPr>
          <w:rFonts w:hint="eastAsia" w:ascii="仿宋" w:hAnsi="仿宋" w:eastAsia="仿宋" w:cs="仿宋"/>
          <w:color w:val="auto"/>
          <w:kern w:val="2"/>
          <w:sz w:val="24"/>
          <w:szCs w:val="18"/>
          <w:highlight w:val="none"/>
          <w:lang w:val="en-US" w:eastAsia="zh-CN" w:bidi="ar-SA"/>
        </w:rPr>
      </w:pPr>
      <w:r>
        <w:rPr>
          <w:rFonts w:hint="eastAsia" w:ascii="仿宋" w:hAnsi="仿宋" w:eastAsia="仿宋" w:cs="仿宋"/>
          <w:color w:val="auto"/>
          <w:sz w:val="24"/>
          <w:szCs w:val="18"/>
          <w:highlight w:val="none"/>
        </w:rPr>
        <w:t>供应商须参照第</w:t>
      </w:r>
      <w:r>
        <w:rPr>
          <w:rFonts w:hint="eastAsia" w:ascii="仿宋" w:hAnsi="仿宋" w:eastAsia="仿宋" w:cs="仿宋"/>
          <w:color w:val="auto"/>
          <w:sz w:val="24"/>
          <w:szCs w:val="18"/>
          <w:highlight w:val="none"/>
          <w:lang w:val="en-US" w:eastAsia="zh-CN"/>
        </w:rPr>
        <w:t>四</w:t>
      </w:r>
      <w:r>
        <w:rPr>
          <w:rFonts w:hint="eastAsia" w:ascii="仿宋" w:hAnsi="仿宋" w:eastAsia="仿宋" w:cs="仿宋"/>
          <w:color w:val="auto"/>
          <w:sz w:val="24"/>
          <w:szCs w:val="18"/>
          <w:highlight w:val="none"/>
        </w:rPr>
        <w:t>章各包所列明的内容全部报价。如果不提供详细分项报价视为未实质性响应招标</w:t>
      </w:r>
      <w:r>
        <w:rPr>
          <w:rFonts w:hint="eastAsia" w:ascii="仿宋" w:hAnsi="仿宋" w:eastAsia="仿宋" w:cs="仿宋"/>
          <w:color w:val="auto"/>
          <w:kern w:val="2"/>
          <w:sz w:val="24"/>
          <w:szCs w:val="18"/>
          <w:highlight w:val="none"/>
          <w:lang w:val="en-US" w:eastAsia="zh-CN" w:bidi="ar-SA"/>
        </w:rPr>
        <w:t>文件。</w:t>
      </w:r>
    </w:p>
    <w:p w14:paraId="4A47BD09">
      <w:pPr>
        <w:pStyle w:val="26"/>
        <w:numPr>
          <w:ilvl w:val="0"/>
          <w:numId w:val="0"/>
        </w:numPr>
        <w:spacing w:line="360" w:lineRule="auto"/>
        <w:ind w:firstLine="480" w:firstLineChars="200"/>
        <w:outlineLvl w:val="9"/>
        <w:rPr>
          <w:rFonts w:hint="eastAsia" w:eastAsia="宋体"/>
          <w:color w:val="auto"/>
          <w:sz w:val="24"/>
          <w:szCs w:val="18"/>
          <w:highlight w:val="none"/>
          <w:lang w:val="en-US" w:eastAsia="zh-CN"/>
        </w:rPr>
      </w:pPr>
      <w:r>
        <w:rPr>
          <w:rFonts w:hint="eastAsia" w:ascii="仿宋" w:hAnsi="仿宋" w:eastAsia="仿宋" w:cs="仿宋"/>
          <w:color w:val="auto"/>
          <w:kern w:val="2"/>
          <w:sz w:val="24"/>
          <w:szCs w:val="18"/>
          <w:highlight w:val="none"/>
          <w:lang w:val="en-US" w:eastAsia="zh-CN" w:bidi="ar-SA"/>
        </w:rPr>
        <w:t>3、不得缺项漏项。</w:t>
      </w:r>
    </w:p>
    <w:p w14:paraId="36A5E7A3">
      <w:pPr>
        <w:pStyle w:val="19"/>
        <w:rPr>
          <w:rFonts w:hint="eastAsia" w:ascii="仿宋" w:hAnsi="仿宋" w:eastAsia="仿宋" w:cs="仿宋"/>
          <w:color w:val="auto"/>
          <w:kern w:val="2"/>
          <w:sz w:val="24"/>
          <w:szCs w:val="22"/>
          <w:highlight w:val="none"/>
          <w:lang w:val="en-US" w:eastAsia="zh-CN" w:bidi="ar-SA"/>
        </w:rPr>
      </w:pPr>
    </w:p>
    <w:p w14:paraId="5EEB28EE">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投标单位名称：（公章）</w:t>
      </w:r>
    </w:p>
    <w:p w14:paraId="4B9CFCFF">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法定代表人、法定代表授权委托人：（签字或盖章）</w:t>
      </w:r>
    </w:p>
    <w:p w14:paraId="67569980">
      <w:pPr>
        <w:pStyle w:val="19"/>
        <w:ind w:left="0" w:leftChars="0" w:firstLine="960" w:firstLineChars="400"/>
        <w:jc w:val="both"/>
        <w:rPr>
          <w:rFonts w:hint="eastAsia" w:ascii="仿宋" w:hAnsi="仿宋" w:eastAsia="仿宋" w:cs="仿宋"/>
          <w:color w:val="auto"/>
          <w:sz w:val="28"/>
          <w:szCs w:val="28"/>
          <w:highlight w:val="none"/>
        </w:rPr>
      </w:pPr>
      <w:r>
        <w:rPr>
          <w:rFonts w:hint="eastAsia" w:ascii="仿宋" w:hAnsi="仿宋" w:eastAsia="仿宋" w:cs="仿宋"/>
          <w:color w:val="auto"/>
          <w:kern w:val="2"/>
          <w:sz w:val="24"/>
          <w:szCs w:val="22"/>
          <w:highlight w:val="none"/>
          <w:lang w:val="en-US" w:eastAsia="zh-CN" w:bidi="ar-SA"/>
        </w:rPr>
        <w:t>年      月     日</w:t>
      </w:r>
      <w:bookmarkStart w:id="171" w:name="_Toc25169"/>
      <w:bookmarkStart w:id="172" w:name="_Toc56170401"/>
      <w:bookmarkStart w:id="173" w:name="_Toc61184644"/>
      <w:bookmarkStart w:id="174" w:name="_Toc27579"/>
    </w:p>
    <w:p w14:paraId="7E7CBEBD">
      <w:pPr>
        <w:pStyle w:val="19"/>
        <w:jc w:val="both"/>
        <w:rPr>
          <w:rFonts w:hint="eastAsia" w:ascii="仿宋" w:hAnsi="仿宋" w:eastAsia="仿宋" w:cs="仿宋"/>
          <w:color w:val="auto"/>
          <w:sz w:val="28"/>
          <w:szCs w:val="28"/>
          <w:highlight w:val="none"/>
        </w:rPr>
      </w:pPr>
    </w:p>
    <w:p w14:paraId="118DE0B6">
      <w:pPr>
        <w:pStyle w:val="19"/>
        <w:ind w:left="0" w:leftChars="0" w:firstLine="0" w:firstLineChars="0"/>
        <w:jc w:val="both"/>
        <w:rPr>
          <w:rFonts w:hint="eastAsia" w:ascii="仿宋" w:hAnsi="仿宋" w:eastAsia="仿宋" w:cs="仿宋"/>
          <w:color w:val="auto"/>
          <w:sz w:val="28"/>
          <w:szCs w:val="28"/>
          <w:highlight w:val="none"/>
        </w:rPr>
      </w:pPr>
    </w:p>
    <w:p w14:paraId="325A5863">
      <w:pPr>
        <w:pStyle w:val="19"/>
        <w:ind w:left="0" w:leftChars="0" w:firstLine="0" w:firstLineChars="0"/>
        <w:jc w:val="both"/>
        <w:rPr>
          <w:rFonts w:hint="eastAsia" w:ascii="仿宋" w:hAnsi="仿宋" w:eastAsia="仿宋" w:cs="仿宋"/>
          <w:color w:val="auto"/>
          <w:sz w:val="28"/>
          <w:szCs w:val="28"/>
          <w:highlight w:val="none"/>
        </w:rPr>
      </w:pPr>
    </w:p>
    <w:p w14:paraId="2A559F11">
      <w:pPr>
        <w:pStyle w:val="19"/>
        <w:ind w:left="0" w:leftChars="0" w:firstLine="0" w:firstLineChars="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ab/>
      </w:r>
      <w:r>
        <w:rPr>
          <w:rFonts w:hint="eastAsia" w:ascii="仿宋" w:hAnsi="仿宋" w:eastAsia="仿宋" w:cs="仿宋"/>
          <w:color w:val="auto"/>
          <w:sz w:val="28"/>
          <w:szCs w:val="28"/>
          <w:highlight w:val="none"/>
        </w:rPr>
        <w:t>附件十、技术规格偏离表</w:t>
      </w:r>
    </w:p>
    <w:p w14:paraId="49395736">
      <w:pPr>
        <w:pStyle w:val="19"/>
        <w:ind w:left="0" w:leftChars="0" w:firstLine="0" w:firstLineChars="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项目名称：                  </w:t>
      </w:r>
      <w:r>
        <w:rPr>
          <w:rFonts w:hint="eastAsia" w:ascii="仿宋" w:hAnsi="仿宋" w:eastAsia="仿宋" w:cs="仿宋"/>
          <w:color w:val="auto"/>
          <w:sz w:val="28"/>
          <w:szCs w:val="28"/>
          <w:highlight w:val="none"/>
          <w:lang w:val="en-US" w:eastAsia="zh-CN"/>
        </w:rPr>
        <w:t>项目</w:t>
      </w:r>
      <w:r>
        <w:rPr>
          <w:rFonts w:hint="eastAsia" w:ascii="仿宋" w:hAnsi="仿宋" w:eastAsia="仿宋" w:cs="仿宋"/>
          <w:color w:val="auto"/>
          <w:sz w:val="28"/>
          <w:szCs w:val="28"/>
          <w:highlight w:val="none"/>
          <w:lang w:eastAsia="zh-CN"/>
        </w:rPr>
        <w:t>编号：</w:t>
      </w:r>
      <w:r>
        <w:rPr>
          <w:rFonts w:hint="eastAsia" w:ascii="仿宋" w:hAnsi="仿宋" w:eastAsia="仿宋" w:cs="仿宋"/>
          <w:color w:val="auto"/>
          <w:sz w:val="28"/>
          <w:szCs w:val="28"/>
          <w:highlight w:val="none"/>
          <w:lang w:val="en-US" w:eastAsia="zh-CN"/>
        </w:rPr>
        <w:t xml:space="preserve">               </w:t>
      </w:r>
    </w:p>
    <w:tbl>
      <w:tblPr>
        <w:tblStyle w:val="20"/>
        <w:tblpPr w:leftFromText="180" w:rightFromText="180" w:vertAnchor="text" w:horzAnchor="page" w:tblpX="1227" w:tblpY="732"/>
        <w:tblOverlap w:val="never"/>
        <w:tblW w:w="9651" w:type="dxa"/>
        <w:tblInd w:w="0" w:type="dxa"/>
        <w:tblLayout w:type="fixed"/>
        <w:tblCellMar>
          <w:top w:w="0" w:type="dxa"/>
          <w:left w:w="108" w:type="dxa"/>
          <w:bottom w:w="0" w:type="dxa"/>
          <w:right w:w="108" w:type="dxa"/>
        </w:tblCellMar>
      </w:tblPr>
      <w:tblGrid>
        <w:gridCol w:w="1561"/>
        <w:gridCol w:w="1803"/>
        <w:gridCol w:w="1405"/>
        <w:gridCol w:w="2795"/>
        <w:gridCol w:w="2087"/>
      </w:tblGrid>
      <w:tr w14:paraId="4B892FA1">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251610FC">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803" w:type="dxa"/>
            <w:tcBorders>
              <w:top w:val="single" w:color="auto" w:sz="6" w:space="0"/>
              <w:left w:val="single" w:color="auto" w:sz="6" w:space="0"/>
              <w:bottom w:val="single" w:color="auto" w:sz="6" w:space="0"/>
              <w:right w:val="single" w:color="auto" w:sz="6" w:space="0"/>
            </w:tcBorders>
            <w:noWrap w:val="0"/>
            <w:vAlign w:val="center"/>
          </w:tcPr>
          <w:p w14:paraId="338BF329">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招标规格</w:t>
            </w:r>
          </w:p>
        </w:tc>
        <w:tc>
          <w:tcPr>
            <w:tcW w:w="1405" w:type="dxa"/>
            <w:tcBorders>
              <w:top w:val="single" w:color="auto" w:sz="6" w:space="0"/>
              <w:left w:val="single" w:color="auto" w:sz="6" w:space="0"/>
              <w:bottom w:val="single" w:color="auto" w:sz="6" w:space="0"/>
              <w:right w:val="single" w:color="auto" w:sz="6" w:space="0"/>
            </w:tcBorders>
            <w:noWrap w:val="0"/>
            <w:vAlign w:val="center"/>
          </w:tcPr>
          <w:p w14:paraId="1B1AAC28">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投标规格</w:t>
            </w:r>
          </w:p>
        </w:tc>
        <w:tc>
          <w:tcPr>
            <w:tcW w:w="2795" w:type="dxa"/>
            <w:tcBorders>
              <w:top w:val="single" w:color="auto" w:sz="6" w:space="0"/>
              <w:left w:val="single" w:color="auto" w:sz="6" w:space="0"/>
              <w:bottom w:val="single" w:color="auto" w:sz="6" w:space="0"/>
              <w:right w:val="single" w:color="auto" w:sz="4" w:space="0"/>
            </w:tcBorders>
            <w:noWrap w:val="0"/>
            <w:vAlign w:val="center"/>
          </w:tcPr>
          <w:p w14:paraId="2788FF4B">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响应/偏离</w:t>
            </w:r>
          </w:p>
        </w:tc>
        <w:tc>
          <w:tcPr>
            <w:tcW w:w="2087" w:type="dxa"/>
            <w:tcBorders>
              <w:top w:val="single" w:color="auto" w:sz="6" w:space="0"/>
              <w:left w:val="single" w:color="auto" w:sz="4" w:space="0"/>
              <w:bottom w:val="single" w:color="auto" w:sz="6" w:space="0"/>
              <w:right w:val="single" w:color="auto" w:sz="6" w:space="0"/>
            </w:tcBorders>
            <w:noWrap w:val="0"/>
            <w:vAlign w:val="center"/>
          </w:tcPr>
          <w:p w14:paraId="00BEB1F9">
            <w:pPr>
              <w:spacing w:line="360" w:lineRule="auto"/>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说明</w:t>
            </w:r>
          </w:p>
        </w:tc>
      </w:tr>
      <w:tr w14:paraId="743A8B68">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77536387">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32ABA6EB">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1B128807">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55B0491D">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60D2512E">
            <w:pPr>
              <w:spacing w:line="360" w:lineRule="auto"/>
              <w:ind w:firstLine="420"/>
              <w:jc w:val="center"/>
              <w:outlineLvl w:val="9"/>
              <w:rPr>
                <w:rFonts w:hint="eastAsia" w:ascii="仿宋" w:hAnsi="仿宋" w:eastAsia="仿宋" w:cs="仿宋"/>
                <w:color w:val="auto"/>
                <w:sz w:val="24"/>
                <w:szCs w:val="24"/>
                <w:highlight w:val="none"/>
              </w:rPr>
            </w:pPr>
          </w:p>
        </w:tc>
      </w:tr>
      <w:tr w14:paraId="74A134BB">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2CBD8DEA">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55ACE27D">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6FB2A33B">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403F2DC2">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54952B1D">
            <w:pPr>
              <w:spacing w:line="360" w:lineRule="auto"/>
              <w:ind w:firstLine="420"/>
              <w:jc w:val="center"/>
              <w:outlineLvl w:val="9"/>
              <w:rPr>
                <w:rFonts w:hint="eastAsia" w:ascii="仿宋" w:hAnsi="仿宋" w:eastAsia="仿宋" w:cs="仿宋"/>
                <w:color w:val="auto"/>
                <w:sz w:val="24"/>
                <w:szCs w:val="24"/>
                <w:highlight w:val="none"/>
              </w:rPr>
            </w:pPr>
          </w:p>
        </w:tc>
      </w:tr>
      <w:tr w14:paraId="4EB1DC3E">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3E0BB865">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522CA08E">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552467DF">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3FB625A3">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28DCF119">
            <w:pPr>
              <w:spacing w:line="360" w:lineRule="auto"/>
              <w:ind w:firstLine="420"/>
              <w:jc w:val="center"/>
              <w:outlineLvl w:val="9"/>
              <w:rPr>
                <w:rFonts w:hint="eastAsia" w:ascii="仿宋" w:hAnsi="仿宋" w:eastAsia="仿宋" w:cs="仿宋"/>
                <w:color w:val="auto"/>
                <w:sz w:val="24"/>
                <w:szCs w:val="24"/>
                <w:highlight w:val="none"/>
              </w:rPr>
            </w:pPr>
          </w:p>
        </w:tc>
      </w:tr>
      <w:tr w14:paraId="1419BDA6">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7323F764">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40ED7827">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28D6C7E1">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51341EFF">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06CE6A1C">
            <w:pPr>
              <w:spacing w:line="360" w:lineRule="auto"/>
              <w:ind w:firstLine="420"/>
              <w:jc w:val="center"/>
              <w:outlineLvl w:val="9"/>
              <w:rPr>
                <w:rFonts w:hint="eastAsia" w:ascii="仿宋" w:hAnsi="仿宋" w:eastAsia="仿宋" w:cs="仿宋"/>
                <w:color w:val="auto"/>
                <w:sz w:val="24"/>
                <w:szCs w:val="24"/>
                <w:highlight w:val="none"/>
              </w:rPr>
            </w:pPr>
          </w:p>
        </w:tc>
      </w:tr>
      <w:tr w14:paraId="50B6FD18">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1C049B00">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5C45DC09">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6BC27B73">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40177438">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451889C0">
            <w:pPr>
              <w:spacing w:line="360" w:lineRule="auto"/>
              <w:ind w:firstLine="420"/>
              <w:jc w:val="center"/>
              <w:outlineLvl w:val="9"/>
              <w:rPr>
                <w:rFonts w:hint="eastAsia" w:ascii="仿宋" w:hAnsi="仿宋" w:eastAsia="仿宋" w:cs="仿宋"/>
                <w:color w:val="auto"/>
                <w:sz w:val="24"/>
                <w:szCs w:val="24"/>
                <w:highlight w:val="none"/>
              </w:rPr>
            </w:pPr>
          </w:p>
        </w:tc>
      </w:tr>
      <w:tr w14:paraId="3BBCB1D3">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64319FC7">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2753B682">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384B6B99">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0A88B5EE">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5955AFFE">
            <w:pPr>
              <w:spacing w:line="360" w:lineRule="auto"/>
              <w:ind w:firstLine="420"/>
              <w:jc w:val="center"/>
              <w:outlineLvl w:val="9"/>
              <w:rPr>
                <w:rFonts w:hint="eastAsia" w:ascii="仿宋" w:hAnsi="仿宋" w:eastAsia="仿宋" w:cs="仿宋"/>
                <w:color w:val="auto"/>
                <w:sz w:val="24"/>
                <w:szCs w:val="24"/>
                <w:highlight w:val="none"/>
              </w:rPr>
            </w:pPr>
          </w:p>
        </w:tc>
      </w:tr>
      <w:tr w14:paraId="52E575AE">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7C88EFF9">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1015C6CE">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79563621">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37322129">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186B4680">
            <w:pPr>
              <w:spacing w:line="360" w:lineRule="auto"/>
              <w:ind w:firstLine="420"/>
              <w:jc w:val="center"/>
              <w:outlineLvl w:val="9"/>
              <w:rPr>
                <w:rFonts w:hint="eastAsia" w:ascii="仿宋" w:hAnsi="仿宋" w:eastAsia="仿宋" w:cs="仿宋"/>
                <w:color w:val="auto"/>
                <w:sz w:val="24"/>
                <w:szCs w:val="24"/>
                <w:highlight w:val="none"/>
              </w:rPr>
            </w:pPr>
          </w:p>
        </w:tc>
      </w:tr>
      <w:tr w14:paraId="4CB6D0C0">
        <w:tblPrEx>
          <w:tblCellMar>
            <w:top w:w="0" w:type="dxa"/>
            <w:left w:w="108" w:type="dxa"/>
            <w:bottom w:w="0" w:type="dxa"/>
            <w:right w:w="108" w:type="dxa"/>
          </w:tblCellMar>
        </w:tblPrEx>
        <w:trPr>
          <w:trHeight w:val="576" w:hRule="atLeast"/>
        </w:trPr>
        <w:tc>
          <w:tcPr>
            <w:tcW w:w="1561" w:type="dxa"/>
            <w:tcBorders>
              <w:top w:val="single" w:color="auto" w:sz="6" w:space="0"/>
              <w:left w:val="single" w:color="auto" w:sz="6" w:space="0"/>
              <w:bottom w:val="single" w:color="auto" w:sz="6" w:space="0"/>
              <w:right w:val="single" w:color="auto" w:sz="6" w:space="0"/>
            </w:tcBorders>
            <w:noWrap w:val="0"/>
            <w:vAlign w:val="center"/>
          </w:tcPr>
          <w:p w14:paraId="44F4CB28">
            <w:pPr>
              <w:spacing w:line="360" w:lineRule="auto"/>
              <w:ind w:firstLine="420"/>
              <w:jc w:val="center"/>
              <w:outlineLvl w:val="9"/>
              <w:rPr>
                <w:rFonts w:hint="eastAsia" w:ascii="仿宋" w:hAnsi="仿宋" w:eastAsia="仿宋" w:cs="仿宋"/>
                <w:color w:val="auto"/>
                <w:sz w:val="24"/>
                <w:szCs w:val="24"/>
                <w:highlight w:val="none"/>
              </w:rPr>
            </w:pPr>
          </w:p>
        </w:tc>
        <w:tc>
          <w:tcPr>
            <w:tcW w:w="1803" w:type="dxa"/>
            <w:tcBorders>
              <w:top w:val="single" w:color="auto" w:sz="6" w:space="0"/>
              <w:left w:val="single" w:color="auto" w:sz="6" w:space="0"/>
              <w:bottom w:val="single" w:color="auto" w:sz="6" w:space="0"/>
              <w:right w:val="single" w:color="auto" w:sz="6" w:space="0"/>
            </w:tcBorders>
            <w:noWrap w:val="0"/>
            <w:vAlign w:val="center"/>
          </w:tcPr>
          <w:p w14:paraId="2B746C96">
            <w:pPr>
              <w:spacing w:line="360" w:lineRule="auto"/>
              <w:ind w:firstLine="420"/>
              <w:jc w:val="center"/>
              <w:outlineLvl w:val="9"/>
              <w:rPr>
                <w:rFonts w:hint="eastAsia" w:ascii="仿宋" w:hAnsi="仿宋" w:eastAsia="仿宋" w:cs="仿宋"/>
                <w:color w:val="auto"/>
                <w:sz w:val="24"/>
                <w:szCs w:val="24"/>
                <w:highlight w:val="none"/>
              </w:rPr>
            </w:pPr>
          </w:p>
        </w:tc>
        <w:tc>
          <w:tcPr>
            <w:tcW w:w="1405" w:type="dxa"/>
            <w:tcBorders>
              <w:top w:val="single" w:color="auto" w:sz="6" w:space="0"/>
              <w:left w:val="single" w:color="auto" w:sz="6" w:space="0"/>
              <w:bottom w:val="single" w:color="auto" w:sz="6" w:space="0"/>
              <w:right w:val="single" w:color="auto" w:sz="6" w:space="0"/>
            </w:tcBorders>
            <w:noWrap w:val="0"/>
            <w:vAlign w:val="center"/>
          </w:tcPr>
          <w:p w14:paraId="424D6C60">
            <w:pPr>
              <w:spacing w:line="360" w:lineRule="auto"/>
              <w:ind w:firstLine="420"/>
              <w:jc w:val="center"/>
              <w:outlineLvl w:val="9"/>
              <w:rPr>
                <w:rFonts w:hint="eastAsia" w:ascii="仿宋" w:hAnsi="仿宋" w:eastAsia="仿宋" w:cs="仿宋"/>
                <w:color w:val="auto"/>
                <w:sz w:val="24"/>
                <w:szCs w:val="24"/>
                <w:highlight w:val="none"/>
              </w:rPr>
            </w:pPr>
          </w:p>
        </w:tc>
        <w:tc>
          <w:tcPr>
            <w:tcW w:w="2795" w:type="dxa"/>
            <w:tcBorders>
              <w:top w:val="single" w:color="auto" w:sz="6" w:space="0"/>
              <w:left w:val="single" w:color="auto" w:sz="6" w:space="0"/>
              <w:bottom w:val="single" w:color="auto" w:sz="6" w:space="0"/>
              <w:right w:val="single" w:color="auto" w:sz="4" w:space="0"/>
            </w:tcBorders>
            <w:noWrap w:val="0"/>
            <w:vAlign w:val="center"/>
          </w:tcPr>
          <w:p w14:paraId="29CF45CE">
            <w:pPr>
              <w:spacing w:line="360" w:lineRule="auto"/>
              <w:ind w:firstLine="420"/>
              <w:jc w:val="center"/>
              <w:outlineLvl w:val="9"/>
              <w:rPr>
                <w:rFonts w:hint="eastAsia" w:ascii="仿宋" w:hAnsi="仿宋" w:eastAsia="仿宋" w:cs="仿宋"/>
                <w:color w:val="auto"/>
                <w:sz w:val="24"/>
                <w:szCs w:val="24"/>
                <w:highlight w:val="none"/>
              </w:rPr>
            </w:pPr>
          </w:p>
        </w:tc>
        <w:tc>
          <w:tcPr>
            <w:tcW w:w="2087" w:type="dxa"/>
            <w:tcBorders>
              <w:top w:val="single" w:color="auto" w:sz="6" w:space="0"/>
              <w:left w:val="single" w:color="auto" w:sz="4" w:space="0"/>
              <w:bottom w:val="single" w:color="auto" w:sz="6" w:space="0"/>
              <w:right w:val="single" w:color="auto" w:sz="6" w:space="0"/>
            </w:tcBorders>
            <w:noWrap w:val="0"/>
            <w:vAlign w:val="center"/>
          </w:tcPr>
          <w:p w14:paraId="1A526C32">
            <w:pPr>
              <w:spacing w:line="360" w:lineRule="auto"/>
              <w:ind w:firstLine="420"/>
              <w:jc w:val="center"/>
              <w:outlineLvl w:val="9"/>
              <w:rPr>
                <w:rFonts w:hint="eastAsia" w:ascii="仿宋" w:hAnsi="仿宋" w:eastAsia="仿宋" w:cs="仿宋"/>
                <w:color w:val="auto"/>
                <w:sz w:val="24"/>
                <w:szCs w:val="24"/>
                <w:highlight w:val="none"/>
              </w:rPr>
            </w:pPr>
          </w:p>
        </w:tc>
      </w:tr>
    </w:tbl>
    <w:p w14:paraId="6DA4F927">
      <w:pPr>
        <w:pStyle w:val="19"/>
        <w:ind w:left="0" w:leftChars="0" w:firstLine="0" w:firstLineChars="0"/>
        <w:jc w:val="both"/>
        <w:rPr>
          <w:rFonts w:hint="eastAsia" w:ascii="仿宋" w:hAnsi="仿宋" w:eastAsia="仿宋" w:cs="仿宋"/>
          <w:color w:val="auto"/>
          <w:sz w:val="28"/>
          <w:szCs w:val="28"/>
          <w:highlight w:val="none"/>
        </w:rPr>
      </w:pPr>
    </w:p>
    <w:bookmarkEnd w:id="171"/>
    <w:bookmarkEnd w:id="172"/>
    <w:bookmarkEnd w:id="173"/>
    <w:bookmarkEnd w:id="174"/>
    <w:p w14:paraId="4A60A5E5">
      <w:pPr>
        <w:spacing w:line="360" w:lineRule="auto"/>
        <w:outlineLvl w:val="9"/>
        <w:rPr>
          <w:rFonts w:hint="eastAsia" w:ascii="仿宋" w:hAnsi="仿宋" w:eastAsia="仿宋" w:cs="仿宋"/>
          <w:color w:val="auto"/>
          <w:sz w:val="24"/>
          <w:szCs w:val="18"/>
          <w:highlight w:val="none"/>
        </w:rPr>
      </w:pPr>
      <w:r>
        <w:rPr>
          <w:rFonts w:hint="eastAsia" w:ascii="仿宋" w:hAnsi="仿宋" w:eastAsia="仿宋" w:cs="仿宋"/>
          <w:color w:val="auto"/>
          <w:sz w:val="24"/>
          <w:szCs w:val="18"/>
          <w:highlight w:val="none"/>
        </w:rPr>
        <w:t>（供应商须对第四章所有技术参数条款逐条列明是否响应，如有偏离，须一一列明。供应商所投产品必须提供国家权威部门出具的检验报告作为其技术指标的支持资料（国家无需检测的设备可以不提供检验报告）。对未提供技术支持资料的，或参数与其提供的技术支持资料不一致的，均视为偏离。）</w:t>
      </w:r>
    </w:p>
    <w:p w14:paraId="3F05978B">
      <w:pPr>
        <w:pStyle w:val="19"/>
        <w:rPr>
          <w:rFonts w:hint="eastAsia" w:ascii="仿宋" w:hAnsi="仿宋" w:eastAsia="仿宋" w:cs="仿宋"/>
          <w:color w:val="auto"/>
          <w:kern w:val="2"/>
          <w:sz w:val="24"/>
          <w:szCs w:val="22"/>
          <w:highlight w:val="none"/>
          <w:lang w:val="en-US" w:eastAsia="zh-CN" w:bidi="ar-SA"/>
        </w:rPr>
      </w:pPr>
      <w:bookmarkStart w:id="175" w:name="_Toc56170402"/>
      <w:bookmarkStart w:id="176" w:name="_Toc11172"/>
      <w:bookmarkStart w:id="177" w:name="_Toc61184645"/>
    </w:p>
    <w:p w14:paraId="250F412A">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投标单位名称：（公章）</w:t>
      </w:r>
    </w:p>
    <w:p w14:paraId="57BD1905">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法定代表人、法定代表授权委托人：（签字或盖章）</w:t>
      </w:r>
    </w:p>
    <w:p w14:paraId="75BBF9F5">
      <w:pPr>
        <w:pStyle w:val="19"/>
        <w:ind w:firstLine="960" w:firstLineChars="400"/>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年      月     日</w:t>
      </w:r>
    </w:p>
    <w:p w14:paraId="3347D4A6">
      <w:pPr>
        <w:outlineLvl w:val="9"/>
        <w:rPr>
          <w:rFonts w:hint="eastAsia" w:ascii="仿宋" w:hAnsi="仿宋" w:eastAsia="仿宋" w:cs="仿宋"/>
          <w:color w:val="auto"/>
          <w:highlight w:val="none"/>
        </w:rPr>
      </w:pPr>
    </w:p>
    <w:p w14:paraId="659FAEA6">
      <w:pPr>
        <w:outlineLvl w:val="9"/>
        <w:rPr>
          <w:rFonts w:hint="eastAsia" w:ascii="仿宋" w:hAnsi="仿宋" w:eastAsia="仿宋" w:cs="仿宋"/>
          <w:color w:val="auto"/>
          <w:highlight w:val="none"/>
        </w:rPr>
      </w:pPr>
    </w:p>
    <w:p w14:paraId="2D7ED53B">
      <w:pPr>
        <w:outlineLvl w:val="9"/>
        <w:rPr>
          <w:rFonts w:hint="eastAsia" w:ascii="仿宋" w:hAnsi="仿宋" w:eastAsia="仿宋" w:cs="仿宋"/>
          <w:color w:val="auto"/>
          <w:highlight w:val="none"/>
        </w:rPr>
      </w:pPr>
    </w:p>
    <w:p w14:paraId="4DA5FB09">
      <w:pPr>
        <w:outlineLvl w:val="9"/>
        <w:rPr>
          <w:rFonts w:hint="eastAsia" w:ascii="仿宋" w:hAnsi="仿宋" w:eastAsia="仿宋" w:cs="仿宋"/>
          <w:color w:val="auto"/>
          <w:highlight w:val="none"/>
        </w:rPr>
      </w:pPr>
    </w:p>
    <w:p w14:paraId="53B51033">
      <w:pPr>
        <w:outlineLvl w:val="9"/>
        <w:rPr>
          <w:rFonts w:hint="eastAsia" w:ascii="仿宋" w:hAnsi="仿宋" w:eastAsia="仿宋" w:cs="仿宋"/>
          <w:color w:val="auto"/>
          <w:highlight w:val="none"/>
        </w:rPr>
      </w:pPr>
    </w:p>
    <w:p w14:paraId="11B196EF">
      <w:pPr>
        <w:outlineLvl w:val="9"/>
        <w:rPr>
          <w:rFonts w:hint="eastAsia" w:ascii="仿宋" w:hAnsi="仿宋" w:eastAsia="仿宋" w:cs="仿宋"/>
          <w:color w:val="auto"/>
          <w:highlight w:val="none"/>
        </w:rPr>
      </w:pPr>
    </w:p>
    <w:p w14:paraId="4D824E5D">
      <w:pPr>
        <w:jc w:val="center"/>
        <w:outlineLvl w:val="0"/>
        <w:rPr>
          <w:rFonts w:hint="eastAsia" w:ascii="仿宋" w:hAnsi="仿宋" w:eastAsia="仿宋" w:cs="仿宋"/>
          <w:color w:val="auto"/>
          <w:sz w:val="28"/>
          <w:szCs w:val="28"/>
          <w:highlight w:val="none"/>
        </w:rPr>
      </w:pPr>
      <w:bookmarkStart w:id="178" w:name="_Toc7951"/>
      <w:bookmarkStart w:id="179" w:name="_Toc23133"/>
      <w:r>
        <w:rPr>
          <w:rFonts w:hint="eastAsia" w:ascii="仿宋" w:hAnsi="仿宋" w:eastAsia="仿宋" w:cs="仿宋"/>
          <w:color w:val="auto"/>
          <w:sz w:val="28"/>
          <w:szCs w:val="28"/>
          <w:highlight w:val="none"/>
        </w:rPr>
        <w:t>附件十一、商务条款偏离表</w:t>
      </w:r>
      <w:bookmarkEnd w:id="175"/>
      <w:bookmarkEnd w:id="176"/>
      <w:bookmarkEnd w:id="177"/>
      <w:bookmarkEnd w:id="178"/>
      <w:bookmarkEnd w:id="179"/>
    </w:p>
    <w:p w14:paraId="20911140">
      <w:pPr>
        <w:jc w:val="both"/>
        <w:outlineLvl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项目名称：                  </w:t>
      </w:r>
      <w:r>
        <w:rPr>
          <w:rFonts w:hint="eastAsia" w:ascii="仿宋" w:hAnsi="仿宋" w:eastAsia="仿宋" w:cs="仿宋"/>
          <w:color w:val="auto"/>
          <w:sz w:val="28"/>
          <w:szCs w:val="28"/>
          <w:highlight w:val="none"/>
          <w:lang w:val="en-US" w:eastAsia="zh-CN"/>
        </w:rPr>
        <w:t>项目</w:t>
      </w:r>
      <w:r>
        <w:rPr>
          <w:rFonts w:hint="eastAsia" w:ascii="仿宋" w:hAnsi="仿宋" w:eastAsia="仿宋" w:cs="仿宋"/>
          <w:color w:val="auto"/>
          <w:sz w:val="28"/>
          <w:szCs w:val="28"/>
          <w:highlight w:val="none"/>
        </w:rPr>
        <w:t>编号：</w:t>
      </w:r>
      <w:r>
        <w:rPr>
          <w:rFonts w:hint="eastAsia" w:ascii="仿宋" w:hAnsi="仿宋" w:eastAsia="仿宋" w:cs="仿宋"/>
          <w:color w:val="auto"/>
          <w:sz w:val="28"/>
          <w:szCs w:val="28"/>
          <w:highlight w:val="none"/>
          <w:lang w:val="en-US" w:eastAsia="zh-CN"/>
        </w:rPr>
        <w:t xml:space="preserve">               </w:t>
      </w:r>
    </w:p>
    <w:tbl>
      <w:tblPr>
        <w:tblStyle w:val="20"/>
        <w:tblW w:w="9614" w:type="dxa"/>
        <w:jc w:val="center"/>
        <w:tblLayout w:type="fixed"/>
        <w:tblCellMar>
          <w:top w:w="0" w:type="dxa"/>
          <w:left w:w="108" w:type="dxa"/>
          <w:bottom w:w="0" w:type="dxa"/>
          <w:right w:w="108" w:type="dxa"/>
        </w:tblCellMar>
      </w:tblPr>
      <w:tblGrid>
        <w:gridCol w:w="1316"/>
        <w:gridCol w:w="1975"/>
        <w:gridCol w:w="1722"/>
        <w:gridCol w:w="2030"/>
        <w:gridCol w:w="2571"/>
      </w:tblGrid>
      <w:tr w14:paraId="6D8D689F">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1DBFED4E">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75" w:type="dxa"/>
            <w:tcBorders>
              <w:top w:val="single" w:color="auto" w:sz="6" w:space="0"/>
              <w:left w:val="single" w:color="auto" w:sz="6" w:space="0"/>
              <w:bottom w:val="single" w:color="auto" w:sz="6" w:space="0"/>
              <w:right w:val="single" w:color="auto" w:sz="6" w:space="0"/>
            </w:tcBorders>
            <w:noWrap w:val="0"/>
            <w:vAlign w:val="center"/>
          </w:tcPr>
          <w:p w14:paraId="5833A6E4">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条款序号</w:t>
            </w:r>
          </w:p>
        </w:tc>
        <w:tc>
          <w:tcPr>
            <w:tcW w:w="1722" w:type="dxa"/>
            <w:tcBorders>
              <w:top w:val="single" w:color="auto" w:sz="6" w:space="0"/>
              <w:left w:val="single" w:color="auto" w:sz="6" w:space="0"/>
              <w:bottom w:val="single" w:color="auto" w:sz="6" w:space="0"/>
              <w:right w:val="single" w:color="auto" w:sz="6" w:space="0"/>
            </w:tcBorders>
            <w:noWrap w:val="0"/>
            <w:vAlign w:val="center"/>
          </w:tcPr>
          <w:p w14:paraId="3F24B6EF">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招标条款</w:t>
            </w:r>
          </w:p>
        </w:tc>
        <w:tc>
          <w:tcPr>
            <w:tcW w:w="2030" w:type="dxa"/>
            <w:tcBorders>
              <w:top w:val="single" w:color="auto" w:sz="6" w:space="0"/>
              <w:left w:val="single" w:color="auto" w:sz="6" w:space="0"/>
              <w:bottom w:val="single" w:color="auto" w:sz="6" w:space="0"/>
              <w:right w:val="single" w:color="auto" w:sz="6" w:space="0"/>
            </w:tcBorders>
            <w:noWrap w:val="0"/>
            <w:vAlign w:val="center"/>
          </w:tcPr>
          <w:p w14:paraId="3CCB8055">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投标条款</w:t>
            </w:r>
          </w:p>
        </w:tc>
        <w:tc>
          <w:tcPr>
            <w:tcW w:w="2571" w:type="dxa"/>
            <w:tcBorders>
              <w:top w:val="single" w:color="auto" w:sz="6" w:space="0"/>
              <w:left w:val="single" w:color="auto" w:sz="6" w:space="0"/>
              <w:bottom w:val="single" w:color="auto" w:sz="6" w:space="0"/>
              <w:right w:val="single" w:color="auto" w:sz="6" w:space="0"/>
            </w:tcBorders>
            <w:noWrap w:val="0"/>
            <w:vAlign w:val="center"/>
          </w:tcPr>
          <w:p w14:paraId="7A54C4A5">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响应/偏离</w:t>
            </w:r>
          </w:p>
        </w:tc>
      </w:tr>
      <w:tr w14:paraId="50C7A39C">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19F3BB8D">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2B0A7113">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17213EFD">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3A991978">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7572FA9B">
            <w:pPr>
              <w:spacing w:line="360" w:lineRule="auto"/>
              <w:ind w:firstLine="420"/>
              <w:jc w:val="center"/>
              <w:outlineLvl w:val="9"/>
              <w:rPr>
                <w:rFonts w:hint="eastAsia" w:ascii="仿宋" w:hAnsi="仿宋" w:eastAsia="仿宋" w:cs="仿宋"/>
                <w:color w:val="auto"/>
                <w:sz w:val="24"/>
                <w:szCs w:val="24"/>
                <w:highlight w:val="none"/>
              </w:rPr>
            </w:pPr>
          </w:p>
        </w:tc>
      </w:tr>
      <w:tr w14:paraId="49BEC596">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494B345A">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0BF775C1">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3E6E17AC">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6D29CB16">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353A8EEB">
            <w:pPr>
              <w:spacing w:line="360" w:lineRule="auto"/>
              <w:ind w:firstLine="420"/>
              <w:jc w:val="center"/>
              <w:outlineLvl w:val="9"/>
              <w:rPr>
                <w:rFonts w:hint="eastAsia" w:ascii="仿宋" w:hAnsi="仿宋" w:eastAsia="仿宋" w:cs="仿宋"/>
                <w:color w:val="auto"/>
                <w:sz w:val="24"/>
                <w:szCs w:val="24"/>
                <w:highlight w:val="none"/>
              </w:rPr>
            </w:pPr>
          </w:p>
        </w:tc>
      </w:tr>
      <w:tr w14:paraId="55E20CE8">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261B4E1E">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3C86883A">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3001F7D0">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000C1D87">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044E6D0F">
            <w:pPr>
              <w:spacing w:line="360" w:lineRule="auto"/>
              <w:ind w:firstLine="420"/>
              <w:jc w:val="center"/>
              <w:outlineLvl w:val="9"/>
              <w:rPr>
                <w:rFonts w:hint="eastAsia" w:ascii="仿宋" w:hAnsi="仿宋" w:eastAsia="仿宋" w:cs="仿宋"/>
                <w:color w:val="auto"/>
                <w:sz w:val="24"/>
                <w:szCs w:val="24"/>
                <w:highlight w:val="none"/>
              </w:rPr>
            </w:pPr>
          </w:p>
        </w:tc>
      </w:tr>
      <w:tr w14:paraId="526522E5">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6F056FCA">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3025057C">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14706907">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7F166AB4">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0A65DC3E">
            <w:pPr>
              <w:spacing w:line="360" w:lineRule="auto"/>
              <w:ind w:firstLine="420"/>
              <w:jc w:val="center"/>
              <w:outlineLvl w:val="9"/>
              <w:rPr>
                <w:rFonts w:hint="eastAsia" w:ascii="仿宋" w:hAnsi="仿宋" w:eastAsia="仿宋" w:cs="仿宋"/>
                <w:color w:val="auto"/>
                <w:sz w:val="24"/>
                <w:szCs w:val="24"/>
                <w:highlight w:val="none"/>
              </w:rPr>
            </w:pPr>
          </w:p>
        </w:tc>
      </w:tr>
      <w:tr w14:paraId="5F90EBDF">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73B5AC4C">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138484E5">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70109B55">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28BCAA99">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4A47350F">
            <w:pPr>
              <w:spacing w:line="360" w:lineRule="auto"/>
              <w:ind w:firstLine="420"/>
              <w:jc w:val="center"/>
              <w:outlineLvl w:val="9"/>
              <w:rPr>
                <w:rFonts w:hint="eastAsia" w:ascii="仿宋" w:hAnsi="仿宋" w:eastAsia="仿宋" w:cs="仿宋"/>
                <w:color w:val="auto"/>
                <w:sz w:val="24"/>
                <w:szCs w:val="24"/>
                <w:highlight w:val="none"/>
              </w:rPr>
            </w:pPr>
          </w:p>
        </w:tc>
      </w:tr>
      <w:tr w14:paraId="6CF95A02">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384973CB">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568DCA01">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6EFED4F9">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3787AA8A">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00F6C88A">
            <w:pPr>
              <w:spacing w:line="360" w:lineRule="auto"/>
              <w:ind w:firstLine="420"/>
              <w:jc w:val="center"/>
              <w:outlineLvl w:val="9"/>
              <w:rPr>
                <w:rFonts w:hint="eastAsia" w:ascii="仿宋" w:hAnsi="仿宋" w:eastAsia="仿宋" w:cs="仿宋"/>
                <w:color w:val="auto"/>
                <w:sz w:val="24"/>
                <w:szCs w:val="24"/>
                <w:highlight w:val="none"/>
              </w:rPr>
            </w:pPr>
          </w:p>
        </w:tc>
      </w:tr>
      <w:tr w14:paraId="2EB7F4A1">
        <w:tblPrEx>
          <w:tblCellMar>
            <w:top w:w="0" w:type="dxa"/>
            <w:left w:w="108" w:type="dxa"/>
            <w:bottom w:w="0" w:type="dxa"/>
            <w:right w:w="108" w:type="dxa"/>
          </w:tblCellMar>
        </w:tblPrEx>
        <w:trPr>
          <w:trHeight w:val="624"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39C1062F">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550AD8CD">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392760CE">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288B8454">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7C8B8DBA">
            <w:pPr>
              <w:spacing w:line="360" w:lineRule="auto"/>
              <w:ind w:firstLine="420"/>
              <w:jc w:val="center"/>
              <w:outlineLvl w:val="9"/>
              <w:rPr>
                <w:rFonts w:hint="eastAsia" w:ascii="仿宋" w:hAnsi="仿宋" w:eastAsia="仿宋" w:cs="仿宋"/>
                <w:color w:val="auto"/>
                <w:sz w:val="24"/>
                <w:szCs w:val="24"/>
                <w:highlight w:val="none"/>
              </w:rPr>
            </w:pPr>
          </w:p>
        </w:tc>
      </w:tr>
      <w:tr w14:paraId="432BED24">
        <w:tblPrEx>
          <w:tblCellMar>
            <w:top w:w="0" w:type="dxa"/>
            <w:left w:w="108" w:type="dxa"/>
            <w:bottom w:w="0" w:type="dxa"/>
            <w:right w:w="108" w:type="dxa"/>
          </w:tblCellMar>
        </w:tblPrEx>
        <w:trPr>
          <w:trHeight w:val="476" w:hRule="atLeast"/>
          <w:jc w:val="center"/>
        </w:trPr>
        <w:tc>
          <w:tcPr>
            <w:tcW w:w="1316" w:type="dxa"/>
            <w:tcBorders>
              <w:top w:val="single" w:color="auto" w:sz="6" w:space="0"/>
              <w:left w:val="single" w:color="auto" w:sz="6" w:space="0"/>
              <w:bottom w:val="single" w:color="auto" w:sz="6" w:space="0"/>
              <w:right w:val="single" w:color="auto" w:sz="6" w:space="0"/>
            </w:tcBorders>
            <w:noWrap w:val="0"/>
            <w:vAlign w:val="center"/>
          </w:tcPr>
          <w:p w14:paraId="4C17816A">
            <w:pPr>
              <w:spacing w:line="360" w:lineRule="auto"/>
              <w:ind w:firstLine="420"/>
              <w:jc w:val="center"/>
              <w:outlineLvl w:val="9"/>
              <w:rPr>
                <w:rFonts w:hint="eastAsia" w:ascii="仿宋" w:hAnsi="仿宋" w:eastAsia="仿宋" w:cs="仿宋"/>
                <w:color w:val="auto"/>
                <w:sz w:val="24"/>
                <w:szCs w:val="24"/>
                <w:highlight w:val="none"/>
              </w:rPr>
            </w:pPr>
          </w:p>
        </w:tc>
        <w:tc>
          <w:tcPr>
            <w:tcW w:w="1975" w:type="dxa"/>
            <w:tcBorders>
              <w:top w:val="single" w:color="auto" w:sz="6" w:space="0"/>
              <w:left w:val="single" w:color="auto" w:sz="6" w:space="0"/>
              <w:bottom w:val="single" w:color="auto" w:sz="6" w:space="0"/>
              <w:right w:val="single" w:color="auto" w:sz="6" w:space="0"/>
            </w:tcBorders>
            <w:noWrap w:val="0"/>
            <w:vAlign w:val="center"/>
          </w:tcPr>
          <w:p w14:paraId="5E3109E7">
            <w:pPr>
              <w:spacing w:line="360" w:lineRule="auto"/>
              <w:ind w:firstLine="420"/>
              <w:jc w:val="center"/>
              <w:outlineLvl w:val="9"/>
              <w:rPr>
                <w:rFonts w:hint="eastAsia" w:ascii="仿宋" w:hAnsi="仿宋" w:eastAsia="仿宋" w:cs="仿宋"/>
                <w:color w:val="auto"/>
                <w:sz w:val="24"/>
                <w:szCs w:val="24"/>
                <w:highlight w:val="none"/>
              </w:rPr>
            </w:pPr>
          </w:p>
        </w:tc>
        <w:tc>
          <w:tcPr>
            <w:tcW w:w="1722" w:type="dxa"/>
            <w:tcBorders>
              <w:top w:val="single" w:color="auto" w:sz="6" w:space="0"/>
              <w:left w:val="single" w:color="auto" w:sz="6" w:space="0"/>
              <w:bottom w:val="single" w:color="auto" w:sz="6" w:space="0"/>
              <w:right w:val="single" w:color="auto" w:sz="6" w:space="0"/>
            </w:tcBorders>
            <w:noWrap w:val="0"/>
            <w:vAlign w:val="center"/>
          </w:tcPr>
          <w:p w14:paraId="763330B6">
            <w:pPr>
              <w:spacing w:line="360" w:lineRule="auto"/>
              <w:ind w:firstLine="420"/>
              <w:jc w:val="center"/>
              <w:outlineLvl w:val="9"/>
              <w:rPr>
                <w:rFonts w:hint="eastAsia" w:ascii="仿宋" w:hAnsi="仿宋" w:eastAsia="仿宋" w:cs="仿宋"/>
                <w:color w:val="auto"/>
                <w:sz w:val="24"/>
                <w:szCs w:val="24"/>
                <w:highlight w:val="none"/>
              </w:rPr>
            </w:pPr>
          </w:p>
        </w:tc>
        <w:tc>
          <w:tcPr>
            <w:tcW w:w="2030" w:type="dxa"/>
            <w:tcBorders>
              <w:top w:val="single" w:color="auto" w:sz="6" w:space="0"/>
              <w:left w:val="single" w:color="auto" w:sz="6" w:space="0"/>
              <w:bottom w:val="single" w:color="auto" w:sz="6" w:space="0"/>
              <w:right w:val="single" w:color="auto" w:sz="6" w:space="0"/>
            </w:tcBorders>
            <w:noWrap w:val="0"/>
            <w:vAlign w:val="center"/>
          </w:tcPr>
          <w:p w14:paraId="5964E4ED">
            <w:pPr>
              <w:spacing w:line="360" w:lineRule="auto"/>
              <w:ind w:firstLine="420"/>
              <w:jc w:val="center"/>
              <w:outlineLvl w:val="9"/>
              <w:rPr>
                <w:rFonts w:hint="eastAsia" w:ascii="仿宋" w:hAnsi="仿宋" w:eastAsia="仿宋" w:cs="仿宋"/>
                <w:color w:val="auto"/>
                <w:sz w:val="24"/>
                <w:szCs w:val="24"/>
                <w:highlight w:val="none"/>
              </w:rPr>
            </w:pPr>
          </w:p>
        </w:tc>
        <w:tc>
          <w:tcPr>
            <w:tcW w:w="2571" w:type="dxa"/>
            <w:tcBorders>
              <w:top w:val="single" w:color="auto" w:sz="6" w:space="0"/>
              <w:left w:val="single" w:color="auto" w:sz="6" w:space="0"/>
              <w:bottom w:val="single" w:color="auto" w:sz="6" w:space="0"/>
              <w:right w:val="single" w:color="auto" w:sz="6" w:space="0"/>
            </w:tcBorders>
            <w:noWrap w:val="0"/>
            <w:vAlign w:val="center"/>
          </w:tcPr>
          <w:p w14:paraId="500BB456">
            <w:pPr>
              <w:spacing w:line="360" w:lineRule="auto"/>
              <w:ind w:firstLine="420"/>
              <w:jc w:val="center"/>
              <w:outlineLvl w:val="9"/>
              <w:rPr>
                <w:rFonts w:hint="eastAsia" w:ascii="仿宋" w:hAnsi="仿宋" w:eastAsia="仿宋" w:cs="仿宋"/>
                <w:color w:val="auto"/>
                <w:sz w:val="24"/>
                <w:szCs w:val="24"/>
                <w:highlight w:val="none"/>
              </w:rPr>
            </w:pPr>
          </w:p>
        </w:tc>
      </w:tr>
    </w:tbl>
    <w:p w14:paraId="5A17D266">
      <w:pPr>
        <w:spacing w:line="360" w:lineRule="auto"/>
        <w:outlineLvl w:val="9"/>
        <w:rPr>
          <w:rFonts w:hint="eastAsia" w:ascii="仿宋" w:hAnsi="仿宋" w:eastAsia="仿宋" w:cs="仿宋"/>
          <w:color w:val="auto"/>
          <w:sz w:val="28"/>
          <w:highlight w:val="none"/>
        </w:rPr>
      </w:pPr>
    </w:p>
    <w:p w14:paraId="51D1DE48">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投标单位名称：（公章）</w:t>
      </w:r>
    </w:p>
    <w:p w14:paraId="558FB182">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法定代表人、法定代表授权委托人：（签字或盖章）</w:t>
      </w:r>
    </w:p>
    <w:p w14:paraId="5E558D28">
      <w:pPr>
        <w:pStyle w:val="19"/>
        <w:ind w:firstLine="960" w:firstLineChars="400"/>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年      月     日</w:t>
      </w:r>
    </w:p>
    <w:p w14:paraId="1D295F96">
      <w:pPr>
        <w:jc w:val="center"/>
        <w:outlineLvl w:val="0"/>
        <w:rPr>
          <w:rFonts w:hint="eastAsia" w:ascii="仿宋" w:hAnsi="仿宋" w:eastAsia="仿宋" w:cs="仿宋"/>
          <w:color w:val="auto"/>
          <w:highlight w:val="none"/>
        </w:rPr>
      </w:pPr>
      <w:r>
        <w:rPr>
          <w:rFonts w:hint="eastAsia" w:ascii="仿宋" w:hAnsi="仿宋" w:eastAsia="仿宋" w:cs="仿宋"/>
          <w:color w:val="auto"/>
          <w:highlight w:val="none"/>
        </w:rPr>
        <w:br w:type="page"/>
      </w:r>
      <w:bookmarkStart w:id="180" w:name="_Toc5354"/>
      <w:bookmarkStart w:id="181" w:name="_Toc5469"/>
      <w:bookmarkStart w:id="182" w:name="_Toc56170403"/>
      <w:bookmarkStart w:id="183" w:name="_Toc61184646"/>
      <w:bookmarkStart w:id="184" w:name="_Toc14660"/>
      <w:r>
        <w:rPr>
          <w:rFonts w:hint="eastAsia" w:ascii="仿宋" w:hAnsi="仿宋" w:eastAsia="仿宋" w:cs="仿宋"/>
          <w:color w:val="auto"/>
          <w:sz w:val="28"/>
          <w:szCs w:val="28"/>
          <w:highlight w:val="none"/>
        </w:rPr>
        <w:t>附件十二、投标产品近三年</w:t>
      </w:r>
      <w:r>
        <w:rPr>
          <w:rFonts w:hint="eastAsia" w:ascii="仿宋" w:hAnsi="仿宋" w:eastAsia="仿宋" w:cs="仿宋"/>
          <w:color w:val="auto"/>
          <w:sz w:val="28"/>
          <w:szCs w:val="28"/>
          <w:highlight w:val="none"/>
          <w:lang w:eastAsia="zh-CN"/>
        </w:rPr>
        <w:t>（从投标截至时间往前推算）</w:t>
      </w:r>
      <w:r>
        <w:rPr>
          <w:rFonts w:hint="eastAsia" w:ascii="仿宋" w:hAnsi="仿宋" w:eastAsia="仿宋" w:cs="仿宋"/>
          <w:color w:val="auto"/>
          <w:sz w:val="28"/>
          <w:szCs w:val="28"/>
          <w:highlight w:val="none"/>
        </w:rPr>
        <w:t>同类产品销售业绩表</w:t>
      </w:r>
      <w:bookmarkEnd w:id="180"/>
      <w:bookmarkEnd w:id="181"/>
      <w:bookmarkEnd w:id="182"/>
      <w:bookmarkEnd w:id="183"/>
      <w:bookmarkEnd w:id="184"/>
    </w:p>
    <w:tbl>
      <w:tblPr>
        <w:tblStyle w:val="20"/>
        <w:tblW w:w="9551" w:type="dxa"/>
        <w:jc w:val="center"/>
        <w:tblLayout w:type="fixed"/>
        <w:tblCellMar>
          <w:top w:w="0" w:type="dxa"/>
          <w:left w:w="108" w:type="dxa"/>
          <w:bottom w:w="0" w:type="dxa"/>
          <w:right w:w="108" w:type="dxa"/>
        </w:tblCellMar>
      </w:tblPr>
      <w:tblGrid>
        <w:gridCol w:w="2417"/>
        <w:gridCol w:w="2643"/>
        <w:gridCol w:w="1680"/>
        <w:gridCol w:w="1457"/>
        <w:gridCol w:w="1354"/>
      </w:tblGrid>
      <w:tr w14:paraId="0CB811E1">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2D325848">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地区</w:t>
            </w:r>
          </w:p>
        </w:tc>
        <w:tc>
          <w:tcPr>
            <w:tcW w:w="2643" w:type="dxa"/>
            <w:tcBorders>
              <w:top w:val="single" w:color="auto" w:sz="6" w:space="0"/>
              <w:left w:val="single" w:color="auto" w:sz="6" w:space="0"/>
              <w:bottom w:val="single" w:color="auto" w:sz="6" w:space="0"/>
              <w:right w:val="single" w:color="auto" w:sz="6" w:space="0"/>
            </w:tcBorders>
            <w:noWrap w:val="0"/>
            <w:vAlign w:val="center"/>
          </w:tcPr>
          <w:p w14:paraId="5FEC6916">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680" w:type="dxa"/>
            <w:tcBorders>
              <w:top w:val="single" w:color="auto" w:sz="6" w:space="0"/>
              <w:left w:val="single" w:color="auto" w:sz="6" w:space="0"/>
              <w:bottom w:val="single" w:color="auto" w:sz="6" w:space="0"/>
              <w:right w:val="single" w:color="auto" w:sz="6" w:space="0"/>
            </w:tcBorders>
            <w:noWrap w:val="0"/>
            <w:vAlign w:val="center"/>
          </w:tcPr>
          <w:p w14:paraId="735A2CBC">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中标内容</w:t>
            </w:r>
          </w:p>
        </w:tc>
        <w:tc>
          <w:tcPr>
            <w:tcW w:w="1457" w:type="dxa"/>
            <w:tcBorders>
              <w:top w:val="single" w:color="auto" w:sz="6" w:space="0"/>
              <w:left w:val="single" w:color="auto" w:sz="6" w:space="0"/>
              <w:bottom w:val="single" w:color="auto" w:sz="6" w:space="0"/>
              <w:right w:val="single" w:color="auto" w:sz="6" w:space="0"/>
            </w:tcBorders>
            <w:noWrap w:val="0"/>
            <w:vAlign w:val="center"/>
          </w:tcPr>
          <w:p w14:paraId="1AC426B2">
            <w:pPr>
              <w:spacing w:line="360" w:lineRule="auto"/>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中标金额</w:t>
            </w:r>
          </w:p>
        </w:tc>
        <w:tc>
          <w:tcPr>
            <w:tcW w:w="1354" w:type="dxa"/>
            <w:tcBorders>
              <w:top w:val="single" w:color="auto" w:sz="6" w:space="0"/>
              <w:left w:val="single" w:color="auto" w:sz="6" w:space="0"/>
              <w:bottom w:val="single" w:color="auto" w:sz="6" w:space="0"/>
              <w:right w:val="single" w:color="auto" w:sz="6" w:space="0"/>
            </w:tcBorders>
            <w:noWrap w:val="0"/>
            <w:vAlign w:val="center"/>
          </w:tcPr>
          <w:p w14:paraId="2AC01221">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 注</w:t>
            </w:r>
          </w:p>
        </w:tc>
      </w:tr>
      <w:tr w14:paraId="39D63E27">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0464B1A8">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508BB37B">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4E8E708A">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61A00F53">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74D11822">
            <w:pPr>
              <w:spacing w:line="360" w:lineRule="auto"/>
              <w:ind w:firstLine="420"/>
              <w:jc w:val="center"/>
              <w:outlineLvl w:val="9"/>
              <w:rPr>
                <w:rFonts w:hint="eastAsia" w:ascii="仿宋" w:hAnsi="仿宋" w:eastAsia="仿宋" w:cs="仿宋"/>
                <w:color w:val="auto"/>
                <w:sz w:val="24"/>
                <w:szCs w:val="24"/>
                <w:highlight w:val="none"/>
              </w:rPr>
            </w:pPr>
          </w:p>
        </w:tc>
      </w:tr>
      <w:tr w14:paraId="0175C0E0">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10DF1B46">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2D14B96C">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0AA5C4D7">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2FB60D51">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3104DCB9">
            <w:pPr>
              <w:spacing w:line="360" w:lineRule="auto"/>
              <w:ind w:firstLine="420"/>
              <w:jc w:val="center"/>
              <w:outlineLvl w:val="9"/>
              <w:rPr>
                <w:rFonts w:hint="eastAsia" w:ascii="仿宋" w:hAnsi="仿宋" w:eastAsia="仿宋" w:cs="仿宋"/>
                <w:color w:val="auto"/>
                <w:sz w:val="24"/>
                <w:szCs w:val="24"/>
                <w:highlight w:val="none"/>
              </w:rPr>
            </w:pPr>
          </w:p>
        </w:tc>
      </w:tr>
      <w:tr w14:paraId="40ED8793">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41FD530C">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257C48FA">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241E29D4">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6CA757A7">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53EE7B08">
            <w:pPr>
              <w:spacing w:line="360" w:lineRule="auto"/>
              <w:ind w:firstLine="420"/>
              <w:jc w:val="center"/>
              <w:outlineLvl w:val="9"/>
              <w:rPr>
                <w:rFonts w:hint="eastAsia" w:ascii="仿宋" w:hAnsi="仿宋" w:eastAsia="仿宋" w:cs="仿宋"/>
                <w:color w:val="auto"/>
                <w:sz w:val="24"/>
                <w:szCs w:val="24"/>
                <w:highlight w:val="none"/>
              </w:rPr>
            </w:pPr>
          </w:p>
        </w:tc>
      </w:tr>
      <w:tr w14:paraId="317CF62E">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5F8105F2">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78558163">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29427585">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4C36FBD4">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18854DF0">
            <w:pPr>
              <w:spacing w:line="360" w:lineRule="auto"/>
              <w:ind w:firstLine="420"/>
              <w:jc w:val="center"/>
              <w:outlineLvl w:val="9"/>
              <w:rPr>
                <w:rFonts w:hint="eastAsia" w:ascii="仿宋" w:hAnsi="仿宋" w:eastAsia="仿宋" w:cs="仿宋"/>
                <w:color w:val="auto"/>
                <w:sz w:val="24"/>
                <w:szCs w:val="24"/>
                <w:highlight w:val="none"/>
              </w:rPr>
            </w:pPr>
          </w:p>
        </w:tc>
      </w:tr>
      <w:tr w14:paraId="345F746E">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418BC14D">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70DA446B">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56D11669">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57A107C7">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454EAFA1">
            <w:pPr>
              <w:spacing w:line="360" w:lineRule="auto"/>
              <w:ind w:firstLine="420"/>
              <w:jc w:val="center"/>
              <w:outlineLvl w:val="9"/>
              <w:rPr>
                <w:rFonts w:hint="eastAsia" w:ascii="仿宋" w:hAnsi="仿宋" w:eastAsia="仿宋" w:cs="仿宋"/>
                <w:color w:val="auto"/>
                <w:sz w:val="24"/>
                <w:szCs w:val="24"/>
                <w:highlight w:val="none"/>
              </w:rPr>
            </w:pPr>
          </w:p>
        </w:tc>
      </w:tr>
      <w:tr w14:paraId="59C66001">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120BFD5D">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09E5383A">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0E92C008">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25D1F87E">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3F7391CE">
            <w:pPr>
              <w:spacing w:line="360" w:lineRule="auto"/>
              <w:ind w:firstLine="420"/>
              <w:jc w:val="center"/>
              <w:outlineLvl w:val="9"/>
              <w:rPr>
                <w:rFonts w:hint="eastAsia" w:ascii="仿宋" w:hAnsi="仿宋" w:eastAsia="仿宋" w:cs="仿宋"/>
                <w:color w:val="auto"/>
                <w:sz w:val="24"/>
                <w:szCs w:val="24"/>
                <w:highlight w:val="none"/>
              </w:rPr>
            </w:pPr>
          </w:p>
        </w:tc>
      </w:tr>
      <w:tr w14:paraId="2BBA5811">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37889457">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4E7359F2">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6A283EC7">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1A854BA9">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1A5D52DC">
            <w:pPr>
              <w:spacing w:line="360" w:lineRule="auto"/>
              <w:ind w:firstLine="420"/>
              <w:jc w:val="center"/>
              <w:outlineLvl w:val="9"/>
              <w:rPr>
                <w:rFonts w:hint="eastAsia" w:ascii="仿宋" w:hAnsi="仿宋" w:eastAsia="仿宋" w:cs="仿宋"/>
                <w:color w:val="auto"/>
                <w:sz w:val="24"/>
                <w:szCs w:val="24"/>
                <w:highlight w:val="none"/>
              </w:rPr>
            </w:pPr>
          </w:p>
        </w:tc>
      </w:tr>
      <w:tr w14:paraId="6DE2E28A">
        <w:tblPrEx>
          <w:tblCellMar>
            <w:top w:w="0" w:type="dxa"/>
            <w:left w:w="108" w:type="dxa"/>
            <w:bottom w:w="0" w:type="dxa"/>
            <w:right w:w="108" w:type="dxa"/>
          </w:tblCellMar>
        </w:tblPrEx>
        <w:trPr>
          <w:trHeight w:val="528" w:hRule="atLeast"/>
          <w:jc w:val="center"/>
        </w:trPr>
        <w:tc>
          <w:tcPr>
            <w:tcW w:w="2417" w:type="dxa"/>
            <w:tcBorders>
              <w:top w:val="single" w:color="auto" w:sz="6" w:space="0"/>
              <w:left w:val="single" w:color="auto" w:sz="6" w:space="0"/>
              <w:bottom w:val="single" w:color="auto" w:sz="6" w:space="0"/>
              <w:right w:val="single" w:color="auto" w:sz="6" w:space="0"/>
            </w:tcBorders>
            <w:noWrap w:val="0"/>
            <w:vAlign w:val="center"/>
          </w:tcPr>
          <w:p w14:paraId="31C0FF45">
            <w:pPr>
              <w:spacing w:line="360" w:lineRule="auto"/>
              <w:ind w:firstLine="420"/>
              <w:jc w:val="center"/>
              <w:outlineLvl w:val="9"/>
              <w:rPr>
                <w:rFonts w:hint="eastAsia" w:ascii="仿宋" w:hAnsi="仿宋" w:eastAsia="仿宋" w:cs="仿宋"/>
                <w:color w:val="auto"/>
                <w:sz w:val="24"/>
                <w:szCs w:val="24"/>
                <w:highlight w:val="none"/>
              </w:rPr>
            </w:pPr>
          </w:p>
        </w:tc>
        <w:tc>
          <w:tcPr>
            <w:tcW w:w="2643" w:type="dxa"/>
            <w:tcBorders>
              <w:top w:val="single" w:color="auto" w:sz="6" w:space="0"/>
              <w:left w:val="single" w:color="auto" w:sz="6" w:space="0"/>
              <w:bottom w:val="single" w:color="auto" w:sz="6" w:space="0"/>
              <w:right w:val="single" w:color="auto" w:sz="6" w:space="0"/>
            </w:tcBorders>
            <w:noWrap w:val="0"/>
            <w:vAlign w:val="center"/>
          </w:tcPr>
          <w:p w14:paraId="1B68FF6D">
            <w:pPr>
              <w:spacing w:line="360" w:lineRule="auto"/>
              <w:ind w:firstLine="420"/>
              <w:jc w:val="center"/>
              <w:outlineLvl w:val="9"/>
              <w:rPr>
                <w:rFonts w:hint="eastAsia" w:ascii="仿宋" w:hAnsi="仿宋" w:eastAsia="仿宋" w:cs="仿宋"/>
                <w:color w:val="auto"/>
                <w:sz w:val="24"/>
                <w:szCs w:val="24"/>
                <w:highlight w:val="none"/>
              </w:rPr>
            </w:pPr>
          </w:p>
        </w:tc>
        <w:tc>
          <w:tcPr>
            <w:tcW w:w="1680" w:type="dxa"/>
            <w:tcBorders>
              <w:top w:val="single" w:color="auto" w:sz="6" w:space="0"/>
              <w:left w:val="single" w:color="auto" w:sz="6" w:space="0"/>
              <w:bottom w:val="single" w:color="auto" w:sz="6" w:space="0"/>
              <w:right w:val="single" w:color="auto" w:sz="6" w:space="0"/>
            </w:tcBorders>
            <w:noWrap w:val="0"/>
            <w:vAlign w:val="center"/>
          </w:tcPr>
          <w:p w14:paraId="1BB13F22">
            <w:pPr>
              <w:spacing w:line="360" w:lineRule="auto"/>
              <w:ind w:firstLine="420"/>
              <w:jc w:val="center"/>
              <w:outlineLvl w:val="9"/>
              <w:rPr>
                <w:rFonts w:hint="eastAsia" w:ascii="仿宋" w:hAnsi="仿宋" w:eastAsia="仿宋" w:cs="仿宋"/>
                <w:color w:val="auto"/>
                <w:sz w:val="24"/>
                <w:szCs w:val="24"/>
                <w:highlight w:val="none"/>
              </w:rPr>
            </w:pPr>
          </w:p>
        </w:tc>
        <w:tc>
          <w:tcPr>
            <w:tcW w:w="1457" w:type="dxa"/>
            <w:tcBorders>
              <w:top w:val="single" w:color="auto" w:sz="6" w:space="0"/>
              <w:left w:val="single" w:color="auto" w:sz="6" w:space="0"/>
              <w:bottom w:val="single" w:color="auto" w:sz="6" w:space="0"/>
              <w:right w:val="single" w:color="auto" w:sz="6" w:space="0"/>
            </w:tcBorders>
            <w:noWrap w:val="0"/>
            <w:vAlign w:val="center"/>
          </w:tcPr>
          <w:p w14:paraId="093B4473">
            <w:pPr>
              <w:spacing w:line="360" w:lineRule="auto"/>
              <w:ind w:firstLine="420"/>
              <w:jc w:val="center"/>
              <w:outlineLvl w:val="9"/>
              <w:rPr>
                <w:rFonts w:hint="eastAsia" w:ascii="仿宋" w:hAnsi="仿宋" w:eastAsia="仿宋" w:cs="仿宋"/>
                <w:color w:val="auto"/>
                <w:sz w:val="24"/>
                <w:szCs w:val="24"/>
                <w:highlight w:val="none"/>
              </w:rPr>
            </w:pPr>
          </w:p>
        </w:tc>
        <w:tc>
          <w:tcPr>
            <w:tcW w:w="1354" w:type="dxa"/>
            <w:tcBorders>
              <w:top w:val="single" w:color="auto" w:sz="6" w:space="0"/>
              <w:left w:val="single" w:color="auto" w:sz="6" w:space="0"/>
              <w:bottom w:val="single" w:color="auto" w:sz="6" w:space="0"/>
              <w:right w:val="single" w:color="auto" w:sz="6" w:space="0"/>
            </w:tcBorders>
            <w:noWrap w:val="0"/>
            <w:vAlign w:val="center"/>
          </w:tcPr>
          <w:p w14:paraId="1FE96207">
            <w:pPr>
              <w:spacing w:line="360" w:lineRule="auto"/>
              <w:ind w:firstLine="420"/>
              <w:jc w:val="center"/>
              <w:outlineLvl w:val="9"/>
              <w:rPr>
                <w:rFonts w:hint="eastAsia" w:ascii="仿宋" w:hAnsi="仿宋" w:eastAsia="仿宋" w:cs="仿宋"/>
                <w:color w:val="auto"/>
                <w:sz w:val="24"/>
                <w:szCs w:val="24"/>
                <w:highlight w:val="none"/>
              </w:rPr>
            </w:pPr>
          </w:p>
        </w:tc>
      </w:tr>
    </w:tbl>
    <w:p w14:paraId="5FC9466E">
      <w:pPr>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应随此表附上相关的业绩证明（以供应商提供的同</w:t>
      </w:r>
      <w:r>
        <w:rPr>
          <w:rFonts w:hint="eastAsia" w:ascii="仿宋" w:hAnsi="仿宋" w:eastAsia="仿宋" w:cs="仿宋"/>
          <w:color w:val="auto"/>
          <w:sz w:val="24"/>
          <w:szCs w:val="24"/>
          <w:highlight w:val="none"/>
          <w:lang w:val="en-US" w:eastAsia="zh-CN"/>
        </w:rPr>
        <w:t>类</w:t>
      </w:r>
      <w:r>
        <w:rPr>
          <w:rFonts w:hint="eastAsia" w:ascii="仿宋" w:hAnsi="仿宋" w:eastAsia="仿宋" w:cs="仿宋"/>
          <w:color w:val="auto"/>
          <w:sz w:val="24"/>
          <w:szCs w:val="24"/>
          <w:highlight w:val="none"/>
        </w:rPr>
        <w:t>业绩证明资料如合同或者</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通知书复印件为准）。</w:t>
      </w:r>
    </w:p>
    <w:p w14:paraId="15355068">
      <w:pPr>
        <w:pStyle w:val="19"/>
        <w:rPr>
          <w:rFonts w:hint="eastAsia" w:ascii="仿宋" w:hAnsi="仿宋" w:eastAsia="仿宋" w:cs="仿宋"/>
          <w:color w:val="auto"/>
          <w:kern w:val="2"/>
          <w:sz w:val="24"/>
          <w:szCs w:val="22"/>
          <w:highlight w:val="none"/>
          <w:lang w:val="en-US" w:eastAsia="zh-CN" w:bidi="ar-SA"/>
        </w:rPr>
      </w:pPr>
    </w:p>
    <w:p w14:paraId="107E87BC">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投标单位名称：（公章）</w:t>
      </w:r>
    </w:p>
    <w:p w14:paraId="6ED81A3C">
      <w:pPr>
        <w:pStyle w:val="19"/>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法定代表人、法定代表授权委托人：（签字或盖章）</w:t>
      </w:r>
    </w:p>
    <w:p w14:paraId="4625AE92">
      <w:pPr>
        <w:pStyle w:val="19"/>
        <w:ind w:firstLine="960" w:firstLineChars="400"/>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年      月     日</w:t>
      </w:r>
    </w:p>
    <w:p w14:paraId="633E0F9F">
      <w:pPr>
        <w:rPr>
          <w:rFonts w:hint="eastAsia"/>
          <w:sz w:val="20"/>
          <w:szCs w:val="18"/>
        </w:rPr>
      </w:pPr>
    </w:p>
    <w:p w14:paraId="7FEE5968">
      <w:pPr>
        <w:rPr>
          <w:rFonts w:hint="eastAsia"/>
          <w:sz w:val="20"/>
          <w:szCs w:val="18"/>
        </w:rPr>
      </w:pPr>
    </w:p>
    <w:p w14:paraId="042C41E0">
      <w:pPr>
        <w:rPr>
          <w:rFonts w:hint="eastAsia"/>
        </w:rPr>
      </w:pPr>
    </w:p>
    <w:p w14:paraId="03BC236D">
      <w:pPr>
        <w:rPr>
          <w:rFonts w:hint="eastAsia"/>
        </w:rPr>
      </w:pPr>
    </w:p>
    <w:p w14:paraId="7D6C3B2F">
      <w:pPr>
        <w:rPr>
          <w:rFonts w:hint="eastAsia"/>
        </w:rPr>
      </w:pPr>
    </w:p>
    <w:p w14:paraId="7A4CFF2A">
      <w:pPr>
        <w:rPr>
          <w:rFonts w:hint="eastAsia"/>
        </w:rPr>
      </w:pPr>
    </w:p>
    <w:p w14:paraId="61902D22">
      <w:pPr>
        <w:rPr>
          <w:rFonts w:hint="eastAsia"/>
        </w:rPr>
      </w:pPr>
    </w:p>
    <w:p w14:paraId="2F808187">
      <w:pPr>
        <w:rPr>
          <w:rFonts w:hint="eastAsia"/>
        </w:rPr>
      </w:pPr>
    </w:p>
    <w:p w14:paraId="2AA16F8F">
      <w:pPr>
        <w:rPr>
          <w:rFonts w:hint="eastAsia"/>
        </w:rPr>
      </w:pPr>
    </w:p>
    <w:p w14:paraId="25CC5A13">
      <w:pPr>
        <w:rPr>
          <w:rFonts w:hint="eastAsia"/>
        </w:rPr>
      </w:pPr>
    </w:p>
    <w:p w14:paraId="2AEF645B">
      <w:pPr>
        <w:rPr>
          <w:rFonts w:hint="eastAsia"/>
        </w:rPr>
      </w:pPr>
    </w:p>
    <w:p w14:paraId="2F087192">
      <w:pPr>
        <w:rPr>
          <w:rFonts w:hint="eastAsia"/>
        </w:rPr>
      </w:pPr>
    </w:p>
    <w:p w14:paraId="5BD2A2DA">
      <w:pPr>
        <w:rPr>
          <w:rFonts w:hint="eastAsia"/>
        </w:rPr>
      </w:pPr>
    </w:p>
    <w:p w14:paraId="4E4B599C">
      <w:pPr>
        <w:rPr>
          <w:rFonts w:hint="eastAsia"/>
        </w:rPr>
      </w:pPr>
    </w:p>
    <w:p w14:paraId="3FD6007F">
      <w:pPr>
        <w:rPr>
          <w:rFonts w:hint="eastAsia"/>
        </w:rPr>
      </w:pPr>
    </w:p>
    <w:p w14:paraId="7187E551">
      <w:pPr>
        <w:rPr>
          <w:rFonts w:hint="eastAsia"/>
        </w:rPr>
      </w:pPr>
    </w:p>
    <w:p w14:paraId="70A18BBE">
      <w:pPr>
        <w:rPr>
          <w:rFonts w:hint="eastAsia"/>
        </w:rPr>
      </w:pPr>
    </w:p>
    <w:p w14:paraId="5E37A1EA">
      <w:pPr>
        <w:rPr>
          <w:rFonts w:hint="eastAsia" w:ascii="宋体" w:hAnsi="宋体" w:cs="仿宋"/>
          <w:sz w:val="24"/>
          <w:lang w:val="en-US" w:eastAsia="zh-CN"/>
        </w:rPr>
      </w:pPr>
      <w:bookmarkStart w:id="185" w:name="_Toc5331"/>
      <w:bookmarkStart w:id="186" w:name="_Toc15499"/>
      <w:r>
        <w:rPr>
          <w:rFonts w:hint="eastAsia" w:ascii="宋体" w:hAnsi="宋体" w:cs="仿宋"/>
          <w:sz w:val="24"/>
          <w:lang w:val="en-US" w:eastAsia="zh-CN"/>
        </w:rPr>
        <w:br w:type="page"/>
      </w:r>
    </w:p>
    <w:p w14:paraId="1754594A">
      <w:pPr>
        <w:rPr>
          <w:rFonts w:hint="eastAsia" w:ascii="仿宋" w:hAnsi="仿宋" w:eastAsia="仿宋" w:cs="仿宋"/>
          <w:sz w:val="28"/>
          <w:szCs w:val="21"/>
        </w:rPr>
      </w:pPr>
      <w:r>
        <w:rPr>
          <w:rFonts w:hint="eastAsia" w:ascii="仿宋" w:hAnsi="仿宋" w:eastAsia="仿宋" w:cs="仿宋"/>
          <w:sz w:val="28"/>
          <w:szCs w:val="21"/>
          <w:lang w:val="en-US" w:eastAsia="zh-CN"/>
        </w:rPr>
        <w:t>附件十三、</w:t>
      </w:r>
      <w:r>
        <w:rPr>
          <w:rFonts w:hint="eastAsia" w:ascii="仿宋" w:hAnsi="仿宋" w:eastAsia="仿宋" w:cs="仿宋"/>
          <w:sz w:val="28"/>
          <w:szCs w:val="21"/>
        </w:rPr>
        <w:t>招标文件要求的或投标</w:t>
      </w:r>
      <w:r>
        <w:rPr>
          <w:rFonts w:hint="eastAsia" w:ascii="仿宋" w:hAnsi="仿宋" w:eastAsia="仿宋" w:cs="仿宋"/>
          <w:sz w:val="28"/>
          <w:szCs w:val="21"/>
          <w:lang w:eastAsia="zh-CN"/>
        </w:rPr>
        <w:t>供应商</w:t>
      </w:r>
      <w:r>
        <w:rPr>
          <w:rFonts w:hint="eastAsia" w:ascii="仿宋" w:hAnsi="仿宋" w:eastAsia="仿宋" w:cs="仿宋"/>
          <w:sz w:val="28"/>
          <w:szCs w:val="21"/>
        </w:rPr>
        <w:t>认为有必要提供的其他文件</w:t>
      </w:r>
    </w:p>
    <w:p w14:paraId="15F7852B">
      <w:pPr>
        <w:rPr>
          <w:rFonts w:hint="eastAsia" w:ascii="宋体" w:hAnsi="宋体" w:cs="仿宋"/>
          <w:sz w:val="24"/>
        </w:rPr>
      </w:pPr>
      <w:r>
        <w:rPr>
          <w:rFonts w:hint="eastAsia" w:ascii="宋体" w:hAnsi="宋体" w:cs="仿宋"/>
          <w:sz w:val="24"/>
        </w:rPr>
        <w:br w:type="page"/>
      </w:r>
    </w:p>
    <w:p w14:paraId="5864BB1E">
      <w:pPr>
        <w:rPr>
          <w:rFonts w:hint="eastAsia" w:ascii="仿宋" w:hAnsi="仿宋" w:eastAsia="仿宋" w:cs="仿宋"/>
          <w:b/>
          <w:sz w:val="28"/>
          <w:szCs w:val="28"/>
          <w:highlight w:val="none"/>
        </w:rPr>
      </w:pPr>
      <w:r>
        <w:rPr>
          <w:rStyle w:val="41"/>
          <w:rFonts w:hint="eastAsia" w:ascii="仿宋" w:hAnsi="仿宋" w:eastAsia="仿宋" w:cs="仿宋"/>
        </w:rPr>
        <w:t>附表：退保证金的函</w:t>
      </w:r>
      <w:bookmarkEnd w:id="185"/>
      <w:bookmarkEnd w:id="186"/>
      <w:r>
        <w:rPr>
          <w:rFonts w:hint="eastAsia" w:ascii="仿宋" w:hAnsi="仿宋" w:eastAsia="仿宋" w:cs="仿宋"/>
          <w:b/>
          <w:sz w:val="28"/>
          <w:szCs w:val="28"/>
          <w:highlight w:val="none"/>
        </w:rPr>
        <w:t xml:space="preserve"> </w:t>
      </w:r>
    </w:p>
    <w:p w14:paraId="00C9C2DF">
      <w:pPr>
        <w:spacing w:line="360" w:lineRule="auto"/>
        <w:outlineLvl w:val="0"/>
        <w:rPr>
          <w:rFonts w:hint="eastAsia" w:ascii="仿宋" w:hAnsi="仿宋" w:eastAsia="仿宋" w:cs="仿宋"/>
          <w:color w:val="000000"/>
          <w:sz w:val="24"/>
          <w:szCs w:val="24"/>
          <w:highlight w:val="none"/>
          <w:u w:val="single"/>
          <w:lang w:eastAsia="zh-CN"/>
        </w:rPr>
      </w:pPr>
      <w:bookmarkStart w:id="187" w:name="_Toc9090"/>
      <w:r>
        <w:rPr>
          <w:rFonts w:hint="eastAsia" w:ascii="仿宋" w:hAnsi="仿宋" w:eastAsia="仿宋" w:cs="仿宋"/>
          <w:color w:val="000000"/>
          <w:sz w:val="24"/>
          <w:szCs w:val="24"/>
          <w:highlight w:val="none"/>
        </w:rPr>
        <w:t>致：</w:t>
      </w:r>
      <w:r>
        <w:rPr>
          <w:rFonts w:hint="eastAsia" w:ascii="仿宋" w:hAnsi="仿宋" w:eastAsia="仿宋" w:cs="仿宋"/>
          <w:color w:val="000000"/>
          <w:sz w:val="24"/>
          <w:szCs w:val="24"/>
          <w:highlight w:val="none"/>
          <w:u w:val="single"/>
          <w:lang w:eastAsia="zh-CN"/>
        </w:rPr>
        <w:t xml:space="preserve"> 新疆浩瑞兴建设工程项目管理咨询有限公司</w:t>
      </w:r>
      <w:bookmarkEnd w:id="187"/>
    </w:p>
    <w:p w14:paraId="533747FE">
      <w:pPr>
        <w:spacing w:line="36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u w:val="none"/>
          <w:lang w:val="en-US" w:eastAsia="zh-CN"/>
        </w:rPr>
        <w:t>单位名称：</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u w:val="none"/>
        </w:rPr>
        <w:t>参加贵方组织的，</w:t>
      </w:r>
      <w:r>
        <w:rPr>
          <w:rFonts w:hint="eastAsia" w:ascii="仿宋" w:hAnsi="仿宋" w:eastAsia="仿宋" w:cs="仿宋"/>
          <w:color w:val="000000"/>
          <w:sz w:val="24"/>
          <w:szCs w:val="24"/>
          <w:highlight w:val="none"/>
          <w:u w:val="none"/>
          <w:lang w:val="en-US" w:eastAsia="zh-CN"/>
        </w:rPr>
        <w:t>项目名称：</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的</w:t>
      </w:r>
      <w:r>
        <w:rPr>
          <w:rFonts w:hint="eastAsia" w:ascii="仿宋" w:hAnsi="仿宋" w:eastAsia="仿宋" w:cs="仿宋"/>
          <w:color w:val="000000"/>
          <w:sz w:val="24"/>
          <w:szCs w:val="24"/>
          <w:highlight w:val="none"/>
          <w:lang w:val="en-US" w:eastAsia="zh-CN"/>
        </w:rPr>
        <w:t>招标</w:t>
      </w:r>
      <w:r>
        <w:rPr>
          <w:rFonts w:hint="eastAsia" w:ascii="仿宋" w:hAnsi="仿宋" w:eastAsia="仿宋" w:cs="仿宋"/>
          <w:color w:val="000000"/>
          <w:sz w:val="24"/>
          <w:szCs w:val="24"/>
          <w:highlight w:val="none"/>
        </w:rPr>
        <w:t>采购活动。按</w:t>
      </w:r>
      <w:r>
        <w:rPr>
          <w:rFonts w:hint="eastAsia" w:ascii="仿宋" w:hAnsi="仿宋" w:eastAsia="仿宋" w:cs="仿宋"/>
          <w:color w:val="000000"/>
          <w:sz w:val="24"/>
          <w:szCs w:val="24"/>
          <w:highlight w:val="none"/>
          <w:lang w:val="en-US" w:eastAsia="zh-CN"/>
        </w:rPr>
        <w:t>招标</w:t>
      </w:r>
      <w:r>
        <w:rPr>
          <w:rFonts w:hint="eastAsia" w:ascii="仿宋" w:hAnsi="仿宋" w:eastAsia="仿宋" w:cs="仿宋"/>
          <w:color w:val="000000"/>
          <w:sz w:val="24"/>
          <w:szCs w:val="24"/>
          <w:highlight w:val="none"/>
        </w:rPr>
        <w:t>文件的规定，已通过</w:t>
      </w:r>
      <w:r>
        <w:rPr>
          <w:rFonts w:hint="eastAsia" w:ascii="仿宋" w:hAnsi="仿宋" w:eastAsia="仿宋" w:cs="仿宋"/>
          <w:color w:val="000000"/>
          <w:sz w:val="24"/>
          <w:szCs w:val="24"/>
          <w:highlight w:val="none"/>
          <w:u w:val="single"/>
        </w:rPr>
        <w:t>银行转帐/银行汇款</w:t>
      </w:r>
      <w:r>
        <w:rPr>
          <w:rFonts w:hint="eastAsia" w:ascii="仿宋" w:hAnsi="仿宋" w:eastAsia="仿宋" w:cs="仿宋"/>
          <w:color w:val="000000"/>
          <w:sz w:val="24"/>
          <w:szCs w:val="24"/>
          <w:highlight w:val="none"/>
        </w:rPr>
        <w:t>形式缴纳人民币</w:t>
      </w:r>
    </w:p>
    <w:p w14:paraId="58EC78E2">
      <w:pPr>
        <w:spacing w:line="360" w:lineRule="auto"/>
        <w:ind w:firstLine="240" w:firstLineChars="1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u w:val="single"/>
          <w:lang w:val="en-US" w:eastAsia="zh-CN"/>
        </w:rPr>
        <w:t>大写</w:t>
      </w:r>
      <w:r>
        <w:rPr>
          <w:rFonts w:hint="eastAsia" w:ascii="仿宋" w:hAnsi="仿宋" w:eastAsia="仿宋" w:cs="仿宋"/>
          <w:color w:val="000000"/>
          <w:sz w:val="24"/>
          <w:szCs w:val="24"/>
          <w:highlight w:val="none"/>
        </w:rPr>
        <w:t>的保证金。</w:t>
      </w:r>
    </w:p>
    <w:p w14:paraId="05DB8203">
      <w:pPr>
        <w:autoSpaceDE w:val="0"/>
        <w:autoSpaceDN w:val="0"/>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退还保证金时请按以下内容划入我方帐户。若因内容不全、错误、字迹潦草模糊导致该项目保证金未能及时退还或退还过程中发生错误，我方将承担全部责任和损失。</w:t>
      </w:r>
    </w:p>
    <w:p w14:paraId="5682FB21">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投标人</w:t>
      </w:r>
      <w:r>
        <w:rPr>
          <w:rFonts w:hint="eastAsia" w:ascii="仿宋" w:hAnsi="仿宋" w:eastAsia="仿宋" w:cs="仿宋"/>
          <w:color w:val="000000"/>
          <w:sz w:val="24"/>
          <w:szCs w:val="24"/>
          <w:highlight w:val="none"/>
        </w:rPr>
        <w:t xml:space="preserve">名称： </w:t>
      </w:r>
    </w:p>
    <w:p w14:paraId="55A86439">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投标人</w:t>
      </w:r>
      <w:r>
        <w:rPr>
          <w:rFonts w:hint="eastAsia" w:ascii="仿宋" w:hAnsi="仿宋" w:eastAsia="仿宋" w:cs="仿宋"/>
          <w:color w:val="000000"/>
          <w:sz w:val="24"/>
          <w:szCs w:val="24"/>
          <w:highlight w:val="none"/>
        </w:rPr>
        <w:t>开户银行：</w:t>
      </w:r>
    </w:p>
    <w:p w14:paraId="76D60E55">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投标人</w:t>
      </w:r>
      <w:r>
        <w:rPr>
          <w:rFonts w:hint="eastAsia" w:ascii="仿宋" w:hAnsi="仿宋" w:eastAsia="仿宋" w:cs="仿宋"/>
          <w:color w:val="000000"/>
          <w:sz w:val="24"/>
          <w:szCs w:val="24"/>
          <w:highlight w:val="none"/>
        </w:rPr>
        <w:t>开户银行行号：</w:t>
      </w:r>
    </w:p>
    <w:p w14:paraId="5092A3C4">
      <w:pPr>
        <w:spacing w:line="360" w:lineRule="auto"/>
        <w:ind w:firstLine="480" w:firstLineChars="200"/>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 xml:space="preserve">投标人银行帐号：                         </w:t>
      </w:r>
    </w:p>
    <w:p w14:paraId="45285A0F">
      <w:pPr>
        <w:spacing w:line="360" w:lineRule="auto"/>
        <w:ind w:firstLine="480" w:firstLineChars="200"/>
        <w:rPr>
          <w:rFonts w:hint="eastAsia" w:ascii="仿宋" w:hAnsi="仿宋" w:eastAsia="仿宋" w:cs="仿宋"/>
          <w:color w:val="000000"/>
          <w:sz w:val="24"/>
          <w:szCs w:val="24"/>
          <w:highlight w:val="none"/>
          <w:u w:val="single"/>
          <w:lang w:val="en-US" w:eastAsia="zh-CN"/>
        </w:rPr>
      </w:pPr>
      <w:r>
        <w:rPr>
          <w:rFonts w:hint="eastAsia" w:ascii="仿宋" w:hAnsi="仿宋" w:eastAsia="仿宋" w:cs="仿宋"/>
          <w:color w:val="000000"/>
          <w:sz w:val="24"/>
          <w:szCs w:val="24"/>
          <w:highlight w:val="none"/>
          <w:lang w:val="en-US" w:eastAsia="zh-CN"/>
        </w:rPr>
        <w:t>投标人姓名：</w:t>
      </w:r>
    </w:p>
    <w:p w14:paraId="438D141A">
      <w:pPr>
        <w:spacing w:line="360" w:lineRule="auto"/>
        <w:ind w:firstLine="480" w:firstLineChars="200"/>
        <w:rPr>
          <w:rFonts w:hint="eastAsia" w:ascii="仿宋" w:hAnsi="仿宋" w:eastAsia="仿宋" w:cs="仿宋"/>
          <w:color w:val="000000"/>
          <w:sz w:val="24"/>
          <w:szCs w:val="24"/>
          <w:highlight w:val="none"/>
          <w:u w:val="single"/>
          <w:lang w:val="en-US" w:eastAsia="zh-CN"/>
        </w:rPr>
      </w:pPr>
      <w:r>
        <w:rPr>
          <w:rFonts w:hint="eastAsia" w:ascii="仿宋" w:hAnsi="仿宋" w:eastAsia="仿宋" w:cs="仿宋"/>
          <w:color w:val="000000"/>
          <w:sz w:val="24"/>
          <w:szCs w:val="24"/>
          <w:highlight w:val="none"/>
          <w:lang w:val="en-US" w:eastAsia="zh-CN"/>
        </w:rPr>
        <w:t>投标人电话：</w:t>
      </w:r>
    </w:p>
    <w:p w14:paraId="3651A62B">
      <w:pPr>
        <w:adjustRightInd w:val="0"/>
        <w:snapToGrid w:val="0"/>
        <w:spacing w:line="360" w:lineRule="auto"/>
        <w:ind w:firstLine="480" w:firstLineChars="20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投标人</w:t>
      </w:r>
      <w:r>
        <w:rPr>
          <w:rFonts w:hint="eastAsia" w:ascii="仿宋" w:hAnsi="仿宋" w:eastAsia="仿宋" w:cs="仿宋"/>
          <w:color w:val="000000"/>
          <w:sz w:val="24"/>
          <w:szCs w:val="24"/>
          <w:highlight w:val="none"/>
        </w:rPr>
        <w:t>法定代表人（或法定代表人授权代表）签字：</w:t>
      </w:r>
    </w:p>
    <w:p w14:paraId="6AED2A00">
      <w:pPr>
        <w:adjustRightInd w:val="0"/>
        <w:snapToGrid w:val="0"/>
        <w:spacing w:line="360" w:lineRule="auto"/>
        <w:ind w:firstLine="480" w:firstLineChars="20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投标人</w:t>
      </w:r>
      <w:r>
        <w:rPr>
          <w:rFonts w:hint="eastAsia" w:ascii="仿宋" w:hAnsi="仿宋" w:eastAsia="仿宋" w:cs="仿宋"/>
          <w:color w:val="000000"/>
          <w:sz w:val="24"/>
          <w:szCs w:val="24"/>
          <w:highlight w:val="none"/>
        </w:rPr>
        <w:t>名称（加盖公章）：</w:t>
      </w:r>
    </w:p>
    <w:p w14:paraId="13E6CC1E">
      <w:pPr>
        <w:adjustRightInd w:val="0"/>
        <w:snapToGrid w:val="0"/>
        <w:spacing w:line="360" w:lineRule="auto"/>
        <w:ind w:firstLine="480" w:firstLineChars="200"/>
        <w:rPr>
          <w:rFonts w:hint="eastAsia" w:ascii="仿宋" w:hAnsi="仿宋" w:eastAsia="仿宋" w:cs="仿宋"/>
          <w:b/>
          <w:sz w:val="24"/>
          <w:szCs w:val="24"/>
          <w:highlight w:val="none"/>
        </w:rPr>
      </w:pPr>
      <w:r>
        <w:rPr>
          <w:rFonts w:hint="eastAsia" w:ascii="仿宋" w:hAnsi="仿宋" w:eastAsia="仿宋" w:cs="仿宋"/>
          <w:color w:val="000000"/>
          <w:sz w:val="24"/>
          <w:szCs w:val="24"/>
          <w:highlight w:val="none"/>
        </w:rPr>
        <w:t>日期：   年   月   日</w:t>
      </w:r>
    </w:p>
    <w:tbl>
      <w:tblPr>
        <w:tblStyle w:val="20"/>
        <w:tblW w:w="9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6"/>
      </w:tblGrid>
      <w:tr w14:paraId="1D719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6" w:hRule="atLeast"/>
          <w:jc w:val="center"/>
        </w:trPr>
        <w:tc>
          <w:tcPr>
            <w:tcW w:w="9596" w:type="dxa"/>
            <w:noWrap w:val="0"/>
            <w:vAlign w:val="center"/>
          </w:tcPr>
          <w:p w14:paraId="10413349">
            <w:pPr>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（粘贴转帐或汇款的银行凭证复印件）</w:t>
            </w:r>
          </w:p>
        </w:tc>
      </w:tr>
    </w:tbl>
    <w:p w14:paraId="14150DAB">
      <w:pPr>
        <w:rPr>
          <w:rFonts w:hint="eastAsia" w:ascii="仿宋" w:hAnsi="仿宋" w:eastAsia="仿宋" w:cs="仿宋"/>
          <w:b/>
          <w:sz w:val="24"/>
          <w:szCs w:val="24"/>
          <w:highlight w:val="none"/>
        </w:rPr>
      </w:pPr>
      <w:bookmarkStart w:id="188" w:name="_Toc30101"/>
      <w:bookmarkStart w:id="189" w:name="_Toc8922"/>
      <w:r>
        <w:rPr>
          <w:rFonts w:hint="eastAsia" w:ascii="仿宋" w:hAnsi="仿宋" w:eastAsia="仿宋" w:cs="仿宋"/>
          <w:b/>
          <w:bCs/>
          <w:sz w:val="24"/>
          <w:szCs w:val="24"/>
          <w:highlight w:val="none"/>
          <w:lang w:val="en-US" w:eastAsia="zh-CN"/>
        </w:rPr>
        <w:t>注：1、</w:t>
      </w:r>
      <w:r>
        <w:rPr>
          <w:rFonts w:hint="eastAsia" w:ascii="仿宋" w:hAnsi="仿宋" w:eastAsia="仿宋" w:cs="仿宋"/>
          <w:b/>
          <w:sz w:val="24"/>
          <w:szCs w:val="24"/>
          <w:highlight w:val="none"/>
        </w:rPr>
        <w:t>为方便代理机构后续退款事宜，请</w:t>
      </w:r>
      <w:r>
        <w:rPr>
          <w:rFonts w:hint="eastAsia" w:ascii="仿宋" w:hAnsi="仿宋" w:eastAsia="仿宋" w:cs="仿宋"/>
          <w:b/>
          <w:sz w:val="24"/>
          <w:szCs w:val="24"/>
          <w:highlight w:val="none"/>
          <w:lang w:eastAsia="zh-CN"/>
        </w:rPr>
        <w:t>投标人</w:t>
      </w:r>
      <w:r>
        <w:rPr>
          <w:rFonts w:hint="eastAsia" w:ascii="仿宋" w:hAnsi="仿宋" w:eastAsia="仿宋" w:cs="仿宋"/>
          <w:b/>
          <w:sz w:val="24"/>
          <w:szCs w:val="24"/>
          <w:highlight w:val="none"/>
        </w:rPr>
        <w:t>认真填写此函信息，并后附转帐或汇款的银行凭证复印件。</w:t>
      </w:r>
    </w:p>
    <w:p w14:paraId="1218E75B">
      <w:pPr>
        <w:rPr>
          <w:rFonts w:hint="default"/>
          <w:lang w:val="en-US"/>
        </w:rPr>
      </w:pPr>
      <w:r>
        <w:rPr>
          <w:rFonts w:hint="eastAsia" w:ascii="仿宋" w:hAnsi="仿宋" w:eastAsia="仿宋" w:cs="仿宋"/>
          <w:b/>
          <w:bCs/>
          <w:sz w:val="24"/>
          <w:szCs w:val="24"/>
          <w:highlight w:val="none"/>
          <w:lang w:val="en-US" w:eastAsia="zh-CN"/>
        </w:rPr>
        <w:t>2、此申请函无需在投标文件中提供，于开标结束后填写完整附上银行转账或汇款凭证并加盖企业公章，将扫描件发送至代理公司邮箱</w:t>
      </w:r>
      <w:bookmarkEnd w:id="188"/>
      <w:bookmarkEnd w:id="189"/>
      <w:r>
        <w:rPr>
          <w:rFonts w:hint="eastAsia" w:ascii="仿宋" w:hAnsi="仿宋" w:eastAsia="仿宋" w:cs="仿宋"/>
          <w:b/>
          <w:bCs/>
          <w:sz w:val="24"/>
          <w:szCs w:val="24"/>
          <w:highlight w:val="none"/>
          <w:lang w:val="en-US" w:eastAsia="zh-CN"/>
        </w:rPr>
        <w:t>3958774434@qq.com，退保证金事宜联系公司财务：陈会计13899909398.</w:t>
      </w:r>
    </w:p>
    <w:p w14:paraId="59B8A8C8">
      <w:pPr>
        <w:rPr>
          <w:rFonts w:hint="eastAsia"/>
        </w:rPr>
      </w:pPr>
    </w:p>
    <w:p w14:paraId="2832EDB2">
      <w:pPr>
        <w:rPr>
          <w:rFonts w:hint="eastAsia"/>
        </w:rPr>
      </w:pPr>
    </w:p>
    <w:p w14:paraId="1212ECAF">
      <w:pPr>
        <w:rPr>
          <w:rFonts w:hint="eastAsia"/>
        </w:rPr>
      </w:pPr>
    </w:p>
    <w:p w14:paraId="0D390DE0">
      <w:pPr>
        <w:rPr>
          <w:rFonts w:hint="eastAsia"/>
        </w:rPr>
      </w:pPr>
    </w:p>
    <w:p w14:paraId="396ECF3A"/>
    <w:sectPr>
      <w:headerReference r:id="rId10" w:type="default"/>
      <w:footerReference r:id="rId11" w:type="default"/>
      <w:pgSz w:w="11906" w:h="16838"/>
      <w:pgMar w:top="1440" w:right="1077" w:bottom="1440" w:left="107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_x000B__x000C_">
    <w:altName w:val="Courier New"/>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AEDFA">
    <w:pPr>
      <w:pStyle w:val="12"/>
      <w:tabs>
        <w:tab w:val="center" w:pos="4819"/>
        <w:tab w:val="clear" w:pos="4153"/>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D5D91D1">
                          <w:pPr>
                            <w:pStyle w:val="12"/>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Z06BNgBAACzAwAADgAAAAAAAAAB&#10;ACAAAAAiAQAAZHJzL2Uyb0RvYy54bWxQSwUGAAAAAAYABgBZAQAAbAUAAAAA&#10;">
              <v:fill on="f" focussize="0,0"/>
              <v:stroke on="f" weight="1.25pt"/>
              <v:imagedata o:title=""/>
              <o:lock v:ext="edit" aspectratio="f"/>
              <v:textbox inset="0mm,0mm,0mm,0mm" style="mso-fit-shape-to-text:t;">
                <w:txbxContent>
                  <w:p w14:paraId="6D5D91D1">
                    <w:pPr>
                      <w:pStyle w:val="12"/>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0FCAB">
    <w:pPr>
      <w:pStyle w:val="12"/>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C604BD8">
                          <w:pPr>
                            <w:pStyle w:val="12"/>
                          </w:pPr>
                          <w:r>
                            <w:fldChar w:fldCharType="begin"/>
                          </w:r>
                          <w:r>
                            <w:instrText xml:space="preserve"> PAGE  \* MERGEFORMAT </w:instrText>
                          </w:r>
                          <w:r>
                            <w:fldChar w:fldCharType="separate"/>
                          </w:r>
                          <w:r>
                            <w:t>- 2 -</w:t>
                          </w:r>
                          <w:r>
                            <w:fldChar w:fldCharType="end"/>
                          </w:r>
                        </w:p>
                      </w:txbxContent>
                    </wps:txbx>
                    <wps:bodyPr wrap="none" lIns="0" tIns="0" rIns="0" bIns="0" upright="0">
                      <a:spAutoFit/>
                    </wps:bodyPr>
                  </wps:wsp>
                </a:graphicData>
              </a:graphic>
            </wp:anchor>
          </w:drawing>
        </mc:Choice>
        <mc:Fallback>
          <w:pict>
            <v:shape id="文本框 104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D8Sqm51AEAAKYDAAAOAAAAAAAAAAEAIAAA&#10;ACIBAABkcnMvZTJvRG9jLnhtbFBLBQYAAAAABgAGAFkBAABoBQAAAAA=&#10;">
              <v:fill on="f" focussize="0,0"/>
              <v:stroke on="f" weight="1.25pt"/>
              <v:imagedata o:title=""/>
              <o:lock v:ext="edit" aspectratio="f"/>
              <v:textbox inset="0mm,0mm,0mm,0mm" style="mso-fit-shape-to-text:t;">
                <w:txbxContent>
                  <w:p w14:paraId="1C604BD8">
                    <w:pPr>
                      <w:pStyle w:val="12"/>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22D9B">
    <w:pPr>
      <w:pStyle w:val="12"/>
      <w:tabs>
        <w:tab w:val="center" w:pos="4819"/>
        <w:tab w:val="clear" w:pos="4153"/>
      </w:tabs>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47C1087">
                          <w:pPr>
                            <w:pStyle w:val="12"/>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文本框 105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dq2k+dIBAACmAwAADgAAAAAAAAABACAAAAAi&#10;AQAAZHJzL2Uyb0RvYy54bWxQSwUGAAAAAAYABgBZAQAAZgUAAAAA&#10;">
              <v:fill on="f" focussize="0,0"/>
              <v:stroke on="f" weight="1.25pt"/>
              <v:imagedata o:title=""/>
              <o:lock v:ext="edit" aspectratio="f"/>
              <v:textbox inset="0mm,0mm,0mm,0mm" style="mso-fit-shape-to-text:t;">
                <w:txbxContent>
                  <w:p w14:paraId="047C1087">
                    <w:pPr>
                      <w:pStyle w:val="12"/>
                    </w:pPr>
                    <w:r>
                      <w:fldChar w:fldCharType="begin"/>
                    </w:r>
                    <w:r>
                      <w:instrText xml:space="preserve"> PAGE  \* MERGEFORMAT </w:instrText>
                    </w:r>
                    <w:r>
                      <w:fldChar w:fldCharType="separate"/>
                    </w:r>
                    <w:r>
                      <w:t>- 1 -</w:t>
                    </w:r>
                    <w:r>
                      <w:fldChar w:fldCharType="end"/>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5702A4B6">
                          <w:pPr>
                            <w:pStyle w:val="12"/>
                          </w:pPr>
                        </w:p>
                      </w:txbxContent>
                    </wps:txbx>
                    <wps:bodyPr wrap="none" lIns="0" tIns="0" rIns="0" bIns="0" upright="0">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mUDlg1wEAALIDAAAOAAAAAAAAAAEA&#10;IAAAACIBAABkcnMvZTJvRG9jLnhtbFBLBQYAAAAABgAGAFkBAABrBQAAAAA=&#10;">
              <v:fill on="f" focussize="0,0"/>
              <v:stroke on="f" weight="1.25pt"/>
              <v:imagedata o:title=""/>
              <o:lock v:ext="edit" aspectratio="f"/>
              <v:textbox inset="0mm,0mm,0mm,0mm" style="mso-fit-shape-to-text:t;">
                <w:txbxContent>
                  <w:p w14:paraId="5702A4B6">
                    <w:pPr>
                      <w:pStyle w:val="12"/>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00F62">
    <w:pPr>
      <w:pStyle w:val="12"/>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BBD3831">
                          <w:pPr>
                            <w:pStyle w:val="12"/>
                          </w:pPr>
                          <w:r>
                            <w:fldChar w:fldCharType="begin"/>
                          </w:r>
                          <w:r>
                            <w:instrText xml:space="preserve"> PAGE  \* MERGEFORMAT </w:instrText>
                          </w:r>
                          <w:r>
                            <w:fldChar w:fldCharType="separate"/>
                          </w:r>
                          <w:r>
                            <w:t>- 39 -</w:t>
                          </w:r>
                          <w:r>
                            <w:fldChar w:fldCharType="end"/>
                          </w:r>
                        </w:p>
                      </w:txbxContent>
                    </wps:txbx>
                    <wps:bodyPr wrap="none" lIns="0" tIns="0" rIns="0" bIns="0" upright="0">
                      <a:spAutoFit/>
                    </wps:bodyPr>
                  </wps:wsp>
                </a:graphicData>
              </a:graphic>
            </wp:anchor>
          </w:drawing>
        </mc:Choice>
        <mc:Fallback>
          <w:pict>
            <v:shape id="文本框 105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B0BjlW1AEAAKYDAAAOAAAAAAAAAAEAIAAA&#10;ACIBAABkcnMvZTJvRG9jLnhtbFBLBQYAAAAABgAGAFkBAABoBQAAAAA=&#10;">
              <v:fill on="f" focussize="0,0"/>
              <v:stroke on="f" weight="1.25pt"/>
              <v:imagedata o:title=""/>
              <o:lock v:ext="edit" aspectratio="f"/>
              <v:textbox inset="0mm,0mm,0mm,0mm" style="mso-fit-shape-to-text:t;">
                <w:txbxContent>
                  <w:p w14:paraId="6BBD3831">
                    <w:pPr>
                      <w:pStyle w:val="12"/>
                    </w:pPr>
                    <w:r>
                      <w:fldChar w:fldCharType="begin"/>
                    </w:r>
                    <w:r>
                      <w:instrText xml:space="preserve"> PAGE  \* MERGEFORMAT </w:instrText>
                    </w:r>
                    <w:r>
                      <w:fldChar w:fldCharType="separate"/>
                    </w:r>
                    <w:r>
                      <w:t>- 39 -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8970C">
    <w:pPr>
      <w:pStyle w:val="12"/>
      <w:tabs>
        <w:tab w:val="center" w:pos="4819"/>
        <w:tab w:val="clear" w:pos="4153"/>
      </w:tabs>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189B0A5">
                          <w:pPr>
                            <w:pStyle w:val="12"/>
                          </w:pPr>
                          <w:r>
                            <w:fldChar w:fldCharType="begin"/>
                          </w:r>
                          <w:r>
                            <w:instrText xml:space="preserve"> PAGE  \* MERGEFORMAT </w:instrText>
                          </w:r>
                          <w:r>
                            <w:fldChar w:fldCharType="separate"/>
                          </w:r>
                          <w:r>
                            <w:t>- 38 -</w:t>
                          </w:r>
                          <w:r>
                            <w:fldChar w:fldCharType="end"/>
                          </w:r>
                        </w:p>
                      </w:txbxContent>
                    </wps:txbx>
                    <wps:bodyPr wrap="none" lIns="0" tIns="0" rIns="0" bIns="0" upright="0">
                      <a:spAutoFit/>
                    </wps:bodyPr>
                  </wps:wsp>
                </a:graphicData>
              </a:graphic>
            </wp:anchor>
          </w:drawing>
        </mc:Choice>
        <mc:Fallback>
          <w:pict>
            <v:shape id="文本框 105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hpgkvTAAAABQEAAA8AAAAAAAAAAQAgAAAAIgAA&#10;AGRycy9kb3ducmV2LnhtbFBLAQIUABQAAAAIAIdO4kBWR8QX1AEAAKYDAAAOAAAAAAAAAAEAIAAA&#10;ACIBAABkcnMvZTJvRG9jLnhtbFBLBQYAAAAABgAGAFkBAABoBQAAAAA=&#10;">
              <v:fill on="f" focussize="0,0"/>
              <v:stroke on="f" weight="1.25pt"/>
              <v:imagedata o:title=""/>
              <o:lock v:ext="edit" aspectratio="f"/>
              <v:textbox inset="0mm,0mm,0mm,0mm" style="mso-fit-shape-to-text:t;">
                <w:txbxContent>
                  <w:p w14:paraId="5189B0A5">
                    <w:pPr>
                      <w:pStyle w:val="12"/>
                    </w:pPr>
                    <w:r>
                      <w:fldChar w:fldCharType="begin"/>
                    </w:r>
                    <w:r>
                      <w:instrText xml:space="preserve"> PAGE  \* MERGEFORMAT </w:instrText>
                    </w:r>
                    <w:r>
                      <w:fldChar w:fldCharType="separate"/>
                    </w:r>
                    <w:r>
                      <w:t>- 38 -</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9D820D5">
                          <w:pPr>
                            <w:pStyle w:val="12"/>
                          </w:pPr>
                        </w:p>
                      </w:txbxContent>
                    </wps:txbx>
                    <wps:bodyPr wrap="none" lIns="0" tIns="0" rIns="0" bIns="0" upright="0">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juWAe1wEAALIDAAAOAAAAAAAAAAEA&#10;IAAAACIBAABkcnMvZTJvRG9jLnhtbFBLBQYAAAAABgAGAFkBAABrBQAAAAA=&#10;">
              <v:fill on="f" focussize="0,0"/>
              <v:stroke on="f" weight="1.25pt"/>
              <v:imagedata o:title=""/>
              <o:lock v:ext="edit" aspectratio="f"/>
              <v:textbox inset="0mm,0mm,0mm,0mm" style="mso-fit-shape-to-text:t;">
                <w:txbxContent>
                  <w:p w14:paraId="39D820D5">
                    <w:pPr>
                      <w:pStyle w:val="12"/>
                    </w:pPr>
                  </w:p>
                </w:txbxContent>
              </v:textbox>
            </v:shape>
          </w:pict>
        </mc:Fallback>
      </mc:AlternateContent>
    </w:r>
    <w:r>
      <w:rPr>
        <w:rFonts w:hint="eastAsia"/>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B4F70">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FE2163C">
                          <w:pPr>
                            <w:pStyle w:val="12"/>
                          </w:pPr>
                          <w:r>
                            <w:fldChar w:fldCharType="begin"/>
                          </w:r>
                          <w:r>
                            <w:instrText xml:space="preserve"> PAGE  \* MERGEFORMAT </w:instrText>
                          </w:r>
                          <w:r>
                            <w:fldChar w:fldCharType="separate"/>
                          </w:r>
                          <w:r>
                            <w:t>- 59 -</w:t>
                          </w:r>
                          <w:r>
                            <w:fldChar w:fldCharType="end"/>
                          </w:r>
                        </w:p>
                      </w:txbxContent>
                    </wps:txbx>
                    <wps:bodyPr wrap="none" lIns="0" tIns="0" rIns="0" bIns="0" upright="0">
                      <a:spAutoFit/>
                    </wps:bodyPr>
                  </wps:wsp>
                </a:graphicData>
              </a:graphic>
            </wp:anchor>
          </w:drawing>
        </mc:Choice>
        <mc:Fallback>
          <w:pict>
            <v:shape id="文本框 1053"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OGoYPjTAQAApgMAAA4AAABkcnMvZTJvRG9jLnhtbK1TzY7TMBC+&#10;I/EOlu80aVE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Q3FsVtmcOCXnz8uv/5c&#10;fn8ny3L9OinUe6gx8d5jahzeuQH3Zr4HvEzEBxlM+iIlgnHU93zVVwyR8PSoWlVViSGOsdlB/OLh&#10;uQ8Q3wtnSDIaGnCAWVd2+ghxTJ1TUjXr7pTWeYjakh5R19XbdX5xDSG6tlgksRi7TVYc9sNEbe/a&#10;MzLrcQsaanHpKdEfLIqcFmY2wmzsZ+Pogzp0eaNSK+BvjxHbyV2mCiPsVBjHl3lOq5b2418/Zz38&#10;Xtu/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OGoYPjTAQAApgMAAA4AAAAAAAAAAQAgAAAA&#10;IgEAAGRycy9lMm9Eb2MueG1sUEsFBgAAAAAGAAYAWQEAAGcFAAAAAA==&#10;">
              <v:fill on="f" focussize="0,0"/>
              <v:stroke on="f" weight="1.25pt"/>
              <v:imagedata o:title=""/>
              <o:lock v:ext="edit" aspectratio="f"/>
              <v:textbox inset="0mm,0mm,0mm,0mm" style="mso-fit-shape-to-text:t;">
                <w:txbxContent>
                  <w:p w14:paraId="0FE2163C">
                    <w:pPr>
                      <w:pStyle w:val="12"/>
                    </w:pPr>
                    <w:r>
                      <w:fldChar w:fldCharType="begin"/>
                    </w:r>
                    <w:r>
                      <w:instrText xml:space="preserve"> PAGE  \* MERGEFORMAT </w:instrText>
                    </w:r>
                    <w:r>
                      <w:fldChar w:fldCharType="separate"/>
                    </w:r>
                    <w:r>
                      <w:t>- 59 -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FEB38">
    <w:pPr>
      <w:widowControl/>
      <w:pBdr>
        <w:bottom w:val="single" w:color="auto" w:sz="4" w:space="0"/>
      </w:pBdr>
      <w:snapToGrid w:val="0"/>
      <w:jc w:val="both"/>
    </w:pPr>
    <w:r>
      <w:rPr>
        <w:rFonts w:hint="eastAsia" w:ascii="Calibri" w:hAnsi="Calibri" w:eastAsia="宋体"/>
        <w:sz w:val="18"/>
        <w:lang w:eastAsia="zh-CN"/>
      </w:rPr>
      <w:drawing>
        <wp:inline distT="0" distB="0" distL="114300" distR="114300">
          <wp:extent cx="218440" cy="266065"/>
          <wp:effectExtent l="0" t="0" r="10160" b="8255"/>
          <wp:docPr id="10" name="图片 2" descr="浩瑞兴全称LOGO定稿透明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浩瑞兴全称LOGO定稿透明3"/>
                  <pic:cNvPicPr>
                    <a:picLocks noChangeAspect="1"/>
                  </pic:cNvPicPr>
                </pic:nvPicPr>
                <pic:blipFill>
                  <a:blip r:embed="rId1"/>
                  <a:stretch>
                    <a:fillRect/>
                  </a:stretch>
                </pic:blipFill>
                <pic:spPr>
                  <a:xfrm>
                    <a:off x="0" y="0"/>
                    <a:ext cx="218440" cy="266065"/>
                  </a:xfrm>
                  <a:prstGeom prst="rect">
                    <a:avLst/>
                  </a:prstGeom>
                  <a:noFill/>
                  <a:ln>
                    <a:noFill/>
                  </a:ln>
                </pic:spPr>
              </pic:pic>
            </a:graphicData>
          </a:graphic>
        </wp:inline>
      </w:drawing>
    </w:r>
    <w:r>
      <w:rPr>
        <w:rFonts w:hint="eastAsia" w:ascii="Calibri" w:hAnsi="Calibri" w:eastAsia="宋体"/>
        <w:sz w:val="18"/>
        <w:lang w:val="en-US" w:eastAsia="zh-CN"/>
      </w:rPr>
      <w:t xml:space="preserve">        </w:t>
    </w:r>
    <w:r>
      <w:rPr>
        <w:rFonts w:hint="eastAsia" w:eastAsia="宋体"/>
        <w:sz w:val="18"/>
        <w:lang w:val="en-US" w:eastAsia="zh-CN"/>
      </w:rPr>
      <w:t xml:space="preserve">                     </w:t>
    </w:r>
    <w:r>
      <w:rPr>
        <w:rFonts w:hint="eastAsia" w:ascii="Calibri" w:hAnsi="Calibri" w:eastAsia="宋体"/>
        <w:sz w:val="18"/>
        <w:lang w:val="en-US" w:eastAsia="zh-CN"/>
      </w:rPr>
      <w:t>新疆浩瑞兴建设工程项目管理咨询有限公司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7B0A8">
    <w:pPr>
      <w:widowControl/>
      <w:pBdr>
        <w:bottom w:val="single" w:color="auto" w:sz="4" w:space="0"/>
      </w:pBdr>
      <w:snapToGrid w:val="0"/>
      <w:jc w:val="both"/>
      <w:rPr>
        <w:rFonts w:hint="eastAsia" w:eastAsia="仿宋_GB2312"/>
        <w:lang w:eastAsia="zh-CN"/>
      </w:rPr>
    </w:pPr>
    <w:r>
      <w:rPr>
        <w:rFonts w:hint="eastAsia" w:ascii="Calibri" w:hAnsi="Calibri" w:eastAsia="宋体"/>
        <w:sz w:val="18"/>
        <w:lang w:eastAsia="zh-CN"/>
      </w:rPr>
      <w:drawing>
        <wp:inline distT="0" distB="0" distL="114300" distR="114300">
          <wp:extent cx="218440" cy="266065"/>
          <wp:effectExtent l="0" t="0" r="10160" b="8255"/>
          <wp:docPr id="9" name="图片 1" descr="浩瑞兴全称LOGO定稿透明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浩瑞兴全称LOGO定稿透明3"/>
                  <pic:cNvPicPr>
                    <a:picLocks noChangeAspect="1"/>
                  </pic:cNvPicPr>
                </pic:nvPicPr>
                <pic:blipFill>
                  <a:blip r:embed="rId1"/>
                  <a:stretch>
                    <a:fillRect/>
                  </a:stretch>
                </pic:blipFill>
                <pic:spPr>
                  <a:xfrm>
                    <a:off x="0" y="0"/>
                    <a:ext cx="218440" cy="266065"/>
                  </a:xfrm>
                  <a:prstGeom prst="rect">
                    <a:avLst/>
                  </a:prstGeom>
                  <a:noFill/>
                  <a:ln>
                    <a:noFill/>
                  </a:ln>
                </pic:spPr>
              </pic:pic>
            </a:graphicData>
          </a:graphic>
        </wp:inline>
      </w:drawing>
    </w:r>
    <w:r>
      <w:rPr>
        <w:rFonts w:hint="eastAsia" w:ascii="Calibri" w:hAnsi="Calibri" w:eastAsia="宋体"/>
        <w:sz w:val="18"/>
        <w:lang w:val="en-US" w:eastAsia="zh-CN"/>
      </w:rPr>
      <w:t xml:space="preserve">        </w:t>
    </w:r>
    <w:r>
      <w:rPr>
        <w:rFonts w:hint="eastAsia" w:eastAsia="宋体"/>
        <w:sz w:val="18"/>
        <w:lang w:val="en-US" w:eastAsia="zh-CN"/>
      </w:rPr>
      <w:t xml:space="preserve">                      </w:t>
    </w:r>
    <w:r>
      <w:rPr>
        <w:rFonts w:hint="eastAsia" w:ascii="Calibri" w:hAnsi="Calibri" w:eastAsia="宋体"/>
        <w:sz w:val="18"/>
        <w:lang w:val="en-US" w:eastAsia="zh-CN"/>
      </w:rPr>
      <w:t>新疆浩瑞兴建设工程项目管理咨询有限公司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4E1D3">
    <w:pPr>
      <w:widowControl/>
      <w:pBdr>
        <w:bottom w:val="single" w:color="auto" w:sz="4" w:space="0"/>
      </w:pBdr>
      <w:snapToGrid w:val="0"/>
      <w:jc w:val="both"/>
      <w:rPr>
        <w:rFonts w:ascii="仿宋_GB2312"/>
        <w:b/>
        <w:i/>
        <w:sz w:val="18"/>
        <w:szCs w:val="18"/>
      </w:rPr>
    </w:pPr>
    <w:r>
      <w:rPr>
        <w:rFonts w:hint="eastAsia" w:ascii="Calibri" w:hAnsi="Calibri" w:eastAsia="宋体"/>
        <w:sz w:val="18"/>
        <w:lang w:eastAsia="zh-CN"/>
      </w:rPr>
      <w:drawing>
        <wp:inline distT="0" distB="0" distL="114300" distR="114300">
          <wp:extent cx="218440" cy="266065"/>
          <wp:effectExtent l="0" t="0" r="10160" b="8255"/>
          <wp:docPr id="11" name="图片 3" descr="浩瑞兴全称LOGO定稿透明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descr="浩瑞兴全称LOGO定稿透明3"/>
                  <pic:cNvPicPr>
                    <a:picLocks noChangeAspect="1"/>
                  </pic:cNvPicPr>
                </pic:nvPicPr>
                <pic:blipFill>
                  <a:blip r:embed="rId1"/>
                  <a:stretch>
                    <a:fillRect/>
                  </a:stretch>
                </pic:blipFill>
                <pic:spPr>
                  <a:xfrm>
                    <a:off x="0" y="0"/>
                    <a:ext cx="218440" cy="266065"/>
                  </a:xfrm>
                  <a:prstGeom prst="rect">
                    <a:avLst/>
                  </a:prstGeom>
                  <a:noFill/>
                  <a:ln>
                    <a:noFill/>
                  </a:ln>
                </pic:spPr>
              </pic:pic>
            </a:graphicData>
          </a:graphic>
        </wp:inline>
      </w:drawing>
    </w:r>
    <w:r>
      <w:rPr>
        <w:rFonts w:hint="eastAsia" w:ascii="Calibri" w:hAnsi="Calibri" w:eastAsia="宋体"/>
        <w:sz w:val="18"/>
        <w:lang w:val="en-US" w:eastAsia="zh-CN"/>
      </w:rPr>
      <w:t xml:space="preserve">        </w:t>
    </w:r>
    <w:r>
      <w:rPr>
        <w:rFonts w:hint="eastAsia" w:eastAsia="宋体"/>
        <w:sz w:val="18"/>
        <w:lang w:val="en-US" w:eastAsia="zh-CN"/>
      </w:rPr>
      <w:t xml:space="preserve">                     </w:t>
    </w:r>
    <w:r>
      <w:rPr>
        <w:rFonts w:hint="eastAsia" w:ascii="Calibri" w:hAnsi="Calibri" w:eastAsia="宋体"/>
        <w:sz w:val="18"/>
        <w:lang w:val="en-US" w:eastAsia="zh-CN"/>
      </w:rPr>
      <w:t>新疆浩瑞兴建设工程项目管理咨询有限公司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DA64CF"/>
    <w:multiLevelType w:val="singleLevel"/>
    <w:tmpl w:val="A1DA64CF"/>
    <w:lvl w:ilvl="0" w:tentative="0">
      <w:start w:val="1"/>
      <w:numFmt w:val="decimal"/>
      <w:lvlText w:val="%1."/>
      <w:lvlJc w:val="left"/>
      <w:pPr>
        <w:tabs>
          <w:tab w:val="left" w:pos="312"/>
        </w:tabs>
        <w:ind w:left="105" w:leftChars="0" w:firstLine="0" w:firstLineChars="0"/>
      </w:pPr>
    </w:lvl>
  </w:abstractNum>
  <w:abstractNum w:abstractNumId="1">
    <w:nsid w:val="C36539EC"/>
    <w:multiLevelType w:val="singleLevel"/>
    <w:tmpl w:val="C36539EC"/>
    <w:lvl w:ilvl="0" w:tentative="0">
      <w:start w:val="2"/>
      <w:numFmt w:val="decimal"/>
      <w:suff w:val="nothing"/>
      <w:lvlText w:val="%1、"/>
      <w:lvlJc w:val="left"/>
    </w:lvl>
  </w:abstractNum>
  <w:abstractNum w:abstractNumId="2">
    <w:nsid w:val="CFC82053"/>
    <w:multiLevelType w:val="singleLevel"/>
    <w:tmpl w:val="CFC82053"/>
    <w:lvl w:ilvl="0" w:tentative="0">
      <w:start w:val="5"/>
      <w:numFmt w:val="chineseCounting"/>
      <w:suff w:val="space"/>
      <w:lvlText w:val="第%1章"/>
      <w:lvlJc w:val="left"/>
      <w:rPr>
        <w:rFonts w:hint="eastAsia"/>
      </w:rPr>
    </w:lvl>
  </w:abstractNum>
  <w:abstractNum w:abstractNumId="3">
    <w:nsid w:val="00000008"/>
    <w:multiLevelType w:val="multilevel"/>
    <w:tmpl w:val="00000008"/>
    <w:lvl w:ilvl="0" w:tentative="0">
      <w:start w:val="1"/>
      <w:numFmt w:val="decimal"/>
      <w:pStyle w:val="2"/>
      <w:lvlText w:val="2.1.%1"/>
      <w:lvlJc w:val="left"/>
      <w:pPr>
        <w:tabs>
          <w:tab w:val="left" w:pos="1260"/>
        </w:tabs>
        <w:ind w:left="972" w:hanging="432"/>
      </w:pPr>
      <w:rPr>
        <w:rFonts w:hint="eastAsia"/>
      </w:rPr>
    </w:lvl>
    <w:lvl w:ilvl="1" w:tentative="0">
      <w:start w:val="1"/>
      <w:numFmt w:val="decimal"/>
      <w:lvlText w:val="%1.%2"/>
      <w:lvlJc w:val="left"/>
      <w:pPr>
        <w:tabs>
          <w:tab w:val="left" w:pos="1296"/>
        </w:tabs>
        <w:ind w:left="1296" w:hanging="576"/>
      </w:pPr>
      <w:rPr>
        <w:rFonts w:hint="eastAsia"/>
      </w:rPr>
    </w:lvl>
    <w:lvl w:ilvl="2" w:tentative="0">
      <w:start w:val="1"/>
      <w:numFmt w:val="decimal"/>
      <w:lvlText w:val="%1.%2.%3"/>
      <w:lvlJc w:val="left"/>
      <w:pPr>
        <w:tabs>
          <w:tab w:val="left" w:pos="1260"/>
        </w:tabs>
        <w:ind w:left="1260" w:hanging="720"/>
      </w:pPr>
      <w:rPr>
        <w:rFonts w:hint="eastAsia"/>
      </w:rPr>
    </w:lvl>
    <w:lvl w:ilvl="3" w:tentative="0">
      <w:start w:val="1"/>
      <w:numFmt w:val="decimal"/>
      <w:lvlText w:val="%1.%2.%3.%4"/>
      <w:lvlJc w:val="left"/>
      <w:pPr>
        <w:tabs>
          <w:tab w:val="left" w:pos="1404"/>
        </w:tabs>
        <w:ind w:left="1404" w:hanging="864"/>
      </w:pPr>
      <w:rPr>
        <w:rFonts w:hint="eastAsia"/>
      </w:rPr>
    </w:lvl>
    <w:lvl w:ilvl="4" w:tentative="0">
      <w:start w:val="1"/>
      <w:numFmt w:val="decimal"/>
      <w:lvlText w:val="%1.%2.%3.%4.%5"/>
      <w:lvlJc w:val="left"/>
      <w:pPr>
        <w:tabs>
          <w:tab w:val="left" w:pos="1548"/>
        </w:tabs>
        <w:ind w:left="1548" w:hanging="1008"/>
      </w:pPr>
      <w:rPr>
        <w:rFonts w:hint="eastAsia"/>
      </w:rPr>
    </w:lvl>
    <w:lvl w:ilvl="5" w:tentative="0">
      <w:start w:val="1"/>
      <w:numFmt w:val="decimal"/>
      <w:lvlText w:val="%1.%2.%3.%4.%5.%6"/>
      <w:lvlJc w:val="left"/>
      <w:pPr>
        <w:tabs>
          <w:tab w:val="left" w:pos="1692"/>
        </w:tabs>
        <w:ind w:left="1692" w:hanging="1152"/>
      </w:pPr>
      <w:rPr>
        <w:rFonts w:hint="eastAsia"/>
      </w:rPr>
    </w:lvl>
    <w:lvl w:ilvl="6" w:tentative="0">
      <w:start w:val="1"/>
      <w:numFmt w:val="decimal"/>
      <w:lvlText w:val="%1.%2.%3.%4.%5.%6.%7"/>
      <w:lvlJc w:val="left"/>
      <w:pPr>
        <w:tabs>
          <w:tab w:val="left" w:pos="1836"/>
        </w:tabs>
        <w:ind w:left="1836" w:hanging="1296"/>
      </w:pPr>
      <w:rPr>
        <w:rFonts w:hint="eastAsia"/>
      </w:rPr>
    </w:lvl>
    <w:lvl w:ilvl="7" w:tentative="0">
      <w:start w:val="1"/>
      <w:numFmt w:val="decimal"/>
      <w:lvlText w:val="%1.%2.%3.%4.%5.%6.%7.%8"/>
      <w:lvlJc w:val="left"/>
      <w:pPr>
        <w:tabs>
          <w:tab w:val="left" w:pos="1980"/>
        </w:tabs>
        <w:ind w:left="1980" w:hanging="1440"/>
      </w:pPr>
      <w:rPr>
        <w:rFonts w:hint="eastAsia"/>
      </w:rPr>
    </w:lvl>
    <w:lvl w:ilvl="8" w:tentative="0">
      <w:start w:val="1"/>
      <w:numFmt w:val="decimal"/>
      <w:lvlText w:val="%1.%2.%3.%4.%5.%6.%7.%8.%9"/>
      <w:lvlJc w:val="left"/>
      <w:pPr>
        <w:tabs>
          <w:tab w:val="left" w:pos="2124"/>
        </w:tabs>
        <w:ind w:left="2124" w:hanging="1584"/>
      </w:pPr>
      <w:rPr>
        <w:rFonts w:hint="eastAsia"/>
      </w:rPr>
    </w:lvl>
  </w:abstractNum>
  <w:abstractNum w:abstractNumId="4">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2A1EC18A"/>
    <w:multiLevelType w:val="singleLevel"/>
    <w:tmpl w:val="2A1EC18A"/>
    <w:lvl w:ilvl="0" w:tentative="0">
      <w:start w:val="1"/>
      <w:numFmt w:val="chineseCounting"/>
      <w:suff w:val="nothing"/>
      <w:lvlText w:val="%1、"/>
      <w:lvlJc w:val="left"/>
      <w:rPr>
        <w:rFonts w:hint="eastAsia"/>
      </w:rPr>
    </w:lvl>
  </w:abstractNum>
  <w:abstractNum w:abstractNumId="6">
    <w:nsid w:val="337B0448"/>
    <w:multiLevelType w:val="singleLevel"/>
    <w:tmpl w:val="337B0448"/>
    <w:lvl w:ilvl="0" w:tentative="0">
      <w:start w:val="3"/>
      <w:numFmt w:val="decimal"/>
      <w:lvlText w:val="%1."/>
      <w:lvlJc w:val="left"/>
      <w:pPr>
        <w:tabs>
          <w:tab w:val="left" w:pos="312"/>
        </w:tabs>
      </w:pPr>
    </w:lvl>
  </w:abstractNum>
  <w:abstractNum w:abstractNumId="7">
    <w:nsid w:val="3C133B21"/>
    <w:multiLevelType w:val="singleLevel"/>
    <w:tmpl w:val="3C133B21"/>
    <w:lvl w:ilvl="0" w:tentative="0">
      <w:start w:val="4"/>
      <w:numFmt w:val="chineseCounting"/>
      <w:suff w:val="space"/>
      <w:lvlText w:val="第%1章"/>
      <w:lvlJc w:val="left"/>
      <w:rPr>
        <w:rFonts w:hint="eastAsia"/>
      </w:rPr>
    </w:lvl>
  </w:abstractNum>
  <w:abstractNum w:abstractNumId="8">
    <w:nsid w:val="3E94E053"/>
    <w:multiLevelType w:val="singleLevel"/>
    <w:tmpl w:val="3E94E053"/>
    <w:lvl w:ilvl="0" w:tentative="0">
      <w:start w:val="2"/>
      <w:numFmt w:val="chineseCounting"/>
      <w:suff w:val="nothing"/>
      <w:lvlText w:val="%1、"/>
      <w:lvlJc w:val="left"/>
      <w:rPr>
        <w:rFonts w:hint="eastAsia"/>
      </w:rPr>
    </w:lvl>
  </w:abstractNum>
  <w:abstractNum w:abstractNumId="9">
    <w:nsid w:val="721865EE"/>
    <w:multiLevelType w:val="singleLevel"/>
    <w:tmpl w:val="721865EE"/>
    <w:lvl w:ilvl="0" w:tentative="0">
      <w:start w:val="1"/>
      <w:numFmt w:val="chineseCounting"/>
      <w:suff w:val="nothing"/>
      <w:lvlText w:val="%1、"/>
      <w:lvlJc w:val="left"/>
      <w:rPr>
        <w:rFonts w:hint="eastAsia"/>
      </w:rPr>
    </w:lvl>
  </w:abstractNum>
  <w:abstractNum w:abstractNumId="10">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3"/>
  </w:num>
  <w:num w:numId="2">
    <w:abstractNumId w:val="8"/>
  </w:num>
  <w:num w:numId="3">
    <w:abstractNumId w:val="4"/>
  </w:num>
  <w:num w:numId="4">
    <w:abstractNumId w:val="10"/>
  </w:num>
  <w:num w:numId="5">
    <w:abstractNumId w:val="7"/>
  </w:num>
  <w:num w:numId="6">
    <w:abstractNumId w:val="9"/>
  </w:num>
  <w:num w:numId="7">
    <w:abstractNumId w:val="6"/>
  </w:num>
  <w:num w:numId="8">
    <w:abstractNumId w:val="5"/>
  </w:num>
  <w:num w:numId="9">
    <w:abstractNumId w:val="0"/>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0845"/>
    <w:rsid w:val="004A06F7"/>
    <w:rsid w:val="033A2A0D"/>
    <w:rsid w:val="0A0A57FB"/>
    <w:rsid w:val="0B8909A2"/>
    <w:rsid w:val="0C4C55F4"/>
    <w:rsid w:val="15520505"/>
    <w:rsid w:val="17FC336F"/>
    <w:rsid w:val="1DBC3A1F"/>
    <w:rsid w:val="1E3446DA"/>
    <w:rsid w:val="25A90E16"/>
    <w:rsid w:val="2610789E"/>
    <w:rsid w:val="26C628D2"/>
    <w:rsid w:val="2E771C0A"/>
    <w:rsid w:val="37A209EC"/>
    <w:rsid w:val="3A9C325E"/>
    <w:rsid w:val="3E3F3D93"/>
    <w:rsid w:val="4322795B"/>
    <w:rsid w:val="43923594"/>
    <w:rsid w:val="4B5B1005"/>
    <w:rsid w:val="503E2598"/>
    <w:rsid w:val="517874C0"/>
    <w:rsid w:val="59850845"/>
    <w:rsid w:val="59900C4D"/>
    <w:rsid w:val="5E091620"/>
    <w:rsid w:val="60382F80"/>
    <w:rsid w:val="679171F9"/>
    <w:rsid w:val="6EB30201"/>
    <w:rsid w:val="6F88358B"/>
    <w:rsid w:val="75426CD5"/>
    <w:rsid w:val="7F2637C6"/>
    <w:rsid w:val="7F4B07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1"/>
    <w:qFormat/>
    <w:uiPriority w:val="0"/>
    <w:pPr>
      <w:keepNext/>
      <w:keepLines/>
      <w:numPr>
        <w:ilvl w:val="0"/>
        <w:numId w:val="1"/>
      </w:numPr>
      <w:tabs>
        <w:tab w:val="left" w:pos="720"/>
      </w:tabs>
      <w:adjustRightInd w:val="0"/>
      <w:spacing w:before="340" w:after="330" w:line="578" w:lineRule="atLeast"/>
      <w:jc w:val="left"/>
      <w:textAlignment w:val="baseline"/>
      <w:outlineLvl w:val="0"/>
    </w:pPr>
    <w:rPr>
      <w:b/>
      <w:kern w:val="44"/>
      <w:sz w:val="30"/>
    </w:rPr>
  </w:style>
  <w:style w:type="paragraph" w:styleId="3">
    <w:name w:val="heading 2"/>
    <w:basedOn w:val="1"/>
    <w:next w:val="1"/>
    <w:qFormat/>
    <w:uiPriority w:val="0"/>
    <w:pPr>
      <w:keepNext/>
      <w:keepLines/>
      <w:tabs>
        <w:tab w:val="left" w:pos="576"/>
        <w:tab w:val="left" w:pos="1296"/>
      </w:tabs>
      <w:adjustRightInd w:val="0"/>
      <w:spacing w:before="120" w:after="120" w:line="416" w:lineRule="atLeast"/>
      <w:jc w:val="left"/>
      <w:textAlignment w:val="baseline"/>
      <w:outlineLvl w:val="1"/>
    </w:pPr>
    <w:rPr>
      <w:rFonts w:ascii="宋体" w:hAnsi="Arial" w:eastAsia="黑体"/>
      <w:kern w:val="0"/>
      <w:sz w:val="28"/>
    </w:rPr>
  </w:style>
  <w:style w:type="paragraph" w:styleId="4">
    <w:name w:val="heading 4"/>
    <w:basedOn w:val="1"/>
    <w:next w:val="1"/>
    <w:qFormat/>
    <w:uiPriority w:val="9"/>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ind w:firstLine="420"/>
    </w:pPr>
    <w:rPr>
      <w:sz w:val="24"/>
    </w:rPr>
  </w:style>
  <w:style w:type="paragraph" w:styleId="6">
    <w:name w:val="toa heading"/>
    <w:basedOn w:val="1"/>
    <w:next w:val="1"/>
    <w:qFormat/>
    <w:uiPriority w:val="0"/>
    <w:pPr>
      <w:spacing w:before="120"/>
    </w:pPr>
    <w:rPr>
      <w:rFonts w:ascii="Arial" w:hAnsi="Arial"/>
      <w:sz w:val="24"/>
    </w:rPr>
  </w:style>
  <w:style w:type="paragraph" w:styleId="7">
    <w:name w:val="index 6"/>
    <w:basedOn w:val="1"/>
    <w:next w:val="1"/>
    <w:qFormat/>
    <w:uiPriority w:val="0"/>
    <w:pPr>
      <w:ind w:left="2100"/>
    </w:pPr>
  </w:style>
  <w:style w:type="paragraph" w:styleId="8">
    <w:name w:val="Body Text"/>
    <w:basedOn w:val="1"/>
    <w:next w:val="9"/>
    <w:qFormat/>
    <w:uiPriority w:val="0"/>
    <w:rPr>
      <w:sz w:val="24"/>
      <w:szCs w:val="24"/>
    </w:rPr>
  </w:style>
  <w:style w:type="paragraph" w:styleId="9">
    <w:name w:val="Date"/>
    <w:basedOn w:val="1"/>
    <w:next w:val="1"/>
    <w:qFormat/>
    <w:uiPriority w:val="0"/>
    <w:rPr>
      <w:color w:val="000000"/>
      <w:kern w:val="0"/>
      <w:sz w:val="30"/>
    </w:rPr>
  </w:style>
  <w:style w:type="paragraph" w:styleId="10">
    <w:name w:val="Body Text Indent"/>
    <w:basedOn w:val="1"/>
    <w:next w:val="8"/>
    <w:qFormat/>
    <w:uiPriority w:val="0"/>
    <w:pPr>
      <w:spacing w:line="360" w:lineRule="auto"/>
      <w:ind w:firstLine="480" w:firstLineChars="200"/>
    </w:pPr>
    <w:rPr>
      <w:rFonts w:ascii="宋体" w:hAnsi="宋体"/>
      <w:sz w:val="24"/>
      <w:szCs w:val="24"/>
    </w:rPr>
  </w:style>
  <w:style w:type="paragraph" w:styleId="11">
    <w:name w:val="Plain Text"/>
    <w:basedOn w:val="1"/>
    <w:qFormat/>
    <w:uiPriority w:val="0"/>
    <w:rPr>
      <w:rFonts w:ascii="宋体" w:hAnsi="Courier New"/>
      <w:sz w:val="11"/>
    </w:rPr>
  </w:style>
  <w:style w:type="paragraph" w:styleId="12">
    <w:name w:val="footer"/>
    <w:basedOn w:val="1"/>
    <w:qFormat/>
    <w:uiPriority w:val="99"/>
    <w:pPr>
      <w:tabs>
        <w:tab w:val="center" w:pos="4153"/>
        <w:tab w:val="right" w:pos="8306"/>
      </w:tabs>
      <w:snapToGrid w:val="0"/>
      <w:jc w:val="left"/>
    </w:pPr>
    <w:rPr>
      <w:sz w:val="18"/>
    </w:rPr>
  </w:style>
  <w:style w:type="paragraph" w:styleId="13">
    <w:name w:val="toc 1"/>
    <w:basedOn w:val="1"/>
    <w:next w:val="1"/>
    <w:qFormat/>
    <w:uiPriority w:val="39"/>
    <w:pPr>
      <w:spacing w:before="120" w:after="120" w:line="360" w:lineRule="auto"/>
      <w:ind w:firstLine="200" w:firstLineChars="200"/>
      <w:jc w:val="left"/>
    </w:pPr>
    <w:rPr>
      <w:b/>
      <w:bCs/>
      <w:caps/>
      <w:sz w:val="20"/>
    </w:rPr>
  </w:style>
  <w:style w:type="paragraph" w:styleId="14">
    <w:name w:val="footnote text"/>
    <w:basedOn w:val="1"/>
    <w:unhideWhenUsed/>
    <w:qFormat/>
    <w:uiPriority w:val="99"/>
    <w:pPr>
      <w:snapToGrid w:val="0"/>
      <w:jc w:val="left"/>
    </w:pPr>
    <w:rPr>
      <w:sz w:val="18"/>
      <w:szCs w:val="18"/>
    </w:rPr>
  </w:style>
  <w:style w:type="paragraph" w:styleId="15">
    <w:name w:val="index 7"/>
    <w:basedOn w:val="1"/>
    <w:next w:val="1"/>
    <w:qFormat/>
    <w:uiPriority w:val="0"/>
    <w:pPr>
      <w:autoSpaceDE/>
      <w:autoSpaceDN/>
      <w:adjustRightInd/>
      <w:ind w:left="1200" w:leftChars="1200"/>
    </w:pPr>
    <w:rPr>
      <w:color w:val="auto"/>
      <w:kern w:val="2"/>
      <w:szCs w:val="24"/>
    </w:rPr>
  </w:style>
  <w:style w:type="paragraph" w:styleId="16">
    <w:name w:val="toc 2"/>
    <w:basedOn w:val="1"/>
    <w:next w:val="1"/>
    <w:qFormat/>
    <w:uiPriority w:val="0"/>
    <w:pPr>
      <w:ind w:left="100" w:leftChars="100"/>
      <w:jc w:val="left"/>
    </w:pPr>
    <w:rPr>
      <w:rFonts w:ascii="Arial" w:hAnsi="Arial"/>
    </w:rPr>
  </w:style>
  <w:style w:type="paragraph" w:styleId="17">
    <w:name w:val="Normal (Web)"/>
    <w:basedOn w:val="1"/>
    <w:qFormat/>
    <w:uiPriority w:val="0"/>
    <w:pPr>
      <w:spacing w:before="100" w:beforeAutospacing="1" w:after="100" w:afterAutospacing="1"/>
      <w:ind w:left="0" w:right="0"/>
      <w:jc w:val="left"/>
    </w:pPr>
    <w:rPr>
      <w:kern w:val="0"/>
      <w:sz w:val="24"/>
      <w:lang w:val="en-US" w:eastAsia="zh-CN"/>
    </w:rPr>
  </w:style>
  <w:style w:type="paragraph" w:styleId="18">
    <w:name w:val="Title"/>
    <w:basedOn w:val="1"/>
    <w:next w:val="1"/>
    <w:qFormat/>
    <w:uiPriority w:val="0"/>
    <w:pPr>
      <w:spacing w:before="240" w:after="60"/>
      <w:ind w:left="425" w:hanging="425"/>
      <w:jc w:val="center"/>
      <w:outlineLvl w:val="0"/>
    </w:pPr>
    <w:rPr>
      <w:rFonts w:ascii="Arial" w:hAnsi="Arial" w:cs="Arial"/>
      <w:b/>
      <w:bCs/>
      <w:sz w:val="32"/>
      <w:szCs w:val="32"/>
    </w:rPr>
  </w:style>
  <w:style w:type="paragraph" w:styleId="19">
    <w:name w:val="Body Text First Indent"/>
    <w:basedOn w:val="8"/>
    <w:qFormat/>
    <w:uiPriority w:val="99"/>
    <w:pPr>
      <w:spacing w:after="120"/>
      <w:ind w:firstLine="420" w:firstLineChars="100"/>
      <w:jc w:val="both"/>
    </w:pPr>
    <w:rPr>
      <w:sz w:val="21"/>
    </w:r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basedOn w:val="22"/>
    <w:qFormat/>
    <w:uiPriority w:val="0"/>
  </w:style>
  <w:style w:type="character" w:styleId="24">
    <w:name w:val="Hyperlink"/>
    <w:qFormat/>
    <w:uiPriority w:val="99"/>
    <w:rPr>
      <w:color w:val="0000FF"/>
      <w:u w:val="single"/>
    </w:rPr>
  </w:style>
  <w:style w:type="character" w:styleId="25">
    <w:name w:val="HTML Sample"/>
    <w:basedOn w:val="22"/>
    <w:qFormat/>
    <w:uiPriority w:val="0"/>
    <w:rPr>
      <w:rFonts w:ascii="Courier New" w:hAnsi="Courier New"/>
    </w:rPr>
  </w:style>
  <w:style w:type="paragraph" w:customStyle="1" w:styleId="26">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27">
    <w:name w:val="Default Text"/>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28">
    <w:name w:val="Table Text"/>
    <w:basedOn w:val="1"/>
    <w:semiHidden/>
    <w:qFormat/>
    <w:uiPriority w:val="0"/>
    <w:rPr>
      <w:rFonts w:ascii="仿宋" w:hAnsi="仿宋" w:eastAsia="仿宋" w:cs="仿宋"/>
      <w:sz w:val="23"/>
      <w:szCs w:val="23"/>
      <w:lang w:val="en-US" w:eastAsia="en-US" w:bidi="ar-SA"/>
    </w:rPr>
  </w:style>
  <w:style w:type="paragraph" w:customStyle="1" w:styleId="29">
    <w:name w:val="black1"/>
    <w:basedOn w:val="1"/>
    <w:autoRedefine/>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30">
    <w:name w:val="中等深浅网格 21"/>
    <w:qFormat/>
    <w:uiPriority w:val="0"/>
    <w:rPr>
      <w:rFonts w:ascii="Calibri" w:hAnsi="Calibri" w:eastAsia="宋体" w:cs="Times New Roman"/>
      <w:sz w:val="22"/>
      <w:szCs w:val="22"/>
      <w:lang w:val="en-US" w:eastAsia="zh-CN" w:bidi="ar-SA"/>
    </w:rPr>
  </w:style>
  <w:style w:type="paragraph" w:styleId="31">
    <w:name w:val="List Paragraph"/>
    <w:basedOn w:val="1"/>
    <w:qFormat/>
    <w:uiPriority w:val="99"/>
    <w:pPr>
      <w:ind w:firstLine="420" w:firstLineChars="200"/>
    </w:pPr>
  </w:style>
  <w:style w:type="paragraph" w:customStyle="1" w:styleId="32">
    <w:name w:val="正文文本1"/>
    <w:basedOn w:val="1"/>
    <w:qFormat/>
    <w:uiPriority w:val="0"/>
    <w:pPr>
      <w:widowControl w:val="0"/>
      <w:shd w:val="clear" w:color="auto" w:fill="FFFFFF"/>
      <w:spacing w:line="391" w:lineRule="auto"/>
    </w:pPr>
    <w:rPr>
      <w:rFonts w:ascii="宋体" w:hAnsi="宋体" w:eastAsia="宋体" w:cs="宋体"/>
      <w:sz w:val="40"/>
      <w:szCs w:val="40"/>
      <w:u w:val="none"/>
      <w:lang w:val="zh-CN" w:eastAsia="zh-CN" w:bidi="zh-CN"/>
    </w:rPr>
  </w:style>
  <w:style w:type="paragraph" w:customStyle="1" w:styleId="33">
    <w:name w:val="paragraph"/>
    <w:basedOn w:val="1"/>
    <w:qFormat/>
    <w:uiPriority w:val="0"/>
    <w:pPr>
      <w:widowControl/>
      <w:snapToGrid/>
      <w:spacing w:before="100" w:beforeAutospacing="1" w:after="100" w:afterAutospacing="1" w:line="240" w:lineRule="auto"/>
    </w:pPr>
    <w:rPr>
      <w:rFonts w:ascii="宋体" w:hAnsi="宋体" w:eastAsia="宋体" w:cs="宋体"/>
      <w:color w:val="auto"/>
      <w:kern w:val="0"/>
      <w:sz w:val="24"/>
      <w:szCs w:val="24"/>
    </w:rPr>
  </w:style>
  <w:style w:type="paragraph" w:customStyle="1" w:styleId="34">
    <w:name w:val="Body text|1"/>
    <w:basedOn w:val="1"/>
    <w:qFormat/>
    <w:uiPriority w:val="0"/>
    <w:pPr>
      <w:widowControl w:val="0"/>
      <w:shd w:val="clear" w:color="auto" w:fill="auto"/>
      <w:spacing w:after="160"/>
    </w:pPr>
    <w:rPr>
      <w:rFonts w:ascii="宋体" w:hAnsi="宋体" w:eastAsia="宋体" w:cs="宋体"/>
      <w:u w:val="none"/>
      <w:shd w:val="clear" w:color="auto" w:fill="auto"/>
      <w:lang w:val="zh-TW" w:eastAsia="zh-TW" w:bidi="zh-TW"/>
    </w:rPr>
  </w:style>
  <w:style w:type="paragraph" w:customStyle="1" w:styleId="35">
    <w:name w:val="Body text|2"/>
    <w:basedOn w:val="1"/>
    <w:qFormat/>
    <w:uiPriority w:val="0"/>
    <w:pPr>
      <w:widowControl w:val="0"/>
      <w:shd w:val="clear" w:color="auto" w:fill="auto"/>
      <w:spacing w:after="160"/>
    </w:pPr>
    <w:rPr>
      <w:u w:val="none"/>
      <w:shd w:val="clear" w:color="auto" w:fill="auto"/>
      <w:lang w:val="zh-TW" w:eastAsia="zh-TW" w:bidi="zh-TW"/>
    </w:rPr>
  </w:style>
  <w:style w:type="character" w:customStyle="1" w:styleId="36">
    <w:name w:val="NormalCharacter"/>
    <w:qFormat/>
    <w:uiPriority w:val="0"/>
    <w:rPr>
      <w:rFonts w:ascii="Times New Roman" w:hAnsi="Times New Roman" w:eastAsia="宋体" w:cs="Times New Roman"/>
    </w:rPr>
  </w:style>
  <w:style w:type="paragraph" w:customStyle="1" w:styleId="37">
    <w:name w:val="UserStyle_0"/>
    <w:qFormat/>
    <w:uiPriority w:val="0"/>
    <w:pPr>
      <w:jc w:val="both"/>
      <w:textAlignment w:val="baseline"/>
    </w:pPr>
    <w:rPr>
      <w:rFonts w:ascii="宋体" w:hAnsi="宋体" w:eastAsia="宋体" w:cs="Times New Roman"/>
      <w:kern w:val="2"/>
      <w:sz w:val="21"/>
      <w:szCs w:val="21"/>
      <w:lang w:val="en-US" w:eastAsia="zh-CN" w:bidi="ar-SA"/>
    </w:rPr>
  </w:style>
  <w:style w:type="paragraph" w:customStyle="1" w:styleId="38">
    <w:name w:val="_Style 1"/>
    <w:basedOn w:val="1"/>
    <w:qFormat/>
    <w:uiPriority w:val="34"/>
    <w:pPr>
      <w:ind w:firstLine="420" w:firstLineChars="200"/>
    </w:pPr>
  </w:style>
  <w:style w:type="paragraph" w:customStyle="1" w:styleId="39">
    <w:name w:val="标书正文"/>
    <w:basedOn w:val="1"/>
    <w:qFormat/>
    <w:uiPriority w:val="0"/>
    <w:pPr>
      <w:spacing w:line="560" w:lineRule="exact"/>
      <w:ind w:firstLine="723" w:firstLineChars="200"/>
      <w:jc w:val="center"/>
    </w:pPr>
    <w:rPr>
      <w:rFonts w:ascii="仿宋_GB2312" w:eastAsia="仿宋_GB2312"/>
      <w:b/>
      <w:sz w:val="36"/>
    </w:rPr>
  </w:style>
  <w:style w:type="table" w:customStyle="1" w:styleId="40">
    <w:name w:val="Table Normal"/>
    <w:semiHidden/>
    <w:unhideWhenUsed/>
    <w:qFormat/>
    <w:uiPriority w:val="0"/>
    <w:tblPr>
      <w:tblCellMar>
        <w:top w:w="0" w:type="dxa"/>
        <w:left w:w="0" w:type="dxa"/>
        <w:bottom w:w="0" w:type="dxa"/>
        <w:right w:w="0" w:type="dxa"/>
      </w:tblCellMar>
    </w:tblPr>
  </w:style>
  <w:style w:type="character" w:customStyle="1" w:styleId="41">
    <w:name w:val="标题 1 Char"/>
    <w:link w:val="2"/>
    <w:qFormat/>
    <w:uiPriority w:val="9"/>
    <w:rPr>
      <w:b/>
      <w:kern w:val="44"/>
      <w:sz w:val="3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6.png"/><Relationship Id="rId16" Type="http://schemas.openxmlformats.org/officeDocument/2006/relationships/image" Target="media/image5.jpeg"/><Relationship Id="rId15" Type="http://schemas.openxmlformats.org/officeDocument/2006/relationships/image" Target="media/image4.jpe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105</Pages>
  <Words>29268</Words>
  <Characters>31315</Characters>
  <Lines>0</Lines>
  <Paragraphs>0</Paragraphs>
  <TotalTime>12</TotalTime>
  <ScaleCrop>false</ScaleCrop>
  <LinksUpToDate>false</LinksUpToDate>
  <CharactersWithSpaces>32603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2025-03-10T08:06:00Z</dcterms:created>
  <dc:creator>贺</dc:creator>
  <cp:lastModifiedBy>贺</cp:lastModifiedBy>
  <dcterms:modified xsi:type="dcterms:W3CDTF">2025-03-21T10:52:15Z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526443A981C840F0B83519D031D3F11D_11</vt:lpwstr>
  </property>
  <property fmtid="{D5CDD505-2E9C-101B-9397-08002B2CF9AE}" pid="4" name="KSOTemplateDocerSaveRecord">
    <vt:lpwstr>eyJoZGlkIjoiMDljYzUzMWQ4OWI0YzBkYjYzMDRhZTY5ZjZkYmFmYTgiLCJ1c2VySWQiOiIyODk0MzY2MjUifQ==</vt:lpwstr>
  </property>
</Properties>
</file>