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70CD6">
      <w:pPr>
        <w:outlineLvl w:val="9"/>
        <w:rPr>
          <w:rFonts w:hint="eastAsia" w:ascii="仿宋" w:hAnsi="仿宋" w:eastAsia="仿宋" w:cs="仿宋"/>
          <w:color w:val="auto"/>
          <w:highlight w:val="none"/>
        </w:rPr>
      </w:pPr>
    </w:p>
    <w:p w14:paraId="2F9530A5">
      <w:pPr>
        <w:outlineLvl w:val="9"/>
        <w:rPr>
          <w:rFonts w:hint="eastAsia" w:ascii="仿宋" w:hAnsi="仿宋" w:eastAsia="仿宋" w:cs="仿宋"/>
          <w:color w:val="auto"/>
          <w:highlight w:val="none"/>
        </w:rPr>
      </w:pPr>
    </w:p>
    <w:p w14:paraId="00BDD09D">
      <w:pPr>
        <w:outlineLvl w:val="9"/>
        <w:rPr>
          <w:rFonts w:hint="eastAsia" w:ascii="仿宋" w:hAnsi="仿宋" w:eastAsia="仿宋" w:cs="仿宋"/>
          <w:color w:val="auto"/>
          <w:highlight w:val="none"/>
        </w:rPr>
      </w:pPr>
    </w:p>
    <w:p w14:paraId="4DAB70B1">
      <w:pPr>
        <w:jc w:val="center"/>
        <w:outlineLvl w:val="9"/>
        <w:rPr>
          <w:rFonts w:hint="eastAsia" w:ascii="仿宋" w:hAnsi="仿宋" w:eastAsia="仿宋" w:cs="仿宋"/>
          <w:b/>
          <w:color w:val="auto"/>
          <w:sz w:val="52"/>
          <w:highlight w:val="none"/>
        </w:rPr>
      </w:pPr>
    </w:p>
    <w:p w14:paraId="5FF2C0C7">
      <w:pPr>
        <w:jc w:val="center"/>
        <w:outlineLvl w:val="9"/>
        <w:rPr>
          <w:rFonts w:hint="eastAsia" w:ascii="仿宋" w:hAnsi="仿宋" w:eastAsia="仿宋" w:cs="仿宋"/>
          <w:b/>
          <w:color w:val="auto"/>
          <w:sz w:val="52"/>
          <w:highlight w:val="none"/>
        </w:rPr>
      </w:pPr>
    </w:p>
    <w:p w14:paraId="0D6E5C4F">
      <w:pPr>
        <w:jc w:val="center"/>
        <w:outlineLvl w:val="9"/>
        <w:rPr>
          <w:rFonts w:hint="eastAsia" w:ascii="仿宋" w:hAnsi="仿宋" w:eastAsia="仿宋" w:cs="仿宋"/>
          <w:color w:val="auto"/>
          <w:sz w:val="48"/>
          <w:highlight w:val="none"/>
        </w:rPr>
      </w:pPr>
      <w:r>
        <w:rPr>
          <w:rFonts w:hint="eastAsia" w:ascii="仿宋" w:hAnsi="仿宋" w:eastAsia="仿宋" w:cs="仿宋"/>
          <w:b/>
          <w:bCs/>
          <w:color w:val="auto"/>
          <w:sz w:val="96"/>
          <w:szCs w:val="96"/>
          <w:highlight w:val="none"/>
        </w:rPr>
        <w:t>招 标 文 件</w:t>
      </w:r>
    </w:p>
    <w:p w14:paraId="0E236698">
      <w:pPr>
        <w:outlineLvl w:val="9"/>
        <w:rPr>
          <w:rFonts w:hint="eastAsia" w:ascii="仿宋" w:hAnsi="仿宋" w:eastAsia="仿宋" w:cs="仿宋"/>
          <w:color w:val="auto"/>
          <w:sz w:val="48"/>
          <w:highlight w:val="none"/>
        </w:rPr>
      </w:pPr>
    </w:p>
    <w:p w14:paraId="06365972">
      <w:pPr>
        <w:pStyle w:val="27"/>
        <w:spacing w:before="1716" w:beforeLines="550" w:line="360" w:lineRule="auto"/>
        <w:ind w:firstLine="720"/>
        <w:outlineLvl w:val="9"/>
        <w:rPr>
          <w:rFonts w:hint="eastAsia" w:ascii="仿宋" w:hAnsi="仿宋" w:eastAsia="仿宋" w:cs="仿宋"/>
          <w:color w:val="auto"/>
          <w:sz w:val="28"/>
          <w:szCs w:val="28"/>
          <w:highlight w:val="none"/>
        </w:rPr>
      </w:pPr>
    </w:p>
    <w:p w14:paraId="578AF192">
      <w:pPr>
        <w:pStyle w:val="27"/>
        <w:spacing w:line="360" w:lineRule="auto"/>
        <w:ind w:left="1400" w:leftChars="0" w:hanging="1400" w:hangingChars="5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项目名称：哈巴河县人民医院建设项目</w:t>
      </w:r>
    </w:p>
    <w:p w14:paraId="522383D3">
      <w:pPr>
        <w:pStyle w:val="27"/>
        <w:spacing w:line="360" w:lineRule="auto"/>
        <w:ind w:left="0" w:leftChars="0" w:firstLine="0" w:firstLineChars="0"/>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XJHRX</w:t>
      </w:r>
      <w:r>
        <w:rPr>
          <w:rFonts w:hint="eastAsia" w:ascii="仿宋" w:hAnsi="仿宋" w:eastAsia="仿宋" w:cs="仿宋"/>
          <w:color w:val="auto"/>
          <w:sz w:val="28"/>
          <w:szCs w:val="28"/>
          <w:highlight w:val="none"/>
          <w:lang w:val="en-US" w:eastAsia="zh-CN"/>
        </w:rPr>
        <w:t>HBHXRMYY-2024-01</w:t>
      </w:r>
    </w:p>
    <w:p w14:paraId="589956DD">
      <w:pPr>
        <w:pStyle w:val="27"/>
        <w:spacing w:line="360" w:lineRule="auto"/>
        <w:ind w:left="0" w:leftChars="0" w:firstLine="0" w:firstLineChars="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 购 人</w:t>
      </w:r>
      <w:r>
        <w:rPr>
          <w:rFonts w:hint="eastAsia" w:ascii="仿宋" w:hAnsi="仿宋" w:eastAsia="仿宋" w:cs="仿宋"/>
          <w:color w:val="auto"/>
          <w:sz w:val="28"/>
          <w:szCs w:val="28"/>
          <w:highlight w:val="none"/>
          <w:lang w:val="en-US" w:eastAsia="zh-CN"/>
        </w:rPr>
        <w:t>：哈巴河县人民医院（盖章）</w:t>
      </w:r>
    </w:p>
    <w:p w14:paraId="7321468A">
      <w:pPr>
        <w:pStyle w:val="27"/>
        <w:spacing w:line="360" w:lineRule="auto"/>
        <w:ind w:left="0" w:leftChars="0" w:firstLine="0" w:firstLineChars="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w:t>
      </w:r>
      <w:r>
        <w:rPr>
          <w:rFonts w:hint="eastAsia" w:ascii="仿宋" w:hAnsi="仿宋" w:eastAsia="仿宋" w:cs="仿宋"/>
          <w:color w:val="auto"/>
          <w:sz w:val="28"/>
          <w:szCs w:val="28"/>
          <w:highlight w:val="none"/>
          <w:lang w:val="en-US" w:eastAsia="zh-CN"/>
        </w:rPr>
        <w:t>王主任</w:t>
      </w:r>
    </w:p>
    <w:p w14:paraId="760499D8">
      <w:pPr>
        <w:pStyle w:val="27"/>
        <w:spacing w:line="360" w:lineRule="auto"/>
        <w:ind w:left="0" w:leftChars="0" w:firstLine="0" w:firstLineChars="0"/>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0906-6622535</w:t>
      </w:r>
    </w:p>
    <w:p w14:paraId="03DC6943">
      <w:pPr>
        <w:pStyle w:val="27"/>
        <w:spacing w:line="360" w:lineRule="auto"/>
        <w:ind w:left="0" w:leftChars="0" w:firstLine="0" w:firstLineChars="0"/>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址：哈巴河县过境路29号</w:t>
      </w:r>
    </w:p>
    <w:p w14:paraId="4A3DC41F">
      <w:pPr>
        <w:pStyle w:val="27"/>
        <w:spacing w:line="360" w:lineRule="auto"/>
        <w:ind w:firstLine="720"/>
        <w:outlineLvl w:val="9"/>
        <w:rPr>
          <w:rFonts w:hint="eastAsia" w:ascii="仿宋" w:hAnsi="仿宋" w:eastAsia="仿宋" w:cs="仿宋"/>
          <w:color w:val="auto"/>
          <w:sz w:val="28"/>
          <w:szCs w:val="28"/>
          <w:highlight w:val="none"/>
        </w:rPr>
      </w:pPr>
    </w:p>
    <w:p w14:paraId="6B2D9C12">
      <w:pPr>
        <w:pStyle w:val="27"/>
        <w:spacing w:line="360" w:lineRule="auto"/>
        <w:ind w:left="0" w:leftChars="0" w:firstLine="0" w:firstLineChars="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采购代理：</w:t>
      </w:r>
      <w:r>
        <w:rPr>
          <w:rFonts w:hint="eastAsia" w:ascii="仿宋" w:hAnsi="仿宋" w:eastAsia="仿宋" w:cs="仿宋"/>
          <w:color w:val="auto"/>
          <w:sz w:val="28"/>
          <w:szCs w:val="28"/>
          <w:highlight w:val="none"/>
          <w:lang w:eastAsia="zh-CN"/>
        </w:rPr>
        <w:t>新疆浩瑞兴建设工程项目管理咨询有限公司（</w:t>
      </w:r>
      <w:r>
        <w:rPr>
          <w:rFonts w:hint="eastAsia" w:ascii="仿宋" w:hAnsi="仿宋" w:eastAsia="仿宋" w:cs="仿宋"/>
          <w:color w:val="auto"/>
          <w:sz w:val="28"/>
          <w:szCs w:val="28"/>
          <w:highlight w:val="none"/>
          <w:lang w:val="en-US" w:eastAsia="zh-CN"/>
        </w:rPr>
        <w:t>盖章</w:t>
      </w:r>
      <w:r>
        <w:rPr>
          <w:rFonts w:hint="eastAsia" w:ascii="仿宋" w:hAnsi="仿宋" w:eastAsia="仿宋" w:cs="仿宋"/>
          <w:color w:val="auto"/>
          <w:sz w:val="28"/>
          <w:szCs w:val="28"/>
          <w:highlight w:val="none"/>
          <w:lang w:eastAsia="zh-CN"/>
        </w:rPr>
        <w:t>）</w:t>
      </w:r>
    </w:p>
    <w:p w14:paraId="72CCE90A">
      <w:pPr>
        <w:pStyle w:val="27"/>
        <w:spacing w:line="360" w:lineRule="auto"/>
        <w:ind w:left="0" w:leftChars="0" w:firstLine="0" w:firstLineChars="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新疆乌鲁木齐市水磨沟区安居南路鸿瑞豪庭四号楼908</w:t>
      </w:r>
    </w:p>
    <w:p w14:paraId="6D6DA586">
      <w:pPr>
        <w:pStyle w:val="27"/>
        <w:spacing w:line="360" w:lineRule="auto"/>
        <w:ind w:left="0" w:leftChars="0" w:firstLine="0" w:firstLineChars="0"/>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w:t>
      </w:r>
      <w:r>
        <w:rPr>
          <w:rFonts w:hint="eastAsia" w:ascii="仿宋" w:hAnsi="仿宋" w:eastAsia="仿宋" w:cs="仿宋"/>
          <w:color w:val="auto"/>
          <w:sz w:val="28"/>
          <w:szCs w:val="28"/>
          <w:highlight w:val="none"/>
          <w:lang w:val="en-US" w:eastAsia="zh-CN"/>
        </w:rPr>
        <w:t>陈淑君</w:t>
      </w:r>
    </w:p>
    <w:p w14:paraId="59CF5B06">
      <w:pPr>
        <w:pStyle w:val="27"/>
        <w:spacing w:line="360" w:lineRule="auto"/>
        <w:ind w:left="0" w:leftChars="0" w:firstLine="0" w:firstLineChars="0"/>
        <w:outlineLvl w:val="9"/>
        <w:rPr>
          <w:rFonts w:hint="eastAsia" w:ascii="仿宋" w:hAnsi="仿宋" w:eastAsia="仿宋" w:cs="仿宋"/>
          <w:b/>
          <w:color w:val="auto"/>
          <w:sz w:val="44"/>
          <w:szCs w:val="44"/>
          <w:highlight w:val="none"/>
        </w:rPr>
        <w:sectPr>
          <w:headerReference r:id="rId4" w:type="first"/>
          <w:footerReference r:id="rId5" w:type="first"/>
          <w:headerReference r:id="rId3" w:type="default"/>
          <w:pgSz w:w="11906" w:h="16838"/>
          <w:pgMar w:top="1440" w:right="1080" w:bottom="1440" w:left="1080" w:header="851" w:footer="851" w:gutter="0"/>
          <w:pgNumType w:fmt="numberInDash" w:start="1"/>
          <w:cols w:space="720" w:num="1"/>
          <w:titlePg/>
          <w:docGrid w:type="linesAndChars" w:linePitch="312" w:charSpace="0"/>
        </w:sect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18016878872/</w:t>
      </w:r>
      <w:r>
        <w:rPr>
          <w:rFonts w:hint="eastAsia" w:ascii="仿宋" w:hAnsi="仿宋" w:eastAsia="仿宋" w:cs="仿宋"/>
          <w:color w:val="auto"/>
          <w:sz w:val="28"/>
          <w:szCs w:val="28"/>
          <w:highlight w:val="none"/>
          <w:lang w:eastAsia="zh-CN"/>
        </w:rPr>
        <w:t>15160968614</w:t>
      </w:r>
      <w:bookmarkStart w:id="0" w:name="_Toc14418"/>
    </w:p>
    <w:p w14:paraId="2762410F">
      <w:pPr>
        <w:keepNext w:val="0"/>
        <w:keepLines w:val="0"/>
        <w:pageBreakBefore w:val="0"/>
        <w:widowControl w:val="0"/>
        <w:tabs>
          <w:tab w:val="left" w:pos="2700"/>
        </w:tabs>
        <w:kinsoku/>
        <w:wordWrap/>
        <w:overflowPunct/>
        <w:topLinePunct w:val="0"/>
        <w:autoSpaceDE/>
        <w:autoSpaceDN/>
        <w:bidi w:val="0"/>
        <w:adjustRightInd/>
        <w:snapToGrid/>
        <w:spacing w:before="624" w:beforeLines="200" w:line="360" w:lineRule="auto"/>
        <w:jc w:val="center"/>
        <w:textAlignment w:val="auto"/>
        <w:outlineLvl w:val="0"/>
        <w:rPr>
          <w:rFonts w:hint="eastAsia" w:ascii="仿宋" w:hAnsi="仿宋" w:eastAsia="仿宋" w:cs="仿宋"/>
          <w:b/>
          <w:color w:val="auto"/>
          <w:sz w:val="24"/>
          <w:szCs w:val="24"/>
          <w:highlight w:val="none"/>
        </w:rPr>
      </w:pPr>
      <w:bookmarkStart w:id="1" w:name="_Toc4191"/>
      <w:r>
        <w:rPr>
          <w:rFonts w:hint="eastAsia" w:ascii="仿宋" w:hAnsi="仿宋" w:eastAsia="仿宋" w:cs="仿宋"/>
          <w:b/>
          <w:color w:val="auto"/>
          <w:sz w:val="44"/>
          <w:szCs w:val="44"/>
          <w:highlight w:val="none"/>
        </w:rPr>
        <w:t>目  录</w:t>
      </w:r>
      <w:bookmarkEnd w:id="0"/>
      <w:bookmarkEnd w:id="1"/>
    </w:p>
    <w:p w14:paraId="0AF28094">
      <w:pPr>
        <w:pStyle w:val="13"/>
        <w:tabs>
          <w:tab w:val="right" w:leader="dot" w:pos="9746"/>
        </w:tabs>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TOC \o "1-3" \h \z \u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 xml:space="preserve">第一章 </w:t>
      </w:r>
      <w:r>
        <w:rPr>
          <w:rFonts w:hint="eastAsia" w:ascii="仿宋" w:hAnsi="仿宋" w:eastAsia="仿宋" w:cs="仿宋"/>
          <w:bCs/>
          <w:color w:val="auto"/>
          <w:sz w:val="24"/>
          <w:szCs w:val="24"/>
          <w:highlight w:val="none"/>
        </w:rPr>
        <w:t>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26B510">
      <w:pPr>
        <w:pStyle w:val="13"/>
        <w:tabs>
          <w:tab w:val="right" w:leader="dot" w:pos="9746"/>
        </w:tabs>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_Toc19966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2"/>
          <w:sz w:val="24"/>
          <w:szCs w:val="24"/>
          <w:highlight w:val="none"/>
          <w:lang w:val="en-US" w:eastAsia="zh-CN" w:bidi="ar-SA"/>
        </w:rPr>
        <w:t>第二章 投标须知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_Toc19966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84F1AE0">
      <w:pPr>
        <w:pStyle w:val="13"/>
        <w:tabs>
          <w:tab w:val="right" w:leader="dot" w:pos="9746"/>
        </w:tabs>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_Toc17416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第三章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_Toc17416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627BBD">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_Toc5254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总  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_Toc5254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71F4E3B">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_Toc18154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投标文件初审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_Toc18154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7F8716F">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_Toc20754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投标文件的澄清和补正</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75F26A8">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_Toc26574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 比较与评价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_Toc26574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EF1944">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_Toc30836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五 评分标准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_Toc30836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673AC5">
      <w:pPr>
        <w:pStyle w:val="13"/>
        <w:tabs>
          <w:tab w:val="right" w:leader="dot" w:pos="9746"/>
        </w:tabs>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_Toc10919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 招标内容及技术要求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_Toc10919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- 43 -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499724">
      <w:pPr>
        <w:tabs>
          <w:tab w:val="left" w:leader="dot" w:pos="8820"/>
          <w:tab w:val="left" w:pos="9030"/>
          <w:tab w:val="left" w:leader="dot" w:pos="9240"/>
          <w:tab w:val="left" w:leader="dot" w:pos="9450"/>
          <w:tab w:val="left" w:leader="dot" w:pos="9660"/>
        </w:tabs>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第五章 合同条款及格式...................</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- 96-</w:t>
      </w:r>
    </w:p>
    <w:p w14:paraId="4969C7DF">
      <w:pPr>
        <w:pStyle w:val="13"/>
        <w:tabs>
          <w:tab w:val="right" w:leader="dot" w:pos="9746"/>
        </w:tabs>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_Toc32653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 xml:space="preserve">第六章 </w:t>
      </w:r>
      <w:r>
        <w:rPr>
          <w:rFonts w:hint="eastAsia" w:ascii="仿宋" w:hAnsi="仿宋" w:eastAsia="仿宋" w:cs="仿宋"/>
          <w:color w:val="auto"/>
          <w:sz w:val="24"/>
          <w:szCs w:val="24"/>
          <w:highlight w:val="none"/>
        </w:rPr>
        <w:t>投标书格式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_Toc32653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25D968">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_Toc13962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附件一、投标书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_Toc13962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BA4B11">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附件二、法定代表人资格证明书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_Toc18422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- 106 -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D044C3B">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附件三、法定代表人授权委托书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_Toc10811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D2D13C">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_Toc21188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附件四、关于招标文件的声明函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_Toc21188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2D5D63">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附件五、诚信投标承诺书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- 109 -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F20EA15">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_Toc29347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附件六、供应商反商业贿赂承诺书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_Toc29347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- 110 -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E471342">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_Toc5490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附件七、中小企业声明函（货物）</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_Toc5490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- 111 -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3945219">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_Toc16288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附件八、开标一览表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_Toc16288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C3A3AC4">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_Toc20340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附件九、投标产品名称、数量、规格分项报价表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_Toc20340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56049A8">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_Toc25169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附件十、技术规格偏离表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_Toc25169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ED9BB2">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附件十一、商务条款偏离表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_Toc23133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40F65C">
      <w:pPr>
        <w:pStyle w:val="16"/>
        <w:tabs>
          <w:tab w:val="right" w:leader="dot" w:pos="9746"/>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_Toc14660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附件十二、投标产品近三年</w:t>
      </w:r>
      <w:r>
        <w:rPr>
          <w:rFonts w:hint="eastAsia" w:ascii="仿宋" w:hAnsi="仿宋" w:eastAsia="仿宋" w:cs="仿宋"/>
          <w:color w:val="auto"/>
          <w:sz w:val="24"/>
          <w:szCs w:val="24"/>
          <w:highlight w:val="none"/>
          <w:lang w:eastAsia="zh-CN"/>
        </w:rPr>
        <w:t>（从投标截至时间往前推算）</w:t>
      </w:r>
      <w:r>
        <w:rPr>
          <w:rFonts w:hint="eastAsia" w:ascii="仿宋" w:hAnsi="仿宋" w:eastAsia="仿宋" w:cs="仿宋"/>
          <w:color w:val="auto"/>
          <w:sz w:val="24"/>
          <w:szCs w:val="24"/>
          <w:highlight w:val="none"/>
        </w:rPr>
        <w:t>同类产品销售业绩表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_Toc14660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- 116 -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0C9F75D">
      <w:pPr>
        <w:pStyle w:val="14"/>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0A67DF66">
      <w:pPr>
        <w:pStyle w:val="14"/>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Cs w:val="30"/>
          <w:highlight w:val="none"/>
        </w:rPr>
        <w:br w:type="page"/>
      </w:r>
      <w:bookmarkStart w:id="2" w:name="_Toc2310"/>
      <w:bookmarkStart w:id="3" w:name="_Toc2698"/>
      <w:r>
        <w:rPr>
          <w:rFonts w:hint="eastAsia" w:ascii="仿宋" w:hAnsi="仿宋" w:eastAsia="仿宋" w:cs="仿宋"/>
          <w:b/>
          <w:bCs/>
          <w:color w:val="auto"/>
          <w:sz w:val="36"/>
          <w:highlight w:val="none"/>
          <w:lang w:val="en-US" w:eastAsia="zh-CN"/>
        </w:rPr>
        <w:t xml:space="preserve">第一章 </w:t>
      </w:r>
      <w:r>
        <w:rPr>
          <w:rFonts w:hint="eastAsia" w:ascii="仿宋" w:hAnsi="仿宋" w:eastAsia="仿宋" w:cs="仿宋"/>
          <w:b/>
          <w:bCs/>
          <w:color w:val="auto"/>
          <w:sz w:val="36"/>
          <w:szCs w:val="36"/>
          <w:highlight w:val="none"/>
        </w:rPr>
        <w:t>招标公告</w:t>
      </w:r>
      <w:bookmarkEnd w:id="2"/>
      <w:bookmarkEnd w:id="3"/>
    </w:p>
    <w:tbl>
      <w:tblPr>
        <w:tblStyle w:val="21"/>
        <w:tblW w:w="92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7"/>
      </w:tblGrid>
      <w:tr w14:paraId="14DA75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34" w:hRule="atLeast"/>
          <w:jc w:val="center"/>
        </w:trPr>
        <w:tc>
          <w:tcPr>
            <w:tcW w:w="9217" w:type="dxa"/>
            <w:noWrap w:val="0"/>
            <w:vAlign w:val="center"/>
          </w:tcPr>
          <w:p w14:paraId="7EB688D7">
            <w:pPr>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F5D6CCB">
            <w:pPr>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哈巴河县人民医院</w:t>
            </w:r>
            <w:r>
              <w:rPr>
                <w:rFonts w:hint="eastAsia" w:ascii="仿宋" w:hAnsi="仿宋" w:eastAsia="仿宋" w:cs="仿宋"/>
                <w:color w:val="auto"/>
                <w:sz w:val="24"/>
                <w:szCs w:val="24"/>
                <w:highlight w:val="none"/>
              </w:rPr>
              <w:t>建设项目</w:t>
            </w:r>
            <w:r>
              <w:rPr>
                <w:rFonts w:hint="eastAsia" w:ascii="仿宋" w:hAnsi="仿宋" w:eastAsia="仿宋" w:cs="仿宋"/>
                <w:color w:val="auto"/>
                <w:sz w:val="24"/>
                <w:szCs w:val="24"/>
                <w:highlight w:val="none"/>
                <w:lang w:val="en-US" w:eastAsia="zh-CN"/>
              </w:rPr>
              <w:t>的潜在投标人应在供应商登录新疆政府采购云平台https://www.zcygov.cn/在线申请获取采购文件（进入“项目采购”应用，在获取采购文件菜单中选择项目，申请获取采购文件）获取招标文件，并于2024年09月27日10:30（北京时间）前递交投标文件。</w:t>
            </w:r>
          </w:p>
        </w:tc>
      </w:tr>
    </w:tbl>
    <w:p w14:paraId="19D94C52">
      <w:pPr>
        <w:pStyle w:val="28"/>
        <w:spacing w:line="420" w:lineRule="exact"/>
        <w:ind w:firstLine="237" w:firstLineChars="99"/>
        <w:jc w:val="both"/>
        <w:outlineLvl w:val="9"/>
        <w:rPr>
          <w:rFonts w:hint="eastAsia" w:ascii="仿宋" w:hAnsi="仿宋" w:eastAsia="仿宋" w:cs="仿宋"/>
          <w:b/>
          <w:color w:val="auto"/>
          <w:sz w:val="24"/>
          <w:szCs w:val="24"/>
          <w:highlight w:val="none"/>
        </w:rPr>
      </w:pPr>
      <w:bookmarkStart w:id="4" w:name="_Toc5896489"/>
      <w:bookmarkStart w:id="5" w:name="_Toc399523005"/>
      <w:r>
        <w:rPr>
          <w:rFonts w:hint="eastAsia" w:ascii="仿宋" w:hAnsi="仿宋" w:eastAsia="仿宋" w:cs="仿宋"/>
          <w:b/>
          <w:color w:val="auto"/>
          <w:sz w:val="24"/>
          <w:szCs w:val="24"/>
          <w:highlight w:val="none"/>
        </w:rPr>
        <w:t>一、项目基本情况</w:t>
      </w:r>
    </w:p>
    <w:p w14:paraId="136BF34D">
      <w:pPr>
        <w:pStyle w:val="28"/>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XJHRX</w:t>
      </w:r>
      <w:r>
        <w:rPr>
          <w:rFonts w:hint="eastAsia" w:ascii="仿宋" w:hAnsi="仿宋" w:eastAsia="仿宋" w:cs="仿宋"/>
          <w:color w:val="auto"/>
          <w:sz w:val="24"/>
          <w:szCs w:val="24"/>
          <w:highlight w:val="none"/>
          <w:lang w:val="en-US" w:eastAsia="zh-CN"/>
        </w:rPr>
        <w:t>HBHXRMYY-2024-01</w:t>
      </w:r>
    </w:p>
    <w:p w14:paraId="606958E6">
      <w:pPr>
        <w:pStyle w:val="28"/>
        <w:spacing w:line="420" w:lineRule="exact"/>
        <w:ind w:firstLine="237" w:firstLineChars="99"/>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项目名称：哈巴河县人民医院建设项目</w:t>
      </w:r>
    </w:p>
    <w:p w14:paraId="4A486B85">
      <w:pPr>
        <w:pStyle w:val="28"/>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14:paraId="34E599E2">
      <w:pPr>
        <w:pStyle w:val="28"/>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5250000.00</w:t>
      </w:r>
    </w:p>
    <w:p w14:paraId="29967948">
      <w:pPr>
        <w:pStyle w:val="28"/>
        <w:spacing w:line="420" w:lineRule="exact"/>
        <w:ind w:left="2130" w:leftChars="100" w:hanging="1920" w:hangingChars="80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5250000.00</w:t>
      </w:r>
    </w:p>
    <w:p w14:paraId="2DE94478">
      <w:pPr>
        <w:pStyle w:val="28"/>
        <w:spacing w:line="420" w:lineRule="exact"/>
        <w:ind w:firstLine="237" w:firstLineChars="99"/>
        <w:jc w:val="both"/>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购置高端彩色多普勒超声诊断仪、妊娠高血压综合症监测系统、 全自动血液流变分析仪等医疗设备一批。详见第四章招标内容及技术要求</w:t>
      </w:r>
    </w:p>
    <w:p w14:paraId="075D5AEA">
      <w:pPr>
        <w:pStyle w:val="28"/>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简要规格描述：具体采购要求详见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p>
    <w:p w14:paraId="6EF66E1E">
      <w:pPr>
        <w:pStyle w:val="28"/>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自合同签订之日起按甲方通知10日内完成供货（具体以实际签订合同为准）</w:t>
      </w:r>
    </w:p>
    <w:p w14:paraId="3EAA46BD">
      <w:pPr>
        <w:pStyle w:val="28"/>
        <w:numPr>
          <w:ilvl w:val="0"/>
          <w:numId w:val="2"/>
        </w:numPr>
        <w:snapToGrid w:val="0"/>
        <w:spacing w:line="360" w:lineRule="auto"/>
        <w:jc w:val="both"/>
        <w:outlineLvl w:val="9"/>
        <w:rPr>
          <w:rFonts w:hint="eastAsia" w:ascii="仿宋" w:hAnsi="仿宋" w:eastAsia="仿宋" w:cs="仿宋"/>
          <w:color w:val="auto"/>
          <w:sz w:val="24"/>
          <w:szCs w:val="24"/>
          <w:highlight w:val="none"/>
        </w:rPr>
      </w:pPr>
      <w:bookmarkStart w:id="6" w:name="_Toc18547"/>
      <w:bookmarkStart w:id="7" w:name="_Toc780"/>
      <w:bookmarkStart w:id="8" w:name="_Toc260"/>
      <w:r>
        <w:rPr>
          <w:rFonts w:hint="eastAsia" w:ascii="仿宋" w:hAnsi="仿宋" w:eastAsia="仿宋" w:cs="仿宋"/>
          <w:b/>
          <w:bCs/>
          <w:color w:val="auto"/>
          <w:sz w:val="24"/>
          <w:szCs w:val="24"/>
          <w:highlight w:val="none"/>
        </w:rPr>
        <w:t>申请人的资格要求：</w:t>
      </w:r>
      <w:bookmarkEnd w:id="6"/>
      <w:bookmarkEnd w:id="7"/>
      <w:bookmarkEnd w:id="8"/>
    </w:p>
    <w:p w14:paraId="4F625BE9">
      <w:pPr>
        <w:pStyle w:val="28"/>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1.满足《中华人民共和国政府采购法》第二十二条规定；</w:t>
      </w:r>
    </w:p>
    <w:p w14:paraId="50D047E9">
      <w:pPr>
        <w:pStyle w:val="28"/>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.本项目的特定资格要求：</w:t>
      </w:r>
    </w:p>
    <w:p w14:paraId="63EBA378">
      <w:pPr>
        <w:pStyle w:val="28"/>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lang w:val="en-US" w:eastAsia="zh-CN"/>
        </w:rPr>
      </w:pPr>
      <w:bookmarkStart w:id="9" w:name="_Toc13896"/>
      <w:bookmarkStart w:id="10" w:name="_Toc17354"/>
      <w:bookmarkStart w:id="11" w:name="_Toc18894"/>
      <w:r>
        <w:rPr>
          <w:rFonts w:hint="eastAsia" w:ascii="仿宋" w:hAnsi="仿宋" w:eastAsia="仿宋" w:cs="仿宋"/>
          <w:b w:val="0"/>
          <w:bCs w:val="0"/>
          <w:color w:val="auto"/>
          <w:sz w:val="24"/>
          <w:szCs w:val="24"/>
          <w:highlight w:val="none"/>
          <w:lang w:val="en-US"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5C4E1C7C">
      <w:pPr>
        <w:pStyle w:val="28"/>
        <w:numPr>
          <w:ilvl w:val="0"/>
          <w:numId w:val="0"/>
        </w:numPr>
        <w:snapToGrid w:val="0"/>
        <w:spacing w:line="360" w:lineRule="auto"/>
        <w:ind w:firstLine="480"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获取采购文件</w:t>
      </w:r>
      <w:bookmarkEnd w:id="9"/>
      <w:bookmarkEnd w:id="10"/>
      <w:bookmarkEnd w:id="11"/>
    </w:p>
    <w:p w14:paraId="7E311399">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w:t>
      </w:r>
      <w:r>
        <w:rPr>
          <w:rFonts w:hint="eastAsia" w:ascii="仿宋" w:hAnsi="仿宋" w:eastAsia="仿宋" w:cs="仿宋"/>
          <w:color w:val="auto"/>
          <w:kern w:val="0"/>
          <w:sz w:val="24"/>
          <w:szCs w:val="24"/>
          <w:highlight w:val="none"/>
          <w:lang w:eastAsia="zh-CN"/>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lang w:val="en-US" w:eastAsia="zh-CN"/>
        </w:rPr>
        <w:t>07</w:t>
      </w:r>
      <w:r>
        <w:rPr>
          <w:rFonts w:hint="eastAsia" w:ascii="仿宋" w:hAnsi="仿宋" w:eastAsia="仿宋" w:cs="仿宋"/>
          <w:color w:val="auto"/>
          <w:kern w:val="0"/>
          <w:sz w:val="24"/>
          <w:szCs w:val="24"/>
          <w:highlight w:val="none"/>
          <w:lang w:eastAsia="zh-CN"/>
        </w:rPr>
        <w:t>日至202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lang w:eastAsia="zh-CN"/>
        </w:rPr>
        <w:t>日</w:t>
      </w:r>
      <w:r>
        <w:rPr>
          <w:rFonts w:hint="eastAsia" w:ascii="仿宋" w:hAnsi="仿宋" w:eastAsia="仿宋" w:cs="仿宋"/>
          <w:color w:val="auto"/>
          <w:kern w:val="0"/>
          <w:sz w:val="24"/>
          <w:szCs w:val="24"/>
          <w:highlight w:val="none"/>
        </w:rPr>
        <w:t>，每天上午</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:00至1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:00，下午1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:00至</w:t>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59</w:t>
      </w:r>
      <w:r>
        <w:rPr>
          <w:rFonts w:hint="eastAsia" w:ascii="仿宋" w:hAnsi="仿宋" w:eastAsia="仿宋" w:cs="仿宋"/>
          <w:color w:val="auto"/>
          <w:kern w:val="0"/>
          <w:sz w:val="24"/>
          <w:szCs w:val="24"/>
          <w:highlight w:val="none"/>
        </w:rPr>
        <w:t>（北京时间，法定节假日除外）</w:t>
      </w:r>
    </w:p>
    <w:p w14:paraId="4D3B2D2E">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地点：供应商登陆政采云平台http://www.zcygov.cn/，在线申请获取竞</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文件（登录政府采购云平台→项目采购→获取</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文件→申请，审核通过后可下载</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文件，如有操作性问题，可与政采云在线客服进行咨询，咨询电话：</w:t>
      </w:r>
      <w:r>
        <w:rPr>
          <w:rFonts w:hint="eastAsia" w:ascii="仿宋" w:hAnsi="仿宋" w:eastAsia="仿宋" w:cs="仿宋"/>
          <w:color w:val="auto"/>
          <w:kern w:val="0"/>
          <w:sz w:val="24"/>
          <w:szCs w:val="24"/>
          <w:highlight w:val="none"/>
          <w:lang w:eastAsia="zh-CN"/>
        </w:rPr>
        <w:t>95763</w:t>
      </w:r>
      <w:r>
        <w:rPr>
          <w:rFonts w:hint="eastAsia" w:ascii="仿宋" w:hAnsi="仿宋" w:eastAsia="仿宋" w:cs="仿宋"/>
          <w:color w:val="auto"/>
          <w:kern w:val="0"/>
          <w:sz w:val="24"/>
          <w:szCs w:val="24"/>
          <w:highlight w:val="none"/>
        </w:rPr>
        <w:t>）。</w:t>
      </w:r>
    </w:p>
    <w:p w14:paraId="0AF458AF">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方式：供应商登录政采云平台https://www.zcygov.cn/在线申请获取采购文件（进入“项目采购”应用，在获取采购文件菜单中选择项目，申请获取采购文件）</w:t>
      </w:r>
      <w:r>
        <w:rPr>
          <w:rFonts w:hint="eastAsia" w:ascii="仿宋" w:hAnsi="仿宋" w:eastAsia="仿宋" w:cs="仿宋"/>
          <w:color w:val="auto"/>
          <w:kern w:val="0"/>
          <w:sz w:val="24"/>
          <w:szCs w:val="24"/>
          <w:highlight w:val="none"/>
          <w:lang w:eastAsia="zh-CN"/>
        </w:rPr>
        <w:t>。</w:t>
      </w:r>
    </w:p>
    <w:p w14:paraId="4459610C">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售价（元）：0</w:t>
      </w:r>
      <w:r>
        <w:rPr>
          <w:rFonts w:hint="eastAsia" w:ascii="仿宋" w:hAnsi="仿宋" w:eastAsia="仿宋" w:cs="仿宋"/>
          <w:color w:val="auto"/>
          <w:kern w:val="0"/>
          <w:sz w:val="24"/>
          <w:szCs w:val="24"/>
          <w:highlight w:val="none"/>
          <w:lang w:eastAsia="zh-CN"/>
        </w:rPr>
        <w:t>。</w:t>
      </w:r>
    </w:p>
    <w:p w14:paraId="44151F88">
      <w:pPr>
        <w:pStyle w:val="28"/>
        <w:snapToGrid w:val="0"/>
        <w:spacing w:line="360" w:lineRule="auto"/>
        <w:jc w:val="both"/>
        <w:outlineLvl w:val="9"/>
        <w:rPr>
          <w:rFonts w:hint="eastAsia" w:ascii="仿宋" w:hAnsi="仿宋" w:eastAsia="仿宋" w:cs="仿宋"/>
          <w:b/>
          <w:bCs/>
          <w:color w:val="auto"/>
          <w:sz w:val="24"/>
          <w:szCs w:val="24"/>
          <w:highlight w:val="none"/>
          <w:lang w:val="en-US"/>
        </w:rPr>
      </w:pPr>
      <w:bookmarkStart w:id="12" w:name="_Toc26424"/>
      <w:bookmarkStart w:id="13" w:name="_Toc12701"/>
      <w:bookmarkStart w:id="14" w:name="_Toc2392"/>
      <w:r>
        <w:rPr>
          <w:rFonts w:hint="eastAsia" w:ascii="仿宋" w:hAnsi="仿宋" w:eastAsia="仿宋" w:cs="仿宋"/>
          <w:b/>
          <w:bCs/>
          <w:color w:val="auto"/>
          <w:sz w:val="24"/>
          <w:szCs w:val="24"/>
          <w:highlight w:val="none"/>
          <w:lang w:val="en-US" w:eastAsia="zh-CN"/>
        </w:rPr>
        <w:t>四、响应文件提交</w:t>
      </w:r>
      <w:bookmarkEnd w:id="12"/>
      <w:bookmarkEnd w:id="13"/>
      <w:bookmarkEnd w:id="14"/>
    </w:p>
    <w:p w14:paraId="7BED098A">
      <w:pPr>
        <w:pStyle w:val="28"/>
        <w:snapToGrid w:val="0"/>
        <w:spacing w:line="360" w:lineRule="auto"/>
        <w:ind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截止时间：2024年09月27日10:30（北京时间）</w:t>
      </w:r>
    </w:p>
    <w:p w14:paraId="463D6190">
      <w:pPr>
        <w:pStyle w:val="28"/>
        <w:snapToGrid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地点：新疆政府采购云平台（www.zcygov.cn）</w:t>
      </w:r>
    </w:p>
    <w:p w14:paraId="513A6115">
      <w:pPr>
        <w:pStyle w:val="28"/>
        <w:snapToGrid w:val="0"/>
        <w:spacing w:line="360" w:lineRule="auto"/>
        <w:jc w:val="both"/>
        <w:outlineLvl w:val="9"/>
        <w:rPr>
          <w:rFonts w:hint="eastAsia" w:ascii="仿宋" w:hAnsi="仿宋" w:eastAsia="仿宋" w:cs="仿宋"/>
          <w:b/>
          <w:bCs/>
          <w:color w:val="auto"/>
          <w:sz w:val="24"/>
          <w:szCs w:val="24"/>
          <w:highlight w:val="none"/>
          <w:lang w:val="en-US"/>
        </w:rPr>
      </w:pPr>
      <w:bookmarkStart w:id="15" w:name="_Toc28149"/>
      <w:bookmarkStart w:id="16" w:name="_Toc12079"/>
      <w:bookmarkStart w:id="17" w:name="_Toc10127"/>
      <w:r>
        <w:rPr>
          <w:rFonts w:hint="eastAsia" w:ascii="仿宋" w:hAnsi="仿宋" w:eastAsia="仿宋" w:cs="仿宋"/>
          <w:b/>
          <w:bCs/>
          <w:color w:val="auto"/>
          <w:sz w:val="24"/>
          <w:szCs w:val="24"/>
          <w:highlight w:val="none"/>
          <w:lang w:val="en-US" w:eastAsia="zh-CN"/>
        </w:rPr>
        <w:t>五、响应文件开启</w:t>
      </w:r>
      <w:bookmarkEnd w:id="15"/>
      <w:bookmarkEnd w:id="16"/>
      <w:bookmarkEnd w:id="17"/>
    </w:p>
    <w:p w14:paraId="5267876B">
      <w:pPr>
        <w:pStyle w:val="28"/>
        <w:snapToGrid w:val="0"/>
        <w:spacing w:line="360" w:lineRule="auto"/>
        <w:ind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lang w:val="en-US" w:eastAsia="zh-CN"/>
        </w:rPr>
        <w:t>2024年09月27日10:30（北京时间）</w:t>
      </w:r>
    </w:p>
    <w:p w14:paraId="21EB262F">
      <w:pPr>
        <w:pStyle w:val="28"/>
        <w:snapToGrid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地点：在新疆政府采购云平台（www.zcygov.cn）上开启投标文件</w:t>
      </w:r>
    </w:p>
    <w:p w14:paraId="7AA81D33">
      <w:pPr>
        <w:pStyle w:val="28"/>
        <w:snapToGrid w:val="0"/>
        <w:spacing w:line="360" w:lineRule="auto"/>
        <w:jc w:val="both"/>
        <w:outlineLvl w:val="9"/>
        <w:rPr>
          <w:rFonts w:hint="eastAsia" w:ascii="仿宋" w:hAnsi="仿宋" w:eastAsia="仿宋" w:cs="仿宋"/>
          <w:b/>
          <w:bCs/>
          <w:color w:val="auto"/>
          <w:sz w:val="24"/>
          <w:szCs w:val="24"/>
          <w:highlight w:val="none"/>
          <w:lang w:val="en-US"/>
        </w:rPr>
      </w:pPr>
      <w:bookmarkStart w:id="18" w:name="_Toc7109"/>
      <w:bookmarkStart w:id="19" w:name="_Toc17313"/>
      <w:bookmarkStart w:id="20" w:name="_Toc26055"/>
      <w:r>
        <w:rPr>
          <w:rFonts w:hint="eastAsia" w:ascii="仿宋" w:hAnsi="仿宋" w:eastAsia="仿宋" w:cs="仿宋"/>
          <w:b/>
          <w:bCs/>
          <w:color w:val="auto"/>
          <w:sz w:val="24"/>
          <w:szCs w:val="24"/>
          <w:highlight w:val="none"/>
          <w:lang w:val="en-US" w:eastAsia="zh-CN"/>
        </w:rPr>
        <w:t>六、公告期限</w:t>
      </w:r>
      <w:bookmarkEnd w:id="18"/>
      <w:bookmarkEnd w:id="19"/>
      <w:bookmarkEnd w:id="20"/>
    </w:p>
    <w:p w14:paraId="3450805C">
      <w:pPr>
        <w:pStyle w:val="28"/>
        <w:snapToGrid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w:t>
      </w:r>
    </w:p>
    <w:p w14:paraId="236F437A">
      <w:pPr>
        <w:pStyle w:val="28"/>
        <w:snapToGrid w:val="0"/>
        <w:spacing w:line="360" w:lineRule="auto"/>
        <w:jc w:val="both"/>
        <w:outlineLvl w:val="9"/>
        <w:rPr>
          <w:rFonts w:hint="eastAsia" w:ascii="仿宋" w:hAnsi="仿宋" w:eastAsia="仿宋" w:cs="仿宋"/>
          <w:b/>
          <w:bCs/>
          <w:color w:val="auto"/>
          <w:sz w:val="24"/>
          <w:szCs w:val="24"/>
          <w:highlight w:val="none"/>
          <w:lang w:val="en-US"/>
        </w:rPr>
      </w:pPr>
      <w:bookmarkStart w:id="21" w:name="_Toc14030"/>
      <w:bookmarkStart w:id="22" w:name="_Toc12418"/>
      <w:bookmarkStart w:id="23" w:name="_Toc856"/>
      <w:r>
        <w:rPr>
          <w:rFonts w:hint="eastAsia" w:ascii="仿宋" w:hAnsi="仿宋" w:eastAsia="仿宋" w:cs="仿宋"/>
          <w:b/>
          <w:bCs/>
          <w:color w:val="auto"/>
          <w:sz w:val="24"/>
          <w:szCs w:val="24"/>
          <w:highlight w:val="none"/>
          <w:lang w:val="en-US" w:eastAsia="zh-CN"/>
        </w:rPr>
        <w:t>七、其他补充事宜</w:t>
      </w:r>
      <w:bookmarkEnd w:id="21"/>
      <w:bookmarkEnd w:id="22"/>
      <w:bookmarkEnd w:id="23"/>
    </w:p>
    <w:p w14:paraId="6AEA3B68">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14:paraId="1E83BFE6">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14:paraId="3F0FB07F">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12DE680">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6B60C55">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14:paraId="57AD767A">
      <w:pPr>
        <w:pStyle w:val="28"/>
        <w:keepNext w:val="0"/>
        <w:keepLines w:val="0"/>
        <w:pageBreakBefore w:val="0"/>
        <w:widowControl w:val="0"/>
        <w:kinsoku/>
        <w:wordWrap/>
        <w:overflowPunct/>
        <w:topLinePunct w:val="0"/>
        <w:autoSpaceDE w:val="0"/>
        <w:autoSpaceDN w:val="0"/>
        <w:bidi w:val="0"/>
        <w:adjustRightInd w:val="0"/>
        <w:snapToGrid w:val="0"/>
        <w:spacing w:line="360" w:lineRule="auto"/>
        <w:ind w:firstLine="561"/>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51FF317">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p w14:paraId="359EB892">
      <w:pPr>
        <w:pStyle w:val="28"/>
        <w:snapToGrid w:val="0"/>
        <w:spacing w:line="360" w:lineRule="auto"/>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特别提示：</w:t>
      </w:r>
    </w:p>
    <w:p w14:paraId="35D4141C">
      <w:pPr>
        <w:pStyle w:val="28"/>
        <w:snapToGrid w:val="0"/>
        <w:spacing w:line="360" w:lineRule="auto"/>
        <w:jc w:val="both"/>
        <w:outlineLvl w:val="9"/>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184ED85E">
      <w:pPr>
        <w:pStyle w:val="28"/>
        <w:snapToGrid w:val="0"/>
        <w:spacing w:line="360" w:lineRule="auto"/>
        <w:jc w:val="both"/>
        <w:outlineLvl w:val="9"/>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2A975F23">
      <w:pPr>
        <w:pStyle w:val="28"/>
        <w:snapToGrid w:val="0"/>
        <w:spacing w:line="360" w:lineRule="auto"/>
        <w:jc w:val="both"/>
        <w:outlineLvl w:val="9"/>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3、对于未预留份额专门面向中小企业的采购项目，以及预留份额项目中的非预留部分采购包，采购人、采购代理机构应当对符合规定的小微企业报价给予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41E82D">
      <w:pPr>
        <w:pStyle w:val="28"/>
        <w:snapToGrid w:val="0"/>
        <w:spacing w:line="360" w:lineRule="auto"/>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1C5E80">
      <w:pPr>
        <w:pStyle w:val="28"/>
        <w:snapToGrid w:val="0"/>
        <w:spacing w:line="360" w:lineRule="auto"/>
        <w:jc w:val="both"/>
        <w:outlineLvl w:val="9"/>
        <w:rPr>
          <w:rFonts w:hint="eastAsia" w:ascii="仿宋" w:hAnsi="仿宋" w:eastAsia="仿宋" w:cs="仿宋"/>
          <w:b/>
          <w:bCs/>
          <w:color w:val="auto"/>
          <w:sz w:val="24"/>
          <w:szCs w:val="24"/>
          <w:highlight w:val="none"/>
        </w:rPr>
      </w:pPr>
    </w:p>
    <w:p w14:paraId="54408F3C">
      <w:pPr>
        <w:pStyle w:val="28"/>
        <w:snapToGrid w:val="0"/>
        <w:spacing w:line="360" w:lineRule="auto"/>
        <w:jc w:val="both"/>
        <w:outlineLvl w:val="9"/>
        <w:rPr>
          <w:rFonts w:hint="eastAsia" w:ascii="仿宋" w:hAnsi="仿宋" w:eastAsia="仿宋" w:cs="仿宋"/>
          <w:b/>
          <w:bCs/>
          <w:color w:val="auto"/>
          <w:sz w:val="24"/>
          <w:szCs w:val="24"/>
          <w:highlight w:val="none"/>
          <w:lang w:val="en-US" w:eastAsia="zh-CN"/>
        </w:rPr>
      </w:pPr>
      <w:bookmarkStart w:id="24" w:name="_Toc20803"/>
      <w:bookmarkStart w:id="25" w:name="_Toc24616"/>
      <w:bookmarkStart w:id="26" w:name="_Toc30431"/>
      <w:r>
        <w:rPr>
          <w:rFonts w:hint="eastAsia" w:ascii="仿宋" w:hAnsi="仿宋" w:eastAsia="仿宋" w:cs="仿宋"/>
          <w:b/>
          <w:bCs/>
          <w:color w:val="auto"/>
          <w:sz w:val="24"/>
          <w:szCs w:val="24"/>
          <w:highlight w:val="none"/>
          <w:lang w:val="en-US" w:eastAsia="zh-CN"/>
        </w:rPr>
        <w:t>八、凡对本次招标提出询问，请按以下方式联系</w:t>
      </w:r>
      <w:bookmarkEnd w:id="24"/>
      <w:bookmarkEnd w:id="25"/>
      <w:bookmarkEnd w:id="26"/>
    </w:p>
    <w:p w14:paraId="50463768">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8582ED9">
      <w:pPr>
        <w:pStyle w:val="28"/>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哈巴河县人民医院</w:t>
      </w:r>
    </w:p>
    <w:p w14:paraId="7415E93D">
      <w:pPr>
        <w:pStyle w:val="28"/>
        <w:snapToGrid w:val="0"/>
        <w:spacing w:line="360" w:lineRule="auto"/>
        <w:ind w:firstLine="56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哈巴河县过境路29号</w:t>
      </w:r>
    </w:p>
    <w:p w14:paraId="2FF9C29D">
      <w:pPr>
        <w:pStyle w:val="28"/>
        <w:snapToGrid w:val="0"/>
        <w:spacing w:line="360" w:lineRule="auto"/>
        <w:ind w:firstLine="56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王主任0906-6622535</w:t>
      </w:r>
    </w:p>
    <w:p w14:paraId="6658A259">
      <w:pPr>
        <w:pStyle w:val="28"/>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1A195C74">
      <w:pPr>
        <w:pStyle w:val="28"/>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名 称：</w:t>
      </w:r>
      <w:r>
        <w:rPr>
          <w:rFonts w:hint="eastAsia" w:ascii="仿宋" w:hAnsi="仿宋" w:eastAsia="仿宋" w:cs="仿宋"/>
          <w:color w:val="auto"/>
          <w:sz w:val="24"/>
          <w:szCs w:val="24"/>
          <w:highlight w:val="none"/>
          <w:lang w:val="en-US" w:eastAsia="zh-CN"/>
        </w:rPr>
        <w:t>新疆浩瑞兴建设工程项目管理咨询有限公司</w:t>
      </w:r>
    </w:p>
    <w:p w14:paraId="6C77AC2E">
      <w:pPr>
        <w:pStyle w:val="28"/>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地 址：</w:t>
      </w:r>
      <w:r>
        <w:rPr>
          <w:rFonts w:hint="eastAsia" w:ascii="仿宋" w:hAnsi="仿宋" w:eastAsia="仿宋" w:cs="仿宋"/>
          <w:color w:val="auto"/>
          <w:sz w:val="24"/>
          <w:szCs w:val="24"/>
          <w:highlight w:val="none"/>
          <w:lang w:val="en-US" w:eastAsia="zh-CN"/>
        </w:rPr>
        <w:t>新疆乌鲁木齐市水磨沟区安居南路鸿瑞豪庭四号楼908</w:t>
      </w:r>
    </w:p>
    <w:p w14:paraId="19C09267">
      <w:pPr>
        <w:pStyle w:val="28"/>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联系方式：</w:t>
      </w:r>
      <w:r>
        <w:rPr>
          <w:rFonts w:hint="eastAsia" w:ascii="仿宋" w:hAnsi="仿宋" w:eastAsia="仿宋" w:cs="仿宋"/>
          <w:color w:val="auto"/>
          <w:sz w:val="24"/>
          <w:szCs w:val="24"/>
          <w:highlight w:val="none"/>
          <w:lang w:val="en-US" w:eastAsia="zh-CN"/>
        </w:rPr>
        <w:t>15160968614</w:t>
      </w:r>
    </w:p>
    <w:p w14:paraId="5E47256A">
      <w:pPr>
        <w:pStyle w:val="28"/>
        <w:snapToGrid w:val="0"/>
        <w:spacing w:line="360" w:lineRule="auto"/>
        <w:ind w:firstLine="560"/>
        <w:jc w:val="both"/>
        <w:outlineLvl w:val="9"/>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3.项目联系方式</w:t>
      </w:r>
    </w:p>
    <w:p w14:paraId="04CB9685">
      <w:pPr>
        <w:pStyle w:val="28"/>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项目联系人：</w:t>
      </w:r>
      <w:r>
        <w:rPr>
          <w:rFonts w:hint="eastAsia" w:ascii="仿宋" w:hAnsi="仿宋" w:eastAsia="仿宋" w:cs="仿宋"/>
          <w:color w:val="auto"/>
          <w:sz w:val="24"/>
          <w:szCs w:val="24"/>
          <w:highlight w:val="none"/>
          <w:lang w:val="en-US" w:eastAsia="zh-CN"/>
        </w:rPr>
        <w:t>陈淑君</w:t>
      </w:r>
    </w:p>
    <w:p w14:paraId="7DA8C7D0">
      <w:pPr>
        <w:pStyle w:val="28"/>
        <w:snapToGrid w:val="0"/>
        <w:spacing w:line="360" w:lineRule="auto"/>
        <w:ind w:firstLine="560"/>
        <w:jc w:val="both"/>
        <w:outlineLvl w:val="9"/>
        <w:rPr>
          <w:rFonts w:hint="eastAsia" w:ascii="仿宋" w:hAnsi="仿宋" w:eastAsia="仿宋" w:cs="仿宋"/>
          <w:color w:val="auto"/>
          <w:sz w:val="36"/>
          <w:highlight w:val="none"/>
        </w:rPr>
      </w:pPr>
      <w:r>
        <w:rPr>
          <w:rFonts w:hint="eastAsia" w:ascii="仿宋" w:hAnsi="仿宋" w:eastAsia="仿宋" w:cs="仿宋"/>
          <w:color w:val="auto"/>
          <w:sz w:val="24"/>
          <w:szCs w:val="24"/>
          <w:highlight w:val="none"/>
          <w:lang w:val="en-US" w:eastAsia="en-US"/>
        </w:rPr>
        <w:t>电 话：</w:t>
      </w:r>
      <w:r>
        <w:rPr>
          <w:rFonts w:hint="eastAsia" w:ascii="仿宋" w:hAnsi="仿宋" w:eastAsia="仿宋" w:cs="仿宋"/>
          <w:color w:val="auto"/>
          <w:sz w:val="24"/>
          <w:szCs w:val="24"/>
          <w:highlight w:val="none"/>
          <w:lang w:val="en-US" w:eastAsia="zh-CN"/>
        </w:rPr>
        <w:t>18016878872</w:t>
      </w:r>
      <w:r>
        <w:rPr>
          <w:rFonts w:hint="eastAsia" w:ascii="仿宋" w:hAnsi="仿宋" w:eastAsia="仿宋" w:cs="仿宋"/>
          <w:color w:val="auto"/>
          <w:sz w:val="24"/>
          <w:szCs w:val="24"/>
          <w:highlight w:val="none"/>
          <w:lang w:eastAsia="zh-CN"/>
        </w:rPr>
        <w:t>、15160968614</w:t>
      </w:r>
      <w:r>
        <w:rPr>
          <w:rFonts w:hint="eastAsia" w:ascii="仿宋" w:hAnsi="仿宋" w:eastAsia="仿宋" w:cs="仿宋"/>
          <w:color w:val="auto"/>
          <w:sz w:val="36"/>
          <w:highlight w:val="none"/>
        </w:rPr>
        <w:br w:type="page"/>
      </w:r>
      <w:bookmarkStart w:id="27" w:name="_Toc31679"/>
      <w:bookmarkStart w:id="28" w:name="_Toc19966"/>
      <w:r>
        <w:rPr>
          <w:rFonts w:hint="eastAsia" w:ascii="仿宋" w:hAnsi="仿宋" w:eastAsia="仿宋" w:cs="仿宋"/>
          <w:color w:val="auto"/>
          <w:sz w:val="36"/>
          <w:highlight w:val="none"/>
          <w:lang w:val="en-US" w:eastAsia="zh-CN"/>
        </w:rPr>
        <w:t xml:space="preserve">                   </w:t>
      </w:r>
      <w:r>
        <w:rPr>
          <w:rFonts w:hint="eastAsia" w:ascii="仿宋" w:hAnsi="仿宋" w:eastAsia="仿宋" w:cs="仿宋"/>
          <w:b/>
          <w:bCs/>
          <w:color w:val="auto"/>
          <w:kern w:val="2"/>
          <w:sz w:val="36"/>
          <w:szCs w:val="32"/>
          <w:highlight w:val="none"/>
          <w:lang w:val="en-US" w:eastAsia="zh-CN" w:bidi="ar-SA"/>
        </w:rPr>
        <w:t>第二章 投标须知</w:t>
      </w:r>
      <w:bookmarkEnd w:id="4"/>
      <w:bookmarkEnd w:id="27"/>
      <w:bookmarkEnd w:id="28"/>
    </w:p>
    <w:p w14:paraId="081403FE">
      <w:pPr>
        <w:shd w:val="clear" w:color="auto" w:fill="auto"/>
        <w:snapToGrid w:val="0"/>
        <w:spacing w:line="500" w:lineRule="exact"/>
        <w:jc w:val="center"/>
        <w:outlineLvl w:val="9"/>
        <w:rPr>
          <w:rFonts w:hint="eastAsia" w:ascii="仿宋" w:hAnsi="仿宋" w:eastAsia="仿宋" w:cs="仿宋"/>
          <w:b/>
          <w:color w:val="auto"/>
          <w:sz w:val="32"/>
          <w:szCs w:val="32"/>
          <w:highlight w:val="none"/>
        </w:rPr>
      </w:pPr>
      <w:bookmarkStart w:id="29" w:name="_Toc469495722"/>
      <w:bookmarkStart w:id="30" w:name="_Toc10866"/>
      <w:r>
        <w:rPr>
          <w:rFonts w:hint="eastAsia" w:ascii="仿宋" w:hAnsi="仿宋" w:eastAsia="仿宋" w:cs="仿宋"/>
          <w:b/>
          <w:color w:val="auto"/>
          <w:sz w:val="32"/>
          <w:szCs w:val="32"/>
          <w:highlight w:val="none"/>
        </w:rPr>
        <w:t>一、投标人须知前附表</w:t>
      </w:r>
      <w:bookmarkEnd w:id="29"/>
      <w:bookmarkEnd w:id="30"/>
    </w:p>
    <w:tbl>
      <w:tblPr>
        <w:tblStyle w:val="21"/>
        <w:tblW w:w="96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40"/>
        <w:gridCol w:w="1524"/>
        <w:gridCol w:w="7607"/>
      </w:tblGrid>
      <w:tr w14:paraId="3DC1C1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540" w:type="dxa"/>
            <w:noWrap w:val="0"/>
            <w:vAlign w:val="center"/>
          </w:tcPr>
          <w:p w14:paraId="067190A2">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1524" w:type="dxa"/>
            <w:noWrap w:val="0"/>
            <w:vAlign w:val="center"/>
          </w:tcPr>
          <w:p w14:paraId="5FD0EA05">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7607" w:type="dxa"/>
            <w:noWrap w:val="0"/>
            <w:vAlign w:val="center"/>
          </w:tcPr>
          <w:p w14:paraId="4D72D9E5">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7CE3F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noWrap w:val="0"/>
            <w:vAlign w:val="center"/>
          </w:tcPr>
          <w:p w14:paraId="2863DCAB">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24" w:type="dxa"/>
            <w:noWrap w:val="0"/>
            <w:vAlign w:val="center"/>
          </w:tcPr>
          <w:p w14:paraId="121A7417">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607B2AD">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3C8DBACB">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采购内容</w:t>
            </w:r>
          </w:p>
        </w:tc>
        <w:tc>
          <w:tcPr>
            <w:tcW w:w="7607" w:type="dxa"/>
            <w:noWrap w:val="0"/>
            <w:vAlign w:val="center"/>
          </w:tcPr>
          <w:p w14:paraId="1D6B2FA5">
            <w:pPr>
              <w:widowControl/>
              <w:spacing w:line="24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rPr>
              <w:t>哈巴河县人民医院建设项目</w:t>
            </w:r>
          </w:p>
          <w:p w14:paraId="1FC3CF8E">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8"/>
                <w:szCs w:val="28"/>
                <w:highlight w:val="none"/>
                <w:lang w:val="en-US" w:eastAsia="zh-CN"/>
              </w:rPr>
              <w:t>项</w:t>
            </w:r>
            <w:r>
              <w:rPr>
                <w:rFonts w:hint="eastAsia" w:ascii="仿宋" w:hAnsi="仿宋" w:eastAsia="仿宋" w:cs="仿宋"/>
                <w:color w:val="auto"/>
                <w:sz w:val="24"/>
                <w:szCs w:val="24"/>
                <w:highlight w:val="none"/>
                <w:lang w:val="en-US" w:eastAsia="zh-CN"/>
              </w:rPr>
              <w:t>目编号：XJHRXHBHXRMYY-2024-01</w:t>
            </w:r>
          </w:p>
          <w:p w14:paraId="1808DF6B">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采购内容：详见第四章招标内容及技术要求</w:t>
            </w:r>
          </w:p>
        </w:tc>
      </w:tr>
      <w:tr w14:paraId="1028DE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540" w:type="dxa"/>
            <w:noWrap w:val="0"/>
            <w:vAlign w:val="center"/>
          </w:tcPr>
          <w:p w14:paraId="260596CE">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24" w:type="dxa"/>
            <w:noWrap w:val="0"/>
            <w:vAlign w:val="center"/>
          </w:tcPr>
          <w:p w14:paraId="7A6E36CB">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信息</w:t>
            </w:r>
          </w:p>
        </w:tc>
        <w:tc>
          <w:tcPr>
            <w:tcW w:w="7607" w:type="dxa"/>
            <w:noWrap w:val="0"/>
            <w:vAlign w:val="center"/>
          </w:tcPr>
          <w:p w14:paraId="1BDB675D">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 购 人：哈巴河县人民医院</w:t>
            </w:r>
          </w:p>
          <w:p w14:paraId="422C0491">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人：王主任</w:t>
            </w:r>
          </w:p>
          <w:p w14:paraId="07B83EB2">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联系电话：0906-6622535</w:t>
            </w:r>
          </w:p>
        </w:tc>
      </w:tr>
      <w:tr w14:paraId="087EC2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540" w:type="dxa"/>
            <w:noWrap w:val="0"/>
            <w:vAlign w:val="center"/>
          </w:tcPr>
          <w:p w14:paraId="13481276">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24" w:type="dxa"/>
            <w:noWrap w:val="0"/>
            <w:vAlign w:val="center"/>
          </w:tcPr>
          <w:p w14:paraId="52E00D88">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采购代理机构</w:t>
            </w:r>
          </w:p>
        </w:tc>
        <w:tc>
          <w:tcPr>
            <w:tcW w:w="7607" w:type="dxa"/>
            <w:noWrap w:val="0"/>
            <w:vAlign w:val="center"/>
          </w:tcPr>
          <w:p w14:paraId="3E2D7682">
            <w:pPr>
              <w:widowControl/>
              <w:spacing w:line="240" w:lineRule="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称：</w:t>
            </w:r>
            <w:r>
              <w:rPr>
                <w:rFonts w:hint="eastAsia" w:ascii="仿宋" w:hAnsi="仿宋" w:eastAsia="仿宋" w:cs="仿宋"/>
                <w:color w:val="auto"/>
                <w:sz w:val="24"/>
                <w:szCs w:val="24"/>
                <w:highlight w:val="none"/>
                <w:lang w:eastAsia="zh-CN"/>
              </w:rPr>
              <w:t>新疆浩瑞兴建设工程项目管理咨询有限公司</w:t>
            </w:r>
          </w:p>
          <w:p w14:paraId="2A622FFA">
            <w:pPr>
              <w:widowControl/>
              <w:spacing w:line="240" w:lineRule="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址：</w:t>
            </w:r>
            <w:r>
              <w:rPr>
                <w:rFonts w:hint="eastAsia" w:ascii="仿宋" w:hAnsi="仿宋" w:eastAsia="仿宋" w:cs="仿宋"/>
                <w:color w:val="auto"/>
                <w:sz w:val="24"/>
                <w:szCs w:val="24"/>
                <w:highlight w:val="none"/>
                <w:lang w:eastAsia="zh-CN"/>
              </w:rPr>
              <w:t>新疆乌鲁木齐市水磨沟区安居南路鸿瑞豪庭四号楼908</w:t>
            </w:r>
          </w:p>
          <w:p w14:paraId="43DEC772">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陈淑君</w:t>
            </w:r>
          </w:p>
          <w:p w14:paraId="3B4A8D42">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18016878872</w:t>
            </w:r>
            <w:r>
              <w:rPr>
                <w:rFonts w:hint="eastAsia" w:ascii="仿宋" w:hAnsi="仿宋" w:eastAsia="仿宋" w:cs="仿宋"/>
                <w:color w:val="auto"/>
                <w:sz w:val="24"/>
                <w:szCs w:val="24"/>
                <w:highlight w:val="none"/>
                <w:lang w:eastAsia="zh-CN"/>
              </w:rPr>
              <w:t>、15160968614</w:t>
            </w:r>
          </w:p>
        </w:tc>
      </w:tr>
      <w:tr w14:paraId="1D917B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40" w:type="dxa"/>
            <w:noWrap w:val="0"/>
            <w:vAlign w:val="center"/>
          </w:tcPr>
          <w:p w14:paraId="7B1EE421">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24" w:type="dxa"/>
            <w:noWrap w:val="0"/>
            <w:vAlign w:val="center"/>
          </w:tcPr>
          <w:p w14:paraId="3AD3A28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配送地点</w:t>
            </w:r>
          </w:p>
        </w:tc>
        <w:tc>
          <w:tcPr>
            <w:tcW w:w="7607" w:type="dxa"/>
            <w:noWrap w:val="0"/>
            <w:vAlign w:val="center"/>
          </w:tcPr>
          <w:p w14:paraId="162752F0">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哈巴河县人民医院</w:t>
            </w:r>
            <w:r>
              <w:rPr>
                <w:rFonts w:hint="eastAsia" w:ascii="仿宋" w:hAnsi="仿宋" w:eastAsia="仿宋" w:cs="仿宋"/>
                <w:color w:val="auto"/>
                <w:sz w:val="24"/>
                <w:szCs w:val="24"/>
                <w:highlight w:val="none"/>
              </w:rPr>
              <w:t>指定地点。</w:t>
            </w:r>
          </w:p>
        </w:tc>
      </w:tr>
      <w:tr w14:paraId="2842E8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40" w:type="dxa"/>
            <w:noWrap w:val="0"/>
            <w:vAlign w:val="center"/>
          </w:tcPr>
          <w:p w14:paraId="70A4577F">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524" w:type="dxa"/>
            <w:noWrap w:val="0"/>
            <w:vAlign w:val="center"/>
          </w:tcPr>
          <w:p w14:paraId="3B149E18">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供货期</w:t>
            </w:r>
          </w:p>
        </w:tc>
        <w:tc>
          <w:tcPr>
            <w:tcW w:w="7607" w:type="dxa"/>
            <w:noWrap w:val="0"/>
            <w:vAlign w:val="center"/>
          </w:tcPr>
          <w:p w14:paraId="2C374649">
            <w:pPr>
              <w:pStyle w:val="28"/>
              <w:spacing w:line="420" w:lineRule="exact"/>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自合同签订之日起按甲方通知10日内完成供货（具体以实际签订合同为准）</w:t>
            </w:r>
          </w:p>
        </w:tc>
      </w:tr>
      <w:tr w14:paraId="1BCA0D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0" w:type="dxa"/>
            <w:noWrap w:val="0"/>
            <w:vAlign w:val="center"/>
          </w:tcPr>
          <w:p w14:paraId="52137853">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524" w:type="dxa"/>
            <w:noWrap w:val="0"/>
            <w:vAlign w:val="center"/>
          </w:tcPr>
          <w:p w14:paraId="388B0DD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607" w:type="dxa"/>
            <w:noWrap w:val="0"/>
            <w:vAlign w:val="center"/>
          </w:tcPr>
          <w:p w14:paraId="32148194">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付款方式：合同签订生效后，支付首付款为合同金额的40%，供货完毕并终验合格后，支付尾款为合同金额的60%，实际按合同约定执行。</w:t>
            </w:r>
          </w:p>
        </w:tc>
      </w:tr>
      <w:tr w14:paraId="5BD96A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40" w:type="dxa"/>
            <w:noWrap w:val="0"/>
            <w:vAlign w:val="center"/>
          </w:tcPr>
          <w:p w14:paraId="4B477588">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24" w:type="dxa"/>
            <w:noWrap w:val="0"/>
            <w:vAlign w:val="center"/>
          </w:tcPr>
          <w:p w14:paraId="0E2D1098">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607" w:type="dxa"/>
            <w:noWrap w:val="0"/>
            <w:vAlign w:val="center"/>
          </w:tcPr>
          <w:p w14:paraId="4E21022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质保期三年</w:t>
            </w:r>
          </w:p>
        </w:tc>
      </w:tr>
      <w:tr w14:paraId="4BE3B7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540" w:type="dxa"/>
            <w:noWrap w:val="0"/>
            <w:vAlign w:val="center"/>
          </w:tcPr>
          <w:p w14:paraId="0E2316BA">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24" w:type="dxa"/>
            <w:noWrap w:val="0"/>
            <w:vAlign w:val="center"/>
          </w:tcPr>
          <w:p w14:paraId="0D1DB336">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7607" w:type="dxa"/>
            <w:noWrap w:val="0"/>
            <w:vAlign w:val="center"/>
          </w:tcPr>
          <w:p w14:paraId="167F34B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b/>
                <w:color w:val="auto"/>
                <w:sz w:val="24"/>
                <w:szCs w:val="24"/>
                <w:highlight w:val="none"/>
                <w:lang w:val="en-US" w:eastAsia="zh-CN"/>
              </w:rPr>
              <w:t>(本项目采用网上电子招投标)</w:t>
            </w:r>
          </w:p>
        </w:tc>
      </w:tr>
      <w:tr w14:paraId="7982B6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540" w:type="dxa"/>
            <w:noWrap w:val="0"/>
            <w:vAlign w:val="center"/>
          </w:tcPr>
          <w:p w14:paraId="1D224932">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24" w:type="dxa"/>
            <w:noWrap w:val="0"/>
            <w:vAlign w:val="center"/>
          </w:tcPr>
          <w:p w14:paraId="556057E3">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7607" w:type="dxa"/>
            <w:noWrap w:val="0"/>
            <w:vAlign w:val="top"/>
          </w:tcPr>
          <w:p w14:paraId="7F743A49">
            <w:pPr>
              <w:pStyle w:val="29"/>
              <w:spacing w:before="25" w:line="187" w:lineRule="auto"/>
              <w:ind w:left="108"/>
              <w:rPr>
                <w:rFonts w:hint="eastAsia" w:ascii="仿宋" w:hAnsi="仿宋" w:eastAsia="仿宋" w:cs="仿宋"/>
                <w:sz w:val="24"/>
                <w:szCs w:val="24"/>
              </w:rPr>
            </w:pPr>
            <w:r>
              <w:rPr>
                <w:rFonts w:hint="eastAsia" w:ascii="仿宋" w:hAnsi="仿宋" w:eastAsia="仿宋" w:cs="仿宋"/>
                <w:spacing w:val="5"/>
                <w:sz w:val="24"/>
                <w:szCs w:val="24"/>
                <w:lang w:val="en-US" w:eastAsia="zh-CN"/>
              </w:rPr>
              <w:t>1、</w:t>
            </w:r>
            <w:r>
              <w:rPr>
                <w:rFonts w:hint="eastAsia" w:ascii="仿宋" w:hAnsi="仿宋" w:eastAsia="仿宋" w:cs="仿宋"/>
                <w:color w:val="000000" w:themeColor="text1"/>
                <w:spacing w:val="-2"/>
                <w:sz w:val="24"/>
                <w:szCs w:val="24"/>
                <w:lang w:val="en-US" w:eastAsia="zh-CN"/>
                <w14:textFill>
                  <w14:solidFill>
                    <w14:schemeClr w14:val="tx1"/>
                  </w14:solidFill>
                </w14:textFill>
              </w:rPr>
              <w:t>合格有效的法人或者非法人组织营业执照</w:t>
            </w:r>
            <w:r>
              <w:rPr>
                <w:rFonts w:hint="eastAsia" w:ascii="仿宋" w:hAnsi="仿宋" w:eastAsia="仿宋" w:cs="仿宋"/>
                <w:spacing w:val="5"/>
                <w:sz w:val="24"/>
                <w:szCs w:val="24"/>
              </w:rPr>
              <w:t>；</w:t>
            </w:r>
          </w:p>
          <w:p w14:paraId="42E579EE">
            <w:pPr>
              <w:pStyle w:val="29"/>
              <w:spacing w:before="4" w:line="187" w:lineRule="auto"/>
              <w:ind w:left="108"/>
              <w:rPr>
                <w:rFonts w:hint="eastAsia" w:ascii="仿宋" w:hAnsi="仿宋" w:eastAsia="仿宋" w:cs="仿宋"/>
                <w:sz w:val="24"/>
                <w:szCs w:val="24"/>
              </w:rPr>
            </w:pPr>
            <w:r>
              <w:rPr>
                <w:rFonts w:hint="eastAsia" w:ascii="仿宋" w:hAnsi="仿宋" w:eastAsia="仿宋" w:cs="仿宋"/>
                <w:spacing w:val="8"/>
                <w:sz w:val="24"/>
                <w:szCs w:val="24"/>
                <w:lang w:val="en-US" w:eastAsia="zh-CN"/>
              </w:rPr>
              <w:t>2、</w:t>
            </w:r>
            <w:r>
              <w:rPr>
                <w:rFonts w:hint="eastAsia" w:ascii="仿宋" w:hAnsi="仿宋" w:eastAsia="仿宋" w:cs="仿宋"/>
                <w:color w:val="auto"/>
                <w:sz w:val="24"/>
                <w:szCs w:val="24"/>
                <w:highlight w:val="none"/>
              </w:rPr>
              <w:t>具有良好的商业信誉和健全的财务会计制度（由具备资质的中介机构出具的</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财务审计报告</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由基本户开户行出具的银行资信证明</w:t>
            </w:r>
            <w:r>
              <w:rPr>
                <w:rFonts w:hint="eastAsia" w:ascii="仿宋" w:hAnsi="仿宋" w:eastAsia="仿宋" w:cs="仿宋"/>
                <w:color w:val="auto"/>
                <w:sz w:val="24"/>
                <w:szCs w:val="24"/>
                <w:highlight w:val="none"/>
              </w:rPr>
              <w:t>；成立不满一年企业提供财务报表</w:t>
            </w:r>
            <w:r>
              <w:rPr>
                <w:rFonts w:hint="eastAsia" w:ascii="仿宋" w:hAnsi="仿宋" w:eastAsia="仿宋" w:cs="仿宋"/>
                <w:color w:val="auto"/>
                <w:sz w:val="24"/>
                <w:szCs w:val="24"/>
                <w:highlight w:val="none"/>
                <w:lang w:eastAsia="zh-CN"/>
              </w:rPr>
              <w:t>）</w:t>
            </w:r>
            <w:r>
              <w:rPr>
                <w:rFonts w:hint="eastAsia" w:ascii="仿宋" w:hAnsi="仿宋" w:eastAsia="仿宋" w:cs="仿宋"/>
                <w:spacing w:val="9"/>
                <w:sz w:val="24"/>
                <w:szCs w:val="24"/>
              </w:rPr>
              <w:t>；</w:t>
            </w:r>
          </w:p>
          <w:p w14:paraId="01FCA6F1">
            <w:pPr>
              <w:pStyle w:val="29"/>
              <w:spacing w:before="6" w:line="187" w:lineRule="auto"/>
              <w:ind w:left="108"/>
              <w:rPr>
                <w:rFonts w:hint="eastAsia" w:ascii="仿宋" w:hAnsi="仿宋" w:eastAsia="仿宋" w:cs="仿宋"/>
                <w:sz w:val="24"/>
                <w:szCs w:val="24"/>
              </w:rPr>
            </w:pPr>
            <w:r>
              <w:rPr>
                <w:rFonts w:hint="eastAsia" w:ascii="仿宋" w:hAnsi="仿宋" w:eastAsia="仿宋" w:cs="仿宋"/>
                <w:spacing w:val="7"/>
                <w:sz w:val="24"/>
                <w:szCs w:val="24"/>
                <w:lang w:val="en-US" w:eastAsia="zh-CN"/>
              </w:rPr>
              <w:t>3、</w:t>
            </w:r>
            <w:r>
              <w:rPr>
                <w:rFonts w:hint="eastAsia" w:ascii="仿宋" w:hAnsi="仿宋" w:eastAsia="仿宋" w:cs="仿宋"/>
                <w:spacing w:val="7"/>
                <w:sz w:val="24"/>
                <w:szCs w:val="24"/>
              </w:rPr>
              <w:t>具有履行合同所必需的设备和专业技术能力；</w:t>
            </w:r>
          </w:p>
          <w:p w14:paraId="249E0064">
            <w:pPr>
              <w:pStyle w:val="29"/>
              <w:spacing w:before="6" w:line="208" w:lineRule="auto"/>
              <w:ind w:left="119" w:right="106" w:hanging="11"/>
              <w:rPr>
                <w:rFonts w:hint="eastAsia" w:ascii="仿宋" w:hAnsi="仿宋" w:eastAsia="仿宋" w:cs="仿宋"/>
                <w:sz w:val="24"/>
                <w:szCs w:val="24"/>
              </w:rPr>
            </w:pPr>
            <w:r>
              <w:rPr>
                <w:rFonts w:hint="eastAsia" w:ascii="仿宋" w:hAnsi="仿宋" w:eastAsia="仿宋" w:cs="仿宋"/>
                <w:spacing w:val="9"/>
                <w:sz w:val="24"/>
                <w:szCs w:val="24"/>
                <w:lang w:val="en-US" w:eastAsia="zh-CN"/>
              </w:rPr>
              <w:t>4、</w:t>
            </w:r>
            <w:r>
              <w:rPr>
                <w:rFonts w:hint="eastAsia" w:ascii="仿宋" w:hAnsi="仿宋" w:eastAsia="仿宋" w:cs="仿宋"/>
                <w:color w:val="auto"/>
                <w:sz w:val="24"/>
                <w:szCs w:val="24"/>
                <w:highlight w:val="none"/>
              </w:rPr>
              <w:t>有依法缴纳税收和社会保障资金的良好记录（近</w:t>
            </w:r>
            <w:r>
              <w:rPr>
                <w:rFonts w:hint="eastAsia" w:ascii="仿宋" w:hAnsi="仿宋" w:eastAsia="仿宋" w:cs="仿宋"/>
                <w:color w:val="auto"/>
                <w:sz w:val="24"/>
                <w:szCs w:val="24"/>
                <w:highlight w:val="none"/>
                <w:lang w:val="en-US" w:eastAsia="zh-CN"/>
              </w:rPr>
              <w:t>六个月</w:t>
            </w:r>
            <w:r>
              <w:rPr>
                <w:rFonts w:hint="eastAsia" w:cs="仿宋"/>
                <w:color w:val="auto"/>
                <w:sz w:val="24"/>
                <w:szCs w:val="24"/>
                <w:highlight w:val="none"/>
                <w:lang w:val="en-US" w:eastAsia="zh-CN"/>
              </w:rPr>
              <w:t>任意一个月的</w:t>
            </w:r>
            <w:r>
              <w:rPr>
                <w:rFonts w:hint="eastAsia" w:ascii="仿宋" w:hAnsi="仿宋" w:eastAsia="仿宋" w:cs="仿宋"/>
                <w:color w:val="auto"/>
                <w:sz w:val="24"/>
                <w:szCs w:val="24"/>
                <w:highlight w:val="none"/>
              </w:rPr>
              <w:t>缴纳税收和社保的相关证明材料）</w:t>
            </w:r>
            <w:r>
              <w:rPr>
                <w:rFonts w:hint="eastAsia" w:ascii="仿宋" w:hAnsi="仿宋" w:eastAsia="仿宋" w:cs="仿宋"/>
                <w:spacing w:val="7"/>
                <w:sz w:val="24"/>
                <w:szCs w:val="24"/>
              </w:rPr>
              <w:t>；</w:t>
            </w:r>
          </w:p>
          <w:p w14:paraId="348A29FD">
            <w:pPr>
              <w:pStyle w:val="29"/>
              <w:spacing w:before="26" w:line="187" w:lineRule="auto"/>
              <w:ind w:left="108"/>
              <w:rPr>
                <w:rFonts w:hint="eastAsia" w:ascii="仿宋" w:hAnsi="仿宋" w:eastAsia="仿宋" w:cs="仿宋"/>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参加政府采购活动前三年内，在经营活动中没有重</w:t>
            </w:r>
            <w:r>
              <w:rPr>
                <w:rFonts w:hint="eastAsia" w:ascii="仿宋" w:hAnsi="仿宋" w:eastAsia="仿宋" w:cs="仿宋"/>
                <w:spacing w:val="7"/>
                <w:sz w:val="24"/>
                <w:szCs w:val="24"/>
              </w:rPr>
              <w:t>大违法记录；</w:t>
            </w:r>
          </w:p>
          <w:p w14:paraId="6465212E">
            <w:pPr>
              <w:pStyle w:val="29"/>
              <w:spacing w:before="27" w:line="246" w:lineRule="auto"/>
              <w:ind w:left="119" w:right="106"/>
              <w:jc w:val="both"/>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6、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47140377">
            <w:pPr>
              <w:pStyle w:val="29"/>
              <w:spacing w:before="26" w:line="238" w:lineRule="auto"/>
              <w:ind w:left="119" w:right="104" w:hanging="11"/>
              <w:rPr>
                <w:rFonts w:hint="eastAsia" w:ascii="仿宋" w:hAnsi="仿宋" w:eastAsia="仿宋" w:cs="仿宋"/>
                <w:sz w:val="24"/>
                <w:szCs w:val="24"/>
              </w:rPr>
            </w:pPr>
            <w:r>
              <w:rPr>
                <w:rFonts w:hint="eastAsia" w:ascii="仿宋" w:hAnsi="仿宋" w:eastAsia="仿宋" w:cs="仿宋"/>
                <w:spacing w:val="9"/>
                <w:sz w:val="24"/>
                <w:szCs w:val="24"/>
                <w:lang w:val="en-US" w:eastAsia="zh-CN"/>
              </w:rPr>
              <w:t>7、</w:t>
            </w:r>
            <w:r>
              <w:rPr>
                <w:rFonts w:hint="eastAsia" w:ascii="仿宋" w:hAnsi="仿宋" w:eastAsia="仿宋" w:cs="仿宋"/>
                <w:color w:val="auto"/>
                <w:sz w:val="24"/>
                <w:szCs w:val="24"/>
                <w:highlight w:val="none"/>
                <w:lang w:val="en-US" w:eastAsia="zh-CN"/>
              </w:rPr>
              <w:t>法人</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val="en-US" w:eastAsia="zh-CN"/>
              </w:rPr>
              <w:t>或法定代表人证明文件</w:t>
            </w:r>
            <w:r>
              <w:rPr>
                <w:rFonts w:hint="eastAsia" w:ascii="仿宋" w:hAnsi="仿宋" w:eastAsia="仿宋" w:cs="仿宋"/>
                <w:spacing w:val="4"/>
                <w:sz w:val="24"/>
                <w:szCs w:val="24"/>
              </w:rPr>
              <w:t>；</w:t>
            </w:r>
          </w:p>
          <w:p w14:paraId="2DB1E8B4">
            <w:pPr>
              <w:pStyle w:val="29"/>
              <w:spacing w:before="27" w:line="244" w:lineRule="auto"/>
              <w:ind w:left="121" w:right="39" w:hanging="6"/>
              <w:rPr>
                <w:rFonts w:hint="eastAsia" w:ascii="仿宋" w:hAnsi="仿宋" w:eastAsia="仿宋" w:cs="仿宋"/>
                <w:sz w:val="24"/>
                <w:szCs w:val="24"/>
              </w:rPr>
            </w:pP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rPr>
              <w:t>未被列入“信用中国”网站中的“失信被执</w:t>
            </w:r>
            <w:r>
              <w:rPr>
                <w:rFonts w:hint="eastAsia" w:ascii="仿宋" w:hAnsi="仿宋" w:eastAsia="仿宋" w:cs="仿宋"/>
                <w:spacing w:val="2"/>
                <w:sz w:val="24"/>
                <w:szCs w:val="24"/>
              </w:rPr>
              <w:t>行名单”、“重大税收违法失信主体”其中之一，</w:t>
            </w:r>
            <w:r>
              <w:rPr>
                <w:rFonts w:hint="eastAsia" w:ascii="仿宋" w:hAnsi="仿宋" w:eastAsia="仿宋" w:cs="仿宋"/>
                <w:sz w:val="24"/>
                <w:szCs w:val="24"/>
              </w:rPr>
              <w:t xml:space="preserve"> </w:t>
            </w:r>
            <w:r>
              <w:rPr>
                <w:rFonts w:hint="eastAsia" w:ascii="仿宋" w:hAnsi="仿宋" w:eastAsia="仿宋" w:cs="仿宋"/>
                <w:spacing w:val="5"/>
                <w:sz w:val="24"/>
                <w:szCs w:val="24"/>
              </w:rPr>
              <w:t>未被列入“</w:t>
            </w:r>
            <w:r>
              <w:rPr>
                <w:rFonts w:hint="eastAsia" w:ascii="仿宋" w:hAnsi="仿宋" w:eastAsia="仿宋" w:cs="仿宋"/>
                <w:sz w:val="24"/>
                <w:szCs w:val="24"/>
              </w:rPr>
              <w:t xml:space="preserve"> </w:t>
            </w:r>
            <w:r>
              <w:rPr>
                <w:rFonts w:hint="eastAsia" w:ascii="仿宋" w:hAnsi="仿宋" w:eastAsia="仿宋" w:cs="仿宋"/>
                <w:spacing w:val="5"/>
                <w:sz w:val="24"/>
                <w:szCs w:val="24"/>
              </w:rPr>
              <w:t>中国政府采购网”</w:t>
            </w:r>
            <w:r>
              <w:rPr>
                <w:rFonts w:hint="eastAsia" w:ascii="仿宋" w:hAnsi="仿宋" w:eastAsia="仿宋" w:cs="仿宋"/>
                <w:spacing w:val="-9"/>
                <w:sz w:val="24"/>
                <w:szCs w:val="24"/>
              </w:rPr>
              <w:t xml:space="preserve"> </w:t>
            </w:r>
            <w:r>
              <w:rPr>
                <w:rFonts w:hint="eastAsia" w:ascii="仿宋" w:hAnsi="仿宋" w:eastAsia="仿宋" w:cs="仿宋"/>
                <w:spacing w:val="5"/>
                <w:sz w:val="24"/>
                <w:szCs w:val="24"/>
              </w:rPr>
              <w:t>中的“</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政府采购严重违法失信行为记录名单”</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，否则将被拒绝</w:t>
            </w:r>
            <w:r>
              <w:rPr>
                <w:rFonts w:hint="eastAsia" w:ascii="仿宋" w:hAnsi="仿宋" w:eastAsia="仿宋" w:cs="仿宋"/>
                <w:spacing w:val="3"/>
                <w:sz w:val="24"/>
                <w:szCs w:val="24"/>
              </w:rPr>
              <w:t>参与本次政府采购活动；</w:t>
            </w:r>
          </w:p>
          <w:p w14:paraId="0F9D3F38">
            <w:pPr>
              <w:pStyle w:val="29"/>
              <w:spacing w:before="23"/>
              <w:ind w:left="120" w:right="106" w:hanging="6"/>
              <w:rPr>
                <w:rFonts w:hint="eastAsia" w:ascii="仿宋" w:hAnsi="仿宋" w:eastAsia="仿宋" w:cs="仿宋"/>
                <w:sz w:val="24"/>
                <w:szCs w:val="24"/>
              </w:rPr>
            </w:pPr>
            <w:r>
              <w:rPr>
                <w:rFonts w:hint="eastAsia" w:ascii="仿宋" w:hAnsi="仿宋" w:eastAsia="仿宋" w:cs="仿宋"/>
                <w:spacing w:val="9"/>
                <w:sz w:val="24"/>
                <w:szCs w:val="24"/>
                <w:lang w:val="en-US" w:eastAsia="zh-CN"/>
              </w:rPr>
              <w:t>9、</w:t>
            </w:r>
            <w:r>
              <w:rPr>
                <w:rFonts w:hint="eastAsia" w:ascii="仿宋" w:hAnsi="仿宋" w:eastAsia="仿宋" w:cs="仿宋"/>
                <w:spacing w:val="9"/>
                <w:sz w:val="24"/>
                <w:szCs w:val="24"/>
              </w:rPr>
              <w:t>单位负责人为同一人或者存在直接控股、管理关系的不同投标人，不得参</w:t>
            </w:r>
            <w:r>
              <w:rPr>
                <w:rFonts w:hint="eastAsia" w:ascii="仿宋" w:hAnsi="仿宋" w:eastAsia="仿宋" w:cs="仿宋"/>
                <w:spacing w:val="8"/>
                <w:sz w:val="24"/>
                <w:szCs w:val="24"/>
              </w:rPr>
              <w:t>加同一合同</w:t>
            </w:r>
            <w:r>
              <w:rPr>
                <w:rFonts w:hint="eastAsia" w:ascii="仿宋" w:hAnsi="仿宋" w:eastAsia="仿宋" w:cs="仿宋"/>
                <w:spacing w:val="4"/>
                <w:sz w:val="24"/>
                <w:szCs w:val="24"/>
              </w:rPr>
              <w:t>项下的政府采购活动。</w:t>
            </w:r>
          </w:p>
          <w:p w14:paraId="2F732C7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pacing w:val="6"/>
                <w:sz w:val="24"/>
                <w:szCs w:val="24"/>
                <w:lang w:val="en-US" w:eastAsia="zh-CN"/>
              </w:rPr>
              <w:t>10、</w:t>
            </w:r>
            <w:r>
              <w:rPr>
                <w:rFonts w:hint="eastAsia" w:ascii="仿宋" w:hAnsi="仿宋" w:eastAsia="仿宋" w:cs="仿宋"/>
                <w:spacing w:val="6"/>
                <w:sz w:val="24"/>
                <w:szCs w:val="24"/>
              </w:rPr>
              <w:t>本项目不允许联合体投标。</w:t>
            </w:r>
          </w:p>
        </w:tc>
      </w:tr>
      <w:tr w14:paraId="304A2C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540" w:type="dxa"/>
            <w:noWrap w:val="0"/>
            <w:vAlign w:val="center"/>
          </w:tcPr>
          <w:p w14:paraId="0F97E95A">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24" w:type="dxa"/>
            <w:noWrap w:val="0"/>
            <w:vAlign w:val="center"/>
          </w:tcPr>
          <w:p w14:paraId="7AFD3C11">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7607" w:type="dxa"/>
            <w:noWrap w:val="0"/>
            <w:vAlign w:val="center"/>
          </w:tcPr>
          <w:p w14:paraId="6BCE9B7C">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14:paraId="51A33992">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2、截止时点：开标后评标前。</w:t>
            </w:r>
          </w:p>
          <w:p w14:paraId="15C3D01B">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14:paraId="6FBEB7FE">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9683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5B7CB068">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24" w:type="dxa"/>
            <w:noWrap w:val="0"/>
            <w:vAlign w:val="center"/>
          </w:tcPr>
          <w:p w14:paraId="60DBB3A1">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7607" w:type="dxa"/>
            <w:noWrap w:val="0"/>
            <w:vAlign w:val="center"/>
          </w:tcPr>
          <w:p w14:paraId="657286C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14:paraId="2038CE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207727B5">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24" w:type="dxa"/>
            <w:noWrap w:val="0"/>
            <w:vAlign w:val="center"/>
          </w:tcPr>
          <w:p w14:paraId="19F98DDF">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7607" w:type="dxa"/>
            <w:noWrap w:val="0"/>
            <w:vAlign w:val="center"/>
          </w:tcPr>
          <w:p w14:paraId="012553D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14:paraId="234C2C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0" w:type="dxa"/>
            <w:noWrap w:val="0"/>
            <w:vAlign w:val="center"/>
          </w:tcPr>
          <w:p w14:paraId="087E3D2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24" w:type="dxa"/>
            <w:noWrap w:val="0"/>
            <w:vAlign w:val="center"/>
          </w:tcPr>
          <w:p w14:paraId="7DA1750C">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7607" w:type="dxa"/>
            <w:noWrap w:val="0"/>
            <w:vAlign w:val="center"/>
          </w:tcPr>
          <w:p w14:paraId="29C8A7D7">
            <w:pPr>
              <w:keepNext w:val="0"/>
              <w:keepLines w:val="0"/>
              <w:pageBreakBefore w:val="0"/>
              <w:shd w:val="clear" w:color="auto" w:fill="auto"/>
              <w:kinsoku/>
              <w:wordWrap/>
              <w:overflowPunct/>
              <w:topLinePunct w:val="0"/>
              <w:autoSpaceDE/>
              <w:autoSpaceDN/>
              <w:bidi w:val="0"/>
              <w:adjustRightInd/>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不接受</w:t>
            </w:r>
          </w:p>
          <w:p w14:paraId="213E541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接受，联合体投标的须在投标文件中提供联合体协议书，联合体所有成员不得超过2家，联合体的任何一方均不得再与其他投标单位联合。</w:t>
            </w:r>
          </w:p>
        </w:tc>
      </w:tr>
      <w:tr w14:paraId="23B8B8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540" w:type="dxa"/>
            <w:noWrap w:val="0"/>
            <w:vAlign w:val="center"/>
          </w:tcPr>
          <w:p w14:paraId="6961CF7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24" w:type="dxa"/>
            <w:noWrap w:val="0"/>
            <w:vAlign w:val="center"/>
          </w:tcPr>
          <w:p w14:paraId="1B709A7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7607" w:type="dxa"/>
            <w:noWrap w:val="0"/>
            <w:vAlign w:val="center"/>
          </w:tcPr>
          <w:p w14:paraId="0A2D58A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单位在领取本项目</w:t>
            </w:r>
            <w:r>
              <w:rPr>
                <w:rFonts w:hint="eastAsia" w:ascii="仿宋" w:hAnsi="仿宋" w:eastAsia="仿宋" w:cs="仿宋"/>
                <w:b/>
                <w:bCs/>
                <w:snapToGrid w:val="0"/>
                <w:color w:val="auto"/>
                <w:sz w:val="24"/>
                <w:szCs w:val="24"/>
                <w:highlight w:val="none"/>
                <w:lang w:val="en-US" w:eastAsia="zh-CN"/>
              </w:rPr>
              <w:t>中标</w:t>
            </w:r>
            <w:r>
              <w:rPr>
                <w:rFonts w:hint="eastAsia" w:ascii="仿宋" w:hAnsi="仿宋" w:eastAsia="仿宋" w:cs="仿宋"/>
                <w:b/>
                <w:bCs/>
                <w:snapToGrid w:val="0"/>
                <w:color w:val="auto"/>
                <w:sz w:val="24"/>
                <w:szCs w:val="24"/>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单位向招标代理机构支付本项目代理费。</w:t>
            </w:r>
          </w:p>
        </w:tc>
      </w:tr>
      <w:tr w14:paraId="681E8D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540" w:type="dxa"/>
            <w:noWrap w:val="0"/>
            <w:vAlign w:val="center"/>
          </w:tcPr>
          <w:p w14:paraId="56E79F2A">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24" w:type="dxa"/>
            <w:noWrap w:val="0"/>
            <w:vAlign w:val="center"/>
          </w:tcPr>
          <w:p w14:paraId="56FB406C">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w:t>
            </w:r>
          </w:p>
        </w:tc>
        <w:tc>
          <w:tcPr>
            <w:tcW w:w="7607" w:type="dxa"/>
            <w:noWrap w:val="0"/>
            <w:vAlign w:val="center"/>
          </w:tcPr>
          <w:p w14:paraId="1D9E4A93">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详见第四章招标内容及技术要求</w:t>
            </w:r>
          </w:p>
        </w:tc>
      </w:tr>
      <w:tr w14:paraId="084EFC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59BD01B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24" w:type="dxa"/>
            <w:noWrap w:val="0"/>
            <w:vAlign w:val="center"/>
          </w:tcPr>
          <w:p w14:paraId="3CC893D6">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7607" w:type="dxa"/>
            <w:noWrap w:val="0"/>
            <w:vAlign w:val="center"/>
          </w:tcPr>
          <w:p w14:paraId="4A7A79D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90 </w:t>
            </w:r>
            <w:r>
              <w:rPr>
                <w:rFonts w:hint="eastAsia" w:ascii="仿宋" w:hAnsi="仿宋" w:eastAsia="仿宋" w:cs="仿宋"/>
                <w:color w:val="auto"/>
                <w:sz w:val="24"/>
                <w:szCs w:val="24"/>
                <w:highlight w:val="none"/>
                <w:lang w:val="en-US" w:eastAsia="zh-CN"/>
              </w:rPr>
              <w:t>日历天（从投标截止之日算起）。在此期限内，凡符合本采购文件要求的投标文件均保持有效。</w:t>
            </w:r>
          </w:p>
        </w:tc>
      </w:tr>
      <w:tr w14:paraId="4D333E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540" w:type="dxa"/>
            <w:noWrap w:val="0"/>
            <w:vAlign w:val="center"/>
          </w:tcPr>
          <w:p w14:paraId="57201584">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24" w:type="dxa"/>
            <w:tcBorders>
              <w:bottom w:val="single" w:color="auto" w:sz="4" w:space="0"/>
            </w:tcBorders>
            <w:noWrap w:val="0"/>
            <w:vAlign w:val="center"/>
          </w:tcPr>
          <w:p w14:paraId="6E9C70C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607" w:type="dxa"/>
            <w:tcBorders>
              <w:bottom w:val="single" w:color="auto" w:sz="4" w:space="0"/>
            </w:tcBorders>
            <w:noWrap w:val="0"/>
            <w:vAlign w:val="top"/>
          </w:tcPr>
          <w:p w14:paraId="585EC4C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kern w:val="2"/>
                <w:sz w:val="24"/>
                <w:szCs w:val="24"/>
                <w:highlight w:val="none"/>
                <w:lang w:val="en-US" w:eastAsia="zh-CN" w:bidi="ar-SA"/>
              </w:rPr>
              <w:t>以支票、汇票、本票或者金融机构、担保机构出具的保函等形式提交。</w:t>
            </w:r>
          </w:p>
          <w:p w14:paraId="1870317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lang w:val="en-US" w:eastAsia="zh-CN"/>
              </w:rPr>
            </w:pPr>
            <w:r>
              <w:rPr>
                <w:rFonts w:hint="eastAsia" w:ascii="仿宋" w:hAnsi="仿宋" w:eastAsia="仿宋" w:cs="仿宋"/>
                <w:b/>
                <w:bCs/>
                <w:color w:val="auto"/>
                <w:sz w:val="24"/>
                <w:szCs w:val="24"/>
                <w:highlight w:val="none"/>
                <w:lang w:val="en-US" w:eastAsia="zh-CN"/>
              </w:rPr>
              <w:t>投标保证金：100000.00元(大写：壹拾万元整）</w:t>
            </w:r>
          </w:p>
          <w:p w14:paraId="7B9CF31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须以网银转账的形式由供应商的基本账户账户汇出，须于</w:t>
            </w:r>
            <w:r>
              <w:rPr>
                <w:rFonts w:hint="eastAsia" w:ascii="仿宋" w:hAnsi="仿宋" w:eastAsia="仿宋" w:cs="仿宋"/>
                <w:color w:val="auto"/>
                <w:sz w:val="24"/>
                <w:szCs w:val="24"/>
                <w:highlight w:val="none"/>
                <w:lang w:val="en-US" w:eastAsia="zh-CN"/>
              </w:rPr>
              <w:t>2024年09月26日18:00</w:t>
            </w:r>
            <w:r>
              <w:rPr>
                <w:rFonts w:hint="eastAsia" w:ascii="仿宋" w:hAnsi="仿宋" w:eastAsia="仿宋" w:cs="仿宋"/>
                <w:color w:val="auto"/>
                <w:sz w:val="24"/>
                <w:szCs w:val="24"/>
                <w:highlight w:val="none"/>
              </w:rPr>
              <w:t>前递交至招标代理机构指定账户，公示期结束后予以退还。</w:t>
            </w:r>
          </w:p>
          <w:p w14:paraId="58E51F0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账户名：新疆浩瑞兴建设工程项目管理咨询有限公司乌鲁木齐分公司</w:t>
            </w:r>
          </w:p>
          <w:p w14:paraId="50F7997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乌鲁木齐银行股份有限公司东方支行</w:t>
            </w:r>
          </w:p>
          <w:p w14:paraId="62A1059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eastAsia="zh-CN"/>
              </w:rPr>
              <w:t>0000020080110079596717</w:t>
            </w:r>
          </w:p>
          <w:p w14:paraId="75F3061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行  号：</w:t>
            </w:r>
            <w:r>
              <w:rPr>
                <w:rFonts w:hint="eastAsia" w:ascii="仿宋" w:hAnsi="仿宋" w:eastAsia="仿宋" w:cs="仿宋"/>
                <w:color w:val="auto"/>
                <w:sz w:val="24"/>
                <w:szCs w:val="24"/>
                <w:highlight w:val="none"/>
                <w:lang w:eastAsia="zh-CN"/>
              </w:rPr>
              <w:t>313881000512</w:t>
            </w:r>
          </w:p>
          <w:p w14:paraId="410735C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备注：请投标人在汇款时务必注明所投标项目的招标编号、标项及用途，否则，因款项用途不明导致投标无效等后果由投标人自行承担。</w:t>
            </w:r>
          </w:p>
        </w:tc>
      </w:tr>
      <w:tr w14:paraId="0B497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40" w:type="dxa"/>
            <w:noWrap w:val="0"/>
            <w:vAlign w:val="center"/>
          </w:tcPr>
          <w:p w14:paraId="463B018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24" w:type="dxa"/>
            <w:noWrap w:val="0"/>
            <w:vAlign w:val="center"/>
          </w:tcPr>
          <w:p w14:paraId="5E81D81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7607" w:type="dxa"/>
            <w:noWrap w:val="0"/>
            <w:vAlign w:val="center"/>
          </w:tcPr>
          <w:p w14:paraId="44FB601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14:paraId="33ED314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14:paraId="4DF2406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53A1D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536F0E7F">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524" w:type="dxa"/>
            <w:noWrap w:val="0"/>
            <w:vAlign w:val="center"/>
          </w:tcPr>
          <w:p w14:paraId="5DD92A8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607" w:type="dxa"/>
            <w:noWrap w:val="0"/>
            <w:vAlign w:val="center"/>
          </w:tcPr>
          <w:p w14:paraId="4FB24E5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7EF1541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2、每份电子投标文件应包括资格证明文件和商务及技术文件两部分。</w:t>
            </w:r>
          </w:p>
        </w:tc>
      </w:tr>
      <w:tr w14:paraId="1FC01E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540" w:type="dxa"/>
            <w:noWrap w:val="0"/>
            <w:vAlign w:val="center"/>
          </w:tcPr>
          <w:p w14:paraId="73257F38">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524" w:type="dxa"/>
            <w:noWrap w:val="0"/>
            <w:vAlign w:val="center"/>
          </w:tcPr>
          <w:p w14:paraId="77610CCD">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bidi="zh-CN"/>
              </w:rPr>
              <w:t>投标文件的上传</w:t>
            </w:r>
          </w:p>
        </w:tc>
        <w:tc>
          <w:tcPr>
            <w:tcW w:w="7607" w:type="dxa"/>
            <w:noWrap w:val="0"/>
            <w:vAlign w:val="center"/>
          </w:tcPr>
          <w:p w14:paraId="4B0E0BE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u w:val="single" w:color="auto"/>
                <w:lang w:val="en-US" w:eastAsia="zh-CN"/>
              </w:rPr>
            </w:pPr>
            <w:r>
              <w:rPr>
                <w:rFonts w:hint="eastAsia" w:ascii="仿宋" w:hAnsi="仿宋" w:eastAsia="仿宋" w:cs="仿宋"/>
                <w:color w:val="auto"/>
                <w:sz w:val="24"/>
                <w:szCs w:val="24"/>
                <w:highlight w:val="none"/>
                <w:lang w:val="en-US" w:eastAsia="zh-CN"/>
              </w:rPr>
              <w:t>电子加密投标文件：投标文件制作完成并生成加密标书，在投标截止时间前，供应商需将加密的投标文件上传至政采云平台，</w:t>
            </w:r>
            <w:r>
              <w:rPr>
                <w:rFonts w:hint="eastAsia" w:ascii="仿宋" w:hAnsi="仿宋" w:eastAsia="仿宋" w:cs="仿宋"/>
                <w:b/>
                <w:bCs/>
                <w:color w:val="auto"/>
                <w:sz w:val="24"/>
                <w:szCs w:val="24"/>
                <w:highlight w:val="none"/>
                <w:u w:val="single" w:color="auto"/>
                <w:lang w:val="en-US" w:eastAsia="zh-CN"/>
              </w:rPr>
              <w:t>在开标时间开始后，待采购组织机构发出解密通知后30分钟内解密投标文件。</w:t>
            </w:r>
          </w:p>
          <w:p w14:paraId="683C731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a.供应商未能在投标截止时间前成功上传电子加密投标文件的投标无效。</w:t>
            </w:r>
          </w:p>
          <w:p w14:paraId="3E67A29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b.供应商成功上传电子加密投标文件后，可自行打印投标文件接收回执。</w:t>
            </w:r>
          </w:p>
        </w:tc>
      </w:tr>
      <w:tr w14:paraId="6C0ABD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540" w:type="dxa"/>
            <w:noWrap w:val="0"/>
            <w:vAlign w:val="center"/>
          </w:tcPr>
          <w:p w14:paraId="3218829D">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524" w:type="dxa"/>
            <w:noWrap w:val="0"/>
            <w:vAlign w:val="center"/>
          </w:tcPr>
          <w:p w14:paraId="18B5DBD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时间及地点</w:t>
            </w:r>
          </w:p>
        </w:tc>
        <w:tc>
          <w:tcPr>
            <w:tcW w:w="7607" w:type="dxa"/>
            <w:noWrap w:val="0"/>
            <w:vAlign w:val="center"/>
          </w:tcPr>
          <w:p w14:paraId="4F3C91F3">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投标截止</w:t>
            </w:r>
            <w:r>
              <w:rPr>
                <w:rFonts w:hint="eastAsia" w:ascii="仿宋" w:hAnsi="仿宋" w:eastAsia="仿宋" w:cs="仿宋"/>
                <w:b/>
                <w:bCs/>
                <w:color w:val="auto"/>
                <w:sz w:val="24"/>
                <w:szCs w:val="24"/>
                <w:highlight w:val="none"/>
              </w:rPr>
              <w:t>时间：</w:t>
            </w:r>
            <w:r>
              <w:rPr>
                <w:rFonts w:hint="eastAsia" w:ascii="仿宋" w:hAnsi="仿宋" w:eastAsia="仿宋" w:cs="仿宋"/>
                <w:color w:val="auto"/>
                <w:sz w:val="24"/>
                <w:szCs w:val="24"/>
                <w:highlight w:val="none"/>
                <w:lang w:val="en-US" w:eastAsia="zh-CN"/>
              </w:rPr>
              <w:t>2024年09月27日10:30（北京时间）</w:t>
            </w:r>
          </w:p>
          <w:p w14:paraId="058D54C9">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14:paraId="5799A0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2BF63612">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524" w:type="dxa"/>
            <w:noWrap w:val="0"/>
            <w:vAlign w:val="center"/>
          </w:tcPr>
          <w:p w14:paraId="653DEC5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7607" w:type="dxa"/>
            <w:noWrap w:val="0"/>
            <w:vAlign w:val="center"/>
          </w:tcPr>
          <w:p w14:paraId="3265E606">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开标时间：同投标截止时间</w:t>
            </w:r>
          </w:p>
          <w:p w14:paraId="68586831">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开标地点：在</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政府采购云平台（www.zcygov.cn）上开启投标文件</w:t>
            </w:r>
          </w:p>
        </w:tc>
      </w:tr>
      <w:tr w14:paraId="177685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40" w:type="dxa"/>
            <w:noWrap w:val="0"/>
            <w:vAlign w:val="center"/>
          </w:tcPr>
          <w:p w14:paraId="75299155">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524" w:type="dxa"/>
            <w:noWrap w:val="0"/>
            <w:vAlign w:val="center"/>
          </w:tcPr>
          <w:p w14:paraId="3A1BC898">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7607" w:type="dxa"/>
            <w:noWrap w:val="0"/>
            <w:vAlign w:val="center"/>
          </w:tcPr>
          <w:p w14:paraId="6AFDFC47">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p w14:paraId="57C77F27">
            <w:pPr>
              <w:pStyle w:val="1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评标委员会构成：5人</w:t>
            </w:r>
          </w:p>
        </w:tc>
      </w:tr>
      <w:tr w14:paraId="7BAF54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40" w:type="dxa"/>
            <w:noWrap w:val="0"/>
            <w:vAlign w:val="center"/>
          </w:tcPr>
          <w:p w14:paraId="79EFDE1A">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524" w:type="dxa"/>
            <w:noWrap w:val="0"/>
            <w:vAlign w:val="center"/>
          </w:tcPr>
          <w:p w14:paraId="55F37D8A">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7607" w:type="dxa"/>
            <w:noWrap w:val="0"/>
            <w:vAlign w:val="center"/>
          </w:tcPr>
          <w:p w14:paraId="7F176873">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是，评标委员会推荐3名中标候选人。</w:t>
            </w:r>
          </w:p>
        </w:tc>
      </w:tr>
      <w:tr w14:paraId="635FB4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40" w:type="dxa"/>
            <w:noWrap w:val="0"/>
            <w:vAlign w:val="center"/>
          </w:tcPr>
          <w:p w14:paraId="1134E9C6">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524" w:type="dxa"/>
            <w:noWrap w:val="0"/>
            <w:vAlign w:val="center"/>
          </w:tcPr>
          <w:p w14:paraId="0F600C15">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中标人公示媒介</w:t>
            </w:r>
          </w:p>
        </w:tc>
        <w:tc>
          <w:tcPr>
            <w:tcW w:w="7607" w:type="dxa"/>
            <w:noWrap w:val="0"/>
            <w:vAlign w:val="center"/>
          </w:tcPr>
          <w:p w14:paraId="3FB35B79">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新疆政府采购网，公示期为一个工作日。</w:t>
            </w:r>
          </w:p>
        </w:tc>
      </w:tr>
      <w:tr w14:paraId="0E4686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noWrap w:val="0"/>
            <w:vAlign w:val="center"/>
          </w:tcPr>
          <w:p w14:paraId="3AF73A8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524" w:type="dxa"/>
            <w:noWrap w:val="0"/>
            <w:vAlign w:val="center"/>
          </w:tcPr>
          <w:p w14:paraId="577D193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领取</w:t>
            </w:r>
          </w:p>
        </w:tc>
        <w:tc>
          <w:tcPr>
            <w:tcW w:w="7607" w:type="dxa"/>
            <w:noWrap w:val="0"/>
            <w:vAlign w:val="top"/>
          </w:tcPr>
          <w:p w14:paraId="51B8628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kern w:val="0"/>
                <w:sz w:val="24"/>
                <w:szCs w:val="24"/>
                <w:highlight w:val="none"/>
                <w:lang w:eastAsia="zh-CN"/>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lang w:val="en-US" w:eastAsia="zh-CN"/>
              </w:rPr>
              <w:t>07</w:t>
            </w:r>
            <w:r>
              <w:rPr>
                <w:rFonts w:hint="eastAsia" w:ascii="仿宋" w:hAnsi="仿宋" w:eastAsia="仿宋" w:cs="仿宋"/>
                <w:color w:val="auto"/>
                <w:kern w:val="0"/>
                <w:sz w:val="24"/>
                <w:szCs w:val="24"/>
                <w:highlight w:val="none"/>
                <w:lang w:eastAsia="zh-CN"/>
              </w:rPr>
              <w:t>日至202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lang w:eastAsia="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每天上午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0:00至12:00，下午12:00至23：59（北京时间）</w:t>
            </w:r>
          </w:p>
          <w:p w14:paraId="4996F25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（登录政府采购云平台 → 项目采购 → 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→申请，审核通过后可下载</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，如有操作性问题，可与政采云在线客服进行咨询，咨询电话：95763）。</w:t>
            </w:r>
          </w:p>
          <w:p w14:paraId="1636DAD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申请，审核通过后可下载</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）。本次招标不提供纸质版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p>
          <w:p w14:paraId="33F36FC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前应注册成为政府采购云平台正式供应商。</w:t>
            </w:r>
          </w:p>
        </w:tc>
      </w:tr>
      <w:tr w14:paraId="765E4B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vMerge w:val="restart"/>
            <w:noWrap w:val="0"/>
            <w:vAlign w:val="center"/>
          </w:tcPr>
          <w:p w14:paraId="42A7354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524" w:type="dxa"/>
            <w:vMerge w:val="restart"/>
            <w:noWrap w:val="0"/>
            <w:vAlign w:val="center"/>
          </w:tcPr>
          <w:p w14:paraId="5E370A9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重要说明</w:t>
            </w:r>
          </w:p>
        </w:tc>
        <w:tc>
          <w:tcPr>
            <w:tcW w:w="7607" w:type="dxa"/>
            <w:noWrap w:val="0"/>
            <w:vAlign w:val="top"/>
          </w:tcPr>
          <w:p w14:paraId="6B328A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14:paraId="5DCF4E81">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14:paraId="1FE5810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039B1C8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F1966F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14:paraId="1B5D77C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一群”群的钉钉群号：44303812（如已加入1-20群，无需重复加入，二十一个群联动直播），钉钉工具软件具有回放功能，直播培训结束后可在钉钉群中回放观看学习。</w:t>
            </w:r>
          </w:p>
          <w:p w14:paraId="22AC8AE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14:paraId="3F81FA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vMerge w:val="continue"/>
            <w:noWrap w:val="0"/>
            <w:vAlign w:val="center"/>
          </w:tcPr>
          <w:p w14:paraId="0B18BCB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4"/>
                <w:szCs w:val="24"/>
                <w:highlight w:val="none"/>
                <w:lang w:eastAsia="zh-CN"/>
              </w:rPr>
            </w:pPr>
          </w:p>
        </w:tc>
        <w:tc>
          <w:tcPr>
            <w:tcW w:w="1524" w:type="dxa"/>
            <w:vMerge w:val="continue"/>
            <w:noWrap w:val="0"/>
            <w:vAlign w:val="center"/>
          </w:tcPr>
          <w:p w14:paraId="67ED7F0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4"/>
                <w:szCs w:val="24"/>
                <w:highlight w:val="none"/>
                <w:lang w:eastAsia="zh-CN"/>
              </w:rPr>
            </w:pPr>
          </w:p>
        </w:tc>
        <w:tc>
          <w:tcPr>
            <w:tcW w:w="7607" w:type="dxa"/>
            <w:noWrap w:val="0"/>
            <w:vAlign w:val="top"/>
          </w:tcPr>
          <w:p w14:paraId="7247B9C2">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6E57745A">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405698E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14:paraId="34AEF98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14:paraId="13FED8AE">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14:paraId="7F0257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w:t>
            </w:r>
          </w:p>
          <w:p w14:paraId="473492CC">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041A48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0503271D">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 xml:space="preserve"> 获取热线服务帮助。</w:t>
            </w:r>
          </w:p>
          <w:p w14:paraId="61E99C9C">
            <w:pPr>
              <w:pStyle w:val="5"/>
              <w:keepNext w:val="0"/>
              <w:keepLines w:val="0"/>
              <w:pageBreakBefore w:val="0"/>
              <w:widowControl w:val="0"/>
              <w:shd w:val="clear" w:color="auto" w:fill="auto"/>
              <w:kinsoku/>
              <w:wordWrap/>
              <w:overflowPunct/>
              <w:topLinePunct w:val="0"/>
              <w:autoSpaceDE/>
              <w:autoSpaceDN/>
              <w:bidi w:val="0"/>
              <w:adjustRightInd/>
              <w:snapToGrid w:val="0"/>
              <w:spacing w:line="290" w:lineRule="exact"/>
              <w:ind w:left="0" w:lef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温馨提醒：供应商应提前上传，以便在上传时遇到技术问题，有充足的时间请教平台的技术人员。</w:t>
            </w:r>
          </w:p>
          <w:p w14:paraId="3CF21DD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14:paraId="1CC116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540" w:type="dxa"/>
            <w:vMerge w:val="restart"/>
            <w:noWrap w:val="0"/>
            <w:vAlign w:val="center"/>
          </w:tcPr>
          <w:p w14:paraId="762446A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524" w:type="dxa"/>
            <w:vMerge w:val="restart"/>
            <w:noWrap w:val="0"/>
            <w:vAlign w:val="center"/>
          </w:tcPr>
          <w:p w14:paraId="7FE14B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中小微企业政策文件</w:t>
            </w:r>
          </w:p>
        </w:tc>
        <w:tc>
          <w:tcPr>
            <w:tcW w:w="7607" w:type="dxa"/>
            <w:noWrap w:val="0"/>
            <w:vAlign w:val="top"/>
          </w:tcPr>
          <w:p w14:paraId="1A5015D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格式提供《中小企业声明函》。</w:t>
            </w:r>
          </w:p>
        </w:tc>
      </w:tr>
      <w:tr w14:paraId="314F15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540" w:type="dxa"/>
            <w:vMerge w:val="continue"/>
            <w:noWrap w:val="0"/>
            <w:vAlign w:val="center"/>
          </w:tcPr>
          <w:p w14:paraId="781DF56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p>
        </w:tc>
        <w:tc>
          <w:tcPr>
            <w:tcW w:w="1524" w:type="dxa"/>
            <w:vMerge w:val="continue"/>
            <w:noWrap w:val="0"/>
            <w:vAlign w:val="center"/>
          </w:tcPr>
          <w:p w14:paraId="3983AF0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p>
        </w:tc>
        <w:tc>
          <w:tcPr>
            <w:tcW w:w="7607" w:type="dxa"/>
            <w:noWrap w:val="0"/>
            <w:vAlign w:val="top"/>
          </w:tcPr>
          <w:p w14:paraId="78BCF87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339E25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540" w:type="dxa"/>
            <w:vMerge w:val="continue"/>
            <w:noWrap w:val="0"/>
            <w:vAlign w:val="center"/>
          </w:tcPr>
          <w:p w14:paraId="269405F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p>
        </w:tc>
        <w:tc>
          <w:tcPr>
            <w:tcW w:w="1524" w:type="dxa"/>
            <w:vMerge w:val="continue"/>
            <w:noWrap w:val="0"/>
            <w:vAlign w:val="center"/>
          </w:tcPr>
          <w:p w14:paraId="41198F4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p>
        </w:tc>
        <w:tc>
          <w:tcPr>
            <w:tcW w:w="7607" w:type="dxa"/>
            <w:noWrap w:val="0"/>
            <w:vAlign w:val="top"/>
          </w:tcPr>
          <w:p w14:paraId="31888AF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格式提供残疾人福利性单位声明函。</w:t>
            </w:r>
          </w:p>
        </w:tc>
      </w:tr>
      <w:tr w14:paraId="62CB9B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40" w:type="dxa"/>
            <w:vMerge w:val="restart"/>
            <w:noWrap w:val="0"/>
            <w:vAlign w:val="center"/>
          </w:tcPr>
          <w:p w14:paraId="2138A7D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524" w:type="dxa"/>
            <w:vMerge w:val="restart"/>
            <w:noWrap w:val="0"/>
            <w:vAlign w:val="center"/>
          </w:tcPr>
          <w:p w14:paraId="64E7476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中小微企业政策文件说明</w:t>
            </w:r>
          </w:p>
        </w:tc>
        <w:tc>
          <w:tcPr>
            <w:tcW w:w="7607" w:type="dxa"/>
            <w:noWrap w:val="0"/>
            <w:vAlign w:val="top"/>
          </w:tcPr>
          <w:p w14:paraId="6A1BEF1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1、采购限额标准以上，200万元以下的货物和服务采购项目、400万元以下的工程采购项目，适宜由中小企业提供的，采购人应当专门面向中小企业采购。</w:t>
            </w:r>
          </w:p>
          <w:p w14:paraId="40FF614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2、超过200万元的货物和服务采购项目、超过400万元的工程采购项目中适宜由中小企业提供的，预留该部分采购项目预算总额的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0%以上专门面向中小企业采购，其中预留给小微企业的比例不低于60%。</w:t>
            </w:r>
          </w:p>
          <w:p w14:paraId="11CF9B81">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对于未预留份额专门面向中小企业的采购项目，以及预留份额项目中的非预留部分采购包，采购人、采购代理机构应当对符合规定的小微企业报价给予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5D749E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CDF4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40" w:type="dxa"/>
            <w:vMerge w:val="continue"/>
            <w:noWrap w:val="0"/>
            <w:vAlign w:val="center"/>
          </w:tcPr>
          <w:p w14:paraId="55F0298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c>
          <w:tcPr>
            <w:tcW w:w="1524" w:type="dxa"/>
            <w:vMerge w:val="continue"/>
            <w:noWrap w:val="0"/>
            <w:vAlign w:val="center"/>
          </w:tcPr>
          <w:p w14:paraId="6B5B0BE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p>
        </w:tc>
        <w:tc>
          <w:tcPr>
            <w:tcW w:w="7607" w:type="dxa"/>
            <w:noWrap w:val="0"/>
            <w:vAlign w:val="center"/>
          </w:tcPr>
          <w:p w14:paraId="0D72E57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本项目为不专门专门面向中小企业（含中型、小型、微型企业）采购项目。对符合规定的小微企业报价给予10%的扣除，用扣除后的价格参加评审。</w:t>
            </w:r>
          </w:p>
        </w:tc>
      </w:tr>
      <w:tr w14:paraId="1B370E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40" w:type="dxa"/>
            <w:noWrap w:val="0"/>
            <w:vAlign w:val="center"/>
          </w:tcPr>
          <w:p w14:paraId="45847C8E">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524" w:type="dxa"/>
            <w:noWrap w:val="0"/>
            <w:vAlign w:val="center"/>
          </w:tcPr>
          <w:p w14:paraId="76AC015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项目采购标的对应的中小企业划分标准所属行业</w:t>
            </w:r>
          </w:p>
        </w:tc>
        <w:tc>
          <w:tcPr>
            <w:tcW w:w="7607" w:type="dxa"/>
            <w:noWrap w:val="0"/>
            <w:vAlign w:val="center"/>
          </w:tcPr>
          <w:p w14:paraId="3E2A636B">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281BB2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540" w:type="dxa"/>
            <w:tcBorders>
              <w:right w:val="single" w:color="auto" w:sz="4" w:space="0"/>
            </w:tcBorders>
            <w:noWrap w:val="0"/>
            <w:vAlign w:val="center"/>
          </w:tcPr>
          <w:p w14:paraId="5E9D05E1">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9131" w:type="dxa"/>
            <w:gridSpan w:val="2"/>
            <w:tcBorders>
              <w:left w:val="single" w:color="auto" w:sz="4" w:space="0"/>
            </w:tcBorders>
            <w:noWrap w:val="0"/>
            <w:vAlign w:val="center"/>
          </w:tcPr>
          <w:p w14:paraId="6CB98755">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4E31BEB7">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1、除法律、法规和规章规定外，</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中用“拒绝”、“不接受”、“无效”、“不得”等文字规定，对其中任何一条的偏离，在评审时将其视为无效文件。未用上述文字规定或符号标注的条款为非实质性要求条款(即一般条款)。</w:t>
            </w:r>
          </w:p>
          <w:p w14:paraId="6D123016">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招标投标文件</w:t>
            </w:r>
            <w:r>
              <w:rPr>
                <w:rFonts w:hint="eastAsia" w:ascii="仿宋" w:hAnsi="仿宋" w:eastAsia="仿宋" w:cs="仿宋"/>
                <w:color w:val="auto"/>
                <w:kern w:val="0"/>
                <w:sz w:val="24"/>
                <w:szCs w:val="24"/>
                <w:highlight w:val="none"/>
              </w:rPr>
              <w:t>中的报价为一次报价</w:t>
            </w:r>
            <w:r>
              <w:rPr>
                <w:rFonts w:hint="eastAsia" w:ascii="仿宋" w:hAnsi="仿宋" w:eastAsia="仿宋" w:cs="仿宋"/>
                <w:color w:val="auto"/>
                <w:kern w:val="0"/>
                <w:sz w:val="24"/>
                <w:szCs w:val="24"/>
                <w:highlight w:val="none"/>
                <w:lang w:eastAsia="zh-CN"/>
              </w:rPr>
              <w:t>。</w:t>
            </w:r>
          </w:p>
        </w:tc>
      </w:tr>
      <w:tr w14:paraId="1BFF71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9671" w:type="dxa"/>
            <w:gridSpan w:val="3"/>
            <w:noWrap w:val="0"/>
            <w:vAlign w:val="center"/>
          </w:tcPr>
          <w:p w14:paraId="6E633F6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备注</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投标人使用相同IP地址的，一经发现，</w:t>
            </w:r>
            <w:r>
              <w:rPr>
                <w:rFonts w:hint="eastAsia" w:ascii="仿宋" w:hAnsi="仿宋" w:eastAsia="仿宋" w:cs="仿宋"/>
                <w:b/>
                <w:bCs w:val="0"/>
                <w:color w:val="auto"/>
                <w:sz w:val="24"/>
                <w:szCs w:val="24"/>
                <w:highlight w:val="none"/>
                <w:lang w:eastAsia="zh-CN"/>
              </w:rPr>
              <w:t>相关</w:t>
            </w:r>
            <w:r>
              <w:rPr>
                <w:rFonts w:hint="eastAsia" w:ascii="仿宋" w:hAnsi="仿宋" w:eastAsia="仿宋" w:cs="仿宋"/>
                <w:b/>
                <w:bCs w:val="0"/>
                <w:color w:val="auto"/>
                <w:sz w:val="24"/>
                <w:szCs w:val="24"/>
                <w:highlight w:val="none"/>
              </w:rPr>
              <w:t>部门将进一步核实，查实后按串通投标处理</w:t>
            </w:r>
            <w:r>
              <w:rPr>
                <w:rFonts w:hint="eastAsia" w:ascii="仿宋" w:hAnsi="仿宋" w:eastAsia="仿宋" w:cs="仿宋"/>
                <w:b/>
                <w:bCs w:val="0"/>
                <w:color w:val="auto"/>
                <w:sz w:val="24"/>
                <w:szCs w:val="24"/>
                <w:highlight w:val="none"/>
                <w:lang w:eastAsia="zh-CN"/>
              </w:rPr>
              <w:t>。</w:t>
            </w:r>
          </w:p>
        </w:tc>
      </w:tr>
      <w:tr w14:paraId="6C03A8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9671" w:type="dxa"/>
            <w:gridSpan w:val="3"/>
            <w:noWrap w:val="0"/>
            <w:vAlign w:val="center"/>
          </w:tcPr>
          <w:p w14:paraId="0FA337A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领中标通知书之前，请先缴纳中标服务费</w:t>
            </w:r>
          </w:p>
          <w:p w14:paraId="0BE7548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缴费账户</w:t>
            </w:r>
          </w:p>
          <w:p w14:paraId="6A2A71F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单位名称：</w:t>
            </w:r>
            <w:r>
              <w:rPr>
                <w:rFonts w:hint="eastAsia" w:ascii="仿宋" w:hAnsi="仿宋" w:eastAsia="仿宋" w:cs="仿宋"/>
                <w:b w:val="0"/>
                <w:bCs/>
                <w:color w:val="auto"/>
                <w:sz w:val="24"/>
                <w:szCs w:val="24"/>
                <w:highlight w:val="none"/>
                <w:lang w:eastAsia="zh-CN"/>
              </w:rPr>
              <w:t>新疆浩瑞兴建设工程项目管理咨询有限公司</w:t>
            </w:r>
            <w:r>
              <w:rPr>
                <w:rFonts w:hint="eastAsia" w:ascii="仿宋" w:hAnsi="仿宋" w:eastAsia="仿宋" w:cs="仿宋"/>
                <w:b w:val="0"/>
                <w:bCs/>
                <w:color w:val="auto"/>
                <w:sz w:val="24"/>
                <w:szCs w:val="24"/>
                <w:highlight w:val="none"/>
              </w:rPr>
              <w:t>乌鲁木齐分公司</w:t>
            </w:r>
          </w:p>
          <w:p w14:paraId="6888393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开</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户</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行</w:t>
            </w:r>
            <w:r>
              <w:rPr>
                <w:rFonts w:hint="eastAsia" w:ascii="仿宋" w:hAnsi="仿宋" w:eastAsia="仿宋" w:cs="仿宋"/>
                <w:b w:val="0"/>
                <w:bCs/>
                <w:color w:val="auto"/>
                <w:sz w:val="24"/>
                <w:szCs w:val="24"/>
                <w:highlight w:val="none"/>
                <w:lang w:eastAsia="zh-CN"/>
              </w:rPr>
              <w:t>：乌鲁木齐银行股份有限公司东方支行</w:t>
            </w:r>
          </w:p>
          <w:p w14:paraId="69FAABB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账</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号：</w:t>
            </w:r>
            <w:r>
              <w:rPr>
                <w:rFonts w:hint="eastAsia" w:ascii="仿宋" w:hAnsi="仿宋" w:eastAsia="仿宋" w:cs="仿宋"/>
                <w:b w:val="0"/>
                <w:bCs/>
                <w:color w:val="auto"/>
                <w:sz w:val="24"/>
                <w:szCs w:val="24"/>
                <w:highlight w:val="none"/>
                <w:lang w:eastAsia="zh-CN"/>
              </w:rPr>
              <w:t>0000020080110079596717</w:t>
            </w:r>
          </w:p>
          <w:p w14:paraId="70B7C06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行</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号：</w:t>
            </w:r>
            <w:r>
              <w:rPr>
                <w:rFonts w:hint="eastAsia" w:ascii="仿宋" w:hAnsi="仿宋" w:eastAsia="仿宋" w:cs="仿宋"/>
                <w:b w:val="0"/>
                <w:bCs/>
                <w:color w:val="auto"/>
                <w:sz w:val="24"/>
                <w:szCs w:val="24"/>
                <w:highlight w:val="none"/>
                <w:lang w:val="en-US" w:eastAsia="zh-CN"/>
              </w:rPr>
              <w:t>313881000512</w:t>
            </w:r>
          </w:p>
          <w:p w14:paraId="1742E72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邮</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箱：</w:t>
            </w:r>
            <w:r>
              <w:rPr>
                <w:rFonts w:hint="eastAsia" w:ascii="仿宋" w:hAnsi="仿宋" w:eastAsia="仿宋" w:cs="仿宋"/>
                <w:b w:val="0"/>
                <w:bCs/>
                <w:color w:val="auto"/>
                <w:sz w:val="24"/>
                <w:szCs w:val="24"/>
                <w:highlight w:val="none"/>
                <w:lang w:val="en-US" w:eastAsia="zh-CN"/>
              </w:rPr>
              <w:t>chenxl9398@163.com</w:t>
            </w:r>
          </w:p>
          <w:p w14:paraId="3CAE4EE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z w:val="24"/>
                <w:szCs w:val="24"/>
                <w:highlight w:val="none"/>
              </w:rPr>
              <w:t>联系电话：</w:t>
            </w:r>
            <w:r>
              <w:rPr>
                <w:rFonts w:hint="eastAsia" w:ascii="仿宋" w:hAnsi="仿宋" w:eastAsia="仿宋" w:cs="仿宋"/>
                <w:color w:val="auto"/>
                <w:sz w:val="24"/>
                <w:szCs w:val="24"/>
                <w:highlight w:val="none"/>
                <w:lang w:val="en-US" w:eastAsia="zh-CN"/>
              </w:rPr>
              <w:t>18016878872</w:t>
            </w:r>
            <w:r>
              <w:rPr>
                <w:rFonts w:hint="eastAsia" w:ascii="仿宋" w:hAnsi="仿宋" w:eastAsia="仿宋" w:cs="仿宋"/>
                <w:color w:val="auto"/>
                <w:sz w:val="24"/>
                <w:szCs w:val="24"/>
                <w:highlight w:val="none"/>
                <w:lang w:eastAsia="zh-CN"/>
              </w:rPr>
              <w:t>、15160968614</w:t>
            </w:r>
          </w:p>
        </w:tc>
      </w:tr>
      <w:bookmarkEnd w:id="5"/>
    </w:tbl>
    <w:p w14:paraId="103AC013">
      <w:pPr>
        <w:pageBreakBefore/>
        <w:shd w:val="clear" w:color="auto" w:fill="auto"/>
        <w:spacing w:before="312" w:beforeLines="100" w:after="312" w:afterLines="100" w:line="440" w:lineRule="exact"/>
        <w:jc w:val="center"/>
        <w:outlineLvl w:val="9"/>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14:paraId="4A4E385D">
      <w:pPr>
        <w:shd w:val="clear" w:color="auto" w:fill="auto"/>
        <w:spacing w:line="440" w:lineRule="exact"/>
        <w:jc w:val="center"/>
        <w:outlineLvl w:val="9"/>
        <w:rPr>
          <w:rFonts w:hint="eastAsia" w:ascii="仿宋" w:hAnsi="仿宋" w:eastAsia="仿宋" w:cs="仿宋"/>
          <w:color w:val="auto"/>
          <w:sz w:val="28"/>
          <w:szCs w:val="28"/>
          <w:highlight w:val="none"/>
        </w:rPr>
      </w:pPr>
      <w:bookmarkStart w:id="31" w:name="_Toc469495724"/>
      <w:bookmarkStart w:id="32" w:name="_Toc265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31"/>
      <w:bookmarkEnd w:id="32"/>
    </w:p>
    <w:p w14:paraId="1E67D5B3">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026D04D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14:paraId="3532E9B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14:paraId="4A6BC6B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14:paraId="78D8212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供货期：见投标人须知前附表。</w:t>
      </w:r>
    </w:p>
    <w:p w14:paraId="4336427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14:paraId="69CC1C45">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14:paraId="4A0E3FD2">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14:paraId="003D84D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14:paraId="63E03E14">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14:paraId="5A43BCC7">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14:paraId="0F605B6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14:paraId="1188A3C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14:paraId="2DA0193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第四章招标内容及技术要求。</w:t>
      </w:r>
    </w:p>
    <w:p w14:paraId="6B4DC80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14:paraId="24E6D5C7">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kern w:val="0"/>
          <w:sz w:val="24"/>
          <w:szCs w:val="24"/>
          <w:highlight w:val="none"/>
        </w:rPr>
        <w:t>。</w:t>
      </w:r>
    </w:p>
    <w:p w14:paraId="76BFDD40">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14:paraId="2752AFB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14:paraId="350591C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14:paraId="3BA9359E">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固定单价 。</w:t>
      </w:r>
    </w:p>
    <w:p w14:paraId="70525407">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14:paraId="3973ACDF">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符合</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文件</w:t>
      </w:r>
      <w:r>
        <w:rPr>
          <w:rFonts w:hint="eastAsia" w:ascii="仿宋" w:hAnsi="仿宋" w:eastAsia="仿宋" w:cs="仿宋"/>
          <w:color w:val="auto"/>
          <w:sz w:val="24"/>
          <w:szCs w:val="24"/>
          <w:highlight w:val="none"/>
          <w:u w:val="single"/>
        </w:rPr>
        <w:t xml:space="preserve">的综合评分法 </w:t>
      </w:r>
      <w:r>
        <w:rPr>
          <w:rFonts w:hint="eastAsia" w:ascii="仿宋" w:hAnsi="仿宋" w:eastAsia="仿宋" w:cs="仿宋"/>
          <w:color w:val="auto"/>
          <w:sz w:val="24"/>
          <w:szCs w:val="24"/>
          <w:highlight w:val="none"/>
        </w:rPr>
        <w:t>（详见第三章评标办法）</w:t>
      </w:r>
    </w:p>
    <w:p w14:paraId="38BED5F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14:paraId="2FE29FD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14:paraId="20B0977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14:paraId="683047E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03CF5E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30645F5C">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14:paraId="3D2A1416">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14:paraId="6B51C144">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33" w:name="_Toc152042315"/>
      <w:bookmarkStart w:id="34" w:name="_Toc152045539"/>
      <w:bookmarkStart w:id="35" w:name="_Toc247592876"/>
      <w:bookmarkStart w:id="36" w:name="_Toc247513962"/>
      <w:bookmarkStart w:id="37" w:name="_Toc296602429"/>
      <w:bookmarkStart w:id="38" w:name="_Toc144974507"/>
      <w:bookmarkStart w:id="39" w:name="_Toc247527563"/>
      <w:r>
        <w:rPr>
          <w:rFonts w:hint="eastAsia" w:ascii="仿宋" w:hAnsi="仿宋" w:eastAsia="仿宋" w:cs="仿宋"/>
          <w:b/>
          <w:color w:val="auto"/>
          <w:sz w:val="24"/>
          <w:szCs w:val="24"/>
          <w:highlight w:val="none"/>
        </w:rPr>
        <w:t xml:space="preserve"> 踏勘现场</w:t>
      </w:r>
      <w:bookmarkEnd w:id="33"/>
      <w:bookmarkEnd w:id="34"/>
      <w:bookmarkEnd w:id="35"/>
      <w:bookmarkEnd w:id="36"/>
      <w:bookmarkEnd w:id="37"/>
      <w:bookmarkEnd w:id="38"/>
      <w:bookmarkEnd w:id="39"/>
    </w:p>
    <w:p w14:paraId="32F3353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14:paraId="6A3667A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14:paraId="2953BB96">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14:paraId="4CBB9EA6">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40" w:name="_Toc247513963"/>
      <w:bookmarkStart w:id="41" w:name="_Toc247527564"/>
      <w:bookmarkStart w:id="42" w:name="_Toc152042316"/>
      <w:bookmarkStart w:id="43" w:name="_Toc247592877"/>
      <w:bookmarkStart w:id="44" w:name="_Toc152045540"/>
      <w:bookmarkStart w:id="45" w:name="_Toc144974508"/>
      <w:bookmarkStart w:id="46" w:name="_Toc296602430"/>
    </w:p>
    <w:p w14:paraId="43AD41D3">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40"/>
      <w:bookmarkEnd w:id="41"/>
      <w:bookmarkEnd w:id="42"/>
      <w:bookmarkEnd w:id="43"/>
      <w:bookmarkEnd w:id="44"/>
      <w:bookmarkEnd w:id="45"/>
      <w:bookmarkEnd w:id="46"/>
    </w:p>
    <w:p w14:paraId="311962D5">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14:paraId="568AC4A6">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14:paraId="1AA7931B">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14:paraId="0F4F2365">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14:paraId="1D0B1D92">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DE03947">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4866FA4">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14:paraId="1D597795">
      <w:pPr>
        <w:pStyle w:val="10"/>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14:paraId="1E46E8B5">
      <w:pPr>
        <w:shd w:val="clear" w:color="auto" w:fill="auto"/>
        <w:spacing w:line="440" w:lineRule="exact"/>
        <w:ind w:firstLine="470"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14:paraId="51A1F0D3">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72699A76">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招标代理服务收费标准</w:t>
      </w:r>
    </w:p>
    <w:tbl>
      <w:tblPr>
        <w:tblStyle w:val="2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3432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6B8AF3E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中标</w:t>
            </w:r>
            <w:r>
              <w:rPr>
                <w:rFonts w:hint="eastAsia" w:ascii="仿宋" w:hAnsi="仿宋" w:eastAsia="仿宋" w:cs="仿宋"/>
                <w:b w:val="0"/>
                <w:bCs w:val="0"/>
                <w:color w:val="auto"/>
                <w:sz w:val="24"/>
                <w:szCs w:val="24"/>
                <w:highlight w:val="none"/>
              </w:rPr>
              <w:t>金额（万元）</w:t>
            </w:r>
          </w:p>
        </w:tc>
        <w:tc>
          <w:tcPr>
            <w:tcW w:w="2146" w:type="dxa"/>
            <w:noWrap w:val="0"/>
            <w:vAlign w:val="top"/>
          </w:tcPr>
          <w:p w14:paraId="2D2900F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货物招标</w:t>
            </w:r>
          </w:p>
        </w:tc>
        <w:tc>
          <w:tcPr>
            <w:tcW w:w="2146" w:type="dxa"/>
            <w:noWrap w:val="0"/>
            <w:vAlign w:val="top"/>
          </w:tcPr>
          <w:p w14:paraId="44EDC39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服务招标</w:t>
            </w:r>
          </w:p>
        </w:tc>
        <w:tc>
          <w:tcPr>
            <w:tcW w:w="1841" w:type="dxa"/>
            <w:noWrap w:val="0"/>
            <w:vAlign w:val="top"/>
          </w:tcPr>
          <w:p w14:paraId="7F23C0D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14:paraId="34DD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5410007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100以下</w:t>
            </w:r>
          </w:p>
        </w:tc>
        <w:tc>
          <w:tcPr>
            <w:tcW w:w="2146" w:type="dxa"/>
            <w:noWrap w:val="0"/>
            <w:vAlign w:val="center"/>
          </w:tcPr>
          <w:p w14:paraId="355A4D8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1.50%</w:t>
            </w:r>
          </w:p>
        </w:tc>
        <w:tc>
          <w:tcPr>
            <w:tcW w:w="2146" w:type="dxa"/>
            <w:noWrap w:val="0"/>
            <w:vAlign w:val="center"/>
          </w:tcPr>
          <w:p w14:paraId="12F5573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1.50%</w:t>
            </w:r>
          </w:p>
        </w:tc>
        <w:tc>
          <w:tcPr>
            <w:tcW w:w="1841" w:type="dxa"/>
            <w:noWrap w:val="0"/>
            <w:vAlign w:val="top"/>
          </w:tcPr>
          <w:p w14:paraId="54C3FB4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14:paraId="731E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2B46F71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100-500</w:t>
            </w:r>
          </w:p>
        </w:tc>
        <w:tc>
          <w:tcPr>
            <w:tcW w:w="2146" w:type="dxa"/>
            <w:noWrap w:val="0"/>
            <w:vAlign w:val="center"/>
          </w:tcPr>
          <w:p w14:paraId="4D865A4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w:t>
            </w:r>
          </w:p>
        </w:tc>
        <w:tc>
          <w:tcPr>
            <w:tcW w:w="2146" w:type="dxa"/>
            <w:noWrap w:val="0"/>
            <w:vAlign w:val="center"/>
          </w:tcPr>
          <w:p w14:paraId="3FDC911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0.80</w:t>
            </w:r>
            <w:r>
              <w:rPr>
                <w:rFonts w:hint="eastAsia" w:ascii="仿宋" w:hAnsi="仿宋" w:eastAsia="仿宋" w:cs="仿宋"/>
                <w:b w:val="0"/>
                <w:bCs w:val="0"/>
                <w:color w:val="auto"/>
                <w:sz w:val="24"/>
                <w:szCs w:val="24"/>
                <w:highlight w:val="none"/>
              </w:rPr>
              <w:t>%</w:t>
            </w:r>
          </w:p>
        </w:tc>
        <w:tc>
          <w:tcPr>
            <w:tcW w:w="1841" w:type="dxa"/>
            <w:noWrap w:val="0"/>
            <w:vAlign w:val="top"/>
          </w:tcPr>
          <w:p w14:paraId="2BCF232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14:paraId="54BE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5ADBC44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500-1000</w:t>
            </w:r>
          </w:p>
        </w:tc>
        <w:tc>
          <w:tcPr>
            <w:tcW w:w="2146" w:type="dxa"/>
            <w:noWrap w:val="0"/>
            <w:vAlign w:val="center"/>
          </w:tcPr>
          <w:p w14:paraId="0E0D222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0.80%</w:t>
            </w:r>
          </w:p>
        </w:tc>
        <w:tc>
          <w:tcPr>
            <w:tcW w:w="2146" w:type="dxa"/>
            <w:noWrap w:val="0"/>
            <w:vAlign w:val="center"/>
          </w:tcPr>
          <w:p w14:paraId="311C5E9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rPr>
              <w:t>%</w:t>
            </w:r>
          </w:p>
        </w:tc>
        <w:tc>
          <w:tcPr>
            <w:tcW w:w="1841" w:type="dxa"/>
            <w:noWrap w:val="0"/>
            <w:vAlign w:val="top"/>
          </w:tcPr>
          <w:p w14:paraId="1884791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14:paraId="453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4881833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1000-5000</w:t>
            </w:r>
          </w:p>
        </w:tc>
        <w:tc>
          <w:tcPr>
            <w:tcW w:w="2146" w:type="dxa"/>
            <w:noWrap w:val="0"/>
            <w:vAlign w:val="center"/>
          </w:tcPr>
          <w:p w14:paraId="13CE0B4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0.50%</w:t>
            </w:r>
          </w:p>
        </w:tc>
        <w:tc>
          <w:tcPr>
            <w:tcW w:w="2146" w:type="dxa"/>
            <w:noWrap w:val="0"/>
            <w:vAlign w:val="center"/>
          </w:tcPr>
          <w:p w14:paraId="4EE6771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b w:val="0"/>
                <w:bCs w:val="0"/>
                <w:color w:val="auto"/>
                <w:sz w:val="24"/>
                <w:szCs w:val="24"/>
                <w:highlight w:val="none"/>
              </w:rPr>
              <w:t>%</w:t>
            </w:r>
          </w:p>
        </w:tc>
        <w:tc>
          <w:tcPr>
            <w:tcW w:w="1841" w:type="dxa"/>
            <w:noWrap w:val="0"/>
            <w:vAlign w:val="top"/>
          </w:tcPr>
          <w:p w14:paraId="36C066E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bl>
    <w:p w14:paraId="486EF07F">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招标代理服务收费按差额定率累进法计算。例如：某项目招标代理业务</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金额为2000万元，计算招标代理服务收费额如下：</w:t>
      </w:r>
    </w:p>
    <w:p w14:paraId="5B597115">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100万元×1.50%=1.5（万元）；</w:t>
      </w:r>
    </w:p>
    <w:p w14:paraId="61E87063">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（500-100）万元×1.10%=4.4（万元）</w:t>
      </w:r>
    </w:p>
    <w:p w14:paraId="4B27B4AF">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（1000-500）万元×0.80%=4.0（万元）</w:t>
      </w:r>
    </w:p>
    <w:p w14:paraId="7BA135A2">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（2000-1000）万元×0.50%=5.0（万元）</w:t>
      </w:r>
    </w:p>
    <w:p w14:paraId="736F5D77">
      <w:pPr>
        <w:shd w:val="clear" w:color="auto" w:fill="auto"/>
        <w:spacing w:line="440" w:lineRule="exact"/>
        <w:ind w:left="210" w:leftChars="100" w:firstLine="360" w:firstLineChars="150"/>
        <w:jc w:val="left"/>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合计收费=1.5+4.4+4.0+5.0=14.9(万元)</w:t>
      </w:r>
    </w:p>
    <w:p w14:paraId="6E7D2E41">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14:paraId="63269947">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14:paraId="1FF25E3C">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14:paraId="6373126C">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14:paraId="48BA0744">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14:paraId="5705970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14:paraId="463AB489">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14:paraId="2F432B19">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14:paraId="519263FC">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14:paraId="05E977F1">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14:paraId="79E611F7">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14:paraId="7B702726">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lang w:eastAsia="zh-CN"/>
        </w:rPr>
      </w:pPr>
      <w:bookmarkStart w:id="47" w:name="_Toc469495725"/>
      <w:r>
        <w:rPr>
          <w:rFonts w:hint="eastAsia" w:ascii="仿宋" w:hAnsi="仿宋" w:eastAsia="仿宋" w:cs="仿宋"/>
          <w:b/>
          <w:color w:val="auto"/>
          <w:sz w:val="28"/>
          <w:szCs w:val="28"/>
          <w:highlight w:val="none"/>
        </w:rPr>
        <w:br w:type="page"/>
      </w:r>
      <w:bookmarkStart w:id="48" w:name="_Toc12818"/>
      <w:r>
        <w:rPr>
          <w:rFonts w:hint="eastAsia" w:ascii="仿宋" w:hAnsi="仿宋" w:eastAsia="仿宋" w:cs="仿宋"/>
          <w:b/>
          <w:color w:val="auto"/>
          <w:sz w:val="28"/>
          <w:szCs w:val="28"/>
          <w:highlight w:val="none"/>
        </w:rPr>
        <w:t>（二）</w:t>
      </w:r>
      <w:bookmarkEnd w:id="47"/>
      <w:r>
        <w:rPr>
          <w:rFonts w:hint="eastAsia" w:ascii="仿宋" w:hAnsi="仿宋" w:eastAsia="仿宋" w:cs="仿宋"/>
          <w:b/>
          <w:color w:val="auto"/>
          <w:sz w:val="28"/>
          <w:szCs w:val="28"/>
          <w:highlight w:val="none"/>
          <w:lang w:val="en-US" w:eastAsia="zh-CN"/>
        </w:rPr>
        <w:t>招标</w:t>
      </w:r>
      <w:r>
        <w:rPr>
          <w:rFonts w:hint="eastAsia" w:ascii="仿宋" w:hAnsi="仿宋" w:eastAsia="仿宋" w:cs="仿宋"/>
          <w:b/>
          <w:color w:val="auto"/>
          <w:sz w:val="28"/>
          <w:szCs w:val="28"/>
          <w:highlight w:val="none"/>
          <w:lang w:eastAsia="zh-CN"/>
        </w:rPr>
        <w:t>文件</w:t>
      </w:r>
      <w:bookmarkEnd w:id="48"/>
    </w:p>
    <w:p w14:paraId="1B083AA4">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的编制依据</w:t>
      </w:r>
    </w:p>
    <w:p w14:paraId="3DDCA9DE">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14:paraId="2716F2CE">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的组成</w:t>
      </w:r>
    </w:p>
    <w:p w14:paraId="1C60865B">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包括内容：</w:t>
      </w:r>
    </w:p>
    <w:p w14:paraId="7CE560A8">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招标</w:t>
      </w:r>
      <w:r>
        <w:rPr>
          <w:rFonts w:hint="eastAsia" w:ascii="仿宋" w:hAnsi="仿宋" w:eastAsia="仿宋" w:cs="仿宋"/>
          <w:color w:val="auto"/>
          <w:sz w:val="24"/>
          <w:szCs w:val="24"/>
          <w:highlight w:val="none"/>
        </w:rPr>
        <w:t>公告</w:t>
      </w:r>
    </w:p>
    <w:p w14:paraId="5223FE4E">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14:paraId="1DBE529F">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14:paraId="7CC4E15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2"/>
          <w:highlight w:val="none"/>
        </w:rPr>
        <w:t>招标内容及技术要求</w:t>
      </w:r>
    </w:p>
    <w:p w14:paraId="4E565C80">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36"/>
          <w:highlight w:val="none"/>
        </w:rPr>
        <w:t>合同条款及格式</w:t>
      </w:r>
    </w:p>
    <w:p w14:paraId="5AFFAFE7">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第六章</w:t>
      </w:r>
      <w:r>
        <w:rPr>
          <w:rFonts w:hint="eastAsia" w:ascii="仿宋" w:hAnsi="仿宋" w:eastAsia="仿宋" w:cs="仿宋"/>
          <w:color w:val="auto"/>
          <w:sz w:val="24"/>
          <w:szCs w:val="24"/>
          <w:highlight w:val="none"/>
        </w:rPr>
        <w:t>：投标书格式</w:t>
      </w:r>
    </w:p>
    <w:p w14:paraId="0DE19572">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14:paraId="5FD66829">
      <w:pPr>
        <w:pStyle w:val="11"/>
        <w:shd w:val="clear" w:color="auto" w:fill="auto"/>
        <w:wordWrap w:val="0"/>
        <w:spacing w:line="400" w:lineRule="exac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5"/>
          <w:szCs w:val="24"/>
          <w:highlight w:val="none"/>
        </w:rPr>
        <w:t xml:space="preserve"> </w:t>
      </w:r>
      <w:r>
        <w:rPr>
          <w:rFonts w:hint="eastAsia" w:ascii="仿宋" w:hAnsi="仿宋" w:eastAsia="仿宋" w:cs="仿宋"/>
          <w:color w:val="auto"/>
          <w:kern w:val="2"/>
          <w:sz w:val="24"/>
          <w:szCs w:val="24"/>
          <w:highlight w:val="none"/>
          <w:lang w:val="en-US" w:eastAsia="zh-CN" w:bidi="ar-SA"/>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6C3E0233">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14:paraId="6CF6D213">
      <w:pPr>
        <w:shd w:val="clear" w:color="auto" w:fill="auto"/>
        <w:spacing w:line="44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招标文件</w:t>
      </w:r>
      <w:r>
        <w:rPr>
          <w:rFonts w:hint="eastAsia" w:ascii="仿宋" w:hAnsi="仿宋" w:eastAsia="仿宋" w:cs="仿宋"/>
          <w:b/>
          <w:bCs/>
          <w:color w:val="auto"/>
          <w:sz w:val="24"/>
          <w:szCs w:val="24"/>
          <w:highlight w:val="none"/>
        </w:rPr>
        <w:t>的修改、补充、解释</w:t>
      </w:r>
    </w:p>
    <w:p w14:paraId="4CB73449">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14:paraId="761FA998">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日前，在原公告发布媒体上发布澄清公告，澄清或者修改的内容为采购文件的组成部分；不足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日的，应当顺延提交投标文件的截止时间。 </w:t>
      </w: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14:paraId="158F9A07">
      <w:pPr>
        <w:shd w:val="clear" w:color="auto" w:fill="auto"/>
        <w:spacing w:line="400" w:lineRule="exact"/>
        <w:ind w:firstLine="480" w:firstLineChars="200"/>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的解释</w:t>
      </w:r>
      <w:r>
        <w:rPr>
          <w:rFonts w:hint="eastAsia" w:ascii="仿宋" w:hAnsi="仿宋" w:eastAsia="仿宋" w:cs="仿宋"/>
          <w:bCs/>
          <w:color w:val="auto"/>
          <w:sz w:val="24"/>
          <w:szCs w:val="24"/>
          <w:highlight w:val="none"/>
          <w:lang w:val="en-US" w:eastAsia="zh-CN"/>
        </w:rPr>
        <w:t xml:space="preserve"> </w:t>
      </w:r>
    </w:p>
    <w:p w14:paraId="63888373">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由招标人（或其委托的招标代理机构）负责解释。</w:t>
      </w:r>
    </w:p>
    <w:p w14:paraId="5832E71C">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招标文件</w:t>
      </w:r>
      <w:r>
        <w:rPr>
          <w:rFonts w:hint="eastAsia" w:ascii="仿宋" w:hAnsi="仿宋" w:eastAsia="仿宋" w:cs="仿宋"/>
          <w:b/>
          <w:color w:val="auto"/>
          <w:sz w:val="24"/>
          <w:szCs w:val="24"/>
          <w:highlight w:val="none"/>
        </w:rPr>
        <w:t>的发出</w:t>
      </w:r>
    </w:p>
    <w:p w14:paraId="0E893ABD">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14:paraId="03573FAA">
      <w:pPr>
        <w:shd w:val="clear" w:color="auto" w:fill="auto"/>
        <w:spacing w:line="440" w:lineRule="exact"/>
        <w:ind w:firstLine="319" w:firstLineChars="133"/>
        <w:outlineLvl w:val="9"/>
        <w:rPr>
          <w:rFonts w:hint="eastAsia" w:ascii="仿宋" w:hAnsi="仿宋" w:eastAsia="仿宋" w:cs="仿宋"/>
          <w:color w:val="auto"/>
          <w:sz w:val="24"/>
          <w:szCs w:val="24"/>
          <w:highlight w:val="none"/>
        </w:rPr>
      </w:pPr>
      <w:bookmarkStart w:id="49"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E9D7F5E">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14:paraId="3BDD1052">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rPr>
      </w:pPr>
      <w:bookmarkStart w:id="50" w:name="_Toc25047"/>
      <w:r>
        <w:rPr>
          <w:rFonts w:hint="eastAsia" w:ascii="仿宋" w:hAnsi="仿宋" w:eastAsia="仿宋" w:cs="仿宋"/>
          <w:b/>
          <w:color w:val="auto"/>
          <w:sz w:val="28"/>
          <w:szCs w:val="28"/>
          <w:highlight w:val="none"/>
        </w:rPr>
        <w:t>（三）</w:t>
      </w:r>
      <w:r>
        <w:rPr>
          <w:rFonts w:hint="eastAsia" w:ascii="仿宋" w:hAnsi="仿宋" w:eastAsia="仿宋" w:cs="仿宋"/>
          <w:b/>
          <w:color w:val="auto"/>
          <w:sz w:val="28"/>
          <w:szCs w:val="28"/>
          <w:highlight w:val="none"/>
          <w:lang w:eastAsia="zh-CN"/>
        </w:rPr>
        <w:t>投标文件</w:t>
      </w:r>
      <w:r>
        <w:rPr>
          <w:rFonts w:hint="eastAsia" w:ascii="仿宋" w:hAnsi="仿宋" w:eastAsia="仿宋" w:cs="仿宋"/>
          <w:b/>
          <w:color w:val="auto"/>
          <w:sz w:val="28"/>
          <w:szCs w:val="28"/>
          <w:highlight w:val="none"/>
        </w:rPr>
        <w:t>的编制</w:t>
      </w:r>
      <w:bookmarkEnd w:id="49"/>
      <w:bookmarkEnd w:id="50"/>
    </w:p>
    <w:p w14:paraId="28AB0D2F">
      <w:pPr>
        <w:shd w:val="clear" w:color="auto" w:fill="auto"/>
        <w:spacing w:line="440" w:lineRule="exact"/>
        <w:ind w:firstLine="348"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14:paraId="45356109">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468C3FC">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14:paraId="2AB03ED1">
      <w:pPr>
        <w:shd w:val="clear" w:color="auto" w:fill="auto"/>
        <w:spacing w:line="400" w:lineRule="exact"/>
        <w:ind w:firstLine="235"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21. </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的组成</w:t>
      </w:r>
    </w:p>
    <w:p w14:paraId="616D825E">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附件一、投标书</w:t>
      </w:r>
    </w:p>
    <w:p w14:paraId="1B0B1A04">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附件二、法定代表人资格证明书</w:t>
      </w:r>
    </w:p>
    <w:p w14:paraId="52BC9155">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附件三、法定代表人授权委托书</w:t>
      </w:r>
    </w:p>
    <w:p w14:paraId="4B565932">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附件四、关于招标文件的声明函</w:t>
      </w:r>
    </w:p>
    <w:p w14:paraId="4D5B63EB">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附件五、诚信投标承诺书</w:t>
      </w:r>
    </w:p>
    <w:p w14:paraId="1F85E916">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附件六、供应商反商业贿赂承诺书</w:t>
      </w:r>
    </w:p>
    <w:p w14:paraId="3D156ED1">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附件七、中小企业声明函（货物）附件</w:t>
      </w:r>
    </w:p>
    <w:p w14:paraId="11684B01">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附件八、开标一览表附件</w:t>
      </w:r>
    </w:p>
    <w:p w14:paraId="4961398B">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、投标产品名称、数量、规格分项报价表</w:t>
      </w:r>
    </w:p>
    <w:p w14:paraId="140125E0">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附件十、技术规格偏离表</w:t>
      </w:r>
    </w:p>
    <w:p w14:paraId="0682B33B">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附件十一、商务条款偏离表</w:t>
      </w:r>
    </w:p>
    <w:p w14:paraId="2B9723FE">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附件十二、投标产品近三年（从投标截至时间往前推算）同类产品销售业绩表</w:t>
      </w:r>
    </w:p>
    <w:p w14:paraId="15979F66">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14:paraId="2AC414BF">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文件的所有内容，按照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文件的要求详细编制投标文件，所提交的全部资料必须真实有效，并且要保证字迹清晰易于辨认。投标文件应对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文件实质性内容作出响应，否则按无效标处理。</w:t>
      </w:r>
    </w:p>
    <w:p w14:paraId="4AB955AF">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附件：投标书</w:t>
      </w:r>
      <w:r>
        <w:rPr>
          <w:rFonts w:hint="eastAsia" w:ascii="仿宋" w:hAnsi="仿宋" w:eastAsia="仿宋" w:cs="仿宋"/>
          <w:color w:val="auto"/>
          <w:sz w:val="24"/>
          <w:szCs w:val="24"/>
          <w:highlight w:val="none"/>
          <w:lang w:eastAsia="zh-CN"/>
        </w:rPr>
        <w:t>格式要求编制，不得对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文件格式进行增删更改，否则按无效标处理。</w:t>
      </w:r>
    </w:p>
    <w:p w14:paraId="23D4940C">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文件格式可更改的例外情况：</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附件：投标书</w:t>
      </w:r>
      <w:r>
        <w:rPr>
          <w:rFonts w:hint="eastAsia" w:ascii="仿宋" w:hAnsi="仿宋" w:eastAsia="仿宋" w:cs="仿宋"/>
          <w:color w:val="auto"/>
          <w:sz w:val="24"/>
          <w:szCs w:val="24"/>
          <w:highlight w:val="none"/>
          <w:lang w:eastAsia="zh-CN"/>
        </w:rPr>
        <w:t xml:space="preserve">格式要求中明确规定表格中行数不够用时可按相同格式增加行数，其他一切内容和格式不得更改。 </w:t>
      </w:r>
    </w:p>
    <w:p w14:paraId="7B1675AC">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14:paraId="386A570F">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14:paraId="67CDFA9B">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报价</w:t>
      </w:r>
    </w:p>
    <w:p w14:paraId="33502258">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14:paraId="6632CE11">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22.2投标报价表上应清楚地标明投标人拟提供货物的名称、型号、生产厂家、数量、单价和总价。</w:t>
      </w:r>
    </w:p>
    <w:p w14:paraId="33FB2CA5">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报价应包括：货物及服务本身价格、保险费用、包装费、运输费用、二次搬运费、损耗、税金费用、随产品备品备件费、专用工具费、随产品资料费、安装费、调试费、自检费及验收合格前和质保期内发生的一切费用、应当提供的伴随服务/售后服务费用</w:t>
      </w:r>
      <w:r>
        <w:rPr>
          <w:rFonts w:hint="eastAsia" w:ascii="仿宋" w:hAnsi="仿宋" w:eastAsia="仿宋" w:cs="仿宋"/>
          <w:color w:val="auto"/>
          <w:sz w:val="24"/>
          <w:szCs w:val="24"/>
          <w:highlight w:val="none"/>
          <w:lang w:eastAsia="zh-CN"/>
        </w:rPr>
        <w:t>。</w:t>
      </w:r>
    </w:p>
    <w:p w14:paraId="6F40A2FA">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投标报价的价格是货物交货地验收价格，其总价即为履行合同的固定总价。</w:t>
      </w:r>
    </w:p>
    <w:p w14:paraId="1E80F384">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技术要求中规定的安装、调试和培训费用应包括在投标价格中。投标文件报价为含税价，招标人不再为此次招标支付任何费用。</w:t>
      </w:r>
    </w:p>
    <w:p w14:paraId="7A55551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投标报价应由法定代表人或被授权人签署。</w:t>
      </w:r>
    </w:p>
    <w:p w14:paraId="3E282EC1">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w:t>
      </w:r>
      <w:r>
        <w:rPr>
          <w:rFonts w:hint="eastAsia" w:ascii="仿宋" w:hAnsi="仿宋" w:eastAsia="仿宋" w:cs="仿宋"/>
          <w:b/>
          <w:color w:val="auto"/>
          <w:sz w:val="24"/>
          <w:szCs w:val="24"/>
          <w:highlight w:val="none"/>
          <w:lang w:val="en-US" w:eastAsia="zh-CN"/>
        </w:rPr>
        <w:t>每包</w:t>
      </w:r>
      <w:r>
        <w:rPr>
          <w:rFonts w:hint="eastAsia" w:ascii="仿宋" w:hAnsi="仿宋" w:eastAsia="仿宋" w:cs="仿宋"/>
          <w:b/>
          <w:color w:val="auto"/>
          <w:sz w:val="24"/>
          <w:szCs w:val="24"/>
          <w:highlight w:val="none"/>
        </w:rPr>
        <w:t>不得高于本次招标设置的最高限价，</w:t>
      </w:r>
      <w:r>
        <w:rPr>
          <w:rFonts w:hint="eastAsia" w:ascii="仿宋" w:hAnsi="仿宋" w:eastAsia="仿宋" w:cs="仿宋"/>
          <w:b/>
          <w:bCs/>
          <w:color w:val="auto"/>
          <w:sz w:val="24"/>
          <w:szCs w:val="24"/>
          <w:highlight w:val="none"/>
        </w:rPr>
        <w:t>否则将作为无效投标处理。</w:t>
      </w:r>
    </w:p>
    <w:p w14:paraId="3A1B68BE">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22.9如投标文件中未列明全面实现投标货物功能而必须配置的配套或辅助设施及相应技术措施的费用，这些费用将被视为已包含在总投标价中。</w:t>
      </w:r>
    </w:p>
    <w:p w14:paraId="036E467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14:paraId="1118FBEE">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p>
    <w:p w14:paraId="178369F9">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22.12投标人不得对从第三方采购货物的随机备品、备件另行收费，否则在计算评标价时这部分费用将不予扣除，在授予合同时将从中标价格中扣除该部分费用。</w:t>
      </w:r>
    </w:p>
    <w:p w14:paraId="5BDC1E31">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550C1395">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14:paraId="75152ECE">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除投标人须知前附表另有规定外，投标有效期为</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w:t>
      </w:r>
    </w:p>
    <w:p w14:paraId="1F6CDA9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14:paraId="26BE1CD0">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2568244">
      <w:pPr>
        <w:shd w:val="clear" w:color="auto" w:fill="auto"/>
        <w:spacing w:line="440" w:lineRule="exact"/>
        <w:ind w:firstLine="460"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14:paraId="7AD3DD91">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24.1投标人须知前附表规定递交投标保证金的，投标人在递交投标文件的同时，应按投标人须知前附表规定的金额、担保形式和</w:t>
      </w:r>
      <w:r>
        <w:rPr>
          <w:rFonts w:hint="eastAsia" w:ascii="仿宋" w:hAnsi="仿宋" w:eastAsia="仿宋" w:cs="仿宋"/>
          <w:color w:val="auto"/>
          <w:sz w:val="24"/>
          <w:szCs w:val="24"/>
          <w:highlight w:val="none"/>
          <w:lang w:val="en-US" w:eastAsia="zh-CN"/>
        </w:rPr>
        <w:t>附件：“投标书</w:t>
      </w:r>
      <w:r>
        <w:rPr>
          <w:rFonts w:hint="eastAsia" w:ascii="仿宋" w:hAnsi="仿宋" w:eastAsia="仿宋" w:cs="仿宋"/>
          <w:color w:val="auto"/>
          <w:sz w:val="24"/>
          <w:szCs w:val="24"/>
          <w:highlight w:val="none"/>
          <w:lang w:eastAsia="zh-CN"/>
        </w:rPr>
        <w:t>格式</w:t>
      </w:r>
      <w:r>
        <w:rPr>
          <w:rFonts w:hint="eastAsia" w:ascii="仿宋" w:hAnsi="仿宋" w:eastAsia="仿宋" w:cs="仿宋"/>
          <w:color w:val="auto"/>
          <w:sz w:val="24"/>
          <w:szCs w:val="24"/>
          <w:highlight w:val="none"/>
        </w:rPr>
        <w:t>”规定的投标保证金格式递交投标保证金，并作为其投标文件的组成部分。投标人不按要求提交投标保证金的，评标委员会将否决其投标。</w:t>
      </w:r>
    </w:p>
    <w:p w14:paraId="7FEF3206">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24.2自中标通知书发出之日起5个工作日内退还未中标投标人的投标保证金，自政府采购合同签订之日起5个工作日内退还中标人的投标保证金。</w:t>
      </w:r>
    </w:p>
    <w:p w14:paraId="63852B53">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24.3有下列情形之一的，投标保证金将不予退还： </w:t>
      </w:r>
    </w:p>
    <w:p w14:paraId="36F6FA1A">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（1）投标人在规定的投标有效期内撤回或修改其投标文件；</w:t>
      </w:r>
    </w:p>
    <w:p w14:paraId="11DBDEB0">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通知书发出后三十天内，中标人无正当理由拒签合同协议书或未按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规定提交履约担保。</w:t>
      </w:r>
    </w:p>
    <w:p w14:paraId="2B1F9750">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（3）提供虚假材料谋取中标的；</w:t>
      </w:r>
    </w:p>
    <w:p w14:paraId="0C5E8407">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（4）经查实属于陪标、串通投标的等。</w:t>
      </w:r>
    </w:p>
    <w:p w14:paraId="62773AAA">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bookmarkStart w:id="51" w:name="_Toc469495727"/>
      <w:r>
        <w:rPr>
          <w:rFonts w:hint="eastAsia" w:ascii="仿宋" w:hAnsi="仿宋" w:eastAsia="仿宋" w:cs="仿宋"/>
          <w:color w:val="auto"/>
          <w:sz w:val="24"/>
          <w:szCs w:val="24"/>
          <w:highlight w:val="none"/>
        </w:rPr>
        <w:t>24.4投标保证金按</w:t>
      </w:r>
      <w:r>
        <w:rPr>
          <w:rFonts w:hint="eastAsia" w:ascii="仿宋" w:hAnsi="仿宋" w:eastAsia="仿宋" w:cs="仿宋"/>
          <w:color w:val="auto"/>
          <w:sz w:val="24"/>
          <w:szCs w:val="24"/>
          <w:highlight w:val="none"/>
          <w:lang w:eastAsia="zh-CN"/>
        </w:rPr>
        <w:t>投标人须知前附表第</w:t>
      </w:r>
      <w:r>
        <w:rPr>
          <w:rFonts w:hint="eastAsia" w:ascii="仿宋" w:hAnsi="仿宋" w:eastAsia="仿宋" w:cs="仿宋"/>
          <w:color w:val="auto"/>
          <w:sz w:val="24"/>
          <w:szCs w:val="24"/>
          <w:highlight w:val="none"/>
          <w:lang w:val="en-US" w:eastAsia="zh-CN"/>
        </w:rPr>
        <w:t>24条</w:t>
      </w:r>
      <w:r>
        <w:rPr>
          <w:rFonts w:hint="eastAsia" w:ascii="仿宋" w:hAnsi="仿宋" w:eastAsia="仿宋" w:cs="仿宋"/>
          <w:color w:val="auto"/>
          <w:sz w:val="24"/>
          <w:szCs w:val="24"/>
          <w:highlight w:val="none"/>
        </w:rPr>
        <w:t>规定执行。</w:t>
      </w:r>
    </w:p>
    <w:p w14:paraId="419EAC9C">
      <w:pPr>
        <w:shd w:val="clear" w:color="auto" w:fill="auto"/>
        <w:tabs>
          <w:tab w:val="left" w:pos="1260"/>
        </w:tabs>
        <w:bidi w:val="0"/>
        <w:jc w:val="center"/>
        <w:outlineLvl w:val="9"/>
        <w:rPr>
          <w:rFonts w:hint="eastAsia" w:ascii="仿宋" w:hAnsi="仿宋" w:eastAsia="仿宋" w:cs="仿宋"/>
          <w:color w:val="auto"/>
          <w:sz w:val="28"/>
          <w:szCs w:val="28"/>
          <w:highlight w:val="none"/>
        </w:rPr>
      </w:pPr>
      <w:bookmarkStart w:id="52" w:name="_Toc603"/>
      <w:r>
        <w:rPr>
          <w:rFonts w:hint="eastAsia" w:ascii="仿宋" w:hAnsi="仿宋" w:eastAsia="仿宋" w:cs="仿宋"/>
          <w:color w:val="auto"/>
          <w:sz w:val="28"/>
          <w:szCs w:val="28"/>
          <w:highlight w:val="none"/>
        </w:rPr>
        <w:t>（四）</w:t>
      </w:r>
      <w:bookmarkEnd w:id="51"/>
      <w:r>
        <w:rPr>
          <w:rFonts w:hint="eastAsia" w:ascii="仿宋" w:hAnsi="仿宋" w:eastAsia="仿宋" w:cs="仿宋"/>
          <w:color w:val="auto"/>
          <w:sz w:val="28"/>
          <w:szCs w:val="28"/>
          <w:highlight w:val="none"/>
        </w:rPr>
        <w:t>投标文件的制作、上传及递交要求</w:t>
      </w:r>
      <w:bookmarkEnd w:id="52"/>
    </w:p>
    <w:p w14:paraId="168B5D1C">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4502DA79">
      <w:pPr>
        <w:pStyle w:val="5"/>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07C509D8">
      <w:pPr>
        <w:pStyle w:val="5"/>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804A18B">
      <w:pPr>
        <w:pStyle w:val="5"/>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396AD452">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17C94266">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7CDEEB13">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365F946E">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1AB767BD">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52EB45A8">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2F3FC23F">
      <w:pPr>
        <w:pStyle w:val="5"/>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4E10CBCC">
      <w:pPr>
        <w:pStyle w:val="5"/>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0CB99145">
      <w:pPr>
        <w:pStyle w:val="5"/>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7142ADFA">
      <w:pPr>
        <w:pStyle w:val="5"/>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763629E2">
      <w:pPr>
        <w:pStyle w:val="5"/>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w:t>
      </w:r>
    </w:p>
    <w:p w14:paraId="16F1A798">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6AFB415F">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26723C5B">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7A0D2D0">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37D406F0">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6D5FC22F">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C39D9BD">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8"/>
          <w:szCs w:val="28"/>
          <w:highlight w:val="none"/>
        </w:rPr>
      </w:pPr>
      <w:bookmarkStart w:id="53" w:name="_Toc469495728"/>
      <w:bookmarkStart w:id="54" w:name="_Toc14213"/>
      <w:r>
        <w:rPr>
          <w:rFonts w:hint="eastAsia" w:ascii="仿宋" w:hAnsi="仿宋" w:eastAsia="仿宋" w:cs="仿宋"/>
          <w:color w:val="auto"/>
          <w:sz w:val="28"/>
          <w:szCs w:val="28"/>
          <w:highlight w:val="none"/>
        </w:rPr>
        <w:t>（五）开标、评标和定标</w:t>
      </w:r>
      <w:bookmarkEnd w:id="53"/>
      <w:bookmarkEnd w:id="54"/>
    </w:p>
    <w:p w14:paraId="3316A74B">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44B4F2A9">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bookmarkStart w:id="55" w:name="_Toc73975822"/>
      <w:r>
        <w:rPr>
          <w:rFonts w:hint="eastAsia" w:ascii="仿宋" w:hAnsi="仿宋" w:eastAsia="仿宋" w:cs="仿宋"/>
          <w:b/>
          <w:bCs/>
          <w:color w:val="auto"/>
          <w:sz w:val="24"/>
          <w:szCs w:val="24"/>
          <w:highlight w:val="none"/>
          <w:lang w:val="en-US" w:eastAsia="zh-CN"/>
        </w:rPr>
        <w:t>29.1开标邀请</w:t>
      </w:r>
      <w:bookmarkEnd w:id="55"/>
    </w:p>
    <w:p w14:paraId="06418637">
      <w:pPr>
        <w:pStyle w:val="11"/>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23959B78">
      <w:pPr>
        <w:pStyle w:val="11"/>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0CB1B93C">
      <w:pPr>
        <w:pStyle w:val="11"/>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5"/>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，所有供应商均应当准时在线参加。</w:t>
      </w:r>
    </w:p>
    <w:p w14:paraId="3AFEFFAB">
      <w:pPr>
        <w:pStyle w:val="11"/>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7CE609D">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bookmarkStart w:id="56" w:name="_Toc73975823"/>
      <w:bookmarkStart w:id="57" w:name="_Toc8537"/>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56"/>
      <w:bookmarkEnd w:id="57"/>
    </w:p>
    <w:p w14:paraId="256013C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69042FF6">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val="en-US" w:eastAsia="zh-CN"/>
        </w:rPr>
        <w:t>投标人</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0750AB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val="en-US" w:eastAsia="zh-CN"/>
        </w:rPr>
        <w:t>投标人</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03998433">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623F00D2">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投标供应商资格审查”），审查结束公布投标供应商的资格符合情况。资格审查未获通过的供应商，其商务技术文件及报价文件不再进入评审。</w:t>
      </w:r>
    </w:p>
    <w:p w14:paraId="5EF8717C">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165AF521">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6FB539F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35D8B83">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EDB0A8D">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376BA1C">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45B9D3B9">
      <w:pPr>
        <w:shd w:val="clear" w:color="auto" w:fill="auto"/>
        <w:snapToGrid w:val="0"/>
        <w:spacing w:line="360" w:lineRule="auto"/>
        <w:ind w:firstLine="480"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7A2D6B4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57E415A0">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0B3A099">
      <w:pPr>
        <w:pStyle w:val="5"/>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w:t>
      </w:r>
      <w:r>
        <w:rPr>
          <w:rFonts w:hint="eastAsia" w:ascii="仿宋" w:hAnsi="仿宋" w:eastAsia="仿宋" w:cs="仿宋"/>
          <w:b w:val="0"/>
          <w:bCs/>
          <w:color w:val="auto"/>
          <w:kern w:val="0"/>
          <w:sz w:val="24"/>
          <w:szCs w:val="24"/>
          <w:highlight w:val="none"/>
          <w:lang w:val="en-US" w:eastAsia="zh-CN"/>
        </w:rPr>
        <w:t>投标人</w:t>
      </w:r>
      <w:r>
        <w:rPr>
          <w:rFonts w:hint="eastAsia" w:ascii="仿宋" w:hAnsi="仿宋" w:eastAsia="仿宋" w:cs="仿宋"/>
          <w:b w:val="0"/>
          <w:bCs/>
          <w:color w:val="auto"/>
          <w:kern w:val="0"/>
          <w:sz w:val="24"/>
          <w:szCs w:val="24"/>
          <w:highlight w:val="none"/>
        </w:rPr>
        <w:t>须知前附表》。</w:t>
      </w:r>
    </w:p>
    <w:p w14:paraId="1832C554">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14:paraId="08C2E58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14:paraId="1BB7ABB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14:paraId="3D8FAEB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.1评标委员会由采购人或采购代理机构依法组建，成员由采购人代表和评审专家组成，成员人数为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人或以上单数，其中评审专家不少于成员总数的三分之二。</w:t>
      </w:r>
    </w:p>
    <w:p w14:paraId="06E9378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309552F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14:paraId="5956520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14:paraId="76E74EC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14:paraId="5B43910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14:paraId="754CF7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14:paraId="1BFE07A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14:paraId="71EC7B2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14:paraId="7E920EA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14:paraId="3EA3DBB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.2客观公正对待所有供应商，对所有投标评价均采用相同的程序和标准。</w:t>
      </w:r>
    </w:p>
    <w:p w14:paraId="188242F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130F7C6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7951A8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非单一产品采购项目，采购人应当根据采购项目技术构成、产品价格比重等合理确定核心产品，并在采购文件中载明。多家供应商提供的核心产品品牌相同的，按前款规定处理。</w:t>
      </w:r>
    </w:p>
    <w:p w14:paraId="3E5499C0">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14:paraId="1A13693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w:t>
      </w:r>
      <w:r>
        <w:rPr>
          <w:rFonts w:hint="eastAsia" w:ascii="仿宋" w:hAnsi="仿宋" w:eastAsia="仿宋" w:cs="仿宋"/>
          <w:color w:val="auto"/>
          <w:sz w:val="24"/>
          <w:szCs w:val="24"/>
          <w:highlight w:val="none"/>
          <w:lang w:eastAsia="zh-CN"/>
        </w:rPr>
        <w:t>。</w:t>
      </w:r>
    </w:p>
    <w:p w14:paraId="4E2D1B5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14:paraId="2AFF811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14:paraId="5239B15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C9B052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14:paraId="02FBEA4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14:paraId="1D8DB219">
      <w:pPr>
        <w:widowControl/>
        <w:shd w:val="clear" w:color="auto" w:fill="auto"/>
        <w:spacing w:line="4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综合评分法货物项目的价格分值占总分值的比重(即权值)为</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47E693DD">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14:paraId="3D0A7A47">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14:paraId="1298046D">
      <w:pPr>
        <w:widowControl/>
        <w:shd w:val="clear" w:color="auto" w:fill="auto"/>
        <w:spacing w:line="440" w:lineRule="exact"/>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14:paraId="6BE63EF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799425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0B7096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14:paraId="5C58B74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14:paraId="3368557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14:paraId="0FB803C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14:paraId="3A2A874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14:paraId="045DDD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03228E29">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6C9070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5D57842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7319587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D2AA49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14:paraId="0B081F8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62B18CA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62015A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173F4F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14:paraId="4D9BE10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1E722E1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34EBA2A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02E862F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14:paraId="0F680A3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14:paraId="263273A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14:paraId="773B79C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14:paraId="698CF50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如有多报（指数量超出采购文件需求）、重报（指同一货物重复报价），其投标总价在评标过程中不予调整，如其中标，其合同价按其投标单价予以调整；</w:t>
      </w:r>
    </w:p>
    <w:p w14:paraId="05AF030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14:paraId="00BBF3F6">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14:paraId="3FF5B76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14:paraId="122F727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09FAAA7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14:paraId="20DA04F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14:paraId="27EB7C8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14:paraId="4D51E97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14:paraId="6E4CF7D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14:paraId="3BC61F7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332FE98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14:paraId="378501F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14:paraId="47D8686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14:paraId="4951E5B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14:paraId="47EFA29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81065F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14:paraId="5B3BB7D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14:paraId="21ADD2A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14:paraId="34CC9F6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14:paraId="207BA51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14:paraId="43EA676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14:paraId="56FDE8D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14:paraId="55E8925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14:paraId="4BC7D1B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14:paraId="226FC1C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14:paraId="71F31A8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14:paraId="45391FA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14:paraId="3D56253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14:paraId="609E44E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6BD60BC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14:paraId="0A81940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14:paraId="0BB1144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14:paraId="25E6B30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14:paraId="135179C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14:paraId="2C45763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B192AF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14EA7D6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1C6E5A3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64AFEFAB">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14:paraId="0E1D59A4">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bookmarkStart w:id="58" w:name="_Toc469495729"/>
      <w:r>
        <w:rPr>
          <w:rFonts w:hint="eastAsia" w:ascii="仿宋" w:hAnsi="仿宋" w:eastAsia="仿宋" w:cs="仿宋"/>
          <w:b w:val="0"/>
          <w:bCs w:val="0"/>
          <w:color w:val="auto"/>
          <w:sz w:val="24"/>
          <w:szCs w:val="24"/>
          <w:highlight w:val="none"/>
          <w:lang w:val="en-US" w:eastAsia="zh-CN"/>
        </w:rPr>
        <w:t>41.1采购结果确认（确定中标供应商）</w:t>
      </w:r>
    </w:p>
    <w:p w14:paraId="23AC944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17BF313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14:paraId="3A2C43B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5A5B694D">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新疆政府采购网（www.zjzfcg.gov.cn）上公告采购结果，中标公告期限为1个工作日。</w:t>
      </w:r>
    </w:p>
    <w:p w14:paraId="3D2B881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14:paraId="0ED9DF4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14:paraId="73C34D5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6844F1B">
      <w:pPr>
        <w:shd w:val="clear" w:color="auto" w:fill="auto"/>
        <w:spacing w:before="156" w:beforeLines="50" w:line="440" w:lineRule="exact"/>
        <w:jc w:val="center"/>
        <w:outlineLvl w:val="9"/>
        <w:rPr>
          <w:rFonts w:hint="eastAsia" w:ascii="仿宋" w:hAnsi="仿宋" w:eastAsia="仿宋" w:cs="仿宋"/>
          <w:color w:val="auto"/>
          <w:sz w:val="24"/>
          <w:highlight w:val="none"/>
        </w:rPr>
      </w:pPr>
      <w:bookmarkStart w:id="59" w:name="_Toc8086"/>
      <w:r>
        <w:rPr>
          <w:rFonts w:hint="eastAsia" w:ascii="仿宋" w:hAnsi="仿宋" w:eastAsia="仿宋" w:cs="仿宋"/>
          <w:color w:val="auto"/>
          <w:sz w:val="28"/>
          <w:szCs w:val="28"/>
          <w:highlight w:val="none"/>
        </w:rPr>
        <w:t>（六）合同的授予</w:t>
      </w:r>
      <w:bookmarkEnd w:id="58"/>
      <w:bookmarkEnd w:id="59"/>
    </w:p>
    <w:p w14:paraId="4385920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60" w:name="_Toc73975842"/>
      <w:bookmarkStart w:id="61" w:name="_Toc469495730"/>
      <w:r>
        <w:rPr>
          <w:rFonts w:hint="eastAsia" w:ascii="仿宋" w:hAnsi="仿宋" w:eastAsia="仿宋" w:cs="仿宋"/>
          <w:b w:val="0"/>
          <w:bCs w:val="0"/>
          <w:color w:val="auto"/>
          <w:sz w:val="24"/>
          <w:szCs w:val="24"/>
          <w:highlight w:val="none"/>
          <w:lang w:val="en-US" w:eastAsia="zh-CN"/>
        </w:rPr>
        <w:t>43．履约保证金</w:t>
      </w:r>
      <w:bookmarkEnd w:id="60"/>
    </w:p>
    <w:p w14:paraId="32C6E7A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62" w:name="_Toc73975843"/>
      <w:r>
        <w:rPr>
          <w:rFonts w:hint="eastAsia" w:ascii="仿宋" w:hAnsi="仿宋" w:eastAsia="仿宋" w:cs="仿宋"/>
          <w:b w:val="0"/>
          <w:bCs w:val="0"/>
          <w:color w:val="auto"/>
          <w:sz w:val="24"/>
          <w:szCs w:val="24"/>
          <w:highlight w:val="none"/>
          <w:lang w:val="en-US" w:eastAsia="zh-CN"/>
        </w:rPr>
        <w:t>无</w:t>
      </w:r>
    </w:p>
    <w:p w14:paraId="7DDD1A6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44．签订合同及公告</w:t>
      </w:r>
      <w:bookmarkEnd w:id="62"/>
    </w:p>
    <w:p w14:paraId="6CA6482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14:paraId="6855C10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14:paraId="0A071D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1FAF9FB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07626B6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381D7C2E">
      <w:pPr>
        <w:shd w:val="clear" w:color="auto" w:fill="auto"/>
        <w:adjustRightInd w:val="0"/>
        <w:snapToGrid w:val="0"/>
        <w:spacing w:line="440" w:lineRule="exact"/>
        <w:jc w:val="center"/>
        <w:outlineLvl w:val="9"/>
        <w:rPr>
          <w:rFonts w:hint="eastAsia" w:ascii="仿宋" w:hAnsi="仿宋" w:eastAsia="仿宋" w:cs="仿宋"/>
          <w:color w:val="auto"/>
          <w:sz w:val="28"/>
          <w:szCs w:val="28"/>
          <w:highlight w:val="none"/>
        </w:rPr>
      </w:pPr>
      <w:bookmarkStart w:id="63" w:name="_Toc10915"/>
      <w:r>
        <w:rPr>
          <w:rFonts w:hint="eastAsia" w:ascii="仿宋" w:hAnsi="仿宋" w:eastAsia="仿宋" w:cs="仿宋"/>
          <w:color w:val="auto"/>
          <w:sz w:val="28"/>
          <w:szCs w:val="28"/>
          <w:highlight w:val="none"/>
        </w:rPr>
        <w:t>（七）纪律和监督</w:t>
      </w:r>
      <w:bookmarkEnd w:id="61"/>
      <w:bookmarkEnd w:id="63"/>
    </w:p>
    <w:p w14:paraId="637E9194">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14:paraId="0CD61C4B">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14:paraId="65135AD1">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14:paraId="356F35D9">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4A61688D">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对评标委员会成员的纪律要求</w:t>
      </w:r>
    </w:p>
    <w:p w14:paraId="087428CD">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6CD1E4BA">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.2在评标活动中，评标委员会成员不得擅离职守，影响评标程序正常进行，不得使用第三章“评标办法”没有规定的评审因素和标准进行评标。</w:t>
      </w:r>
    </w:p>
    <w:p w14:paraId="11B149F5">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对与评标活动有关的工作人员的纪律要求</w:t>
      </w:r>
    </w:p>
    <w:p w14:paraId="323DAD97">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E6B7C1F">
      <w:pPr>
        <w:shd w:val="clear" w:color="auto" w:fill="auto"/>
        <w:spacing w:before="156" w:beforeLines="50" w:after="156" w:afterLines="50" w:line="500" w:lineRule="exact"/>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（八）质疑与投诉</w:t>
      </w:r>
    </w:p>
    <w:p w14:paraId="01555B8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14:paraId="6676719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58B0DD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14:paraId="65FA163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14:paraId="4599433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14:paraId="4E73ADC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D3D09F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7EA7A7C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4B585E1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4E378B3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49.5供应商有下列情形之一的，将其列入不良行为记录名单：</w:t>
      </w:r>
    </w:p>
    <w:p w14:paraId="4728CD9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14:paraId="3446D07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14:paraId="640B8DA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1B86A431">
      <w:pPr>
        <w:shd w:val="clear" w:color="auto" w:fill="auto"/>
        <w:jc w:val="left"/>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br w:type="page"/>
      </w:r>
      <w:r>
        <w:rPr>
          <w:rFonts w:hint="eastAsia" w:ascii="仿宋" w:hAnsi="仿宋" w:eastAsia="仿宋" w:cs="仿宋"/>
          <w:b/>
          <w:bCs/>
          <w:color w:val="auto"/>
          <w:sz w:val="21"/>
          <w:szCs w:val="21"/>
          <w:highlight w:val="none"/>
          <w:lang w:eastAsia="zh-CN"/>
        </w:rPr>
        <w:t>附件：</w:t>
      </w:r>
    </w:p>
    <w:p w14:paraId="562E6F9B">
      <w:pPr>
        <w:shd w:val="clear" w:color="auto" w:fill="auto"/>
        <w:jc w:val="center"/>
        <w:outlineLvl w:val="9"/>
        <w:rPr>
          <w:rFonts w:hint="eastAsia" w:ascii="仿宋" w:hAnsi="仿宋" w:eastAsia="仿宋" w:cs="仿宋"/>
          <w:b/>
          <w:bCs/>
          <w:color w:val="auto"/>
          <w:sz w:val="32"/>
          <w:szCs w:val="32"/>
          <w:highlight w:val="none"/>
          <w:lang w:eastAsia="zh-CN"/>
        </w:rPr>
      </w:pPr>
    </w:p>
    <w:p w14:paraId="1E852D90">
      <w:pPr>
        <w:shd w:val="clear" w:color="auto" w:fill="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14:paraId="3095A398">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8"/>
          <w:szCs w:val="28"/>
          <w:highlight w:val="none"/>
        </w:rPr>
        <w:t>政府采购投诉书（范本）</w:t>
      </w:r>
    </w:p>
    <w:p w14:paraId="103F8E2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4F9D8BE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B00DAB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07CA7E1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2C2A67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7C0059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17D6AAE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14:paraId="6DA3B50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786B968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4D6136E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215EBE2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78FEE61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3743819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352B2D3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118A2D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1D5018A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66D6D38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6363512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1892A2A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600" w:firstLineChars="15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1AF098E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600" w:firstLineChars="15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法定代表人（或主要负责人）：（签字）</w:t>
      </w:r>
    </w:p>
    <w:p w14:paraId="7B65DE3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18FA4D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74F30F42">
      <w:pPr>
        <w:shd w:val="clear" w:color="auto" w:fill="auto"/>
        <w:ind w:left="7951" w:hanging="5760" w:hangingChars="1800"/>
        <w:jc w:val="center"/>
        <w:outlineLvl w:val="9"/>
        <w:rPr>
          <w:rFonts w:hint="eastAsia" w:ascii="仿宋" w:hAnsi="仿宋" w:eastAsia="仿宋" w:cs="仿宋"/>
          <w:color w:val="auto"/>
          <w:sz w:val="32"/>
          <w:szCs w:val="32"/>
          <w:highlight w:val="none"/>
        </w:rPr>
      </w:pPr>
      <w:bookmarkStart w:id="64" w:name="_Toc17515"/>
      <w:r>
        <w:rPr>
          <w:rFonts w:hint="eastAsia" w:ascii="仿宋" w:hAnsi="仿宋" w:eastAsia="仿宋" w:cs="仿宋"/>
          <w:b/>
          <w:bCs/>
          <w:color w:val="auto"/>
          <w:sz w:val="32"/>
          <w:szCs w:val="32"/>
          <w:highlight w:val="none"/>
        </w:rPr>
        <w:br w:type="page"/>
      </w:r>
      <w:bookmarkStart w:id="65" w:name="_Toc3424"/>
      <w:r>
        <w:rPr>
          <w:rFonts w:hint="eastAsia" w:ascii="仿宋" w:hAnsi="仿宋" w:eastAsia="仿宋" w:cs="仿宋"/>
          <w:b/>
          <w:bCs/>
          <w:color w:val="auto"/>
          <w:sz w:val="32"/>
          <w:szCs w:val="32"/>
          <w:highlight w:val="none"/>
        </w:rPr>
        <w:t>投诉相关说明</w:t>
      </w:r>
      <w:bookmarkEnd w:id="64"/>
      <w:bookmarkEnd w:id="65"/>
    </w:p>
    <w:p w14:paraId="5D0334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555C5997">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bCs/>
          <w:color w:val="auto"/>
          <w:sz w:val="24"/>
          <w:szCs w:val="24"/>
          <w:highlight w:val="none"/>
        </w:rPr>
      </w:pPr>
      <w:bookmarkStart w:id="66" w:name="_Toc23018"/>
      <w:bookmarkStart w:id="67" w:name="_Toc11499"/>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质疑前置及时间要求</w:t>
      </w:r>
      <w:bookmarkEnd w:id="66"/>
      <w:bookmarkEnd w:id="67"/>
    </w:p>
    <w:p w14:paraId="2BCE382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6F8C68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08088D5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4B7247D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FC9594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《政府采购实施条例》第五十五条：供应商质疑、投诉应当有明确的请求和必要的证明材料。供应商投诉的事项不得超出质疑事项的范围。</w:t>
      </w:r>
    </w:p>
    <w:p w14:paraId="042C75E4">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bookmarkStart w:id="68" w:name="_Toc21691"/>
      <w:bookmarkStart w:id="69" w:name="_Toc13508"/>
      <w:r>
        <w:rPr>
          <w:rFonts w:hint="eastAsia" w:ascii="仿宋" w:hAnsi="仿宋" w:eastAsia="仿宋" w:cs="仿宋"/>
          <w:b/>
          <w:bCs/>
          <w:color w:val="auto"/>
          <w:sz w:val="24"/>
          <w:szCs w:val="24"/>
          <w:highlight w:val="none"/>
        </w:rPr>
        <w:t>二、书面方式</w:t>
      </w:r>
      <w:bookmarkEnd w:id="68"/>
      <w:bookmarkEnd w:id="69"/>
    </w:p>
    <w:p w14:paraId="51B3EE1A">
      <w:pPr>
        <w:keepNext w:val="0"/>
        <w:keepLines w:val="0"/>
        <w:pageBreakBefore w:val="0"/>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《政府采购供应商投诉处理办法》第八条：投诉人投诉时，应当提交投诉书，并按照被投诉人以及与投诉事项有关的供应商数量提供投诉书的副本。</w:t>
      </w:r>
    </w:p>
    <w:p w14:paraId="498B12AC">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投诉书应当包括下列主要内容：</w:t>
      </w:r>
    </w:p>
    <w:p w14:paraId="6FA12A83">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14:paraId="072BBD03">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14:paraId="2F01C8B5">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14:paraId="742C5DF7">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14:paraId="7C48BD35">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310F224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55053B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4A3FFBFF">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14:paraId="59A109CE">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14:paraId="0F9B5FE5">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14:paraId="5DB637EB">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14:paraId="7ED4176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14:paraId="3A3731D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14:paraId="15524D80">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14:paraId="7A340634">
      <w:pPr>
        <w:shd w:val="clear" w:color="auto" w:fill="auto"/>
        <w:outlineLvl w:val="9"/>
        <w:rPr>
          <w:rFonts w:hint="eastAsia" w:ascii="仿宋" w:hAnsi="仿宋" w:eastAsia="仿宋" w:cs="仿宋"/>
          <w:color w:val="auto"/>
          <w:sz w:val="24"/>
          <w:szCs w:val="24"/>
          <w:highlight w:val="none"/>
        </w:rPr>
      </w:pPr>
      <w:bookmarkStart w:id="70" w:name="_Toc5978"/>
      <w:bookmarkStart w:id="71" w:name="_Toc18152"/>
      <w:r>
        <w:rPr>
          <w:rFonts w:hint="eastAsia" w:ascii="仿宋" w:hAnsi="仿宋" w:eastAsia="仿宋" w:cs="仿宋"/>
          <w:b/>
          <w:bCs/>
          <w:color w:val="auto"/>
          <w:sz w:val="24"/>
          <w:szCs w:val="24"/>
          <w:highlight w:val="none"/>
        </w:rPr>
        <w:t>三、虚假、恶意投诉法律责任</w:t>
      </w:r>
      <w:bookmarkEnd w:id="70"/>
      <w:bookmarkEnd w:id="71"/>
    </w:p>
    <w:p w14:paraId="11A2317C">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6CB2738A">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099168A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361E77D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3BE4B88B">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1"/>
          <w:szCs w:val="21"/>
          <w:highlight w:val="none"/>
        </w:rPr>
      </w:pPr>
    </w:p>
    <w:p w14:paraId="0B579AFF">
      <w:pPr>
        <w:shd w:val="clear" w:color="auto" w:fill="auto"/>
        <w:jc w:val="right"/>
        <w:outlineLvl w:val="9"/>
        <w:rPr>
          <w:rFonts w:hint="eastAsia" w:ascii="仿宋" w:hAnsi="仿宋" w:eastAsia="仿宋" w:cs="仿宋"/>
          <w:color w:val="auto"/>
          <w:sz w:val="32"/>
          <w:szCs w:val="32"/>
          <w:highlight w:val="none"/>
        </w:rPr>
      </w:pPr>
    </w:p>
    <w:p w14:paraId="39BBEDE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32"/>
          <w:szCs w:val="32"/>
          <w:highlight w:val="none"/>
        </w:rPr>
      </w:pPr>
      <w:bookmarkStart w:id="72" w:name="_Toc1697"/>
      <w:r>
        <w:rPr>
          <w:rFonts w:hint="eastAsia" w:ascii="仿宋" w:hAnsi="仿宋" w:eastAsia="仿宋" w:cs="仿宋"/>
          <w:b/>
          <w:bCs/>
          <w:color w:val="auto"/>
          <w:sz w:val="32"/>
          <w:szCs w:val="32"/>
          <w:highlight w:val="none"/>
        </w:rPr>
        <w:br w:type="page"/>
      </w:r>
      <w:bookmarkStart w:id="73" w:name="_Toc31922"/>
      <w:r>
        <w:rPr>
          <w:rFonts w:hint="eastAsia" w:ascii="仿宋" w:hAnsi="仿宋" w:eastAsia="仿宋" w:cs="仿宋"/>
          <w:b/>
          <w:bCs/>
          <w:color w:val="auto"/>
          <w:sz w:val="32"/>
          <w:szCs w:val="32"/>
          <w:highlight w:val="none"/>
        </w:rPr>
        <w:t>质疑函范本</w:t>
      </w:r>
      <w:bookmarkEnd w:id="72"/>
      <w:bookmarkEnd w:id="73"/>
    </w:p>
    <w:p w14:paraId="115BD134">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74" w:name="_Toc22990"/>
      <w:bookmarkStart w:id="75" w:name="_Toc9061"/>
      <w:r>
        <w:rPr>
          <w:rFonts w:hint="eastAsia" w:ascii="仿宋" w:hAnsi="仿宋" w:eastAsia="仿宋" w:cs="仿宋"/>
          <w:bCs/>
          <w:color w:val="auto"/>
          <w:sz w:val="24"/>
          <w:szCs w:val="24"/>
          <w:highlight w:val="none"/>
        </w:rPr>
        <w:t>一、质疑供应商基本信息</w:t>
      </w:r>
      <w:bookmarkEnd w:id="74"/>
      <w:bookmarkEnd w:id="75"/>
    </w:p>
    <w:p w14:paraId="3DE9284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144210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BDFD37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BD6F6D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32C87B2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A62B0A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196D3E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76" w:name="_Toc15938"/>
      <w:bookmarkStart w:id="77" w:name="_Toc7359"/>
      <w:r>
        <w:rPr>
          <w:rFonts w:hint="eastAsia" w:ascii="仿宋" w:hAnsi="仿宋" w:eastAsia="仿宋" w:cs="仿宋"/>
          <w:bCs/>
          <w:color w:val="auto"/>
          <w:sz w:val="24"/>
          <w:szCs w:val="24"/>
          <w:highlight w:val="none"/>
        </w:rPr>
        <w:t>二、质疑项目基本情况</w:t>
      </w:r>
      <w:bookmarkEnd w:id="76"/>
      <w:bookmarkEnd w:id="77"/>
    </w:p>
    <w:p w14:paraId="2F52A3D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52E7A4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7EE207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7B5E9AC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4A79FAF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78" w:name="_Toc18271"/>
      <w:bookmarkStart w:id="79" w:name="_Toc1043"/>
      <w:r>
        <w:rPr>
          <w:rFonts w:hint="eastAsia" w:ascii="仿宋" w:hAnsi="仿宋" w:eastAsia="仿宋" w:cs="仿宋"/>
          <w:bCs/>
          <w:color w:val="auto"/>
          <w:sz w:val="24"/>
          <w:szCs w:val="24"/>
          <w:highlight w:val="none"/>
        </w:rPr>
        <w:t>三、质疑事项具体内容</w:t>
      </w:r>
      <w:bookmarkEnd w:id="78"/>
      <w:bookmarkEnd w:id="79"/>
    </w:p>
    <w:p w14:paraId="16F07A7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C014EB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6274F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5D9BE3A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2ACA5EE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6FCABB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80" w:name="_Toc16593"/>
      <w:bookmarkStart w:id="81" w:name="_Toc22365"/>
      <w:r>
        <w:rPr>
          <w:rFonts w:hint="eastAsia" w:ascii="仿宋" w:hAnsi="仿宋" w:eastAsia="仿宋" w:cs="仿宋"/>
          <w:bCs/>
          <w:color w:val="auto"/>
          <w:sz w:val="24"/>
          <w:szCs w:val="24"/>
          <w:highlight w:val="none"/>
        </w:rPr>
        <w:t>四、与质疑事项相关的质疑请求</w:t>
      </w:r>
      <w:bookmarkEnd w:id="80"/>
      <w:bookmarkEnd w:id="81"/>
    </w:p>
    <w:p w14:paraId="5E0B06E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652CAFED">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B7BF16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F4C9AD7">
      <w:pPr>
        <w:pStyle w:val="14"/>
        <w:rPr>
          <w:rFonts w:hint="eastAsia" w:ascii="仿宋" w:hAnsi="仿宋" w:eastAsia="仿宋" w:cs="仿宋"/>
          <w:color w:val="auto"/>
          <w:sz w:val="24"/>
          <w:szCs w:val="24"/>
          <w:highlight w:val="none"/>
        </w:rPr>
      </w:pPr>
    </w:p>
    <w:p w14:paraId="5ED6EC2C">
      <w:pPr>
        <w:pStyle w:val="14"/>
        <w:rPr>
          <w:rFonts w:hint="eastAsia" w:ascii="仿宋" w:hAnsi="仿宋" w:eastAsia="仿宋" w:cs="仿宋"/>
          <w:color w:val="auto"/>
          <w:sz w:val="24"/>
          <w:szCs w:val="24"/>
          <w:highlight w:val="none"/>
        </w:rPr>
      </w:pPr>
    </w:p>
    <w:p w14:paraId="5C616536">
      <w:pPr>
        <w:pStyle w:val="14"/>
        <w:rPr>
          <w:rFonts w:hint="eastAsia" w:ascii="仿宋" w:hAnsi="仿宋" w:eastAsia="仿宋" w:cs="仿宋"/>
          <w:color w:val="auto"/>
          <w:sz w:val="24"/>
          <w:szCs w:val="24"/>
          <w:highlight w:val="none"/>
        </w:rPr>
      </w:pPr>
    </w:p>
    <w:p w14:paraId="0653C2D8">
      <w:pPr>
        <w:pStyle w:val="14"/>
        <w:rPr>
          <w:rFonts w:hint="eastAsia" w:ascii="仿宋" w:hAnsi="仿宋" w:eastAsia="仿宋" w:cs="仿宋"/>
          <w:color w:val="auto"/>
          <w:sz w:val="21"/>
          <w:szCs w:val="21"/>
          <w:highlight w:val="none"/>
        </w:rPr>
      </w:pPr>
    </w:p>
    <w:p w14:paraId="2830ADF8">
      <w:pPr>
        <w:pStyle w:val="19"/>
        <w:outlineLvl w:val="0"/>
        <w:rPr>
          <w:rFonts w:hint="eastAsia" w:ascii="仿宋" w:hAnsi="仿宋" w:eastAsia="仿宋" w:cs="仿宋"/>
          <w:b/>
          <w:bCs/>
          <w:color w:val="auto"/>
          <w:sz w:val="36"/>
          <w:szCs w:val="20"/>
          <w:highlight w:val="none"/>
        </w:rPr>
      </w:pPr>
      <w:bookmarkStart w:id="82" w:name="_Toc30189"/>
      <w:bookmarkStart w:id="83" w:name="_Toc26839"/>
      <w:bookmarkStart w:id="84" w:name="_Toc17416"/>
      <w:r>
        <w:rPr>
          <w:rFonts w:hint="eastAsia" w:ascii="仿宋" w:hAnsi="仿宋" w:eastAsia="仿宋" w:cs="仿宋"/>
          <w:b/>
          <w:bCs/>
          <w:color w:val="auto"/>
          <w:sz w:val="36"/>
          <w:szCs w:val="20"/>
          <w:highlight w:val="none"/>
        </w:rPr>
        <w:t>第三章 评标办法</w:t>
      </w:r>
      <w:bookmarkEnd w:id="82"/>
      <w:bookmarkEnd w:id="83"/>
      <w:bookmarkEnd w:id="84"/>
    </w:p>
    <w:p w14:paraId="4C1E38F9">
      <w:pPr>
        <w:shd w:val="clear" w:color="auto" w:fill="auto"/>
        <w:jc w:val="center"/>
        <w:outlineLvl w:val="1"/>
        <w:rPr>
          <w:rFonts w:hint="eastAsia" w:ascii="仿宋" w:hAnsi="仿宋" w:eastAsia="仿宋" w:cs="仿宋"/>
          <w:b/>
          <w:color w:val="auto"/>
          <w:sz w:val="32"/>
          <w:szCs w:val="32"/>
          <w:highlight w:val="none"/>
        </w:rPr>
      </w:pPr>
      <w:bookmarkStart w:id="85" w:name="_Toc5254"/>
      <w:bookmarkStart w:id="86" w:name="_Toc29367"/>
      <w:bookmarkStart w:id="87" w:name="_Toc469495733"/>
      <w:bookmarkStart w:id="88" w:name="_Toc362983802"/>
      <w:bookmarkStart w:id="89" w:name="_Toc267320058"/>
      <w:bookmarkStart w:id="90" w:name="_Toc363135205"/>
      <w:r>
        <w:rPr>
          <w:rFonts w:hint="eastAsia" w:ascii="仿宋" w:hAnsi="仿宋" w:eastAsia="仿宋" w:cs="仿宋"/>
          <w:b/>
          <w:color w:val="auto"/>
          <w:sz w:val="32"/>
          <w:szCs w:val="32"/>
          <w:highlight w:val="none"/>
        </w:rPr>
        <w:t>一</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总  则</w:t>
      </w:r>
      <w:bookmarkEnd w:id="85"/>
      <w:bookmarkEnd w:id="86"/>
    </w:p>
    <w:p w14:paraId="2C4CA597">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14:paraId="4810C315">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w:t>
      </w:r>
      <w:r>
        <w:rPr>
          <w:rFonts w:hint="eastAsia" w:ascii="仿宋" w:hAnsi="仿宋" w:eastAsia="仿宋" w:cs="仿宋"/>
          <w:color w:val="auto"/>
          <w:sz w:val="24"/>
          <w:szCs w:val="24"/>
          <w:highlight w:val="none"/>
          <w:lang w:eastAsia="zh-CN"/>
        </w:rPr>
        <w:t>政府采购货物和服务招标投标管理办法</w:t>
      </w:r>
      <w:r>
        <w:rPr>
          <w:rFonts w:hint="eastAsia" w:ascii="仿宋" w:hAnsi="仿宋" w:eastAsia="仿宋" w:cs="仿宋"/>
          <w:color w:val="auto"/>
          <w:sz w:val="24"/>
          <w:szCs w:val="24"/>
          <w:highlight w:val="none"/>
        </w:rPr>
        <w:t>》、《政府采购</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采购方式管理暂行办法》及政府采购的有关规定进行。</w:t>
      </w:r>
    </w:p>
    <w:p w14:paraId="469DA68C">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1.2评标必须遵循公开、公平、公正、诚实信用的原则。</w:t>
      </w:r>
    </w:p>
    <w:p w14:paraId="419AD787">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14:paraId="353A8721">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规定的内容进行，采取综合比较和分项打分相结合的评标方法（综合评分法），避免纯技术或纯经济的倾向。</w:t>
      </w:r>
    </w:p>
    <w:p w14:paraId="4F295306">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1.5本办法的评标对象是指供应商按照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要求提供的有效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，包括供应商应</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小组要求对原</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作出的正式书面澄清文件。</w:t>
      </w:r>
    </w:p>
    <w:p w14:paraId="41C5B05C">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组织机构的组成</w:t>
      </w:r>
    </w:p>
    <w:p w14:paraId="40C68E54">
      <w:pPr>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小组成员由招标人的代表和随机抽取的有关方面的</w:t>
      </w:r>
      <w:r>
        <w:rPr>
          <w:rFonts w:hint="eastAsia" w:ascii="仿宋" w:hAnsi="仿宋" w:eastAsia="仿宋" w:cs="仿宋"/>
          <w:b w:val="0"/>
          <w:bCs w:val="0"/>
          <w:color w:val="auto"/>
          <w:sz w:val="24"/>
          <w:szCs w:val="24"/>
          <w:highlight w:val="none"/>
          <w:u w:val="none"/>
        </w:rPr>
        <w:t>专家组成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小组的成员在评标过程中</w:t>
      </w:r>
      <w:r>
        <w:rPr>
          <w:rFonts w:hint="eastAsia" w:ascii="仿宋" w:hAnsi="仿宋" w:eastAsia="仿宋" w:cs="仿宋"/>
          <w:color w:val="auto"/>
          <w:sz w:val="24"/>
          <w:szCs w:val="24"/>
          <w:highlight w:val="none"/>
          <w:lang w:val="zh-CN"/>
        </w:rPr>
        <w:t>必须严格遵守政府采购的有关规定</w:t>
      </w:r>
      <w:r>
        <w:rPr>
          <w:rFonts w:hint="eastAsia" w:ascii="仿宋" w:hAnsi="仿宋" w:eastAsia="仿宋" w:cs="仿宋"/>
          <w:color w:val="auto"/>
          <w:sz w:val="24"/>
          <w:szCs w:val="24"/>
          <w:highlight w:val="none"/>
        </w:rPr>
        <w:t>。专家从当地专家库中随机抽取产生。</w:t>
      </w:r>
    </w:p>
    <w:p w14:paraId="25E4737B">
      <w:pPr>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小组确认，并接受其领导。</w:t>
      </w:r>
    </w:p>
    <w:p w14:paraId="5436AD09">
      <w:pPr>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小组应相对独立工作，负责评标、撰写技术、商务评标报告。采购代理机构负责评标过程中资料的保管、发放、回收，整理、汇总评标资料。</w:t>
      </w:r>
    </w:p>
    <w:p w14:paraId="1CA81F18">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小组职责</w:t>
      </w:r>
    </w:p>
    <w:p w14:paraId="0A9DDC4F">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是否符合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要求，并作出评价；</w:t>
      </w:r>
    </w:p>
    <w:p w14:paraId="5C875A11">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3.2要求供应商对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有关事项作出解释或者澄清；</w:t>
      </w:r>
    </w:p>
    <w:p w14:paraId="043F1B95">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3.3推荐成交候选人名单；</w:t>
      </w:r>
    </w:p>
    <w:p w14:paraId="45CCD92C">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14:paraId="1709861E">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小组义务</w:t>
      </w:r>
    </w:p>
    <w:p w14:paraId="34D3963A">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14:paraId="531DB099">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规定的评标方法和评标标准进行评标，对评审意见承担个人责任；</w:t>
      </w:r>
    </w:p>
    <w:p w14:paraId="173DD894">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4.3对评标过程和结果，以及供应商的商业秘密保密；</w:t>
      </w:r>
    </w:p>
    <w:p w14:paraId="2AE90F14">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14:paraId="225417C8">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14:paraId="02730F77">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供应商提出的质疑。</w:t>
      </w:r>
    </w:p>
    <w:p w14:paraId="63FDC202">
      <w:pPr>
        <w:tabs>
          <w:tab w:val="left" w:pos="1547"/>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评标程序</w:t>
      </w:r>
    </w:p>
    <w:p w14:paraId="78303E00">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5.1本次评标首先由招标小组对供应商的投标文件进行初审，对未能通过初审的投标文件作废标处理；</w:t>
      </w:r>
    </w:p>
    <w:p w14:paraId="0450AA36">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5.2对通过初审的供应商的投标文件进行详细的比较和评价。如需要，进行必要的澄清工作；</w:t>
      </w:r>
    </w:p>
    <w:p w14:paraId="45B6CF62">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5.3评标报告与推荐成交候选人</w:t>
      </w:r>
    </w:p>
    <w:p w14:paraId="58321AB7">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招标小组各成员应当独立对每个有效响应的文件进行评价、打分，然后汇总每个供应商每项评分因素的得分。</w:t>
      </w:r>
    </w:p>
    <w:p w14:paraId="120DD232">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综合评分法</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项目的价格分值占总分值的比重(即权值)为</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％，采购项目中含不同采购对象的，以占项目资金比例最高的采购对象确定其项目属性。其价格不列为评分因素，有特殊情况需要在上述规定范围外设定价格分权重的。</w:t>
      </w:r>
    </w:p>
    <w:p w14:paraId="04F10FF4">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727CDCDD">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投标报价得分=(评标基准价／投标报价)×30%×100，项目评审过程中，不得去掉最后报价中的最高报价和最低报价。</w:t>
      </w:r>
    </w:p>
    <w:p w14:paraId="14F1C955">
      <w:pPr>
        <w:pStyle w:val="30"/>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评标委员会按照招标文件的评标办法负责向采购人推荐一家或一至三家供应商为中标候选人。</w:t>
      </w:r>
    </w:p>
    <w:p w14:paraId="0134ED4F">
      <w:pPr>
        <w:shd w:val="clear" w:color="auto" w:fill="auto"/>
        <w:jc w:val="center"/>
        <w:outlineLvl w:val="1"/>
        <w:rPr>
          <w:rFonts w:hint="eastAsia" w:ascii="仿宋" w:hAnsi="仿宋" w:eastAsia="仿宋" w:cs="仿宋"/>
          <w:b/>
          <w:color w:val="auto"/>
          <w:sz w:val="32"/>
          <w:szCs w:val="32"/>
          <w:highlight w:val="none"/>
        </w:rPr>
      </w:pPr>
      <w:bookmarkStart w:id="91" w:name="_Toc18154"/>
      <w:bookmarkStart w:id="92" w:name="_Toc14642"/>
      <w:r>
        <w:rPr>
          <w:rFonts w:hint="eastAsia" w:ascii="仿宋" w:hAnsi="仿宋" w:eastAsia="仿宋" w:cs="仿宋"/>
          <w:b/>
          <w:color w:val="auto"/>
          <w:sz w:val="32"/>
          <w:szCs w:val="32"/>
          <w:highlight w:val="none"/>
        </w:rPr>
        <w:t>二  投标文件初审</w:t>
      </w:r>
      <w:bookmarkEnd w:id="87"/>
      <w:bookmarkEnd w:id="88"/>
      <w:bookmarkEnd w:id="91"/>
      <w:bookmarkEnd w:id="92"/>
    </w:p>
    <w:p w14:paraId="3CC0FE70">
      <w:pPr>
        <w:shd w:val="clear" w:color="auto" w:fill="auto"/>
        <w:spacing w:line="40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14:paraId="2CC894BC">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21"/>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45"/>
        <w:gridCol w:w="8651"/>
      </w:tblGrid>
      <w:tr w14:paraId="5759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restart"/>
            <w:noWrap w:val="0"/>
            <w:vAlign w:val="center"/>
          </w:tcPr>
          <w:p w14:paraId="0F5D354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9096" w:type="dxa"/>
            <w:gridSpan w:val="2"/>
            <w:vMerge w:val="restart"/>
            <w:noWrap w:val="0"/>
            <w:vAlign w:val="center"/>
          </w:tcPr>
          <w:p w14:paraId="778E541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r>
      <w:tr w14:paraId="24E4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continue"/>
            <w:noWrap w:val="0"/>
            <w:vAlign w:val="center"/>
          </w:tcPr>
          <w:p w14:paraId="04030ACE">
            <w:pPr>
              <w:shd w:val="clear" w:color="auto" w:fill="auto"/>
              <w:outlineLvl w:val="9"/>
              <w:rPr>
                <w:rFonts w:hint="eastAsia" w:ascii="仿宋" w:hAnsi="仿宋" w:eastAsia="仿宋" w:cs="仿宋"/>
                <w:color w:val="auto"/>
                <w:sz w:val="24"/>
                <w:szCs w:val="24"/>
                <w:highlight w:val="none"/>
              </w:rPr>
            </w:pPr>
          </w:p>
        </w:tc>
        <w:tc>
          <w:tcPr>
            <w:tcW w:w="9096" w:type="dxa"/>
            <w:gridSpan w:val="2"/>
            <w:vMerge w:val="continue"/>
            <w:noWrap w:val="0"/>
            <w:vAlign w:val="top"/>
          </w:tcPr>
          <w:p w14:paraId="677499EE">
            <w:pPr>
              <w:shd w:val="clear" w:color="auto" w:fill="auto"/>
              <w:outlineLvl w:val="9"/>
              <w:rPr>
                <w:rFonts w:hint="eastAsia" w:ascii="仿宋" w:hAnsi="仿宋" w:eastAsia="仿宋" w:cs="仿宋"/>
                <w:color w:val="auto"/>
                <w:sz w:val="24"/>
                <w:szCs w:val="24"/>
                <w:highlight w:val="none"/>
              </w:rPr>
            </w:pPr>
          </w:p>
        </w:tc>
      </w:tr>
      <w:tr w14:paraId="15F9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vMerge w:val="restart"/>
            <w:noWrap w:val="0"/>
            <w:vAlign w:val="center"/>
          </w:tcPr>
          <w:p w14:paraId="6DB74C9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D8AF30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02F1B03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417CC35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14:paraId="020BF899">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14:paraId="6720785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14:paraId="1F8C125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14:paraId="32BBB5EF">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14:paraId="6740517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14:paraId="6242D65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14:paraId="11F0ADC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445" w:type="dxa"/>
            <w:noWrap w:val="0"/>
            <w:vAlign w:val="center"/>
          </w:tcPr>
          <w:p w14:paraId="5A8CB066">
            <w:pPr>
              <w:autoSpaceDN w:val="0"/>
              <w:jc w:val="center"/>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651" w:type="dxa"/>
            <w:noWrap w:val="0"/>
            <w:vAlign w:val="center"/>
          </w:tcPr>
          <w:p w14:paraId="7045C4DF">
            <w:pPr>
              <w:autoSpaceDN w:val="0"/>
              <w:jc w:val="left"/>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合格有效的</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eastAsia="zh-CN"/>
              </w:rPr>
              <w:t>；</w:t>
            </w:r>
          </w:p>
        </w:tc>
      </w:tr>
      <w:tr w14:paraId="5A01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649" w:type="dxa"/>
            <w:vMerge w:val="continue"/>
            <w:noWrap w:val="0"/>
            <w:vAlign w:val="center"/>
          </w:tcPr>
          <w:p w14:paraId="7F2FD6F3">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481CB8D2">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8651" w:type="dxa"/>
            <w:noWrap w:val="0"/>
            <w:vAlign w:val="center"/>
          </w:tcPr>
          <w:p w14:paraId="3FDBFFFF">
            <w:pPr>
              <w:autoSpaceDN w:val="0"/>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具有良好的商业信誉和健全的财务会计制度（由具备资质的中介机构出具的</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财务审计报告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由基本户开户行出具的银行资信证明</w:t>
            </w:r>
            <w:r>
              <w:rPr>
                <w:rFonts w:hint="eastAsia" w:ascii="仿宋" w:hAnsi="仿宋" w:eastAsia="仿宋" w:cs="仿宋"/>
                <w:color w:val="auto"/>
                <w:sz w:val="24"/>
                <w:szCs w:val="24"/>
                <w:highlight w:val="none"/>
              </w:rPr>
              <w:t>；成立不满一年企业提供财务报表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0062AD9">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w:t>
            </w:r>
          </w:p>
        </w:tc>
      </w:tr>
      <w:tr w14:paraId="1BC4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6D4769E5">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3F978938">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8651" w:type="dxa"/>
            <w:noWrap w:val="0"/>
            <w:vAlign w:val="center"/>
          </w:tcPr>
          <w:p w14:paraId="370260B5">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有依法缴纳税收和社会保障资金的良好记录（近</w:t>
            </w:r>
            <w:r>
              <w:rPr>
                <w:rFonts w:hint="eastAsia" w:ascii="仿宋" w:hAnsi="仿宋" w:eastAsia="仿宋" w:cs="仿宋"/>
                <w:color w:val="auto"/>
                <w:sz w:val="24"/>
                <w:szCs w:val="24"/>
                <w:highlight w:val="none"/>
                <w:lang w:val="en-US" w:eastAsia="zh-CN"/>
              </w:rPr>
              <w:t>六个月任意一个月</w:t>
            </w:r>
            <w:r>
              <w:rPr>
                <w:rFonts w:hint="eastAsia" w:ascii="仿宋" w:hAnsi="仿宋" w:eastAsia="仿宋" w:cs="仿宋"/>
                <w:color w:val="auto"/>
                <w:sz w:val="24"/>
                <w:szCs w:val="24"/>
                <w:highlight w:val="none"/>
              </w:rPr>
              <w:t>缴纳税收和社保的相关证明材料）</w:t>
            </w:r>
            <w:r>
              <w:rPr>
                <w:rFonts w:hint="eastAsia" w:ascii="仿宋" w:hAnsi="仿宋" w:eastAsia="仿宋" w:cs="仿宋"/>
                <w:color w:val="auto"/>
                <w:sz w:val="24"/>
                <w:szCs w:val="24"/>
                <w:highlight w:val="none"/>
                <w:lang w:eastAsia="zh-CN"/>
              </w:rPr>
              <w:t>；</w:t>
            </w:r>
          </w:p>
        </w:tc>
      </w:tr>
      <w:tr w14:paraId="3CDC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6079A36C">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5E260609">
            <w:pPr>
              <w:shd w:val="clear" w:color="auto" w:fill="auto"/>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651" w:type="dxa"/>
            <w:noWrap w:val="0"/>
            <w:vAlign w:val="center"/>
          </w:tcPr>
          <w:p w14:paraId="072B0B50">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提供承诺函</w:t>
            </w:r>
            <w:r>
              <w:rPr>
                <w:rFonts w:hint="eastAsia" w:ascii="仿宋" w:hAnsi="仿宋" w:eastAsia="仿宋" w:cs="仿宋"/>
                <w:color w:val="auto"/>
                <w:sz w:val="24"/>
                <w:szCs w:val="24"/>
                <w:highlight w:val="none"/>
                <w:lang w:eastAsia="zh-CN"/>
              </w:rPr>
              <w:t>）；</w:t>
            </w:r>
          </w:p>
        </w:tc>
      </w:tr>
      <w:tr w14:paraId="7A36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52C0D35D">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18A97281">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8651" w:type="dxa"/>
            <w:noWrap w:val="0"/>
            <w:vAlign w:val="center"/>
          </w:tcPr>
          <w:p w14:paraId="127A586C">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法人</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val="en-US" w:eastAsia="zh-CN"/>
              </w:rPr>
              <w:t>或法定代表人证明文件；</w:t>
            </w:r>
          </w:p>
        </w:tc>
      </w:tr>
      <w:tr w14:paraId="688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1FB38242">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5C010B2A">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8651" w:type="dxa"/>
            <w:noWrap w:val="0"/>
            <w:vAlign w:val="center"/>
          </w:tcPr>
          <w:p w14:paraId="65798399">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val="en-US" w:eastAsia="zh-CN"/>
              </w:rPr>
              <w:t>交纳凭证或</w:t>
            </w:r>
            <w:r>
              <w:rPr>
                <w:rFonts w:hint="eastAsia" w:ascii="仿宋" w:hAnsi="仿宋" w:eastAsia="仿宋" w:cs="仿宋"/>
                <w:color w:val="auto"/>
                <w:sz w:val="24"/>
                <w:szCs w:val="24"/>
                <w:highlight w:val="none"/>
              </w:rPr>
              <w:t>银行</w:t>
            </w:r>
            <w:r>
              <w:rPr>
                <w:rFonts w:hint="eastAsia" w:ascii="仿宋" w:hAnsi="仿宋" w:eastAsia="仿宋" w:cs="仿宋"/>
                <w:color w:val="auto"/>
                <w:sz w:val="24"/>
                <w:szCs w:val="24"/>
                <w:highlight w:val="none"/>
                <w:lang w:val="en-US" w:eastAsia="zh-CN"/>
              </w:rPr>
              <w:t>保函</w:t>
            </w:r>
            <w:r>
              <w:rPr>
                <w:rFonts w:hint="eastAsia" w:ascii="仿宋" w:hAnsi="仿宋" w:eastAsia="仿宋" w:cs="仿宋"/>
                <w:color w:val="auto"/>
                <w:sz w:val="24"/>
                <w:szCs w:val="24"/>
                <w:highlight w:val="none"/>
                <w:lang w:eastAsia="zh-CN"/>
              </w:rPr>
              <w:t>；</w:t>
            </w:r>
          </w:p>
        </w:tc>
      </w:tr>
      <w:tr w14:paraId="2F2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4A79CC6D">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44C1BC9A">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8651" w:type="dxa"/>
            <w:noWrap w:val="0"/>
            <w:vAlign w:val="center"/>
          </w:tcPr>
          <w:p w14:paraId="102D31DE">
            <w:pPr>
              <w:pStyle w:val="28"/>
              <w:numPr>
                <w:ilvl w:val="0"/>
                <w:numId w:val="0"/>
              </w:numPr>
              <w:snapToGrid w:val="0"/>
              <w:spacing w:line="360" w:lineRule="auto"/>
              <w:jc w:val="both"/>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tc>
      </w:tr>
      <w:tr w14:paraId="5659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exact"/>
          <w:jc w:val="center"/>
        </w:trPr>
        <w:tc>
          <w:tcPr>
            <w:tcW w:w="649" w:type="dxa"/>
            <w:vMerge w:val="continue"/>
            <w:noWrap w:val="0"/>
            <w:vAlign w:val="center"/>
          </w:tcPr>
          <w:p w14:paraId="3A3F6E99">
            <w:pPr>
              <w:shd w:val="clear" w:color="auto" w:fill="auto"/>
              <w:outlineLvl w:val="9"/>
              <w:rPr>
                <w:rFonts w:hint="eastAsia" w:ascii="仿宋" w:hAnsi="仿宋" w:eastAsia="仿宋" w:cs="仿宋"/>
                <w:color w:val="auto"/>
                <w:sz w:val="24"/>
                <w:szCs w:val="24"/>
                <w:highlight w:val="none"/>
              </w:rPr>
            </w:pPr>
          </w:p>
        </w:tc>
        <w:tc>
          <w:tcPr>
            <w:tcW w:w="445" w:type="dxa"/>
            <w:noWrap w:val="0"/>
            <w:vAlign w:val="center"/>
          </w:tcPr>
          <w:p w14:paraId="2C069D26">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8651" w:type="dxa"/>
            <w:noWrap w:val="0"/>
            <w:vAlign w:val="center"/>
          </w:tcPr>
          <w:p w14:paraId="74778957">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w:t>
            </w:r>
            <w:r>
              <w:rPr>
                <w:rFonts w:hint="eastAsia" w:ascii="仿宋" w:hAnsi="仿宋" w:eastAsia="仿宋" w:cs="仿宋"/>
                <w:color w:val="auto"/>
                <w:sz w:val="24"/>
                <w:szCs w:val="24"/>
                <w:highlight w:val="none"/>
                <w:lang w:eastAsia="zh-CN"/>
              </w:rPr>
              <w:t>获取招标文件之日起投标截止时间止</w:t>
            </w:r>
            <w:r>
              <w:rPr>
                <w:rFonts w:hint="eastAsia" w:ascii="仿宋" w:hAnsi="仿宋" w:eastAsia="仿宋" w:cs="仿宋"/>
                <w:color w:val="auto"/>
                <w:sz w:val="24"/>
                <w:szCs w:val="24"/>
                <w:highlight w:val="none"/>
              </w:rPr>
              <w:t>。（提供查询结果网页截图并加盖供应商公章）</w:t>
            </w:r>
            <w:r>
              <w:rPr>
                <w:rFonts w:hint="eastAsia" w:ascii="仿宋" w:hAnsi="仿宋" w:eastAsia="仿宋" w:cs="仿宋"/>
                <w:color w:val="auto"/>
                <w:sz w:val="24"/>
                <w:szCs w:val="24"/>
                <w:highlight w:val="none"/>
                <w:lang w:eastAsia="zh-CN"/>
              </w:rPr>
              <w:t>。</w:t>
            </w:r>
          </w:p>
        </w:tc>
      </w:tr>
      <w:tr w14:paraId="7008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continue"/>
            <w:noWrap w:val="0"/>
            <w:vAlign w:val="center"/>
          </w:tcPr>
          <w:p w14:paraId="6E13F9BA">
            <w:pPr>
              <w:shd w:val="clear" w:color="auto" w:fill="auto"/>
              <w:outlineLvl w:val="9"/>
              <w:rPr>
                <w:rFonts w:hint="eastAsia" w:ascii="仿宋" w:hAnsi="仿宋" w:eastAsia="仿宋" w:cs="仿宋"/>
                <w:color w:val="auto"/>
                <w:sz w:val="24"/>
                <w:szCs w:val="24"/>
                <w:highlight w:val="none"/>
              </w:rPr>
            </w:pPr>
          </w:p>
        </w:tc>
        <w:tc>
          <w:tcPr>
            <w:tcW w:w="9096" w:type="dxa"/>
            <w:gridSpan w:val="2"/>
            <w:vMerge w:val="restart"/>
            <w:noWrap w:val="0"/>
            <w:vAlign w:val="center"/>
          </w:tcPr>
          <w:p w14:paraId="0A8F2700">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38D8C253">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r>
      <w:tr w14:paraId="1770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9" w:type="dxa"/>
            <w:vMerge w:val="continue"/>
            <w:noWrap w:val="0"/>
            <w:vAlign w:val="center"/>
          </w:tcPr>
          <w:p w14:paraId="34B73D9A">
            <w:pPr>
              <w:shd w:val="clear" w:color="auto" w:fill="auto"/>
              <w:jc w:val="center"/>
              <w:outlineLvl w:val="9"/>
              <w:rPr>
                <w:rFonts w:hint="eastAsia" w:ascii="仿宋" w:hAnsi="仿宋" w:eastAsia="仿宋" w:cs="仿宋"/>
                <w:color w:val="auto"/>
                <w:sz w:val="24"/>
                <w:szCs w:val="24"/>
                <w:highlight w:val="none"/>
              </w:rPr>
            </w:pPr>
          </w:p>
        </w:tc>
        <w:tc>
          <w:tcPr>
            <w:tcW w:w="9096" w:type="dxa"/>
            <w:gridSpan w:val="2"/>
            <w:vMerge w:val="continue"/>
            <w:noWrap w:val="0"/>
            <w:vAlign w:val="top"/>
          </w:tcPr>
          <w:p w14:paraId="7C16FEF1">
            <w:pPr>
              <w:shd w:val="clear" w:color="auto" w:fill="auto"/>
              <w:outlineLvl w:val="9"/>
              <w:rPr>
                <w:rFonts w:hint="eastAsia" w:ascii="仿宋" w:hAnsi="仿宋" w:eastAsia="仿宋" w:cs="仿宋"/>
                <w:color w:val="auto"/>
                <w:sz w:val="24"/>
                <w:szCs w:val="24"/>
                <w:highlight w:val="none"/>
              </w:rPr>
            </w:pPr>
          </w:p>
        </w:tc>
      </w:tr>
    </w:tbl>
    <w:p w14:paraId="456C4C89">
      <w:pPr>
        <w:shd w:val="clear" w:color="auto" w:fill="auto"/>
        <w:spacing w:line="400" w:lineRule="exact"/>
        <w:ind w:firstLine="578"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67F36DEB">
      <w:pPr>
        <w:shd w:val="clear" w:color="auto" w:fill="auto"/>
        <w:spacing w:before="156" w:beforeLines="50" w:line="44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14:paraId="0445A3ED">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1"/>
        <w:tblW w:w="97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648"/>
        <w:gridCol w:w="8528"/>
      </w:tblGrid>
      <w:tr w14:paraId="0E149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37682BDF">
            <w:pPr>
              <w:shd w:val="clear" w:color="auto" w:fill="auto"/>
              <w:spacing w:line="440" w:lineRule="exact"/>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color w:val="auto"/>
                <w:sz w:val="24"/>
                <w:szCs w:val="24"/>
                <w:highlight w:val="none"/>
              </w:rPr>
              <w:t>项目</w:t>
            </w:r>
          </w:p>
        </w:tc>
        <w:tc>
          <w:tcPr>
            <w:tcW w:w="9176" w:type="dxa"/>
            <w:gridSpan w:val="2"/>
            <w:tcBorders>
              <w:top w:val="single" w:color="auto" w:sz="4" w:space="0"/>
              <w:left w:val="single" w:color="auto" w:sz="4" w:space="0"/>
              <w:bottom w:val="single" w:color="auto" w:sz="4" w:space="0"/>
              <w:right w:val="single" w:color="auto" w:sz="4" w:space="0"/>
            </w:tcBorders>
            <w:noWrap w:val="0"/>
            <w:vAlign w:val="center"/>
          </w:tcPr>
          <w:p w14:paraId="3B303BAE">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评审内容</w:t>
            </w:r>
          </w:p>
        </w:tc>
      </w:tr>
      <w:tr w14:paraId="1B0EE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14:paraId="00A0EE14">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审</w:t>
            </w:r>
          </w:p>
          <w:p w14:paraId="78E06674">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查</w:t>
            </w:r>
          </w:p>
          <w:p w14:paraId="3099AA3A">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w:t>
            </w:r>
          </w:p>
          <w:p w14:paraId="155E4D48">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5EE5C0C0">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2FCE8A99">
            <w:pPr>
              <w:widowControl/>
              <w:shd w:val="clear" w:color="auto" w:fill="auto"/>
              <w:jc w:val="left"/>
              <w:textAlignment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投标文件组成完整，主要内容按招标文件规定的内容、格式填写</w:t>
            </w:r>
            <w:r>
              <w:rPr>
                <w:rFonts w:hint="eastAsia" w:ascii="仿宋" w:hAnsi="仿宋" w:eastAsia="仿宋" w:cs="仿宋"/>
                <w:b w:val="0"/>
                <w:bCs/>
                <w:color w:val="auto"/>
                <w:sz w:val="24"/>
                <w:szCs w:val="24"/>
                <w:highlight w:val="none"/>
                <w:lang w:val="en-US" w:eastAsia="zh-CN"/>
              </w:rPr>
              <w:t>,</w:t>
            </w:r>
            <w:r>
              <w:rPr>
                <w:rFonts w:ascii="仿宋" w:hAnsi="仿宋" w:eastAsia="仿宋" w:cs="仿宋"/>
                <w:spacing w:val="16"/>
                <w:sz w:val="23"/>
                <w:szCs w:val="23"/>
              </w:rPr>
              <w:t>投</w:t>
            </w:r>
            <w:r>
              <w:rPr>
                <w:rFonts w:ascii="仿宋" w:hAnsi="仿宋" w:eastAsia="仿宋" w:cs="仿宋"/>
                <w:spacing w:val="14"/>
                <w:sz w:val="23"/>
                <w:szCs w:val="23"/>
              </w:rPr>
              <w:t>标</w:t>
            </w:r>
            <w:r>
              <w:rPr>
                <w:rFonts w:ascii="仿宋" w:hAnsi="仿宋" w:eastAsia="仿宋" w:cs="仿宋"/>
                <w:spacing w:val="8"/>
                <w:sz w:val="23"/>
                <w:szCs w:val="23"/>
              </w:rPr>
              <w:t>文件内容齐全、字迹清晰可辨、无遗漏</w:t>
            </w:r>
            <w:r>
              <w:rPr>
                <w:rFonts w:hint="eastAsia" w:ascii="仿宋" w:hAnsi="仿宋" w:eastAsia="仿宋" w:cs="仿宋"/>
                <w:spacing w:val="8"/>
                <w:sz w:val="23"/>
                <w:szCs w:val="23"/>
                <w:lang w:eastAsia="zh-CN"/>
              </w:rPr>
              <w:t>，</w:t>
            </w:r>
            <w:r>
              <w:rPr>
                <w:rFonts w:hint="eastAsia" w:ascii="仿宋" w:hAnsi="仿宋" w:eastAsia="仿宋" w:cs="仿宋"/>
                <w:b w:val="0"/>
                <w:bCs/>
                <w:color w:val="auto"/>
                <w:sz w:val="24"/>
                <w:szCs w:val="24"/>
                <w:highlight w:val="none"/>
                <w:lang w:val="en-US" w:eastAsia="zh-CN"/>
              </w:rPr>
              <w:t>封皮是否标有“正本”字样，封皮中是否加盖公章、法人章及被授权委托人签字；</w:t>
            </w:r>
          </w:p>
        </w:tc>
      </w:tr>
      <w:tr w14:paraId="157FA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17BB5D49">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04C2EA27">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4D311B3">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投标文件的有效期满足招标文件的规定</w:t>
            </w:r>
            <w:r>
              <w:rPr>
                <w:rFonts w:hint="eastAsia" w:ascii="仿宋" w:hAnsi="仿宋" w:eastAsia="仿宋" w:cs="仿宋"/>
                <w:b w:val="0"/>
                <w:bCs/>
                <w:color w:val="auto"/>
                <w:sz w:val="24"/>
                <w:szCs w:val="24"/>
                <w:highlight w:val="none"/>
              </w:rPr>
              <w:t>；</w:t>
            </w:r>
          </w:p>
        </w:tc>
      </w:tr>
      <w:tr w14:paraId="7AF4B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7329F7A9">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6B49B33C">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0674D15F">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投标代表授权书由法定代表人签署并加盖公章</w:t>
            </w:r>
            <w:r>
              <w:rPr>
                <w:rFonts w:hint="eastAsia" w:ascii="仿宋" w:hAnsi="仿宋" w:eastAsia="仿宋" w:cs="仿宋"/>
                <w:b w:val="0"/>
                <w:bCs/>
                <w:color w:val="auto"/>
                <w:sz w:val="24"/>
                <w:szCs w:val="24"/>
                <w:highlight w:val="none"/>
              </w:rPr>
              <w:t>；</w:t>
            </w:r>
          </w:p>
        </w:tc>
      </w:tr>
      <w:tr w14:paraId="65FDC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3345D08A">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1478680C">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7F2BDD58">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投标文件按照规定在应由企业法人</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lang w:eastAsia="zh-CN"/>
              </w:rPr>
              <w:t>法人授权代表在所有规定签章处逐一签署及加盖单位公章</w:t>
            </w:r>
            <w:r>
              <w:rPr>
                <w:rFonts w:hint="eastAsia" w:ascii="仿宋" w:hAnsi="仿宋" w:eastAsia="仿宋" w:cs="仿宋"/>
                <w:b w:val="0"/>
                <w:bCs/>
                <w:color w:val="auto"/>
                <w:sz w:val="24"/>
                <w:szCs w:val="24"/>
                <w:highlight w:val="none"/>
              </w:rPr>
              <w:t>；</w:t>
            </w:r>
          </w:p>
        </w:tc>
      </w:tr>
      <w:tr w14:paraId="3BBAB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6867E9E8">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08A7BBD4">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CE1EDFD">
            <w:pPr>
              <w:widowControl/>
              <w:shd w:val="clear" w:color="auto" w:fill="auto"/>
              <w:jc w:val="left"/>
              <w:textAlignment w:val="center"/>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投标文件针对同一种货物未出现了两个或两个以上的报价</w:t>
            </w:r>
            <w:r>
              <w:rPr>
                <w:rFonts w:hint="eastAsia" w:ascii="仿宋" w:hAnsi="仿宋" w:eastAsia="仿宋" w:cs="仿宋"/>
                <w:b w:val="0"/>
                <w:bCs/>
                <w:color w:val="auto"/>
                <w:sz w:val="24"/>
                <w:szCs w:val="24"/>
                <w:highlight w:val="none"/>
                <w:lang w:eastAsia="zh-CN"/>
              </w:rPr>
              <w:t>；</w:t>
            </w:r>
          </w:p>
        </w:tc>
      </w:tr>
      <w:tr w14:paraId="3792B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199E3D49">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6E83C3CA">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B09D524">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投标文件载明的招标项目交货期限未超过招标文件规定的期限；</w:t>
            </w:r>
          </w:p>
        </w:tc>
      </w:tr>
      <w:tr w14:paraId="0E1E5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7EE7F8E4">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545A357C">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7F568D10">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投标文件载明的功能需求、验收标准和方法等符合招标文件的要求；</w:t>
            </w:r>
          </w:p>
        </w:tc>
      </w:tr>
      <w:tr w14:paraId="60B56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3098D184">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3EA279D3">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367393BE">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的报价未超过预算价或最高限价；</w:t>
            </w:r>
          </w:p>
        </w:tc>
      </w:tr>
      <w:tr w14:paraId="24F32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1EBF5483">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4E99BC95">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16015EE7">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投标文件未含有采购人不能接受的附加条件；</w:t>
            </w:r>
          </w:p>
        </w:tc>
      </w:tr>
      <w:tr w14:paraId="04009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4037CA16">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1AD80B09">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147543B2">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无不</w:t>
            </w:r>
            <w:r>
              <w:rPr>
                <w:rFonts w:hint="eastAsia" w:ascii="仿宋" w:hAnsi="仿宋" w:eastAsia="仿宋" w:cs="仿宋"/>
                <w:b w:val="0"/>
                <w:bCs/>
                <w:color w:val="auto"/>
                <w:sz w:val="24"/>
                <w:szCs w:val="24"/>
                <w:highlight w:val="none"/>
              </w:rPr>
              <w:t>符合法律、法规和招标文件中规定的其他实质性要求。</w:t>
            </w:r>
          </w:p>
        </w:tc>
      </w:tr>
      <w:tr w14:paraId="2F684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305041F6">
            <w:pPr>
              <w:shd w:val="clear" w:color="auto" w:fill="auto"/>
              <w:jc w:val="center"/>
              <w:outlineLvl w:val="9"/>
              <w:rPr>
                <w:rFonts w:hint="eastAsia" w:ascii="仿宋" w:hAnsi="仿宋" w:eastAsia="仿宋" w:cs="仿宋"/>
                <w:b w:val="0"/>
                <w:bCs/>
                <w:color w:val="auto"/>
                <w:sz w:val="24"/>
                <w:szCs w:val="24"/>
                <w:highlight w:val="none"/>
              </w:rPr>
            </w:pPr>
          </w:p>
        </w:tc>
        <w:tc>
          <w:tcPr>
            <w:tcW w:w="9176" w:type="dxa"/>
            <w:gridSpan w:val="2"/>
            <w:tcBorders>
              <w:top w:val="single" w:color="auto" w:sz="4" w:space="0"/>
              <w:left w:val="single" w:color="auto" w:sz="4" w:space="0"/>
              <w:bottom w:val="single" w:color="auto" w:sz="4" w:space="0"/>
              <w:right w:val="single" w:color="auto" w:sz="4" w:space="0"/>
            </w:tcBorders>
            <w:noWrap w:val="0"/>
            <w:vAlign w:val="top"/>
          </w:tcPr>
          <w:p w14:paraId="1120DF55">
            <w:pPr>
              <w:shd w:val="clear" w:color="auto" w:fil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结论：是否通过评审（须填写通过或不通过）</w:t>
            </w:r>
          </w:p>
          <w:p w14:paraId="6B03FACE">
            <w:pPr>
              <w:shd w:val="clear" w:color="auto" w:fil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注：如有一项不合格，作废标处理。</w:t>
            </w:r>
          </w:p>
        </w:tc>
      </w:tr>
    </w:tbl>
    <w:p w14:paraId="3A666C70">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.2评委会判定投标文件的响应性只根据投标文件本身的内容，而不寻求外部的证据，但投标有不真实不正确的内容时除外。</w:t>
      </w:r>
    </w:p>
    <w:p w14:paraId="51A4CAC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.3如果投标文件实质上没有响应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791625B4">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.4投标人可在现场20分钟内对评标委员会的评审结论提出异议，评标委员会根据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及有关规定对投标人的异议进行复议</w:t>
      </w:r>
    </w:p>
    <w:p w14:paraId="41042EDD">
      <w:pPr>
        <w:shd w:val="clear" w:color="auto" w:fill="auto"/>
        <w:spacing w:line="40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.5只有通过初审的投标人才能进入下一步评标程序。</w:t>
      </w:r>
    </w:p>
    <w:p w14:paraId="221D1599">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B5D56D6">
      <w:pPr>
        <w:shd w:val="clear" w:color="auto" w:fill="auto"/>
        <w:spacing w:before="156" w:beforeLines="50" w:line="400" w:lineRule="exact"/>
        <w:jc w:val="center"/>
        <w:outlineLvl w:val="1"/>
        <w:rPr>
          <w:rFonts w:hint="eastAsia" w:ascii="仿宋" w:hAnsi="仿宋" w:eastAsia="仿宋" w:cs="仿宋"/>
          <w:b/>
          <w:color w:val="auto"/>
          <w:sz w:val="32"/>
          <w:szCs w:val="32"/>
          <w:highlight w:val="none"/>
        </w:rPr>
      </w:pPr>
      <w:bookmarkStart w:id="93" w:name="_Toc20754"/>
      <w:bookmarkStart w:id="94" w:name="_Toc15264"/>
      <w:bookmarkStart w:id="95" w:name="_Toc469495734"/>
      <w:bookmarkStart w:id="96" w:name="_Toc362983803"/>
      <w:r>
        <w:rPr>
          <w:rFonts w:hint="eastAsia" w:ascii="仿宋" w:hAnsi="仿宋" w:eastAsia="仿宋" w:cs="仿宋"/>
          <w:b/>
          <w:color w:val="auto"/>
          <w:sz w:val="32"/>
          <w:szCs w:val="32"/>
          <w:highlight w:val="none"/>
        </w:rPr>
        <w:t>三  投标文件的澄清和补正</w:t>
      </w:r>
      <w:bookmarkEnd w:id="93"/>
      <w:bookmarkEnd w:id="94"/>
      <w:bookmarkEnd w:id="95"/>
      <w:bookmarkEnd w:id="96"/>
    </w:p>
    <w:p w14:paraId="07E2695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8．澄清、说明或补正的形式</w:t>
      </w:r>
    </w:p>
    <w:p w14:paraId="5BD537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549CCC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B9152E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CBDF84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9．错误修正的原则</w:t>
      </w:r>
    </w:p>
    <w:p w14:paraId="695247F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0F0BD37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31530FC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04A7BC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 投标文件中的大写金额和小写金额不一致的，以大写金额为准；</w:t>
      </w:r>
    </w:p>
    <w:p w14:paraId="0AE0E99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单价金额小数点或者百分比有明显错位的，以开标一览表的总价为准，并修改单价；</w:t>
      </w:r>
    </w:p>
    <w:p w14:paraId="7B81C86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总价金额与按单价汇总金额不一致的，以单价金额计算结果为准；</w:t>
      </w:r>
    </w:p>
    <w:p w14:paraId="6A66FD4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 若用文字表示的数值与用数字表示的数值不一致，以文字表示的数值为准；</w:t>
      </w:r>
    </w:p>
    <w:p w14:paraId="68B1AFE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 如有多报（指数量超出采购文件需求）、重报（指同一货物重复报价），其投标总价在评标过程中不予调整，如其中标，其合同价按其投标单价予以调整；</w:t>
      </w:r>
    </w:p>
    <w:p w14:paraId="1B742A4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 对不同文字文本投标文件的解释发生异议的，以中文文本为准；</w:t>
      </w:r>
    </w:p>
    <w:p w14:paraId="4B5C1D1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351FBE9D">
      <w:pPr>
        <w:shd w:val="clear" w:color="auto" w:fill="auto"/>
        <w:spacing w:line="400" w:lineRule="exact"/>
        <w:ind w:firstLine="403" w:firstLineChars="192"/>
        <w:outlineLvl w:val="9"/>
        <w:rPr>
          <w:rFonts w:hint="eastAsia" w:ascii="仿宋" w:hAnsi="仿宋" w:eastAsia="仿宋" w:cs="仿宋"/>
          <w:color w:val="auto"/>
          <w:szCs w:val="21"/>
          <w:highlight w:val="none"/>
        </w:rPr>
      </w:pPr>
    </w:p>
    <w:p w14:paraId="38BC5436">
      <w:pPr>
        <w:shd w:val="clear" w:color="auto" w:fill="auto"/>
        <w:spacing w:line="400" w:lineRule="exact"/>
        <w:jc w:val="center"/>
        <w:outlineLvl w:val="1"/>
        <w:rPr>
          <w:rFonts w:hint="eastAsia" w:ascii="仿宋" w:hAnsi="仿宋" w:eastAsia="仿宋" w:cs="仿宋"/>
          <w:b/>
          <w:color w:val="auto"/>
          <w:sz w:val="24"/>
          <w:highlight w:val="none"/>
        </w:rPr>
      </w:pPr>
      <w:bookmarkStart w:id="97" w:name="_Toc469495735"/>
      <w:bookmarkStart w:id="98" w:name="_Toc26574"/>
      <w:bookmarkStart w:id="99" w:name="_Toc27688"/>
      <w:r>
        <w:rPr>
          <w:rFonts w:hint="eastAsia" w:ascii="仿宋" w:hAnsi="仿宋" w:eastAsia="仿宋" w:cs="仿宋"/>
          <w:b/>
          <w:color w:val="auto"/>
          <w:sz w:val="32"/>
          <w:szCs w:val="22"/>
          <w:highlight w:val="none"/>
        </w:rPr>
        <w:t>四 比较与评价</w:t>
      </w:r>
      <w:bookmarkEnd w:id="97"/>
      <w:bookmarkEnd w:id="98"/>
      <w:bookmarkEnd w:id="99"/>
    </w:p>
    <w:p w14:paraId="55598EB9">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bookmarkStart w:id="100" w:name="_Toc469495736"/>
      <w:bookmarkStart w:id="101" w:name="_Toc362983805"/>
      <w:r>
        <w:rPr>
          <w:rFonts w:hint="eastAsia" w:ascii="仿宋" w:hAnsi="仿宋" w:eastAsia="仿宋" w:cs="仿宋"/>
          <w:color w:val="auto"/>
          <w:sz w:val="24"/>
          <w:szCs w:val="24"/>
          <w:highlight w:val="none"/>
          <w:lang w:val="en-US" w:eastAsia="zh-CN" w:bidi="ar-SA"/>
        </w:rPr>
        <w:t>10.1</w:t>
      </w:r>
      <w:r>
        <w:rPr>
          <w:rFonts w:hint="eastAsia" w:ascii="仿宋" w:hAnsi="仿宋" w:eastAsia="仿宋" w:cs="仿宋"/>
          <w:color w:val="auto"/>
          <w:sz w:val="24"/>
          <w:szCs w:val="24"/>
          <w:highlight w:val="none"/>
          <w:lang w:bidi="ar-SA"/>
        </w:rPr>
        <w:t>评标委员会按</w:t>
      </w:r>
      <w:r>
        <w:rPr>
          <w:rFonts w:hint="eastAsia" w:ascii="仿宋" w:hAnsi="仿宋" w:eastAsia="仿宋" w:cs="仿宋"/>
          <w:color w:val="auto"/>
          <w:sz w:val="24"/>
          <w:szCs w:val="24"/>
          <w:highlight w:val="none"/>
          <w:lang w:eastAsia="zh-CN" w:bidi="ar-SA"/>
        </w:rPr>
        <w:t>招标文件</w:t>
      </w:r>
      <w:r>
        <w:rPr>
          <w:rFonts w:hint="eastAsia" w:ascii="仿宋" w:hAnsi="仿宋" w:eastAsia="仿宋" w:cs="仿宋"/>
          <w:color w:val="auto"/>
          <w:sz w:val="24"/>
          <w:szCs w:val="24"/>
          <w:highlight w:val="none"/>
          <w:lang w:bidi="ar-SA"/>
        </w:rPr>
        <w:t>中规定的评标方法和标准，对资格性检查和符合性检查合格的投标文件进行商务和技术评估、综合比较与评价。</w:t>
      </w:r>
    </w:p>
    <w:p w14:paraId="195B95F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w:t>
      </w:r>
      <w:r>
        <w:rPr>
          <w:rFonts w:hint="eastAsia" w:ascii="仿宋" w:hAnsi="仿宋" w:eastAsia="仿宋" w:cs="仿宋"/>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63D6C768">
      <w:pPr>
        <w:shd w:val="clear" w:color="auto" w:fill="auto"/>
        <w:spacing w:line="440" w:lineRule="exact"/>
        <w:ind w:firstLine="616" w:firstLineChars="257"/>
        <w:outlineLvl w:val="9"/>
        <w:rPr>
          <w:rFonts w:hint="eastAsia" w:ascii="仿宋" w:hAnsi="仿宋" w:eastAsia="仿宋" w:cs="仿宋"/>
          <w:bCs/>
          <w:color w:val="auto"/>
          <w:sz w:val="24"/>
          <w:szCs w:val="24"/>
          <w:highlight w:val="none"/>
          <w:lang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lang w:bidi="ar-SA"/>
        </w:rPr>
        <w:t>评委打分办法</w:t>
      </w:r>
    </w:p>
    <w:p w14:paraId="235B71FB">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bCs/>
          <w:color w:val="auto"/>
          <w:sz w:val="24"/>
          <w:szCs w:val="24"/>
          <w:highlight w:val="none"/>
          <w:lang w:bidi="ar-SA"/>
        </w:rPr>
        <w:t>（1）</w:t>
      </w:r>
      <w:r>
        <w:rPr>
          <w:rFonts w:hint="eastAsia" w:ascii="仿宋" w:hAnsi="仿宋" w:eastAsia="仿宋" w:cs="仿宋"/>
          <w:color w:val="auto"/>
          <w:sz w:val="24"/>
          <w:szCs w:val="24"/>
          <w:highlight w:val="none"/>
          <w:lang w:bidi="ar-SA"/>
        </w:rPr>
        <w:t>参加评分的评委应尽力体现客观、实事求是，避免学派偏见和个人偏好。</w:t>
      </w:r>
    </w:p>
    <w:p w14:paraId="612F5096">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（2）衡量、对比的依据，应以</w:t>
      </w:r>
      <w:r>
        <w:rPr>
          <w:rFonts w:hint="eastAsia" w:ascii="仿宋" w:hAnsi="仿宋" w:eastAsia="仿宋" w:cs="仿宋"/>
          <w:color w:val="auto"/>
          <w:sz w:val="24"/>
          <w:szCs w:val="24"/>
          <w:highlight w:val="none"/>
          <w:lang w:eastAsia="zh-CN" w:bidi="ar-SA"/>
        </w:rPr>
        <w:t>招标文件</w:t>
      </w:r>
      <w:r>
        <w:rPr>
          <w:rFonts w:hint="eastAsia" w:ascii="仿宋" w:hAnsi="仿宋" w:eastAsia="仿宋" w:cs="仿宋"/>
          <w:color w:val="auto"/>
          <w:sz w:val="24"/>
          <w:szCs w:val="24"/>
          <w:highlight w:val="none"/>
          <w:lang w:bidi="ar-SA"/>
        </w:rPr>
        <w:t>、投标文件、提供的正式试验数据、质询澄清中的文字为准，口头回答和收集的资料只作为参考。</w:t>
      </w:r>
    </w:p>
    <w:p w14:paraId="66358D0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（3）评分主要是为比较各投标人的价格、商务和技术综合排序。</w:t>
      </w:r>
    </w:p>
    <w:p w14:paraId="3C44F10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（4）评委打分采取记名形式。</w:t>
      </w:r>
    </w:p>
    <w:p w14:paraId="3F49F5F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（5）各评委根据提供的技术打分表独立自主打分，任何人不得要求评委统一打分或统一确定等次顺序。</w:t>
      </w:r>
    </w:p>
    <w:p w14:paraId="776BB276">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（6）对打分表中的每项条款，各评委应根据投标文件、澄清材料、</w:t>
      </w:r>
      <w:r>
        <w:rPr>
          <w:rFonts w:hint="eastAsia" w:ascii="仿宋" w:hAnsi="仿宋" w:eastAsia="仿宋" w:cs="仿宋"/>
          <w:color w:val="auto"/>
          <w:sz w:val="24"/>
          <w:szCs w:val="24"/>
          <w:highlight w:val="none"/>
          <w:lang w:eastAsia="zh-CN" w:bidi="ar-SA"/>
        </w:rPr>
        <w:t>招标文件</w:t>
      </w:r>
      <w:r>
        <w:rPr>
          <w:rFonts w:hint="eastAsia" w:ascii="仿宋" w:hAnsi="仿宋" w:eastAsia="仿宋" w:cs="仿宋"/>
          <w:color w:val="auto"/>
          <w:sz w:val="24"/>
          <w:szCs w:val="24"/>
          <w:highlight w:val="none"/>
          <w:lang w:bidi="ar-SA"/>
        </w:rPr>
        <w:t>要求，按满足的程度给投标人打分。</w:t>
      </w:r>
    </w:p>
    <w:p w14:paraId="3D171147">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（7）评分程序</w:t>
      </w:r>
    </w:p>
    <w:p w14:paraId="2C32FF9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1)就投标人的投标文件对照整理出商务、技术评标因素对比表、偏差表，并在经过校核的基础上逐项打分。</w:t>
      </w:r>
    </w:p>
    <w:p w14:paraId="05D8EA0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2)各评委独立完成打分后，将评分表交给代理机构，由代理机构组织进行分数统计。</w:t>
      </w:r>
    </w:p>
    <w:p w14:paraId="0AAC325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3)最终汇总表中各投标人得分应为评委打分的算术平均值。</w:t>
      </w:r>
    </w:p>
    <w:p w14:paraId="7F6DBEC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（8）评分标准和细则（综合评分法评分标准）</w:t>
      </w:r>
    </w:p>
    <w:p w14:paraId="55D7E189">
      <w:pPr>
        <w:shd w:val="clear" w:color="auto" w:fill="auto"/>
        <w:spacing w:line="400" w:lineRule="exact"/>
        <w:jc w:val="center"/>
        <w:outlineLvl w:val="1"/>
        <w:rPr>
          <w:rFonts w:hint="eastAsia" w:ascii="仿宋" w:hAnsi="仿宋" w:eastAsia="仿宋" w:cs="仿宋"/>
          <w:b/>
          <w:color w:val="auto"/>
          <w:sz w:val="32"/>
          <w:szCs w:val="22"/>
          <w:highlight w:val="none"/>
          <w:lang w:val="en-US" w:eastAsia="zh-CN"/>
        </w:rPr>
      </w:pPr>
      <w:bookmarkStart w:id="102" w:name="_Toc30836"/>
      <w:r>
        <w:rPr>
          <w:rFonts w:hint="eastAsia" w:ascii="仿宋" w:hAnsi="仿宋" w:eastAsia="仿宋" w:cs="仿宋"/>
          <w:b/>
          <w:color w:val="auto"/>
          <w:sz w:val="32"/>
          <w:szCs w:val="22"/>
          <w:highlight w:val="none"/>
          <w:lang w:val="en-US" w:eastAsia="zh-CN"/>
        </w:rPr>
        <w:t>五 评分标准</w:t>
      </w:r>
      <w:bookmarkEnd w:id="102"/>
    </w:p>
    <w:p w14:paraId="53C22E6E">
      <w:pPr>
        <w:shd w:val="clear" w:color="auto" w:fill="auto"/>
        <w:spacing w:line="400" w:lineRule="exact"/>
        <w:jc w:val="center"/>
        <w:outlineLvl w:val="9"/>
        <w:rPr>
          <w:rFonts w:hint="eastAsia" w:ascii="仿宋" w:hAnsi="仿宋" w:eastAsia="仿宋" w:cs="仿宋"/>
          <w:b/>
          <w:color w:val="auto"/>
          <w:sz w:val="28"/>
          <w:szCs w:val="21"/>
          <w:highlight w:val="none"/>
          <w:lang w:val="en-US" w:eastAsia="zh-CN"/>
        </w:rPr>
      </w:pPr>
    </w:p>
    <w:p w14:paraId="1524A6EC">
      <w:pPr>
        <w:pStyle w:val="20"/>
        <w:tabs>
          <w:tab w:val="left" w:pos="567"/>
        </w:tabs>
        <w:rPr>
          <w:rFonts w:hint="eastAsia" w:ascii="仿宋" w:hAnsi="仿宋" w:eastAsia="仿宋" w:cs="仿宋"/>
          <w:b/>
          <w:color w:val="auto"/>
          <w:sz w:val="24"/>
          <w:highlight w:val="none"/>
          <w:lang w:val="en-US" w:eastAsia="zh-CN"/>
        </w:rPr>
      </w:pPr>
      <w:r>
        <w:rPr>
          <w:rFonts w:hint="eastAsia" w:ascii="仿宋" w:hAnsi="仿宋" w:eastAsia="仿宋" w:cs="仿宋"/>
          <w:color w:val="000000"/>
          <w:kern w:val="0"/>
          <w:sz w:val="28"/>
          <w:szCs w:val="28"/>
          <w:u w:val="none"/>
          <w:lang w:val="en-US" w:eastAsia="zh-CN" w:bidi="ar"/>
        </w:rPr>
        <w:t>评分标准：</w:t>
      </w:r>
    </w:p>
    <w:tbl>
      <w:tblPr>
        <w:tblStyle w:val="22"/>
        <w:tblpPr w:leftFromText="180" w:rightFromText="180" w:vertAnchor="text" w:horzAnchor="page" w:tblpX="1429" w:tblpY="644"/>
        <w:tblOverlap w:val="never"/>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88"/>
        <w:gridCol w:w="6209"/>
      </w:tblGrid>
      <w:tr w14:paraId="067C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3" w:type="dxa"/>
            <w:gridSpan w:val="3"/>
            <w:vAlign w:val="center"/>
          </w:tcPr>
          <w:p w14:paraId="219426A5">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color w:val="auto"/>
                <w:sz w:val="24"/>
                <w:szCs w:val="24"/>
                <w:highlight w:val="none"/>
                <w:lang w:val="en-US" w:eastAsia="zh-CN"/>
              </w:rPr>
              <w:t>商务和技术部分（70分）</w:t>
            </w:r>
            <w:r>
              <w:rPr>
                <w:rFonts w:hint="eastAsia" w:ascii="仿宋" w:hAnsi="仿宋" w:eastAsia="仿宋" w:cs="仿宋"/>
                <w:b/>
                <w:bCs/>
                <w:color w:val="auto"/>
                <w:sz w:val="24"/>
                <w:szCs w:val="24"/>
                <w:highlight w:val="none"/>
                <w:lang w:val="en-US" w:eastAsia="zh-CN"/>
              </w:rPr>
              <w:t>（以下得分保留小数点后2位）</w:t>
            </w:r>
          </w:p>
        </w:tc>
      </w:tr>
      <w:tr w14:paraId="0FFC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6" w:type="dxa"/>
            <w:vAlign w:val="center"/>
          </w:tcPr>
          <w:p w14:paraId="77F0736A">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rPr>
              <w:t>序号</w:t>
            </w:r>
          </w:p>
        </w:tc>
        <w:tc>
          <w:tcPr>
            <w:tcW w:w="2188" w:type="dxa"/>
            <w:vAlign w:val="center"/>
          </w:tcPr>
          <w:p w14:paraId="32FEB9A6">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rPr>
              <w:t>评审项目</w:t>
            </w:r>
          </w:p>
        </w:tc>
        <w:tc>
          <w:tcPr>
            <w:tcW w:w="6209" w:type="dxa"/>
            <w:vAlign w:val="center"/>
          </w:tcPr>
          <w:p w14:paraId="45520463">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lang w:val="en-US" w:eastAsia="zh-CN"/>
              </w:rPr>
              <w:t>评审细则</w:t>
            </w:r>
          </w:p>
        </w:tc>
      </w:tr>
      <w:tr w14:paraId="7C34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6039DAA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2188" w:type="dxa"/>
            <w:vAlign w:val="center"/>
          </w:tcPr>
          <w:p w14:paraId="533F732F">
            <w:pPr>
              <w:pStyle w:val="19"/>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kern w:val="2"/>
                <w:sz w:val="24"/>
                <w:szCs w:val="24"/>
                <w:vertAlign w:val="baseline"/>
                <w:lang w:val="en-US" w:eastAsia="zh-CN" w:bidi="ar-SA"/>
              </w:rPr>
            </w:pPr>
            <w:bookmarkStart w:id="103" w:name="_Toc5935"/>
            <w:r>
              <w:rPr>
                <w:rFonts w:hint="eastAsia" w:ascii="仿宋" w:hAnsi="仿宋" w:eastAsia="仿宋" w:cs="仿宋"/>
                <w:b w:val="0"/>
                <w:bCs w:val="0"/>
                <w:color w:val="000000"/>
                <w:sz w:val="24"/>
                <w:szCs w:val="24"/>
              </w:rPr>
              <w:t>技术标响应情况（技术指标、参数）</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42分</w:t>
            </w:r>
            <w:r>
              <w:rPr>
                <w:rFonts w:hint="eastAsia" w:ascii="仿宋" w:hAnsi="仿宋" w:eastAsia="仿宋" w:cs="仿宋"/>
                <w:b w:val="0"/>
                <w:bCs w:val="0"/>
                <w:color w:val="000000"/>
                <w:sz w:val="24"/>
                <w:szCs w:val="24"/>
                <w:lang w:eastAsia="zh-CN"/>
              </w:rPr>
              <w:t>）</w:t>
            </w:r>
            <w:bookmarkEnd w:id="103"/>
          </w:p>
        </w:tc>
        <w:tc>
          <w:tcPr>
            <w:tcW w:w="6209" w:type="dxa"/>
            <w:vAlign w:val="top"/>
          </w:tcPr>
          <w:p w14:paraId="51180D85">
            <w:pPr>
              <w:spacing w:line="36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满足招标文件技术指标、参数要求的得42分，以此为基础，投标人技术指标、参数低于招标文件规定的相应技术指标、参数的，有一项减1分，减完为止。</w:t>
            </w:r>
          </w:p>
          <w:p w14:paraId="390C17E7">
            <w:pPr>
              <w:spacing w:line="360" w:lineRule="exact"/>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kern w:val="2"/>
                <w:sz w:val="24"/>
                <w:szCs w:val="24"/>
                <w:lang w:val="en-US" w:eastAsia="zh-CN" w:bidi="ar-SA"/>
              </w:rPr>
              <w:t>注：应提供相关证明材料或检测报告（技术参数提供产品技术文件或与技术文件一致的彩页证明）等支持文件以证明是否满足技术要求，投标人必须在技术偏离表中写明材料所在页码，不写明或指引错误导致评标委员会未能找到的，视为不满足相应要求。</w:t>
            </w:r>
          </w:p>
        </w:tc>
      </w:tr>
      <w:tr w14:paraId="51F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1BC4920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2</w:t>
            </w:r>
          </w:p>
        </w:tc>
        <w:tc>
          <w:tcPr>
            <w:tcW w:w="2188" w:type="dxa"/>
            <w:vAlign w:val="center"/>
          </w:tcPr>
          <w:p w14:paraId="790BC8AD">
            <w:pPr>
              <w:pStyle w:val="19"/>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kern w:val="2"/>
                <w:sz w:val="24"/>
                <w:szCs w:val="24"/>
                <w:vertAlign w:val="baseline"/>
                <w:lang w:val="en-US" w:eastAsia="zh-CN" w:bidi="ar-SA"/>
              </w:rPr>
            </w:pPr>
            <w:bookmarkStart w:id="104" w:name="_Toc22649"/>
            <w:r>
              <w:rPr>
                <w:rFonts w:hint="eastAsia" w:ascii="仿宋" w:hAnsi="仿宋" w:eastAsia="仿宋" w:cs="仿宋"/>
                <w:b w:val="0"/>
                <w:bCs w:val="0"/>
                <w:color w:val="auto"/>
                <w:sz w:val="24"/>
                <w:szCs w:val="24"/>
                <w:highlight w:val="none"/>
              </w:rPr>
              <w:t>运输、配送方案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9分</w:t>
            </w:r>
            <w:r>
              <w:rPr>
                <w:rFonts w:hint="eastAsia" w:ascii="仿宋" w:hAnsi="仿宋" w:eastAsia="仿宋" w:cs="仿宋"/>
                <w:b w:val="0"/>
                <w:bCs w:val="0"/>
                <w:color w:val="auto"/>
                <w:sz w:val="24"/>
                <w:szCs w:val="24"/>
                <w:highlight w:val="none"/>
                <w:lang w:eastAsia="zh-CN"/>
              </w:rPr>
              <w:t>）</w:t>
            </w:r>
            <w:bookmarkEnd w:id="104"/>
          </w:p>
        </w:tc>
        <w:tc>
          <w:tcPr>
            <w:tcW w:w="6209" w:type="dxa"/>
            <w:vAlign w:val="center"/>
          </w:tcPr>
          <w:p w14:paraId="3AAA629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方案设计合理、人员配备及安排、进度计划及保证措施合理、安装调试程序、措施得当，培训方案到位的</w:t>
            </w:r>
            <w:r>
              <w:rPr>
                <w:rFonts w:hint="eastAsia" w:ascii="仿宋" w:hAnsi="仿宋" w:eastAsia="仿宋" w:cs="仿宋"/>
                <w:sz w:val="24"/>
                <w:szCs w:val="24"/>
                <w:lang w:val="en-US" w:eastAsia="zh-CN"/>
              </w:rPr>
              <w:t>得9</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有缺漏项，欠合理的，每处扣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14:paraId="46DCBB09">
            <w:pPr>
              <w:widowControl/>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sz w:val="24"/>
                <w:szCs w:val="24"/>
                <w:lang w:val="en-US" w:eastAsia="zh-CN"/>
              </w:rPr>
              <w:t>注：</w:t>
            </w:r>
            <w:r>
              <w:rPr>
                <w:rFonts w:hint="eastAsia" w:ascii="仿宋" w:hAnsi="仿宋" w:eastAsia="仿宋" w:cs="仿宋"/>
                <w:b/>
                <w:bCs/>
                <w:kern w:val="0"/>
                <w:sz w:val="24"/>
                <w:szCs w:val="24"/>
                <w:lang w:bidi="ar"/>
              </w:rPr>
              <w:t>供应商提供针对本项目的配送方案包括：安全管理制度</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配送服务计划和措施</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自然灾害、交通意外等情况下的应急预案；确保产品</w:t>
            </w:r>
            <w:r>
              <w:rPr>
                <w:rFonts w:hint="eastAsia" w:ascii="仿宋" w:hAnsi="仿宋" w:eastAsia="仿宋" w:cs="仿宋"/>
                <w:b/>
                <w:bCs/>
                <w:kern w:val="0"/>
                <w:sz w:val="24"/>
                <w:szCs w:val="24"/>
                <w:lang w:val="en-US" w:eastAsia="zh-CN" w:bidi="ar"/>
              </w:rPr>
              <w:t>在供货周期内</w:t>
            </w:r>
            <w:r>
              <w:rPr>
                <w:rFonts w:hint="eastAsia" w:ascii="仿宋" w:hAnsi="仿宋" w:eastAsia="仿宋" w:cs="仿宋"/>
                <w:b/>
                <w:bCs/>
                <w:kern w:val="0"/>
                <w:sz w:val="24"/>
                <w:szCs w:val="24"/>
                <w:lang w:bidi="ar"/>
              </w:rPr>
              <w:t>及时送达采购方</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验收使用时间等内容承诺函</w:t>
            </w:r>
            <w:r>
              <w:rPr>
                <w:rFonts w:hint="eastAsia" w:ascii="仿宋" w:hAnsi="仿宋" w:eastAsia="仿宋" w:cs="仿宋"/>
                <w:b/>
                <w:bCs/>
                <w:kern w:val="0"/>
                <w:sz w:val="24"/>
                <w:szCs w:val="24"/>
                <w:lang w:eastAsia="zh-CN" w:bidi="ar"/>
              </w:rPr>
              <w:t>。</w:t>
            </w:r>
          </w:p>
        </w:tc>
      </w:tr>
      <w:tr w14:paraId="42A6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7518402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3</w:t>
            </w:r>
          </w:p>
        </w:tc>
        <w:tc>
          <w:tcPr>
            <w:tcW w:w="2188" w:type="dxa"/>
            <w:vAlign w:val="center"/>
          </w:tcPr>
          <w:p w14:paraId="151BC52D">
            <w:pPr>
              <w:ind w:right="21" w:right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质保</w:t>
            </w:r>
          </w:p>
          <w:p w14:paraId="1E538B3D">
            <w:pPr>
              <w:ind w:right="-20" w:right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期限（3分）</w:t>
            </w:r>
          </w:p>
        </w:tc>
        <w:tc>
          <w:tcPr>
            <w:tcW w:w="6209" w:type="dxa"/>
            <w:vAlign w:val="center"/>
          </w:tcPr>
          <w:p w14:paraId="56229799">
            <w:pPr>
              <w:spacing w:before="12"/>
              <w:ind w:right="100" w:right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highlight w:val="none"/>
              </w:rPr>
              <w:t>质保期限承诺符合招标文件要求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满</w:t>
            </w:r>
            <w:r>
              <w:rPr>
                <w:rFonts w:hint="eastAsia" w:ascii="仿宋" w:hAnsi="仿宋" w:eastAsia="仿宋" w:cs="仿宋"/>
                <w:color w:val="auto"/>
                <w:sz w:val="24"/>
                <w:szCs w:val="24"/>
                <w:highlight w:val="none"/>
              </w:rPr>
              <w:t>分</w:t>
            </w:r>
            <w:r>
              <w:rPr>
                <w:rFonts w:hint="eastAsia" w:ascii="仿宋" w:hAnsi="仿宋" w:eastAsia="仿宋" w:cs="仿宋"/>
                <w:color w:val="auto"/>
                <w:w w:val="85"/>
                <w:sz w:val="24"/>
                <w:szCs w:val="24"/>
                <w:highlight w:val="none"/>
                <w:lang w:val="en-US" w:eastAsia="zh-CN"/>
              </w:rPr>
              <w:t>3</w:t>
            </w:r>
            <w:r>
              <w:rPr>
                <w:rFonts w:hint="eastAsia" w:ascii="仿宋" w:hAnsi="仿宋" w:eastAsia="仿宋" w:cs="仿宋"/>
                <w:color w:val="auto"/>
                <w:sz w:val="24"/>
                <w:szCs w:val="24"/>
                <w:highlight w:val="none"/>
              </w:rPr>
              <w:t>分；质保期</w:t>
            </w:r>
            <w:r>
              <w:rPr>
                <w:rFonts w:hint="eastAsia" w:ascii="仿宋" w:hAnsi="仿宋" w:eastAsia="仿宋" w:cs="仿宋"/>
                <w:color w:val="auto"/>
                <w:sz w:val="24"/>
                <w:szCs w:val="24"/>
                <w:highlight w:val="none"/>
                <w:lang w:val="en-US" w:eastAsia="zh-CN"/>
              </w:rPr>
              <w:t>少</w:t>
            </w:r>
            <w:r>
              <w:rPr>
                <w:rFonts w:hint="eastAsia" w:ascii="仿宋" w:hAnsi="仿宋" w:eastAsia="仿宋" w:cs="仿宋"/>
                <w:color w:val="auto"/>
                <w:sz w:val="24"/>
                <w:szCs w:val="24"/>
                <w:highlight w:val="none"/>
              </w:rPr>
              <w:t>于招标文件要求每</w:t>
            </w:r>
            <w:r>
              <w:rPr>
                <w:rFonts w:hint="eastAsia" w:ascii="仿宋" w:hAnsi="仿宋" w:eastAsia="仿宋" w:cs="仿宋"/>
                <w:color w:val="auto"/>
                <w:sz w:val="24"/>
                <w:szCs w:val="24"/>
                <w:highlight w:val="none"/>
                <w:lang w:val="en-US" w:eastAsia="zh-CN"/>
              </w:rPr>
              <w:t>减少半年减0.5分。</w:t>
            </w:r>
          </w:p>
        </w:tc>
      </w:tr>
      <w:tr w14:paraId="6EB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5757485E">
            <w:pPr>
              <w:keepNext w:val="0"/>
              <w:keepLines w:val="0"/>
              <w:pageBreakBefore w:val="0"/>
              <w:kinsoku/>
              <w:wordWrap/>
              <w:overflowPunct/>
              <w:topLinePunct w:val="0"/>
              <w:autoSpaceDE/>
              <w:autoSpaceDN/>
              <w:bidi w:val="0"/>
              <w:snapToGrid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4</w:t>
            </w:r>
          </w:p>
        </w:tc>
        <w:tc>
          <w:tcPr>
            <w:tcW w:w="2188" w:type="dxa"/>
            <w:vAlign w:val="center"/>
          </w:tcPr>
          <w:p w14:paraId="1322C603">
            <w:pPr>
              <w:pStyle w:val="1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vertAlign w:val="baseline"/>
                <w:lang w:val="en-US" w:eastAsia="zh-CN" w:bidi="ar-SA"/>
              </w:rPr>
            </w:pPr>
            <w:bookmarkStart w:id="105" w:name="_Toc26649"/>
            <w:r>
              <w:rPr>
                <w:rFonts w:hint="eastAsia" w:ascii="仿宋" w:hAnsi="仿宋" w:eastAsia="仿宋" w:cs="仿宋"/>
                <w:b w:val="0"/>
                <w:bCs w:val="0"/>
                <w:color w:val="000000"/>
                <w:kern w:val="2"/>
                <w:sz w:val="24"/>
                <w:szCs w:val="24"/>
                <w:lang w:val="en-US" w:eastAsia="zh-CN" w:bidi="ar-SA"/>
              </w:rPr>
              <w:t>售后服务（6分）</w:t>
            </w:r>
            <w:bookmarkEnd w:id="105"/>
          </w:p>
        </w:tc>
        <w:tc>
          <w:tcPr>
            <w:tcW w:w="6209" w:type="dxa"/>
            <w:vAlign w:val="center"/>
          </w:tcPr>
          <w:p w14:paraId="4B7F94B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具有详尽的售后服务方案，包括计划、内容、响应速度等，承诺详细、具体，满足用户明确项目技术、支持人员、故障处理时限、现场服务条件及到位时间，方案全面、科学、可行性强，在新疆有稳定的售后服务人员的得6分，较为全面、科学、</w:t>
            </w:r>
            <w:r>
              <w:rPr>
                <w:rFonts w:hint="eastAsia" w:ascii="仿宋" w:hAnsi="仿宋" w:eastAsia="仿宋" w:cs="仿宋"/>
                <w:b w:val="0"/>
                <w:bCs w:val="0"/>
                <w:color w:val="000000"/>
                <w:sz w:val="24"/>
                <w:szCs w:val="24"/>
                <w:lang w:val="en-US" w:eastAsia="zh-CN"/>
              </w:rPr>
              <w:t>可行性</w:t>
            </w:r>
            <w:r>
              <w:rPr>
                <w:rFonts w:hint="eastAsia" w:ascii="仿宋" w:hAnsi="仿宋" w:eastAsia="仿宋" w:cs="仿宋"/>
                <w:b w:val="0"/>
                <w:bCs w:val="0"/>
                <w:color w:val="000000"/>
                <w:kern w:val="2"/>
                <w:sz w:val="24"/>
                <w:szCs w:val="24"/>
                <w:lang w:val="en-US" w:eastAsia="zh-CN" w:bidi="ar-SA"/>
              </w:rPr>
              <w:t>一般得3分；不全面的不得分。</w:t>
            </w:r>
          </w:p>
        </w:tc>
      </w:tr>
      <w:tr w14:paraId="6CA4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6909AC8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88" w:type="dxa"/>
            <w:vAlign w:val="center"/>
          </w:tcPr>
          <w:p w14:paraId="1C18F00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质量保证措施（4 分）</w:t>
            </w:r>
          </w:p>
        </w:tc>
        <w:tc>
          <w:tcPr>
            <w:tcW w:w="6209" w:type="dxa"/>
            <w:vAlign w:val="center"/>
          </w:tcPr>
          <w:p w14:paraId="0B9250D3">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质量保障措施包括：①货物质量保证措施；②检验、试验质量保障措施；③包装、运输质量保障措施；④交货质量保障措施。 以上方案每项得 1 分，缺项不得分。每有一处存在缺陷扣 0.5 分（缺陷是指：存在不适用项目实际情况的情形、凭空编造、 内容前后不一致、前后逻辑错误、涉及的规范及标准错误、地 点区域错误、内容缺失、不符合采购需求等）（满分 4 分）</w:t>
            </w:r>
          </w:p>
        </w:tc>
      </w:tr>
      <w:tr w14:paraId="406B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005F4A7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188" w:type="dxa"/>
            <w:vAlign w:val="center"/>
          </w:tcPr>
          <w:p w14:paraId="2E6025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零配件保障（4分）</w:t>
            </w:r>
          </w:p>
        </w:tc>
        <w:tc>
          <w:tcPr>
            <w:tcW w:w="6209" w:type="dxa"/>
            <w:vAlign w:val="center"/>
          </w:tcPr>
          <w:p w14:paraId="04718842">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零配件保障包括：①需要更换设备的零配件情况；②备件情况； ③生产年限（如提供的备品备件生产时间早于设备生产时间， 视为无效零配件）； ④零配件质量承诺。 以上方案每项得 1 分，缺项不得分。每有一处存在缺陷扣 0.5 分（缺陷是指：存在不适用项目实际情况的情形、凭空编造、内容前后不一致、 前后逻辑错误、涉及的规范及标准错误、地点区域错误、内容 缺失、不符合采购需求等）（满分 4 分）</w:t>
            </w:r>
          </w:p>
        </w:tc>
      </w:tr>
      <w:tr w14:paraId="707D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3427B0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88" w:type="dxa"/>
            <w:vAlign w:val="center"/>
          </w:tcPr>
          <w:p w14:paraId="166AC29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业绩（2分）</w:t>
            </w:r>
          </w:p>
        </w:tc>
        <w:tc>
          <w:tcPr>
            <w:tcW w:w="6209" w:type="dxa"/>
            <w:vAlign w:val="center"/>
          </w:tcPr>
          <w:p w14:paraId="72BA68E9">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近三年内（从投标截至时间往前推算）每有一项类似业绩的得1分，最多得2分(须提供合同或中标通知书，否则不得分）。</w:t>
            </w:r>
          </w:p>
        </w:tc>
      </w:tr>
      <w:tr w14:paraId="0F25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103" w:type="dxa"/>
            <w:gridSpan w:val="3"/>
            <w:vAlign w:val="center"/>
          </w:tcPr>
          <w:p w14:paraId="44F9AE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投标报价（30分）</w:t>
            </w:r>
          </w:p>
        </w:tc>
      </w:tr>
      <w:tr w14:paraId="626C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3CBDD883">
            <w:pPr>
              <w:keepNext w:val="0"/>
              <w:keepLines w:val="0"/>
              <w:pageBreakBefore w:val="0"/>
              <w:kinsoku/>
              <w:wordWrap/>
              <w:overflowPunct/>
              <w:topLinePunct w:val="0"/>
              <w:autoSpaceDE/>
              <w:autoSpaceDN/>
              <w:bidi w:val="0"/>
              <w:snapToGrid w:val="0"/>
              <w:spacing w:line="48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2188" w:type="dxa"/>
            <w:vAlign w:val="center"/>
          </w:tcPr>
          <w:p w14:paraId="44C0EBE7">
            <w:pPr>
              <w:pStyle w:val="1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4"/>
                <w:szCs w:val="24"/>
                <w:vertAlign w:val="baseline"/>
                <w:lang w:val="en-US" w:eastAsia="zh-CN"/>
              </w:rPr>
            </w:pPr>
            <w:bookmarkStart w:id="106" w:name="_Toc14002"/>
            <w:r>
              <w:rPr>
                <w:rFonts w:hint="eastAsia" w:ascii="仿宋" w:hAnsi="仿宋" w:eastAsia="仿宋" w:cs="仿宋"/>
                <w:b w:val="0"/>
                <w:bCs w:val="0"/>
                <w:color w:val="auto"/>
                <w:sz w:val="24"/>
                <w:szCs w:val="24"/>
                <w:highlight w:val="none"/>
                <w:lang w:val="en-US" w:eastAsia="zh-CN"/>
              </w:rPr>
              <w:t>投标报价(30分)</w:t>
            </w:r>
            <w:bookmarkEnd w:id="106"/>
          </w:p>
        </w:tc>
        <w:tc>
          <w:tcPr>
            <w:tcW w:w="6209" w:type="dxa"/>
            <w:vAlign w:val="center"/>
          </w:tcPr>
          <w:p w14:paraId="13200FD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auto"/>
                <w:sz w:val="24"/>
                <w:szCs w:val="24"/>
                <w:highlight w:val="none"/>
                <w:lang w:val="en-US" w:eastAsia="zh-CN"/>
              </w:rPr>
              <w:t>在满足招标文件要求的前提下，取各投标人有效报价的最低投标报价（投标单价合计）作为评标基准价,满分为30分；价格分的计算投标报价得分=(评标基准价／投标报价)×30。（计算分值时，百分比按四舍五入原则，保留小数点后二位数）</w:t>
            </w:r>
          </w:p>
        </w:tc>
      </w:tr>
    </w:tbl>
    <w:p w14:paraId="0789827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p>
    <w:p w14:paraId="4813D9E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p>
    <w:p w14:paraId="79464E0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30785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2、供应商在评标过程中，所进行的力图影响评标结果的不符合招标规则的活动，可能导致其被取消中标资格。</w:t>
      </w:r>
    </w:p>
    <w:p w14:paraId="7ECD67CA">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3、与招标文件有重大偏离的投标文件将被拒绝。</w:t>
      </w:r>
    </w:p>
    <w:p w14:paraId="3D1490DD">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30%×100。</w:t>
      </w:r>
    </w:p>
    <w:bookmarkEnd w:id="100"/>
    <w:bookmarkEnd w:id="101"/>
    <w:p w14:paraId="264F936E">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14:paraId="667BBD9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5、最低报价不作为评标的唯一依据。采购人不承诺将合同授予报价最低的投标人。</w:t>
      </w:r>
    </w:p>
    <w:p w14:paraId="21F21F0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6、经评标委员会评议，认为投标报价过高、超出采购人预算的项目，可以不确立中标人，做为废标处理。</w:t>
      </w:r>
    </w:p>
    <w:bookmarkEnd w:id="89"/>
    <w:p w14:paraId="39E8967C">
      <w:pPr>
        <w:shd w:val="clear" w:color="auto" w:fill="auto"/>
        <w:snapToGrid w:val="0"/>
        <w:spacing w:line="40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无效投标条款</w:t>
      </w:r>
    </w:p>
    <w:p w14:paraId="6BA0219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.1投标文件有下列情形之一的,其投标文件拒收:</w:t>
      </w:r>
    </w:p>
    <w:p w14:paraId="3839D588">
      <w:pPr>
        <w:shd w:val="clear" w:color="auto" w:fill="auto"/>
        <w:snapToGrid w:val="0"/>
        <w:spacing w:line="400" w:lineRule="exact"/>
        <w:ind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未在开标截止时间前通过网上招标投标系统递交有效电子投标文件的，开标系统不予接收。</w:t>
      </w:r>
    </w:p>
    <w:p w14:paraId="3CC1A9CF">
      <w:pPr>
        <w:shd w:val="clear" w:color="auto" w:fill="auto"/>
        <w:snapToGrid w:val="0"/>
        <w:spacing w:line="400" w:lineRule="exact"/>
        <w:ind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所有投标人应在规定时间里完成投标文件的解密工作</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使用</w:t>
      </w:r>
      <w:r>
        <w:rPr>
          <w:rFonts w:hint="eastAsia" w:ascii="仿宋" w:hAnsi="仿宋" w:eastAsia="仿宋" w:cs="仿宋"/>
          <w:b/>
          <w:bCs/>
          <w:color w:val="auto"/>
          <w:sz w:val="24"/>
          <w:szCs w:val="24"/>
          <w:highlight w:val="none"/>
        </w:rPr>
        <w:t>其有效加密锁（CA锁）</w:t>
      </w:r>
      <w:r>
        <w:rPr>
          <w:rFonts w:hint="eastAsia" w:ascii="仿宋" w:hAnsi="仿宋" w:eastAsia="仿宋" w:cs="仿宋"/>
          <w:b/>
          <w:bCs/>
          <w:color w:val="auto"/>
          <w:sz w:val="24"/>
          <w:szCs w:val="24"/>
          <w:highlight w:val="none"/>
          <w:lang w:eastAsia="zh-CN"/>
        </w:rPr>
        <w:t>进行</w:t>
      </w:r>
      <w:r>
        <w:rPr>
          <w:rFonts w:hint="eastAsia" w:ascii="仿宋" w:hAnsi="仿宋" w:eastAsia="仿宋" w:cs="仿宋"/>
          <w:b/>
          <w:bCs/>
          <w:color w:val="auto"/>
          <w:sz w:val="24"/>
          <w:szCs w:val="24"/>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 w:val="24"/>
          <w:szCs w:val="24"/>
          <w:highlight w:val="none"/>
        </w:rPr>
        <w:t>，因系统原因未能成功解密的投标文件，可导入</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也无法导入的，则投标文件被否决。</w:t>
      </w:r>
    </w:p>
    <w:p w14:paraId="249B1819">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.2投标人有下列情形之一的,资格审查后其投标作无效投标处理：</w:t>
      </w:r>
    </w:p>
    <w:p w14:paraId="6185391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54E2D0A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(2)投标人为本项目提供招标代理服务的；</w:t>
      </w:r>
    </w:p>
    <w:p w14:paraId="7AAA7FC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(3)投标人与在本项目代理机构存在相互任职或工作的；</w:t>
      </w:r>
    </w:p>
    <w:p w14:paraId="6E893AA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(4)投标保证金未按规定要求缴纳的；</w:t>
      </w:r>
    </w:p>
    <w:p w14:paraId="45D0769A">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val="0"/>
          <w:bCs w:val="0"/>
          <w:color w:val="auto"/>
          <w:sz w:val="24"/>
          <w:szCs w:val="24"/>
          <w:highlight w:val="none"/>
        </w:rPr>
        <w:t>评标专家无法查看并检验电子标书中相关资料的；</w:t>
      </w:r>
    </w:p>
    <w:p w14:paraId="3272E89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(6)投标人超出营业范围投标的；</w:t>
      </w:r>
    </w:p>
    <w:p w14:paraId="365BCAF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(7)联合体投标未提交联合体协议的；</w:t>
      </w:r>
    </w:p>
    <w:p w14:paraId="66506AE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(8)被暂停营业的；</w:t>
      </w:r>
    </w:p>
    <w:p w14:paraId="3ED026C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(9)被暂停或取消投标资格的；</w:t>
      </w:r>
    </w:p>
    <w:p w14:paraId="2943C11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(10)财产被接管或冻结的；</w:t>
      </w:r>
    </w:p>
    <w:p w14:paraId="2C55F8F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(11)投标人单位负责人为同一人或者存在控股、管理关系的不同单位的；</w:t>
      </w:r>
    </w:p>
    <w:p w14:paraId="2747D5E0">
      <w:pPr>
        <w:shd w:val="clear" w:color="auto" w:fill="auto"/>
        <w:snapToGrid w:val="0"/>
        <w:spacing w:line="400" w:lineRule="exact"/>
        <w:ind w:firstLine="360" w:firstLineChars="15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投标人基本资格条件和特定资格条件中有一项及以上不符合要求的；</w:t>
      </w:r>
    </w:p>
    <w:p w14:paraId="47C533D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（13）投标人使用相同的MAC地址进行报名的；</w:t>
      </w:r>
    </w:p>
    <w:p w14:paraId="5F1EA75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（14）其它情形，经评标委员会委提出按无效投标处理，并经公共资源交易监督部门核准的；</w:t>
      </w:r>
    </w:p>
    <w:p w14:paraId="59ED028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（15）投标人使用相同IP地址报名的，一经发现，监管部门将进一步核实，查实后按串通投标处理；</w:t>
      </w:r>
    </w:p>
    <w:p w14:paraId="2B0561B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31D808E6">
      <w:pPr>
        <w:shd w:val="clear" w:color="auto" w:fill="auto"/>
        <w:snapToGrid w:val="0"/>
        <w:spacing w:line="400" w:lineRule="exact"/>
        <w:ind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.3 投标人有下列情形之一的,符合性审查后其投标按无效投标处理：</w:t>
      </w:r>
    </w:p>
    <w:p w14:paraId="512A370C">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(1)投标文件签字、盖章不全，经评标委员会一致认定对开评标内容有实质性影响并经监督部门核准的；</w:t>
      </w:r>
    </w:p>
    <w:p w14:paraId="13B549E0">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)未按规定的格式填写，实质性内容不全或关键字迹模糊、无法辨认; 经监督部门核准的；</w:t>
      </w:r>
    </w:p>
    <w:p w14:paraId="6300C012">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)同一投标人提交两个以上不同的投标文件或者投标报价，但</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规定提交备选方案的除外；</w:t>
      </w:r>
    </w:p>
    <w:p w14:paraId="1356830A">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)投标文件没有对</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的实质性要求和条件作出响应;</w:t>
      </w:r>
    </w:p>
    <w:p w14:paraId="12C364B2">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)投标报价超出规定的投标限价或公布的采购预算的；注：投标人的投标报价各项单价均不得高于</w:t>
      </w:r>
      <w:r>
        <w:rPr>
          <w:rFonts w:hint="eastAsia" w:ascii="仿宋" w:hAnsi="仿宋" w:eastAsia="仿宋" w:cs="仿宋"/>
          <w:b/>
          <w:bCs/>
          <w:color w:val="auto"/>
          <w:sz w:val="24"/>
          <w:szCs w:val="24"/>
          <w:highlight w:val="none"/>
          <w:lang w:eastAsia="zh-CN"/>
        </w:rPr>
        <w:t>招标文件</w:t>
      </w:r>
      <w:r>
        <w:rPr>
          <w:rFonts w:hint="eastAsia" w:ascii="仿宋" w:hAnsi="仿宋" w:eastAsia="仿宋" w:cs="仿宋"/>
          <w:b/>
          <w:bCs/>
          <w:color w:val="auto"/>
          <w:sz w:val="24"/>
          <w:szCs w:val="24"/>
          <w:highlight w:val="none"/>
        </w:rPr>
        <w:t>给定的单价最高限价，否则，其投标文件将按无效投标处理。</w:t>
      </w:r>
    </w:p>
    <w:p w14:paraId="646F6FDB">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)不按评标委员会要求澄清、说明或补正的，或者评标委员会根据</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的规定对</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的计算错误进行修正后，投标人不接受修正的投标报价的。</w:t>
      </w:r>
    </w:p>
    <w:p w14:paraId="5336B7B4">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）其它情形，经评标委员会委提出按无效投标处理，并经公共资源交易监督部门核准的；</w:t>
      </w:r>
    </w:p>
    <w:p w14:paraId="50EE3760">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）未按照</w:t>
      </w:r>
      <w:r>
        <w:rPr>
          <w:rFonts w:hint="eastAsia" w:ascii="仿宋" w:hAnsi="仿宋" w:eastAsia="仿宋" w:cs="仿宋"/>
          <w:b/>
          <w:bCs/>
          <w:color w:val="auto"/>
          <w:sz w:val="24"/>
          <w:szCs w:val="24"/>
          <w:highlight w:val="none"/>
          <w:lang w:eastAsia="zh-CN"/>
        </w:rPr>
        <w:t>招标文件</w:t>
      </w:r>
      <w:r>
        <w:rPr>
          <w:rFonts w:hint="eastAsia" w:ascii="仿宋" w:hAnsi="仿宋" w:eastAsia="仿宋" w:cs="仿宋"/>
          <w:b/>
          <w:bCs/>
          <w:color w:val="auto"/>
          <w:sz w:val="24"/>
          <w:szCs w:val="24"/>
          <w:highlight w:val="none"/>
        </w:rPr>
        <w:t>的规定提交投标保证金的；</w:t>
      </w:r>
    </w:p>
    <w:p w14:paraId="34288F4F">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）投标文件含有采购人不能接受的附加条件的;</w:t>
      </w:r>
    </w:p>
    <w:p w14:paraId="6106FCD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规定的其它无效投标情形。</w:t>
      </w:r>
    </w:p>
    <w:p w14:paraId="16777B8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 投标人有下列情形之一的, 详细评审后其投标按无效投标处理：</w:t>
      </w:r>
    </w:p>
    <w:p w14:paraId="740BA53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投标产品不符合必须强制执行的国家标准的；</w:t>
      </w:r>
    </w:p>
    <w:p w14:paraId="13E1523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投标人有串通投标、弄虚作假、行贿等违法行为；</w:t>
      </w:r>
    </w:p>
    <w:p w14:paraId="616092B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投标文件含有违反国家法律、法规的内容，或附有招标人不能接受的条件的；</w:t>
      </w:r>
    </w:p>
    <w:p w14:paraId="6074117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在同一项目（或同一标段）中有多个投标人有效投标报价接近最高限价，且评标委员会认为报价出现异常的，可以宣布其投标无效；</w:t>
      </w:r>
    </w:p>
    <w:p w14:paraId="60EA219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（5）报价明显低于其他投标人，且不能证明报价合理性的投标无效；</w:t>
      </w:r>
    </w:p>
    <w:p w14:paraId="3540088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（6）拒不确认评标委员会评审修正的投标无效；</w:t>
      </w:r>
    </w:p>
    <w:p w14:paraId="439FFF0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（7）其它情形，经评标委员会委提出按无效投标处理，并经公共资源交易监督部门核准的；</w:t>
      </w:r>
    </w:p>
    <w:p w14:paraId="4B43586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bookmarkEnd w:id="90"/>
    <w:p w14:paraId="2DA32B21">
      <w:pPr>
        <w:pStyle w:val="20"/>
        <w:ind w:left="0" w:leftChars="0" w:firstLine="0" w:firstLineChars="0"/>
        <w:rPr>
          <w:rFonts w:hint="eastAsia"/>
          <w:color w:val="auto"/>
          <w:highlight w:val="none"/>
        </w:rPr>
        <w:sectPr>
          <w:footerReference r:id="rId7" w:type="first"/>
          <w:footerReference r:id="rId6" w:type="default"/>
          <w:pgSz w:w="11906" w:h="16838"/>
          <w:pgMar w:top="1440" w:right="1080" w:bottom="1440" w:left="1080" w:header="851" w:footer="851" w:gutter="0"/>
          <w:pgNumType w:fmt="numberInDash" w:start="1"/>
          <w:cols w:space="720" w:num="1"/>
          <w:titlePg/>
          <w:docGrid w:type="linesAndChars" w:linePitch="312" w:charSpace="0"/>
        </w:sectPr>
      </w:pPr>
    </w:p>
    <w:p w14:paraId="2F7F48C4">
      <w:pPr>
        <w:pStyle w:val="19"/>
        <w:numPr>
          <w:ilvl w:val="0"/>
          <w:numId w:val="5"/>
        </w:numPr>
        <w:ind w:left="0" w:leftChars="0" w:firstLine="0" w:firstLineChars="0"/>
        <w:jc w:val="center"/>
        <w:outlineLvl w:val="0"/>
        <w:rPr>
          <w:rFonts w:hint="eastAsia" w:ascii="仿宋" w:hAnsi="仿宋" w:eastAsia="仿宋" w:cs="仿宋"/>
          <w:color w:val="auto"/>
          <w:sz w:val="36"/>
          <w:highlight w:val="none"/>
        </w:rPr>
      </w:pPr>
      <w:bookmarkStart w:id="107" w:name="_Toc10919"/>
      <w:bookmarkStart w:id="108" w:name="_Toc10924"/>
      <w:r>
        <w:rPr>
          <w:rFonts w:hint="eastAsia" w:ascii="仿宋" w:hAnsi="仿宋" w:eastAsia="仿宋" w:cs="仿宋"/>
          <w:color w:val="auto"/>
          <w:sz w:val="36"/>
          <w:highlight w:val="none"/>
        </w:rPr>
        <w:t>招标内容</w:t>
      </w:r>
      <w:bookmarkEnd w:id="107"/>
      <w:r>
        <w:rPr>
          <w:rFonts w:hint="eastAsia" w:ascii="仿宋" w:hAnsi="仿宋" w:eastAsia="仿宋" w:cs="仿宋"/>
          <w:color w:val="auto"/>
          <w:sz w:val="36"/>
          <w:highlight w:val="none"/>
          <w:lang w:val="en-US" w:eastAsia="zh-CN"/>
        </w:rPr>
        <w:t>及技术要求</w:t>
      </w:r>
      <w:bookmarkEnd w:id="108"/>
    </w:p>
    <w:p w14:paraId="0AE51B3C">
      <w:pPr>
        <w:rPr>
          <w:rFonts w:hint="eastAsia"/>
        </w:rPr>
      </w:pPr>
    </w:p>
    <w:tbl>
      <w:tblPr>
        <w:tblStyle w:val="21"/>
        <w:tblW w:w="94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956"/>
        <w:gridCol w:w="1284"/>
        <w:gridCol w:w="732"/>
        <w:gridCol w:w="852"/>
        <w:gridCol w:w="1308"/>
        <w:gridCol w:w="1584"/>
        <w:gridCol w:w="984"/>
      </w:tblGrid>
      <w:tr w14:paraId="44B4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92" w:type="dxa"/>
            <w:gridSpan w:val="8"/>
            <w:tcBorders>
              <w:top w:val="nil"/>
              <w:left w:val="nil"/>
              <w:bottom w:val="nil"/>
              <w:right w:val="nil"/>
            </w:tcBorders>
            <w:shd w:val="clear" w:color="auto" w:fill="auto"/>
            <w:vAlign w:val="center"/>
          </w:tcPr>
          <w:p w14:paraId="1FCA5ED4">
            <w:pPr>
              <w:keepNext w:val="0"/>
              <w:keepLines w:val="0"/>
              <w:widowControl/>
              <w:suppressLineNumbers w:val="0"/>
              <w:jc w:val="left"/>
              <w:textAlignment w:val="center"/>
              <w:rPr>
                <w:rFonts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附件：</w:t>
            </w:r>
          </w:p>
        </w:tc>
      </w:tr>
      <w:tr w14:paraId="0805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92" w:type="dxa"/>
            <w:gridSpan w:val="8"/>
            <w:tcBorders>
              <w:top w:val="nil"/>
              <w:left w:val="nil"/>
              <w:bottom w:val="nil"/>
              <w:right w:val="nil"/>
            </w:tcBorders>
            <w:shd w:val="clear" w:color="auto" w:fill="auto"/>
            <w:vAlign w:val="center"/>
          </w:tcPr>
          <w:p w14:paraId="1E8B3D94">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2024年哈巴河县人民医院建设项目报价单</w:t>
            </w:r>
          </w:p>
        </w:tc>
      </w:tr>
      <w:tr w14:paraId="5C3E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0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75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D2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8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5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F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2099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A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高端彩色多普勒超声诊断仪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B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8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E8C">
            <w:pPr>
              <w:jc w:val="center"/>
              <w:rPr>
                <w:rFonts w:hint="eastAsia" w:ascii="仿宋" w:hAnsi="仿宋" w:eastAsia="仿宋" w:cs="仿宋"/>
                <w:i w:val="0"/>
                <w:iCs w:val="0"/>
                <w:color w:val="000000"/>
                <w:sz w:val="24"/>
                <w:szCs w:val="24"/>
                <w:u w:val="none"/>
              </w:rPr>
            </w:pPr>
          </w:p>
        </w:tc>
      </w:tr>
      <w:tr w14:paraId="5204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婴儿培养箱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6F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47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A1E8">
            <w:pPr>
              <w:jc w:val="center"/>
              <w:rPr>
                <w:rFonts w:hint="eastAsia" w:ascii="仿宋" w:hAnsi="仿宋" w:eastAsia="仿宋" w:cs="仿宋"/>
                <w:i w:val="0"/>
                <w:iCs w:val="0"/>
                <w:color w:val="000000"/>
                <w:sz w:val="24"/>
                <w:szCs w:val="24"/>
                <w:u w:val="none"/>
              </w:rPr>
            </w:pPr>
          </w:p>
        </w:tc>
      </w:tr>
      <w:tr w14:paraId="4859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F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D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婴儿辐射保暖台（T组合）</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B6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A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8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C6B">
            <w:pPr>
              <w:jc w:val="center"/>
              <w:rPr>
                <w:rFonts w:hint="eastAsia" w:ascii="仿宋" w:hAnsi="仿宋" w:eastAsia="仿宋" w:cs="仿宋"/>
                <w:i w:val="0"/>
                <w:iCs w:val="0"/>
                <w:color w:val="000000"/>
                <w:sz w:val="24"/>
                <w:szCs w:val="24"/>
                <w:u w:val="none"/>
              </w:rPr>
            </w:pPr>
          </w:p>
        </w:tc>
      </w:tr>
      <w:tr w14:paraId="42F9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0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8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多功能产床</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8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详细见附件四</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A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6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F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A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0FC9">
            <w:pPr>
              <w:jc w:val="center"/>
              <w:rPr>
                <w:rFonts w:hint="eastAsia" w:ascii="仿宋" w:hAnsi="仿宋" w:eastAsia="仿宋" w:cs="仿宋"/>
                <w:i w:val="0"/>
                <w:iCs w:val="0"/>
                <w:color w:val="000000"/>
                <w:sz w:val="24"/>
                <w:szCs w:val="24"/>
                <w:u w:val="none"/>
              </w:rPr>
            </w:pPr>
          </w:p>
        </w:tc>
      </w:tr>
      <w:tr w14:paraId="013F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E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妊娠高血压综合症监测系统</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0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详细见附件五</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0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3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1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4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C343">
            <w:pPr>
              <w:jc w:val="center"/>
              <w:rPr>
                <w:rFonts w:hint="eastAsia" w:ascii="仿宋" w:hAnsi="仿宋" w:eastAsia="仿宋" w:cs="仿宋"/>
                <w:i w:val="0"/>
                <w:iCs w:val="0"/>
                <w:color w:val="000000"/>
                <w:sz w:val="24"/>
                <w:szCs w:val="24"/>
                <w:u w:val="none"/>
              </w:rPr>
            </w:pPr>
          </w:p>
        </w:tc>
      </w:tr>
      <w:tr w14:paraId="6AB6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2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9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胎儿母亲监护仪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0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详细见附件六</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A5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6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E1C">
            <w:pPr>
              <w:jc w:val="center"/>
              <w:rPr>
                <w:rFonts w:hint="eastAsia" w:ascii="仿宋" w:hAnsi="仿宋" w:eastAsia="仿宋" w:cs="仿宋"/>
                <w:i w:val="0"/>
                <w:iCs w:val="0"/>
                <w:color w:val="000000"/>
                <w:sz w:val="24"/>
                <w:szCs w:val="24"/>
                <w:u w:val="none"/>
              </w:rPr>
            </w:pPr>
          </w:p>
        </w:tc>
      </w:tr>
      <w:tr w14:paraId="2398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B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C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麻醉机工作站</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B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3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8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F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7E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E69">
            <w:pPr>
              <w:jc w:val="center"/>
              <w:rPr>
                <w:rFonts w:hint="eastAsia" w:ascii="仿宋" w:hAnsi="仿宋" w:eastAsia="仿宋" w:cs="仿宋"/>
                <w:i w:val="0"/>
                <w:iCs w:val="0"/>
                <w:color w:val="000000"/>
                <w:sz w:val="24"/>
                <w:szCs w:val="24"/>
                <w:u w:val="none"/>
              </w:rPr>
            </w:pPr>
          </w:p>
        </w:tc>
      </w:tr>
      <w:tr w14:paraId="5D32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D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骨科专用手术床</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详细见附件八</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E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8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7635">
            <w:pPr>
              <w:jc w:val="center"/>
              <w:rPr>
                <w:rFonts w:hint="eastAsia" w:ascii="仿宋" w:hAnsi="仿宋" w:eastAsia="仿宋" w:cs="仿宋"/>
                <w:i w:val="0"/>
                <w:iCs w:val="0"/>
                <w:color w:val="000000"/>
                <w:sz w:val="24"/>
                <w:szCs w:val="24"/>
                <w:u w:val="none"/>
              </w:rPr>
            </w:pPr>
          </w:p>
        </w:tc>
      </w:tr>
      <w:tr w14:paraId="0B91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F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手术工作台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F2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详细见附件九</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8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B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7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A4C6">
            <w:pPr>
              <w:jc w:val="center"/>
              <w:rPr>
                <w:rFonts w:hint="eastAsia" w:ascii="仿宋" w:hAnsi="仿宋" w:eastAsia="仿宋" w:cs="仿宋"/>
                <w:i w:val="0"/>
                <w:iCs w:val="0"/>
                <w:color w:val="000000"/>
                <w:sz w:val="24"/>
                <w:szCs w:val="24"/>
                <w:u w:val="none"/>
              </w:rPr>
            </w:pPr>
          </w:p>
        </w:tc>
      </w:tr>
      <w:tr w14:paraId="1ABD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4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医用转移车</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1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6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3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0C01">
            <w:pPr>
              <w:jc w:val="center"/>
              <w:rPr>
                <w:rFonts w:hint="eastAsia" w:ascii="仿宋" w:hAnsi="仿宋" w:eastAsia="仿宋" w:cs="仿宋"/>
                <w:i w:val="0"/>
                <w:iCs w:val="0"/>
                <w:color w:val="000000"/>
                <w:sz w:val="24"/>
                <w:szCs w:val="24"/>
                <w:u w:val="none"/>
              </w:rPr>
            </w:pPr>
          </w:p>
        </w:tc>
      </w:tr>
      <w:tr w14:paraId="66B7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3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6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高频电刀</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B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0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2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92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2B1B">
            <w:pPr>
              <w:jc w:val="center"/>
              <w:rPr>
                <w:rFonts w:hint="eastAsia" w:ascii="仿宋" w:hAnsi="仿宋" w:eastAsia="仿宋" w:cs="仿宋"/>
                <w:i w:val="0"/>
                <w:iCs w:val="0"/>
                <w:color w:val="000000"/>
                <w:sz w:val="24"/>
                <w:szCs w:val="24"/>
                <w:u w:val="none"/>
              </w:rPr>
            </w:pPr>
          </w:p>
        </w:tc>
      </w:tr>
      <w:tr w14:paraId="0463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新生儿专用监护仪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D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C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3723">
            <w:pPr>
              <w:jc w:val="center"/>
              <w:rPr>
                <w:rFonts w:hint="eastAsia" w:ascii="仿宋" w:hAnsi="仿宋" w:eastAsia="仿宋" w:cs="仿宋"/>
                <w:i w:val="0"/>
                <w:iCs w:val="0"/>
                <w:color w:val="000000"/>
                <w:sz w:val="24"/>
                <w:szCs w:val="24"/>
                <w:u w:val="none"/>
              </w:rPr>
            </w:pPr>
          </w:p>
        </w:tc>
      </w:tr>
      <w:tr w14:paraId="3190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6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经皮黄疸仪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6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C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6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A04">
            <w:pPr>
              <w:jc w:val="center"/>
              <w:rPr>
                <w:rFonts w:hint="eastAsia" w:ascii="仿宋" w:hAnsi="仿宋" w:eastAsia="仿宋" w:cs="仿宋"/>
                <w:i w:val="0"/>
                <w:iCs w:val="0"/>
                <w:color w:val="000000"/>
                <w:sz w:val="24"/>
                <w:szCs w:val="24"/>
                <w:u w:val="none"/>
              </w:rPr>
            </w:pPr>
          </w:p>
        </w:tc>
      </w:tr>
      <w:tr w14:paraId="11BD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5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6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内镜清洗工作站</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2B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详细见附件十四</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8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0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5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1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EA40">
            <w:pPr>
              <w:jc w:val="center"/>
              <w:rPr>
                <w:rFonts w:hint="eastAsia" w:ascii="仿宋" w:hAnsi="仿宋" w:eastAsia="仿宋" w:cs="仿宋"/>
                <w:i w:val="0"/>
                <w:iCs w:val="0"/>
                <w:color w:val="000000"/>
                <w:sz w:val="24"/>
                <w:szCs w:val="24"/>
                <w:u w:val="none"/>
              </w:rPr>
            </w:pPr>
          </w:p>
        </w:tc>
      </w:tr>
      <w:tr w14:paraId="5233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9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数字脑电地形图</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D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详细见附件十五</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E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EB6F">
            <w:pPr>
              <w:jc w:val="center"/>
              <w:rPr>
                <w:rFonts w:hint="eastAsia" w:ascii="仿宋" w:hAnsi="仿宋" w:eastAsia="仿宋" w:cs="仿宋"/>
                <w:i w:val="0"/>
                <w:iCs w:val="0"/>
                <w:color w:val="000000"/>
                <w:sz w:val="24"/>
                <w:szCs w:val="24"/>
                <w:u w:val="none"/>
              </w:rPr>
            </w:pPr>
          </w:p>
        </w:tc>
      </w:tr>
      <w:tr w14:paraId="5E1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C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眼科光学生物测量仪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6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详细见附件十六</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C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A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D4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0B05">
            <w:pPr>
              <w:jc w:val="center"/>
              <w:rPr>
                <w:rFonts w:hint="eastAsia" w:ascii="仿宋" w:hAnsi="仿宋" w:eastAsia="仿宋" w:cs="仿宋"/>
                <w:i w:val="0"/>
                <w:iCs w:val="0"/>
                <w:color w:val="000000"/>
                <w:sz w:val="24"/>
                <w:szCs w:val="24"/>
                <w:u w:val="none"/>
              </w:rPr>
            </w:pPr>
          </w:p>
        </w:tc>
      </w:tr>
      <w:tr w14:paraId="5ADA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D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牙科综合治疗椅</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4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0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E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FDCB">
            <w:pPr>
              <w:jc w:val="center"/>
              <w:rPr>
                <w:rFonts w:hint="eastAsia" w:ascii="仿宋" w:hAnsi="仿宋" w:eastAsia="仿宋" w:cs="仿宋"/>
                <w:i w:val="0"/>
                <w:iCs w:val="0"/>
                <w:color w:val="000000"/>
                <w:sz w:val="24"/>
                <w:szCs w:val="24"/>
                <w:u w:val="none"/>
              </w:rPr>
            </w:pPr>
          </w:p>
        </w:tc>
      </w:tr>
      <w:tr w14:paraId="7610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99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牙科电动空压机（带膜干燥塔式）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2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详细见附件十八</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9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D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E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B4D">
            <w:pPr>
              <w:jc w:val="center"/>
              <w:rPr>
                <w:rFonts w:hint="eastAsia" w:ascii="仿宋" w:hAnsi="仿宋" w:eastAsia="仿宋" w:cs="仿宋"/>
                <w:i w:val="0"/>
                <w:iCs w:val="0"/>
                <w:color w:val="000000"/>
                <w:sz w:val="24"/>
                <w:szCs w:val="24"/>
                <w:u w:val="none"/>
              </w:rPr>
            </w:pPr>
          </w:p>
        </w:tc>
      </w:tr>
      <w:tr w14:paraId="304E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37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牙科电动抽吸系统（湿式负压）</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B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详细见附件十九</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F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8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6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6BF9">
            <w:pPr>
              <w:jc w:val="center"/>
              <w:rPr>
                <w:rFonts w:hint="eastAsia" w:ascii="仿宋" w:hAnsi="仿宋" w:eastAsia="仿宋" w:cs="仿宋"/>
                <w:i w:val="0"/>
                <w:iCs w:val="0"/>
                <w:color w:val="000000"/>
                <w:sz w:val="24"/>
                <w:szCs w:val="24"/>
                <w:u w:val="none"/>
              </w:rPr>
            </w:pPr>
          </w:p>
        </w:tc>
      </w:tr>
      <w:tr w14:paraId="2354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9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94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超声喷砂牙周治疗仪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4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1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5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E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F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E38">
            <w:pPr>
              <w:jc w:val="center"/>
              <w:rPr>
                <w:rFonts w:hint="eastAsia" w:ascii="仿宋" w:hAnsi="仿宋" w:eastAsia="仿宋" w:cs="仿宋"/>
                <w:i w:val="0"/>
                <w:iCs w:val="0"/>
                <w:color w:val="000000"/>
                <w:sz w:val="24"/>
                <w:szCs w:val="24"/>
                <w:u w:val="none"/>
              </w:rPr>
            </w:pPr>
          </w:p>
        </w:tc>
      </w:tr>
      <w:tr w14:paraId="4994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1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8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儿童牙科综合治疗椅</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F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B0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9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992">
            <w:pPr>
              <w:jc w:val="center"/>
              <w:rPr>
                <w:rFonts w:hint="eastAsia" w:ascii="仿宋" w:hAnsi="仿宋" w:eastAsia="仿宋" w:cs="仿宋"/>
                <w:i w:val="0"/>
                <w:iCs w:val="0"/>
                <w:color w:val="000000"/>
                <w:sz w:val="24"/>
                <w:szCs w:val="24"/>
                <w:u w:val="none"/>
              </w:rPr>
            </w:pPr>
          </w:p>
        </w:tc>
      </w:tr>
      <w:tr w14:paraId="6488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4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微酸性电解水生成器</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E8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C9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4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8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4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22EE">
            <w:pPr>
              <w:jc w:val="center"/>
              <w:rPr>
                <w:rFonts w:hint="eastAsia" w:ascii="仿宋" w:hAnsi="仿宋" w:eastAsia="仿宋" w:cs="仿宋"/>
                <w:i w:val="0"/>
                <w:iCs w:val="0"/>
                <w:color w:val="000000"/>
                <w:sz w:val="24"/>
                <w:szCs w:val="24"/>
                <w:u w:val="none"/>
              </w:rPr>
            </w:pPr>
          </w:p>
        </w:tc>
      </w:tr>
      <w:tr w14:paraId="3C7F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7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全自动血液流变分析仪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0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5C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9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DE6E">
            <w:pPr>
              <w:jc w:val="center"/>
              <w:rPr>
                <w:rFonts w:hint="eastAsia" w:ascii="仿宋" w:hAnsi="仿宋" w:eastAsia="仿宋" w:cs="仿宋"/>
                <w:i w:val="0"/>
                <w:iCs w:val="0"/>
                <w:color w:val="000000"/>
                <w:sz w:val="24"/>
                <w:szCs w:val="24"/>
                <w:u w:val="none"/>
              </w:rPr>
            </w:pPr>
          </w:p>
        </w:tc>
      </w:tr>
      <w:tr w14:paraId="2B6E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F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A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循环水浴式恒温循环解冻箱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A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详细见附件二十四</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4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D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F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46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3F9F">
            <w:pPr>
              <w:jc w:val="center"/>
              <w:rPr>
                <w:rFonts w:hint="eastAsia" w:ascii="仿宋" w:hAnsi="仿宋" w:eastAsia="仿宋" w:cs="仿宋"/>
                <w:i w:val="0"/>
                <w:iCs w:val="0"/>
                <w:color w:val="000000"/>
                <w:sz w:val="24"/>
                <w:szCs w:val="24"/>
                <w:u w:val="none"/>
              </w:rPr>
            </w:pPr>
          </w:p>
        </w:tc>
      </w:tr>
      <w:tr w14:paraId="6636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3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7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血液储存箱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6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详细见附件二十五</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8B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A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2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7A03">
            <w:pPr>
              <w:jc w:val="center"/>
              <w:rPr>
                <w:rFonts w:hint="eastAsia" w:ascii="仿宋" w:hAnsi="仿宋" w:eastAsia="仿宋" w:cs="仿宋"/>
                <w:i w:val="0"/>
                <w:iCs w:val="0"/>
                <w:color w:val="000000"/>
                <w:sz w:val="24"/>
                <w:szCs w:val="24"/>
                <w:u w:val="none"/>
              </w:rPr>
            </w:pPr>
          </w:p>
        </w:tc>
      </w:tr>
      <w:tr w14:paraId="7FC0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6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台式低速离心机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2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详细见附件二十六</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9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0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9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9534">
            <w:pPr>
              <w:jc w:val="center"/>
              <w:rPr>
                <w:rFonts w:hint="eastAsia" w:ascii="仿宋" w:hAnsi="仿宋" w:eastAsia="仿宋" w:cs="仿宋"/>
                <w:i w:val="0"/>
                <w:iCs w:val="0"/>
                <w:color w:val="000000"/>
                <w:sz w:val="24"/>
                <w:szCs w:val="24"/>
                <w:u w:val="none"/>
              </w:rPr>
            </w:pPr>
          </w:p>
        </w:tc>
      </w:tr>
      <w:tr w14:paraId="4A7F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便捷式医用血小板振荡仪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7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5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7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08D">
            <w:pPr>
              <w:jc w:val="center"/>
              <w:rPr>
                <w:rFonts w:hint="eastAsia" w:ascii="仿宋" w:hAnsi="仿宋" w:eastAsia="仿宋" w:cs="仿宋"/>
                <w:i w:val="0"/>
                <w:iCs w:val="0"/>
                <w:color w:val="000000"/>
                <w:sz w:val="24"/>
                <w:szCs w:val="24"/>
                <w:u w:val="none"/>
              </w:rPr>
            </w:pPr>
          </w:p>
        </w:tc>
      </w:tr>
      <w:tr w14:paraId="0A8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C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B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可调节隔水式恒温恒湿培养箱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详细见附件二十八</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B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3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E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154">
            <w:pPr>
              <w:jc w:val="center"/>
              <w:rPr>
                <w:rFonts w:hint="eastAsia" w:ascii="仿宋" w:hAnsi="仿宋" w:eastAsia="仿宋" w:cs="仿宋"/>
                <w:i w:val="0"/>
                <w:iCs w:val="0"/>
                <w:color w:val="000000"/>
                <w:sz w:val="24"/>
                <w:szCs w:val="24"/>
                <w:u w:val="none"/>
              </w:rPr>
            </w:pPr>
          </w:p>
        </w:tc>
      </w:tr>
      <w:tr w14:paraId="074A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6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离心机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1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详细见附件二十九</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5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D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42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3E1">
            <w:pPr>
              <w:jc w:val="center"/>
              <w:rPr>
                <w:rFonts w:hint="eastAsia" w:ascii="仿宋" w:hAnsi="仿宋" w:eastAsia="仿宋" w:cs="仿宋"/>
                <w:i w:val="0"/>
                <w:iCs w:val="0"/>
                <w:color w:val="000000"/>
                <w:sz w:val="24"/>
                <w:szCs w:val="24"/>
                <w:u w:val="none"/>
              </w:rPr>
            </w:pPr>
          </w:p>
        </w:tc>
      </w:tr>
      <w:tr w14:paraId="11AE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C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恒温振荡器</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F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详细见附件三十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7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D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5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514E">
            <w:pPr>
              <w:jc w:val="center"/>
              <w:rPr>
                <w:rFonts w:hint="eastAsia" w:ascii="仿宋" w:hAnsi="仿宋" w:eastAsia="仿宋" w:cs="仿宋"/>
                <w:i w:val="0"/>
                <w:iCs w:val="0"/>
                <w:color w:val="000000"/>
                <w:sz w:val="24"/>
                <w:szCs w:val="24"/>
                <w:u w:val="none"/>
              </w:rPr>
            </w:pPr>
          </w:p>
        </w:tc>
      </w:tr>
      <w:tr w14:paraId="11AC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5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自动染色机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6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详细见附件三十一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A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2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A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83E2">
            <w:pPr>
              <w:rPr>
                <w:rFonts w:hint="eastAsia" w:ascii="仿宋" w:hAnsi="仿宋" w:eastAsia="仿宋" w:cs="仿宋"/>
                <w:i w:val="0"/>
                <w:iCs w:val="0"/>
                <w:color w:val="000000"/>
                <w:sz w:val="24"/>
                <w:szCs w:val="24"/>
                <w:u w:val="none"/>
              </w:rPr>
            </w:pPr>
          </w:p>
        </w:tc>
      </w:tr>
      <w:tr w14:paraId="468A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D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手持式麻醉视频喉镜</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A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详细见附件三十二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D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8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730">
            <w:pPr>
              <w:jc w:val="center"/>
              <w:rPr>
                <w:rFonts w:hint="eastAsia" w:ascii="仿宋" w:hAnsi="仿宋" w:eastAsia="仿宋" w:cs="仿宋"/>
                <w:i w:val="0"/>
                <w:iCs w:val="0"/>
                <w:color w:val="000000"/>
                <w:sz w:val="24"/>
                <w:szCs w:val="24"/>
                <w:u w:val="none"/>
              </w:rPr>
            </w:pPr>
          </w:p>
        </w:tc>
      </w:tr>
      <w:tr w14:paraId="4808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F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C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十二道心电图机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详细见附件三十三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F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8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25C0">
            <w:pPr>
              <w:jc w:val="center"/>
              <w:rPr>
                <w:rFonts w:hint="eastAsia" w:ascii="仿宋" w:hAnsi="仿宋" w:eastAsia="仿宋" w:cs="仿宋"/>
                <w:i w:val="0"/>
                <w:iCs w:val="0"/>
                <w:color w:val="000000"/>
                <w:sz w:val="24"/>
                <w:szCs w:val="24"/>
                <w:u w:val="none"/>
              </w:rPr>
            </w:pPr>
          </w:p>
        </w:tc>
      </w:tr>
      <w:tr w14:paraId="12D1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CA6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385">
            <w:pPr>
              <w:rPr>
                <w:rFonts w:hint="eastAsia" w:ascii="仿宋" w:hAnsi="仿宋" w:eastAsia="仿宋" w:cs="仿宋"/>
                <w:i w:val="0"/>
                <w:iCs w:val="0"/>
                <w:color w:val="000000"/>
                <w:sz w:val="24"/>
                <w:szCs w:val="24"/>
                <w:u w:val="none"/>
              </w:rPr>
            </w:pPr>
          </w:p>
        </w:tc>
      </w:tr>
    </w:tbl>
    <w:p w14:paraId="7F4536B5">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附件一：</w:t>
      </w:r>
    </w:p>
    <w:p w14:paraId="7AC650DE">
      <w:pPr>
        <w:pageBreakBefore w:val="0"/>
        <w:kinsoku/>
        <w:wordWrap/>
        <w:topLinePunct w:val="0"/>
        <w:bidi w:val="0"/>
        <w:spacing w:line="360" w:lineRule="auto"/>
        <w:ind w:firstLine="2240" w:firstLineChars="700"/>
        <w:rPr>
          <w:rFonts w:hint="eastAsia" w:ascii="仿宋" w:hAnsi="仿宋" w:eastAsia="仿宋" w:cs="仿宋"/>
          <w:b/>
          <w:sz w:val="30"/>
          <w:szCs w:val="30"/>
        </w:rPr>
      </w:pPr>
      <w:r>
        <w:rPr>
          <w:rFonts w:hint="eastAsia" w:ascii="仿宋" w:hAnsi="仿宋" w:eastAsia="仿宋" w:cs="仿宋"/>
          <w:b/>
          <w:sz w:val="32"/>
          <w:szCs w:val="32"/>
        </w:rPr>
        <w:t>高端彩色多普勒超声诊断仪技术参数</w:t>
      </w:r>
    </w:p>
    <w:p w14:paraId="5BC08E06">
      <w:pPr>
        <w:pageBreakBefore w:val="0"/>
        <w:widowControl/>
        <w:kinsoku/>
        <w:wordWrap/>
        <w:overflowPunct w:val="0"/>
        <w:topLinePunct w:val="0"/>
        <w:autoSpaceDE w:val="0"/>
        <w:autoSpaceDN w:val="0"/>
        <w:bidi w:val="0"/>
        <w:adjustRightInd w:val="0"/>
        <w:spacing w:line="360" w:lineRule="auto"/>
        <w:ind w:left="1540" w:hanging="1680" w:hangingChars="7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用    途：</w:t>
      </w:r>
      <w:r>
        <w:rPr>
          <w:rFonts w:hint="eastAsia" w:ascii="仿宋" w:hAnsi="仿宋" w:eastAsia="仿宋" w:cs="仿宋"/>
          <w:sz w:val="24"/>
          <w:szCs w:val="24"/>
        </w:rPr>
        <w:t>主要用于腹部、妇产、胎儿心脏、成人心脏、</w:t>
      </w:r>
      <w:r>
        <w:rPr>
          <w:rFonts w:hint="eastAsia" w:ascii="仿宋" w:hAnsi="仿宋" w:eastAsia="仿宋" w:cs="仿宋"/>
          <w:kern w:val="0"/>
          <w:sz w:val="24"/>
          <w:szCs w:val="24"/>
        </w:rPr>
        <w:t>泌尿、新生儿、小儿、血管、小器官、骨骼肌肉、神经、</w:t>
      </w:r>
      <w:r>
        <w:rPr>
          <w:rFonts w:hint="eastAsia" w:ascii="仿宋" w:hAnsi="仿宋" w:eastAsia="仿宋" w:cs="仿宋"/>
          <w:sz w:val="24"/>
          <w:szCs w:val="24"/>
        </w:rPr>
        <w:t>等方面的临床诊断和科研教学工作，具备持续升级能力。</w:t>
      </w:r>
      <w:r>
        <w:rPr>
          <w:rFonts w:hint="eastAsia" w:ascii="仿宋" w:hAnsi="仿宋" w:eastAsia="仿宋" w:cs="仿宋"/>
          <w:kern w:val="0"/>
          <w:sz w:val="24"/>
          <w:szCs w:val="24"/>
        </w:rPr>
        <w:t xml:space="preserve">    </w:t>
      </w:r>
    </w:p>
    <w:p w14:paraId="76306FA6">
      <w:pPr>
        <w:pageBreakBefore w:val="0"/>
        <w:widowControl/>
        <w:kinsoku/>
        <w:wordWrap/>
        <w:overflowPunct w:val="0"/>
        <w:topLinePunct w:val="0"/>
        <w:autoSpaceDE w:val="0"/>
        <w:autoSpaceDN w:val="0"/>
        <w:bidi w:val="0"/>
        <w:adjustRightInd w:val="0"/>
        <w:spacing w:line="360" w:lineRule="auto"/>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技术参数：</w:t>
      </w:r>
    </w:p>
    <w:p w14:paraId="6C1804F0">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 主机成像系统：</w:t>
      </w:r>
    </w:p>
    <w:p w14:paraId="49FCF36C">
      <w:pPr>
        <w:pageBreakBefore w:val="0"/>
        <w:widowControl/>
        <w:kinsoku/>
        <w:wordWrap/>
        <w:overflowPunct w:val="0"/>
        <w:topLinePunct w:val="0"/>
        <w:autoSpaceDE w:val="0"/>
        <w:autoSpaceDN w:val="0"/>
        <w:bidi w:val="0"/>
        <w:adjustRightInd w:val="0"/>
        <w:spacing w:line="360" w:lineRule="auto"/>
        <w:ind w:left="1365" w:leftChars="250" w:right="-180" w:hanging="840" w:hangingChars="350"/>
        <w:textAlignment w:val="baseline"/>
        <w:rPr>
          <w:rFonts w:hint="eastAsia" w:ascii="仿宋" w:hAnsi="仿宋" w:eastAsia="仿宋" w:cs="仿宋"/>
          <w:sz w:val="24"/>
          <w:szCs w:val="24"/>
        </w:rPr>
      </w:pPr>
      <w:r>
        <w:rPr>
          <w:rFonts w:hint="eastAsia" w:ascii="仿宋" w:hAnsi="仿宋" w:eastAsia="仿宋" w:cs="仿宋"/>
          <w:sz w:val="24"/>
          <w:szCs w:val="24"/>
        </w:rPr>
        <w:t>1.1  ≥23英寸液晶显示器，分辨率1920×1080,无闪烁，不间断逐行扫描，可上下左右任意旋转，可前后折叠。</w:t>
      </w:r>
    </w:p>
    <w:p w14:paraId="61D7876E">
      <w:pPr>
        <w:pageBreakBefore w:val="0"/>
        <w:widowControl/>
        <w:kinsoku/>
        <w:wordWrap/>
        <w:overflowPunct w:val="0"/>
        <w:topLinePunct w:val="0"/>
        <w:autoSpaceDE w:val="0"/>
        <w:autoSpaceDN w:val="0"/>
        <w:bidi w:val="0"/>
        <w:adjustRightInd w:val="0"/>
        <w:spacing w:line="360" w:lineRule="auto"/>
        <w:ind w:left="1365" w:leftChars="250" w:right="-180" w:hanging="840" w:hangingChars="350"/>
        <w:textAlignment w:val="baseline"/>
        <w:rPr>
          <w:rFonts w:hint="eastAsia" w:ascii="仿宋" w:hAnsi="仿宋" w:eastAsia="仿宋" w:cs="仿宋"/>
          <w:sz w:val="24"/>
          <w:szCs w:val="24"/>
        </w:rPr>
      </w:pPr>
      <w:r>
        <w:rPr>
          <w:rFonts w:hint="eastAsia" w:ascii="仿宋" w:hAnsi="仿宋" w:eastAsia="仿宋" w:cs="仿宋"/>
          <w:sz w:val="24"/>
          <w:szCs w:val="24"/>
        </w:rPr>
        <w:t>1.2 操作面板具备≥12英寸液晶触摸屏,可通过手指滑动触摸屏进行翻页，直接点击触摸屏即可选择需要调节的参数，操作面板可上下左右进行高度调整及旋转。</w:t>
      </w:r>
    </w:p>
    <w:p w14:paraId="62218AC2">
      <w:pPr>
        <w:pageBreakBefore w:val="0"/>
        <w:widowControl/>
        <w:kinsoku/>
        <w:wordWrap/>
        <w:overflowPunct w:val="0"/>
        <w:topLinePunct w:val="0"/>
        <w:autoSpaceDE w:val="0"/>
        <w:autoSpaceDN w:val="0"/>
        <w:bidi w:val="0"/>
        <w:adjustRightInd w:val="0"/>
        <w:spacing w:line="360" w:lineRule="auto"/>
        <w:ind w:left="1365" w:leftChars="250" w:right="-180" w:hanging="840" w:hangingChars="350"/>
        <w:textAlignment w:val="baseline"/>
        <w:rPr>
          <w:rFonts w:hint="eastAsia" w:ascii="仿宋" w:hAnsi="仿宋" w:eastAsia="仿宋" w:cs="仿宋"/>
          <w:sz w:val="24"/>
          <w:szCs w:val="24"/>
        </w:rPr>
      </w:pPr>
      <w:r>
        <w:rPr>
          <w:rFonts w:hint="eastAsia" w:ascii="仿宋" w:hAnsi="仿宋" w:eastAsia="仿宋" w:cs="仿宋"/>
          <w:sz w:val="24"/>
          <w:szCs w:val="24"/>
        </w:rPr>
        <w:t>1.3 全新集束精准发射技术，</w:t>
      </w:r>
    </w:p>
    <w:p w14:paraId="61F6A06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1.4 脉冲优化处理技术</w:t>
      </w:r>
    </w:p>
    <w:p w14:paraId="4FCCBFF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1.5 并行处理技术</w:t>
      </w:r>
    </w:p>
    <w:p w14:paraId="4959929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1.6 自适应增益补偿技术</w:t>
      </w:r>
    </w:p>
    <w:p w14:paraId="482229CA">
      <w:pPr>
        <w:pageBreakBefore w:val="0"/>
        <w:kinsoku/>
        <w:wordWrap/>
        <w:topLinePunct w:val="0"/>
        <w:bidi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1.7 数字化二维灰阶成像及M型显像单元；</w:t>
      </w:r>
    </w:p>
    <w:p w14:paraId="0A477B15">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1.8 解剖M型技术,可360度任意旋转M型取样线角度方便准确的进行测量，支持所有探头</w:t>
      </w:r>
    </w:p>
    <w:p w14:paraId="01A8B55C">
      <w:pPr>
        <w:pageBreakBefore w:val="0"/>
        <w:widowControl/>
        <w:kinsoku/>
        <w:wordWrap/>
        <w:overflowPunct w:val="0"/>
        <w:topLinePunct w:val="0"/>
        <w:autoSpaceDE w:val="0"/>
        <w:autoSpaceDN w:val="0"/>
        <w:bidi w:val="0"/>
        <w:adjustRightInd w:val="0"/>
        <w:spacing w:line="360" w:lineRule="auto"/>
        <w:ind w:right="-180" w:firstLine="600" w:firstLineChars="250"/>
        <w:textAlignment w:val="baseline"/>
        <w:rPr>
          <w:rFonts w:hint="eastAsia" w:ascii="仿宋" w:hAnsi="仿宋" w:eastAsia="仿宋" w:cs="仿宋"/>
          <w:sz w:val="24"/>
          <w:szCs w:val="24"/>
        </w:rPr>
      </w:pPr>
      <w:r>
        <w:rPr>
          <w:rFonts w:hint="eastAsia" w:ascii="仿宋" w:hAnsi="仿宋" w:eastAsia="仿宋" w:cs="仿宋"/>
          <w:sz w:val="24"/>
          <w:szCs w:val="24"/>
        </w:rPr>
        <w:t>1.9 脉冲反向谐波成像单元；</w:t>
      </w:r>
    </w:p>
    <w:p w14:paraId="052B7FB1">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1.10 彩色多普勒成像技术；</w:t>
      </w:r>
    </w:p>
    <w:p w14:paraId="778F5FC9">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1.11 彩色多普勒能量图技术；</w:t>
      </w:r>
    </w:p>
    <w:p w14:paraId="2A587CD5">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1.12 方向性能量图技术</w:t>
      </w:r>
    </w:p>
    <w:p w14:paraId="74481DDF">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1.13 数字化频谱多普勒显示和分析单元 (包括 PW 、CW和 HPRF)；</w:t>
      </w:r>
    </w:p>
    <w:p w14:paraId="3F2508FB">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1.14 动态范围≥300dB</w:t>
      </w:r>
    </w:p>
    <w:p w14:paraId="07250BB0">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1.15 智能全程聚焦技术；</w:t>
      </w:r>
    </w:p>
    <w:p w14:paraId="6CA6F725">
      <w:pPr>
        <w:pageBreakBefore w:val="0"/>
        <w:widowControl/>
        <w:kinsoku/>
        <w:wordWrap/>
        <w:overflowPunct w:val="0"/>
        <w:topLinePunct w:val="0"/>
        <w:autoSpaceDE w:val="0"/>
        <w:autoSpaceDN w:val="0"/>
        <w:bidi w:val="0"/>
        <w:adjustRightInd w:val="0"/>
        <w:spacing w:line="360" w:lineRule="auto"/>
        <w:ind w:left="210" w:right="-180" w:firstLine="420"/>
        <w:textAlignment w:val="baseline"/>
        <w:rPr>
          <w:rFonts w:hint="eastAsia" w:ascii="仿宋" w:hAnsi="仿宋" w:eastAsia="仿宋" w:cs="仿宋"/>
          <w:sz w:val="24"/>
          <w:szCs w:val="24"/>
        </w:rPr>
      </w:pPr>
      <w:r>
        <w:rPr>
          <w:rFonts w:hint="eastAsia" w:ascii="仿宋" w:hAnsi="仿宋" w:eastAsia="仿宋" w:cs="仿宋"/>
          <w:sz w:val="24"/>
          <w:szCs w:val="24"/>
        </w:rPr>
        <w:t>1.16 图像优化技术；可自适应调整图像的增益等参数获取最佳图像</w:t>
      </w:r>
    </w:p>
    <w:p w14:paraId="03593A9E">
      <w:pPr>
        <w:pageBreakBefore w:val="0"/>
        <w:widowControl/>
        <w:kinsoku/>
        <w:wordWrap/>
        <w:topLinePunct w:val="0"/>
        <w:bidi w:val="0"/>
        <w:spacing w:line="360" w:lineRule="auto"/>
        <w:ind w:left="1350" w:leftChars="300" w:hanging="720" w:hangingChars="300"/>
        <w:rPr>
          <w:rFonts w:hint="eastAsia" w:ascii="仿宋" w:hAnsi="仿宋" w:eastAsia="仿宋" w:cs="仿宋"/>
          <w:kern w:val="0"/>
          <w:sz w:val="24"/>
          <w:szCs w:val="24"/>
        </w:rPr>
      </w:pPr>
      <w:r>
        <w:rPr>
          <w:rFonts w:hint="eastAsia" w:ascii="仿宋" w:hAnsi="仿宋" w:eastAsia="仿宋" w:cs="仿宋"/>
          <w:sz w:val="24"/>
          <w:szCs w:val="24"/>
        </w:rPr>
        <w:t>1.17</w:t>
      </w:r>
      <w:r>
        <w:rPr>
          <w:rFonts w:hint="eastAsia" w:ascii="仿宋" w:hAnsi="仿宋" w:eastAsia="仿宋" w:cs="仿宋"/>
          <w:kern w:val="0"/>
          <w:sz w:val="24"/>
          <w:szCs w:val="24"/>
        </w:rPr>
        <w:t>空间复合成像技术，同时作用于发射和接收，支持所有凸阵、微凸阵和线阵成像探头</w:t>
      </w:r>
    </w:p>
    <w:p w14:paraId="6A1ABFC5">
      <w:pPr>
        <w:pageBreakBefore w:val="0"/>
        <w:widowControl/>
        <w:kinsoku/>
        <w:wordWrap/>
        <w:topLinePunct w:val="0"/>
        <w:bidi w:val="0"/>
        <w:spacing w:line="360" w:lineRule="auto"/>
        <w:ind w:left="1350" w:leftChars="300" w:hanging="720" w:hangingChars="300"/>
        <w:rPr>
          <w:rFonts w:hint="eastAsia" w:ascii="仿宋" w:hAnsi="仿宋" w:eastAsia="仿宋" w:cs="仿宋"/>
          <w:kern w:val="0"/>
          <w:sz w:val="24"/>
          <w:szCs w:val="24"/>
        </w:rPr>
      </w:pPr>
      <w:r>
        <w:rPr>
          <w:rFonts w:hint="eastAsia" w:ascii="仿宋" w:hAnsi="仿宋" w:eastAsia="仿宋" w:cs="仿宋"/>
          <w:sz w:val="24"/>
          <w:szCs w:val="24"/>
        </w:rPr>
        <w:t>1.18</w:t>
      </w:r>
      <w:r>
        <w:rPr>
          <w:rFonts w:hint="eastAsia" w:ascii="仿宋" w:hAnsi="仿宋" w:eastAsia="仿宋" w:cs="仿宋"/>
          <w:kern w:val="0"/>
          <w:sz w:val="24"/>
          <w:szCs w:val="24"/>
        </w:rPr>
        <w:t>自适应核磁像素优化技术，改善边界显示，提高分辨率，减少伪像，支持所有成像探头，可分级调节≥5级。</w:t>
      </w:r>
    </w:p>
    <w:p w14:paraId="03939A20">
      <w:pPr>
        <w:pageBreakBefore w:val="0"/>
        <w:widowControl/>
        <w:kinsoku/>
        <w:wordWrap/>
        <w:overflowPunct w:val="0"/>
        <w:topLinePunct w:val="0"/>
        <w:autoSpaceDE w:val="0"/>
        <w:autoSpaceDN w:val="0"/>
        <w:bidi w:val="0"/>
        <w:adjustRightInd w:val="0"/>
        <w:spacing w:line="360" w:lineRule="auto"/>
        <w:ind w:left="210" w:right="-180" w:firstLine="420"/>
        <w:textAlignment w:val="baseline"/>
        <w:rPr>
          <w:rFonts w:hint="eastAsia" w:ascii="仿宋" w:hAnsi="仿宋" w:eastAsia="仿宋" w:cs="仿宋"/>
          <w:sz w:val="24"/>
          <w:szCs w:val="24"/>
        </w:rPr>
      </w:pPr>
      <w:r>
        <w:rPr>
          <w:rFonts w:hint="eastAsia" w:ascii="仿宋" w:hAnsi="仿宋" w:eastAsia="仿宋" w:cs="仿宋"/>
          <w:sz w:val="24"/>
          <w:szCs w:val="24"/>
        </w:rPr>
        <w:t>1.19 内置 DICOM 3.0 标准输出接口；</w:t>
      </w:r>
    </w:p>
    <w:p w14:paraId="20DBCD1E">
      <w:pPr>
        <w:pageBreakBefore w:val="0"/>
        <w:widowControl/>
        <w:kinsoku/>
        <w:wordWrap/>
        <w:overflowPunct w:val="0"/>
        <w:topLinePunct w:val="0"/>
        <w:autoSpaceDE w:val="0"/>
        <w:autoSpaceDN w:val="0"/>
        <w:bidi w:val="0"/>
        <w:adjustRightInd w:val="0"/>
        <w:spacing w:line="360" w:lineRule="auto"/>
        <w:ind w:left="210" w:right="-180" w:firstLine="420"/>
        <w:textAlignment w:val="baseline"/>
        <w:rPr>
          <w:rFonts w:hint="eastAsia" w:ascii="仿宋" w:hAnsi="仿宋" w:eastAsia="仿宋" w:cs="仿宋"/>
          <w:sz w:val="24"/>
          <w:szCs w:val="24"/>
        </w:rPr>
      </w:pPr>
      <w:r>
        <w:rPr>
          <w:rFonts w:hint="eastAsia" w:ascii="仿宋" w:hAnsi="仿宋" w:eastAsia="仿宋" w:cs="仿宋"/>
          <w:sz w:val="24"/>
          <w:szCs w:val="24"/>
        </w:rPr>
        <w:t>1.20 内置一体化超声工作站；</w:t>
      </w:r>
    </w:p>
    <w:p w14:paraId="7C0018A5">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val="en-US" w:eastAsia="zh-CN"/>
        </w:rPr>
        <w:t>.</w:t>
      </w:r>
      <w:r>
        <w:rPr>
          <w:rFonts w:hint="eastAsia" w:ascii="仿宋" w:hAnsi="仿宋" w:eastAsia="仿宋" w:cs="仿宋"/>
          <w:b/>
          <w:sz w:val="24"/>
          <w:szCs w:val="24"/>
        </w:rPr>
        <w:t>先进成像技术：</w:t>
      </w:r>
    </w:p>
    <w:p w14:paraId="17F779BD">
      <w:pPr>
        <w:pageBreakBefore w:val="0"/>
        <w:widowControl/>
        <w:kinsoku/>
        <w:wordWrap/>
        <w:topLinePunct w:val="0"/>
        <w:bidi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2.1  具备全屏高清放大功能。</w:t>
      </w:r>
    </w:p>
    <w:p w14:paraId="5A2C9146">
      <w:pPr>
        <w:pageBreakBefore w:val="0"/>
        <w:kinsoku/>
        <w:wordWrap/>
        <w:topLinePunct w:val="0"/>
        <w:bidi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2.2纯净波单晶体探头技术:探头振元使用单晶体材质，同时对接收波束进行提纯处理，对显像困难的病人图像大大改善。</w:t>
      </w:r>
    </w:p>
    <w:p w14:paraId="280F12CB">
      <w:pPr>
        <w:pageBreakBefore w:val="0"/>
        <w:kinsoku/>
        <w:wordWrap/>
        <w:topLinePunct w:val="0"/>
        <w:autoSpaceDE w:val="0"/>
        <w:autoSpaceDN w:val="0"/>
        <w:bidi w:val="0"/>
        <w:adjustRightIn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2.3具备智能多普勒血管检查技术</w:t>
      </w:r>
    </w:p>
    <w:p w14:paraId="11AD67DE">
      <w:pPr>
        <w:pageBreakBefore w:val="0"/>
        <w:kinsoku/>
        <w:wordWrap/>
        <w:topLinePunct w:val="0"/>
        <w:autoSpaceDE w:val="0"/>
        <w:autoSpaceDN w:val="0"/>
        <w:bidi w:val="0"/>
        <w:adjustRightInd w:val="0"/>
        <w:spacing w:line="360" w:lineRule="auto"/>
        <w:ind w:left="840" w:firstLine="480" w:firstLineChars="200"/>
        <w:rPr>
          <w:rFonts w:hint="eastAsia" w:ascii="仿宋" w:hAnsi="仿宋" w:eastAsia="仿宋" w:cs="仿宋"/>
          <w:sz w:val="24"/>
          <w:szCs w:val="24"/>
        </w:rPr>
      </w:pPr>
      <w:r>
        <w:rPr>
          <w:rFonts w:hint="eastAsia" w:ascii="仿宋" w:hAnsi="仿宋" w:eastAsia="仿宋" w:cs="仿宋"/>
          <w:sz w:val="24"/>
          <w:szCs w:val="24"/>
        </w:rPr>
        <w:t>1)单键优化二维、多普勒图像质量</w:t>
      </w:r>
    </w:p>
    <w:p w14:paraId="574234A5">
      <w:pPr>
        <w:pageBreakBefore w:val="0"/>
        <w:kinsoku/>
        <w:wordWrap/>
        <w:topLinePunct w:val="0"/>
        <w:autoSpaceDE w:val="0"/>
        <w:autoSpaceDN w:val="0"/>
        <w:bidi w:val="0"/>
        <w:adjustRightInd w:val="0"/>
        <w:spacing w:line="360" w:lineRule="auto"/>
        <w:ind w:left="840" w:firstLine="480" w:firstLineChars="200"/>
        <w:rPr>
          <w:rFonts w:hint="eastAsia" w:ascii="仿宋" w:hAnsi="仿宋" w:eastAsia="仿宋" w:cs="仿宋"/>
          <w:sz w:val="24"/>
          <w:szCs w:val="24"/>
        </w:rPr>
      </w:pPr>
      <w:r>
        <w:rPr>
          <w:rFonts w:hint="eastAsia" w:ascii="仿宋" w:hAnsi="仿宋" w:eastAsia="仿宋" w:cs="仿宋"/>
          <w:sz w:val="24"/>
          <w:szCs w:val="24"/>
        </w:rPr>
        <w:t>2)单键自动调整取样框角度、位置、取样门位置、角度等</w:t>
      </w:r>
    </w:p>
    <w:p w14:paraId="43981EA7">
      <w:pPr>
        <w:pageBreakBefore w:val="0"/>
        <w:kinsoku/>
        <w:wordWrap/>
        <w:topLinePunct w:val="0"/>
        <w:autoSpaceDE w:val="0"/>
        <w:autoSpaceDN w:val="0"/>
        <w:bidi w:val="0"/>
        <w:adjustRightInd w:val="0"/>
        <w:spacing w:line="360" w:lineRule="auto"/>
        <w:ind w:left="840" w:firstLine="480" w:firstLineChars="200"/>
        <w:rPr>
          <w:rFonts w:hint="eastAsia" w:ascii="仿宋" w:hAnsi="仿宋" w:eastAsia="仿宋" w:cs="仿宋"/>
          <w:sz w:val="24"/>
          <w:szCs w:val="24"/>
        </w:rPr>
      </w:pPr>
      <w:r>
        <w:rPr>
          <w:rFonts w:hint="eastAsia" w:ascii="仿宋" w:hAnsi="仿宋" w:eastAsia="仿宋" w:cs="仿宋"/>
          <w:sz w:val="24"/>
          <w:szCs w:val="24"/>
        </w:rPr>
        <w:t>3)具备血流自动追踪技术，可跟随探头的移动实时追踪血管位置，自动调整彩色图像（包括取样框角度、位置等）</w:t>
      </w:r>
    </w:p>
    <w:p w14:paraId="3D9FE03F">
      <w:pPr>
        <w:pageBreakBefore w:val="0"/>
        <w:numPr>
          <w:ilvl w:val="2"/>
          <w:numId w:val="0"/>
        </w:numPr>
        <w:kinsoku/>
        <w:wordWrap/>
        <w:topLinePunct w:val="0"/>
        <w:bidi w:val="0"/>
        <w:spacing w:line="360" w:lineRule="auto"/>
        <w:ind w:left="1380" w:hanging="720"/>
        <w:rPr>
          <w:rFonts w:hint="eastAsia" w:ascii="仿宋" w:hAnsi="仿宋" w:eastAsia="仿宋" w:cs="仿宋"/>
          <w:sz w:val="24"/>
          <w:szCs w:val="24"/>
        </w:rPr>
      </w:pPr>
      <w:r>
        <w:rPr>
          <w:rFonts w:hint="eastAsia" w:ascii="仿宋" w:hAnsi="仿宋" w:eastAsia="仿宋" w:cs="仿宋"/>
          <w:sz w:val="24"/>
          <w:szCs w:val="24"/>
        </w:rPr>
        <w:t>2.4超宽视野成像扫描技术</w:t>
      </w:r>
    </w:p>
    <w:p w14:paraId="01CCEC31">
      <w:pPr>
        <w:pageBreakBefore w:val="0"/>
        <w:kinsoku/>
        <w:wordWrap/>
        <w:topLinePunct w:val="0"/>
        <w:bidi w:val="0"/>
        <w:spacing w:line="360" w:lineRule="auto"/>
        <w:ind w:left="1380"/>
        <w:rPr>
          <w:rFonts w:hint="eastAsia" w:ascii="仿宋" w:hAnsi="仿宋" w:eastAsia="仿宋" w:cs="仿宋"/>
          <w:sz w:val="24"/>
          <w:szCs w:val="24"/>
        </w:rPr>
      </w:pPr>
      <w:r>
        <w:rPr>
          <w:rFonts w:hint="eastAsia" w:ascii="仿宋" w:hAnsi="仿宋" w:eastAsia="仿宋" w:cs="仿宋"/>
          <w:sz w:val="24"/>
          <w:szCs w:val="24"/>
        </w:rPr>
        <w:t>1)测量功能,电影回放功能</w:t>
      </w:r>
    </w:p>
    <w:p w14:paraId="3EBBE93B">
      <w:pPr>
        <w:pageBreakBefore w:val="0"/>
        <w:kinsoku/>
        <w:wordWrap/>
        <w:topLinePunct w:val="0"/>
        <w:bidi w:val="0"/>
        <w:spacing w:line="360" w:lineRule="auto"/>
        <w:ind w:left="1200" w:firstLine="240" w:firstLineChars="100"/>
        <w:rPr>
          <w:rFonts w:hint="eastAsia" w:ascii="仿宋" w:hAnsi="仿宋" w:eastAsia="仿宋" w:cs="仿宋"/>
          <w:sz w:val="24"/>
          <w:szCs w:val="24"/>
        </w:rPr>
      </w:pPr>
      <w:r>
        <w:rPr>
          <w:rFonts w:hint="eastAsia" w:ascii="仿宋" w:hAnsi="仿宋" w:eastAsia="仿宋" w:cs="仿宋"/>
          <w:sz w:val="24"/>
          <w:szCs w:val="24"/>
        </w:rPr>
        <w:t>2)线阵、凸阵及容积探头具备</w:t>
      </w:r>
    </w:p>
    <w:p w14:paraId="6C2620F3">
      <w:pPr>
        <w:pageBreakBefore w:val="0"/>
        <w:widowControl/>
        <w:kinsoku/>
        <w:wordWrap/>
        <w:topLinePunct w:val="0"/>
        <w:bidi w:val="0"/>
        <w:spacing w:line="360" w:lineRule="auto"/>
        <w:ind w:left="1200" w:firstLine="240" w:firstLineChars="100"/>
        <w:rPr>
          <w:rFonts w:hint="eastAsia" w:ascii="仿宋" w:hAnsi="仿宋" w:eastAsia="仿宋" w:cs="仿宋"/>
          <w:kern w:val="0"/>
          <w:sz w:val="24"/>
          <w:szCs w:val="24"/>
        </w:rPr>
      </w:pPr>
      <w:r>
        <w:rPr>
          <w:rFonts w:hint="eastAsia" w:ascii="仿宋" w:hAnsi="仿宋" w:eastAsia="仿宋" w:cs="仿宋"/>
          <w:sz w:val="24"/>
          <w:szCs w:val="24"/>
        </w:rPr>
        <w:t>3)结合先进的成像技术如复合成像技术结合使用</w:t>
      </w:r>
    </w:p>
    <w:p w14:paraId="238AD907">
      <w:pPr>
        <w:pStyle w:val="38"/>
        <w:pageBreakBefore w:val="0"/>
        <w:numPr>
          <w:ilvl w:val="2"/>
          <w:numId w:val="0"/>
        </w:numPr>
        <w:kinsoku/>
        <w:wordWrap/>
        <w:topLinePunct w:val="0"/>
        <w:bidi w:val="0"/>
        <w:spacing w:line="360" w:lineRule="auto"/>
        <w:ind w:left="1380" w:hanging="720"/>
        <w:jc w:val="both"/>
        <w:rPr>
          <w:rFonts w:hint="eastAsia" w:ascii="仿宋" w:hAnsi="仿宋" w:eastAsia="仿宋" w:cs="仿宋"/>
          <w:sz w:val="24"/>
          <w:szCs w:val="24"/>
        </w:rPr>
      </w:pPr>
      <w:r>
        <w:rPr>
          <w:rFonts w:hint="eastAsia" w:ascii="仿宋" w:hAnsi="仿宋" w:eastAsia="仿宋" w:cs="仿宋"/>
          <w:sz w:val="24"/>
          <w:szCs w:val="24"/>
        </w:rPr>
        <w:t>2.5超声声速自动校正技术</w:t>
      </w:r>
    </w:p>
    <w:p w14:paraId="6C5CFF07">
      <w:pPr>
        <w:pStyle w:val="38"/>
        <w:pageBreakBefore w:val="0"/>
        <w:kinsoku/>
        <w:wordWrap/>
        <w:topLinePunct w:val="0"/>
        <w:bidi w:val="0"/>
        <w:spacing w:line="360" w:lineRule="auto"/>
        <w:ind w:left="1380"/>
        <w:jc w:val="both"/>
        <w:rPr>
          <w:rFonts w:hint="eastAsia" w:ascii="仿宋" w:hAnsi="仿宋" w:eastAsia="仿宋" w:cs="仿宋"/>
          <w:sz w:val="24"/>
          <w:szCs w:val="24"/>
        </w:rPr>
      </w:pPr>
      <w:r>
        <w:rPr>
          <w:rFonts w:hint="eastAsia" w:ascii="仿宋" w:hAnsi="仿宋" w:eastAsia="仿宋" w:cs="仿宋"/>
          <w:kern w:val="2"/>
          <w:sz w:val="24"/>
          <w:szCs w:val="24"/>
        </w:rPr>
        <w:t>1)</w:t>
      </w:r>
      <w:r>
        <w:rPr>
          <w:rFonts w:hint="eastAsia" w:ascii="仿宋" w:hAnsi="仿宋" w:eastAsia="仿宋" w:cs="仿宋"/>
          <w:sz w:val="24"/>
          <w:szCs w:val="24"/>
        </w:rPr>
        <w:t>针对肥胖及困难病人</w:t>
      </w:r>
    </w:p>
    <w:p w14:paraId="400EB229">
      <w:pPr>
        <w:pageBreakBefore w:val="0"/>
        <w:kinsoku/>
        <w:wordWrap/>
        <w:topLinePunct w:val="0"/>
        <w:bidi w:val="0"/>
        <w:spacing w:line="360" w:lineRule="auto"/>
        <w:ind w:firstLine="1440" w:firstLineChars="600"/>
        <w:rPr>
          <w:rFonts w:hint="eastAsia"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可用于乳腺检查，并可调整级别</w:t>
      </w:r>
    </w:p>
    <w:p w14:paraId="1584850E">
      <w:pPr>
        <w:pageBreakBefore w:val="0"/>
        <w:kinsoku/>
        <w:wordWrap/>
        <w:topLinePunct w:val="0"/>
        <w:bidi w:val="0"/>
        <w:spacing w:line="360" w:lineRule="auto"/>
        <w:ind w:left="570" w:firstLine="960" w:firstLineChars="400"/>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预置条件</w:t>
      </w:r>
    </w:p>
    <w:p w14:paraId="720E6059">
      <w:pPr>
        <w:pageBreakBefore w:val="0"/>
        <w:widowControl/>
        <w:kinsoku/>
        <w:wordWrap/>
        <w:overflowPunct w:val="0"/>
        <w:topLinePunct w:val="0"/>
        <w:autoSpaceDE w:val="0"/>
        <w:autoSpaceDN w:val="0"/>
        <w:bidi w:val="0"/>
        <w:adjustRightInd w:val="0"/>
        <w:spacing w:line="360" w:lineRule="auto"/>
        <w:ind w:right="-18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 造影成像技术</w:t>
      </w:r>
    </w:p>
    <w:p w14:paraId="3080459A">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高帧频造影模式：凸阵造影帧频≥40帧/秒；线阵造影帧频≥70帧/秒</w:t>
      </w:r>
    </w:p>
    <w:p w14:paraId="182E69F6">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造影剂二次谐波成像单元,包含低MI实时灌注成像、中MI造影成像和高MI造影成像，采用脉冲反相谐波技术、能量调制技术以及多脉冲序列谐波造影技术。</w:t>
      </w:r>
    </w:p>
    <w:p w14:paraId="09AE4E6F">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可与复合成像技术、核磁像素优化技术结合使用</w:t>
      </w:r>
    </w:p>
    <w:p w14:paraId="5A95BBB2">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具有实时双幅造影对比成像模式，并可进行双幅实时同步测量</w:t>
      </w:r>
    </w:p>
    <w:p w14:paraId="04248110">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具有相交互两个平面同屏同时相实时显示造影成像技术。</w:t>
      </w:r>
    </w:p>
    <w:p w14:paraId="3E2EF1AC">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造影技术支持凸阵，线阵，腔内探头，相控阵，微凸探头，可满足临床对腹部、妇产、浅表、乳腺、血管、心室腔、腔内的前列腺、经阴道妇科等需求</w:t>
      </w:r>
    </w:p>
    <w:p w14:paraId="571D5FB3">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具有造影计时器以及闪烁造影成像技术</w:t>
      </w:r>
    </w:p>
    <w:p w14:paraId="79193135">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实时微血管造影成像技术（以双幅形式同时显示实时造影和造影复合处理模式）可清晰显示组织内微小血管的灌注及走行，可早期评价病变的恶变倾向及放化疗效果</w:t>
      </w:r>
    </w:p>
    <w:p w14:paraId="67F239EF">
      <w:pPr>
        <w:pageBreakBefore w:val="0"/>
        <w:widowControl/>
        <w:numPr>
          <w:ilvl w:val="0"/>
          <w:numId w:val="6"/>
        </w:numPr>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sz w:val="24"/>
          <w:szCs w:val="24"/>
        </w:rPr>
      </w:pPr>
      <w:r>
        <w:rPr>
          <w:rFonts w:hint="eastAsia" w:ascii="仿宋" w:hAnsi="仿宋" w:eastAsia="仿宋" w:cs="仿宋"/>
          <w:sz w:val="24"/>
          <w:szCs w:val="24"/>
        </w:rPr>
        <w:t>造影时间强度曲线定量分析</w:t>
      </w:r>
    </w:p>
    <w:p w14:paraId="15B7A1C6">
      <w:pPr>
        <w:pageBreakBefore w:val="0"/>
        <w:widowControl/>
        <w:numPr>
          <w:ilvl w:val="0"/>
          <w:numId w:val="6"/>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Cs/>
          <w:sz w:val="24"/>
          <w:szCs w:val="24"/>
        </w:rPr>
        <w:t>具备造影定量分析组织运动追踪技术，实时追踪被定量组织，消除因患者呼吸、运动等产生的组织位移，使超声造影定量分析更加准确。</w:t>
      </w:r>
    </w:p>
    <w:p w14:paraId="78E464CC">
      <w:pPr>
        <w:pageBreakBefore w:val="0"/>
        <w:widowControl/>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2.7 弹性成像技术</w:t>
      </w:r>
    </w:p>
    <w:p w14:paraId="3A503B38">
      <w:pPr>
        <w:pageBreakBefore w:val="0"/>
        <w:widowControl/>
        <w:kinsoku/>
        <w:wordWrap/>
        <w:topLinePunct w:val="0"/>
        <w:bidi w:val="0"/>
        <w:spacing w:line="360" w:lineRule="auto"/>
        <w:ind w:left="142"/>
        <w:rPr>
          <w:rFonts w:hint="eastAsia" w:ascii="仿宋" w:hAnsi="仿宋" w:eastAsia="仿宋" w:cs="仿宋"/>
          <w:kern w:val="0"/>
          <w:sz w:val="24"/>
          <w:szCs w:val="24"/>
        </w:rPr>
      </w:pPr>
      <w:r>
        <w:rPr>
          <w:rFonts w:hint="eastAsia" w:ascii="仿宋" w:hAnsi="仿宋" w:eastAsia="仿宋" w:cs="仿宋"/>
          <w:kern w:val="0"/>
          <w:sz w:val="24"/>
          <w:szCs w:val="24"/>
        </w:rPr>
        <w:t>1)实时软组织弹性成像技术，无需人工加压，具有灰阶，反转及彩色多普勒多种显像方式</w:t>
      </w:r>
    </w:p>
    <w:p w14:paraId="2D350C41">
      <w:pPr>
        <w:pageBreakBefore w:val="0"/>
        <w:widowControl/>
        <w:kinsoku/>
        <w:wordWrap/>
        <w:topLinePunct w:val="0"/>
        <w:bidi w:val="0"/>
        <w:spacing w:line="360" w:lineRule="auto"/>
        <w:ind w:firstLine="120" w:firstLineChars="50"/>
        <w:rPr>
          <w:rFonts w:hint="eastAsia" w:ascii="仿宋" w:hAnsi="仿宋" w:eastAsia="仿宋" w:cs="仿宋"/>
          <w:kern w:val="0"/>
          <w:sz w:val="24"/>
          <w:szCs w:val="24"/>
        </w:rPr>
      </w:pPr>
      <w:r>
        <w:rPr>
          <w:rFonts w:hint="eastAsia" w:ascii="仿宋" w:hAnsi="仿宋" w:eastAsia="仿宋" w:cs="仿宋"/>
          <w:kern w:val="0"/>
          <w:sz w:val="24"/>
          <w:szCs w:val="24"/>
        </w:rPr>
        <w:t>2)具备囊实性结构鉴别弹性成像技术</w:t>
      </w:r>
    </w:p>
    <w:p w14:paraId="0D2B6DCE">
      <w:pPr>
        <w:pageBreakBefore w:val="0"/>
        <w:widowControl/>
        <w:kinsoku/>
        <w:wordWrap/>
        <w:topLinePunct w:val="0"/>
        <w:bidi w:val="0"/>
        <w:spacing w:line="360" w:lineRule="auto"/>
        <w:ind w:left="142"/>
        <w:rPr>
          <w:rFonts w:hint="eastAsia" w:ascii="仿宋" w:hAnsi="仿宋" w:eastAsia="仿宋" w:cs="仿宋"/>
          <w:kern w:val="0"/>
          <w:sz w:val="24"/>
          <w:szCs w:val="24"/>
        </w:rPr>
      </w:pPr>
      <w:r>
        <w:rPr>
          <w:rFonts w:hint="eastAsia" w:ascii="仿宋" w:hAnsi="仿宋" w:eastAsia="仿宋" w:cs="仿宋"/>
          <w:sz w:val="24"/>
          <w:szCs w:val="24"/>
        </w:rPr>
        <w:t>3)具备浅表及腔内弹性成像</w:t>
      </w:r>
    </w:p>
    <w:p w14:paraId="3C615ACF">
      <w:pPr>
        <w:pageBreakBefore w:val="0"/>
        <w:widowControl/>
        <w:kinsoku/>
        <w:wordWrap/>
        <w:topLinePunct w:val="0"/>
        <w:bidi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4)实时弹性定量分析技术，可对弹性图像进行直径面积对比分析、动态弹性应变分析、动态弹性参数成像。</w:t>
      </w:r>
    </w:p>
    <w:p w14:paraId="46FAC9BC">
      <w:pPr>
        <w:pageBreakBefore w:val="0"/>
        <w:widowControl/>
        <w:kinsoku/>
        <w:wordWrap/>
        <w:topLinePunct w:val="0"/>
        <w:bidi w:val="0"/>
        <w:spacing w:line="360" w:lineRule="auto"/>
        <w:ind w:left="938" w:leftChars="104" w:hanging="720" w:hangingChars="300"/>
        <w:rPr>
          <w:rFonts w:hint="eastAsia" w:ascii="仿宋" w:hAnsi="仿宋" w:eastAsia="仿宋" w:cs="仿宋"/>
          <w:bCs/>
          <w:sz w:val="24"/>
          <w:szCs w:val="24"/>
        </w:rPr>
      </w:pPr>
      <w:r>
        <w:rPr>
          <w:rFonts w:hint="eastAsia" w:ascii="仿宋" w:hAnsi="仿宋" w:eastAsia="仿宋" w:cs="仿宋"/>
          <w:kern w:val="0"/>
          <w:sz w:val="24"/>
          <w:szCs w:val="24"/>
        </w:rPr>
        <w:t xml:space="preserve">2.8 </w:t>
      </w:r>
      <w:r>
        <w:rPr>
          <w:rFonts w:hint="eastAsia" w:ascii="仿宋" w:hAnsi="仿宋" w:eastAsia="仿宋" w:cs="仿宋"/>
          <w:bCs/>
          <w:sz w:val="24"/>
          <w:szCs w:val="24"/>
        </w:rPr>
        <w:t>具有微细血流成像及高清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附图证明）</w:t>
      </w:r>
    </w:p>
    <w:p w14:paraId="43F0E363">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b/>
          <w:bCs/>
          <w:sz w:val="24"/>
          <w:szCs w:val="24"/>
        </w:rPr>
      </w:pPr>
      <w:r>
        <w:rPr>
          <w:rFonts w:hint="eastAsia" w:ascii="仿宋" w:hAnsi="仿宋" w:eastAsia="仿宋" w:cs="仿宋"/>
          <w:b/>
          <w:bCs/>
          <w:sz w:val="24"/>
          <w:szCs w:val="24"/>
        </w:rPr>
        <w:t xml:space="preserve">3 </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测量和分析： ( B 型、M 型、D 型、彩色模式)</w:t>
      </w:r>
    </w:p>
    <w:p w14:paraId="52878E64">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
          <w:bCs/>
          <w:sz w:val="24"/>
          <w:szCs w:val="24"/>
        </w:rPr>
      </w:pPr>
      <w:r>
        <w:rPr>
          <w:rFonts w:hint="eastAsia" w:ascii="仿宋" w:hAnsi="仿宋" w:eastAsia="仿宋" w:cs="仿宋"/>
          <w:sz w:val="24"/>
          <w:szCs w:val="24"/>
        </w:rPr>
        <w:t>3.1 一般测量：距离、面积、周长等；</w:t>
      </w:r>
    </w:p>
    <w:p w14:paraId="525C499D">
      <w:pPr>
        <w:pageBreakBefore w:val="0"/>
        <w:widowControl/>
        <w:kinsoku/>
        <w:wordWrap/>
        <w:overflowPunct w:val="0"/>
        <w:topLinePunct w:val="0"/>
        <w:autoSpaceDE w:val="0"/>
        <w:autoSpaceDN w:val="0"/>
        <w:bidi w:val="0"/>
        <w:adjustRightInd w:val="0"/>
        <w:spacing w:line="360" w:lineRule="auto"/>
        <w:ind w:left="2550" w:leftChars="300" w:right="-180" w:hanging="1920" w:hangingChars="800"/>
        <w:textAlignment w:val="baseline"/>
        <w:rPr>
          <w:rFonts w:hint="eastAsia" w:ascii="仿宋" w:hAnsi="仿宋" w:eastAsia="仿宋" w:cs="仿宋"/>
          <w:b/>
          <w:bCs/>
          <w:sz w:val="24"/>
          <w:szCs w:val="24"/>
        </w:rPr>
      </w:pPr>
      <w:r>
        <w:rPr>
          <w:rFonts w:hint="eastAsia" w:ascii="仿宋" w:hAnsi="仿宋" w:eastAsia="仿宋" w:cs="仿宋"/>
          <w:sz w:val="24"/>
          <w:szCs w:val="24"/>
        </w:rPr>
        <w:t>3.2 产科测量：包括全面的产科径线测量、NT测量、单/双胎儿孕龄及生长曲线、羊水指数、新生儿髋关节角度等；</w:t>
      </w:r>
    </w:p>
    <w:p w14:paraId="3C24062A">
      <w:pPr>
        <w:pageBreakBefore w:val="0"/>
        <w:widowControl/>
        <w:kinsoku/>
        <w:wordWrap/>
        <w:overflowPunct w:val="0"/>
        <w:topLinePunct w:val="0"/>
        <w:autoSpaceDE w:val="0"/>
        <w:autoSpaceDN w:val="0"/>
        <w:bidi w:val="0"/>
        <w:adjustRightInd w:val="0"/>
        <w:spacing w:line="360" w:lineRule="auto"/>
        <w:ind w:left="420" w:leftChars="200" w:right="-180"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3.3 外周血管测量和计算功能；</w:t>
      </w:r>
    </w:p>
    <w:p w14:paraId="14D5536A">
      <w:pPr>
        <w:pageBreakBefore w:val="0"/>
        <w:widowControl/>
        <w:tabs>
          <w:tab w:val="left" w:pos="1617"/>
        </w:tabs>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
          <w:bCs/>
          <w:sz w:val="24"/>
          <w:szCs w:val="24"/>
        </w:rPr>
      </w:pPr>
      <w:r>
        <w:rPr>
          <w:rFonts w:hint="eastAsia" w:ascii="仿宋" w:hAnsi="仿宋" w:eastAsia="仿宋" w:cs="仿宋"/>
          <w:sz w:val="24"/>
          <w:szCs w:val="24"/>
        </w:rPr>
        <w:t xml:space="preserve">3.4 多普勒血流测量与分析 (含自动多普勒频谱包络计算); </w:t>
      </w:r>
    </w:p>
    <w:p w14:paraId="45FADFE0">
      <w:pPr>
        <w:pageBreakBefore w:val="0"/>
        <w:widowControl/>
        <w:tabs>
          <w:tab w:val="left" w:pos="1617"/>
        </w:tabs>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
          <w:bCs/>
          <w:sz w:val="24"/>
          <w:szCs w:val="24"/>
        </w:rPr>
      </w:pPr>
      <w:r>
        <w:rPr>
          <w:rFonts w:hint="eastAsia" w:ascii="仿宋" w:hAnsi="仿宋" w:eastAsia="仿宋" w:cs="仿宋"/>
          <w:sz w:val="24"/>
          <w:szCs w:val="24"/>
        </w:rPr>
        <w:t>3.5 心脏功能测量；</w:t>
      </w:r>
    </w:p>
    <w:p w14:paraId="0C56DFC9">
      <w:pPr>
        <w:pageBreakBefore w:val="0"/>
        <w:widowControl/>
        <w:kinsoku/>
        <w:wordWrap/>
        <w:overflowPunct w:val="0"/>
        <w:topLinePunct w:val="0"/>
        <w:autoSpaceDE w:val="0"/>
        <w:autoSpaceDN w:val="0"/>
        <w:bidi w:val="0"/>
        <w:adjustRightInd w:val="0"/>
        <w:spacing w:line="360" w:lineRule="auto"/>
        <w:ind w:right="-180" w:firstLine="240" w:firstLineChars="100"/>
        <w:textAlignment w:val="baseline"/>
        <w:rPr>
          <w:rFonts w:hint="eastAsia" w:ascii="仿宋" w:hAnsi="仿宋" w:eastAsia="仿宋" w:cs="仿宋"/>
          <w:b/>
          <w:bCs/>
          <w:sz w:val="24"/>
          <w:szCs w:val="24"/>
        </w:rPr>
      </w:pPr>
      <w:r>
        <w:rPr>
          <w:rFonts w:hint="eastAsia" w:ascii="仿宋" w:hAnsi="仿宋" w:eastAsia="仿宋" w:cs="仿宋"/>
          <w:b/>
          <w:bCs/>
          <w:sz w:val="24"/>
          <w:szCs w:val="24"/>
        </w:rPr>
        <w:t>4.图像存储 (电影) 回放重显及病案管理单元</w:t>
      </w:r>
    </w:p>
    <w:p w14:paraId="4165951C">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Cs/>
          <w:sz w:val="24"/>
          <w:szCs w:val="24"/>
        </w:rPr>
      </w:pPr>
      <w:r>
        <w:rPr>
          <w:rFonts w:hint="eastAsia" w:ascii="仿宋" w:hAnsi="仿宋" w:eastAsia="仿宋" w:cs="仿宋"/>
          <w:bCs/>
          <w:sz w:val="24"/>
          <w:szCs w:val="24"/>
        </w:rPr>
        <w:t>4.1 数字化捕捉、回放、存储静、动态图像，实时图像传输，实时 JPEG 解压缩，</w:t>
      </w:r>
    </w:p>
    <w:p w14:paraId="100568DD">
      <w:pPr>
        <w:pageBreakBefore w:val="0"/>
        <w:kinsoku/>
        <w:wordWrap/>
        <w:topLinePunct w:val="0"/>
        <w:bidi w:val="0"/>
        <w:spacing w:line="360" w:lineRule="auto"/>
        <w:ind w:right="-180" w:firstLine="1440" w:firstLineChars="600"/>
        <w:rPr>
          <w:rFonts w:hint="eastAsia" w:ascii="仿宋" w:hAnsi="仿宋" w:eastAsia="仿宋" w:cs="仿宋"/>
          <w:bCs/>
          <w:sz w:val="24"/>
          <w:szCs w:val="24"/>
        </w:rPr>
      </w:pPr>
      <w:r>
        <w:rPr>
          <w:rFonts w:hint="eastAsia" w:ascii="仿宋" w:hAnsi="仿宋" w:eastAsia="仿宋" w:cs="仿宋"/>
          <w:bCs/>
          <w:sz w:val="24"/>
          <w:szCs w:val="24"/>
        </w:rPr>
        <w:t>可进行参数编程调节；</w:t>
      </w:r>
    </w:p>
    <w:p w14:paraId="1520F20E">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Cs/>
          <w:sz w:val="24"/>
          <w:szCs w:val="24"/>
        </w:rPr>
      </w:pPr>
      <w:r>
        <w:rPr>
          <w:rFonts w:hint="eastAsia" w:ascii="仿宋" w:hAnsi="仿宋" w:eastAsia="仿宋" w:cs="仿宋"/>
          <w:sz w:val="24"/>
          <w:szCs w:val="24"/>
        </w:rPr>
        <w:t>4.2 硬盘≥1T(1024G)，DVD／USB图像存储,电影回放重现单元2200帧；</w:t>
      </w:r>
    </w:p>
    <w:p w14:paraId="5799EA51">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Cs/>
          <w:sz w:val="24"/>
          <w:szCs w:val="24"/>
        </w:rPr>
      </w:pPr>
      <w:r>
        <w:rPr>
          <w:rFonts w:hint="eastAsia" w:ascii="仿宋" w:hAnsi="仿宋" w:eastAsia="仿宋" w:cs="仿宋"/>
          <w:bCs/>
          <w:sz w:val="24"/>
          <w:szCs w:val="24"/>
        </w:rPr>
        <w:t>4.3 具备主机硬盘图像数据存储；</w:t>
      </w:r>
    </w:p>
    <w:p w14:paraId="6A7614BF">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Cs/>
          <w:sz w:val="24"/>
          <w:szCs w:val="24"/>
        </w:rPr>
      </w:pPr>
      <w:r>
        <w:rPr>
          <w:rFonts w:hint="eastAsia" w:ascii="仿宋" w:hAnsi="仿宋" w:eastAsia="仿宋" w:cs="仿宋"/>
          <w:bCs/>
          <w:sz w:val="24"/>
          <w:szCs w:val="24"/>
        </w:rPr>
        <w:t>4.4 病案管理单元包括病人资料、报告、图像等的存储、修改、检索和打印等；</w:t>
      </w:r>
    </w:p>
    <w:p w14:paraId="52A700A6">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bCs/>
          <w:sz w:val="24"/>
          <w:szCs w:val="24"/>
        </w:rPr>
      </w:pPr>
      <w:r>
        <w:rPr>
          <w:rFonts w:hint="eastAsia" w:ascii="仿宋" w:hAnsi="仿宋" w:eastAsia="仿宋" w:cs="仿宋"/>
          <w:bCs/>
          <w:sz w:val="24"/>
          <w:szCs w:val="24"/>
        </w:rPr>
        <w:t>4.5 可根据检查要求对工作站参数（存储、压缩、回放）进行编程调节；</w:t>
      </w:r>
    </w:p>
    <w:p w14:paraId="44A6D34F">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b/>
          <w:bCs/>
          <w:sz w:val="24"/>
          <w:szCs w:val="24"/>
        </w:rPr>
      </w:pPr>
      <w:r>
        <w:rPr>
          <w:rFonts w:hint="eastAsia" w:ascii="仿宋" w:hAnsi="仿宋" w:eastAsia="仿宋" w:cs="仿宋"/>
          <w:b/>
          <w:bCs/>
          <w:sz w:val="24"/>
          <w:szCs w:val="24"/>
        </w:rPr>
        <w:t>5</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 xml:space="preserve"> 输入/输出信号：</w:t>
      </w:r>
    </w:p>
    <w:p w14:paraId="410726FD">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5.1 输入：DICOM DATA</w:t>
      </w:r>
    </w:p>
    <w:p w14:paraId="2E9F7A96">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5.2 输出：S-视频、DP高清数字化输出</w:t>
      </w:r>
    </w:p>
    <w:p w14:paraId="1B63212B">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bCs/>
          <w:sz w:val="24"/>
          <w:szCs w:val="24"/>
        </w:rPr>
      </w:pPr>
      <w:r>
        <w:rPr>
          <w:rFonts w:hint="eastAsia" w:ascii="仿宋" w:hAnsi="仿宋" w:eastAsia="仿宋" w:cs="仿宋"/>
          <w:b/>
          <w:bCs/>
          <w:sz w:val="24"/>
          <w:szCs w:val="24"/>
        </w:rPr>
        <w:t xml:space="preserve">6 </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连通性：</w:t>
      </w:r>
      <w:r>
        <w:rPr>
          <w:rFonts w:hint="eastAsia" w:ascii="仿宋" w:hAnsi="仿宋" w:eastAsia="仿宋" w:cs="仿宋"/>
          <w:bCs/>
          <w:sz w:val="24"/>
          <w:szCs w:val="24"/>
        </w:rPr>
        <w:t>医学数字图像和通信 DICOM 3.0 版接口部件</w:t>
      </w:r>
    </w:p>
    <w:p w14:paraId="38F49237">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五、系统技术参数及要求：</w:t>
      </w:r>
    </w:p>
    <w:p w14:paraId="6875255A">
      <w:pPr>
        <w:pageBreakBefore w:val="0"/>
        <w:kinsoku/>
        <w:wordWrap/>
        <w:topLinePunct w:val="0"/>
        <w:bidi w:val="0"/>
        <w:spacing w:line="360" w:lineRule="auto"/>
        <w:ind w:right="-180"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.1 系统通用功能：</w:t>
      </w:r>
    </w:p>
    <w:p w14:paraId="2CCF9A55">
      <w:pPr>
        <w:pageBreakBefore w:val="0"/>
        <w:widowControl/>
        <w:kinsoku/>
        <w:wordWrap/>
        <w:overflowPunct w:val="0"/>
        <w:topLinePunct w:val="0"/>
        <w:autoSpaceDE w:val="0"/>
        <w:autoSpaceDN w:val="0"/>
        <w:bidi w:val="0"/>
        <w:adjustRightInd w:val="0"/>
        <w:spacing w:line="360" w:lineRule="auto"/>
        <w:ind w:left="1365" w:leftChars="250" w:right="-180" w:hanging="840" w:hangingChars="35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.1.1  ≥23寸液晶显示器, 分辨率1920×1080，无闪烁，不间断逐行扫描，可上下左右任意旋转，可前后折叠。</w:t>
      </w:r>
    </w:p>
    <w:p w14:paraId="23282783">
      <w:pPr>
        <w:pageBreakBefore w:val="0"/>
        <w:widowControl/>
        <w:kinsoku/>
        <w:wordWrap/>
        <w:overflowPunct w:val="0"/>
        <w:topLinePunct w:val="0"/>
        <w:autoSpaceDE w:val="0"/>
        <w:autoSpaceDN w:val="0"/>
        <w:bidi w:val="0"/>
        <w:adjustRightInd w:val="0"/>
        <w:spacing w:line="360" w:lineRule="auto"/>
        <w:ind w:left="1365" w:leftChars="250" w:right="-180" w:hanging="840" w:hangingChars="35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.1.2  </w:t>
      </w:r>
      <w:r>
        <w:rPr>
          <w:rFonts w:hint="eastAsia" w:ascii="仿宋" w:hAnsi="仿宋" w:eastAsia="仿宋" w:cs="仿宋"/>
          <w:sz w:val="24"/>
          <w:szCs w:val="24"/>
        </w:rPr>
        <w:t>操作面板具备≥12英寸液晶触摸屏,可通过手指滑动触摸屏进行翻页，直接点击触摸屏即可选择需要调节的参数，操作面板可上下左右进行高度调整及旋转。</w:t>
      </w:r>
    </w:p>
    <w:p w14:paraId="7451AF99">
      <w:pPr>
        <w:pageBreakBefore w:val="0"/>
        <w:widowControl/>
        <w:kinsoku/>
        <w:wordWrap/>
        <w:overflowPunct w:val="0"/>
        <w:topLinePunct w:val="0"/>
        <w:autoSpaceDE w:val="0"/>
        <w:autoSpaceDN w:val="0"/>
        <w:bidi w:val="0"/>
        <w:adjustRightInd w:val="0"/>
        <w:spacing w:line="360" w:lineRule="auto"/>
        <w:ind w:right="-180" w:firstLine="600" w:firstLineChars="25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.1.3探头接口选择：</w:t>
      </w:r>
      <w:r>
        <w:rPr>
          <w:rFonts w:hint="eastAsia" w:ascii="仿宋" w:hAnsi="仿宋" w:eastAsia="仿宋" w:cs="仿宋"/>
          <w:sz w:val="24"/>
          <w:szCs w:val="24"/>
        </w:rPr>
        <w:t>≥</w:t>
      </w:r>
      <w:r>
        <w:rPr>
          <w:rFonts w:hint="eastAsia" w:ascii="仿宋" w:hAnsi="仿宋" w:eastAsia="仿宋" w:cs="仿宋"/>
          <w:kern w:val="0"/>
          <w:sz w:val="24"/>
          <w:szCs w:val="24"/>
        </w:rPr>
        <w:t xml:space="preserve"> 4个，微型非针式，并激活可互换通用</w:t>
      </w:r>
    </w:p>
    <w:p w14:paraId="709E0CB9">
      <w:pPr>
        <w:pageBreakBefore w:val="0"/>
        <w:widowControl/>
        <w:kinsoku/>
        <w:wordWrap/>
        <w:overflowPunct w:val="0"/>
        <w:topLinePunct w:val="0"/>
        <w:autoSpaceDE w:val="0"/>
        <w:autoSpaceDN w:val="0"/>
        <w:bidi w:val="0"/>
        <w:adjustRightInd w:val="0"/>
        <w:spacing w:line="360" w:lineRule="auto"/>
        <w:ind w:left="2550" w:leftChars="300" w:right="-181" w:hanging="1920" w:hangingChars="8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.1.4 预设条件: 针对不同的检查脏器,预置最佳化图像的检查条件,减少操作时的调节,及常用所需的外部调节及组合调节</w:t>
      </w:r>
    </w:p>
    <w:p w14:paraId="440FE664">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.1.5 安全性能：符合国家医疗设备安全质量要求；</w:t>
      </w:r>
    </w:p>
    <w:p w14:paraId="5201594C">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.2 探头规格</w:t>
      </w:r>
    </w:p>
    <w:p w14:paraId="383055CA">
      <w:pPr>
        <w:pageBreakBefore w:val="0"/>
        <w:widowControl/>
        <w:kinsoku/>
        <w:wordWrap/>
        <w:overflowPunct w:val="0"/>
        <w:topLinePunct w:val="0"/>
        <w:autoSpaceDE w:val="0"/>
        <w:autoSpaceDN w:val="0"/>
        <w:bidi w:val="0"/>
        <w:adjustRightInd w:val="0"/>
        <w:spacing w:line="360" w:lineRule="auto"/>
        <w:ind w:left="2070" w:leftChars="300" w:right="-180" w:hanging="1440" w:hangingChars="6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.2.1 频率：</w:t>
      </w:r>
      <w:r>
        <w:rPr>
          <w:rFonts w:hint="eastAsia" w:ascii="仿宋" w:hAnsi="仿宋" w:eastAsia="仿宋" w:cs="仿宋"/>
          <w:sz w:val="24"/>
          <w:szCs w:val="24"/>
        </w:rPr>
        <w:t>超宽频带探头，最高频率约18MHz, 从1MHz 到18 MHz</w:t>
      </w:r>
    </w:p>
    <w:p w14:paraId="32AB3B15">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.2.2 二维、彩色多普勒均可独立变频</w:t>
      </w:r>
      <w:r>
        <w:rPr>
          <w:rFonts w:hint="eastAsia" w:ascii="仿宋" w:hAnsi="仿宋" w:eastAsia="仿宋" w:cs="仿宋"/>
          <w:kern w:val="0"/>
          <w:sz w:val="24"/>
          <w:szCs w:val="24"/>
        </w:rPr>
        <w:t>；</w:t>
      </w:r>
    </w:p>
    <w:p w14:paraId="52693360">
      <w:pPr>
        <w:pageBreakBefore w:val="0"/>
        <w:widowControl/>
        <w:kinsoku/>
        <w:wordWrap/>
        <w:overflowPunct w:val="0"/>
        <w:topLinePunct w:val="0"/>
        <w:autoSpaceDE w:val="0"/>
        <w:autoSpaceDN w:val="0"/>
        <w:bidi w:val="0"/>
        <w:adjustRightInd w:val="0"/>
        <w:spacing w:line="360" w:lineRule="auto"/>
        <w:ind w:right="-180" w:firstLine="708" w:firstLineChars="295"/>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.2.3 类型：电子扇扫、线阵、凸阵 、电子矩阵</w:t>
      </w:r>
    </w:p>
    <w:p w14:paraId="173B71E5">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.2.4 支持具有腹部、浅表、心脏、腔内、经食道等纯净波单晶体探头</w:t>
      </w:r>
    </w:p>
    <w:p w14:paraId="40468F6B">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.2.5 探头配置五把：</w:t>
      </w:r>
    </w:p>
    <w:p w14:paraId="6C7BE0DD">
      <w:pPr>
        <w:pageBreakBefore w:val="0"/>
        <w:widowControl/>
        <w:kinsoku/>
        <w:wordWrap/>
        <w:overflowPunct w:val="0"/>
        <w:topLinePunct w:val="0"/>
        <w:autoSpaceDE w:val="0"/>
        <w:autoSpaceDN w:val="0"/>
        <w:bidi w:val="0"/>
        <w:adjustRightInd w:val="0"/>
        <w:spacing w:line="360" w:lineRule="auto"/>
        <w:ind w:left="218" w:leftChars="104" w:right="-180" w:firstLine="1200" w:firstLineChars="500"/>
        <w:textAlignment w:val="baseline"/>
        <w:rPr>
          <w:rFonts w:hint="eastAsia" w:ascii="仿宋" w:hAnsi="仿宋" w:eastAsia="仿宋" w:cs="仿宋"/>
          <w:sz w:val="24"/>
          <w:szCs w:val="24"/>
        </w:rPr>
      </w:pPr>
      <w:r>
        <w:rPr>
          <w:rFonts w:hint="eastAsia" w:ascii="仿宋" w:hAnsi="仿宋" w:eastAsia="仿宋" w:cs="仿宋"/>
          <w:sz w:val="24"/>
          <w:szCs w:val="24"/>
        </w:rPr>
        <w:t>单晶体腹部探头   浅表探头   血管/小器官线阵探头    单晶体心脏相控阵探头   单晶体腔内微凸探头</w:t>
      </w:r>
    </w:p>
    <w:p w14:paraId="0C3B8F5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.2.6 </w:t>
      </w:r>
      <w:r>
        <w:rPr>
          <w:rFonts w:hint="eastAsia" w:ascii="仿宋" w:hAnsi="仿宋" w:eastAsia="仿宋" w:cs="仿宋"/>
          <w:sz w:val="24"/>
          <w:szCs w:val="24"/>
        </w:rPr>
        <w:t>扫描深度≥40cm</w:t>
      </w:r>
    </w:p>
    <w:p w14:paraId="3C4A59D4">
      <w:pPr>
        <w:pageBreakBefore w:val="0"/>
        <w:kinsoku/>
        <w:wordWrap/>
        <w:topLinePunct w:val="0"/>
        <w:bidi w:val="0"/>
        <w:spacing w:line="360" w:lineRule="auto"/>
        <w:ind w:firstLine="720" w:firstLineChars="3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.2.7 B/D 兼用：电子线阵：B/PWD、</w:t>
      </w:r>
    </w:p>
    <w:p w14:paraId="48D717E7">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                      电子凸阵：B/PWD;</w:t>
      </w:r>
    </w:p>
    <w:p w14:paraId="581FD650">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                      电子微凸阵：B/PWD</w:t>
      </w:r>
    </w:p>
    <w:p w14:paraId="08B06959">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                      电子矩阵：B/PWD</w:t>
      </w:r>
    </w:p>
    <w:p w14:paraId="1A8BFDD6">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                      电子相控阵：B/PWD、 B/CWD</w:t>
      </w:r>
    </w:p>
    <w:p w14:paraId="52B8CBA2">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.2.8 穿刺导向：探头可配穿刺导向装置；</w:t>
      </w:r>
    </w:p>
    <w:p w14:paraId="0B9F11D6">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.3 二维显像主要参数：</w:t>
      </w:r>
    </w:p>
    <w:p w14:paraId="52E27583">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.3.1</w:t>
      </w:r>
      <w:r>
        <w:rPr>
          <w:rFonts w:hint="eastAsia" w:ascii="仿宋" w:hAnsi="仿宋" w:eastAsia="仿宋" w:cs="仿宋"/>
          <w:sz w:val="24"/>
          <w:szCs w:val="24"/>
        </w:rPr>
        <w:t>成像速度：相控阵探头，85°角,18CM深度时,帧速度≥55帧/秒</w:t>
      </w:r>
    </w:p>
    <w:p w14:paraId="56405459">
      <w:pPr>
        <w:pageBreakBefore w:val="0"/>
        <w:widowControl/>
        <w:kinsoku/>
        <w:wordWrap/>
        <w:overflowPunct w:val="0"/>
        <w:topLinePunct w:val="0"/>
        <w:autoSpaceDE w:val="0"/>
        <w:autoSpaceDN w:val="0"/>
        <w:bidi w:val="0"/>
        <w:adjustRightInd w:val="0"/>
        <w:spacing w:line="360" w:lineRule="auto"/>
        <w:ind w:right="-180" w:firstLine="2520" w:firstLineChars="1050"/>
        <w:textAlignment w:val="baseline"/>
        <w:rPr>
          <w:rFonts w:hint="eastAsia" w:ascii="仿宋" w:hAnsi="仿宋" w:eastAsia="仿宋" w:cs="仿宋"/>
          <w:kern w:val="0"/>
          <w:sz w:val="24"/>
          <w:szCs w:val="24"/>
        </w:rPr>
      </w:pPr>
      <w:r>
        <w:rPr>
          <w:rFonts w:hint="eastAsia" w:ascii="仿宋" w:hAnsi="仿宋" w:eastAsia="仿宋" w:cs="仿宋"/>
          <w:sz w:val="24"/>
          <w:szCs w:val="24"/>
        </w:rPr>
        <w:t>凸阵探头, 85°角,18CM深度时,帧速度≥45帧/秒</w:t>
      </w:r>
    </w:p>
    <w:p w14:paraId="5A2E6522">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.3.2 增益调节：TGC增益补偿</w:t>
      </w:r>
      <w:r>
        <w:rPr>
          <w:rFonts w:hint="eastAsia" w:ascii="仿宋" w:hAnsi="仿宋" w:eastAsia="仿宋" w:cs="仿宋"/>
          <w:sz w:val="24"/>
          <w:szCs w:val="24"/>
        </w:rPr>
        <w:t>≥</w:t>
      </w:r>
      <w:r>
        <w:rPr>
          <w:rFonts w:hint="eastAsia" w:ascii="仿宋" w:hAnsi="仿宋" w:eastAsia="仿宋" w:cs="仿宋"/>
          <w:kern w:val="0"/>
          <w:sz w:val="24"/>
          <w:szCs w:val="24"/>
        </w:rPr>
        <w:t>8 段，LGC侧向增益补偿≥4段，B/M 可独立调节；</w:t>
      </w:r>
    </w:p>
    <w:p w14:paraId="41E625CC">
      <w:pPr>
        <w:pageBreakBefore w:val="0"/>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.3.3 数字式声束形成器：数字式全程动态聚焦，数字式可变孔径及动态变迹，</w:t>
      </w:r>
    </w:p>
    <w:p w14:paraId="1399C6CF">
      <w:pPr>
        <w:pageBreakBefore w:val="0"/>
        <w:kinsoku/>
        <w:wordWrap/>
        <w:overflowPunct w:val="0"/>
        <w:topLinePunct w:val="0"/>
        <w:autoSpaceDE w:val="0"/>
        <w:autoSpaceDN w:val="0"/>
        <w:bidi w:val="0"/>
        <w:adjustRightInd w:val="0"/>
        <w:spacing w:line="360" w:lineRule="auto"/>
        <w:ind w:right="-180" w:firstLine="3600" w:firstLineChars="1500"/>
        <w:textAlignment w:val="baseline"/>
        <w:rPr>
          <w:rFonts w:hint="eastAsia" w:ascii="仿宋" w:hAnsi="仿宋" w:eastAsia="仿宋" w:cs="仿宋"/>
          <w:sz w:val="24"/>
          <w:szCs w:val="24"/>
        </w:rPr>
      </w:pPr>
      <w:r>
        <w:rPr>
          <w:rFonts w:hint="eastAsia" w:ascii="仿宋" w:hAnsi="仿宋" w:eastAsia="仿宋" w:cs="仿宋"/>
          <w:sz w:val="24"/>
          <w:szCs w:val="24"/>
        </w:rPr>
        <w:t>A/D≥12bit</w:t>
      </w:r>
    </w:p>
    <w:p w14:paraId="69F31E36">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.3.4 高分辨率放大：放大时增加信息量，提高分辨率及帧率；</w:t>
      </w:r>
    </w:p>
    <w:p w14:paraId="1EF90962">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.3.5 声束聚焦：发射及接收全程连续聚焦;</w:t>
      </w:r>
    </w:p>
    <w:p w14:paraId="47E38D5C">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.3.6 接收方式：独立接收和发射通道数, 多倍信号并行处理；</w:t>
      </w:r>
    </w:p>
    <w:p w14:paraId="045EC9BB">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.3.7 接收超声信号系统动态范围</w:t>
      </w:r>
      <w:r>
        <w:rPr>
          <w:rFonts w:hint="eastAsia" w:ascii="仿宋" w:hAnsi="仿宋" w:eastAsia="仿宋" w:cs="仿宋"/>
          <w:sz w:val="24"/>
          <w:szCs w:val="24"/>
        </w:rPr>
        <w:t>≥300</w:t>
      </w:r>
      <w:r>
        <w:rPr>
          <w:rFonts w:hint="eastAsia" w:ascii="仿宋" w:hAnsi="仿宋" w:eastAsia="仿宋" w:cs="仿宋"/>
          <w:kern w:val="0"/>
          <w:sz w:val="24"/>
          <w:szCs w:val="24"/>
        </w:rPr>
        <w:t xml:space="preserve"> dB</w:t>
      </w:r>
    </w:p>
    <w:p w14:paraId="62BDD842">
      <w:pPr>
        <w:pageBreakBefore w:val="0"/>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.3.8 二维灰阶成像 </w:t>
      </w:r>
      <w:r>
        <w:rPr>
          <w:rFonts w:hint="eastAsia" w:ascii="仿宋" w:hAnsi="仿宋" w:eastAsia="仿宋" w:cs="仿宋"/>
          <w:sz w:val="24"/>
          <w:szCs w:val="24"/>
        </w:rPr>
        <w:sym w:font="Symbol" w:char="F0B3"/>
      </w:r>
      <w:r>
        <w:rPr>
          <w:rFonts w:hint="eastAsia" w:ascii="仿宋" w:hAnsi="仿宋" w:eastAsia="仿宋" w:cs="仿宋"/>
          <w:sz w:val="24"/>
          <w:szCs w:val="24"/>
        </w:rPr>
        <w:t xml:space="preserve"> 256 灰阶。</w:t>
      </w:r>
    </w:p>
    <w:p w14:paraId="2B7EC404">
      <w:pPr>
        <w:pageBreakBefore w:val="0"/>
        <w:widowControl/>
        <w:kinsoku/>
        <w:wordWrap/>
        <w:overflowPunct w:val="0"/>
        <w:topLinePunct w:val="0"/>
        <w:autoSpaceDE w:val="0"/>
        <w:autoSpaceDN w:val="0"/>
        <w:bidi w:val="0"/>
        <w:adjustRightInd w:val="0"/>
        <w:spacing w:line="360" w:lineRule="auto"/>
        <w:ind w:right="-180" w:firstLine="480" w:firstLineChars="200"/>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.4 频谱多普勒：</w:t>
      </w:r>
    </w:p>
    <w:p w14:paraId="24F7AFF6">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.4.1 显示模式：脉冲多普勒 (PWD)、</w:t>
      </w:r>
    </w:p>
    <w:p w14:paraId="65335DCD">
      <w:pPr>
        <w:pageBreakBefore w:val="0"/>
        <w:widowControl/>
        <w:kinsoku/>
        <w:wordWrap/>
        <w:overflowPunct w:val="0"/>
        <w:topLinePunct w:val="0"/>
        <w:autoSpaceDE w:val="0"/>
        <w:autoSpaceDN w:val="0"/>
        <w:bidi w:val="0"/>
        <w:adjustRightInd w:val="0"/>
        <w:spacing w:line="360" w:lineRule="auto"/>
        <w:ind w:right="-181"/>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                     高脉冲重复频率 (HPRF)、</w:t>
      </w:r>
    </w:p>
    <w:p w14:paraId="7307333C">
      <w:pPr>
        <w:pageBreakBefore w:val="0"/>
        <w:widowControl/>
        <w:kinsoku/>
        <w:wordWrap/>
        <w:overflowPunct w:val="0"/>
        <w:topLinePunct w:val="0"/>
        <w:autoSpaceDE w:val="0"/>
        <w:autoSpaceDN w:val="0"/>
        <w:bidi w:val="0"/>
        <w:adjustRightInd w:val="0"/>
        <w:spacing w:line="360" w:lineRule="auto"/>
        <w:ind w:right="-181" w:firstLine="2520" w:firstLineChars="105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连续波多普勒（CW）；</w:t>
      </w:r>
    </w:p>
    <w:p w14:paraId="2C0480DC">
      <w:pPr>
        <w:pStyle w:val="11"/>
        <w:pageBreakBefore w:val="0"/>
        <w:kinsoku/>
        <w:wordWrap/>
        <w:topLinePunct w:val="0"/>
        <w:bidi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.4.2 发射频率: 电子相控阵: PWD,CWD</w:t>
      </w:r>
    </w:p>
    <w:p w14:paraId="7CB8DBD4">
      <w:pPr>
        <w:pStyle w:val="11"/>
        <w:pageBreakBefore w:val="0"/>
        <w:kinsoku/>
        <w:wordWrap/>
        <w:topLinePunct w:val="0"/>
        <w:bidi w:val="0"/>
        <w:spacing w:line="360" w:lineRule="auto"/>
        <w:ind w:firstLine="2520" w:firstLineChars="1050"/>
        <w:rPr>
          <w:rFonts w:hint="eastAsia" w:ascii="仿宋" w:hAnsi="仿宋" w:eastAsia="仿宋" w:cs="仿宋"/>
          <w:sz w:val="24"/>
          <w:szCs w:val="24"/>
        </w:rPr>
      </w:pPr>
      <w:r>
        <w:rPr>
          <w:rFonts w:hint="eastAsia" w:ascii="仿宋" w:hAnsi="仿宋" w:eastAsia="仿宋" w:cs="仿宋"/>
          <w:sz w:val="24"/>
          <w:szCs w:val="24"/>
        </w:rPr>
        <w:t>电子凸阵:PWD</w:t>
      </w:r>
    </w:p>
    <w:p w14:paraId="37766951">
      <w:pPr>
        <w:pStyle w:val="11"/>
        <w:pageBreakBefore w:val="0"/>
        <w:kinsoku/>
        <w:wordWrap/>
        <w:topLinePunct w:val="0"/>
        <w:bidi w:val="0"/>
        <w:spacing w:line="360" w:lineRule="auto"/>
        <w:ind w:firstLine="2520" w:firstLineChars="1050"/>
        <w:rPr>
          <w:rFonts w:hint="eastAsia" w:ascii="仿宋" w:hAnsi="仿宋" w:eastAsia="仿宋" w:cs="仿宋"/>
          <w:sz w:val="24"/>
          <w:szCs w:val="24"/>
        </w:rPr>
      </w:pPr>
      <w:r>
        <w:rPr>
          <w:rFonts w:hint="eastAsia" w:ascii="仿宋" w:hAnsi="仿宋" w:eastAsia="仿宋" w:cs="仿宋"/>
          <w:sz w:val="24"/>
          <w:szCs w:val="24"/>
        </w:rPr>
        <w:t>电子线阵:PWD</w:t>
      </w:r>
    </w:p>
    <w:p w14:paraId="7E2B32B6">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.4.3 显示方式：B/D、M/D、D、B/CDV、B/CPA、B/CDV/PW；</w:t>
      </w:r>
    </w:p>
    <w:p w14:paraId="6A278B64">
      <w:pPr>
        <w:pageBreakBefore w:val="0"/>
        <w:widowControl/>
        <w:kinsoku/>
        <w:wordWrap/>
        <w:overflowPunct w:val="0"/>
        <w:topLinePunct w:val="0"/>
        <w:autoSpaceDE w:val="0"/>
        <w:autoSpaceDN w:val="0"/>
        <w:bidi w:val="0"/>
        <w:adjustRightInd w:val="0"/>
        <w:spacing w:line="360" w:lineRule="auto"/>
        <w:ind w:right="-180" w:firstLine="2520" w:firstLineChars="105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B/CPA/PW；B/CDV/CW；</w:t>
      </w:r>
    </w:p>
    <w:p w14:paraId="327F90B2">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.4.4 最大测量速度：PWD</w:t>
      </w:r>
      <w:r>
        <w:rPr>
          <w:rFonts w:hint="eastAsia" w:ascii="仿宋" w:hAnsi="仿宋" w:eastAsia="仿宋" w:cs="仿宋"/>
          <w:sz w:val="24"/>
          <w:szCs w:val="24"/>
        </w:rPr>
        <w:t>正或反向血流速度</w:t>
      </w:r>
      <w:r>
        <w:rPr>
          <w:rFonts w:hint="eastAsia" w:ascii="仿宋" w:hAnsi="仿宋" w:eastAsia="仿宋" w:cs="仿宋"/>
          <w:kern w:val="0"/>
          <w:sz w:val="24"/>
          <w:szCs w:val="24"/>
        </w:rPr>
        <w:t>：≥ 10.0 m/s（0度夹角）；</w:t>
      </w:r>
    </w:p>
    <w:p w14:paraId="75AB7568">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.4.5 最低测量速度：≤ 0.9mm/s (非噪音信号)； </w:t>
      </w:r>
    </w:p>
    <w:p w14:paraId="437FABB8">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.4.6 Doppler及M型</w:t>
      </w:r>
      <w:r>
        <w:rPr>
          <w:rFonts w:hint="eastAsia" w:ascii="仿宋" w:hAnsi="仿宋" w:eastAsia="仿宋" w:cs="仿宋"/>
          <w:kern w:val="0"/>
          <w:sz w:val="24"/>
          <w:szCs w:val="24"/>
        </w:rPr>
        <w:t>电影回放：</w:t>
      </w:r>
      <w:r>
        <w:rPr>
          <w:rFonts w:hint="eastAsia" w:ascii="仿宋" w:hAnsi="仿宋" w:eastAsia="仿宋" w:cs="仿宋"/>
          <w:kern w:val="0"/>
          <w:sz w:val="24"/>
          <w:szCs w:val="24"/>
        </w:rPr>
        <w:sym w:font="Symbol" w:char="F0B3"/>
      </w:r>
      <w:r>
        <w:rPr>
          <w:rFonts w:hint="eastAsia" w:ascii="仿宋" w:hAnsi="仿宋" w:eastAsia="仿宋" w:cs="仿宋"/>
          <w:kern w:val="0"/>
          <w:sz w:val="24"/>
          <w:szCs w:val="24"/>
        </w:rPr>
        <w:t>48 秒；</w:t>
      </w:r>
    </w:p>
    <w:p w14:paraId="049FE781">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.4.7 滤波器：高通滤波或低通滤波两种，分级选择；</w:t>
      </w:r>
    </w:p>
    <w:p w14:paraId="3A40F063">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.4.8 取样宽度及位置范围：宽度 0.5mm至20mm多级可调；</w:t>
      </w:r>
    </w:p>
    <w:p w14:paraId="6960EB9F">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.4.9 零位移动：</w:t>
      </w:r>
      <w:r>
        <w:rPr>
          <w:rFonts w:hint="eastAsia" w:ascii="仿宋" w:hAnsi="仿宋" w:eastAsia="仿宋" w:cs="仿宋"/>
          <w:kern w:val="0"/>
          <w:sz w:val="24"/>
          <w:szCs w:val="24"/>
        </w:rPr>
        <w:sym w:font="Symbol" w:char="F0B3"/>
      </w:r>
      <w:r>
        <w:rPr>
          <w:rFonts w:hint="eastAsia" w:ascii="仿宋" w:hAnsi="仿宋" w:eastAsia="仿宋" w:cs="仿宋"/>
          <w:kern w:val="0"/>
          <w:sz w:val="24"/>
          <w:szCs w:val="24"/>
        </w:rPr>
        <w:t xml:space="preserve"> 8 级；</w:t>
      </w:r>
    </w:p>
    <w:p w14:paraId="02D5741D">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.4.10显示控制：反转显示 (上/下)、零移位、B-刷新、D 扩展、B/D 扩展，</w:t>
      </w:r>
    </w:p>
    <w:p w14:paraId="137E4AA7">
      <w:pPr>
        <w:pageBreakBefore w:val="0"/>
        <w:widowControl/>
        <w:kinsoku/>
        <w:wordWrap/>
        <w:overflowPunct w:val="0"/>
        <w:topLinePunct w:val="0"/>
        <w:autoSpaceDE w:val="0"/>
        <w:autoSpaceDN w:val="0"/>
        <w:bidi w:val="0"/>
        <w:adjustRightInd w:val="0"/>
        <w:spacing w:line="360" w:lineRule="auto"/>
        <w:ind w:right="-180" w:firstLine="2640" w:firstLineChars="11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局放及移位；</w:t>
      </w:r>
    </w:p>
    <w:p w14:paraId="1AE2D601">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.4.11 实时自动包络频谱并完成频谱测量计算</w:t>
      </w:r>
    </w:p>
    <w:p w14:paraId="16E1BDC2">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.5 彩色多普勒：</w:t>
      </w:r>
    </w:p>
    <w:p w14:paraId="37DA1105">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.5.1 显示方式：速度图 (CDV)、能量图 (CPA)、方向性能量图（DCPA）</w:t>
      </w:r>
    </w:p>
    <w:p w14:paraId="240B263C">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.5.2 彩色增强功能:彩色多普勒能量图(CDE/CPI);组织多普勒(TDI)</w:t>
      </w:r>
    </w:p>
    <w:p w14:paraId="6A55B538">
      <w:pPr>
        <w:pageBreakBefore w:val="0"/>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.5.3扫描速率：凸阵探头、最大角度，18cm深时，彩色显示帧频≥11帧/ S</w:t>
      </w:r>
    </w:p>
    <w:p w14:paraId="14CEE8A1">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.5.4具有双同步 / 三同步显示(B/D/CDV)</w:t>
      </w:r>
    </w:p>
    <w:p w14:paraId="7B553E4A">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.5.5 显示控制：零位移动、黑白与彩色比较、彩色对比</w:t>
      </w:r>
    </w:p>
    <w:p w14:paraId="475D899F">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.5.6 显示位置调整：线阵扫描感兴趣的图像范围：-20°～ +20°；</w:t>
      </w:r>
    </w:p>
    <w:p w14:paraId="36CC5899">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.6 超声功率输出调节：</w:t>
      </w:r>
    </w:p>
    <w:p w14:paraId="46E95F49">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.6.1 B/M、PWD、COLOR DOPPLER</w:t>
      </w:r>
    </w:p>
    <w:p w14:paraId="5104F096">
      <w:pPr>
        <w:pageBreakBefore w:val="0"/>
        <w:widowControl/>
        <w:kinsoku/>
        <w:wordWrap/>
        <w:overflowPunct w:val="0"/>
        <w:topLinePunct w:val="0"/>
        <w:autoSpaceDE w:val="0"/>
        <w:autoSpaceDN w:val="0"/>
        <w:bidi w:val="0"/>
        <w:adjustRightInd w:val="0"/>
        <w:spacing w:line="360" w:lineRule="auto"/>
        <w:ind w:right="-180" w:firstLine="720" w:firstLineChars="300"/>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.6.2 输出功率选择分级可调</w:t>
      </w:r>
    </w:p>
    <w:p w14:paraId="5CEAE6CC">
      <w:pPr>
        <w:pageBreakBefore w:val="0"/>
        <w:widowControl/>
        <w:kinsoku/>
        <w:wordWrap/>
        <w:overflowPunct w:val="0"/>
        <w:topLinePunct w:val="0"/>
        <w:autoSpaceDE w:val="0"/>
        <w:autoSpaceDN w:val="0"/>
        <w:bidi w:val="0"/>
        <w:adjustRightInd w:val="0"/>
        <w:spacing w:line="360" w:lineRule="auto"/>
        <w:ind w:left="400" w:right="-180"/>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.7 记录装置：</w:t>
      </w:r>
    </w:p>
    <w:p w14:paraId="5BE5D9F6">
      <w:pPr>
        <w:pageBreakBefore w:val="0"/>
        <w:widowControl/>
        <w:kinsoku/>
        <w:wordWrap/>
        <w:overflowPunct w:val="0"/>
        <w:topLinePunct w:val="0"/>
        <w:autoSpaceDE w:val="0"/>
        <w:autoSpaceDN w:val="0"/>
        <w:bidi w:val="0"/>
        <w:adjustRightInd w:val="0"/>
        <w:spacing w:line="360" w:lineRule="auto"/>
        <w:ind w:left="3990" w:leftChars="300" w:right="-181" w:hanging="3360" w:hangingChars="14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.7.1 内置超声工作站：数字化储存静态及动态图像，动态图像及静态图像以AVI、BMP或JPEG等PC通用格式直接储存</w:t>
      </w:r>
    </w:p>
    <w:p w14:paraId="5F2BA0BD">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.7.2 主机硬盘容量≥1T(1024G)</w:t>
      </w:r>
    </w:p>
    <w:p w14:paraId="2F105782">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kern w:val="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.7.3 DVD-RW 或USB图像存储</w:t>
      </w:r>
    </w:p>
    <w:p w14:paraId="7F306B42">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.7.4 USB接口≥5个，用于图像传输</w:t>
      </w:r>
    </w:p>
    <w:p w14:paraId="5FC5EC56">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.8 系统要求：</w:t>
      </w:r>
    </w:p>
    <w:p w14:paraId="711D11CD">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.8.1 UPS、高清采图器、</w:t>
      </w:r>
    </w:p>
    <w:p w14:paraId="6476F7FE">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.8.2，中标方负责联接医院网络系统系统并承担相应费用。</w:t>
      </w:r>
    </w:p>
    <w:p w14:paraId="334F6419">
      <w:pPr>
        <w:pageBreakBefore w:val="0"/>
        <w:widowControl/>
        <w:kinsoku/>
        <w:wordWrap/>
        <w:overflowPunct w:val="0"/>
        <w:topLinePunct w:val="0"/>
        <w:autoSpaceDE w:val="0"/>
        <w:autoSpaceDN w:val="0"/>
        <w:bidi w:val="0"/>
        <w:adjustRightInd w:val="0"/>
        <w:spacing w:line="360" w:lineRule="auto"/>
        <w:ind w:right="-181" w:firstLine="720" w:firstLineChars="300"/>
        <w:textAlignment w:val="baseline"/>
        <w:rPr>
          <w:rFonts w:hint="eastAsia" w:ascii="仿宋" w:hAnsi="仿宋" w:eastAsia="仿宋" w:cs="仿宋"/>
          <w:kern w:val="0"/>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.9</w:t>
      </w:r>
      <w:r>
        <w:rPr>
          <w:rFonts w:hint="eastAsia" w:ascii="仿宋" w:hAnsi="仿宋" w:eastAsia="仿宋" w:cs="仿宋"/>
          <w:sz w:val="24"/>
          <w:szCs w:val="24"/>
        </w:rPr>
        <w:t>根据科室需求配置：检查床、检查椅、工作站、电脑桌、电脑、打印机</w:t>
      </w:r>
    </w:p>
    <w:p w14:paraId="36E3471D">
      <w:pPr>
        <w:pageBreakBefore w:val="0"/>
        <w:widowControl/>
        <w:kinsoku/>
        <w:wordWrap/>
        <w:overflowPunct w:val="0"/>
        <w:topLinePunct w:val="0"/>
        <w:autoSpaceDE w:val="0"/>
        <w:autoSpaceDN w:val="0"/>
        <w:bidi w:val="0"/>
        <w:adjustRightInd w:val="0"/>
        <w:spacing w:line="360" w:lineRule="auto"/>
        <w:ind w:right="-180"/>
        <w:textAlignment w:val="baseline"/>
        <w:rPr>
          <w:rFonts w:hint="eastAsia" w:ascii="仿宋" w:hAnsi="仿宋" w:eastAsia="仿宋" w:cs="仿宋"/>
          <w:b/>
          <w:bCs/>
          <w:sz w:val="22"/>
          <w:szCs w:val="22"/>
        </w:rPr>
      </w:pPr>
    </w:p>
    <w:p w14:paraId="0B4A8A1E">
      <w:pPr>
        <w:pageBreakBefore w:val="0"/>
        <w:kinsoku/>
        <w:wordWrap/>
        <w:topLinePunct w:val="0"/>
        <w:bidi w:val="0"/>
        <w:spacing w:line="360" w:lineRule="auto"/>
        <w:rPr>
          <w:rFonts w:hint="eastAsia" w:ascii="仿宋" w:hAnsi="仿宋" w:eastAsia="仿宋" w:cs="仿宋"/>
          <w:bCs/>
          <w:sz w:val="30"/>
          <w:szCs w:val="30"/>
        </w:rPr>
      </w:pPr>
    </w:p>
    <w:p w14:paraId="175E55A9">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w:t>
      </w:r>
    </w:p>
    <w:p w14:paraId="44E8CFA8">
      <w:pPr>
        <w:pageBreakBefore w:val="0"/>
        <w:widowControl/>
        <w:kinsoku/>
        <w:wordWrap/>
        <w:topLinePunct w:val="0"/>
        <w:autoSpaceDN w:val="0"/>
        <w:bidi w:val="0"/>
        <w:spacing w:line="360" w:lineRule="auto"/>
        <w:rPr>
          <w:rFonts w:hint="eastAsia" w:ascii="仿宋" w:hAnsi="仿宋" w:eastAsia="仿宋" w:cs="仿宋"/>
          <w:b/>
          <w:bCs/>
          <w:sz w:val="36"/>
          <w:szCs w:val="36"/>
          <w:shd w:val="clear" w:color="auto" w:fill="FFFFFF"/>
        </w:rPr>
      </w:pPr>
    </w:p>
    <w:p w14:paraId="2EA0FE5D">
      <w:pPr>
        <w:pageBreakBefore w:val="0"/>
        <w:widowControl/>
        <w:kinsoku/>
        <w:wordWrap/>
        <w:topLinePunct w:val="0"/>
        <w:autoSpaceDN w:val="0"/>
        <w:bidi w:val="0"/>
        <w:spacing w:line="360" w:lineRule="auto"/>
        <w:ind w:firstLine="2880" w:firstLineChars="900"/>
        <w:rPr>
          <w:rFonts w:hint="eastAsia" w:ascii="仿宋" w:hAnsi="仿宋" w:eastAsia="仿宋" w:cs="仿宋"/>
          <w:b/>
          <w:bCs/>
          <w:sz w:val="36"/>
          <w:szCs w:val="36"/>
          <w:shd w:val="clear" w:color="auto" w:fill="FFFFFF"/>
        </w:rPr>
      </w:pPr>
      <w:r>
        <w:rPr>
          <w:rFonts w:hint="eastAsia" w:ascii="仿宋" w:hAnsi="仿宋" w:eastAsia="仿宋" w:cs="仿宋"/>
          <w:b/>
          <w:sz w:val="32"/>
          <w:szCs w:val="32"/>
        </w:rPr>
        <w:drawing>
          <wp:anchor distT="0" distB="0" distL="114300" distR="114300" simplePos="0" relativeHeight="251673600" behindDoc="1" locked="0" layoutInCell="1" allowOverlap="1">
            <wp:simplePos x="0" y="0"/>
            <wp:positionH relativeFrom="column">
              <wp:posOffset>7121525</wp:posOffset>
            </wp:positionH>
            <wp:positionV relativeFrom="paragraph">
              <wp:posOffset>-10795</wp:posOffset>
            </wp:positionV>
            <wp:extent cx="1485900" cy="1438275"/>
            <wp:effectExtent l="0" t="0" r="7620" b="9525"/>
            <wp:wrapNone/>
            <wp:docPr id="12"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13"/>
                    <a:stretch>
                      <a:fillRect/>
                    </a:stretch>
                  </pic:blipFill>
                  <pic:spPr>
                    <a:xfrm>
                      <a:off x="0" y="0"/>
                      <a:ext cx="1485900" cy="1438275"/>
                    </a:xfrm>
                    <a:prstGeom prst="rect">
                      <a:avLst/>
                    </a:prstGeom>
                    <a:noFill/>
                    <a:ln>
                      <a:noFill/>
                    </a:ln>
                  </pic:spPr>
                </pic:pic>
              </a:graphicData>
            </a:graphic>
          </wp:anchor>
        </w:drawing>
      </w:r>
      <w:r>
        <w:rPr>
          <w:rFonts w:hint="eastAsia" w:ascii="仿宋" w:hAnsi="仿宋" w:eastAsia="仿宋" w:cs="仿宋"/>
          <w:b/>
          <w:sz w:val="32"/>
          <w:szCs w:val="32"/>
        </w:rPr>
        <w:t>婴儿培养箱技术参数</w:t>
      </w:r>
    </w:p>
    <w:p w14:paraId="2DDA9677">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主要技术参数：</w:t>
      </w:r>
    </w:p>
    <w:p w14:paraId="0019875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输入功率：≤1000VA</w:t>
      </w:r>
    </w:p>
    <w:p w14:paraId="4BF3B0B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控制方式</w:t>
      </w:r>
      <w:r>
        <w:rPr>
          <w:rFonts w:hint="eastAsia" w:ascii="仿宋" w:hAnsi="仿宋" w:eastAsia="仿宋" w:cs="仿宋"/>
          <w:b/>
          <w:sz w:val="24"/>
          <w:szCs w:val="24"/>
        </w:rPr>
        <w:t>：</w:t>
      </w:r>
      <w:r>
        <w:rPr>
          <w:rFonts w:hint="eastAsia" w:ascii="仿宋" w:hAnsi="仿宋" w:eastAsia="仿宋" w:cs="仿宋"/>
          <w:sz w:val="24"/>
          <w:szCs w:val="24"/>
        </w:rPr>
        <w:t>箱温和肤温两种温度控制）</w:t>
      </w:r>
    </w:p>
    <w:p w14:paraId="5FD84580">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箱温控制范围</w:t>
      </w:r>
      <w:r>
        <w:rPr>
          <w:rFonts w:hint="eastAsia" w:ascii="仿宋" w:hAnsi="仿宋" w:eastAsia="仿宋" w:cs="仿宋"/>
          <w:b/>
          <w:sz w:val="24"/>
          <w:szCs w:val="24"/>
        </w:rPr>
        <w:t>：</w:t>
      </w:r>
      <w:r>
        <w:rPr>
          <w:rFonts w:hint="eastAsia" w:ascii="仿宋" w:hAnsi="仿宋" w:eastAsia="仿宋" w:cs="仿宋"/>
          <w:sz w:val="24"/>
          <w:szCs w:val="24"/>
        </w:rPr>
        <w:t>25～37℃    （选配＞37℃温度跨越模式设置时，可以设置到39℃.）</w:t>
      </w:r>
    </w:p>
    <w:p w14:paraId="1A92E54C">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皮肤温度控制范围</w:t>
      </w:r>
      <w:r>
        <w:rPr>
          <w:rFonts w:hint="eastAsia" w:ascii="仿宋" w:hAnsi="仿宋" w:eastAsia="仿宋" w:cs="仿宋"/>
          <w:b/>
          <w:sz w:val="24"/>
          <w:szCs w:val="24"/>
        </w:rPr>
        <w:t>：</w:t>
      </w:r>
      <w:r>
        <w:rPr>
          <w:rFonts w:hint="eastAsia" w:ascii="仿宋" w:hAnsi="仿宋" w:eastAsia="仿宋" w:cs="仿宋"/>
          <w:sz w:val="24"/>
          <w:szCs w:val="24"/>
        </w:rPr>
        <w:t>34～37℃（选配＞37℃温度跨越模式设置时，可以设置到38℃.）</w:t>
      </w:r>
    </w:p>
    <w:p w14:paraId="513A6A6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Cs/>
          <w:sz w:val="24"/>
          <w:szCs w:val="24"/>
        </w:rPr>
        <w:t>箱温和肤温显示温度范围</w:t>
      </w:r>
      <w:r>
        <w:rPr>
          <w:rFonts w:hint="eastAsia" w:ascii="仿宋" w:hAnsi="仿宋" w:eastAsia="仿宋" w:cs="仿宋"/>
          <w:b/>
          <w:sz w:val="24"/>
          <w:szCs w:val="24"/>
        </w:rPr>
        <w:t>：</w:t>
      </w:r>
      <w:r>
        <w:rPr>
          <w:rFonts w:hint="eastAsia" w:ascii="仿宋" w:hAnsi="仿宋" w:eastAsia="仿宋" w:cs="仿宋"/>
          <w:sz w:val="24"/>
          <w:szCs w:val="24"/>
        </w:rPr>
        <w:t>5～65℃</w:t>
      </w:r>
    </w:p>
    <w:p w14:paraId="7D00176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升温时间：≤30min</w:t>
      </w:r>
    </w:p>
    <w:p w14:paraId="03E1C4C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培养箱温度与平均培养箱温度之差</w:t>
      </w:r>
      <w:r>
        <w:rPr>
          <w:rFonts w:hint="eastAsia" w:ascii="仿宋" w:hAnsi="仿宋" w:eastAsia="仿宋" w:cs="仿宋"/>
          <w:b/>
          <w:sz w:val="24"/>
          <w:szCs w:val="24"/>
        </w:rPr>
        <w:t>：</w:t>
      </w:r>
      <w:r>
        <w:rPr>
          <w:rFonts w:hint="eastAsia" w:ascii="仿宋" w:hAnsi="仿宋" w:eastAsia="仿宋" w:cs="仿宋"/>
          <w:sz w:val="24"/>
          <w:szCs w:val="24"/>
        </w:rPr>
        <w:t xml:space="preserve"> ≤0.5℃</w:t>
      </w:r>
    </w:p>
    <w:p w14:paraId="06730B9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平均培养箱温度与控制温度之差：≤±1.0℃</w:t>
      </w:r>
    </w:p>
    <w:p w14:paraId="68BEBDE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温度均匀性（床垫处于水平位置）：≤0.8℃</w:t>
      </w:r>
    </w:p>
    <w:p w14:paraId="08969DE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温度均匀性（床垫处于倾斜位置）：≤1.0℃</w:t>
      </w:r>
    </w:p>
    <w:p w14:paraId="06A1D94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皮肤温度传感器精度</w:t>
      </w:r>
      <w:r>
        <w:rPr>
          <w:rFonts w:hint="eastAsia" w:ascii="仿宋" w:hAnsi="仿宋" w:eastAsia="仿宋" w:cs="仿宋"/>
          <w:b/>
          <w:sz w:val="24"/>
          <w:szCs w:val="24"/>
        </w:rPr>
        <w:t>：</w:t>
      </w:r>
      <w:r>
        <w:rPr>
          <w:rFonts w:hint="eastAsia" w:ascii="仿宋" w:hAnsi="仿宋" w:eastAsia="仿宋" w:cs="仿宋"/>
          <w:sz w:val="24"/>
          <w:szCs w:val="24"/>
        </w:rPr>
        <w:t>≤±0.2℃内</w:t>
      </w:r>
    </w:p>
    <w:p w14:paraId="5478F505">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婴儿床倾斜角度:≥ ±12°无级可调</w:t>
      </w:r>
    </w:p>
    <w:p w14:paraId="2028234F">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婴儿舱内噪声: ≤45dB（A）</w:t>
      </w:r>
    </w:p>
    <w:p w14:paraId="4739CC3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故障报警: 断电、传感器、 偏差、超温、风道循环、缺水、水箱位置、系统等</w:t>
      </w:r>
    </w:p>
    <w:p w14:paraId="3E2F69E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水箱采用PES塑料制作，整体水箱可以直接采用“高温高压”法消毒</w:t>
      </w:r>
    </w:p>
    <w:p w14:paraId="7DDA6910">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湿度显示范围: 0%RH～99%RH</w:t>
      </w:r>
    </w:p>
    <w:p w14:paraId="13DEA5D4">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湿度控制范围: 0%RH～90%RH</w:t>
      </w:r>
    </w:p>
    <w:p w14:paraId="305AEDF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湿度控制精度</w:t>
      </w:r>
      <w:r>
        <w:rPr>
          <w:rFonts w:hint="eastAsia" w:ascii="仿宋" w:hAnsi="仿宋" w:eastAsia="仿宋" w:cs="仿宋"/>
          <w:b/>
          <w:sz w:val="24"/>
          <w:szCs w:val="24"/>
        </w:rPr>
        <w:t>：</w:t>
      </w:r>
      <w:r>
        <w:rPr>
          <w:rFonts w:hint="eastAsia" w:ascii="仿宋" w:hAnsi="仿宋" w:eastAsia="仿宋" w:cs="仿宋"/>
          <w:sz w:val="24"/>
          <w:szCs w:val="24"/>
        </w:rPr>
        <w:t>±10%RH</w:t>
      </w:r>
    </w:p>
    <w:p w14:paraId="04792FC0">
      <w:pPr>
        <w:pageBreakBefore w:val="0"/>
        <w:kinsoku/>
        <w:wordWrap/>
        <w:topLinePunct w:val="0"/>
        <w:bidi w:val="0"/>
        <w:spacing w:line="360" w:lineRule="auto"/>
        <w:ind w:left="880" w:hanging="960" w:hangingChars="400"/>
        <w:rPr>
          <w:rFonts w:hint="eastAsia" w:ascii="仿宋" w:hAnsi="仿宋" w:eastAsia="仿宋" w:cs="仿宋"/>
          <w:sz w:val="24"/>
          <w:szCs w:val="24"/>
        </w:rPr>
      </w:pPr>
      <w:r>
        <w:rPr>
          <w:rFonts w:hint="eastAsia" w:ascii="仿宋" w:hAnsi="仿宋" w:eastAsia="仿宋" w:cs="仿宋"/>
          <w:sz w:val="24"/>
          <w:szCs w:val="24"/>
        </w:rPr>
        <w:t>重量显示精度: ±1% （配置称重装置时）</w:t>
      </w:r>
    </w:p>
    <w:p w14:paraId="606D64F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床面上有效表面内的胆红素总辐照度均匀性：≥0.4</w:t>
      </w:r>
    </w:p>
    <w:p w14:paraId="520290D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采用低噪音的无刷直流电机</w:t>
      </w:r>
    </w:p>
    <w:p w14:paraId="0DDD7206">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上黄疸治疗装置：</w:t>
      </w:r>
    </w:p>
    <w:p w14:paraId="75F5C9F9">
      <w:pPr>
        <w:pageBreakBefore w:val="0"/>
        <w:kinsoku/>
        <w:wordWrap/>
        <w:topLinePunct w:val="0"/>
        <w:bidi w:val="0"/>
        <w:spacing w:line="360" w:lineRule="auto"/>
        <w:rPr>
          <w:rFonts w:hint="eastAsia" w:ascii="仿宋" w:hAnsi="仿宋" w:eastAsia="仿宋" w:cs="仿宋"/>
          <w:bCs/>
          <w:sz w:val="24"/>
          <w:szCs w:val="24"/>
          <w:vertAlign w:val="superscript"/>
        </w:rPr>
      </w:pPr>
      <w:r>
        <w:rPr>
          <w:rFonts w:hint="eastAsia" w:ascii="仿宋" w:hAnsi="仿宋" w:eastAsia="仿宋" w:cs="仿宋"/>
          <w:sz w:val="24"/>
          <w:szCs w:val="24"/>
        </w:rPr>
        <w:t>床面上有效表面内的总辐照度：≥0.6m</w:t>
      </w:r>
      <w:r>
        <w:rPr>
          <w:rFonts w:hint="eastAsia" w:ascii="仿宋" w:hAnsi="仿宋" w:eastAsia="仿宋" w:cs="仿宋"/>
          <w:bCs/>
          <w:sz w:val="24"/>
          <w:szCs w:val="24"/>
        </w:rPr>
        <w:t>W/cm</w:t>
      </w:r>
      <w:r>
        <w:rPr>
          <w:rFonts w:hint="eastAsia" w:ascii="仿宋" w:hAnsi="仿宋" w:eastAsia="仿宋" w:cs="仿宋"/>
          <w:bCs/>
          <w:sz w:val="24"/>
          <w:szCs w:val="24"/>
          <w:vertAlign w:val="superscript"/>
        </w:rPr>
        <w:t>2</w:t>
      </w:r>
      <w:r>
        <w:rPr>
          <w:rFonts w:hint="eastAsia" w:ascii="仿宋" w:hAnsi="仿宋" w:eastAsia="仿宋" w:cs="仿宋"/>
          <w:sz w:val="24"/>
          <w:szCs w:val="24"/>
        </w:rPr>
        <w:t>（光源为灯管）</w:t>
      </w:r>
    </w:p>
    <w:p w14:paraId="27569B65">
      <w:pPr>
        <w:pageBreakBefore w:val="0"/>
        <w:kinsoku/>
        <w:wordWrap/>
        <w:topLinePunct w:val="0"/>
        <w:bidi w:val="0"/>
        <w:spacing w:line="360" w:lineRule="auto"/>
        <w:rPr>
          <w:rFonts w:hint="eastAsia" w:ascii="仿宋" w:hAnsi="仿宋" w:eastAsia="仿宋" w:cs="仿宋"/>
          <w:bCs/>
          <w:sz w:val="24"/>
          <w:szCs w:val="24"/>
          <w:vertAlign w:val="superscript"/>
        </w:rPr>
      </w:pPr>
      <w:r>
        <w:rPr>
          <w:rFonts w:hint="eastAsia" w:ascii="仿宋" w:hAnsi="仿宋" w:eastAsia="仿宋" w:cs="仿宋"/>
          <w:sz w:val="24"/>
          <w:szCs w:val="24"/>
        </w:rPr>
        <w:t xml:space="preserve">                      　　　≥1.7mW/cm</w:t>
      </w:r>
      <w:r>
        <w:rPr>
          <w:rFonts w:hint="eastAsia" w:ascii="仿宋" w:hAnsi="仿宋" w:eastAsia="仿宋" w:cs="仿宋"/>
          <w:sz w:val="24"/>
          <w:szCs w:val="24"/>
          <w:vertAlign w:val="superscript"/>
        </w:rPr>
        <w:t>2</w:t>
      </w:r>
      <w:r>
        <w:rPr>
          <w:rFonts w:hint="eastAsia" w:ascii="仿宋" w:hAnsi="仿宋" w:eastAsia="仿宋" w:cs="仿宋"/>
          <w:sz w:val="24"/>
          <w:szCs w:val="24"/>
        </w:rPr>
        <w:t>（光源为LED）</w:t>
      </w:r>
    </w:p>
    <w:p w14:paraId="62E2AB76">
      <w:pPr>
        <w:pageBreakBefore w:val="0"/>
        <w:kinsoku/>
        <w:wordWrap/>
        <w:topLinePunct w:val="0"/>
        <w:bidi w:val="0"/>
        <w:spacing w:line="360" w:lineRule="auto"/>
        <w:rPr>
          <w:rFonts w:hint="eastAsia" w:ascii="仿宋" w:hAnsi="仿宋" w:eastAsia="仿宋" w:cs="仿宋"/>
          <w:bCs/>
          <w:sz w:val="24"/>
          <w:szCs w:val="24"/>
          <w:vertAlign w:val="superscript"/>
        </w:rPr>
      </w:pPr>
      <w:r>
        <w:rPr>
          <w:rFonts w:hint="eastAsia" w:ascii="仿宋" w:hAnsi="仿宋" w:eastAsia="仿宋" w:cs="仿宋"/>
          <w:sz w:val="24"/>
          <w:szCs w:val="24"/>
        </w:rPr>
        <w:t>床面上有效表面内的胆红素总辐照度平均值：≥0.64mW/cm</w:t>
      </w:r>
      <w:r>
        <w:rPr>
          <w:rFonts w:hint="eastAsia" w:ascii="仿宋" w:hAnsi="仿宋" w:eastAsia="仿宋" w:cs="仿宋"/>
          <w:sz w:val="24"/>
          <w:szCs w:val="24"/>
          <w:vertAlign w:val="superscript"/>
        </w:rPr>
        <w:t>2</w:t>
      </w:r>
      <w:r>
        <w:rPr>
          <w:rFonts w:hint="eastAsia" w:ascii="仿宋" w:hAnsi="仿宋" w:eastAsia="仿宋" w:cs="仿宋"/>
          <w:sz w:val="24"/>
          <w:szCs w:val="24"/>
        </w:rPr>
        <w:t>（光源为灯管）</w:t>
      </w:r>
    </w:p>
    <w:p w14:paraId="3A34564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≥1.3mW/cm</w:t>
      </w:r>
      <w:r>
        <w:rPr>
          <w:rFonts w:hint="eastAsia" w:ascii="仿宋" w:hAnsi="仿宋" w:eastAsia="仿宋" w:cs="仿宋"/>
          <w:sz w:val="24"/>
          <w:szCs w:val="24"/>
          <w:vertAlign w:val="superscript"/>
        </w:rPr>
        <w:t xml:space="preserve">2  </w:t>
      </w:r>
      <w:r>
        <w:rPr>
          <w:rFonts w:hint="eastAsia" w:ascii="仿宋" w:hAnsi="仿宋" w:eastAsia="仿宋" w:cs="仿宋"/>
          <w:sz w:val="24"/>
          <w:szCs w:val="24"/>
        </w:rPr>
        <w:t>（光源为LED）</w:t>
      </w:r>
    </w:p>
    <w:p w14:paraId="6E590859">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sz w:val="24"/>
          <w:szCs w:val="24"/>
        </w:rPr>
        <w:t>有效表面内的最高胆红素总辐照度：≥1.1 mW/cm</w:t>
      </w:r>
      <w:r>
        <w:rPr>
          <w:rFonts w:hint="eastAsia" w:ascii="仿宋" w:hAnsi="仿宋" w:eastAsia="仿宋" w:cs="仿宋"/>
          <w:sz w:val="24"/>
          <w:szCs w:val="24"/>
          <w:vertAlign w:val="superscript"/>
        </w:rPr>
        <w:t>2</w:t>
      </w:r>
      <w:r>
        <w:rPr>
          <w:rFonts w:hint="eastAsia" w:ascii="仿宋" w:hAnsi="仿宋" w:eastAsia="仿宋" w:cs="仿宋"/>
          <w:sz w:val="24"/>
          <w:szCs w:val="24"/>
        </w:rPr>
        <w:t>（光源为灯管）</w:t>
      </w:r>
    </w:p>
    <w:p w14:paraId="66F0EA0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 3.5mW/cm</w:t>
      </w:r>
      <w:r>
        <w:rPr>
          <w:rFonts w:hint="eastAsia" w:ascii="仿宋" w:hAnsi="仿宋" w:eastAsia="仿宋" w:cs="仿宋"/>
          <w:sz w:val="24"/>
          <w:szCs w:val="24"/>
          <w:vertAlign w:val="superscript"/>
        </w:rPr>
        <w:t xml:space="preserve">2  </w:t>
      </w:r>
      <w:r>
        <w:rPr>
          <w:rFonts w:hint="eastAsia" w:ascii="仿宋" w:hAnsi="仿宋" w:eastAsia="仿宋" w:cs="仿宋"/>
          <w:sz w:val="24"/>
          <w:szCs w:val="24"/>
        </w:rPr>
        <w:t>（光源为LED）</w:t>
      </w:r>
    </w:p>
    <w:p w14:paraId="7DD09A73">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下黄疸治疗装置：</w:t>
      </w:r>
    </w:p>
    <w:p w14:paraId="432ED525">
      <w:pPr>
        <w:pageBreakBefore w:val="0"/>
        <w:kinsoku/>
        <w:wordWrap/>
        <w:topLinePunct w:val="0"/>
        <w:bidi w:val="0"/>
        <w:spacing w:line="360" w:lineRule="auto"/>
        <w:rPr>
          <w:rFonts w:hint="eastAsia" w:ascii="仿宋" w:hAnsi="仿宋" w:eastAsia="仿宋" w:cs="仿宋"/>
          <w:bCs/>
          <w:sz w:val="24"/>
          <w:szCs w:val="24"/>
          <w:vertAlign w:val="superscript"/>
        </w:rPr>
      </w:pPr>
      <w:r>
        <w:rPr>
          <w:rFonts w:hint="eastAsia" w:ascii="仿宋" w:hAnsi="仿宋" w:eastAsia="仿宋" w:cs="仿宋"/>
          <w:sz w:val="24"/>
          <w:szCs w:val="24"/>
        </w:rPr>
        <w:t>床面上有效表面内的总辐照度：≥0.8m</w:t>
      </w:r>
      <w:r>
        <w:rPr>
          <w:rFonts w:hint="eastAsia" w:ascii="仿宋" w:hAnsi="仿宋" w:eastAsia="仿宋" w:cs="仿宋"/>
          <w:bCs/>
          <w:sz w:val="24"/>
          <w:szCs w:val="24"/>
        </w:rPr>
        <w:t>W/</w:t>
      </w:r>
      <w:r>
        <w:rPr>
          <w:rFonts w:hint="eastAsia" w:ascii="仿宋" w:hAnsi="仿宋" w:eastAsia="仿宋" w:cs="仿宋"/>
          <w:sz w:val="24"/>
          <w:szCs w:val="24"/>
        </w:rPr>
        <w:t>cm</w:t>
      </w:r>
      <w:r>
        <w:rPr>
          <w:rFonts w:hint="eastAsia" w:ascii="仿宋" w:hAnsi="仿宋" w:eastAsia="仿宋" w:cs="仿宋"/>
          <w:sz w:val="24"/>
          <w:szCs w:val="24"/>
          <w:vertAlign w:val="superscript"/>
        </w:rPr>
        <w:t>2</w:t>
      </w:r>
      <w:r>
        <w:rPr>
          <w:rFonts w:hint="eastAsia" w:ascii="仿宋" w:hAnsi="仿宋" w:eastAsia="仿宋" w:cs="仿宋"/>
          <w:sz w:val="24"/>
          <w:szCs w:val="24"/>
        </w:rPr>
        <w:t>（光源为LED）</w:t>
      </w:r>
    </w:p>
    <w:p w14:paraId="534FB1C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床面上有效表面内的胆红素总辐照度平均值：≥0.8mW/cm</w:t>
      </w:r>
      <w:r>
        <w:rPr>
          <w:rFonts w:hint="eastAsia" w:ascii="仿宋" w:hAnsi="仿宋" w:eastAsia="仿宋" w:cs="仿宋"/>
          <w:sz w:val="24"/>
          <w:szCs w:val="24"/>
          <w:vertAlign w:val="superscript"/>
        </w:rPr>
        <w:t>2</w:t>
      </w:r>
      <w:r>
        <w:rPr>
          <w:rFonts w:hint="eastAsia" w:ascii="仿宋" w:hAnsi="仿宋" w:eastAsia="仿宋" w:cs="仿宋"/>
          <w:sz w:val="24"/>
          <w:szCs w:val="24"/>
        </w:rPr>
        <w:t>（光源为LED）</w:t>
      </w:r>
    </w:p>
    <w:p w14:paraId="284928B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有效表面内的最高胆红素总辐照度：≥1.3m</w:t>
      </w:r>
      <w:r>
        <w:rPr>
          <w:rFonts w:hint="eastAsia" w:ascii="仿宋" w:hAnsi="仿宋" w:eastAsia="仿宋" w:cs="仿宋"/>
          <w:bCs/>
          <w:sz w:val="24"/>
          <w:szCs w:val="24"/>
        </w:rPr>
        <w:t>W/cm</w:t>
      </w:r>
      <w:r>
        <w:rPr>
          <w:rFonts w:hint="eastAsia" w:ascii="仿宋" w:hAnsi="仿宋" w:eastAsia="仿宋" w:cs="仿宋"/>
          <w:bCs/>
          <w:sz w:val="24"/>
          <w:szCs w:val="24"/>
          <w:vertAlign w:val="superscript"/>
        </w:rPr>
        <w:t>2</w:t>
      </w:r>
      <w:r>
        <w:rPr>
          <w:rFonts w:hint="eastAsia" w:ascii="仿宋" w:hAnsi="仿宋" w:eastAsia="仿宋" w:cs="仿宋"/>
          <w:sz w:val="24"/>
          <w:szCs w:val="24"/>
        </w:rPr>
        <w:t>（光源为LED）</w:t>
      </w:r>
    </w:p>
    <w:p w14:paraId="2A0BD4DF">
      <w:pPr>
        <w:pStyle w:val="39"/>
        <w:pageBreakBefore w:val="0"/>
        <w:kinsoku/>
        <w:wordWrap/>
        <w:topLinePunct w:val="0"/>
        <w:bidi w:val="0"/>
        <w:spacing w:line="360" w:lineRule="auto"/>
        <w:ind w:left="210" w:firstLine="0" w:firstLineChars="0"/>
        <w:rPr>
          <w:rFonts w:hint="eastAsia" w:ascii="仿宋" w:hAnsi="仿宋" w:eastAsia="仿宋" w:cs="仿宋"/>
        </w:rPr>
      </w:pPr>
    </w:p>
    <w:p w14:paraId="3A5929E8">
      <w:pPr>
        <w:pageBreakBefore w:val="0"/>
        <w:widowControl/>
        <w:kinsoku/>
        <w:wordWrap/>
        <w:topLinePunct w:val="0"/>
        <w:autoSpaceDN w:val="0"/>
        <w:bidi w:val="0"/>
        <w:spacing w:line="360" w:lineRule="auto"/>
        <w:rPr>
          <w:rFonts w:hint="eastAsia" w:ascii="仿宋" w:hAnsi="仿宋" w:eastAsia="仿宋" w:cs="仿宋"/>
          <w:bCs/>
          <w:sz w:val="30"/>
          <w:szCs w:val="30"/>
        </w:rPr>
      </w:pPr>
    </w:p>
    <w:p w14:paraId="12C519A0">
      <w:pPr>
        <w:pageBreakBefore w:val="0"/>
        <w:widowControl/>
        <w:kinsoku/>
        <w:wordWrap/>
        <w:topLinePunct w:val="0"/>
        <w:autoSpaceDN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三</w:t>
      </w:r>
      <w:r>
        <w:rPr>
          <w:rFonts w:hint="eastAsia" w:ascii="仿宋" w:hAnsi="仿宋" w:eastAsia="仿宋" w:cs="仿宋"/>
          <w:bCs/>
          <w:sz w:val="30"/>
          <w:szCs w:val="30"/>
        </w:rPr>
        <w:t>：</w:t>
      </w:r>
    </w:p>
    <w:p w14:paraId="6FEBDA31">
      <w:pPr>
        <w:pageBreakBefore w:val="0"/>
        <w:widowControl/>
        <w:kinsoku/>
        <w:wordWrap/>
        <w:topLinePunct w:val="0"/>
        <w:autoSpaceDN w:val="0"/>
        <w:bidi w:val="0"/>
        <w:spacing w:line="360" w:lineRule="auto"/>
        <w:ind w:firstLine="1200" w:firstLineChars="400"/>
        <w:rPr>
          <w:rFonts w:hint="eastAsia" w:ascii="仿宋" w:hAnsi="仿宋" w:eastAsia="仿宋" w:cs="仿宋"/>
          <w:bCs/>
          <w:sz w:val="30"/>
          <w:szCs w:val="30"/>
        </w:rPr>
      </w:pPr>
    </w:p>
    <w:p w14:paraId="409F493A">
      <w:pPr>
        <w:pageBreakBefore w:val="0"/>
        <w:widowControl/>
        <w:kinsoku/>
        <w:wordWrap/>
        <w:topLinePunct w:val="0"/>
        <w:autoSpaceDN w:val="0"/>
        <w:bidi w:val="0"/>
        <w:spacing w:line="360" w:lineRule="auto"/>
        <w:ind w:firstLine="1920" w:firstLineChars="600"/>
        <w:rPr>
          <w:rFonts w:hint="eastAsia" w:ascii="仿宋" w:hAnsi="仿宋" w:eastAsia="仿宋" w:cs="仿宋"/>
          <w:b/>
          <w:bCs/>
          <w:sz w:val="32"/>
          <w:szCs w:val="32"/>
          <w:shd w:val="clear" w:color="auto" w:fill="FFFFFF"/>
        </w:rPr>
      </w:pPr>
      <w:r>
        <w:rPr>
          <w:rFonts w:hint="eastAsia" w:ascii="仿宋" w:hAnsi="仿宋" w:eastAsia="仿宋" w:cs="仿宋"/>
          <w:b/>
          <w:sz w:val="32"/>
          <w:szCs w:val="32"/>
        </w:rPr>
        <w:t>婴儿辐射保暖台+T组合技术参数</w:t>
      </w:r>
    </w:p>
    <w:p w14:paraId="168BC627">
      <w:pPr>
        <w:pageBreakBefore w:val="0"/>
        <w:numPr>
          <w:ilvl w:val="0"/>
          <w:numId w:val="7"/>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基本配置：</w:t>
      </w:r>
      <w:r>
        <w:rPr>
          <w:rFonts w:hint="eastAsia" w:ascii="仿宋" w:hAnsi="仿宋" w:eastAsia="仿宋" w:cs="仿宋"/>
          <w:sz w:val="24"/>
          <w:szCs w:val="24"/>
        </w:rPr>
        <w:br w:type="textWrapping"/>
      </w:r>
      <w:r>
        <w:rPr>
          <w:rFonts w:hint="eastAsia" w:ascii="仿宋" w:hAnsi="仿宋" w:eastAsia="仿宋" w:cs="仿宋"/>
          <w:sz w:val="24"/>
          <w:szCs w:val="24"/>
        </w:rPr>
        <w:t>l.配备；辐射箱、控制仪、皮肤温度传感器、婴儿床、托盘、输液架、机架、储物抽屉、T组合复苏装置、空氧混合装置。</w:t>
      </w:r>
      <w:r>
        <w:rPr>
          <w:rFonts w:hint="eastAsia" w:ascii="仿宋" w:hAnsi="仿宋" w:eastAsia="仿宋" w:cs="仿宋"/>
          <w:sz w:val="24"/>
          <w:szCs w:val="24"/>
        </w:rPr>
        <w:br w:type="textWrapping"/>
      </w:r>
      <w:r>
        <w:rPr>
          <w:rFonts w:hint="eastAsia" w:ascii="仿宋" w:hAnsi="仿宋" w:eastAsia="仿宋" w:cs="仿宋"/>
          <w:sz w:val="24"/>
          <w:szCs w:val="24"/>
        </w:rPr>
        <w:t>2.配备；Sp0z脉搏血氧监测装置、称重系统、负压吸引装置。</w:t>
      </w:r>
    </w:p>
    <w:p w14:paraId="795B2C19">
      <w:pPr>
        <w:pageBreakBefore w:val="0"/>
        <w:numPr>
          <w:ilvl w:val="0"/>
          <w:numId w:val="7"/>
        </w:numPr>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产品主要功能、技术参数及要求：</w:t>
      </w:r>
    </w:p>
    <w:p w14:paraId="7374DAE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1、温度控制模式：预热模式、手控模式和肤温模式；</w:t>
      </w:r>
    </w:p>
    <w:p w14:paraId="2ED4F3A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2、肤温模式下控制温度范围：32℃～37.5℃；</w:t>
      </w:r>
    </w:p>
    <w:p w14:paraId="689EC41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3、肤温模式的温度显示范围：5℃～65℃；</w:t>
      </w:r>
    </w:p>
    <w:p w14:paraId="7957EF2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4、皮肤温度传感器测得的温度与控制温度之差：≤ 0.5℃；</w:t>
      </w:r>
    </w:p>
    <w:p w14:paraId="175534A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5、床面温度均匀性：≤ 2℃；</w:t>
      </w:r>
    </w:p>
    <w:p w14:paraId="5BCE670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6、皮肤温度传感器精度：≤±0.2℃内；</w:t>
      </w:r>
    </w:p>
    <w:p w14:paraId="3A1703D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7、脉搏血氧性能指标：</w:t>
      </w:r>
    </w:p>
    <w:p w14:paraId="3A13E75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SpO₂显示范围：1%～100%</w:t>
      </w:r>
    </w:p>
    <w:p w14:paraId="6042075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SpO₂显示分辨度：1%</w:t>
      </w:r>
    </w:p>
    <w:p w14:paraId="6E2556F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SpO₂测量精度：在 70%～100%内，无体动状态下：±3%</w:t>
      </w:r>
    </w:p>
    <w:p w14:paraId="35B5DB7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SpO₂报警上限设置范围：50%～100%</w:t>
      </w:r>
    </w:p>
    <w:p w14:paraId="1CB100B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SpO₂报警下限设置范围：45%～95%</w:t>
      </w:r>
    </w:p>
    <w:p w14:paraId="11FD0C0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PR 显示范围：25bpm～240bpm</w:t>
      </w:r>
    </w:p>
    <w:p w14:paraId="20B9F16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PR显示分辨度：1bpm</w:t>
      </w:r>
    </w:p>
    <w:p w14:paraId="3B55683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PR 测量精度：在30bpm～240bpm内，无体动状态下：±3 bpm</w:t>
      </w:r>
    </w:p>
    <w:p w14:paraId="0F75CBE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PR 报警上限设置范围：80bpm～240bpm</w:t>
      </w:r>
    </w:p>
    <w:p w14:paraId="06B210D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PR 报警下限设置范围：35bpm～180bpm</w:t>
      </w:r>
    </w:p>
    <w:p w14:paraId="2E800AB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PI 显示范围：0.02%～20.00%</w:t>
      </w:r>
    </w:p>
    <w:p w14:paraId="6C097CA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PI 显示分辨率：0.01% </w:t>
      </w:r>
    </w:p>
    <w:p w14:paraId="77C8AC5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灵敏度设置</w:t>
      </w:r>
    </w:p>
    <w:p w14:paraId="674B07D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FastSAT功能</w:t>
      </w:r>
    </w:p>
    <w:p w14:paraId="33FE77C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平均化时间：2s～4s、4s～6s、8s、10s、12s、14s、16s，预设为8s；</w:t>
      </w:r>
    </w:p>
    <w:p w14:paraId="438CE03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8、报警项目：断电报警，传感器报警，偏差报警，超温报警，设置报警、检查报警、系统报警，血氧报警，SpO₂上限报警、SpO₂下限报警，脉搏上限报警、脉搏下限报警，系统提示；</w:t>
      </w:r>
    </w:p>
    <w:p w14:paraId="0BC62E7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9、重量显示精度：±1%内，重量显示范围：200g～8000g；</w:t>
      </w:r>
    </w:p>
    <w:p w14:paraId="24A33CE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10、黄疸治疗装置：</w:t>
      </w:r>
    </w:p>
    <w:p w14:paraId="68E2D2D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10.1床面上有效表面内的总辐照度：≥1.5mW/cm2</w:t>
      </w:r>
    </w:p>
    <w:p w14:paraId="743FCE9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10.2床面上有效表面内的胆红素总辐照度平均值：≥1.2mW/cm2</w:t>
      </w:r>
    </w:p>
    <w:p w14:paraId="48BFED6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10.3床面上有效表面内的胆红素总辐照度均匀性：＞0.4</w:t>
      </w:r>
    </w:p>
    <w:p w14:paraId="1C9ABCD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10.4黄疸治疗装置的光源为LED,使用期限≥50000小时；</w:t>
      </w:r>
    </w:p>
    <w:p w14:paraId="4590A9E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11、负压吸引装置：负压调节范围：0kPa～22kPa，储液瓶容量为 1000ml，气流流量≥ 20L/min；</w:t>
      </w:r>
    </w:p>
    <w:p w14:paraId="70600AC8">
      <w:pPr>
        <w:pageBreakBefore w:val="0"/>
        <w:kinsoku/>
        <w:wordWrap/>
        <w:topLinePunct w:val="0"/>
        <w:bidi w:val="0"/>
        <w:spacing w:line="360" w:lineRule="auto"/>
        <w:rPr>
          <w:rFonts w:hint="eastAsia" w:ascii="仿宋" w:hAnsi="仿宋" w:eastAsia="仿宋" w:cs="仿宋"/>
          <w:sz w:val="24"/>
          <w:szCs w:val="24"/>
          <w:lang w:eastAsia="zh-TW"/>
        </w:rPr>
      </w:pPr>
      <w:r>
        <w:rPr>
          <w:rFonts w:hint="eastAsia" w:ascii="仿宋" w:hAnsi="仿宋" w:eastAsia="仿宋" w:cs="仿宋"/>
          <w:sz w:val="24"/>
          <w:szCs w:val="24"/>
          <w:lang w:eastAsia="zh-TW"/>
        </w:rPr>
        <w:t>1</w:t>
      </w:r>
      <w:r>
        <w:rPr>
          <w:rFonts w:hint="eastAsia" w:ascii="仿宋" w:hAnsi="仿宋" w:eastAsia="仿宋" w:cs="仿宋"/>
          <w:sz w:val="24"/>
          <w:szCs w:val="24"/>
        </w:rPr>
        <w:t>2</w:t>
      </w:r>
      <w:r>
        <w:rPr>
          <w:rFonts w:hint="eastAsia" w:ascii="仿宋" w:hAnsi="仿宋" w:eastAsia="仿宋" w:cs="仿宋"/>
          <w:sz w:val="24"/>
          <w:szCs w:val="24"/>
          <w:lang w:eastAsia="zh-TW"/>
        </w:rPr>
        <w:t>、</w:t>
      </w:r>
      <w:r>
        <w:rPr>
          <w:rFonts w:hint="eastAsia" w:ascii="仿宋" w:hAnsi="仿宋" w:eastAsia="仿宋" w:cs="仿宋"/>
          <w:sz w:val="24"/>
          <w:szCs w:val="24"/>
        </w:rPr>
        <w:t>≥</w:t>
      </w:r>
      <w:r>
        <w:rPr>
          <w:rFonts w:hint="eastAsia" w:ascii="仿宋" w:hAnsi="仿宋" w:eastAsia="仿宋" w:cs="仿宋"/>
          <w:sz w:val="24"/>
          <w:szCs w:val="24"/>
          <w:lang w:eastAsia="zh-TW"/>
        </w:rPr>
        <w:t>8吋LCD彩色触摸屏；</w:t>
      </w:r>
    </w:p>
    <w:p w14:paraId="244FFA9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13、MasimoSpO₂脉搏血氧监测功能，可进行新生儿危重先天性心脏病（CCHD）早期筛查，在低灌注和体动状态下可有效测量血氧脉搏；</w:t>
      </w:r>
    </w:p>
    <w:p w14:paraId="53AE64E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14、辐射箱水平角度可调，方便临床护理；</w:t>
      </w:r>
    </w:p>
    <w:p w14:paraId="5230C63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15、婴儿床四周的有机玻璃挡板可向下翻转或拆卸；</w:t>
      </w:r>
    </w:p>
    <w:p w14:paraId="2005272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16、可折叠托盘，方便收起，无需拆卸；</w:t>
      </w:r>
    </w:p>
    <w:p w14:paraId="0445687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17、超温保护系统，多种故障报警提示，提供多重安全防护；</w:t>
      </w:r>
    </w:p>
    <w:p w14:paraId="0E3B8E1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18、内置称重系统，便捷测量患儿体重，监测体重趋势变化；</w:t>
      </w:r>
    </w:p>
    <w:p w14:paraId="717950D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19、RS-232接口，支持数据传输，具有数据储存功能；</w:t>
      </w:r>
    </w:p>
    <w:p w14:paraId="67D4AA1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20、APGAR 评分：运行到 50 秒～1 分钟、 4 分 50 秒～5 分钟、9 分 50 秒～10 分钟时发出声光提示。</w:t>
      </w:r>
    </w:p>
    <w:p w14:paraId="467A6412">
      <w:pPr>
        <w:pStyle w:val="39"/>
        <w:pageBreakBefore w:val="0"/>
        <w:kinsoku/>
        <w:wordWrap/>
        <w:topLinePunct w:val="0"/>
        <w:bidi w:val="0"/>
        <w:spacing w:line="360" w:lineRule="auto"/>
        <w:ind w:left="210" w:firstLine="0" w:firstLineChars="0"/>
        <w:rPr>
          <w:rFonts w:hint="eastAsia" w:ascii="仿宋" w:hAnsi="仿宋" w:eastAsia="仿宋" w:cs="仿宋"/>
        </w:rPr>
      </w:pPr>
    </w:p>
    <w:p w14:paraId="0E3F4CA8">
      <w:pPr>
        <w:pStyle w:val="39"/>
        <w:pageBreakBefore w:val="0"/>
        <w:kinsoku/>
        <w:wordWrap/>
        <w:topLinePunct w:val="0"/>
        <w:bidi w:val="0"/>
        <w:spacing w:line="360" w:lineRule="auto"/>
        <w:ind w:firstLine="0" w:firstLineChars="0"/>
        <w:rPr>
          <w:rFonts w:hint="eastAsia" w:ascii="仿宋" w:hAnsi="仿宋" w:eastAsia="仿宋" w:cs="仿宋"/>
        </w:rPr>
      </w:pPr>
    </w:p>
    <w:p w14:paraId="185E89BC">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四</w:t>
      </w:r>
      <w:r>
        <w:rPr>
          <w:rFonts w:hint="eastAsia" w:ascii="仿宋" w:hAnsi="仿宋" w:eastAsia="仿宋" w:cs="仿宋"/>
          <w:bCs/>
          <w:sz w:val="30"/>
          <w:szCs w:val="30"/>
        </w:rPr>
        <w:t>：</w:t>
      </w:r>
    </w:p>
    <w:p w14:paraId="2B4A71EC">
      <w:pPr>
        <w:pageBreakBefore w:val="0"/>
        <w:widowControl/>
        <w:kinsoku/>
        <w:wordWrap/>
        <w:topLinePunct w:val="0"/>
        <w:autoSpaceDN w:val="0"/>
        <w:bidi w:val="0"/>
        <w:spacing w:line="360" w:lineRule="auto"/>
        <w:ind w:firstLine="2880" w:firstLineChars="900"/>
        <w:rPr>
          <w:rFonts w:hint="eastAsia" w:ascii="仿宋" w:hAnsi="仿宋" w:eastAsia="仿宋" w:cs="仿宋"/>
          <w:b/>
          <w:bCs/>
          <w:sz w:val="36"/>
          <w:szCs w:val="36"/>
          <w:shd w:val="clear" w:color="auto" w:fill="FFFFFF"/>
        </w:rPr>
      </w:pPr>
      <w:r>
        <w:rPr>
          <w:rFonts w:hint="eastAsia" w:ascii="仿宋" w:hAnsi="仿宋" w:eastAsia="仿宋" w:cs="仿宋"/>
          <w:b/>
          <w:sz w:val="32"/>
          <w:szCs w:val="32"/>
        </w:rPr>
        <w:t>多功能产床技术参数</w:t>
      </w:r>
    </w:p>
    <w:p w14:paraId="4C24B609">
      <w:pPr>
        <w:pageBreakBefore w:val="0"/>
        <w:widowControl/>
        <w:kinsoku/>
        <w:wordWrap/>
        <w:topLinePunct w:val="0"/>
        <w:bidi w:val="0"/>
        <w:spacing w:line="360" w:lineRule="auto"/>
        <w:rPr>
          <w:rFonts w:hint="eastAsia" w:ascii="仿宋" w:hAnsi="仿宋" w:eastAsia="仿宋" w:cs="仿宋"/>
          <w:sz w:val="24"/>
        </w:rPr>
      </w:pPr>
    </w:p>
    <w:p w14:paraId="77D035BF">
      <w:pPr>
        <w:pageBreakBefore w:val="0"/>
        <w:widowControl/>
        <w:numPr>
          <w:ilvl w:val="0"/>
          <w:numId w:val="8"/>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整体升降和背板升降采用电控液压驱动。</w:t>
      </w:r>
      <w:r>
        <w:rPr>
          <w:rFonts w:hint="eastAsia" w:ascii="仿宋" w:hAnsi="仿宋" w:eastAsia="仿宋" w:cs="仿宋"/>
          <w:sz w:val="24"/>
          <w:szCs w:val="24"/>
        </w:rPr>
        <w:br w:type="textWrapping"/>
      </w:r>
      <w:r>
        <w:rPr>
          <w:rFonts w:hint="eastAsia" w:ascii="仿宋" w:hAnsi="仿宋" w:eastAsia="仿宋" w:cs="仿宋"/>
          <w:sz w:val="24"/>
          <w:szCs w:val="24"/>
        </w:rPr>
        <w:t>2、产床配有手持式、脚踏式并连操作开关，可顺利地完成从病床到分娩台的自动转变过程。</w:t>
      </w:r>
      <w:r>
        <w:rPr>
          <w:rFonts w:hint="eastAsia" w:ascii="仿宋" w:hAnsi="仿宋" w:eastAsia="仿宋" w:cs="仿宋"/>
          <w:sz w:val="24"/>
          <w:szCs w:val="24"/>
        </w:rPr>
        <w:br w:type="textWrapping"/>
      </w:r>
      <w:r>
        <w:rPr>
          <w:rFonts w:hint="eastAsia" w:ascii="仿宋" w:hAnsi="仿宋" w:eastAsia="仿宋" w:cs="仿宋"/>
          <w:sz w:val="24"/>
          <w:szCs w:val="24"/>
        </w:rPr>
        <w:t>3、脚踝托部可根据产妇状态及分娩状态分别可左右自动开闭，也可单独左分和右分，便于左右侧位接生，靠背、脚托部可根据分娩方式进行前后调节角度，坐板设有独立的上翘、后倾功能和脚踏开关，可适用于仰卧位、坐位、侧卧位、半卧位、蹲位、匍匐位等多种体位的分娩方式。</w:t>
      </w:r>
      <w:r>
        <w:rPr>
          <w:rFonts w:hint="eastAsia" w:ascii="仿宋" w:hAnsi="仿宋" w:eastAsia="仿宋" w:cs="仿宋"/>
          <w:sz w:val="24"/>
          <w:szCs w:val="24"/>
        </w:rPr>
        <w:br w:type="textWrapping"/>
      </w:r>
      <w:r>
        <w:rPr>
          <w:rFonts w:hint="eastAsia" w:ascii="仿宋" w:hAnsi="仿宋" w:eastAsia="仿宋" w:cs="仿宋"/>
          <w:sz w:val="24"/>
          <w:szCs w:val="24"/>
        </w:rPr>
        <w:t>4、预防产妇分娩中和病症的发生抢救方便，产床带一键自动下降复位功能（头低脚高位的心肺复苏急救位功能）。</w:t>
      </w:r>
      <w:r>
        <w:rPr>
          <w:rFonts w:hint="eastAsia" w:ascii="仿宋" w:hAnsi="仿宋" w:eastAsia="仿宋" w:cs="仿宋"/>
          <w:sz w:val="24"/>
          <w:szCs w:val="24"/>
        </w:rPr>
        <w:br w:type="textWrapping"/>
      </w:r>
      <w:r>
        <w:rPr>
          <w:rFonts w:hint="eastAsia" w:ascii="仿宋" w:hAnsi="仿宋" w:eastAsia="仿宋" w:cs="仿宋"/>
          <w:sz w:val="24"/>
          <w:szCs w:val="24"/>
        </w:rPr>
        <w:t>5、床上还配有CD音响，可调节产妇的紧张心理。</w:t>
      </w:r>
      <w:r>
        <w:rPr>
          <w:rFonts w:hint="eastAsia" w:ascii="仿宋" w:hAnsi="仿宋" w:eastAsia="仿宋" w:cs="仿宋"/>
          <w:sz w:val="24"/>
          <w:szCs w:val="24"/>
        </w:rPr>
        <w:br w:type="textWrapping"/>
      </w:r>
      <w:r>
        <w:rPr>
          <w:rFonts w:hint="eastAsia" w:ascii="仿宋" w:hAnsi="仿宋" w:eastAsia="仿宋" w:cs="仿宋"/>
          <w:sz w:val="24"/>
          <w:szCs w:val="24"/>
        </w:rPr>
        <w:t>6、床底盘罩、升降柱外罩均采用工程塑料模具一次成型</w:t>
      </w:r>
    </w:p>
    <w:p w14:paraId="2C41DC9B">
      <w:pPr>
        <w:pageBreakBefore w:val="0"/>
        <w:widowControl/>
        <w:numPr>
          <w:ilvl w:val="0"/>
          <w:numId w:val="9"/>
        </w:numPr>
        <w:kinsoku/>
        <w:wordWrap/>
        <w:topLinePunct w:val="0"/>
        <w:bidi w:val="0"/>
        <w:spacing w:line="360" w:lineRule="auto"/>
        <w:rPr>
          <w:rFonts w:hint="eastAsia" w:ascii="仿宋" w:hAnsi="仿宋" w:eastAsia="仿宋" w:cs="仿宋"/>
          <w:sz w:val="22"/>
          <w:szCs w:val="22"/>
        </w:rPr>
      </w:pPr>
      <w:r>
        <w:rPr>
          <w:rFonts w:hint="eastAsia" w:ascii="仿宋" w:hAnsi="仿宋" w:eastAsia="仿宋" w:cs="仿宋"/>
          <w:sz w:val="24"/>
          <w:szCs w:val="24"/>
        </w:rPr>
        <w:t>整床床面为进口（PU）皮，经模具无缝一体成型，床面带有防水凹槽，防止羊水外泄，便于清洁，具有抗菌、抗污、抗耐磨、防臭等特点。</w:t>
      </w:r>
      <w:r>
        <w:rPr>
          <w:rFonts w:hint="eastAsia" w:ascii="仿宋" w:hAnsi="仿宋" w:eastAsia="仿宋" w:cs="仿宋"/>
          <w:sz w:val="24"/>
          <w:szCs w:val="24"/>
        </w:rPr>
        <w:br w:type="textWrapping"/>
      </w:r>
      <w:r>
        <w:rPr>
          <w:rFonts w:hint="eastAsia" w:ascii="仿宋" w:hAnsi="仿宋" w:eastAsia="仿宋" w:cs="仿宋"/>
          <w:sz w:val="24"/>
          <w:szCs w:val="24"/>
        </w:rPr>
        <w:t>8、床底座带有万向轮，可方便行走、锁定。</w:t>
      </w:r>
      <w:r>
        <w:rPr>
          <w:rFonts w:hint="eastAsia" w:ascii="仿宋" w:hAnsi="仿宋" w:eastAsia="仿宋" w:cs="仿宋"/>
          <w:sz w:val="24"/>
          <w:szCs w:val="24"/>
        </w:rPr>
        <w:br w:type="textWrapping"/>
      </w:r>
      <w:r>
        <w:rPr>
          <w:rFonts w:hint="eastAsia" w:ascii="仿宋" w:hAnsi="仿宋" w:eastAsia="仿宋" w:cs="仿宋"/>
          <w:sz w:val="24"/>
          <w:szCs w:val="24"/>
        </w:rPr>
        <w:t>9、主要电机及元器件、密封件、油泵均采用国外著名品牌，实行PLC控制以确保产床各运动部件和电器的可靠性。</w:t>
      </w:r>
      <w:r>
        <w:rPr>
          <w:rFonts w:hint="eastAsia" w:ascii="仿宋" w:hAnsi="仿宋" w:eastAsia="仿宋" w:cs="仿宋"/>
          <w:sz w:val="24"/>
          <w:szCs w:val="24"/>
        </w:rPr>
        <w:br w:type="textWrapping"/>
      </w:r>
      <w:r>
        <w:rPr>
          <w:rFonts w:hint="eastAsia" w:ascii="仿宋" w:hAnsi="仿宋" w:eastAsia="仿宋" w:cs="仿宋"/>
          <w:sz w:val="24"/>
          <w:szCs w:val="24"/>
        </w:rPr>
        <w:t>10、床面尺寸约长度1999mm宽度919mm</w:t>
      </w:r>
      <w:r>
        <w:rPr>
          <w:rFonts w:hint="eastAsia" w:ascii="仿宋" w:hAnsi="仿宋" w:eastAsia="仿宋" w:cs="仿宋"/>
          <w:sz w:val="24"/>
          <w:szCs w:val="24"/>
        </w:rPr>
        <w:br w:type="textWrapping"/>
      </w:r>
      <w:r>
        <w:rPr>
          <w:rFonts w:hint="eastAsia" w:ascii="仿宋" w:hAnsi="仿宋" w:eastAsia="仿宋" w:cs="仿宋"/>
          <w:sz w:val="24"/>
          <w:szCs w:val="24"/>
        </w:rPr>
        <w:t>11、辅助台尺寸：约长度500mm宽度540mm</w:t>
      </w:r>
      <w:r>
        <w:rPr>
          <w:rFonts w:hint="eastAsia" w:ascii="仿宋" w:hAnsi="仿宋" w:eastAsia="仿宋" w:cs="仿宋"/>
          <w:sz w:val="24"/>
          <w:szCs w:val="24"/>
        </w:rPr>
        <w:br w:type="textWrapping"/>
      </w:r>
      <w:r>
        <w:rPr>
          <w:rFonts w:hint="eastAsia" w:ascii="仿宋" w:hAnsi="仿宋" w:eastAsia="仿宋" w:cs="仿宋"/>
          <w:sz w:val="24"/>
          <w:szCs w:val="24"/>
        </w:rPr>
        <w:t>12、辅助台升降高度≥110mm（气动升降）</w:t>
      </w:r>
      <w:r>
        <w:rPr>
          <w:rFonts w:hint="eastAsia" w:ascii="仿宋" w:hAnsi="仿宋" w:eastAsia="仿宋" w:cs="仿宋"/>
          <w:sz w:val="24"/>
          <w:szCs w:val="24"/>
        </w:rPr>
        <w:br w:type="textWrapping"/>
      </w:r>
      <w:r>
        <w:rPr>
          <w:rFonts w:hint="eastAsia" w:ascii="仿宋" w:hAnsi="仿宋" w:eastAsia="仿宋" w:cs="仿宋"/>
          <w:sz w:val="24"/>
          <w:szCs w:val="24"/>
        </w:rPr>
        <w:t>13、床面高度：最低≤590mm最高≥1000mm</w:t>
      </w:r>
      <w:r>
        <w:rPr>
          <w:rFonts w:hint="eastAsia" w:ascii="仿宋" w:hAnsi="仿宋" w:eastAsia="仿宋" w:cs="仿宋"/>
          <w:sz w:val="24"/>
          <w:szCs w:val="24"/>
        </w:rPr>
        <w:br w:type="textWrapping"/>
      </w:r>
      <w:r>
        <w:rPr>
          <w:rFonts w:hint="eastAsia" w:ascii="仿宋" w:hAnsi="仿宋" w:eastAsia="仿宋" w:cs="仿宋"/>
          <w:sz w:val="24"/>
          <w:szCs w:val="24"/>
        </w:rPr>
        <w:t>14、背板电动折转角度：下折≥5°上折≥65°</w:t>
      </w:r>
      <w:r>
        <w:rPr>
          <w:rFonts w:hint="eastAsia" w:ascii="仿宋" w:hAnsi="仿宋" w:eastAsia="仿宋" w:cs="仿宋"/>
          <w:sz w:val="24"/>
          <w:szCs w:val="24"/>
        </w:rPr>
        <w:br w:type="textWrapping"/>
      </w:r>
      <w:r>
        <w:rPr>
          <w:rFonts w:hint="eastAsia" w:ascii="仿宋" w:hAnsi="仿宋" w:eastAsia="仿宋" w:cs="仿宋"/>
          <w:sz w:val="24"/>
          <w:szCs w:val="24"/>
        </w:rPr>
        <w:t>15、座板电动上折角度：≥20°</w:t>
      </w:r>
      <w:r>
        <w:rPr>
          <w:rFonts w:hint="eastAsia" w:ascii="仿宋" w:hAnsi="仿宋" w:eastAsia="仿宋" w:cs="仿宋"/>
          <w:sz w:val="24"/>
          <w:szCs w:val="24"/>
        </w:rPr>
        <w:br w:type="textWrapping"/>
      </w:r>
      <w:r>
        <w:rPr>
          <w:rFonts w:hint="eastAsia" w:ascii="仿宋" w:hAnsi="仿宋" w:eastAsia="仿宋" w:cs="仿宋"/>
          <w:sz w:val="24"/>
          <w:szCs w:val="24"/>
        </w:rPr>
        <w:t>16、腿板电动外摆角度：≥30°</w:t>
      </w:r>
      <w:r>
        <w:rPr>
          <w:rFonts w:hint="eastAsia" w:ascii="仿宋" w:hAnsi="仿宋" w:eastAsia="仿宋" w:cs="仿宋"/>
          <w:sz w:val="24"/>
          <w:szCs w:val="24"/>
        </w:rPr>
        <w:br w:type="textWrapping"/>
      </w:r>
      <w:r>
        <w:rPr>
          <w:rFonts w:hint="eastAsia" w:ascii="仿宋" w:hAnsi="仿宋" w:eastAsia="仿宋" w:cs="仿宋"/>
          <w:sz w:val="24"/>
          <w:szCs w:val="24"/>
        </w:rPr>
        <w:t>17、腿板上折角度：≥20°(电动)</w:t>
      </w:r>
      <w:r>
        <w:rPr>
          <w:rFonts w:hint="eastAsia" w:ascii="仿宋" w:hAnsi="仿宋" w:eastAsia="仿宋" w:cs="仿宋"/>
          <w:sz w:val="24"/>
          <w:szCs w:val="24"/>
        </w:rPr>
        <w:br w:type="textWrapping"/>
      </w:r>
      <w:r>
        <w:rPr>
          <w:rFonts w:hint="eastAsia" w:ascii="仿宋" w:hAnsi="仿宋" w:eastAsia="仿宋" w:cs="仿宋"/>
          <w:sz w:val="24"/>
          <w:szCs w:val="24"/>
        </w:rPr>
        <w:t>18、腿板伸缩长度：60mm（机械）</w:t>
      </w:r>
      <w:r>
        <w:rPr>
          <w:rFonts w:hint="eastAsia" w:ascii="仿宋" w:hAnsi="仿宋" w:eastAsia="仿宋" w:cs="仿宋"/>
          <w:sz w:val="24"/>
          <w:szCs w:val="24"/>
        </w:rPr>
        <w:br w:type="textWrapping"/>
      </w:r>
      <w:r>
        <w:rPr>
          <w:rFonts w:hint="eastAsia" w:ascii="仿宋" w:hAnsi="仿宋" w:eastAsia="仿宋" w:cs="仿宋"/>
          <w:sz w:val="24"/>
          <w:szCs w:val="24"/>
        </w:rPr>
        <w:t>19、脚板上折角度： ≥35°（气动升降）</w:t>
      </w:r>
      <w:r>
        <w:rPr>
          <w:rFonts w:hint="eastAsia" w:ascii="仿宋" w:hAnsi="仿宋" w:eastAsia="仿宋" w:cs="仿宋"/>
          <w:sz w:val="24"/>
          <w:szCs w:val="24"/>
        </w:rPr>
        <w:br w:type="textWrapping"/>
      </w:r>
      <w:r>
        <w:rPr>
          <w:rFonts w:hint="eastAsia" w:ascii="仿宋" w:hAnsi="仿宋" w:eastAsia="仿宋" w:cs="仿宋"/>
          <w:sz w:val="24"/>
          <w:szCs w:val="24"/>
        </w:rPr>
        <w:t>20、护栏翻转角度：180°</w:t>
      </w:r>
      <w:r>
        <w:rPr>
          <w:rFonts w:hint="eastAsia" w:ascii="仿宋" w:hAnsi="仿宋" w:eastAsia="仿宋" w:cs="仿宋"/>
          <w:sz w:val="22"/>
          <w:szCs w:val="22"/>
        </w:rPr>
        <w:br w:type="textWrapping"/>
      </w:r>
    </w:p>
    <w:p w14:paraId="7D68CE35">
      <w:pPr>
        <w:pStyle w:val="6"/>
        <w:numPr>
          <w:ilvl w:val="0"/>
          <w:numId w:val="0"/>
        </w:numPr>
        <w:rPr>
          <w:rFonts w:hint="eastAsia"/>
        </w:rPr>
      </w:pPr>
    </w:p>
    <w:p w14:paraId="0ECA1914">
      <w:pPr>
        <w:pStyle w:val="8"/>
        <w:pageBreakBefore w:val="0"/>
        <w:tabs>
          <w:tab w:val="left" w:pos="567"/>
        </w:tabs>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五</w:t>
      </w:r>
      <w:r>
        <w:rPr>
          <w:rFonts w:hint="eastAsia" w:ascii="仿宋" w:hAnsi="仿宋" w:eastAsia="仿宋" w:cs="仿宋"/>
          <w:bCs/>
          <w:sz w:val="30"/>
          <w:szCs w:val="30"/>
        </w:rPr>
        <w:t>：</w:t>
      </w:r>
    </w:p>
    <w:p w14:paraId="219BEFB8">
      <w:pPr>
        <w:pStyle w:val="8"/>
        <w:pageBreakBefore w:val="0"/>
        <w:tabs>
          <w:tab w:val="left" w:pos="567"/>
        </w:tabs>
        <w:kinsoku/>
        <w:wordWrap/>
        <w:topLinePunct w:val="0"/>
        <w:bidi w:val="0"/>
        <w:spacing w:line="360" w:lineRule="auto"/>
        <w:ind w:firstLine="1600" w:firstLineChars="500"/>
        <w:rPr>
          <w:rFonts w:hint="eastAsia" w:ascii="仿宋" w:hAnsi="仿宋" w:eastAsia="仿宋" w:cs="仿宋"/>
          <w:b/>
          <w:bCs/>
          <w:sz w:val="36"/>
          <w:szCs w:val="36"/>
          <w:shd w:val="clear" w:color="auto" w:fill="FFFFFF"/>
        </w:rPr>
      </w:pPr>
      <w:r>
        <w:rPr>
          <w:rFonts w:hint="eastAsia" w:ascii="仿宋" w:hAnsi="仿宋" w:eastAsia="仿宋" w:cs="仿宋"/>
          <w:b/>
          <w:sz w:val="32"/>
          <w:szCs w:val="32"/>
        </w:rPr>
        <w:t>妊娠高血压综合征监测系统技术参数</w:t>
      </w:r>
    </w:p>
    <w:p w14:paraId="4357D40D">
      <w:pPr>
        <w:pStyle w:val="8"/>
        <w:pageBreakBefore w:val="0"/>
        <w:tabs>
          <w:tab w:val="left" w:pos="567"/>
        </w:tabs>
        <w:kinsoku/>
        <w:wordWrap/>
        <w:topLinePunct w:val="0"/>
        <w:bidi w:val="0"/>
        <w:spacing w:line="360" w:lineRule="auto"/>
        <w:rPr>
          <w:rFonts w:hint="eastAsia" w:ascii="仿宋" w:hAnsi="仿宋" w:eastAsia="仿宋" w:cs="仿宋"/>
        </w:rPr>
      </w:pPr>
    </w:p>
    <w:p w14:paraId="30BA65CB">
      <w:pPr>
        <w:pageBreakBefore w:val="0"/>
        <w:widowControl/>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一、性能要求</w:t>
      </w:r>
    </w:p>
    <w:p w14:paraId="3CF22D39">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1.1探头用于探测桡动脉脉搏波压力，探头灵敏度≥3mv/mm</w:t>
      </w:r>
    </w:p>
    <w:p w14:paraId="2BF87772">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1.2放大电路用于放大桡动脉脉搏波压力信号，输入阻抗≥820 KΩ；放大倍数≥30倍</w:t>
      </w:r>
    </w:p>
    <w:p w14:paraId="3A56C80F">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1.3特征系数：输入基准脉搏波信号时K值误差±5%</w:t>
      </w:r>
    </w:p>
    <w:p w14:paraId="6BD184DF">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1.4输入标准信号时心率值误差±%</w:t>
      </w:r>
    </w:p>
    <w:p w14:paraId="781790F8">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1.5连续工作</w:t>
      </w:r>
      <w:r>
        <w:rPr>
          <w:rFonts w:hint="eastAsia" w:ascii="仿宋" w:hAnsi="仿宋" w:eastAsia="仿宋" w:cs="仿宋"/>
          <w:sz w:val="24"/>
          <w:szCs w:val="24"/>
        </w:rPr>
        <w:t>≥</w:t>
      </w:r>
      <w:r>
        <w:rPr>
          <w:rFonts w:hint="eastAsia" w:ascii="仿宋" w:hAnsi="仿宋" w:eastAsia="仿宋" w:cs="仿宋"/>
          <w:bCs/>
          <w:kern w:val="0"/>
          <w:sz w:val="24"/>
          <w:szCs w:val="24"/>
        </w:rPr>
        <w:t>8h</w:t>
      </w:r>
    </w:p>
    <w:p w14:paraId="2EC32608">
      <w:pPr>
        <w:pageBreakBefore w:val="0"/>
        <w:widowControl/>
        <w:numPr>
          <w:ilvl w:val="0"/>
          <w:numId w:val="10"/>
        </w:numPr>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功能</w:t>
      </w:r>
    </w:p>
    <w:p w14:paraId="76DAF859">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2.1采用人机对话，中文提示</w:t>
      </w:r>
    </w:p>
    <w:p w14:paraId="1E91FF3C">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2.2可将病历、波形和结果保存，并可随时调出</w:t>
      </w:r>
    </w:p>
    <w:p w14:paraId="1A6B6166">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2.3可按照病历号或姓名查找病历</w:t>
      </w:r>
    </w:p>
    <w:p w14:paraId="696928A3">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2.4具有趋势图功能</w:t>
      </w:r>
    </w:p>
    <w:p w14:paraId="65FE544E">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2.5报告单存盘和打印</w:t>
      </w:r>
    </w:p>
    <w:p w14:paraId="2FB20412">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2.6监测结果参数包括：心率、平均动脉压、心脏指数、外周阻力、波形系数、血液粘度、平均滞留时间</w:t>
      </w:r>
    </w:p>
    <w:p w14:paraId="3B2159AA">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2.7参考参数：心搏出量、心搏指数、体重指数、血管顺应性、半更新率、半更新时间、总血容量、体表面积、胎儿发育指数</w:t>
      </w:r>
    </w:p>
    <w:p w14:paraId="19AA68ED">
      <w:pPr>
        <w:pageBreakBefore w:val="0"/>
        <w:widowControl/>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2.8妊高征信息管理功能</w:t>
      </w:r>
    </w:p>
    <w:p w14:paraId="56FECE14">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2.8</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1填写新病历：包括常规信息、症状体征评价、实验室评价、病情监测、治疗后临床评价、治疗方案和围产妇围产儿结局评价</w:t>
      </w:r>
    </w:p>
    <w:p w14:paraId="31D42A46">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2.8</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2常规信息分研究组和对照组，信息包括病例类别、组编号、住院号、姓名、年龄、出生年月、民族、家庭住址、邮编、联系电话、入院日期或首诊日期、婚姻状况、职业、经济状况、血型、不良嗜好、孕前身高、孕前体重、生育史、各次妊娠的情况和结局、合并内外科疾病史、合并其他产科异常、家族史、月经史、末次月经、预产期、产检、胎动、入院孕周或首诊孕周，临产</w:t>
      </w:r>
    </w:p>
    <w:p w14:paraId="6506031A">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2.8</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3需提供单独的妊娠高血压监测系统软件注册证</w:t>
      </w:r>
    </w:p>
    <w:p w14:paraId="55C26739">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3、</w:t>
      </w:r>
      <w:r>
        <w:rPr>
          <w:rFonts w:hint="eastAsia" w:ascii="仿宋" w:hAnsi="仿宋" w:eastAsia="仿宋" w:cs="仿宋"/>
          <w:bCs/>
          <w:kern w:val="0"/>
          <w:sz w:val="24"/>
          <w:szCs w:val="24"/>
          <w:lang w:eastAsia="zh-Hans"/>
        </w:rPr>
        <w:t>预测妊高征阳性符合率</w:t>
      </w:r>
      <w:r>
        <w:rPr>
          <w:rFonts w:hint="eastAsia" w:ascii="仿宋" w:hAnsi="仿宋" w:eastAsia="仿宋" w:cs="仿宋"/>
          <w:sz w:val="24"/>
          <w:szCs w:val="24"/>
        </w:rPr>
        <w:t>≥</w:t>
      </w:r>
      <w:r>
        <w:rPr>
          <w:rFonts w:hint="eastAsia" w:ascii="仿宋" w:hAnsi="仿宋" w:eastAsia="仿宋" w:cs="仿宋"/>
          <w:bCs/>
          <w:kern w:val="0"/>
          <w:sz w:val="24"/>
          <w:szCs w:val="24"/>
          <w:lang w:eastAsia="zh-Hans"/>
        </w:rPr>
        <w:t>85%，需提供临床支持性材料</w:t>
      </w:r>
    </w:p>
    <w:p w14:paraId="62295306">
      <w:pPr>
        <w:pageBreakBefore w:val="0"/>
        <w:widowControl/>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三、可升级</w:t>
      </w:r>
      <w:r>
        <w:rPr>
          <w:rFonts w:hint="eastAsia" w:ascii="仿宋" w:hAnsi="仿宋" w:eastAsia="仿宋" w:cs="仿宋"/>
          <w:bCs/>
          <w:kern w:val="0"/>
          <w:sz w:val="24"/>
          <w:szCs w:val="24"/>
          <w:lang w:eastAsia="zh-Hans"/>
        </w:rPr>
        <w:t>增加个体孕期营养监测管理模块</w:t>
      </w:r>
    </w:p>
    <w:p w14:paraId="637247A4">
      <w:pPr>
        <w:pStyle w:val="9"/>
        <w:pageBreakBefore w:val="0"/>
        <w:kinsoku/>
        <w:wordWrap/>
        <w:topLinePunct w:val="0"/>
        <w:bidi w:val="0"/>
        <w:spacing w:line="360" w:lineRule="auto"/>
        <w:rPr>
          <w:rFonts w:hint="eastAsia" w:ascii="仿宋" w:hAnsi="仿宋" w:eastAsia="仿宋" w:cs="仿宋"/>
          <w:bCs/>
          <w:color w:val="auto"/>
          <w:szCs w:val="30"/>
        </w:rPr>
      </w:pPr>
    </w:p>
    <w:p w14:paraId="03618A0A">
      <w:pPr>
        <w:rPr>
          <w:rFonts w:hint="eastAsia"/>
        </w:rPr>
      </w:pPr>
    </w:p>
    <w:p w14:paraId="1C19D8AF">
      <w:pPr>
        <w:pStyle w:val="8"/>
        <w:pageBreakBefore w:val="0"/>
        <w:tabs>
          <w:tab w:val="left" w:pos="567"/>
        </w:tabs>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六</w:t>
      </w:r>
      <w:r>
        <w:rPr>
          <w:rFonts w:hint="eastAsia" w:ascii="仿宋" w:hAnsi="仿宋" w:eastAsia="仿宋" w:cs="仿宋"/>
          <w:bCs/>
          <w:sz w:val="30"/>
          <w:szCs w:val="30"/>
        </w:rPr>
        <w:t>：</w:t>
      </w:r>
    </w:p>
    <w:p w14:paraId="0716DEEB">
      <w:pPr>
        <w:pStyle w:val="9"/>
        <w:pageBreakBefore w:val="0"/>
        <w:kinsoku/>
        <w:wordWrap/>
        <w:topLinePunct w:val="0"/>
        <w:bidi w:val="0"/>
        <w:spacing w:line="360" w:lineRule="auto"/>
        <w:ind w:firstLine="2880" w:firstLineChars="900"/>
        <w:rPr>
          <w:rFonts w:hint="eastAsia" w:ascii="仿宋" w:hAnsi="仿宋" w:eastAsia="仿宋" w:cs="仿宋"/>
          <w:b/>
          <w:bCs/>
          <w:color w:val="auto"/>
          <w:sz w:val="36"/>
          <w:szCs w:val="36"/>
          <w:shd w:val="clear" w:color="auto" w:fill="FFFFFF"/>
        </w:rPr>
      </w:pPr>
      <w:r>
        <w:rPr>
          <w:rFonts w:hint="eastAsia" w:ascii="仿宋" w:hAnsi="仿宋" w:eastAsia="仿宋" w:cs="仿宋"/>
          <w:b/>
          <w:color w:val="auto"/>
          <w:kern w:val="2"/>
          <w:sz w:val="32"/>
          <w:szCs w:val="32"/>
        </w:rPr>
        <w:t>胎儿母亲监护仪技术参数</w:t>
      </w:r>
    </w:p>
    <w:p w14:paraId="67AB6081">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监护参数：胎心率（FHR），宫缩压力（TOCO），胎动（FM）,母亲参数（血压、血氧、脉搏、心电、呼吸、体温）；</w:t>
      </w:r>
    </w:p>
    <w:p w14:paraId="037CD1A6">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多晶片1MHz超声胎心探头，超声波束声强：</w:t>
      </w:r>
      <w:r>
        <w:rPr>
          <w:rFonts w:hint="eastAsia" w:ascii="仿宋" w:hAnsi="仿宋" w:eastAsia="仿宋" w:cs="仿宋"/>
          <w:kern w:val="0"/>
          <w:sz w:val="24"/>
          <w:szCs w:val="24"/>
        </w:rPr>
        <w:t>I</w:t>
      </w:r>
      <w:r>
        <w:rPr>
          <w:rFonts w:hint="eastAsia" w:ascii="仿宋" w:hAnsi="仿宋" w:eastAsia="仿宋" w:cs="仿宋"/>
          <w:kern w:val="0"/>
          <w:sz w:val="24"/>
          <w:szCs w:val="24"/>
          <w:vertAlign w:val="subscript"/>
        </w:rPr>
        <w:t>ob</w:t>
      </w:r>
      <w:r>
        <w:rPr>
          <w:rFonts w:hint="eastAsia" w:ascii="仿宋" w:hAnsi="仿宋" w:eastAsia="仿宋" w:cs="仿宋"/>
          <w:kern w:val="0"/>
          <w:sz w:val="24"/>
          <w:szCs w:val="24"/>
        </w:rPr>
        <w:t>&lt;10 mW/cm</w:t>
      </w:r>
      <w:r>
        <w:rPr>
          <w:rFonts w:hint="eastAsia" w:ascii="仿宋" w:hAnsi="仿宋" w:eastAsia="仿宋" w:cs="仿宋"/>
          <w:kern w:val="0"/>
          <w:sz w:val="24"/>
          <w:szCs w:val="24"/>
          <w:vertAlign w:val="superscript"/>
        </w:rPr>
        <w:t>2</w:t>
      </w:r>
      <w:r>
        <w:rPr>
          <w:rFonts w:hint="eastAsia" w:ascii="仿宋" w:hAnsi="仿宋" w:eastAsia="仿宋" w:cs="仿宋"/>
          <w:sz w:val="24"/>
          <w:szCs w:val="24"/>
        </w:rPr>
        <w:t>，胎心率范围： 30~240bpm 分辨率: 1bpm，精度：±2bpm；</w:t>
      </w:r>
    </w:p>
    <w:p w14:paraId="1458B940">
      <w:pPr>
        <w:pageBreakBefore w:val="0"/>
        <w:numPr>
          <w:ilvl w:val="0"/>
          <w:numId w:val="11"/>
        </w:numPr>
        <w:kinsoku/>
        <w:wordWrap/>
        <w:topLinePunct w:val="0"/>
        <w:bidi w:val="0"/>
        <w:spacing w:before="156" w:line="360" w:lineRule="auto"/>
        <w:rPr>
          <w:rFonts w:hint="eastAsia" w:ascii="仿宋" w:hAnsi="仿宋" w:eastAsia="仿宋" w:cs="仿宋"/>
          <w:bCs/>
          <w:sz w:val="24"/>
          <w:szCs w:val="24"/>
        </w:rPr>
      </w:pPr>
      <w:r>
        <w:rPr>
          <w:rFonts w:hint="eastAsia" w:ascii="仿宋" w:hAnsi="仿宋" w:eastAsia="仿宋" w:cs="仿宋"/>
          <w:sz w:val="24"/>
          <w:szCs w:val="24"/>
        </w:rPr>
        <w:t>无凸点设计的宫缩探头，</w:t>
      </w:r>
      <w:r>
        <w:rPr>
          <w:rFonts w:hint="eastAsia" w:ascii="仿宋" w:hAnsi="仿宋" w:eastAsia="仿宋" w:cs="仿宋"/>
          <w:bCs/>
          <w:sz w:val="24"/>
          <w:szCs w:val="24"/>
        </w:rPr>
        <w:t>0</w:t>
      </w:r>
      <w:r>
        <w:rPr>
          <w:rFonts w:hint="eastAsia" w:ascii="仿宋" w:hAnsi="仿宋" w:eastAsia="仿宋" w:cs="仿宋"/>
          <w:sz w:val="24"/>
          <w:szCs w:val="24"/>
        </w:rPr>
        <w:t>~</w:t>
      </w:r>
      <w:r>
        <w:rPr>
          <w:rFonts w:hint="eastAsia" w:ascii="仿宋" w:hAnsi="仿宋" w:eastAsia="仿宋" w:cs="仿宋"/>
          <w:bCs/>
          <w:sz w:val="24"/>
          <w:szCs w:val="24"/>
        </w:rPr>
        <w:t>100相对单位，分辨率1 ，非线性误差≤±10%，</w:t>
      </w:r>
      <w:r>
        <w:rPr>
          <w:rFonts w:hint="eastAsia" w:ascii="仿宋" w:hAnsi="仿宋" w:eastAsia="仿宋" w:cs="仿宋"/>
          <w:kern w:val="0"/>
          <w:sz w:val="24"/>
          <w:szCs w:val="24"/>
        </w:rPr>
        <w:t>归零方式：自动/手动；</w:t>
      </w:r>
    </w:p>
    <w:p w14:paraId="69083CA0">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胎动：手动/自动胎动检测，显示并打印胎儿活动图；</w:t>
      </w:r>
    </w:p>
    <w:p w14:paraId="1119E60B">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母亲参数指标：</w:t>
      </w:r>
    </w:p>
    <w:p w14:paraId="12479039">
      <w:pPr>
        <w:pageBreakBefore w:val="0"/>
        <w:kinsoku/>
        <w:wordWrap/>
        <w:topLinePunct w:val="0"/>
        <w:bidi w:val="0"/>
        <w:spacing w:before="156" w:line="360" w:lineRule="auto"/>
        <w:ind w:left="420" w:firstLine="420"/>
        <w:rPr>
          <w:rFonts w:hint="eastAsia" w:ascii="仿宋" w:hAnsi="仿宋" w:eastAsia="仿宋" w:cs="仿宋"/>
          <w:bCs/>
          <w:sz w:val="24"/>
          <w:szCs w:val="24"/>
        </w:rPr>
      </w:pPr>
      <w:r>
        <w:rPr>
          <w:rFonts w:hint="eastAsia" w:ascii="仿宋" w:hAnsi="仿宋" w:eastAsia="仿宋" w:cs="仿宋"/>
          <w:bCs/>
          <w:sz w:val="24"/>
          <w:szCs w:val="24"/>
        </w:rPr>
        <w:t>心电导联选择：三导，心率范围：30</w:t>
      </w:r>
      <w:r>
        <w:rPr>
          <w:rFonts w:hint="eastAsia" w:ascii="仿宋" w:hAnsi="仿宋" w:eastAsia="仿宋" w:cs="仿宋"/>
          <w:sz w:val="24"/>
          <w:szCs w:val="24"/>
        </w:rPr>
        <w:t>~</w:t>
      </w:r>
      <w:r>
        <w:rPr>
          <w:rFonts w:hint="eastAsia" w:ascii="仿宋" w:hAnsi="仿宋" w:eastAsia="仿宋" w:cs="仿宋"/>
          <w:bCs/>
          <w:sz w:val="24"/>
          <w:szCs w:val="24"/>
        </w:rPr>
        <w:t>240 bpm，测量精度：±2bpm；</w:t>
      </w:r>
    </w:p>
    <w:p w14:paraId="368299FA">
      <w:pPr>
        <w:pageBreakBefore w:val="0"/>
        <w:tabs>
          <w:tab w:val="left" w:pos="1560"/>
          <w:tab w:val="left" w:pos="5835"/>
        </w:tabs>
        <w:kinsoku/>
        <w:wordWrap/>
        <w:topLinePunct w:val="0"/>
        <w:bidi w:val="0"/>
        <w:spacing w:before="156" w:line="360" w:lineRule="auto"/>
        <w:ind w:left="403" w:leftChars="192" w:firstLine="420"/>
        <w:rPr>
          <w:rFonts w:hint="eastAsia" w:ascii="仿宋" w:hAnsi="仿宋" w:eastAsia="仿宋" w:cs="仿宋"/>
          <w:sz w:val="24"/>
          <w:szCs w:val="24"/>
        </w:rPr>
      </w:pPr>
      <w:r>
        <w:rPr>
          <w:rFonts w:hint="eastAsia" w:ascii="仿宋" w:hAnsi="仿宋" w:eastAsia="仿宋" w:cs="仿宋"/>
          <w:bCs/>
          <w:sz w:val="24"/>
          <w:szCs w:val="24"/>
        </w:rPr>
        <w:t>无创血压测量方法：振荡法，计量单位：mmHg/Kpa可选，测量方式：手动/自动，</w:t>
      </w:r>
      <w:r>
        <w:rPr>
          <w:rFonts w:hint="eastAsia" w:ascii="仿宋" w:hAnsi="仿宋" w:eastAsia="仿宋" w:cs="仿宋"/>
          <w:sz w:val="24"/>
          <w:szCs w:val="24"/>
        </w:rPr>
        <w:t>袖带压力范围：0～300 mmHg，测量范围：</w:t>
      </w:r>
      <w:r>
        <w:rPr>
          <w:rFonts w:hint="eastAsia" w:ascii="仿宋" w:hAnsi="仿宋" w:eastAsia="仿宋" w:cs="仿宋"/>
          <w:bCs/>
          <w:sz w:val="24"/>
          <w:szCs w:val="24"/>
        </w:rPr>
        <w:t>收缩压40</w:t>
      </w:r>
      <w:r>
        <w:rPr>
          <w:rFonts w:hint="eastAsia" w:ascii="仿宋" w:hAnsi="仿宋" w:eastAsia="仿宋" w:cs="仿宋"/>
          <w:sz w:val="24"/>
          <w:szCs w:val="24"/>
        </w:rPr>
        <w:t>~</w:t>
      </w:r>
      <w:r>
        <w:rPr>
          <w:rFonts w:hint="eastAsia" w:ascii="仿宋" w:hAnsi="仿宋" w:eastAsia="仿宋" w:cs="仿宋"/>
          <w:bCs/>
          <w:sz w:val="24"/>
          <w:szCs w:val="24"/>
        </w:rPr>
        <w:t>270mmHg； 平均压20</w:t>
      </w:r>
      <w:r>
        <w:rPr>
          <w:rFonts w:hint="eastAsia" w:ascii="仿宋" w:hAnsi="仿宋" w:eastAsia="仿宋" w:cs="仿宋"/>
          <w:sz w:val="24"/>
          <w:szCs w:val="24"/>
        </w:rPr>
        <w:t>~</w:t>
      </w:r>
      <w:r>
        <w:rPr>
          <w:rFonts w:hint="eastAsia" w:ascii="仿宋" w:hAnsi="仿宋" w:eastAsia="仿宋" w:cs="仿宋"/>
          <w:bCs/>
          <w:sz w:val="24"/>
          <w:szCs w:val="24"/>
        </w:rPr>
        <w:t>235mmHg；舒张压10</w:t>
      </w:r>
      <w:r>
        <w:rPr>
          <w:rFonts w:hint="eastAsia" w:ascii="仿宋" w:hAnsi="仿宋" w:eastAsia="仿宋" w:cs="仿宋"/>
          <w:sz w:val="24"/>
          <w:szCs w:val="24"/>
        </w:rPr>
        <w:t>~</w:t>
      </w:r>
      <w:r>
        <w:rPr>
          <w:rFonts w:hint="eastAsia" w:ascii="仿宋" w:hAnsi="仿宋" w:eastAsia="仿宋" w:cs="仿宋"/>
          <w:bCs/>
          <w:sz w:val="24"/>
          <w:szCs w:val="24"/>
        </w:rPr>
        <w:t>215mmHg</w:t>
      </w:r>
      <w:r>
        <w:rPr>
          <w:rFonts w:hint="eastAsia" w:ascii="仿宋" w:hAnsi="仿宋" w:eastAsia="仿宋" w:cs="仿宋"/>
          <w:sz w:val="24"/>
          <w:szCs w:val="24"/>
        </w:rPr>
        <w:t>，测量精度：最大平均偏差不超过 ± 5 mmHg（ ± 0.8 kPa）；最大标准偏差不超过 8mmHg（ 1.2 kPa）；</w:t>
      </w:r>
    </w:p>
    <w:p w14:paraId="35DDEA14">
      <w:pPr>
        <w:pageBreakBefore w:val="0"/>
        <w:kinsoku/>
        <w:wordWrap/>
        <w:topLinePunct w:val="0"/>
        <w:bidi w:val="0"/>
        <w:spacing w:before="156" w:line="360" w:lineRule="auto"/>
        <w:ind w:left="403" w:leftChars="192" w:firstLine="420"/>
        <w:rPr>
          <w:rFonts w:hint="eastAsia" w:ascii="仿宋" w:hAnsi="仿宋" w:eastAsia="仿宋" w:cs="仿宋"/>
          <w:bCs/>
          <w:sz w:val="24"/>
          <w:szCs w:val="24"/>
        </w:rPr>
      </w:pPr>
      <w:r>
        <w:rPr>
          <w:rFonts w:hint="eastAsia" w:ascii="仿宋" w:hAnsi="仿宋" w:eastAsia="仿宋" w:cs="仿宋"/>
          <w:bCs/>
          <w:sz w:val="24"/>
          <w:szCs w:val="24"/>
        </w:rPr>
        <w:t>血氧饱和度显示方法：脉搏波形、血氧饱和度值，测量范围：</w:t>
      </w:r>
      <w:r>
        <w:rPr>
          <w:rFonts w:hint="eastAsia" w:ascii="仿宋" w:hAnsi="仿宋" w:eastAsia="仿宋" w:cs="仿宋"/>
          <w:kern w:val="0"/>
          <w:sz w:val="24"/>
          <w:szCs w:val="24"/>
        </w:rPr>
        <w:t>50%</w:t>
      </w:r>
      <w:r>
        <w:rPr>
          <w:rFonts w:hint="eastAsia" w:ascii="仿宋" w:hAnsi="仿宋" w:eastAsia="仿宋" w:cs="仿宋"/>
          <w:sz w:val="24"/>
          <w:szCs w:val="24"/>
        </w:rPr>
        <w:t>~</w:t>
      </w:r>
      <w:r>
        <w:rPr>
          <w:rFonts w:hint="eastAsia" w:ascii="仿宋" w:hAnsi="仿宋" w:eastAsia="仿宋" w:cs="仿宋"/>
          <w:kern w:val="0"/>
          <w:sz w:val="24"/>
          <w:szCs w:val="24"/>
        </w:rPr>
        <w:t>100%，分辨率：1%，测量精确度：</w:t>
      </w:r>
      <w:r>
        <w:rPr>
          <w:rFonts w:hint="eastAsia" w:ascii="仿宋" w:hAnsi="仿宋" w:eastAsia="仿宋" w:cs="仿宋"/>
          <w:bCs/>
          <w:sz w:val="24"/>
          <w:szCs w:val="24"/>
        </w:rPr>
        <w:t>90% ~ 100%： ±2%；70% ~ 90%： ±4%；&lt; 70%： 未明确</w:t>
      </w:r>
      <w:r>
        <w:rPr>
          <w:rFonts w:hint="eastAsia" w:ascii="仿宋" w:hAnsi="仿宋" w:eastAsia="仿宋" w:cs="仿宋"/>
          <w:kern w:val="0"/>
          <w:sz w:val="24"/>
          <w:szCs w:val="24"/>
        </w:rPr>
        <w:t>；</w:t>
      </w:r>
    </w:p>
    <w:p w14:paraId="2240F685">
      <w:pPr>
        <w:pageBreakBefore w:val="0"/>
        <w:kinsoku/>
        <w:wordWrap/>
        <w:topLinePunct w:val="0"/>
        <w:bidi w:val="0"/>
        <w:spacing w:before="156" w:line="360" w:lineRule="auto"/>
        <w:ind w:left="420" w:firstLine="420"/>
        <w:rPr>
          <w:rFonts w:hint="eastAsia" w:ascii="仿宋" w:hAnsi="仿宋" w:eastAsia="仿宋" w:cs="仿宋"/>
          <w:bCs/>
          <w:sz w:val="24"/>
          <w:szCs w:val="24"/>
        </w:rPr>
      </w:pPr>
      <w:r>
        <w:rPr>
          <w:rFonts w:hint="eastAsia" w:ascii="仿宋" w:hAnsi="仿宋" w:eastAsia="仿宋" w:cs="仿宋"/>
          <w:bCs/>
          <w:sz w:val="24"/>
          <w:szCs w:val="24"/>
        </w:rPr>
        <w:t>呼吸 阻抗法，测量范围：0</w:t>
      </w:r>
      <w:r>
        <w:rPr>
          <w:rFonts w:hint="eastAsia" w:ascii="仿宋" w:hAnsi="仿宋" w:eastAsia="仿宋" w:cs="仿宋"/>
          <w:sz w:val="24"/>
          <w:szCs w:val="24"/>
        </w:rPr>
        <w:t>~</w:t>
      </w:r>
      <w:r>
        <w:rPr>
          <w:rFonts w:hint="eastAsia" w:ascii="仿宋" w:hAnsi="仿宋" w:eastAsia="仿宋" w:cs="仿宋"/>
          <w:bCs/>
          <w:sz w:val="24"/>
          <w:szCs w:val="24"/>
        </w:rPr>
        <w:t>120rpm，测量精度：±3rpm；</w:t>
      </w:r>
    </w:p>
    <w:p w14:paraId="461E5B21">
      <w:pPr>
        <w:pageBreakBefore w:val="0"/>
        <w:tabs>
          <w:tab w:val="left" w:pos="1560"/>
        </w:tabs>
        <w:kinsoku/>
        <w:wordWrap/>
        <w:topLinePunct w:val="0"/>
        <w:bidi w:val="0"/>
        <w:spacing w:before="156" w:line="360" w:lineRule="auto"/>
        <w:ind w:left="420" w:firstLine="420"/>
        <w:rPr>
          <w:rFonts w:hint="eastAsia" w:ascii="仿宋" w:hAnsi="仿宋" w:eastAsia="仿宋" w:cs="仿宋"/>
          <w:b/>
          <w:sz w:val="24"/>
          <w:szCs w:val="24"/>
        </w:rPr>
      </w:pPr>
      <w:r>
        <w:rPr>
          <w:rFonts w:hint="eastAsia" w:ascii="仿宋" w:hAnsi="仿宋" w:eastAsia="仿宋" w:cs="仿宋"/>
          <w:sz w:val="24"/>
          <w:szCs w:val="24"/>
        </w:rPr>
        <w:t>脉率显示范围：30 bpm ~ 240 bpm，</w:t>
      </w:r>
      <w:r>
        <w:rPr>
          <w:rFonts w:hint="eastAsia" w:ascii="仿宋" w:hAnsi="仿宋" w:eastAsia="仿宋" w:cs="仿宋"/>
          <w:bCs/>
          <w:sz w:val="24"/>
          <w:szCs w:val="24"/>
        </w:rPr>
        <w:t>测量精度：±3</w:t>
      </w:r>
      <w:r>
        <w:rPr>
          <w:rFonts w:hint="eastAsia" w:ascii="仿宋" w:hAnsi="仿宋" w:eastAsia="仿宋" w:cs="仿宋"/>
          <w:sz w:val="24"/>
          <w:szCs w:val="24"/>
        </w:rPr>
        <w:t>bpm；</w:t>
      </w:r>
    </w:p>
    <w:p w14:paraId="37CBA805">
      <w:pPr>
        <w:pageBreakBefore w:val="0"/>
        <w:tabs>
          <w:tab w:val="left" w:pos="1560"/>
        </w:tabs>
        <w:kinsoku/>
        <w:wordWrap/>
        <w:topLinePunct w:val="0"/>
        <w:bidi w:val="0"/>
        <w:spacing w:before="156" w:line="360" w:lineRule="auto"/>
        <w:ind w:left="420" w:firstLine="420"/>
        <w:rPr>
          <w:rFonts w:hint="eastAsia" w:ascii="仿宋" w:hAnsi="仿宋" w:eastAsia="仿宋" w:cs="仿宋"/>
          <w:bCs/>
          <w:sz w:val="24"/>
          <w:szCs w:val="24"/>
        </w:rPr>
      </w:pPr>
      <w:r>
        <w:rPr>
          <w:rFonts w:hint="eastAsia" w:ascii="仿宋" w:hAnsi="仿宋" w:eastAsia="仿宋" w:cs="仿宋"/>
          <w:sz w:val="24"/>
          <w:szCs w:val="24"/>
        </w:rPr>
        <w:t>体温显示范围：0°C ~ +50°C</w:t>
      </w:r>
      <w:r>
        <w:rPr>
          <w:rFonts w:hint="eastAsia" w:ascii="仿宋" w:hAnsi="仿宋" w:eastAsia="仿宋" w:cs="仿宋"/>
          <w:bCs/>
          <w:sz w:val="24"/>
          <w:szCs w:val="24"/>
        </w:rPr>
        <w:t>，测量精度：±0.3°C（ 不包括探头误差: ±0.1 °C； 探头: ≤ ±0.2 °C）</w:t>
      </w:r>
    </w:p>
    <w:p w14:paraId="3AF8F708">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≥10英寸高清晰TFT屏， 0-60°度内多角度翻转；</w:t>
      </w:r>
    </w:p>
    <w:p w14:paraId="7EED8006">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人机对话界面，多种界面可选；</w:t>
      </w:r>
    </w:p>
    <w:p w14:paraId="6056E914">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监护曲线显示支持30 ~ 240（美标）和50 ~ 210（国际）两种标准；</w:t>
      </w:r>
    </w:p>
    <w:p w14:paraId="1F5D69EE">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探头架支持挂墙放置探头、移动放置探头；</w:t>
      </w:r>
    </w:p>
    <w:p w14:paraId="7FD166F9">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飞梭和按键操作；</w:t>
      </w:r>
    </w:p>
    <w:p w14:paraId="2F696313">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易装纸打印；</w:t>
      </w:r>
    </w:p>
    <w:p w14:paraId="62157408">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隐藏式提手，方便移动；</w:t>
      </w:r>
    </w:p>
    <w:p w14:paraId="22BFD5B4">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内置式152mm（或150mm）宽行打印，符合国际标准，连续准确记录胎心率、宫缩压曲线及胎儿活动曲线；</w:t>
      </w:r>
    </w:p>
    <w:p w14:paraId="1E60B926">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打印机走纸速度1、2、3cm/min可调，支持缺纸缓存打印，选段打印和定时长打印功能，定时时长范围：10-90min；</w:t>
      </w:r>
    </w:p>
    <w:p w14:paraId="139649C5">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打印结束后给与声音提示；</w:t>
      </w:r>
    </w:p>
    <w:p w14:paraId="1F63FBBB">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每十分钟自动打印时间、日期、母亲参数（心率、血压、血氧、呼吸、体温等参数数值）；</w:t>
      </w:r>
    </w:p>
    <w:p w14:paraId="4A44BD97">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支持NIBP省纸打印；</w:t>
      </w:r>
    </w:p>
    <w:p w14:paraId="40E0BC43">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胎心率报警范围可调，当胎心率过缓或过速时自动报警，报警内容中文显示，报警持续时间可调；</w:t>
      </w:r>
    </w:p>
    <w:p w14:paraId="2895FAEC">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具有超声传感器信号质量指示功能，以得到准确和稳定的胎心参数值和曲线；</w:t>
      </w:r>
    </w:p>
    <w:p w14:paraId="57B4C8A8">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双胎心率重合报警(SOV)，母胎心率信号重合验证；</w:t>
      </w:r>
    </w:p>
    <w:p w14:paraId="3B9D52BA">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在宫缩数值大于50单位的情况下，在界面上弹出禁止测量血压的提示信息；</w:t>
      </w:r>
    </w:p>
    <w:p w14:paraId="5200925C">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回顾报警功能，可回顾最近的≥100条报警信息；</w:t>
      </w:r>
    </w:p>
    <w:p w14:paraId="532F620A">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≥60小时CTG存储、回放，打印，掉电数据存储；</w:t>
      </w:r>
      <w:r>
        <w:rPr>
          <w:rFonts w:hint="eastAsia" w:ascii="仿宋" w:hAnsi="仿宋" w:eastAsia="仿宋" w:cs="仿宋"/>
          <w:b/>
          <w:sz w:val="24"/>
          <w:szCs w:val="24"/>
        </w:rPr>
        <w:t xml:space="preserve"> </w:t>
      </w:r>
    </w:p>
    <w:p w14:paraId="4E3302C4">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支持外接U盘存储监护数据；</w:t>
      </w:r>
    </w:p>
    <w:p w14:paraId="39CD80EE">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具有查找监护记录功能；</w:t>
      </w:r>
    </w:p>
    <w:p w14:paraId="34607A92">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可外接胎儿刺激器，刺激标识与胎心宫缩曲线同步显示并描记打印；</w:t>
      </w:r>
    </w:p>
    <w:p w14:paraId="60172CBC">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内置通讯接口，可与中央站组成网络系统；</w:t>
      </w:r>
    </w:p>
    <w:p w14:paraId="38894526">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支持选配无线探头，支持无线双胎心监护，无线探头采用自识别探头基座设计，随意安放，无线探头工作距离＞100m，内置锂电池≥15小时的超强续航能力；</w:t>
      </w:r>
    </w:p>
    <w:p w14:paraId="113C4ECB">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中英文操作界面；</w:t>
      </w:r>
    </w:p>
    <w:p w14:paraId="5FF007D9">
      <w:pPr>
        <w:pageBreakBefore w:val="0"/>
        <w:numPr>
          <w:ilvl w:val="0"/>
          <w:numId w:val="11"/>
        </w:numPr>
        <w:kinsoku/>
        <w:wordWrap/>
        <w:topLinePunct w:val="0"/>
        <w:bidi w:val="0"/>
        <w:spacing w:before="156" w:line="360" w:lineRule="auto"/>
        <w:rPr>
          <w:rFonts w:hint="eastAsia" w:ascii="仿宋" w:hAnsi="仿宋" w:eastAsia="仿宋" w:cs="仿宋"/>
          <w:sz w:val="24"/>
          <w:szCs w:val="24"/>
        </w:rPr>
      </w:pPr>
      <w:r>
        <w:rPr>
          <w:rFonts w:hint="eastAsia" w:ascii="仿宋" w:hAnsi="仿宋" w:eastAsia="仿宋" w:cs="仿宋"/>
          <w:sz w:val="24"/>
          <w:szCs w:val="24"/>
        </w:rPr>
        <w:t>可选配无线TOCO探头外接心电导联线测量母亲心率</w:t>
      </w:r>
    </w:p>
    <w:p w14:paraId="040F7CDF">
      <w:pPr>
        <w:pageBreakBefore w:val="0"/>
        <w:kinsoku/>
        <w:wordWrap/>
        <w:topLinePunct w:val="0"/>
        <w:bidi w:val="0"/>
        <w:spacing w:line="360" w:lineRule="auto"/>
        <w:rPr>
          <w:rFonts w:hint="eastAsia" w:ascii="仿宋" w:hAnsi="仿宋" w:eastAsia="仿宋" w:cs="仿宋"/>
          <w:bCs/>
          <w:sz w:val="30"/>
          <w:szCs w:val="30"/>
        </w:rPr>
      </w:pPr>
    </w:p>
    <w:p w14:paraId="3B914A5C">
      <w:pPr>
        <w:pStyle w:val="6"/>
        <w:rPr>
          <w:rFonts w:hint="eastAsia"/>
        </w:rPr>
      </w:pPr>
    </w:p>
    <w:p w14:paraId="0CA31DE1">
      <w:pPr>
        <w:pStyle w:val="8"/>
        <w:pageBreakBefore w:val="0"/>
        <w:tabs>
          <w:tab w:val="left" w:pos="567"/>
        </w:tabs>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七</w:t>
      </w:r>
      <w:r>
        <w:rPr>
          <w:rFonts w:hint="eastAsia" w:ascii="仿宋" w:hAnsi="仿宋" w:eastAsia="仿宋" w:cs="仿宋"/>
          <w:bCs/>
          <w:sz w:val="30"/>
          <w:szCs w:val="30"/>
        </w:rPr>
        <w:t>：</w:t>
      </w:r>
    </w:p>
    <w:p w14:paraId="75E549DA">
      <w:pPr>
        <w:pStyle w:val="9"/>
        <w:pageBreakBefore w:val="0"/>
        <w:kinsoku/>
        <w:wordWrap/>
        <w:topLinePunct w:val="0"/>
        <w:bidi w:val="0"/>
        <w:spacing w:line="360" w:lineRule="auto"/>
        <w:ind w:firstLine="2880" w:firstLineChars="900"/>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t>麻醉机工作站技术参数</w:t>
      </w:r>
    </w:p>
    <w:p w14:paraId="7768E1D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技术参数</w:t>
      </w:r>
    </w:p>
    <w:p w14:paraId="2FC4087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（一）气体输送系统</w:t>
      </w:r>
    </w:p>
    <w:p w14:paraId="0C0BE9F1">
      <w:pPr>
        <w:pageBreakBefore w:val="0"/>
        <w:numPr>
          <w:ilvl w:val="0"/>
          <w:numId w:val="12"/>
        </w:numPr>
        <w:kinsoku/>
        <w:wordWrap/>
        <w:topLinePunct w:val="0"/>
        <w:bidi w:val="0"/>
        <w:spacing w:line="360" w:lineRule="auto"/>
        <w:rPr>
          <w:rStyle w:val="24"/>
          <w:rFonts w:hint="eastAsia" w:ascii="仿宋" w:hAnsi="仿宋" w:eastAsia="仿宋" w:cs="仿宋"/>
          <w:sz w:val="24"/>
          <w:szCs w:val="24"/>
        </w:rPr>
      </w:pPr>
      <w:r>
        <w:rPr>
          <w:rStyle w:val="24"/>
          <w:rFonts w:hint="eastAsia" w:ascii="仿宋" w:hAnsi="仿宋" w:eastAsia="仿宋" w:cs="仿宋"/>
          <w:sz w:val="24"/>
          <w:szCs w:val="24"/>
        </w:rPr>
        <w:t xml:space="preserve">机械新鲜气体混合+电子流量监测装置，数值和虚拟流量计显示，总流量管可显示所有新鲜气体的总流量；2气源（O2/AIR） </w:t>
      </w:r>
    </w:p>
    <w:p w14:paraId="6E22B138">
      <w:pPr>
        <w:pageBreakBefore w:val="0"/>
        <w:numPr>
          <w:ilvl w:val="0"/>
          <w:numId w:val="12"/>
        </w:numPr>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可分别设置每种新鲜气体的流量，新鲜气体流量的设置范围：0 – 15 L/min。</w:t>
      </w:r>
    </w:p>
    <w:p w14:paraId="1AAEFB4B">
      <w:pPr>
        <w:pageBreakBefore w:val="0"/>
        <w:numPr>
          <w:ilvl w:val="0"/>
          <w:numId w:val="12"/>
        </w:numPr>
        <w:kinsoku/>
        <w:wordWrap/>
        <w:topLinePunct w:val="0"/>
        <w:bidi w:val="0"/>
        <w:spacing w:line="360" w:lineRule="auto"/>
        <w:ind w:left="359" w:hanging="410" w:hangingChars="171"/>
        <w:rPr>
          <w:rFonts w:hint="eastAsia" w:ascii="仿宋" w:hAnsi="仿宋" w:eastAsia="仿宋" w:cs="仿宋"/>
          <w:sz w:val="24"/>
          <w:szCs w:val="24"/>
        </w:rPr>
      </w:pPr>
      <w:r>
        <w:rPr>
          <w:rStyle w:val="24"/>
          <w:rFonts w:hint="eastAsia" w:ascii="仿宋" w:hAnsi="仿宋" w:eastAsia="仿宋" w:cs="仿宋"/>
          <w:sz w:val="24"/>
          <w:szCs w:val="24"/>
        </w:rPr>
        <w:t>笑氧保护装置，确保笑气（N2O）作为载气时，</w:t>
      </w:r>
      <w:r>
        <w:rPr>
          <w:rFonts w:hint="eastAsia" w:ascii="仿宋" w:hAnsi="仿宋" w:eastAsia="仿宋" w:cs="仿宋"/>
          <w:kern w:val="0"/>
          <w:sz w:val="24"/>
          <w:szCs w:val="24"/>
        </w:rPr>
        <w:t>当氧气供应不足时，会限制N2O 的输送，使得新鲜气体的氧浓度不会低于25%。</w:t>
      </w:r>
    </w:p>
    <w:p w14:paraId="573267FD">
      <w:pPr>
        <w:pageBreakBefore w:val="0"/>
        <w:numPr>
          <w:ilvl w:val="0"/>
          <w:numId w:val="12"/>
        </w:numPr>
        <w:kinsoku/>
        <w:wordWrap/>
        <w:topLinePunct w:val="0"/>
        <w:bidi w:val="0"/>
        <w:spacing w:line="360" w:lineRule="auto"/>
        <w:rPr>
          <w:rFonts w:hint="eastAsia" w:ascii="仿宋" w:hAnsi="仿宋" w:eastAsia="仿宋" w:cs="仿宋"/>
          <w:sz w:val="24"/>
          <w:szCs w:val="24"/>
        </w:rPr>
      </w:pPr>
      <w:r>
        <w:rPr>
          <w:rStyle w:val="24"/>
          <w:rFonts w:hint="eastAsia" w:ascii="仿宋" w:hAnsi="仿宋" w:eastAsia="仿宋" w:cs="仿宋"/>
          <w:sz w:val="24"/>
          <w:szCs w:val="24"/>
        </w:rPr>
        <w:t>机械新鲜气体混合+电子流量监测装置在</w:t>
      </w:r>
      <w:r>
        <w:rPr>
          <w:rFonts w:hint="eastAsia" w:ascii="仿宋" w:hAnsi="仿宋" w:eastAsia="仿宋" w:cs="仿宋"/>
          <w:sz w:val="24"/>
          <w:szCs w:val="24"/>
        </w:rPr>
        <w:t>关机时也能输送氧气和麻药用于进行手动通气，可配置一体化的或独立的鼻吸氧装置。</w:t>
      </w:r>
    </w:p>
    <w:p w14:paraId="5966C8D7">
      <w:pPr>
        <w:pageBreakBefore w:val="0"/>
        <w:numPr>
          <w:ilvl w:val="0"/>
          <w:numId w:val="12"/>
        </w:numPr>
        <w:kinsoku/>
        <w:wordWrap/>
        <w:topLinePunct w:val="0"/>
        <w:bidi w:val="0"/>
        <w:spacing w:line="360" w:lineRule="auto"/>
        <w:rPr>
          <w:rFonts w:hint="eastAsia" w:ascii="仿宋" w:hAnsi="仿宋" w:eastAsia="仿宋" w:cs="仿宋"/>
          <w:sz w:val="24"/>
          <w:szCs w:val="24"/>
        </w:rPr>
      </w:pPr>
      <w:r>
        <w:rPr>
          <w:rStyle w:val="24"/>
          <w:rFonts w:hint="eastAsia" w:ascii="仿宋" w:hAnsi="仿宋" w:eastAsia="仿宋" w:cs="仿宋"/>
          <w:sz w:val="24"/>
          <w:szCs w:val="24"/>
        </w:rPr>
        <w:t>所有新鲜气体流量信息以虚拟流量计的形式显示在屏幕上。</w:t>
      </w:r>
    </w:p>
    <w:p w14:paraId="7EA24E4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（二）麻醉呼吸机</w:t>
      </w:r>
    </w:p>
    <w:p w14:paraId="796870F7">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电动电控或气动电控呼吸机，在中央气源和钢瓶供气中断的情况下可抽取室内空气，呼吸机继续进行机械通气，保证病人安全。</w:t>
      </w:r>
    </w:p>
    <w:p w14:paraId="6796E2BA">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 xml:space="preserve">通气模式：标配：手动/自主、容量控制模式、压力控制模式，待机和暂停 </w:t>
      </w:r>
    </w:p>
    <w:p w14:paraId="0CDEF7A9">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容量控制模式下潮气量设定范围: 10 - 1500 ml</w:t>
      </w:r>
    </w:p>
    <w:p w14:paraId="6FF245C3">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 xml:space="preserve">吸气压力 </w:t>
      </w:r>
      <w:r>
        <w:rPr>
          <w:rFonts w:hint="eastAsia" w:ascii="仿宋" w:hAnsi="仿宋" w:eastAsia="仿宋" w:cs="仿宋"/>
          <w:kern w:val="0"/>
          <w:sz w:val="24"/>
          <w:szCs w:val="24"/>
        </w:rPr>
        <w:t>Pinsp</w:t>
      </w:r>
      <w:r>
        <w:rPr>
          <w:rStyle w:val="24"/>
          <w:rFonts w:hint="eastAsia" w:ascii="仿宋" w:hAnsi="仿宋" w:eastAsia="仿宋" w:cs="仿宋"/>
          <w:sz w:val="24"/>
          <w:szCs w:val="24"/>
        </w:rPr>
        <w:t xml:space="preserve"> : (PEEP + 5) - 80 cmH2O（压力模式下）</w:t>
      </w:r>
    </w:p>
    <w:p w14:paraId="6249543A">
      <w:pPr>
        <w:pageBreakBefore w:val="0"/>
        <w:numPr>
          <w:ilvl w:val="0"/>
          <w:numId w:val="13"/>
        </w:numPr>
        <w:tabs>
          <w:tab w:val="left" w:pos="360"/>
          <w:tab w:val="clear" w:pos="420"/>
        </w:tabs>
        <w:kinsoku/>
        <w:wordWrap/>
        <w:topLinePunct w:val="0"/>
        <w:bidi w:val="0"/>
        <w:spacing w:line="360" w:lineRule="auto"/>
        <w:ind w:left="342" w:hanging="410" w:hangingChars="171"/>
        <w:rPr>
          <w:rStyle w:val="24"/>
          <w:rFonts w:hint="eastAsia" w:ascii="仿宋" w:hAnsi="仿宋" w:eastAsia="仿宋" w:cs="仿宋"/>
          <w:sz w:val="24"/>
          <w:szCs w:val="24"/>
        </w:rPr>
      </w:pPr>
      <w:r>
        <w:rPr>
          <w:rFonts w:hint="eastAsia" w:ascii="仿宋" w:hAnsi="仿宋" w:eastAsia="仿宋" w:cs="仿宋"/>
          <w:kern w:val="0"/>
          <w:sz w:val="24"/>
          <w:szCs w:val="24"/>
        </w:rPr>
        <w:t>压力限制 Pmax：</w:t>
      </w:r>
      <w:r>
        <w:rPr>
          <w:rStyle w:val="24"/>
          <w:rFonts w:hint="eastAsia" w:ascii="仿宋" w:hAnsi="仿宋" w:eastAsia="仿宋" w:cs="仿宋"/>
          <w:sz w:val="24"/>
          <w:szCs w:val="24"/>
        </w:rPr>
        <w:t>(PEEP + 10) - 80 cmH2O</w:t>
      </w:r>
    </w:p>
    <w:p w14:paraId="247CDA73">
      <w:pPr>
        <w:pageBreakBefore w:val="0"/>
        <w:numPr>
          <w:ilvl w:val="0"/>
          <w:numId w:val="13"/>
        </w:numPr>
        <w:kinsoku/>
        <w:wordWrap/>
        <w:topLinePunct w:val="0"/>
        <w:bidi w:val="0"/>
        <w:spacing w:line="360" w:lineRule="auto"/>
        <w:rPr>
          <w:rStyle w:val="24"/>
          <w:rFonts w:hint="eastAsia" w:ascii="仿宋" w:hAnsi="仿宋" w:eastAsia="仿宋" w:cs="仿宋"/>
          <w:sz w:val="24"/>
          <w:szCs w:val="24"/>
        </w:rPr>
      </w:pPr>
      <w:r>
        <w:rPr>
          <w:rStyle w:val="24"/>
          <w:rFonts w:hint="eastAsia" w:ascii="仿宋" w:hAnsi="仿宋" w:eastAsia="仿宋" w:cs="仿宋"/>
          <w:sz w:val="24"/>
          <w:szCs w:val="24"/>
        </w:rPr>
        <w:t>压力支持 ΔPsupp：关，3 - (80-PEEP) cmH2O</w:t>
      </w:r>
    </w:p>
    <w:p w14:paraId="340A8E8D">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呼气末正压PEEP：2 - 35 cmH2O。</w:t>
      </w:r>
    </w:p>
    <w:p w14:paraId="5BA39698">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呼吸频率: 3 - 100 次/分</w:t>
      </w:r>
    </w:p>
    <w:p w14:paraId="53E9AD05">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吸气时间：0.2 - 10秒</w:t>
      </w:r>
    </w:p>
    <w:p w14:paraId="4A788E9E">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吸呼比：1:49 - 49:1（源于频率和吸气时间）</w:t>
      </w:r>
    </w:p>
    <w:p w14:paraId="16488E83">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*最大吸气流速为≥150 L/min</w:t>
      </w:r>
    </w:p>
    <w:p w14:paraId="5EA2F6BA">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同步容量和同步压力通气时流量触发可调节，流量触发 : 0.3 - 15 L/min</w:t>
      </w:r>
    </w:p>
    <w:p w14:paraId="7691358A">
      <w:pPr>
        <w:pageBreakBefore w:val="0"/>
        <w:numPr>
          <w:ilvl w:val="0"/>
          <w:numId w:val="13"/>
        </w:numPr>
        <w:tabs>
          <w:tab w:val="left" w:pos="360"/>
          <w:tab w:val="clear" w:pos="420"/>
        </w:tabs>
        <w:kinsoku/>
        <w:wordWrap/>
        <w:topLinePunct w:val="0"/>
        <w:bidi w:val="0"/>
        <w:spacing w:line="360" w:lineRule="auto"/>
        <w:ind w:left="342" w:hanging="410" w:hangingChars="171"/>
        <w:rPr>
          <w:rStyle w:val="24"/>
          <w:rFonts w:hint="eastAsia" w:ascii="仿宋" w:hAnsi="仿宋" w:eastAsia="仿宋" w:cs="仿宋"/>
          <w:sz w:val="24"/>
          <w:szCs w:val="24"/>
        </w:rPr>
      </w:pPr>
      <w:r>
        <w:rPr>
          <w:rFonts w:hint="eastAsia" w:ascii="仿宋" w:hAnsi="仿宋" w:eastAsia="仿宋" w:cs="仿宋"/>
          <w:kern w:val="0"/>
          <w:sz w:val="24"/>
          <w:szCs w:val="24"/>
        </w:rPr>
        <w:t>压力上升时间 Slope：</w:t>
      </w:r>
      <w:r>
        <w:rPr>
          <w:rStyle w:val="24"/>
          <w:rFonts w:hint="eastAsia" w:ascii="仿宋" w:hAnsi="仿宋" w:eastAsia="仿宋" w:cs="仿宋"/>
          <w:sz w:val="24"/>
          <w:szCs w:val="24"/>
        </w:rPr>
        <w:t>0 - 2秒</w:t>
      </w:r>
    </w:p>
    <w:p w14:paraId="592B486C">
      <w:pPr>
        <w:pageBreakBefore w:val="0"/>
        <w:numPr>
          <w:ilvl w:val="0"/>
          <w:numId w:val="13"/>
        </w:numPr>
        <w:tabs>
          <w:tab w:val="left" w:pos="360"/>
          <w:tab w:val="clear" w:pos="420"/>
        </w:tabs>
        <w:kinsoku/>
        <w:wordWrap/>
        <w:topLinePunct w:val="0"/>
        <w:bidi w:val="0"/>
        <w:spacing w:line="360" w:lineRule="auto"/>
        <w:ind w:left="342" w:hanging="410" w:hangingChars="171"/>
        <w:rPr>
          <w:rStyle w:val="24"/>
          <w:rFonts w:hint="eastAsia" w:ascii="仿宋" w:hAnsi="仿宋" w:eastAsia="仿宋" w:cs="仿宋"/>
          <w:sz w:val="24"/>
          <w:szCs w:val="24"/>
        </w:rPr>
      </w:pPr>
      <w:r>
        <w:rPr>
          <w:rFonts w:hint="eastAsia" w:ascii="仿宋" w:hAnsi="仿宋" w:eastAsia="仿宋" w:cs="仿宋"/>
          <w:kern w:val="0"/>
          <w:sz w:val="24"/>
          <w:szCs w:val="24"/>
        </w:rPr>
        <w:t>压力支持模式下自主呼吸的吸气终止标准：</w:t>
      </w:r>
      <w:r>
        <w:rPr>
          <w:rStyle w:val="24"/>
          <w:rFonts w:hint="eastAsia" w:ascii="仿宋" w:hAnsi="仿宋" w:eastAsia="仿宋" w:cs="仿宋"/>
          <w:sz w:val="24"/>
          <w:szCs w:val="24"/>
        </w:rPr>
        <w:t>5 - 80 %</w:t>
      </w:r>
    </w:p>
    <w:p w14:paraId="54FE84B7">
      <w:pPr>
        <w:pageBreakBefore w:val="0"/>
        <w:numPr>
          <w:ilvl w:val="0"/>
          <w:numId w:val="13"/>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可根据病人的理想体重预设相关的通气参数</w:t>
      </w:r>
    </w:p>
    <w:p w14:paraId="234ED8A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（三）呼吸回路：</w:t>
      </w:r>
    </w:p>
    <w:p w14:paraId="65EDD4BE">
      <w:pPr>
        <w:pageBreakBefore w:val="0"/>
        <w:numPr>
          <w:ilvl w:val="0"/>
          <w:numId w:val="14"/>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lang w:val="en-US" w:eastAsia="zh-CN"/>
        </w:rPr>
        <w:t>集成呼吸回路，耐134C高温蒸汽灭菌。</w:t>
      </w:r>
    </w:p>
    <w:p w14:paraId="74FE0641">
      <w:pPr>
        <w:pageBreakBefore w:val="0"/>
        <w:numPr>
          <w:ilvl w:val="0"/>
          <w:numId w:val="14"/>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bookmarkStart w:id="203" w:name="_GoBack"/>
      <w:bookmarkEnd w:id="203"/>
      <w:r>
        <w:rPr>
          <w:rStyle w:val="24"/>
          <w:rFonts w:hint="eastAsia" w:ascii="仿宋" w:hAnsi="仿宋" w:eastAsia="仿宋" w:cs="仿宋"/>
          <w:sz w:val="24"/>
          <w:szCs w:val="24"/>
        </w:rPr>
        <w:t>回路主动加热系统，防止呼吸回路积水。</w:t>
      </w:r>
    </w:p>
    <w:p w14:paraId="0C8E57BD">
      <w:pPr>
        <w:pageBreakBefore w:val="0"/>
        <w:numPr>
          <w:ilvl w:val="0"/>
          <w:numId w:val="14"/>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APL阀调节范围，5-70cmH20。</w:t>
      </w:r>
    </w:p>
    <w:p w14:paraId="33BBF80A">
      <w:pPr>
        <w:pageBreakBefore w:val="0"/>
        <w:numPr>
          <w:ilvl w:val="0"/>
          <w:numId w:val="14"/>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标配5个流量传感器，可自动标定。</w:t>
      </w:r>
    </w:p>
    <w:p w14:paraId="54E5D212">
      <w:pPr>
        <w:pageBreakBefore w:val="0"/>
        <w:numPr>
          <w:ilvl w:val="0"/>
          <w:numId w:val="14"/>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CO2吸收罐容量≥1.5升</w:t>
      </w:r>
    </w:p>
    <w:p w14:paraId="481A2E44">
      <w:pPr>
        <w:pageBreakBefore w:val="0"/>
        <w:numPr>
          <w:ilvl w:val="0"/>
          <w:numId w:val="14"/>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标配主动式麻醉废气排放装置（AGSS），可监测负压吸引的状态（过高，合适，过低），具有采样气体排放接口便于使用第三方气体监测设备。</w:t>
      </w:r>
    </w:p>
    <w:p w14:paraId="4EDB0AB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（四）麻醉气体挥发罐</w:t>
      </w:r>
    </w:p>
    <w:p w14:paraId="3B90844A">
      <w:pPr>
        <w:pageBreakBefore w:val="0"/>
        <w:numPr>
          <w:ilvl w:val="0"/>
          <w:numId w:val="15"/>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挥发罐与麻醉机主机为同一厂家生产</w:t>
      </w:r>
    </w:p>
    <w:p w14:paraId="6D283D7D">
      <w:pPr>
        <w:pageBreakBefore w:val="0"/>
        <w:numPr>
          <w:ilvl w:val="0"/>
          <w:numId w:val="15"/>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原装进口挥发罐，具有压力、流量、温度自动补偿；密闭性好，无需排空转运</w:t>
      </w:r>
    </w:p>
    <w:p w14:paraId="4EEB8513">
      <w:pPr>
        <w:pageBreakBefore w:val="0"/>
        <w:numPr>
          <w:ilvl w:val="0"/>
          <w:numId w:val="15"/>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双罐位或单罐位，加药量≥300毫升</w:t>
      </w:r>
    </w:p>
    <w:p w14:paraId="68658470">
      <w:pPr>
        <w:pageBreakBefore w:val="0"/>
        <w:numPr>
          <w:ilvl w:val="0"/>
          <w:numId w:val="15"/>
        </w:numPr>
        <w:tabs>
          <w:tab w:val="left" w:pos="360"/>
          <w:tab w:val="clear" w:pos="420"/>
        </w:tabs>
        <w:kinsoku/>
        <w:wordWrap/>
        <w:topLinePunct w:val="0"/>
        <w:bidi w:val="0"/>
        <w:spacing w:line="360" w:lineRule="auto"/>
        <w:ind w:left="0" w:firstLine="0"/>
        <w:rPr>
          <w:rFonts w:hint="eastAsia" w:ascii="仿宋" w:hAnsi="仿宋" w:eastAsia="仿宋" w:cs="仿宋"/>
          <w:sz w:val="24"/>
          <w:szCs w:val="24"/>
        </w:rPr>
      </w:pPr>
      <w:r>
        <w:rPr>
          <w:rFonts w:hint="eastAsia" w:ascii="仿宋" w:hAnsi="仿宋" w:eastAsia="仿宋" w:cs="仿宋"/>
          <w:sz w:val="24"/>
          <w:szCs w:val="24"/>
        </w:rPr>
        <w:t>配置一个七氟醚挥发罐，可选配原厂同品牌地氟醚挥发罐。</w:t>
      </w:r>
    </w:p>
    <w:p w14:paraId="22061D50">
      <w:pPr>
        <w:pageBreakBefore w:val="0"/>
        <w:numPr>
          <w:ilvl w:val="0"/>
          <w:numId w:val="15"/>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只需出厂一次定标，终身免维护。</w:t>
      </w:r>
    </w:p>
    <w:p w14:paraId="4AEB3529">
      <w:pPr>
        <w:pageBreakBefore w:val="0"/>
        <w:numPr>
          <w:ilvl w:val="0"/>
          <w:numId w:val="15"/>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能够满足低/微流量麻醉对挥发罐精确度的要求，流量补偿范围在0.2 - 15L/min。</w:t>
      </w:r>
    </w:p>
    <w:p w14:paraId="0205E79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（五）监测和报警</w:t>
      </w:r>
    </w:p>
    <w:p w14:paraId="0562FD43">
      <w:pPr>
        <w:pageBreakBefore w:val="0"/>
        <w:numPr>
          <w:ilvl w:val="0"/>
          <w:numId w:val="16"/>
        </w:numPr>
        <w:kinsoku/>
        <w:wordWrap/>
        <w:topLinePunct w:val="0"/>
        <w:bidi w:val="0"/>
        <w:spacing w:line="360" w:lineRule="auto"/>
        <w:rPr>
          <w:rStyle w:val="24"/>
          <w:rFonts w:hint="eastAsia" w:ascii="仿宋" w:hAnsi="仿宋" w:eastAsia="仿宋" w:cs="仿宋"/>
          <w:sz w:val="24"/>
          <w:szCs w:val="24"/>
        </w:rPr>
      </w:pPr>
      <w:r>
        <w:rPr>
          <w:rStyle w:val="24"/>
          <w:rFonts w:hint="eastAsia" w:ascii="仿宋" w:hAnsi="仿宋" w:eastAsia="仿宋" w:cs="仿宋"/>
          <w:sz w:val="24"/>
          <w:szCs w:val="24"/>
        </w:rPr>
        <w:t>内置式≥15.3寸彩色触摸幕，可</w:t>
      </w:r>
      <w:r>
        <w:rPr>
          <w:rFonts w:hint="eastAsia" w:ascii="仿宋" w:hAnsi="仿宋" w:eastAsia="仿宋" w:cs="仿宋"/>
          <w:kern w:val="0"/>
          <w:sz w:val="24"/>
          <w:szCs w:val="24"/>
        </w:rPr>
        <w:t>快捷切换3种配置视图</w:t>
      </w:r>
      <w:r>
        <w:rPr>
          <w:rStyle w:val="24"/>
          <w:rFonts w:hint="eastAsia" w:ascii="仿宋" w:hAnsi="仿宋" w:eastAsia="仿宋" w:cs="仿宋"/>
          <w:sz w:val="24"/>
          <w:szCs w:val="24"/>
        </w:rPr>
        <w:t>；≥1280 x 768像素。</w:t>
      </w:r>
    </w:p>
    <w:p w14:paraId="7EC92812">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全自动的开机自检，用户可选择全或部分自检功能，既能保证安全的使用，又能保证紧急抢救时的快速启动。</w:t>
      </w:r>
    </w:p>
    <w:p w14:paraId="7F6F0E8B">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全自动的顺应性和泄漏测试，自动标定所有传感器。</w:t>
      </w:r>
    </w:p>
    <w:p w14:paraId="5B58A638">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实时显示2 - 3道波形</w:t>
      </w:r>
    </w:p>
    <w:p w14:paraId="2E5F4D2E">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标配数字趋势；可显示小趋势和图形趋势，并能把趋势数据输出至USB存储器（需选配“先进趋势”）</w:t>
      </w:r>
    </w:p>
    <w:p w14:paraId="194324E7">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日志中可保存&gt;10000个条目</w:t>
      </w:r>
    </w:p>
    <w:p w14:paraId="66A55EC6">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通气监测参数：分钟通气量（MV）和潮气量（VT和ΔVT）；呼吸频率；气道压（峰压、平台压、平均压、PEEP）；动态顺应性（Cdyn）；阻力（R）；弹性（E）。</w:t>
      </w:r>
    </w:p>
    <w:p w14:paraId="2404607D">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监测范围：压力：-20 - 99 cmH2O；潮气量监测范围：0 - 2500 mL；顺应性: 0 - 200 mL/ cmH2O；阻力：0 - 100 cmH2O/L/s；弹性：0.005 - 10 mL/ cmH2O。</w:t>
      </w:r>
    </w:p>
    <w:p w14:paraId="5E4CDF43">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气体模块监测参数：O2、N2O、CO2及5种麻醉气体（自动识别）吸入和呼出浓度；可侦测混合麻醉气体；经年龄校正的xMAC值计算和显示。氧浓度监测采用顺磁氧技术，无耗品。</w:t>
      </w:r>
    </w:p>
    <w:p w14:paraId="1661EC37">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报警参数：氧浓度、潮气量、分钟通气量、窒息报警、气道压力报警等。</w:t>
      </w:r>
    </w:p>
    <w:p w14:paraId="3854A371">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自动设置功能（Autoset）可自动调节所有报警限值。</w:t>
      </w:r>
    </w:p>
    <w:p w14:paraId="3B9EDF6B">
      <w:pPr>
        <w:pageBreakBefore w:val="0"/>
        <w:numPr>
          <w:ilvl w:val="0"/>
          <w:numId w:val="16"/>
        </w:numPr>
        <w:tabs>
          <w:tab w:val="left" w:pos="360"/>
          <w:tab w:val="clear" w:pos="420"/>
        </w:tabs>
        <w:kinsoku/>
        <w:wordWrap/>
        <w:topLinePunct w:val="0"/>
        <w:bidi w:val="0"/>
        <w:spacing w:line="360" w:lineRule="auto"/>
        <w:ind w:left="359" w:hanging="410" w:hangingChars="171"/>
        <w:rPr>
          <w:rStyle w:val="24"/>
          <w:rFonts w:hint="eastAsia" w:ascii="仿宋" w:hAnsi="仿宋" w:eastAsia="仿宋" w:cs="仿宋"/>
          <w:sz w:val="24"/>
          <w:szCs w:val="24"/>
        </w:rPr>
      </w:pPr>
      <w:r>
        <w:rPr>
          <w:rStyle w:val="24"/>
          <w:rFonts w:hint="eastAsia" w:ascii="仿宋" w:hAnsi="仿宋" w:eastAsia="仿宋" w:cs="仿宋"/>
          <w:sz w:val="24"/>
          <w:szCs w:val="24"/>
        </w:rPr>
        <w:t>CBM模式（心脏旁路模式）用于在使用体外循环机时抑制相应报警。</w:t>
      </w:r>
    </w:p>
    <w:p w14:paraId="4B2FB73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（六）其它</w:t>
      </w:r>
    </w:p>
    <w:p w14:paraId="4616DF9A">
      <w:pPr>
        <w:pageBreakBefore w:val="0"/>
        <w:numPr>
          <w:ilvl w:val="0"/>
          <w:numId w:val="17"/>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内置后备电池，使用时间</w:t>
      </w:r>
      <w:r>
        <w:rPr>
          <w:rFonts w:hint="eastAsia" w:ascii="仿宋" w:hAnsi="仿宋" w:eastAsia="仿宋" w:cs="仿宋"/>
          <w:sz w:val="24"/>
          <w:szCs w:val="24"/>
        </w:rPr>
        <w:t>≥</w:t>
      </w:r>
      <w:r>
        <w:rPr>
          <w:rStyle w:val="24"/>
          <w:rFonts w:hint="eastAsia" w:ascii="仿宋" w:hAnsi="仿宋" w:eastAsia="仿宋" w:cs="仿宋"/>
          <w:sz w:val="24"/>
          <w:szCs w:val="24"/>
        </w:rPr>
        <w:t>45分钟</w:t>
      </w:r>
    </w:p>
    <w:p w14:paraId="08915FDC">
      <w:pPr>
        <w:pageBreakBefore w:val="0"/>
        <w:numPr>
          <w:ilvl w:val="0"/>
          <w:numId w:val="17"/>
        </w:numPr>
        <w:tabs>
          <w:tab w:val="left" w:pos="360"/>
          <w:tab w:val="clear" w:pos="420"/>
        </w:tabs>
        <w:kinsoku/>
        <w:wordWrap/>
        <w:topLinePunct w:val="0"/>
        <w:bidi w:val="0"/>
        <w:spacing w:line="360" w:lineRule="auto"/>
        <w:ind w:left="0" w:firstLine="0"/>
        <w:rPr>
          <w:rStyle w:val="24"/>
          <w:rFonts w:hint="eastAsia" w:ascii="仿宋" w:hAnsi="仿宋" w:eastAsia="仿宋" w:cs="仿宋"/>
          <w:sz w:val="24"/>
          <w:szCs w:val="24"/>
        </w:rPr>
      </w:pPr>
      <w:r>
        <w:rPr>
          <w:rStyle w:val="24"/>
          <w:rFonts w:hint="eastAsia" w:ascii="仿宋" w:hAnsi="仿宋" w:eastAsia="仿宋" w:cs="仿宋"/>
          <w:sz w:val="24"/>
          <w:szCs w:val="24"/>
        </w:rPr>
        <w:t>传输协议：Medibus X</w:t>
      </w:r>
    </w:p>
    <w:p w14:paraId="7753BC1B">
      <w:pPr>
        <w:pageBreakBefore w:val="0"/>
        <w:numPr>
          <w:ilvl w:val="0"/>
          <w:numId w:val="17"/>
        </w:numPr>
        <w:tabs>
          <w:tab w:val="left" w:pos="360"/>
          <w:tab w:val="clear" w:pos="420"/>
        </w:tabs>
        <w:kinsoku/>
        <w:wordWrap/>
        <w:topLinePunct w:val="0"/>
        <w:bidi w:val="0"/>
        <w:spacing w:line="360" w:lineRule="auto"/>
        <w:ind w:left="0" w:firstLine="0"/>
        <w:rPr>
          <w:rFonts w:hint="eastAsia" w:ascii="仿宋" w:hAnsi="仿宋" w:eastAsia="仿宋" w:cs="仿宋"/>
          <w:sz w:val="24"/>
          <w:szCs w:val="24"/>
        </w:rPr>
      </w:pPr>
      <w:r>
        <w:rPr>
          <w:rStyle w:val="24"/>
          <w:rFonts w:hint="eastAsia" w:ascii="仿宋" w:hAnsi="仿宋" w:eastAsia="仿宋" w:cs="仿宋"/>
          <w:sz w:val="24"/>
          <w:szCs w:val="24"/>
        </w:rPr>
        <w:t>接口：标配2个RS232，1个USB，1个RJ45</w:t>
      </w:r>
      <w:r>
        <w:rPr>
          <w:rFonts w:hint="eastAsia" w:ascii="仿宋" w:hAnsi="仿宋" w:eastAsia="仿宋" w:cs="仿宋"/>
          <w:b/>
          <w:sz w:val="24"/>
          <w:szCs w:val="24"/>
        </w:rPr>
        <w:t xml:space="preserve"> </w:t>
      </w:r>
    </w:p>
    <w:p w14:paraId="16F6DE42">
      <w:pPr>
        <w:pageBreakBefore w:val="0"/>
        <w:numPr>
          <w:ilvl w:val="0"/>
          <w:numId w:val="0"/>
        </w:numPr>
        <w:tabs>
          <w:tab w:val="left" w:pos="360"/>
        </w:tabs>
        <w:kinsoku/>
        <w:wordWrap/>
        <w:topLinePunct w:val="0"/>
        <w:bidi w:val="0"/>
        <w:spacing w:line="360" w:lineRule="auto"/>
        <w:ind w:leftChars="0"/>
        <w:rPr>
          <w:rFonts w:hint="eastAsia" w:ascii="仿宋" w:hAnsi="仿宋" w:eastAsia="仿宋" w:cs="仿宋"/>
          <w:b/>
          <w:sz w:val="40"/>
        </w:rPr>
      </w:pPr>
    </w:p>
    <w:p w14:paraId="01B18D25">
      <w:pPr>
        <w:pageBreakBefore w:val="0"/>
        <w:numPr>
          <w:ilvl w:val="0"/>
          <w:numId w:val="0"/>
        </w:numPr>
        <w:tabs>
          <w:tab w:val="left" w:pos="360"/>
        </w:tabs>
        <w:kinsoku/>
        <w:wordWrap/>
        <w:topLinePunct w:val="0"/>
        <w:bidi w:val="0"/>
        <w:spacing w:line="360" w:lineRule="auto"/>
        <w:ind w:leftChars="0"/>
        <w:rPr>
          <w:rFonts w:hint="eastAsia" w:ascii="仿宋" w:hAnsi="仿宋" w:eastAsia="仿宋" w:cs="仿宋"/>
          <w:sz w:val="22"/>
          <w:szCs w:val="22"/>
        </w:rPr>
      </w:pPr>
      <w:r>
        <w:rPr>
          <w:rFonts w:hint="eastAsia" w:ascii="仿宋" w:hAnsi="仿宋" w:eastAsia="仿宋" w:cs="仿宋"/>
          <w:b/>
          <w:sz w:val="40"/>
        </w:rPr>
        <w:t xml:space="preserve"> </w:t>
      </w:r>
    </w:p>
    <w:p w14:paraId="74446E91">
      <w:pPr>
        <w:pStyle w:val="8"/>
        <w:pageBreakBefore w:val="0"/>
        <w:tabs>
          <w:tab w:val="left" w:pos="567"/>
        </w:tabs>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八</w:t>
      </w:r>
      <w:r>
        <w:rPr>
          <w:rFonts w:hint="eastAsia" w:ascii="仿宋" w:hAnsi="仿宋" w:eastAsia="仿宋" w:cs="仿宋"/>
          <w:bCs/>
          <w:sz w:val="30"/>
          <w:szCs w:val="30"/>
        </w:rPr>
        <w:t>：</w:t>
      </w:r>
    </w:p>
    <w:p w14:paraId="562B62D0">
      <w:pPr>
        <w:pStyle w:val="9"/>
        <w:pageBreakBefore w:val="0"/>
        <w:kinsoku/>
        <w:wordWrap/>
        <w:topLinePunct w:val="0"/>
        <w:bidi w:val="0"/>
        <w:spacing w:line="360" w:lineRule="auto"/>
        <w:ind w:firstLine="2560" w:firstLineChars="800"/>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t>骨科</w:t>
      </w:r>
      <w:r>
        <w:rPr>
          <w:rFonts w:hint="eastAsia" w:ascii="仿宋" w:hAnsi="仿宋" w:eastAsia="仿宋" w:cs="仿宋"/>
          <w:b/>
          <w:color w:val="auto"/>
          <w:kern w:val="2"/>
          <w:sz w:val="32"/>
          <w:szCs w:val="32"/>
          <w:lang w:val="en-US" w:eastAsia="zh-CN"/>
        </w:rPr>
        <w:t>专用</w:t>
      </w:r>
      <w:r>
        <w:rPr>
          <w:rFonts w:hint="eastAsia" w:ascii="仿宋" w:hAnsi="仿宋" w:eastAsia="仿宋" w:cs="仿宋"/>
          <w:b/>
          <w:color w:val="auto"/>
          <w:kern w:val="2"/>
          <w:sz w:val="32"/>
          <w:szCs w:val="32"/>
        </w:rPr>
        <w:t>手术床技术参数</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027"/>
      </w:tblGrid>
      <w:tr w14:paraId="44E3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32" w:type="dxa"/>
            <w:noWrap w:val="0"/>
            <w:vAlign w:val="center"/>
          </w:tcPr>
          <w:p w14:paraId="110A2158">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rPr>
              <w:t>、</w:t>
            </w:r>
          </w:p>
        </w:tc>
        <w:tc>
          <w:tcPr>
            <w:tcW w:w="8027" w:type="dxa"/>
            <w:noWrap w:val="0"/>
            <w:vAlign w:val="center"/>
          </w:tcPr>
          <w:p w14:paraId="6479FAC1">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技术参数规格</w:t>
            </w:r>
          </w:p>
        </w:tc>
      </w:tr>
      <w:tr w14:paraId="4B54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32" w:type="dxa"/>
            <w:noWrap w:val="0"/>
            <w:vAlign w:val="center"/>
          </w:tcPr>
          <w:p w14:paraId="13B5CCAF">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27" w:type="dxa"/>
            <w:noWrap w:val="0"/>
            <w:vAlign w:val="center"/>
          </w:tcPr>
          <w:p w14:paraId="626EA60A">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最高上升高度：≥1050mm</w:t>
            </w:r>
          </w:p>
        </w:tc>
      </w:tr>
      <w:tr w14:paraId="3E4D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2" w:type="dxa"/>
            <w:noWrap w:val="0"/>
            <w:vAlign w:val="center"/>
          </w:tcPr>
          <w:p w14:paraId="688A1DD5">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27" w:type="dxa"/>
            <w:noWrap w:val="0"/>
            <w:vAlign w:val="center"/>
          </w:tcPr>
          <w:p w14:paraId="599ED670">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最低下降高度≥760mm</w:t>
            </w:r>
          </w:p>
        </w:tc>
      </w:tr>
      <w:tr w14:paraId="5BBD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32" w:type="dxa"/>
            <w:noWrap w:val="0"/>
            <w:vAlign w:val="center"/>
          </w:tcPr>
          <w:p w14:paraId="75DBFCD3">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027" w:type="dxa"/>
            <w:noWrap w:val="0"/>
            <w:vAlign w:val="center"/>
          </w:tcPr>
          <w:p w14:paraId="35AE6AFF">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手术床宽度：≤500mm，满足手术医生手术操作的便利及需求。</w:t>
            </w:r>
          </w:p>
        </w:tc>
      </w:tr>
      <w:tr w14:paraId="3ADD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32" w:type="dxa"/>
            <w:noWrap w:val="0"/>
            <w:vAlign w:val="center"/>
          </w:tcPr>
          <w:p w14:paraId="4CE9A111">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027" w:type="dxa"/>
            <w:noWrap w:val="0"/>
            <w:vAlign w:val="center"/>
          </w:tcPr>
          <w:p w14:paraId="6437E7C0">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电动纵向倾角：≥＋26</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－26</w:t>
            </w:r>
            <w:r>
              <w:rPr>
                <w:rFonts w:hint="eastAsia" w:ascii="仿宋" w:hAnsi="仿宋" w:eastAsia="仿宋" w:cs="仿宋"/>
                <w:kern w:val="0"/>
                <w:sz w:val="24"/>
                <w:szCs w:val="24"/>
                <w:vertAlign w:val="superscript"/>
              </w:rPr>
              <w:t>0</w:t>
            </w:r>
          </w:p>
        </w:tc>
      </w:tr>
      <w:tr w14:paraId="2A0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532" w:type="dxa"/>
            <w:noWrap w:val="0"/>
            <w:vAlign w:val="center"/>
          </w:tcPr>
          <w:p w14:paraId="4A61AEC7">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027" w:type="dxa"/>
            <w:noWrap w:val="0"/>
            <w:vAlign w:val="center"/>
          </w:tcPr>
          <w:p w14:paraId="44522000">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电动横向倾角：≥＋20</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－20</w:t>
            </w:r>
            <w:r>
              <w:rPr>
                <w:rFonts w:hint="eastAsia" w:ascii="仿宋" w:hAnsi="仿宋" w:eastAsia="仿宋" w:cs="仿宋"/>
                <w:kern w:val="0"/>
                <w:sz w:val="24"/>
                <w:szCs w:val="24"/>
                <w:vertAlign w:val="superscript"/>
              </w:rPr>
              <w:t>0</w:t>
            </w:r>
          </w:p>
        </w:tc>
      </w:tr>
      <w:tr w14:paraId="4D5F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32" w:type="dxa"/>
            <w:noWrap w:val="0"/>
            <w:vAlign w:val="center"/>
          </w:tcPr>
          <w:p w14:paraId="0A3B2598">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027" w:type="dxa"/>
            <w:noWrap w:val="0"/>
            <w:vAlign w:val="center"/>
          </w:tcPr>
          <w:p w14:paraId="60F8DBF0">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头板上/下：≥＋60</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－90</w:t>
            </w:r>
            <w:r>
              <w:rPr>
                <w:rFonts w:hint="eastAsia" w:ascii="仿宋" w:hAnsi="仿宋" w:eastAsia="仿宋" w:cs="仿宋"/>
                <w:kern w:val="0"/>
                <w:sz w:val="24"/>
                <w:szCs w:val="24"/>
                <w:vertAlign w:val="superscript"/>
              </w:rPr>
              <w:t>0</w:t>
            </w:r>
          </w:p>
        </w:tc>
      </w:tr>
      <w:tr w14:paraId="7D35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32" w:type="dxa"/>
            <w:noWrap w:val="0"/>
            <w:vAlign w:val="center"/>
          </w:tcPr>
          <w:p w14:paraId="212EF3D6">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027" w:type="dxa"/>
            <w:noWrap w:val="0"/>
            <w:vAlign w:val="center"/>
          </w:tcPr>
          <w:p w14:paraId="4D9D52F5">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电动控制背板上/下：≥＋80</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－40</w:t>
            </w:r>
            <w:r>
              <w:rPr>
                <w:rFonts w:hint="eastAsia" w:ascii="仿宋" w:hAnsi="仿宋" w:eastAsia="仿宋" w:cs="仿宋"/>
                <w:kern w:val="0"/>
                <w:sz w:val="24"/>
                <w:szCs w:val="24"/>
                <w:vertAlign w:val="superscript"/>
              </w:rPr>
              <w:t>0</w:t>
            </w:r>
          </w:p>
        </w:tc>
      </w:tr>
      <w:tr w14:paraId="6CA6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32" w:type="dxa"/>
            <w:noWrap w:val="0"/>
            <w:vAlign w:val="center"/>
          </w:tcPr>
          <w:p w14:paraId="28D90379">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027" w:type="dxa"/>
            <w:noWrap w:val="0"/>
            <w:vAlign w:val="center"/>
          </w:tcPr>
          <w:p w14:paraId="157069F2">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腿板上/下:≥＋15</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－90</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，水平展开＋0</w:t>
            </w:r>
            <w:r>
              <w:rPr>
                <w:rFonts w:hint="eastAsia" w:ascii="仿宋" w:hAnsi="仿宋" w:eastAsia="仿宋" w:cs="仿宋"/>
                <w:kern w:val="0"/>
                <w:sz w:val="24"/>
                <w:szCs w:val="24"/>
                <w:vertAlign w:val="superscript"/>
              </w:rPr>
              <w:t>0</w:t>
            </w:r>
            <w:r>
              <w:rPr>
                <w:rFonts w:hint="eastAsia" w:ascii="仿宋" w:hAnsi="仿宋" w:eastAsia="仿宋" w:cs="仿宋"/>
                <w:kern w:val="0"/>
                <w:sz w:val="24"/>
                <w:szCs w:val="24"/>
              </w:rPr>
              <w:t>－90</w:t>
            </w:r>
            <w:r>
              <w:rPr>
                <w:rFonts w:hint="eastAsia" w:ascii="仿宋" w:hAnsi="仿宋" w:eastAsia="仿宋" w:cs="仿宋"/>
                <w:kern w:val="0"/>
                <w:sz w:val="24"/>
                <w:szCs w:val="24"/>
                <w:vertAlign w:val="superscript"/>
              </w:rPr>
              <w:t>0</w:t>
            </w:r>
          </w:p>
        </w:tc>
      </w:tr>
      <w:tr w14:paraId="0D5D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32" w:type="dxa"/>
            <w:noWrap w:val="0"/>
            <w:vAlign w:val="center"/>
          </w:tcPr>
          <w:p w14:paraId="6DD03415">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rPr>
              <w:t>、</w:t>
            </w:r>
          </w:p>
        </w:tc>
        <w:tc>
          <w:tcPr>
            <w:tcW w:w="8027" w:type="dxa"/>
            <w:noWrap w:val="0"/>
            <w:vAlign w:val="center"/>
          </w:tcPr>
          <w:p w14:paraId="1F44C754">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配置清单：</w:t>
            </w:r>
          </w:p>
        </w:tc>
      </w:tr>
      <w:tr w14:paraId="72EB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32" w:type="dxa"/>
            <w:noWrap w:val="0"/>
            <w:vAlign w:val="center"/>
          </w:tcPr>
          <w:p w14:paraId="37E812F7">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27" w:type="dxa"/>
            <w:noWrap w:val="0"/>
            <w:vAlign w:val="center"/>
          </w:tcPr>
          <w:p w14:paraId="4AD0946F">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主床体：1台</w:t>
            </w:r>
          </w:p>
        </w:tc>
      </w:tr>
      <w:tr w14:paraId="3435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32" w:type="dxa"/>
            <w:noWrap w:val="0"/>
            <w:vAlign w:val="center"/>
          </w:tcPr>
          <w:p w14:paraId="501D2E0A">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27" w:type="dxa"/>
            <w:noWrap w:val="0"/>
            <w:vAlign w:val="center"/>
          </w:tcPr>
          <w:p w14:paraId="22E3B3F0">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手臂板：1副（附2个连接器）</w:t>
            </w:r>
          </w:p>
        </w:tc>
      </w:tr>
      <w:tr w14:paraId="7694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32" w:type="dxa"/>
            <w:noWrap w:val="0"/>
            <w:vAlign w:val="center"/>
          </w:tcPr>
          <w:p w14:paraId="017AFE1E">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027" w:type="dxa"/>
            <w:noWrap w:val="0"/>
            <w:vAlign w:val="center"/>
          </w:tcPr>
          <w:p w14:paraId="7ABB5F8A">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腿板：1副（附2个连接器）</w:t>
            </w:r>
          </w:p>
        </w:tc>
      </w:tr>
      <w:tr w14:paraId="10C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32" w:type="dxa"/>
            <w:noWrap w:val="0"/>
            <w:vAlign w:val="center"/>
          </w:tcPr>
          <w:p w14:paraId="53FB5F98">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027" w:type="dxa"/>
            <w:noWrap w:val="0"/>
            <w:vAlign w:val="center"/>
          </w:tcPr>
          <w:p w14:paraId="04ACB46E">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手按控制器：1个</w:t>
            </w:r>
          </w:p>
        </w:tc>
      </w:tr>
      <w:tr w14:paraId="741D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532" w:type="dxa"/>
            <w:noWrap w:val="0"/>
            <w:vAlign w:val="center"/>
          </w:tcPr>
          <w:p w14:paraId="5A0C1952">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027" w:type="dxa"/>
            <w:noWrap w:val="0"/>
            <w:vAlign w:val="center"/>
          </w:tcPr>
          <w:p w14:paraId="4F5A0167">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手术专用抗静电床垫（不导电材料）：1副</w:t>
            </w:r>
          </w:p>
        </w:tc>
      </w:tr>
      <w:tr w14:paraId="7AF2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532" w:type="dxa"/>
            <w:noWrap w:val="0"/>
            <w:vAlign w:val="center"/>
          </w:tcPr>
          <w:p w14:paraId="1C9C8D30">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027" w:type="dxa"/>
            <w:noWrap w:val="0"/>
            <w:vAlign w:val="center"/>
          </w:tcPr>
          <w:p w14:paraId="18B983BB">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麻醉布帘架：1副（附万向连接器）</w:t>
            </w:r>
          </w:p>
        </w:tc>
      </w:tr>
      <w:tr w14:paraId="2FA5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532" w:type="dxa"/>
            <w:noWrap w:val="0"/>
            <w:vAlign w:val="center"/>
          </w:tcPr>
          <w:p w14:paraId="31E7078E">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027" w:type="dxa"/>
            <w:noWrap w:val="0"/>
            <w:vAlign w:val="center"/>
          </w:tcPr>
          <w:p w14:paraId="678685AF">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头板：1副</w:t>
            </w:r>
          </w:p>
        </w:tc>
      </w:tr>
      <w:tr w14:paraId="7D05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532" w:type="dxa"/>
            <w:noWrap w:val="0"/>
            <w:vAlign w:val="center"/>
          </w:tcPr>
          <w:p w14:paraId="2413844F">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027" w:type="dxa"/>
            <w:noWrap w:val="0"/>
            <w:vAlign w:val="center"/>
          </w:tcPr>
          <w:p w14:paraId="2E9BEF4A">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手脚绑带及束体带：1套</w:t>
            </w:r>
          </w:p>
        </w:tc>
      </w:tr>
      <w:tr w14:paraId="74C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2" w:type="dxa"/>
            <w:noWrap w:val="0"/>
            <w:vAlign w:val="center"/>
          </w:tcPr>
          <w:p w14:paraId="4F267632">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027" w:type="dxa"/>
            <w:noWrap w:val="0"/>
            <w:vAlign w:val="center"/>
          </w:tcPr>
          <w:p w14:paraId="28EF9CF2">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头架：1套</w:t>
            </w:r>
          </w:p>
        </w:tc>
      </w:tr>
      <w:tr w14:paraId="5AAD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2" w:type="dxa"/>
            <w:noWrap w:val="0"/>
            <w:vAlign w:val="center"/>
          </w:tcPr>
          <w:p w14:paraId="0D606F82">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027" w:type="dxa"/>
            <w:noWrap w:val="0"/>
            <w:vAlign w:val="center"/>
          </w:tcPr>
          <w:p w14:paraId="13CB41C7">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肩架：1套</w:t>
            </w:r>
          </w:p>
        </w:tc>
      </w:tr>
      <w:tr w14:paraId="4FF7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32" w:type="dxa"/>
            <w:noWrap w:val="0"/>
            <w:vAlign w:val="center"/>
          </w:tcPr>
          <w:p w14:paraId="3EBAEBEE">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8027" w:type="dxa"/>
            <w:noWrap w:val="0"/>
            <w:vAlign w:val="center"/>
          </w:tcPr>
          <w:p w14:paraId="26099929">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悬空式骨科牵引架及台车：1套（悬空式骨科牵引架要求进口材料制作）</w:t>
            </w:r>
          </w:p>
        </w:tc>
      </w:tr>
      <w:tr w14:paraId="580F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32" w:type="dxa"/>
            <w:noWrap w:val="0"/>
            <w:vAlign w:val="center"/>
          </w:tcPr>
          <w:p w14:paraId="17AF309E">
            <w:pPr>
              <w:pageBreakBefore w:val="0"/>
              <w:widowControl/>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三、</w:t>
            </w:r>
          </w:p>
        </w:tc>
        <w:tc>
          <w:tcPr>
            <w:tcW w:w="8027" w:type="dxa"/>
            <w:noWrap w:val="0"/>
            <w:vAlign w:val="center"/>
          </w:tcPr>
          <w:p w14:paraId="0562C201">
            <w:pPr>
              <w:pageBreakBefore w:val="0"/>
              <w:widowControl/>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悬空式骨科牵引架技术参数及配置：</w:t>
            </w:r>
          </w:p>
        </w:tc>
      </w:tr>
      <w:tr w14:paraId="7352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6" w:hRule="atLeast"/>
        </w:trPr>
        <w:tc>
          <w:tcPr>
            <w:tcW w:w="532" w:type="dxa"/>
            <w:noWrap w:val="0"/>
            <w:vAlign w:val="center"/>
          </w:tcPr>
          <w:p w14:paraId="50879DCA">
            <w:pPr>
              <w:pageBreakBefore w:val="0"/>
              <w:widowControl/>
              <w:kinsoku/>
              <w:wordWrap/>
              <w:topLinePunct w:val="0"/>
              <w:bidi w:val="0"/>
              <w:spacing w:line="360" w:lineRule="auto"/>
              <w:rPr>
                <w:rFonts w:hint="eastAsia" w:ascii="仿宋" w:hAnsi="仿宋" w:eastAsia="仿宋" w:cs="仿宋"/>
                <w:kern w:val="0"/>
                <w:sz w:val="24"/>
                <w:szCs w:val="24"/>
              </w:rPr>
            </w:pPr>
          </w:p>
        </w:tc>
        <w:tc>
          <w:tcPr>
            <w:tcW w:w="8027" w:type="dxa"/>
            <w:noWrap w:val="0"/>
            <w:vAlign w:val="center"/>
          </w:tcPr>
          <w:p w14:paraId="0ECA24B6">
            <w:pPr>
              <w:pageBreakBefore w:val="0"/>
              <w:widowControl/>
              <w:kinsoku/>
              <w:wordWrap/>
              <w:topLinePunct w:val="0"/>
              <w:bidi w:val="0"/>
              <w:spacing w:line="360" w:lineRule="auto"/>
              <w:ind w:left="482" w:hanging="420"/>
              <w:rPr>
                <w:rFonts w:hint="eastAsia" w:ascii="仿宋" w:hAnsi="仿宋" w:eastAsia="仿宋" w:cs="仿宋"/>
                <w:sz w:val="24"/>
                <w:szCs w:val="24"/>
              </w:rPr>
            </w:pPr>
            <w:r>
              <w:rPr>
                <w:rFonts w:hint="eastAsia" w:ascii="仿宋" w:hAnsi="仿宋" w:eastAsia="仿宋" w:cs="仿宋"/>
                <w:kern w:val="0"/>
                <w:sz w:val="24"/>
                <w:szCs w:val="24"/>
              </w:rPr>
              <w:t xml:space="preserve">1. </w:t>
            </w:r>
            <w:r>
              <w:rPr>
                <w:rFonts w:hint="eastAsia" w:ascii="仿宋" w:hAnsi="仿宋" w:eastAsia="仿宋" w:cs="仿宋"/>
                <w:sz w:val="24"/>
                <w:szCs w:val="24"/>
              </w:rPr>
              <w:t>可适用于: 髋股关节手术、股骨髓内钉手术、股骨弧形钉手术、胫/腓骨髓内钉手术、股骨骨折打钉手术、膝盖手术、及脊髓造影体位等。</w:t>
            </w:r>
          </w:p>
          <w:p w14:paraId="5450AB13">
            <w:pPr>
              <w:pageBreakBefore w:val="0"/>
              <w:kinsoku/>
              <w:wordWrap/>
              <w:topLinePunct w:val="0"/>
              <w:bidi w:val="0"/>
              <w:spacing w:line="360" w:lineRule="auto"/>
              <w:ind w:left="360" w:hanging="315"/>
              <w:rPr>
                <w:rFonts w:hint="eastAsia" w:ascii="仿宋" w:hAnsi="仿宋" w:eastAsia="仿宋" w:cs="仿宋"/>
                <w:sz w:val="24"/>
                <w:szCs w:val="24"/>
              </w:rPr>
            </w:pPr>
            <w:r>
              <w:rPr>
                <w:rFonts w:hint="eastAsia" w:ascii="仿宋" w:hAnsi="仿宋" w:eastAsia="仿宋" w:cs="仿宋"/>
                <w:sz w:val="24"/>
                <w:szCs w:val="24"/>
              </w:rPr>
              <w:t>2. 可透视臀部支撑板设计及两截式调整杆设计，具有四个左右90度的调整，以及可伸缩调整杆设计，所提供的各种体位符合不同专业骨科手术的需求，且增加了C型臂的使用便利性及良好的透视空间。</w:t>
            </w:r>
          </w:p>
          <w:p w14:paraId="466E802A">
            <w:pPr>
              <w:pageBreakBefore w:val="0"/>
              <w:numPr>
                <w:ilvl w:val="0"/>
                <w:numId w:val="18"/>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链接装置，可与床台连结。</w:t>
            </w:r>
          </w:p>
          <w:p w14:paraId="25C8F9BE">
            <w:pPr>
              <w:pageBreakBefore w:val="0"/>
              <w:numPr>
                <w:ilvl w:val="0"/>
                <w:numId w:val="18"/>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配有安全扣设计，可以使牵引架紧密接合于手术台上。</w:t>
            </w:r>
          </w:p>
          <w:p w14:paraId="59AC2EE6">
            <w:pPr>
              <w:pageBreakBefore w:val="0"/>
              <w:numPr>
                <w:ilvl w:val="0"/>
                <w:numId w:val="18"/>
              </w:numPr>
              <w:tabs>
                <w:tab w:val="clear" w:pos="36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关节采棘齿咬合设计，定位后关节不易松脱，可快速完成各种手术定位。</w:t>
            </w:r>
          </w:p>
          <w:p w14:paraId="2E8C0746">
            <w:pPr>
              <w:pageBreakBefore w:val="0"/>
              <w:numPr>
                <w:ilvl w:val="0"/>
                <w:numId w:val="18"/>
              </w:numPr>
              <w:tabs>
                <w:tab w:val="clear" w:pos="36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牵引架不用时，可置放于专用推车上推离手术室，不占据手术室的有限空间。</w:t>
            </w:r>
          </w:p>
          <w:p w14:paraId="05C394B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7.</w:t>
            </w:r>
            <w:r>
              <w:rPr>
                <w:rFonts w:hint="eastAsia" w:ascii="仿宋" w:hAnsi="仿宋" w:eastAsia="仿宋" w:cs="仿宋"/>
                <w:sz w:val="24"/>
                <w:szCs w:val="24"/>
              </w:rPr>
              <w:t>必须要求为</w:t>
            </w:r>
            <w:r>
              <w:rPr>
                <w:rFonts w:hint="eastAsia" w:ascii="仿宋" w:hAnsi="仿宋" w:eastAsia="仿宋" w:cs="仿宋"/>
                <w:kern w:val="0"/>
                <w:sz w:val="24"/>
                <w:szCs w:val="24"/>
              </w:rPr>
              <w:t>悬空式骨科牵引架。</w:t>
            </w:r>
          </w:p>
          <w:p w14:paraId="1752EEF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技术参数：</w:t>
            </w:r>
          </w:p>
          <w:p w14:paraId="1683984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 骨科牵引架长度 1080-1660 mm</w:t>
            </w:r>
          </w:p>
          <w:p w14:paraId="64031F8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 骨科牵引架宽 300-725 mm</w:t>
            </w:r>
          </w:p>
          <w:p w14:paraId="4465E91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3. 牵引行程 </w:t>
            </w:r>
            <w:r>
              <w:rPr>
                <w:rStyle w:val="24"/>
                <w:rFonts w:hint="eastAsia" w:ascii="仿宋" w:hAnsi="仿宋" w:eastAsia="仿宋" w:cs="仿宋"/>
                <w:sz w:val="24"/>
                <w:szCs w:val="24"/>
              </w:rPr>
              <w:t>≥</w:t>
            </w:r>
            <w:r>
              <w:rPr>
                <w:rFonts w:hint="eastAsia" w:ascii="仿宋" w:hAnsi="仿宋" w:eastAsia="仿宋" w:cs="仿宋"/>
                <w:sz w:val="24"/>
                <w:szCs w:val="24"/>
              </w:rPr>
              <w:t>220mm</w:t>
            </w:r>
          </w:p>
          <w:p w14:paraId="4805F23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 高度：760-1070 mm</w:t>
            </w:r>
          </w:p>
          <w:p w14:paraId="759A6BAD">
            <w:pPr>
              <w:pageBreakBefore w:val="0"/>
              <w:widowControl/>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 牵引器可调整角度: 上 、下 25度；</w:t>
            </w:r>
          </w:p>
        </w:tc>
      </w:tr>
    </w:tbl>
    <w:p w14:paraId="41C0065A">
      <w:pPr>
        <w:pStyle w:val="7"/>
        <w:pageBreakBefore w:val="0"/>
        <w:kinsoku/>
        <w:wordWrap/>
        <w:topLinePunct w:val="0"/>
        <w:bidi w:val="0"/>
        <w:spacing w:line="360" w:lineRule="auto"/>
        <w:ind w:left="0"/>
        <w:rPr>
          <w:rFonts w:hint="eastAsia" w:ascii="仿宋" w:hAnsi="仿宋" w:eastAsia="仿宋" w:cs="仿宋"/>
          <w:sz w:val="28"/>
          <w:szCs w:val="28"/>
        </w:rPr>
      </w:pPr>
    </w:p>
    <w:p w14:paraId="7B8A1F4B">
      <w:pPr>
        <w:rPr>
          <w:rFonts w:hint="eastAsia" w:ascii="仿宋" w:hAnsi="仿宋" w:eastAsia="仿宋" w:cs="仿宋"/>
          <w:sz w:val="28"/>
          <w:szCs w:val="28"/>
        </w:rPr>
      </w:pPr>
    </w:p>
    <w:p w14:paraId="06921893">
      <w:pPr>
        <w:pStyle w:val="6"/>
        <w:rPr>
          <w:rFonts w:hint="eastAsia"/>
        </w:rPr>
      </w:pPr>
    </w:p>
    <w:p w14:paraId="1AD4D81E">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九</w:t>
      </w:r>
      <w:r>
        <w:rPr>
          <w:rFonts w:hint="eastAsia" w:ascii="仿宋" w:hAnsi="仿宋" w:eastAsia="仿宋" w:cs="仿宋"/>
          <w:bCs/>
          <w:sz w:val="30"/>
          <w:szCs w:val="30"/>
        </w:rPr>
        <w:t>：</w:t>
      </w:r>
    </w:p>
    <w:p w14:paraId="14E54A9C">
      <w:pPr>
        <w:pageBreakBefore w:val="0"/>
        <w:kinsoku/>
        <w:wordWrap/>
        <w:topLinePunct w:val="0"/>
        <w:bidi w:val="0"/>
        <w:spacing w:line="360" w:lineRule="auto"/>
        <w:ind w:firstLine="2880" w:firstLineChars="900"/>
        <w:rPr>
          <w:rFonts w:hint="eastAsia" w:ascii="仿宋" w:hAnsi="仿宋" w:eastAsia="仿宋" w:cs="仿宋"/>
          <w:b/>
          <w:bCs/>
          <w:sz w:val="32"/>
          <w:szCs w:val="32"/>
        </w:rPr>
      </w:pPr>
      <w:r>
        <w:rPr>
          <w:rFonts w:hint="eastAsia" w:ascii="仿宋" w:hAnsi="仿宋" w:eastAsia="仿宋" w:cs="仿宋"/>
          <w:b/>
          <w:bCs/>
          <w:sz w:val="32"/>
          <w:szCs w:val="32"/>
        </w:rPr>
        <w:t>手</w:t>
      </w:r>
      <w:r>
        <w:rPr>
          <w:rFonts w:hint="eastAsia" w:ascii="仿宋" w:hAnsi="仿宋" w:eastAsia="仿宋" w:cs="仿宋"/>
          <w:b/>
          <w:sz w:val="32"/>
          <w:szCs w:val="32"/>
        </w:rPr>
        <w:t>术工作台技术参</w:t>
      </w:r>
      <w:r>
        <w:rPr>
          <w:rFonts w:hint="eastAsia" w:ascii="仿宋" w:hAnsi="仿宋" w:eastAsia="仿宋" w:cs="仿宋"/>
          <w:b/>
          <w:bCs/>
          <w:sz w:val="32"/>
          <w:szCs w:val="32"/>
        </w:rPr>
        <w:t>数</w:t>
      </w:r>
    </w:p>
    <w:p w14:paraId="0DD38408">
      <w:pPr>
        <w:pStyle w:val="7"/>
        <w:pageBreakBefore w:val="0"/>
        <w:kinsoku/>
        <w:wordWrap/>
        <w:topLinePunct w:val="0"/>
        <w:bidi w:val="0"/>
        <w:spacing w:line="360" w:lineRule="auto"/>
        <w:ind w:left="0"/>
        <w:rPr>
          <w:rFonts w:hint="eastAsia" w:ascii="仿宋" w:hAnsi="仿宋" w:eastAsia="仿宋" w:cs="仿宋"/>
        </w:rPr>
      </w:pPr>
    </w:p>
    <w:p w14:paraId="20397C85">
      <w:pPr>
        <w:pStyle w:val="7"/>
        <w:pageBreakBefore w:val="0"/>
        <w:kinsoku/>
        <w:wordWrap/>
        <w:topLinePunct w:val="0"/>
        <w:bidi w:val="0"/>
        <w:spacing w:line="360" w:lineRule="auto"/>
        <w:ind w:left="0"/>
        <w:rPr>
          <w:rFonts w:hint="eastAsia" w:ascii="仿宋" w:hAnsi="仿宋" w:eastAsia="仿宋" w:cs="仿宋"/>
          <w:sz w:val="24"/>
          <w:szCs w:val="24"/>
        </w:rPr>
      </w:pPr>
    </w:p>
    <w:p w14:paraId="50593891">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一、技术参数：</w:t>
      </w:r>
    </w:p>
    <w:p w14:paraId="32E13073">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1、电动油压手术床；</w:t>
      </w:r>
    </w:p>
    <w:p w14:paraId="606286A7">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2、床面起码由四部分构成：头部，背部、臀部，两片式脚部（或左右分开） ， 各样床面调理所有由电动达成，达到展开各样外科， 妇产科，五官科等科室手术体位要求；</w:t>
      </w:r>
    </w:p>
    <w:p w14:paraId="0BC30ED4">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3、微电脑控制电动多功手术床；</w:t>
      </w:r>
    </w:p>
    <w:p w14:paraId="68E005B6">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4、床板具备优秀</w:t>
      </w:r>
      <w:r>
        <w:rPr>
          <w:rFonts w:hint="eastAsia" w:ascii="仿宋" w:hAnsi="仿宋" w:eastAsia="仿宋" w:cs="仿宋"/>
          <w:sz w:val="24"/>
          <w:szCs w:val="24"/>
        </w:rPr>
        <w:tab/>
      </w:r>
      <w:r>
        <w:rPr>
          <w:rFonts w:hint="eastAsia" w:ascii="仿宋" w:hAnsi="仿宋" w:eastAsia="仿宋" w:cs="仿宋"/>
          <w:sz w:val="24"/>
          <w:szCs w:val="24"/>
        </w:rPr>
        <w:t>X 光穿透性，床垫具导电性、防褥疮；</w:t>
      </w:r>
    </w:p>
    <w:p w14:paraId="04E570B3">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5、床体表面村料为高级不锈钢，便于洁净消毒，耐冲击；</w:t>
      </w:r>
    </w:p>
    <w:p w14:paraId="799E3470">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6、拥有手术体位预设功能， 电脑化的手按控制器，安全键可防备失误操作；</w:t>
      </w:r>
    </w:p>
    <w:p w14:paraId="20D95992">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7、中央机械式刹车装置，踏板操作方式，不锈钢</w:t>
      </w:r>
      <w:r>
        <w:rPr>
          <w:rFonts w:hint="eastAsia" w:ascii="仿宋" w:hAnsi="仿宋" w:eastAsia="仿宋" w:cs="仿宋"/>
          <w:sz w:val="24"/>
          <w:szCs w:val="24"/>
        </w:rPr>
        <w:tab/>
      </w:r>
      <w:r>
        <w:rPr>
          <w:rFonts w:hint="eastAsia" w:ascii="仿宋" w:hAnsi="仿宋" w:eastAsia="仿宋" w:cs="仿宋"/>
          <w:sz w:val="24"/>
          <w:szCs w:val="24"/>
        </w:rPr>
        <w:t>T 型基座，可牢固</w:t>
      </w:r>
    </w:p>
    <w:p w14:paraId="504D4D85">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地固定床身；</w:t>
      </w:r>
    </w:p>
    <w:p w14:paraId="04E86E0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8、脚板部分左右分开可做</w:t>
      </w:r>
      <w:r>
        <w:rPr>
          <w:rFonts w:hint="eastAsia" w:ascii="仿宋" w:hAnsi="仿宋" w:eastAsia="仿宋" w:cs="仿宋"/>
          <w:sz w:val="24"/>
          <w:szCs w:val="24"/>
        </w:rPr>
        <w:tab/>
      </w:r>
      <w:r>
        <w:rPr>
          <w:rFonts w:hint="eastAsia" w:ascii="仿宋" w:hAnsi="仿宋" w:eastAsia="仿宋" w:cs="仿宋"/>
          <w:sz w:val="24"/>
          <w:szCs w:val="24"/>
        </w:rPr>
        <w:t>180 度移位并可取下， 用以安装污水采集盆， 以合用于妇产科，泌尿科体位；</w:t>
      </w:r>
    </w:p>
    <w:p w14:paraId="4D006C9C">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9、床面可平移≥ 300mm，增添 C 型臂 X 光透视检查之范围；</w:t>
      </w:r>
    </w:p>
    <w:p w14:paraId="136B09E6">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10、床面长度≥ 1950mm，含延伸头板≥ 2010 mm；</w:t>
      </w:r>
    </w:p>
    <w:p w14:paraId="64607A6D">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11、床面宽度宽度不含边轨≥</w:t>
      </w:r>
      <w:r>
        <w:rPr>
          <w:rFonts w:hint="eastAsia" w:ascii="仿宋" w:hAnsi="仿宋" w:eastAsia="仿宋" w:cs="仿宋"/>
          <w:sz w:val="24"/>
          <w:szCs w:val="24"/>
        </w:rPr>
        <w:tab/>
      </w:r>
      <w:r>
        <w:rPr>
          <w:rFonts w:hint="eastAsia" w:ascii="仿宋" w:hAnsi="仿宋" w:eastAsia="仿宋" w:cs="仿宋"/>
          <w:sz w:val="24"/>
          <w:szCs w:val="24"/>
        </w:rPr>
        <w:t>500mm，切合中国人的体形；</w:t>
      </w:r>
    </w:p>
    <w:p w14:paraId="716831AD">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12、床面最底高度（不含床垫）≤</w:t>
      </w:r>
      <w:r>
        <w:rPr>
          <w:rFonts w:hint="eastAsia" w:ascii="仿宋" w:hAnsi="仿宋" w:eastAsia="仿宋" w:cs="仿宋"/>
          <w:sz w:val="24"/>
          <w:szCs w:val="24"/>
        </w:rPr>
        <w:tab/>
      </w:r>
      <w:r>
        <w:rPr>
          <w:rFonts w:hint="eastAsia" w:ascii="仿宋" w:hAnsi="仿宋" w:eastAsia="仿宋" w:cs="仿宋"/>
          <w:sz w:val="24"/>
          <w:szCs w:val="24"/>
        </w:rPr>
        <w:t>710mm；最高高度≥ 1020mm；</w:t>
      </w:r>
    </w:p>
    <w:p w14:paraId="1124F2BA">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13、纵向倾斜各≥ 26°；横向倾斜各≥ 20°；脚板下≥ 90°；</w:t>
      </w:r>
    </w:p>
    <w:p w14:paraId="25D2AB1A">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14、头板上≥ 30°，头板下≥ 90°；背板上≥ 60°，背板下≥ 30°；</w:t>
      </w:r>
    </w:p>
    <w:p w14:paraId="3B441BF2">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15、复合体位，床面腰上位（∧）≥</w:t>
      </w:r>
      <w:r>
        <w:rPr>
          <w:rFonts w:hint="eastAsia" w:ascii="仿宋" w:hAnsi="仿宋" w:eastAsia="仿宋" w:cs="仿宋"/>
          <w:sz w:val="24"/>
          <w:szCs w:val="24"/>
        </w:rPr>
        <w:tab/>
      </w:r>
      <w:r>
        <w:rPr>
          <w:rFonts w:hint="eastAsia" w:ascii="仿宋" w:hAnsi="仿宋" w:eastAsia="仿宋" w:cs="仿宋"/>
          <w:sz w:val="24"/>
          <w:szCs w:val="24"/>
        </w:rPr>
        <w:t>220 度，腰下位（∨）≥  100 度；</w:t>
      </w:r>
    </w:p>
    <w:p w14:paraId="1F493792">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16、配置可拆式骨科牵引架一套，牵引调整范围：</w:t>
      </w:r>
      <w:r>
        <w:rPr>
          <w:rFonts w:hint="eastAsia" w:ascii="仿宋" w:hAnsi="仿宋" w:eastAsia="仿宋" w:cs="仿宋"/>
          <w:sz w:val="24"/>
          <w:szCs w:val="24"/>
        </w:rPr>
        <w:tab/>
      </w:r>
      <w:r>
        <w:rPr>
          <w:rFonts w:hint="eastAsia" w:ascii="仿宋" w:hAnsi="仿宋" w:eastAsia="仿宋" w:cs="仿宋"/>
          <w:sz w:val="24"/>
          <w:szCs w:val="24"/>
        </w:rPr>
        <w:t>1,340-1,740mm ；</w:t>
      </w:r>
    </w:p>
    <w:p w14:paraId="061B36CF">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牵引装置行程：≥180mm</w:t>
      </w:r>
    </w:p>
    <w:p w14:paraId="5DDF07A7">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17、配置要求：头板 1 个，手板 2 个，手控器 1 个，手术专用床垫 1 组，麻醉幕廉架 1 个，脚板 2 个，中文操作手册 1 份；</w:t>
      </w:r>
    </w:p>
    <w:p w14:paraId="63E730CE">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18、可选肩托，腰托，大脚架，污物盆组， U 型脑外科头架，内置隐蔽式顶腰架，脊椎手术用支撑架配件，固定推车等选配件；</w:t>
      </w:r>
    </w:p>
    <w:p w14:paraId="145873BA">
      <w:pPr>
        <w:pStyle w:val="7"/>
        <w:pageBreakBefore w:val="0"/>
        <w:kinsoku/>
        <w:wordWrap/>
        <w:topLinePunct w:val="0"/>
        <w:bidi w:val="0"/>
        <w:spacing w:line="360" w:lineRule="auto"/>
        <w:ind w:left="0"/>
        <w:rPr>
          <w:rFonts w:hint="eastAsia" w:ascii="仿宋" w:hAnsi="仿宋" w:eastAsia="仿宋" w:cs="仿宋"/>
          <w:sz w:val="24"/>
          <w:szCs w:val="24"/>
        </w:rPr>
      </w:pPr>
    </w:p>
    <w:p w14:paraId="3D2AF9CE">
      <w:pPr>
        <w:pageBreakBefore w:val="0"/>
        <w:tabs>
          <w:tab w:val="left" w:pos="10380"/>
        </w:tabs>
        <w:kinsoku/>
        <w:wordWrap/>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技术要求</w:t>
      </w:r>
    </w:p>
    <w:p w14:paraId="634FDFC1">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全长约2010mm</w:t>
      </w:r>
    </w:p>
    <w:p w14:paraId="0D48AC32">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台面长度及宽度：约长度2000mm,宽度500mm</w:t>
      </w:r>
    </w:p>
    <w:p w14:paraId="640E3C6C">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台面行程：约780mm～1030mm</w:t>
      </w:r>
    </w:p>
    <w:p w14:paraId="77C6350B">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台面平移行程：≥300mm</w:t>
      </w:r>
    </w:p>
    <w:p w14:paraId="4C07B4F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台面左右倾最大角度：左倾≤ 15° 右倾≤ 15°</w:t>
      </w:r>
    </w:p>
    <w:p w14:paraId="336F2C8F">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台眼前后最大倾角度：前倾≤ 15° 后倾≤ 15°</w:t>
      </w:r>
    </w:p>
    <w:p w14:paraId="2DA95B5D">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头部折转角度 :上折≤ 30° 下折≤ 90°</w:t>
      </w:r>
    </w:p>
    <w:p w14:paraId="2C04E9F2">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背部折转角度 :上折≤ 75° 下折≤ 15°</w:t>
      </w:r>
    </w:p>
    <w:p w14:paraId="7A836C77">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腿部折转角度：下折≤ 90°（或卸掉）</w:t>
      </w:r>
    </w:p>
    <w:p w14:paraId="386117D9">
      <w:pPr>
        <w:pageBreakBefore w:val="0"/>
        <w:tabs>
          <w:tab w:val="left" w:pos="10380"/>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腰桥升距 :100mm---150mm  </w:t>
      </w:r>
    </w:p>
    <w:p w14:paraId="740EAE11">
      <w:pPr>
        <w:pageBreakBefore w:val="0"/>
        <w:tabs>
          <w:tab w:val="left" w:pos="10380"/>
        </w:tabs>
        <w:kinsoku/>
        <w:wordWrap/>
        <w:topLinePunct w:val="0"/>
        <w:bidi w:val="0"/>
        <w:spacing w:line="360" w:lineRule="auto"/>
        <w:ind w:left="420" w:leftChars="200"/>
        <w:rPr>
          <w:rFonts w:hint="eastAsia" w:ascii="仿宋" w:hAnsi="仿宋" w:eastAsia="仿宋" w:cs="仿宋"/>
          <w:sz w:val="20"/>
          <w:szCs w:val="20"/>
        </w:rPr>
      </w:pPr>
    </w:p>
    <w:p w14:paraId="66547869">
      <w:pPr>
        <w:pStyle w:val="6"/>
        <w:rPr>
          <w:rFonts w:hint="eastAsia"/>
        </w:rPr>
      </w:pPr>
    </w:p>
    <w:p w14:paraId="66114C10">
      <w:pPr>
        <w:pStyle w:val="6"/>
        <w:rPr>
          <w:rFonts w:hint="eastAsia"/>
        </w:rPr>
      </w:pPr>
    </w:p>
    <w:p w14:paraId="5686D587">
      <w:pPr>
        <w:pageBreakBefore w:val="0"/>
        <w:kinsoku/>
        <w:wordWrap/>
        <w:topLinePunct w:val="0"/>
        <w:bidi w:val="0"/>
        <w:spacing w:line="360" w:lineRule="auto"/>
        <w:rPr>
          <w:rFonts w:hint="eastAsia" w:ascii="仿宋" w:hAnsi="仿宋" w:eastAsia="仿宋" w:cs="仿宋"/>
          <w:bCs/>
          <w:sz w:val="30"/>
          <w:szCs w:val="30"/>
        </w:rPr>
      </w:pPr>
      <w:bookmarkStart w:id="109" w:name="bookmark2"/>
      <w:bookmarkStart w:id="110" w:name="bookmark3"/>
      <w:r>
        <w:rPr>
          <w:rFonts w:hint="eastAsia" w:ascii="仿宋" w:hAnsi="仿宋" w:eastAsia="仿宋" w:cs="仿宋"/>
          <w:bCs/>
          <w:sz w:val="30"/>
          <w:szCs w:val="30"/>
        </w:rPr>
        <w:t>附件十：</w:t>
      </w:r>
    </w:p>
    <w:p w14:paraId="47D92023">
      <w:pPr>
        <w:pStyle w:val="7"/>
        <w:pageBreakBefore w:val="0"/>
        <w:kinsoku/>
        <w:wordWrap/>
        <w:topLinePunct w:val="0"/>
        <w:bidi w:val="0"/>
        <w:spacing w:line="360" w:lineRule="auto"/>
        <w:ind w:left="0" w:firstLine="2880" w:firstLineChars="900"/>
        <w:rPr>
          <w:rFonts w:hint="eastAsia" w:ascii="仿宋" w:hAnsi="仿宋" w:eastAsia="仿宋" w:cs="仿宋"/>
          <w:b/>
          <w:bCs/>
          <w:sz w:val="32"/>
          <w:szCs w:val="32"/>
        </w:rPr>
      </w:pPr>
      <w:r>
        <w:rPr>
          <w:rFonts w:hint="eastAsia" w:ascii="仿宋" w:hAnsi="仿宋" w:eastAsia="仿宋" w:cs="仿宋"/>
          <w:b/>
          <w:bCs/>
          <w:sz w:val="32"/>
          <w:szCs w:val="32"/>
        </w:rPr>
        <w:t>医用转移车</w:t>
      </w:r>
      <w:bookmarkEnd w:id="109"/>
      <w:bookmarkEnd w:id="110"/>
      <w:r>
        <w:rPr>
          <w:rFonts w:hint="eastAsia" w:ascii="仿宋" w:hAnsi="仿宋" w:eastAsia="仿宋" w:cs="仿宋"/>
          <w:b/>
          <w:bCs/>
          <w:sz w:val="32"/>
          <w:szCs w:val="32"/>
        </w:rPr>
        <w:t>技术参数</w:t>
      </w:r>
    </w:p>
    <w:p w14:paraId="36BF9BB3">
      <w:pPr>
        <w:rPr>
          <w:rFonts w:hint="eastAsia"/>
        </w:rPr>
      </w:pPr>
    </w:p>
    <w:p w14:paraId="5B4568CE">
      <w:pPr>
        <w:pStyle w:val="7"/>
        <w:pageBreakBefore w:val="0"/>
        <w:kinsoku/>
        <w:wordWrap/>
        <w:topLinePunct w:val="0"/>
        <w:bidi w:val="0"/>
        <w:spacing w:line="360" w:lineRule="auto"/>
        <w:ind w:left="0"/>
        <w:rPr>
          <w:rFonts w:hint="eastAsia" w:ascii="仿宋" w:hAnsi="仿宋" w:eastAsia="仿宋" w:cs="仿宋"/>
          <w:sz w:val="24"/>
          <w:szCs w:val="24"/>
        </w:rPr>
      </w:pPr>
      <w:r>
        <w:rPr>
          <w:rFonts w:hint="eastAsia" w:ascii="仿宋" w:hAnsi="仿宋" w:eastAsia="仿宋" w:cs="仿宋"/>
          <w:sz w:val="24"/>
          <w:szCs w:val="24"/>
        </w:rPr>
        <w:t>一、规格：床全长约：1930mm床全宽约：640mm</w:t>
      </w:r>
    </w:p>
    <w:p w14:paraId="15F210C8">
      <w:pPr>
        <w:pStyle w:val="41"/>
        <w:pageBreakBefore w:val="0"/>
        <w:shd w:val="clear" w:color="auto" w:fill="auto"/>
        <w:tabs>
          <w:tab w:val="left" w:pos="838"/>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二、主要技术参数</w:t>
      </w:r>
    </w:p>
    <w:p w14:paraId="39FB0FF4">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1、具</w:t>
      </w:r>
      <w:r>
        <w:rPr>
          <w:rFonts w:hint="eastAsia" w:ascii="仿宋" w:hAnsi="仿宋" w:eastAsia="仿宋" w:cs="仿宋"/>
          <w:sz w:val="24"/>
          <w:szCs w:val="24"/>
        </w:rPr>
        <w:t xml:space="preserve">有 </w:t>
      </w:r>
      <w:r>
        <w:rPr>
          <w:rFonts w:hint="eastAsia" w:ascii="仿宋" w:hAnsi="仿宋" w:eastAsia="仿宋" w:cs="仿宋"/>
          <w:sz w:val="24"/>
          <w:szCs w:val="24"/>
          <w:lang w:val="en-US" w:bidi="en-US"/>
        </w:rPr>
        <w:t xml:space="preserve">2 </w:t>
      </w:r>
      <w:r>
        <w:rPr>
          <w:rFonts w:hint="eastAsia" w:ascii="仿宋" w:hAnsi="仿宋" w:eastAsia="仿宋" w:cs="仿宋"/>
          <w:sz w:val="24"/>
          <w:szCs w:val="24"/>
        </w:rPr>
        <w:t xml:space="preserve">种功能，背部上升 0-70°；高低升降 </w:t>
      </w:r>
      <w:r>
        <w:rPr>
          <w:rFonts w:hint="eastAsia" w:ascii="仿宋" w:hAnsi="仿宋" w:eastAsia="仿宋" w:cs="仿宋"/>
          <w:sz w:val="24"/>
          <w:szCs w:val="24"/>
          <w:lang w:val="en-US" w:bidi="en-US"/>
        </w:rPr>
        <w:t>510-850mm。</w:t>
      </w:r>
    </w:p>
    <w:p w14:paraId="0C05B61A">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铝制床架，“电泳＋粉末”涂装，床板为树脂材料一次注制成形。</w:t>
      </w:r>
    </w:p>
    <w:p w14:paraId="7A5F0179">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旋转式侧护板，有安全锁装置，防止患者误操作时发生跌倒等意外，操作简 单、安全快捷。</w:t>
      </w:r>
    </w:p>
    <w:p w14:paraId="1D77249B">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 xml:space="preserve">护栏有“桥梁”功能（当护栏在放下时，可将护栏锁定在水平状态下，起到 与病床之间搭桥的作用，还可方便护士输液、量血压） </w:t>
      </w:r>
      <w:r>
        <w:rPr>
          <w:rFonts w:hint="eastAsia" w:ascii="仿宋" w:hAnsi="仿宋" w:eastAsia="仿宋" w:cs="仿宋"/>
          <w:sz w:val="24"/>
          <w:szCs w:val="24"/>
          <w:lang w:val="en-US" w:bidi="en-US"/>
        </w:rPr>
        <w:t>。</w:t>
      </w:r>
    </w:p>
    <w:p w14:paraId="088794D6">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护栏中央设有放软管的凹槽，引流软管不仅可以通过护栏的两端也可以通过 中央部分引出，在护栏下方设有零件横杆及挂钩，用以悬挂尿袋、引流袋。</w:t>
      </w:r>
    </w:p>
    <w:p w14:paraId="3FB5402D">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配备专用的转运垫子，防水、抗静电，床套四周装有拉链，方便将内芯取出 后清洗床套。并配有固定病人的安全带。</w:t>
      </w:r>
    </w:p>
    <w:p w14:paraId="21724776">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rPr>
        <w:t xml:space="preserve">床体可整体升降，可与医院现有的病床，调节到相同的高、低位，升降范围 </w:t>
      </w:r>
      <w:r>
        <w:rPr>
          <w:rFonts w:hint="eastAsia" w:ascii="仿宋" w:hAnsi="仿宋" w:eastAsia="仿宋" w:cs="仿宋"/>
          <w:sz w:val="24"/>
          <w:szCs w:val="24"/>
          <w:lang w:val="en-US" w:bidi="en-US"/>
        </w:rPr>
        <w:t>510mm-850mm</w:t>
      </w:r>
    </w:p>
    <w:p w14:paraId="15FB7420">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8、</w:t>
      </w:r>
      <w:r>
        <w:rPr>
          <w:rFonts w:hint="eastAsia" w:ascii="仿宋" w:hAnsi="仿宋" w:eastAsia="仿宋" w:cs="仿宋"/>
          <w:sz w:val="24"/>
          <w:szCs w:val="24"/>
        </w:rPr>
        <w:t xml:space="preserve">床板背部带有气动弹簧，无极调节背部升降（ </w:t>
      </w:r>
      <w:r>
        <w:rPr>
          <w:rFonts w:hint="eastAsia" w:ascii="仿宋" w:hAnsi="仿宋" w:eastAsia="仿宋" w:cs="仿宋"/>
          <w:sz w:val="24"/>
          <w:szCs w:val="24"/>
          <w:lang w:val="en-US" w:bidi="en-US"/>
        </w:rPr>
        <w:t>0°－ 70°）。</w:t>
      </w:r>
    </w:p>
    <w:p w14:paraId="124DF264">
      <w:pPr>
        <w:pStyle w:val="41"/>
        <w:pageBreakBefore w:val="0"/>
        <w:shd w:val="clear" w:color="auto" w:fill="auto"/>
        <w:tabs>
          <w:tab w:val="left" w:pos="591"/>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9、</w:t>
      </w:r>
      <w:r>
        <w:rPr>
          <w:rFonts w:hint="eastAsia" w:ascii="仿宋" w:hAnsi="仿宋" w:eastAsia="仿宋" w:cs="仿宋"/>
          <w:sz w:val="24"/>
          <w:szCs w:val="24"/>
        </w:rPr>
        <w:t>设有背部角度刻数，指示上升度数。</w:t>
      </w:r>
    </w:p>
    <w:p w14:paraId="6AB2390A">
      <w:pPr>
        <w:pStyle w:val="41"/>
        <w:pageBreakBefore w:val="0"/>
        <w:shd w:val="clear" w:color="auto" w:fill="auto"/>
        <w:tabs>
          <w:tab w:val="left" w:pos="694"/>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10、</w:t>
      </w:r>
      <w:r>
        <w:rPr>
          <w:rFonts w:hint="eastAsia" w:ascii="仿宋" w:hAnsi="仿宋" w:eastAsia="仿宋" w:cs="仿宋"/>
          <w:sz w:val="24"/>
          <w:szCs w:val="24"/>
          <w:lang w:val="en-US" w:bidi="en-US"/>
        </w:rPr>
        <w:t>150mm</w:t>
      </w:r>
      <w:r>
        <w:rPr>
          <w:rFonts w:hint="eastAsia" w:ascii="仿宋" w:hAnsi="仿宋" w:eastAsia="仿宋" w:cs="仿宋"/>
          <w:sz w:val="24"/>
          <w:szCs w:val="24"/>
        </w:rPr>
        <w:t>中控锁双面滚轮，采用跷跷板型中控 刹车，在任意轮子踩下，即可同时控制四轮刹车或解除。其中有一轮可将静电导移至地面，安全性更高。</w:t>
      </w:r>
    </w:p>
    <w:p w14:paraId="410B62C6">
      <w:pPr>
        <w:pStyle w:val="41"/>
        <w:pageBreakBefore w:val="0"/>
        <w:shd w:val="clear" w:color="auto" w:fill="auto"/>
        <w:tabs>
          <w:tab w:val="left" w:pos="694"/>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11、</w:t>
      </w:r>
      <w:r>
        <w:rPr>
          <w:rFonts w:hint="eastAsia" w:ascii="仿宋" w:hAnsi="仿宋" w:eastAsia="仿宋" w:cs="仿宋"/>
          <w:sz w:val="24"/>
          <w:szCs w:val="24"/>
        </w:rPr>
        <w:t>装有“中心轮”系统，可以用来控制转运床直行、横移、旋转等功能。</w:t>
      </w:r>
    </w:p>
    <w:p w14:paraId="01889DB7">
      <w:pPr>
        <w:pStyle w:val="41"/>
        <w:pageBreakBefore w:val="0"/>
        <w:shd w:val="clear" w:color="auto" w:fill="auto"/>
        <w:tabs>
          <w:tab w:val="left" w:pos="694"/>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12、</w:t>
      </w:r>
      <w:r>
        <w:rPr>
          <w:rFonts w:hint="eastAsia" w:ascii="仿宋" w:hAnsi="仿宋" w:eastAsia="仿宋" w:cs="仿宋"/>
          <w:sz w:val="24"/>
          <w:szCs w:val="24"/>
        </w:rPr>
        <w:t>床体下方采用两段式托盘，可根据不同需要放置急救器具等物品。</w:t>
      </w:r>
    </w:p>
    <w:p w14:paraId="2FD9F8F3">
      <w:pPr>
        <w:pStyle w:val="41"/>
        <w:pageBreakBefore w:val="0"/>
        <w:shd w:val="clear" w:color="auto" w:fill="auto"/>
        <w:tabs>
          <w:tab w:val="left" w:pos="694"/>
        </w:tabs>
        <w:kinsoku/>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rPr>
        <w:t>13、</w:t>
      </w:r>
      <w:r>
        <w:rPr>
          <w:rFonts w:hint="eastAsia" w:ascii="仿宋" w:hAnsi="仿宋" w:eastAsia="仿宋" w:cs="仿宋"/>
          <w:sz w:val="24"/>
          <w:szCs w:val="24"/>
        </w:rPr>
        <w:t>配有可伸缩调节四爪输液挂架，并在床体四角设有四个输液架插孔。</w:t>
      </w:r>
    </w:p>
    <w:p w14:paraId="17D9953B">
      <w:pPr>
        <w:pageBreakBefore w:val="0"/>
        <w:kinsoku/>
        <w:wordWrap/>
        <w:topLinePunct w:val="0"/>
        <w:bidi w:val="0"/>
        <w:spacing w:line="360" w:lineRule="auto"/>
        <w:rPr>
          <w:rFonts w:hint="eastAsia" w:ascii="仿宋" w:hAnsi="仿宋" w:eastAsia="仿宋" w:cs="仿宋"/>
        </w:rPr>
      </w:pPr>
    </w:p>
    <w:p w14:paraId="6E5D9AA7">
      <w:pPr>
        <w:pStyle w:val="18"/>
        <w:pageBreakBefore w:val="0"/>
        <w:widowControl/>
        <w:shd w:val="clear" w:color="auto" w:fill="FFFFFF"/>
        <w:kinsoku/>
        <w:wordWrap/>
        <w:topLinePunct w:val="0"/>
        <w:bidi w:val="0"/>
        <w:spacing w:before="0" w:beforeAutospacing="0" w:after="0" w:afterAutospacing="0" w:line="360" w:lineRule="auto"/>
        <w:jc w:val="both"/>
        <w:rPr>
          <w:rFonts w:hint="eastAsia" w:ascii="仿宋" w:hAnsi="仿宋" w:eastAsia="仿宋" w:cs="仿宋"/>
          <w:kern w:val="2"/>
          <w:sz w:val="22"/>
          <w:szCs w:val="22"/>
        </w:rPr>
      </w:pPr>
    </w:p>
    <w:p w14:paraId="15349F78">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附件十</w:t>
      </w:r>
      <w:r>
        <w:rPr>
          <w:rFonts w:hint="eastAsia" w:ascii="仿宋" w:hAnsi="仿宋" w:eastAsia="仿宋" w:cs="仿宋"/>
          <w:bCs/>
          <w:sz w:val="30"/>
          <w:szCs w:val="30"/>
          <w:lang w:val="en-US" w:eastAsia="zh-CN"/>
        </w:rPr>
        <w:t>一</w:t>
      </w:r>
      <w:r>
        <w:rPr>
          <w:rFonts w:hint="eastAsia" w:ascii="仿宋" w:hAnsi="仿宋" w:eastAsia="仿宋" w:cs="仿宋"/>
          <w:bCs/>
          <w:sz w:val="30"/>
          <w:szCs w:val="30"/>
        </w:rPr>
        <w:t>：</w:t>
      </w:r>
    </w:p>
    <w:p w14:paraId="1A42A38F">
      <w:pPr>
        <w:pStyle w:val="7"/>
        <w:pageBreakBefore w:val="0"/>
        <w:kinsoku/>
        <w:wordWrap/>
        <w:topLinePunct w:val="0"/>
        <w:bidi w:val="0"/>
        <w:spacing w:line="360" w:lineRule="auto"/>
        <w:ind w:left="0" w:firstLine="2880" w:firstLineChars="900"/>
        <w:rPr>
          <w:rFonts w:hint="eastAsia" w:ascii="仿宋" w:hAnsi="仿宋" w:eastAsia="仿宋" w:cs="仿宋"/>
          <w:b/>
          <w:bCs/>
          <w:sz w:val="32"/>
          <w:szCs w:val="32"/>
        </w:rPr>
      </w:pPr>
      <w:r>
        <w:rPr>
          <w:rFonts w:hint="eastAsia" w:ascii="仿宋" w:hAnsi="仿宋" w:eastAsia="仿宋" w:cs="仿宋"/>
          <w:b/>
          <w:bCs/>
          <w:sz w:val="32"/>
          <w:szCs w:val="32"/>
        </w:rPr>
        <w:t>高频电刀技术参数</w:t>
      </w:r>
    </w:p>
    <w:p w14:paraId="5727A55A">
      <w:pPr>
        <w:pageBreakBefore w:val="0"/>
        <w:kinsoku/>
        <w:wordWrap/>
        <w:topLinePunct w:val="0"/>
        <w:bidi w:val="0"/>
        <w:spacing w:line="360" w:lineRule="auto"/>
        <w:rPr>
          <w:rFonts w:hint="eastAsia" w:ascii="仿宋" w:hAnsi="仿宋" w:eastAsia="仿宋" w:cs="仿宋"/>
        </w:rPr>
      </w:pPr>
    </w:p>
    <w:tbl>
      <w:tblPr>
        <w:tblStyle w:val="21"/>
        <w:tblW w:w="0" w:type="auto"/>
        <w:jc w:val="center"/>
        <w:tblLayout w:type="fixed"/>
        <w:tblCellMar>
          <w:top w:w="0" w:type="dxa"/>
          <w:left w:w="108" w:type="dxa"/>
          <w:bottom w:w="0" w:type="dxa"/>
          <w:right w:w="108" w:type="dxa"/>
        </w:tblCellMar>
      </w:tblPr>
      <w:tblGrid>
        <w:gridCol w:w="7139"/>
      </w:tblGrid>
      <w:tr w14:paraId="6F487633">
        <w:tblPrEx>
          <w:tblCellMar>
            <w:top w:w="0" w:type="dxa"/>
            <w:left w:w="108" w:type="dxa"/>
            <w:bottom w:w="0" w:type="dxa"/>
            <w:right w:w="108" w:type="dxa"/>
          </w:tblCellMar>
        </w:tblPrEx>
        <w:trPr>
          <w:trHeight w:val="325"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2BDF4DA0">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1、适用范围：配合单极和双极附件处理组织切割和凝血。</w:t>
            </w:r>
          </w:p>
        </w:tc>
      </w:tr>
      <w:tr w14:paraId="7E33871E">
        <w:tblPrEx>
          <w:tblCellMar>
            <w:top w:w="0" w:type="dxa"/>
            <w:left w:w="108" w:type="dxa"/>
            <w:bottom w:w="0" w:type="dxa"/>
            <w:right w:w="108" w:type="dxa"/>
          </w:tblCellMar>
        </w:tblPrEx>
        <w:trPr>
          <w:trHeight w:val="304"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383001E6">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2、输出功率≥300W。</w:t>
            </w:r>
          </w:p>
        </w:tc>
      </w:tr>
      <w:tr w14:paraId="581569B3">
        <w:tblPrEx>
          <w:tblCellMar>
            <w:top w:w="0" w:type="dxa"/>
            <w:left w:w="108" w:type="dxa"/>
            <w:bottom w:w="0" w:type="dxa"/>
            <w:right w:w="108" w:type="dxa"/>
          </w:tblCellMar>
        </w:tblPrEx>
        <w:trPr>
          <w:trHeight w:val="331"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6F079EE0">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3、输出频率≥434KHz。</w:t>
            </w:r>
          </w:p>
        </w:tc>
      </w:tr>
      <w:tr w14:paraId="279CCDA4">
        <w:tblPrEx>
          <w:tblCellMar>
            <w:top w:w="0" w:type="dxa"/>
            <w:left w:w="108" w:type="dxa"/>
            <w:bottom w:w="0" w:type="dxa"/>
            <w:right w:w="108" w:type="dxa"/>
          </w:tblCellMar>
        </w:tblPrEx>
        <w:trPr>
          <w:trHeight w:val="317"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4FFCC23B">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4、输出特性：浮地式（隔离式）输出。</w:t>
            </w:r>
          </w:p>
        </w:tc>
      </w:tr>
      <w:tr w14:paraId="362702C9">
        <w:tblPrEx>
          <w:tblCellMar>
            <w:top w:w="0" w:type="dxa"/>
            <w:left w:w="108" w:type="dxa"/>
            <w:bottom w:w="0" w:type="dxa"/>
            <w:right w:w="108" w:type="dxa"/>
          </w:tblCellMar>
        </w:tblPrEx>
        <w:trPr>
          <w:trHeight w:val="336"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78C4521F">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5、CF型设备/防除颤器，可用于心脏类手术，可防除颤器放电。</w:t>
            </w:r>
          </w:p>
        </w:tc>
      </w:tr>
      <w:tr w14:paraId="7F1A14C9">
        <w:tblPrEx>
          <w:tblCellMar>
            <w:top w:w="0" w:type="dxa"/>
            <w:left w:w="108" w:type="dxa"/>
            <w:bottom w:w="0" w:type="dxa"/>
            <w:right w:w="108" w:type="dxa"/>
          </w:tblCellMar>
        </w:tblPrEx>
        <w:trPr>
          <w:trHeight w:val="645"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3B87EDF2">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6、主机采用智能组织感知技术：具备自动调节技术，可控制所有的模式和效果。控制主机输出恒定电流，恒定功率，恒定电压；减少电容耦合及视频干扰，最大限度减少火花发生。</w:t>
            </w:r>
          </w:p>
        </w:tc>
      </w:tr>
      <w:tr w14:paraId="5D722DCE">
        <w:tblPrEx>
          <w:tblCellMar>
            <w:top w:w="0" w:type="dxa"/>
            <w:left w:w="108" w:type="dxa"/>
            <w:bottom w:w="0" w:type="dxa"/>
            <w:right w:w="108" w:type="dxa"/>
          </w:tblCellMar>
        </w:tblPrEx>
        <w:trPr>
          <w:trHeight w:val="298"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361DDC56">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7、显示屏：液晶触摸屏。</w:t>
            </w:r>
          </w:p>
        </w:tc>
      </w:tr>
      <w:tr w14:paraId="62627D7C">
        <w:tblPrEx>
          <w:tblCellMar>
            <w:top w:w="0" w:type="dxa"/>
            <w:left w:w="108" w:type="dxa"/>
            <w:bottom w:w="0" w:type="dxa"/>
            <w:right w:w="108" w:type="dxa"/>
          </w:tblCellMar>
        </w:tblPrEx>
        <w:trPr>
          <w:trHeight w:val="214"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41DE250A">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8、系统设置：具备系统选择，维修记录，错误记录，语音选择等功能。</w:t>
            </w:r>
          </w:p>
        </w:tc>
      </w:tr>
      <w:tr w14:paraId="3C27A42A">
        <w:tblPrEx>
          <w:tblCellMar>
            <w:top w:w="0" w:type="dxa"/>
            <w:left w:w="108" w:type="dxa"/>
            <w:bottom w:w="0" w:type="dxa"/>
            <w:right w:w="108" w:type="dxa"/>
          </w:tblCellMar>
        </w:tblPrEx>
        <w:trPr>
          <w:trHeight w:val="296" w:hRule="atLeast"/>
          <w:jc w:val="center"/>
        </w:trPr>
        <w:tc>
          <w:tcPr>
            <w:tcW w:w="7139" w:type="dxa"/>
            <w:tcBorders>
              <w:top w:val="single" w:color="3F3F3F" w:sz="4" w:space="0"/>
              <w:left w:val="nil"/>
              <w:bottom w:val="single" w:color="3F3F3F" w:sz="4" w:space="0"/>
              <w:right w:val="single" w:color="3F3F3F" w:sz="4" w:space="0"/>
            </w:tcBorders>
            <w:shd w:val="clear" w:color="000000" w:fill="FFFFFF"/>
            <w:noWrap w:val="0"/>
            <w:vAlign w:val="top"/>
          </w:tcPr>
          <w:p w14:paraId="690AF0D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9、具备病人回路电极监控系统，降低负极板烫伤风险。</w:t>
            </w:r>
          </w:p>
          <w:p w14:paraId="0205F66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9.1、监测阻抗范围：5-135欧姆，访问电流&lt;100μA。</w:t>
            </w:r>
          </w:p>
          <w:p w14:paraId="362CC50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9.2、当监测到接触电阻较初始电阻增大40%（以较小值为准）时，REM报警系统启动，同时高频电刀输出停止。</w:t>
            </w:r>
          </w:p>
        </w:tc>
      </w:tr>
      <w:tr w14:paraId="5AA5509B">
        <w:tblPrEx>
          <w:tblCellMar>
            <w:top w:w="0" w:type="dxa"/>
            <w:left w:w="108" w:type="dxa"/>
            <w:bottom w:w="0" w:type="dxa"/>
            <w:right w:w="108" w:type="dxa"/>
          </w:tblCellMar>
        </w:tblPrEx>
        <w:trPr>
          <w:trHeight w:val="317"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46F68224">
            <w:pPr>
              <w:pageBreakBefore w:val="0"/>
              <w:numPr>
                <w:ilvl w:val="0"/>
                <w:numId w:val="0"/>
              </w:numPr>
              <w:kinsoku/>
              <w:wordWrap/>
              <w:topLinePunct w:val="0"/>
              <w:bidi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单极切割模式≥二种：纯切，混切。</w:t>
            </w:r>
          </w:p>
          <w:p w14:paraId="1914C78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10.1、纯切：功率1-300W</w:t>
            </w:r>
          </w:p>
          <w:p w14:paraId="1685D80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10.2、混切：功率1-200W</w:t>
            </w:r>
          </w:p>
        </w:tc>
      </w:tr>
      <w:tr w14:paraId="42438059">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65372C7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11.1、将止血与分离结合在一起，减慢移动速度以提高止血效果，或加快移动速度以实现快速切割效果。</w:t>
            </w:r>
          </w:p>
          <w:p w14:paraId="492AB86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11.2、具备三按钮刀笔。</w:t>
            </w:r>
          </w:p>
          <w:p w14:paraId="479A55D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11.2.1、不同颜色按钮可启动切割功能、止血功能并同时提供切割、可启动凝血功能。</w:t>
            </w:r>
          </w:p>
          <w:p w14:paraId="393D647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11.2.4、器械上双滑块控件：通过滑动控件，在无菌区调整模式和功率输出。</w:t>
            </w:r>
          </w:p>
        </w:tc>
      </w:tr>
      <w:tr w14:paraId="7D2BE0EE">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0BD2D0F5">
            <w:pPr>
              <w:pageBreakBefore w:val="0"/>
              <w:numPr>
                <w:ilvl w:val="0"/>
                <w:numId w:val="0"/>
              </w:numPr>
              <w:kinsoku/>
              <w:wordWrap/>
              <w:topLinePunct w:val="0"/>
              <w:bidi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单极凝血模式≥三种：软凝，电灼，喷凝。</w:t>
            </w:r>
          </w:p>
          <w:p w14:paraId="44460EA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12.1、软凝：功率1-120W</w:t>
            </w:r>
          </w:p>
          <w:p w14:paraId="1ECB97C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12.2、电灼：功率1-120W</w:t>
            </w:r>
          </w:p>
          <w:p w14:paraId="3148122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12.3、喷凝：功率1-120W</w:t>
            </w:r>
          </w:p>
          <w:p w14:paraId="18D7273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12.4、双路输出电灼：功率1-120W</w:t>
            </w:r>
          </w:p>
          <w:p w14:paraId="3040B34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12.4、双路输出喷凝血：功率1-120W</w:t>
            </w:r>
          </w:p>
        </w:tc>
      </w:tr>
      <w:tr w14:paraId="4A9508CA">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7B87161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13、普通双极模式≥三种：精确，标准，宏。</w:t>
            </w:r>
          </w:p>
          <w:p w14:paraId="63F219B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13.1、精准：功率1-70W</w:t>
            </w:r>
          </w:p>
          <w:p w14:paraId="004A69B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13.2、标准：功率1-70W</w:t>
            </w:r>
          </w:p>
          <w:p w14:paraId="0574A1F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13.3、宏：功率1-70W</w:t>
            </w:r>
          </w:p>
        </w:tc>
      </w:tr>
      <w:tr w14:paraId="283F471F">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42138C2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14、FT双极模式≥三种：低，中，高。</w:t>
            </w:r>
          </w:p>
          <w:p w14:paraId="19FB3B5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14.1、低：功率1-15W</w:t>
            </w:r>
          </w:p>
          <w:p w14:paraId="63F2D2B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14.2、中：功率16-40W</w:t>
            </w:r>
          </w:p>
          <w:p w14:paraId="190484F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14.3、高：功率45-95W</w:t>
            </w:r>
          </w:p>
        </w:tc>
      </w:tr>
      <w:tr w14:paraId="16C0F2B3">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46AF277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15、精确模式、标准模式和宏模式的功能与低模式、中模式、高模式的功能有明显区别</w:t>
            </w:r>
          </w:p>
        </w:tc>
      </w:tr>
      <w:tr w14:paraId="2D5BBF30">
        <w:tblPrEx>
          <w:tblCellMar>
            <w:top w:w="0" w:type="dxa"/>
            <w:left w:w="108" w:type="dxa"/>
            <w:bottom w:w="0" w:type="dxa"/>
            <w:right w:w="108" w:type="dxa"/>
          </w:tblCellMar>
        </w:tblPrEx>
        <w:trPr>
          <w:trHeight w:val="291"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133BA0B3">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16、演示模式：具备演示模式功能，方便教学或检修。</w:t>
            </w:r>
          </w:p>
        </w:tc>
      </w:tr>
      <w:tr w14:paraId="02F391F6">
        <w:tblPrEx>
          <w:tblCellMar>
            <w:top w:w="0" w:type="dxa"/>
            <w:left w:w="108" w:type="dxa"/>
            <w:bottom w:w="0" w:type="dxa"/>
            <w:right w:w="108" w:type="dxa"/>
          </w:tblCellMar>
        </w:tblPrEx>
        <w:trPr>
          <w:trHeight w:val="3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036E19EF">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17、排烟系统：具备排烟系统连接功能。</w:t>
            </w:r>
          </w:p>
        </w:tc>
      </w:tr>
      <w:tr w14:paraId="60355828">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21C90BA7">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18、心电图（EKG）消隐功能：提供互连线插口，用于向心电图设备发送信号。</w:t>
            </w:r>
          </w:p>
        </w:tc>
      </w:tr>
      <w:tr w14:paraId="6CE0113C">
        <w:tblPrEx>
          <w:tblCellMar>
            <w:top w:w="0" w:type="dxa"/>
            <w:left w:w="108" w:type="dxa"/>
            <w:bottom w:w="0" w:type="dxa"/>
            <w:right w:w="108" w:type="dxa"/>
          </w:tblCellMar>
        </w:tblPrEx>
        <w:trPr>
          <w:trHeight w:val="318"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36ADE580">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19、以太网：对设备执行维修操作。</w:t>
            </w:r>
          </w:p>
        </w:tc>
      </w:tr>
      <w:tr w14:paraId="579FA174">
        <w:tblPrEx>
          <w:tblCellMar>
            <w:top w:w="0" w:type="dxa"/>
            <w:left w:w="108" w:type="dxa"/>
            <w:bottom w:w="0" w:type="dxa"/>
            <w:right w:w="108" w:type="dxa"/>
          </w:tblCellMar>
        </w:tblPrEx>
        <w:trPr>
          <w:trHeight w:val="304"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135F1FAE">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20、USB连接：对设备进行维修操作。</w:t>
            </w:r>
          </w:p>
        </w:tc>
      </w:tr>
      <w:tr w14:paraId="30D3F4AF">
        <w:tblPrEx>
          <w:tblCellMar>
            <w:top w:w="0" w:type="dxa"/>
            <w:left w:w="108" w:type="dxa"/>
            <w:bottom w:w="0" w:type="dxa"/>
            <w:right w:w="108" w:type="dxa"/>
          </w:tblCellMar>
        </w:tblPrEx>
        <w:trPr>
          <w:trHeight w:val="276"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4902BFE7">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21、氩气发生器连接：具备连接同品牌氩气刀功能。</w:t>
            </w:r>
          </w:p>
        </w:tc>
      </w:tr>
      <w:tr w14:paraId="63A917EE">
        <w:tblPrEx>
          <w:tblCellMar>
            <w:top w:w="0" w:type="dxa"/>
            <w:left w:w="108" w:type="dxa"/>
            <w:bottom w:w="0" w:type="dxa"/>
            <w:right w:w="108" w:type="dxa"/>
          </w:tblCellMar>
        </w:tblPrEx>
        <w:trPr>
          <w:trHeight w:val="645" w:hRule="atLeast"/>
          <w:jc w:val="center"/>
        </w:trPr>
        <w:tc>
          <w:tcPr>
            <w:tcW w:w="7139" w:type="dxa"/>
            <w:tcBorders>
              <w:top w:val="nil"/>
              <w:left w:val="nil"/>
              <w:bottom w:val="single" w:color="3F3F3F" w:sz="4" w:space="0"/>
              <w:right w:val="single" w:color="3F3F3F" w:sz="4" w:space="0"/>
            </w:tcBorders>
            <w:shd w:val="clear" w:color="000000" w:fill="FFFFFF"/>
            <w:noWrap w:val="0"/>
            <w:vAlign w:val="top"/>
          </w:tcPr>
          <w:p w14:paraId="4C824A0E">
            <w:pPr>
              <w:pageBreakBefore w:val="0"/>
              <w:kinsoku/>
              <w:wordWrap/>
              <w:topLinePunct w:val="0"/>
              <w:bidi w:val="0"/>
              <w:spacing w:line="360" w:lineRule="auto"/>
              <w:rPr>
                <w:rFonts w:hint="eastAsia" w:ascii="仿宋" w:hAnsi="仿宋" w:eastAsia="仿宋" w:cs="仿宋"/>
                <w:b/>
                <w:bCs/>
                <w:kern w:val="0"/>
                <w:sz w:val="24"/>
                <w:szCs w:val="24"/>
              </w:rPr>
            </w:pPr>
            <w:r>
              <w:rPr>
                <w:rFonts w:hint="eastAsia" w:ascii="仿宋" w:hAnsi="仿宋" w:eastAsia="仿宋" w:cs="仿宋"/>
                <w:sz w:val="24"/>
                <w:szCs w:val="24"/>
              </w:rPr>
              <w:t>22、脚踏开关连接：可同时连接①单极脚踏开关②双极脚踏开关③三踏板脚踏开关（威利模式）。</w:t>
            </w:r>
          </w:p>
        </w:tc>
      </w:tr>
    </w:tbl>
    <w:p w14:paraId="018A19D6">
      <w:pPr>
        <w:pStyle w:val="7"/>
        <w:pageBreakBefore w:val="0"/>
        <w:kinsoku/>
        <w:wordWrap/>
        <w:topLinePunct w:val="0"/>
        <w:bidi w:val="0"/>
        <w:spacing w:line="360" w:lineRule="auto"/>
        <w:rPr>
          <w:rFonts w:hint="eastAsia" w:ascii="仿宋" w:hAnsi="仿宋" w:eastAsia="仿宋" w:cs="仿宋"/>
        </w:rPr>
      </w:pPr>
    </w:p>
    <w:p w14:paraId="6AC73A91">
      <w:pPr>
        <w:rPr>
          <w:rFonts w:hint="eastAsia" w:ascii="仿宋" w:hAnsi="仿宋" w:eastAsia="仿宋" w:cs="仿宋"/>
        </w:rPr>
      </w:pPr>
    </w:p>
    <w:p w14:paraId="0385474D">
      <w:pPr>
        <w:pStyle w:val="6"/>
        <w:rPr>
          <w:rFonts w:hint="eastAsia"/>
        </w:rPr>
      </w:pPr>
    </w:p>
    <w:p w14:paraId="60FE0B49">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附件十</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w:t>
      </w:r>
    </w:p>
    <w:p w14:paraId="6D6163F6">
      <w:pPr>
        <w:pageBreakBefore w:val="0"/>
        <w:kinsoku/>
        <w:wordWrap/>
        <w:topLinePunct w:val="0"/>
        <w:bidi w:val="0"/>
        <w:spacing w:line="360" w:lineRule="auto"/>
        <w:ind w:firstLine="2240" w:firstLineChars="700"/>
        <w:rPr>
          <w:rFonts w:hint="eastAsia" w:ascii="仿宋" w:hAnsi="仿宋" w:eastAsia="仿宋" w:cs="仿宋"/>
          <w:b/>
          <w:bCs/>
          <w:sz w:val="28"/>
          <w:szCs w:val="28"/>
        </w:rPr>
      </w:pPr>
      <w:r>
        <w:rPr>
          <w:rFonts w:hint="eastAsia" w:ascii="仿宋" w:hAnsi="仿宋" w:eastAsia="仿宋" w:cs="仿宋"/>
          <w:b/>
          <w:bCs/>
          <w:sz w:val="32"/>
          <w:szCs w:val="32"/>
        </w:rPr>
        <w:t>新生儿专用监护仪技术参数</w:t>
      </w:r>
    </w:p>
    <w:p w14:paraId="5D5FAB38">
      <w:pPr>
        <w:pStyle w:val="8"/>
        <w:pageBreakBefore w:val="0"/>
        <w:tabs>
          <w:tab w:val="left" w:pos="567"/>
        </w:tabs>
        <w:kinsoku/>
        <w:wordWrap/>
        <w:topLinePunct w:val="0"/>
        <w:bidi w:val="0"/>
        <w:spacing w:line="360" w:lineRule="auto"/>
        <w:rPr>
          <w:rFonts w:hint="eastAsia" w:ascii="仿宋" w:hAnsi="仿宋" w:eastAsia="仿宋" w:cs="仿宋"/>
        </w:rPr>
      </w:pPr>
    </w:p>
    <w:p w14:paraId="468F2B97">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1.≥七道心电波形同屏显示、心电波形级联</w:t>
      </w:r>
    </w:p>
    <w:p w14:paraId="0ADFBE55">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2.心电增益有：1.25mm/mv (×0.125), 2.5 mm/mv (×0.25), 5 mm/mv (×0.5),10 mm/mv (×1), 20 mm/mv (×2), 40 mm/mv (×4),自动增益，多种选择，满足临床需求</w:t>
      </w:r>
    </w:p>
    <w:p w14:paraId="75FFF325">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3.共模抑制比：弱滤波模式：≥ 95dB；监护模式：≥ 105dB；强滤波模式≥105dB</w:t>
      </w:r>
    </w:p>
    <w:p w14:paraId="7186A4F6">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4.ST段分析功能：在强滤波、监护、弱滤波模式下，均支持进行ST段分析，保证各类病人监护安全</w:t>
      </w:r>
    </w:p>
    <w:p w14:paraId="418DF950">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5.标配一体式挂床提手，便于转运监护时挂床安装</w:t>
      </w:r>
    </w:p>
    <w:p w14:paraId="3CF28747">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6.具有待机功能，暂时停止所有监护操作</w:t>
      </w:r>
    </w:p>
    <w:p w14:paraId="4A6495EE">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7.具有脉搏调制音，通过心跳声音的音调变化来判断血氧饱和度的高低变化,使医护人员从听觉中获取病人生命体征</w:t>
      </w:r>
    </w:p>
    <w:p w14:paraId="2991B882">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8.可选配条形码扫描枪，方便快速录入病人信息</w:t>
      </w:r>
    </w:p>
    <w:p w14:paraId="037B556A">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9.具有护士呼叫功能，能够把病人信息报警直接传递到护士站</w:t>
      </w:r>
    </w:p>
    <w:p w14:paraId="1B0ADE4A">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10.声光双重三级报警，同屏显示报警上下限</w:t>
      </w:r>
    </w:p>
    <w:p w14:paraId="5DE09389">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11.技术报警和生理报警分别有各自的报警指示灯</w:t>
      </w:r>
    </w:p>
    <w:p w14:paraId="18D017A2">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12.内含NIBP防尘阀设计，减少气路障碍，有效延长泵使用寿命，提高测量准确性 </w:t>
      </w:r>
    </w:p>
    <w:p w14:paraId="44B9BAC5">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13.支持选配无线联网功能，实现无线/有线等混合方式联网</w:t>
      </w:r>
    </w:p>
    <w:p w14:paraId="21ADA976">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14.可选配三通道内置热敏打印机</w:t>
      </w:r>
    </w:p>
    <w:p w14:paraId="1802D32C">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15.标配可拆卸充电锂电池，具有RJ-45网络口、辅助输出接口、VGA外接显示器接口、USB口、防盗锁孔、电源线卡扣（防止电源脱落）等</w:t>
      </w:r>
    </w:p>
    <w:p w14:paraId="243773F0">
      <w:pPr>
        <w:pageBreakBefore w:val="0"/>
        <w:kinsoku/>
        <w:wordWrap/>
        <w:topLinePunct w:val="0"/>
        <w:bidi w:val="0"/>
        <w:spacing w:line="360" w:lineRule="auto"/>
        <w:rPr>
          <w:rFonts w:hint="eastAsia" w:ascii="仿宋" w:hAnsi="仿宋" w:eastAsia="仿宋" w:cs="仿宋"/>
          <w:bCs/>
          <w:sz w:val="28"/>
          <w:szCs w:val="28"/>
        </w:rPr>
      </w:pPr>
    </w:p>
    <w:p w14:paraId="6A7E3B32">
      <w:pPr>
        <w:pStyle w:val="6"/>
        <w:pageBreakBefore w:val="0"/>
        <w:kinsoku/>
        <w:wordWrap/>
        <w:topLinePunct w:val="0"/>
        <w:bidi w:val="0"/>
        <w:spacing w:line="360" w:lineRule="auto"/>
        <w:rPr>
          <w:rFonts w:hint="eastAsia" w:ascii="仿宋" w:hAnsi="仿宋" w:eastAsia="仿宋" w:cs="仿宋"/>
        </w:rPr>
      </w:pPr>
    </w:p>
    <w:p w14:paraId="4C891580">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附件十</w:t>
      </w:r>
      <w:r>
        <w:rPr>
          <w:rFonts w:hint="eastAsia" w:ascii="仿宋" w:hAnsi="仿宋" w:eastAsia="仿宋" w:cs="仿宋"/>
          <w:bCs/>
          <w:sz w:val="30"/>
          <w:szCs w:val="30"/>
          <w:lang w:val="en-US" w:eastAsia="zh-CN"/>
        </w:rPr>
        <w:t>三</w:t>
      </w:r>
      <w:r>
        <w:rPr>
          <w:rFonts w:hint="eastAsia" w:ascii="仿宋" w:hAnsi="仿宋" w:eastAsia="仿宋" w:cs="仿宋"/>
          <w:bCs/>
          <w:sz w:val="30"/>
          <w:szCs w:val="30"/>
        </w:rPr>
        <w:t>：</w:t>
      </w:r>
    </w:p>
    <w:p w14:paraId="48D42B7C">
      <w:pPr>
        <w:pStyle w:val="9"/>
        <w:pageBreakBefore w:val="0"/>
        <w:kinsoku/>
        <w:wordWrap/>
        <w:topLinePunct w:val="0"/>
        <w:bidi w:val="0"/>
        <w:spacing w:line="360" w:lineRule="auto"/>
        <w:ind w:firstLine="2880" w:firstLineChars="900"/>
        <w:rPr>
          <w:rFonts w:hint="eastAsia" w:ascii="仿宋" w:hAnsi="仿宋" w:eastAsia="仿宋" w:cs="仿宋"/>
          <w:b/>
          <w:bCs/>
          <w:color w:val="auto"/>
          <w:sz w:val="28"/>
          <w:szCs w:val="28"/>
        </w:rPr>
      </w:pPr>
      <w:r>
        <w:rPr>
          <w:rFonts w:hint="eastAsia" w:ascii="仿宋" w:hAnsi="仿宋" w:eastAsia="仿宋" w:cs="仿宋"/>
          <w:b/>
          <w:bCs/>
          <w:color w:val="auto"/>
          <w:kern w:val="2"/>
          <w:sz w:val="32"/>
          <w:szCs w:val="32"/>
        </w:rPr>
        <w:t>经皮黄疸仪技术参数</w:t>
      </w:r>
    </w:p>
    <w:p w14:paraId="60BAA8F0">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1、测量方式：蓝、绿光比较</w:t>
      </w:r>
    </w:p>
    <w:p w14:paraId="53A7616A">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2、精密度（重复性）：&lt;1.5%</w:t>
      </w:r>
    </w:p>
    <w:p w14:paraId="6635987A">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3、测量精度：±1mg/dl或±17μmol/L</w:t>
      </w:r>
    </w:p>
    <w:p w14:paraId="4C48E193">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4、测量范围：0.0～25.0mg/dl或0.0～425μmol/L</w:t>
      </w:r>
    </w:p>
    <w:p w14:paraId="15881064">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5、光源：氙闪光灯</w:t>
      </w:r>
    </w:p>
    <w:p w14:paraId="56746C0C">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6、具有自动校准功能。</w:t>
      </w:r>
    </w:p>
    <w:p w14:paraId="0C00BBBF">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7、日期、时间实时显示</w:t>
      </w:r>
    </w:p>
    <w:p w14:paraId="559CC6B2">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8、可存储≥3000条测量记录；数据可随时删除重测。</w:t>
      </w:r>
    </w:p>
    <w:p w14:paraId="5138F906">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9、可通过USB接口与电脑进行数据传输。</w:t>
      </w:r>
    </w:p>
    <w:p w14:paraId="55B01B46">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10、测量中可按编号实时自动查询历史记录。</w:t>
      </w:r>
    </w:p>
    <w:p w14:paraId="4DF93221">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11、历史记录可按编号、日期、日龄单独或任意组合查询。</w:t>
      </w:r>
    </w:p>
    <w:p w14:paraId="74A101CD">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12、数据管理软件，可进行数据分析、统计、打印等。</w:t>
      </w:r>
    </w:p>
    <w:p w14:paraId="4463615E">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13、显示：真彩色大屏幕显示，方便夜间检测。</w:t>
      </w:r>
    </w:p>
    <w:p w14:paraId="33512272">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14、单位：可同时显示mg/dl和 μmol/L的测量值和平均值。</w:t>
      </w:r>
    </w:p>
    <w:p w14:paraId="4864C9CF">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15、数值：3位数字直接读取，无需对照表换算</w:t>
      </w:r>
    </w:p>
    <w:p w14:paraId="228084F9">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16、平均值计算：自动计算2-5次的平均值，当前值和平均值同时显示</w:t>
      </w:r>
    </w:p>
    <w:p w14:paraId="61A5857C">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17、快速充电：充电时间≤1.5小时</w:t>
      </w:r>
    </w:p>
    <w:p w14:paraId="771C5B46">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18、测量次数：一次充电可测量≥1000次</w:t>
      </w:r>
    </w:p>
    <w:p w14:paraId="3C46B56F">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19、校验盘：对白色屏显示0.0或0.1，对黄色显示20.0±1</w:t>
      </w:r>
    </w:p>
    <w:p w14:paraId="1E119AA1">
      <w:pPr>
        <w:pStyle w:val="8"/>
        <w:pageBreakBefore w:val="0"/>
        <w:tabs>
          <w:tab w:val="left" w:pos="567"/>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20、具有无操作自动休眠和自动关机功能，防治电池过量放电而损坏。</w:t>
      </w:r>
    </w:p>
    <w:p w14:paraId="1590FB6A">
      <w:pPr>
        <w:pStyle w:val="18"/>
        <w:pageBreakBefore w:val="0"/>
        <w:widowControl/>
        <w:shd w:val="clear" w:color="auto" w:fill="FFFFFF"/>
        <w:kinsoku/>
        <w:wordWrap/>
        <w:topLinePunct w:val="0"/>
        <w:bidi w:val="0"/>
        <w:spacing w:before="0" w:beforeAutospacing="0" w:after="0" w:afterAutospacing="0" w:line="360" w:lineRule="auto"/>
        <w:jc w:val="both"/>
        <w:rPr>
          <w:rFonts w:hint="eastAsia" w:ascii="仿宋" w:hAnsi="仿宋" w:eastAsia="仿宋" w:cs="仿宋"/>
          <w:kern w:val="2"/>
          <w:sz w:val="22"/>
          <w:szCs w:val="22"/>
        </w:rPr>
      </w:pPr>
    </w:p>
    <w:p w14:paraId="69BD6FB5">
      <w:pPr>
        <w:pageBreakBefore w:val="0"/>
        <w:kinsoku/>
        <w:wordWrap/>
        <w:topLinePunct w:val="0"/>
        <w:bidi w:val="0"/>
        <w:spacing w:line="360" w:lineRule="auto"/>
        <w:rPr>
          <w:rFonts w:hint="eastAsia" w:ascii="仿宋" w:hAnsi="仿宋" w:eastAsia="仿宋" w:cs="仿宋"/>
          <w:bCs/>
          <w:sz w:val="30"/>
          <w:szCs w:val="30"/>
        </w:rPr>
      </w:pPr>
    </w:p>
    <w:p w14:paraId="72AB1E12">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附件十</w:t>
      </w:r>
      <w:r>
        <w:rPr>
          <w:rFonts w:hint="eastAsia" w:ascii="仿宋" w:hAnsi="仿宋" w:eastAsia="仿宋" w:cs="仿宋"/>
          <w:bCs/>
          <w:sz w:val="30"/>
          <w:szCs w:val="30"/>
          <w:lang w:val="en-US" w:eastAsia="zh-CN"/>
        </w:rPr>
        <w:t>四</w:t>
      </w:r>
      <w:r>
        <w:rPr>
          <w:rFonts w:hint="eastAsia" w:ascii="仿宋" w:hAnsi="仿宋" w:eastAsia="仿宋" w:cs="仿宋"/>
          <w:bCs/>
          <w:sz w:val="30"/>
          <w:szCs w:val="30"/>
        </w:rPr>
        <w:t>：</w:t>
      </w:r>
    </w:p>
    <w:p w14:paraId="40CFC231">
      <w:pPr>
        <w:pageBreakBefore w:val="0"/>
        <w:tabs>
          <w:tab w:val="left" w:pos="2062"/>
        </w:tabs>
        <w:kinsoku/>
        <w:wordWrap/>
        <w:topLinePunct w:val="0"/>
        <w:bidi w:val="0"/>
        <w:spacing w:line="360" w:lineRule="auto"/>
        <w:ind w:firstLine="1280" w:firstLineChars="400"/>
        <w:rPr>
          <w:rFonts w:hint="eastAsia" w:ascii="仿宋" w:hAnsi="仿宋" w:eastAsia="仿宋" w:cs="仿宋"/>
          <w:b/>
          <w:bCs/>
          <w:sz w:val="44"/>
          <w:szCs w:val="44"/>
        </w:rPr>
      </w:pPr>
      <w:r>
        <w:rPr>
          <w:rFonts w:hint="eastAsia" w:ascii="仿宋" w:hAnsi="仿宋" w:eastAsia="仿宋" w:cs="仿宋"/>
          <w:b/>
          <w:bCs/>
          <w:sz w:val="32"/>
          <w:szCs w:val="32"/>
        </w:rPr>
        <w:t>内镜清洗工作站（含追溯系统） 技术参数</w:t>
      </w:r>
    </w:p>
    <w:p w14:paraId="318CE693">
      <w:pPr>
        <w:pageBreakBefore w:val="0"/>
        <w:tabs>
          <w:tab w:val="left" w:pos="2062"/>
        </w:tabs>
        <w:kinsoku/>
        <w:wordWrap/>
        <w:topLinePunct w:val="0"/>
        <w:bidi w:val="0"/>
        <w:spacing w:line="360" w:lineRule="auto"/>
        <w:rPr>
          <w:rFonts w:hint="eastAsia" w:ascii="仿宋" w:hAnsi="仿宋" w:eastAsia="仿宋" w:cs="仿宋"/>
          <w:b/>
          <w:bCs/>
          <w:sz w:val="44"/>
          <w:szCs w:val="44"/>
        </w:rPr>
      </w:pPr>
    </w:p>
    <w:p w14:paraId="3778E468">
      <w:pPr>
        <w:pageBreakBefore w:val="0"/>
        <w:tabs>
          <w:tab w:val="left" w:pos="2062"/>
        </w:tabs>
        <w:kinsoku/>
        <w:wordWrap/>
        <w:topLinePunct w:val="0"/>
        <w:bidi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一、内镜清洗工作站（含追溯系统）(胃+肠 各1套)</w:t>
      </w:r>
    </w:p>
    <w:p w14:paraId="5BBB2F1F">
      <w:pPr>
        <w:pageBreakBefore w:val="0"/>
        <w:numPr>
          <w:ilvl w:val="0"/>
          <w:numId w:val="19"/>
        </w:numPr>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整机结构设计与功能</w:t>
      </w:r>
    </w:p>
    <w:p w14:paraId="67897B90">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槽体、台面、背板采用高分子复合材料一次吸塑成型。</w:t>
      </w:r>
    </w:p>
    <w:p w14:paraId="3A584FE0">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台面可承重≥90KG。（提供国家认可的检验检测机构出具的检验检测报告）</w:t>
      </w:r>
    </w:p>
    <w:p w14:paraId="78E3B59F">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清洗工作站复合板主材耐酸碱腐蚀。提供复合板耐化学试剂 1%NaOH 溶液和 5% H2SO4 溶液腐蚀的检测报告，并且板材在其中浸泡 48 小时无可视变化。</w:t>
      </w:r>
    </w:p>
    <w:p w14:paraId="7DB6104C">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台面高度约840~900mm，四周设计有专门防泛水边。</w:t>
      </w:r>
    </w:p>
    <w:p w14:paraId="78BCBD1B">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台下柜采用非倾斜式设计，避免倾斜式设计柜体储物空间变小。</w:t>
      </w:r>
    </w:p>
    <w:p w14:paraId="0DE70628">
      <w:pPr>
        <w:pageBreakBefore w:val="0"/>
        <w:numPr>
          <w:ilvl w:val="1"/>
          <w:numId w:val="19"/>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柜门板采用钢化玻璃加铝合金边框制成。 </w:t>
      </w:r>
    </w:p>
    <w:p w14:paraId="1A0B6118">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清洗槽内侧底部具有米字形凸起，减少内镜与槽体的接触面积。</w:t>
      </w:r>
    </w:p>
    <w:p w14:paraId="27FEFD41">
      <w:pPr>
        <w:pageBreakBefore w:val="0"/>
        <w:numPr>
          <w:ilvl w:val="1"/>
          <w:numId w:val="19"/>
        </w:numPr>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清洗工作站清洗槽、消毒槽应有容量标识，标识的分度值不大于2L，容量标识误差应不超过10%。</w:t>
      </w:r>
    </w:p>
    <w:p w14:paraId="414C1B04">
      <w:pPr>
        <w:pageBreakBefore w:val="0"/>
        <w:tabs>
          <w:tab w:val="left" w:pos="1635"/>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背板</w:t>
      </w:r>
      <w:r>
        <w:rPr>
          <w:rFonts w:hint="eastAsia" w:ascii="仿宋" w:hAnsi="仿宋" w:eastAsia="仿宋" w:cs="仿宋"/>
          <w:sz w:val="24"/>
          <w:szCs w:val="24"/>
        </w:rPr>
        <w:tab/>
      </w:r>
    </w:p>
    <w:p w14:paraId="691DC0AF">
      <w:pPr>
        <w:pageBreakBefore w:val="0"/>
        <w:tabs>
          <w:tab w:val="left" w:pos="1635"/>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2.1灯箱背板高度≥1600mm</w:t>
      </w:r>
    </w:p>
    <w:p w14:paraId="3B471005">
      <w:pPr>
        <w:pageBreakBefore w:val="0"/>
        <w:kinsoku/>
        <w:wordWrap/>
        <w:topLinePunct w:val="0"/>
        <w:bidi w:val="0"/>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3</w:t>
      </w:r>
      <w:r>
        <w:rPr>
          <w:rFonts w:hint="eastAsia" w:ascii="仿宋" w:hAnsi="仿宋" w:eastAsia="仿宋" w:cs="仿宋"/>
          <w:b/>
          <w:sz w:val="24"/>
          <w:szCs w:val="24"/>
        </w:rPr>
        <w:t>追溯系统（内镜中心质量追溯管理系统）</w:t>
      </w:r>
      <w:r>
        <w:rPr>
          <w:rFonts w:hint="eastAsia" w:ascii="仿宋" w:hAnsi="仿宋" w:eastAsia="仿宋" w:cs="仿宋"/>
          <w:sz w:val="24"/>
          <w:szCs w:val="24"/>
        </w:rPr>
        <w:tab/>
      </w:r>
    </w:p>
    <w:p w14:paraId="294DC398">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3.1执行《WS507-2016软式内镜清洗消毒技术规范》。</w:t>
      </w:r>
    </w:p>
    <w:p w14:paraId="4DAF4929">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3.2由台式电脑、追溯软件、路由器、交换机、读卡器、内镜卡、人员卡等组成。</w:t>
      </w:r>
    </w:p>
    <w:p w14:paraId="7D39512C">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3.3采用成熟的RFID射频技术，实现内镜洗消数据的动态采集，RFID芯片防水耐腐蚀，不易损坏，可长期复用。</w:t>
      </w:r>
    </w:p>
    <w:p w14:paraId="6B919546">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3.4系统具有较强的可扩展性和兼容性，可接入清洗槽及内镜自动清洗消毒机。</w:t>
      </w:r>
    </w:p>
    <w:p w14:paraId="72D9CD36">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3.5具备对内镜的洗消各个环节进行跟踪监测。</w:t>
      </w:r>
    </w:p>
    <w:p w14:paraId="125D2797">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3.6需提供PACS数据共享接口。</w:t>
      </w:r>
    </w:p>
    <w:p w14:paraId="3242B5F9">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3.7追溯记录包括：洗消记录、测漏记录、消毒液检测记录、水质检测记录等。（提供软件界面截图）</w:t>
      </w:r>
    </w:p>
    <w:p w14:paraId="5093F66E">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3.8洗消记录明细包含:洗消日期、洗消人员、内镜名称、内镜编号、所属设备、开始时间、结束时间、任务状态等。（提供软件界面截图）</w:t>
      </w:r>
    </w:p>
    <w:p w14:paraId="1DD82A68">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3.9支持内镜清洗查询统计，查询条件：所属设备、任务状态、洗消人员、洗消时间等。</w:t>
      </w:r>
    </w:p>
    <w:p w14:paraId="1CBF2769">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3.10采用人员刷卡登录和账号密码两种登录方式。</w:t>
      </w:r>
    </w:p>
    <w:p w14:paraId="38E58B88">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3.11采用刷卡启动控制，刷卡追溯同时自动启动注液注气等功能，无需点按启动按键，降低交叉感染风险。</w:t>
      </w:r>
    </w:p>
    <w:p w14:paraId="00224B7C">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3.12可对消毒剂、进水水质检测结果进行拍照上传记录管理。可记录消毒剂种类、消毒剂效期、检测人员、检测日期、检测次数等信息，可记录终末漂洗槽水质菌落数、电导率、检测人员、检测日期等信息。（提供追溯系统界面佐证）</w:t>
      </w:r>
    </w:p>
    <w:p w14:paraId="17A26382">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3.13可统计清洗工作站的累计洗消数量、人均洗消次数、洗消平均耗时、洗消人员绩效等数据。（提供追溯系统界面佐证）</w:t>
      </w:r>
    </w:p>
    <w:p w14:paraId="5C8D8031">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3.14追溯软件具备国家相关部门颁发的计算机软件著作权登记证书。</w:t>
      </w:r>
    </w:p>
    <w:p w14:paraId="2E912C3F">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多功能模块</w:t>
      </w:r>
      <w:r>
        <w:rPr>
          <w:rFonts w:hint="eastAsia" w:ascii="仿宋" w:hAnsi="仿宋" w:eastAsia="仿宋" w:cs="仿宋"/>
          <w:sz w:val="24"/>
          <w:szCs w:val="24"/>
        </w:rPr>
        <w:tab/>
      </w:r>
    </w:p>
    <w:p w14:paraId="5AE7362D">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4.1隐藏式设计，背部预留水气快速接头。 </w:t>
      </w:r>
    </w:p>
    <w:p w14:paraId="7E96DB47">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4.2多功能模块均配备独立电源。</w:t>
      </w:r>
    </w:p>
    <w:p w14:paraId="54A3A73B">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4.3内部安装功能槽执行部件，实行水电分离。</w:t>
      </w:r>
    </w:p>
    <w:p w14:paraId="00ECF53A">
      <w:pPr>
        <w:pageBreakBefore w:val="0"/>
        <w:tabs>
          <w:tab w:val="left" w:pos="1845"/>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微控制器</w:t>
      </w:r>
      <w:r>
        <w:rPr>
          <w:rFonts w:hint="eastAsia" w:ascii="仿宋" w:hAnsi="仿宋" w:eastAsia="仿宋" w:cs="仿宋"/>
          <w:sz w:val="24"/>
          <w:szCs w:val="24"/>
        </w:rPr>
        <w:tab/>
      </w:r>
    </w:p>
    <w:p w14:paraId="2041729B">
      <w:pPr>
        <w:pageBreakBefore w:val="0"/>
        <w:tabs>
          <w:tab w:val="left" w:pos="1845"/>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5.1采用防水触摸按键。</w:t>
      </w:r>
    </w:p>
    <w:p w14:paraId="17C0B9D0">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5.2可分别设置各清洗作业时间，各种数据可自行自由设定（0秒～99分59秒），计时准确误差＜1%。 （提供国家认可的检验检测机构出具的检验检测报告）</w:t>
      </w:r>
    </w:p>
    <w:p w14:paraId="3F575812">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多功能灌流器/水气灌注器</w:t>
      </w:r>
      <w:r>
        <w:rPr>
          <w:rFonts w:hint="eastAsia" w:ascii="仿宋" w:hAnsi="仿宋" w:eastAsia="仿宋" w:cs="仿宋"/>
          <w:sz w:val="24"/>
          <w:szCs w:val="24"/>
        </w:rPr>
        <w:tab/>
      </w:r>
    </w:p>
    <w:p w14:paraId="6B587EFF">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6.1多功能灌流器，通过微控制器自动完成脉动注水、注气、吸引过程。</w:t>
      </w:r>
    </w:p>
    <w:p w14:paraId="0DB7BA7B">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6.2注水装置：当供水压力为0.2MPa~0.3MPa时，注水流量≥3.7L/min。（提供国家认可的检验检测机构出具的检验检测报告）</w:t>
      </w:r>
    </w:p>
    <w:p w14:paraId="5CF3D74A">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6.3吸引装置：流量≥2L/min，最大吸引力至少能达到-0.04MPa。</w:t>
      </w:r>
    </w:p>
    <w:p w14:paraId="49113D81">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6.4注气装置：压力0~0.7MPa可调。</w:t>
      </w:r>
    </w:p>
    <w:p w14:paraId="20CED773">
      <w:pPr>
        <w:pageBreakBefore w:val="0"/>
        <w:tabs>
          <w:tab w:val="left" w:pos="2062"/>
        </w:tabs>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sz w:val="24"/>
          <w:szCs w:val="24"/>
        </w:rPr>
        <w:t>7</w:t>
      </w:r>
      <w:r>
        <w:rPr>
          <w:rFonts w:hint="eastAsia" w:ascii="仿宋" w:hAnsi="仿宋" w:eastAsia="仿宋" w:cs="仿宋"/>
          <w:b/>
          <w:sz w:val="24"/>
          <w:szCs w:val="24"/>
        </w:rPr>
        <w:t>酶液/消毒液注流器</w:t>
      </w:r>
      <w:r>
        <w:rPr>
          <w:rFonts w:hint="eastAsia" w:ascii="仿宋" w:hAnsi="仿宋" w:eastAsia="仿宋" w:cs="仿宋"/>
          <w:b/>
          <w:sz w:val="24"/>
          <w:szCs w:val="24"/>
        </w:rPr>
        <w:tab/>
      </w:r>
    </w:p>
    <w:p w14:paraId="22A8F738">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7.1通过微控制器实现注水、清洗、消毒等功能，时间设定可达到99min59s。</w:t>
      </w:r>
    </w:p>
    <w:p w14:paraId="505CFDDE">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7.2注流器：最大流量≥1.3GPM（5L/min）。</w:t>
      </w:r>
    </w:p>
    <w:p w14:paraId="7A41072F">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7.3灌流循环入口采用≥150目的不锈钢滤网，过滤面积≥1000mm²。</w:t>
      </w:r>
    </w:p>
    <w:p w14:paraId="3FC611F7">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b/>
          <w:sz w:val="24"/>
          <w:szCs w:val="24"/>
        </w:rPr>
        <w:t>消毒控制系统</w:t>
      </w:r>
      <w:r>
        <w:rPr>
          <w:rFonts w:hint="eastAsia" w:ascii="仿宋" w:hAnsi="仿宋" w:eastAsia="仿宋" w:cs="仿宋"/>
          <w:sz w:val="24"/>
          <w:szCs w:val="24"/>
        </w:rPr>
        <w:tab/>
      </w:r>
    </w:p>
    <w:p w14:paraId="1D9CB892">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8.1根据不同种类消毒液可自由设定浸泡时间，出厂预设不少于3种模式，至少包括常规、特殊、完结清洗模式。 </w:t>
      </w:r>
    </w:p>
    <w:p w14:paraId="14B505D7">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8.2可多条内镜同时浸泡，每条内镜单独计时。</w:t>
      </w:r>
    </w:p>
    <w:p w14:paraId="77630DEF">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8.3可自由设定消毒液有效期，检测到消毒液过期时，报警提示。</w:t>
      </w:r>
    </w:p>
    <w:p w14:paraId="79F70F10">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8.4回收箱容量＞30L。</w:t>
      </w:r>
    </w:p>
    <w:p w14:paraId="08AC6B6D">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
          <w:sz w:val="24"/>
          <w:szCs w:val="24"/>
        </w:rPr>
        <w:t>医用空气压缩机</w:t>
      </w:r>
      <w:r>
        <w:rPr>
          <w:rFonts w:hint="eastAsia" w:ascii="仿宋" w:hAnsi="仿宋" w:eastAsia="仿宋" w:cs="仿宋"/>
          <w:sz w:val="24"/>
          <w:szCs w:val="24"/>
        </w:rPr>
        <w:tab/>
      </w:r>
    </w:p>
    <w:p w14:paraId="3471012C">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9.1工作方式：工作电压：AC220V，50Hz，功率：＜600W；产气量≥60L/min，最大产气压力≥0.8 Mpa。</w:t>
      </w:r>
    </w:p>
    <w:p w14:paraId="145B62D7">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
          <w:sz w:val="24"/>
          <w:szCs w:val="24"/>
        </w:rPr>
        <w:t>高压水气枪</w:t>
      </w:r>
      <w:r>
        <w:rPr>
          <w:rFonts w:hint="eastAsia" w:ascii="仿宋" w:hAnsi="仿宋" w:eastAsia="仿宋" w:cs="仿宋"/>
          <w:sz w:val="24"/>
          <w:szCs w:val="24"/>
        </w:rPr>
        <w:tab/>
      </w:r>
    </w:p>
    <w:p w14:paraId="26F33CC9">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10.1采用优质SUS304不锈钢材料一次性成型，耐受压力0-0.8MPa。</w:t>
      </w:r>
    </w:p>
    <w:p w14:paraId="5E4634BC">
      <w:pPr>
        <w:pageBreakBefore w:val="0"/>
        <w:tabs>
          <w:tab w:val="left" w:pos="2062"/>
        </w:tabs>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sz w:val="24"/>
          <w:szCs w:val="24"/>
        </w:rPr>
        <w:t>11</w:t>
      </w:r>
      <w:r>
        <w:rPr>
          <w:rFonts w:hint="eastAsia" w:ascii="仿宋" w:hAnsi="仿宋" w:eastAsia="仿宋" w:cs="仿宋"/>
          <w:b/>
          <w:sz w:val="24"/>
          <w:szCs w:val="24"/>
        </w:rPr>
        <w:t>空气过滤减压装置</w:t>
      </w:r>
      <w:r>
        <w:rPr>
          <w:rFonts w:hint="eastAsia" w:ascii="仿宋" w:hAnsi="仿宋" w:eastAsia="仿宋" w:cs="仿宋"/>
          <w:b/>
          <w:sz w:val="24"/>
          <w:szCs w:val="24"/>
        </w:rPr>
        <w:tab/>
      </w:r>
    </w:p>
    <w:p w14:paraId="0DEF4AA5">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11.1两级过滤，第一级过滤精度不低于5µm，第二级过滤精度不低于0.3µm。</w:t>
      </w:r>
    </w:p>
    <w:p w14:paraId="2A06D789">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11.2气压调节范围：0.05 Mpa～0.85 Mpa，压力表显示精度≤0.02Mpa。（提供国家认可的检验检测机构出具的检验检测报告）</w:t>
      </w:r>
    </w:p>
    <w:p w14:paraId="0BC5FD75">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b/>
          <w:sz w:val="24"/>
          <w:szCs w:val="24"/>
        </w:rPr>
        <w:t>净水器</w:t>
      </w:r>
      <w:r>
        <w:rPr>
          <w:rFonts w:hint="eastAsia" w:ascii="仿宋" w:hAnsi="仿宋" w:eastAsia="仿宋" w:cs="仿宋"/>
          <w:sz w:val="24"/>
          <w:szCs w:val="24"/>
        </w:rPr>
        <w:tab/>
      </w:r>
    </w:p>
    <w:p w14:paraId="2F476592">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12.1过滤精度0.01μm，水处理量：≥300L/h。（提供国家认可的检验检测机构出具的检验检测报告）</w:t>
      </w:r>
    </w:p>
    <w:p w14:paraId="154571C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b/>
          <w:sz w:val="24"/>
          <w:szCs w:val="24"/>
        </w:rPr>
        <w:t>清洗槽</w:t>
      </w:r>
      <w:r>
        <w:rPr>
          <w:rFonts w:hint="eastAsia" w:ascii="仿宋" w:hAnsi="仿宋" w:eastAsia="仿宋" w:cs="仿宋"/>
          <w:sz w:val="24"/>
          <w:szCs w:val="24"/>
        </w:rPr>
        <w:tab/>
      </w:r>
    </w:p>
    <w:p w14:paraId="4B137F40">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sz w:val="24"/>
          <w:szCs w:val="24"/>
        </w:rPr>
        <w:t>13.1</w:t>
      </w:r>
      <w:r>
        <w:rPr>
          <w:rFonts w:hint="eastAsia" w:ascii="仿宋" w:hAnsi="仿宋" w:eastAsia="仿宋" w:cs="仿宋"/>
          <w:bCs/>
          <w:sz w:val="24"/>
          <w:szCs w:val="24"/>
        </w:rPr>
        <w:t>规格：</w:t>
      </w:r>
    </w:p>
    <w:p w14:paraId="45A88B83">
      <w:pPr>
        <w:pageBreakBefore w:val="0"/>
        <w:tabs>
          <w:tab w:val="left" w:pos="284"/>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13.1.2单方槽</w:t>
      </w:r>
    </w:p>
    <w:p w14:paraId="110C735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外尺寸≤660mm（左右）*770mm(前后)，槽体内尺寸≥顶部 530mm（左右）*430mm(前后)。</w:t>
      </w:r>
    </w:p>
    <w:p w14:paraId="09FB881D">
      <w:pPr>
        <w:pageBreakBefore w:val="0"/>
        <w:tabs>
          <w:tab w:val="left" w:pos="284"/>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13.1.3双方槽</w:t>
      </w:r>
    </w:p>
    <w:p w14:paraId="5953A196">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外尺寸≤1320mm（左右）*770mm(前后), 单槽内尺寸≥顶部530mm（左右）*430mm(前后)。</w:t>
      </w:r>
    </w:p>
    <w:p w14:paraId="1769B2A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b/>
          <w:sz w:val="24"/>
          <w:szCs w:val="24"/>
        </w:rPr>
        <w:t>干燥台</w:t>
      </w:r>
      <w:r>
        <w:rPr>
          <w:rFonts w:hint="eastAsia" w:ascii="仿宋" w:hAnsi="仿宋" w:eastAsia="仿宋" w:cs="仿宋"/>
          <w:b/>
          <w:sz w:val="24"/>
          <w:szCs w:val="24"/>
        </w:rPr>
        <w:tab/>
      </w:r>
    </w:p>
    <w:p w14:paraId="4B77D7F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Cs/>
          <w:sz w:val="24"/>
          <w:szCs w:val="24"/>
        </w:rPr>
        <w:t>14.1规格</w:t>
      </w:r>
    </w:p>
    <w:p w14:paraId="5C2B12C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外尺寸≤990mm（左右）*770mm(前后),台面内腔尺寸≥950mm（左右）*580mm(前后)。</w:t>
      </w:r>
    </w:p>
    <w:p w14:paraId="2B176AA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14.2</w:t>
      </w:r>
      <w:r>
        <w:rPr>
          <w:rFonts w:hint="eastAsia" w:ascii="仿宋" w:hAnsi="仿宋" w:eastAsia="仿宋" w:cs="仿宋"/>
          <w:bCs/>
          <w:sz w:val="24"/>
          <w:szCs w:val="24"/>
        </w:rPr>
        <w:t>规格</w:t>
      </w:r>
    </w:p>
    <w:p w14:paraId="1FBCFE8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外尺寸≤1320mm（左右）*770mm(前后),台面内腔尺寸≥1280mm（左右）* 580mm(前后)。</w:t>
      </w:r>
    </w:p>
    <w:p w14:paraId="70788F0B">
      <w:pPr>
        <w:pageBreakBefore w:val="0"/>
        <w:tabs>
          <w:tab w:val="left" w:pos="2062"/>
        </w:tabs>
        <w:kinsoku/>
        <w:wordWrap/>
        <w:topLinePunct w:val="0"/>
        <w:bidi w:val="0"/>
        <w:spacing w:line="360" w:lineRule="auto"/>
        <w:rPr>
          <w:rFonts w:hint="eastAsia" w:ascii="仿宋" w:hAnsi="仿宋" w:eastAsia="仿宋" w:cs="仿宋"/>
          <w:sz w:val="24"/>
          <w:szCs w:val="24"/>
        </w:rPr>
      </w:pPr>
    </w:p>
    <w:p w14:paraId="4FB7D05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 xml:space="preserve">二、内镜储存柜 </w:t>
      </w:r>
    </w:p>
    <w:p w14:paraId="3C2942A1">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存储内镜数量：≥4条</w:t>
      </w:r>
    </w:p>
    <w:p w14:paraId="295FFE4D">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消毒干燥方式：紫外线消毒，热风循环；</w:t>
      </w:r>
    </w:p>
    <w:p w14:paraId="53A69311">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储存相对湿度：30%～90%可调；</w:t>
      </w:r>
    </w:p>
    <w:p w14:paraId="0F9D2ED8">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控制面板：可显示北京时间、储存温度、储存湿度等；</w:t>
      </w:r>
    </w:p>
    <w:p w14:paraId="191EB2A9">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消毒持续时间：0s～23h59min可调；</w:t>
      </w:r>
    </w:p>
    <w:p w14:paraId="4D51152A">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材质：内胆采用ABS复合板一体成型；外壳材质为碳钢喷塑；</w:t>
      </w:r>
    </w:p>
    <w:p w14:paraId="2BEF78A4">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三层透明亚克力旋转式挂架，挂架高度可调；</w:t>
      </w:r>
    </w:p>
    <w:p w14:paraId="73F763E6">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柜内高度≥1850mm，保证内镜悬挂空间；</w:t>
      </w:r>
    </w:p>
    <w:p w14:paraId="3D7D0136">
      <w:pPr>
        <w:pageBreakBefore w:val="0"/>
        <w:numPr>
          <w:ilvl w:val="0"/>
          <w:numId w:val="20"/>
        </w:numPr>
        <w:kinsoku/>
        <w:wordWrap/>
        <w:topLinePunct w:val="0"/>
        <w:bidi w:val="0"/>
        <w:spacing w:line="360" w:lineRule="auto"/>
        <w:ind w:firstLine="0"/>
        <w:rPr>
          <w:rFonts w:hint="eastAsia" w:ascii="仿宋" w:hAnsi="仿宋" w:eastAsia="仿宋" w:cs="仿宋"/>
          <w:sz w:val="24"/>
          <w:szCs w:val="24"/>
        </w:rPr>
      </w:pPr>
      <w:r>
        <w:rPr>
          <w:rFonts w:hint="eastAsia" w:ascii="仿宋" w:hAnsi="仿宋" w:eastAsia="仿宋" w:cs="仿宋"/>
          <w:sz w:val="24"/>
          <w:szCs w:val="24"/>
        </w:rPr>
        <w:t>功率：≤800W；</w:t>
      </w:r>
    </w:p>
    <w:p w14:paraId="66F528B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受场地限制，设备尺寸≤宽680*深560*高2200 mm。</w:t>
      </w:r>
    </w:p>
    <w:p w14:paraId="032F1E45">
      <w:pPr>
        <w:pageBreakBefore w:val="0"/>
        <w:kinsoku/>
        <w:wordWrap/>
        <w:topLinePunct w:val="0"/>
        <w:bidi w:val="0"/>
        <w:spacing w:line="360" w:lineRule="auto"/>
        <w:rPr>
          <w:rFonts w:hint="eastAsia" w:ascii="仿宋" w:hAnsi="仿宋" w:eastAsia="仿宋" w:cs="仿宋"/>
          <w:sz w:val="24"/>
          <w:szCs w:val="24"/>
        </w:rPr>
      </w:pPr>
    </w:p>
    <w:p w14:paraId="3AB905EA">
      <w:pPr>
        <w:pageBreakBefore w:val="0"/>
        <w:kinsoku/>
        <w:wordWrap/>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三、内镜转动车</w:t>
      </w:r>
    </w:p>
    <w:p w14:paraId="0B831434">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1、周转托盘由高分子复合材料PMMA制成，光滑易清洁；</w:t>
      </w:r>
    </w:p>
    <w:p w14:paraId="0189017D">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2.托盘尺寸：外尺寸≤500mm*560mm，内径上方≥390mm*460mm，内径底部≥350mm*400mm，内深≥80mm；</w:t>
      </w:r>
    </w:p>
    <w:p w14:paraId="49883C8B">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3.车体耐腐蚀、不沾水、车行顺畅；</w:t>
      </w:r>
    </w:p>
    <w:p w14:paraId="29C29A8B">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4.推车带硅橡胶把手，握感舒适；</w:t>
      </w:r>
    </w:p>
    <w:p w14:paraId="3E6B4B01">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5.转运车宽度≤580mm，前后距离≤845mm，高度≤960mm</w:t>
      </w:r>
      <w:bookmarkStart w:id="111" w:name="_Toc461959532"/>
      <w:r>
        <w:rPr>
          <w:rFonts w:hint="eastAsia" w:ascii="仿宋" w:hAnsi="仿宋" w:eastAsia="仿宋" w:cs="仿宋"/>
          <w:sz w:val="24"/>
          <w:szCs w:val="24"/>
        </w:rPr>
        <w:t>。</w:t>
      </w:r>
      <w:bookmarkEnd w:id="111"/>
    </w:p>
    <w:p w14:paraId="7066E7DE">
      <w:pPr>
        <w:pageBreakBefore w:val="0"/>
        <w:tabs>
          <w:tab w:val="left" w:pos="2062"/>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6.万向轮，带两刹车。</w:t>
      </w:r>
    </w:p>
    <w:p w14:paraId="3AF4F33F">
      <w:pPr>
        <w:pageBreakBefore w:val="0"/>
        <w:kinsoku/>
        <w:wordWrap/>
        <w:topLinePunct w:val="0"/>
        <w:bidi w:val="0"/>
        <w:spacing w:line="360" w:lineRule="auto"/>
        <w:rPr>
          <w:rFonts w:hint="eastAsia" w:ascii="仿宋" w:hAnsi="仿宋" w:eastAsia="仿宋" w:cs="仿宋"/>
          <w:b/>
          <w:bCs/>
          <w:sz w:val="24"/>
          <w:szCs w:val="24"/>
        </w:rPr>
      </w:pPr>
    </w:p>
    <w:p w14:paraId="152F3E13">
      <w:pPr>
        <w:pageBreakBefore w:val="0"/>
        <w:kinsoku/>
        <w:wordWrap/>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四、超声波清洗机 </w:t>
      </w:r>
    </w:p>
    <w:p w14:paraId="468B8B69">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总容积（L）：≥10L</w:t>
      </w:r>
    </w:p>
    <w:p w14:paraId="4AC8D740">
      <w:pPr>
        <w:pageBreakBefore w:val="0"/>
        <w:numPr>
          <w:ilvl w:val="0"/>
          <w:numId w:val="21"/>
        </w:numPr>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材质：柜体、</w:t>
      </w:r>
      <w:r>
        <w:rPr>
          <w:rFonts w:hint="eastAsia" w:ascii="仿宋" w:hAnsi="仿宋" w:eastAsia="仿宋" w:cs="仿宋"/>
          <w:kern w:val="0"/>
          <w:sz w:val="24"/>
          <w:szCs w:val="24"/>
        </w:rPr>
        <w:t>清洗槽采用优质SUS304不锈钢一次冲压成型</w:t>
      </w:r>
    </w:p>
    <w:p w14:paraId="588861C9">
      <w:pPr>
        <w:pageBreakBefore w:val="0"/>
        <w:numPr>
          <w:ilvl w:val="0"/>
          <w:numId w:val="21"/>
        </w:numPr>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含有排水及散热装置</w:t>
      </w:r>
    </w:p>
    <w:p w14:paraId="3D1313ED">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清洗温度</w:t>
      </w:r>
      <w:r>
        <w:rPr>
          <w:rFonts w:hint="eastAsia" w:ascii="仿宋" w:hAnsi="仿宋" w:eastAsia="仿宋" w:cs="仿宋"/>
          <w:sz w:val="24"/>
          <w:szCs w:val="24"/>
        </w:rPr>
        <w:t>：室温-99℃任意可调</w:t>
      </w:r>
    </w:p>
    <w:p w14:paraId="2792CFA1">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工作时间数码控制，1-99分钟任意可调</w:t>
      </w:r>
    </w:p>
    <w:p w14:paraId="68450D37">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一键启动，自动进排水，同时具有最高水位、最低水位及无水液位检测保护功能。</w:t>
      </w:r>
    </w:p>
    <w:p w14:paraId="09760DF7">
      <w:pPr>
        <w:pageBreakBefore w:val="0"/>
        <w:numPr>
          <w:ilvl w:val="0"/>
          <w:numId w:val="21"/>
        </w:numPr>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超声频率：40KHz</w:t>
      </w:r>
    </w:p>
    <w:p w14:paraId="53A30529">
      <w:pPr>
        <w:pageBreakBefore w:val="0"/>
        <w:numPr>
          <w:ilvl w:val="0"/>
          <w:numId w:val="21"/>
        </w:numPr>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超声功率：≤240W</w:t>
      </w:r>
    </w:p>
    <w:p w14:paraId="62E46732">
      <w:pPr>
        <w:pageBreakBefore w:val="0"/>
        <w:numPr>
          <w:ilvl w:val="0"/>
          <w:numId w:val="21"/>
        </w:numPr>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加热功率：≤400W</w:t>
      </w:r>
    </w:p>
    <w:p w14:paraId="1897C8C7">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加热方式：电加热</w:t>
      </w:r>
    </w:p>
    <w:p w14:paraId="66F9B928">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振子：振荡器数量≥4只</w:t>
      </w:r>
    </w:p>
    <w:p w14:paraId="5F121436">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工作方式：超声波发生器采用它激式扫频电源，具有独立的振荡信号，不受负载变的影响，扫频特性可提高洗槽声场的均匀性</w:t>
      </w:r>
    </w:p>
    <w:p w14:paraId="2C7D80B3">
      <w:pPr>
        <w:pageBreakBefore w:val="0"/>
        <w:numPr>
          <w:ilvl w:val="0"/>
          <w:numId w:val="21"/>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安全保护功能：漏电保护，缺液保护，过压保护，过热保护，负载开路、短路保护</w:t>
      </w:r>
    </w:p>
    <w:p w14:paraId="32FF9F31">
      <w:pPr>
        <w:pStyle w:val="39"/>
        <w:pageBreakBefore w:val="0"/>
        <w:tabs>
          <w:tab w:val="left" w:pos="0"/>
        </w:tabs>
        <w:kinsoku/>
        <w:wordWrap/>
        <w:topLinePunct w:val="0"/>
        <w:bidi w:val="0"/>
        <w:spacing w:line="360" w:lineRule="auto"/>
        <w:ind w:firstLine="280" w:firstLineChars="100"/>
        <w:rPr>
          <w:rFonts w:hint="eastAsia" w:ascii="仿宋" w:hAnsi="仿宋" w:eastAsia="仿宋" w:cs="仿宋"/>
          <w:sz w:val="28"/>
          <w:szCs w:val="28"/>
        </w:rPr>
      </w:pPr>
    </w:p>
    <w:p w14:paraId="36E047C3">
      <w:pPr>
        <w:pStyle w:val="39"/>
        <w:pageBreakBefore w:val="0"/>
        <w:tabs>
          <w:tab w:val="left" w:pos="0"/>
        </w:tabs>
        <w:kinsoku/>
        <w:wordWrap/>
        <w:topLinePunct w:val="0"/>
        <w:bidi w:val="0"/>
        <w:spacing w:line="360" w:lineRule="auto"/>
        <w:ind w:firstLine="280" w:firstLineChars="100"/>
        <w:rPr>
          <w:rFonts w:hint="eastAsia" w:ascii="仿宋" w:hAnsi="仿宋" w:eastAsia="仿宋" w:cs="仿宋"/>
          <w:sz w:val="28"/>
          <w:szCs w:val="28"/>
        </w:rPr>
      </w:pPr>
    </w:p>
    <w:p w14:paraId="51AA1826">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十五</w:t>
      </w:r>
      <w:r>
        <w:rPr>
          <w:rFonts w:hint="eastAsia" w:ascii="仿宋" w:hAnsi="仿宋" w:eastAsia="仿宋" w:cs="仿宋"/>
          <w:bCs/>
          <w:sz w:val="30"/>
          <w:szCs w:val="30"/>
        </w:rPr>
        <w:t>：</w:t>
      </w:r>
    </w:p>
    <w:p w14:paraId="56A1E9B8">
      <w:pPr>
        <w:pageBreakBefore w:val="0"/>
        <w:kinsoku/>
        <w:wordWrap/>
        <w:topLinePunct w:val="0"/>
        <w:bidi w:val="0"/>
        <w:spacing w:line="360" w:lineRule="auto"/>
        <w:ind w:firstLine="2240" w:firstLineChars="700"/>
        <w:rPr>
          <w:rFonts w:hint="eastAsia" w:ascii="仿宋" w:hAnsi="仿宋" w:eastAsia="仿宋" w:cs="仿宋"/>
          <w:b/>
          <w:sz w:val="32"/>
        </w:rPr>
      </w:pPr>
      <w:r>
        <w:rPr>
          <w:rFonts w:hint="eastAsia" w:ascii="仿宋" w:hAnsi="仿宋" w:eastAsia="仿宋" w:cs="仿宋"/>
          <w:b/>
          <w:bCs/>
          <w:sz w:val="32"/>
          <w:szCs w:val="32"/>
          <w:lang w:val="en-US" w:eastAsia="zh-CN"/>
        </w:rPr>
        <w:t>数字</w:t>
      </w:r>
      <w:r>
        <w:rPr>
          <w:rFonts w:hint="eastAsia" w:ascii="仿宋" w:hAnsi="仿宋" w:eastAsia="仿宋" w:cs="仿宋"/>
          <w:b/>
          <w:bCs/>
          <w:sz w:val="32"/>
          <w:szCs w:val="32"/>
        </w:rPr>
        <w:t>脑电</w:t>
      </w:r>
      <w:r>
        <w:rPr>
          <w:rFonts w:hint="eastAsia" w:ascii="仿宋" w:hAnsi="仿宋" w:eastAsia="仿宋" w:cs="仿宋"/>
          <w:b/>
          <w:bCs/>
          <w:sz w:val="32"/>
          <w:szCs w:val="32"/>
          <w:lang w:val="en-US" w:eastAsia="zh-CN"/>
        </w:rPr>
        <w:t>地形</w:t>
      </w:r>
      <w:r>
        <w:rPr>
          <w:rFonts w:hint="eastAsia" w:ascii="仿宋" w:hAnsi="仿宋" w:eastAsia="仿宋" w:cs="仿宋"/>
          <w:b/>
          <w:bCs/>
          <w:sz w:val="32"/>
          <w:szCs w:val="32"/>
        </w:rPr>
        <w:t>图仪技术参数</w:t>
      </w:r>
    </w:p>
    <w:p w14:paraId="38578680">
      <w:pPr>
        <w:pStyle w:val="39"/>
        <w:pageBreakBefore w:val="0"/>
        <w:numPr>
          <w:ilvl w:val="0"/>
          <w:numId w:val="22"/>
        </w:numPr>
        <w:kinsoku/>
        <w:wordWrap/>
        <w:topLinePunct w:val="0"/>
        <w:bidi w:val="0"/>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功能要求：</w:t>
      </w:r>
    </w:p>
    <w:p w14:paraId="37839880">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功能概述：具有常规、长时监测记录、视频同步监测、脑电地形图等功能；</w:t>
      </w:r>
    </w:p>
    <w:p w14:paraId="62FE24DB">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通道配置：≥24通道，可扩展心电、肌电、蝶骨电极等。</w:t>
      </w:r>
    </w:p>
    <w:p w14:paraId="5772CA5A">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无线传输方式：采用WIFI传输功能，患者与主机之间无线连接；</w:t>
      </w:r>
    </w:p>
    <w:p w14:paraId="2DB9F224">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阻抗测试：具有头皮阻抗测试功能，可通过观察软件上阻抗测试指示灯的颜色变化，直观了解病人头上电极是否佩戴合适。</w:t>
      </w:r>
    </w:p>
    <w:p w14:paraId="00A1BE76">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电极脱落检测：具有电极脱落实时监测功能，在长程视频监测过程中可随时了解脑电电极接触状况，以便随时纠正接触不良的电极；</w:t>
      </w:r>
    </w:p>
    <w:p w14:paraId="51649AC3">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供电方式：脑电放大盒采用锂电池直流供电方式，隔离交流电干扰；</w:t>
      </w:r>
    </w:p>
    <w:p w14:paraId="4C018D2A">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导联编辑：支持单极、双极、平均、自定义任意导联模式的编辑；</w:t>
      </w:r>
    </w:p>
    <w:p w14:paraId="6EB7BCFC">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事件标记：采集病例时支持睁闭眼、深呼吸、闪光等多种事件诱发试验；</w:t>
      </w:r>
    </w:p>
    <w:p w14:paraId="0FD74D19">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棘波分析：具备棘波分析功能，可自动识别并标记出癫痫病理波；</w:t>
      </w:r>
    </w:p>
    <w:p w14:paraId="4A2C2DAC">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地形图分析：可对任意病例数据进行地形图分析并显示成三维地形图，使医生直观的了解脑区中的异常放电状况；</w:t>
      </w:r>
    </w:p>
    <w:p w14:paraId="0F259CEC">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地形图能量图谱：具备将地形图图谱转换成曲线图、百分比图、直方图、数字地形图等能量频谱；</w:t>
      </w:r>
    </w:p>
    <w:p w14:paraId="484CBCC6">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实时脑功能频谱定量分析：具备实时能量频谱定量分析功能，包括：能量曲线、相对能量、中频指数、边频指数、快慢波比、爆发抑制比、双频指数、肌电指数、样本熵、近似熵等；</w:t>
      </w:r>
    </w:p>
    <w:p w14:paraId="4668FA4C">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实时振幅整合脑电：具有实时振幅整合脑电分析功能，在新生儿出生后第一时间了解其是否存在缺氧缺血的情况；</w:t>
      </w:r>
    </w:p>
    <w:p w14:paraId="4D8B0EDD">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数据上传：高速的动态数据上传设计，USB速率≥15MB/s，24小时病例3分钟内上传电脑；</w:t>
      </w:r>
    </w:p>
    <w:p w14:paraId="4BC7B967">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视频控制：直接通过快捷操作台控制视频，对视频角度、远近等进行遥控；</w:t>
      </w:r>
    </w:p>
    <w:p w14:paraId="53E22FEB">
      <w:pPr>
        <w:pStyle w:val="39"/>
        <w:pageBreakBefore w:val="0"/>
        <w:numPr>
          <w:ilvl w:val="0"/>
          <w:numId w:val="23"/>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红外监测：具备红外监测功能，确保晚上关灯后患者动作清晰摄录；</w:t>
      </w:r>
    </w:p>
    <w:p w14:paraId="641AA9C8">
      <w:pPr>
        <w:pStyle w:val="39"/>
        <w:pageBreakBefore w:val="0"/>
        <w:numPr>
          <w:ilvl w:val="0"/>
          <w:numId w:val="22"/>
        </w:numPr>
        <w:kinsoku/>
        <w:wordWrap/>
        <w:topLinePunct w:val="0"/>
        <w:bidi w:val="0"/>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技术规格要求：</w:t>
      </w:r>
    </w:p>
    <w:p w14:paraId="00172EDA">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定标电压：50μV误差≤±5%。</w:t>
      </w:r>
    </w:p>
    <w:p w14:paraId="17D7F0EB">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电压测量：25μV/cm、50μV/cm、100μV/cm、200μV/cm误差≤±5%</w:t>
      </w:r>
    </w:p>
    <w:p w14:paraId="4D2B77E3">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时间常数：0.1s、0.2s、0.3s误差≤±20%；0.03s误差≤±40%</w:t>
      </w:r>
    </w:p>
    <w:p w14:paraId="4017FFED">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噪声电平：≤0.3μVrms</w:t>
      </w:r>
    </w:p>
    <w:p w14:paraId="249DC12A">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共模抑制比：≥105dB</w:t>
      </w:r>
    </w:p>
    <w:p w14:paraId="5FF3C8EF">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幅频特性：0.1Hz～100Hz  -30% ≤误差≤+5%</w:t>
      </w:r>
    </w:p>
    <w:p w14:paraId="079CB257">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耐极化电压：≥±300mV的直流极化电压，灵敏度变化不超过±5%</w:t>
      </w:r>
    </w:p>
    <w:p w14:paraId="09019730">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输入阻抗：≥3000MΩ</w:t>
      </w:r>
    </w:p>
    <w:p w14:paraId="14EAD246">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灵敏度：25μV/cm 、50μV/cm 、100μV/cm、200μV/cm档位，误差不超过±5%</w:t>
      </w:r>
    </w:p>
    <w:p w14:paraId="5876EBFD">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走纸速度：1.5cm/s 、3cm/s 、6cm/s各档位误差不超过5%</w:t>
      </w:r>
    </w:p>
    <w:p w14:paraId="5A39F978">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采样分辨率：≥24bit</w:t>
      </w:r>
    </w:p>
    <w:p w14:paraId="67FA64C7">
      <w:pPr>
        <w:pStyle w:val="39"/>
        <w:pageBreakBefore w:val="0"/>
        <w:numPr>
          <w:ilvl w:val="0"/>
          <w:numId w:val="24"/>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低通滤波：5Hz ～ 120Hz，≥10档可调</w:t>
      </w:r>
    </w:p>
    <w:p w14:paraId="678AF47B">
      <w:pPr>
        <w:pStyle w:val="39"/>
        <w:pageBreakBefore w:val="0"/>
        <w:numPr>
          <w:ilvl w:val="0"/>
          <w:numId w:val="22"/>
        </w:numPr>
        <w:kinsoku/>
        <w:wordWrap/>
        <w:topLinePunct w:val="0"/>
        <w:bidi w:val="0"/>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配置要求：</w:t>
      </w:r>
    </w:p>
    <w:p w14:paraId="47ED6066">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主控计算机：1套</w:t>
      </w:r>
    </w:p>
    <w:p w14:paraId="5A2600CA">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液晶显示器 1台</w:t>
      </w:r>
    </w:p>
    <w:p w14:paraId="70C98988">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彩色喷墨打印机1台</w:t>
      </w:r>
    </w:p>
    <w:p w14:paraId="0A3678CA">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专用操作台及文档附件1套</w:t>
      </w:r>
    </w:p>
    <w:p w14:paraId="0AFA1E9C">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专用电极线部分 2套，桥状电极2套，电极帽2套。</w:t>
      </w:r>
    </w:p>
    <w:p w14:paraId="0DB571D1">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脑电放大盒 1个</w:t>
      </w:r>
    </w:p>
    <w:p w14:paraId="0A496A45">
      <w:pPr>
        <w:pStyle w:val="39"/>
        <w:pageBreakBefore w:val="0"/>
        <w:numPr>
          <w:ilvl w:val="0"/>
          <w:numId w:val="25"/>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视频系统部份1套</w:t>
      </w:r>
    </w:p>
    <w:p w14:paraId="1BF65378">
      <w:pPr>
        <w:pStyle w:val="39"/>
        <w:pageBreakBefore w:val="0"/>
        <w:kinsoku/>
        <w:wordWrap/>
        <w:topLinePunct w:val="0"/>
        <w:bidi w:val="0"/>
        <w:spacing w:line="360" w:lineRule="auto"/>
        <w:ind w:firstLine="0" w:firstLineChars="0"/>
        <w:rPr>
          <w:rFonts w:hint="eastAsia" w:ascii="仿宋" w:hAnsi="仿宋" w:eastAsia="仿宋" w:cs="仿宋"/>
          <w:b/>
          <w:sz w:val="22"/>
        </w:rPr>
      </w:pPr>
    </w:p>
    <w:p w14:paraId="5D7DD9D4">
      <w:pPr>
        <w:pageBreakBefore w:val="0"/>
        <w:kinsoku/>
        <w:wordWrap/>
        <w:topLinePunct w:val="0"/>
        <w:bidi w:val="0"/>
        <w:spacing w:line="360" w:lineRule="auto"/>
        <w:rPr>
          <w:rFonts w:hint="eastAsia" w:ascii="仿宋" w:hAnsi="仿宋" w:eastAsia="仿宋" w:cs="仿宋"/>
          <w:bCs/>
          <w:sz w:val="30"/>
          <w:szCs w:val="30"/>
        </w:rPr>
      </w:pPr>
    </w:p>
    <w:p w14:paraId="02233761">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十六</w:t>
      </w:r>
      <w:r>
        <w:rPr>
          <w:rFonts w:hint="eastAsia" w:ascii="仿宋" w:hAnsi="仿宋" w:eastAsia="仿宋" w:cs="仿宋"/>
          <w:bCs/>
          <w:sz w:val="30"/>
          <w:szCs w:val="30"/>
        </w:rPr>
        <w:t>：</w:t>
      </w:r>
    </w:p>
    <w:p w14:paraId="64620C54">
      <w:pPr>
        <w:pageBreakBefore w:val="0"/>
        <w:kinsoku/>
        <w:wordWrap/>
        <w:topLinePunct w:val="0"/>
        <w:bidi w:val="0"/>
        <w:spacing w:line="360" w:lineRule="auto"/>
        <w:ind w:firstLine="2240" w:firstLineChars="700"/>
        <w:rPr>
          <w:rFonts w:hint="eastAsia" w:ascii="仿宋" w:hAnsi="仿宋" w:eastAsia="仿宋" w:cs="仿宋"/>
          <w:b/>
          <w:bCs/>
          <w:sz w:val="32"/>
          <w:szCs w:val="32"/>
        </w:rPr>
      </w:pPr>
      <w:r>
        <w:rPr>
          <w:rFonts w:hint="eastAsia" w:ascii="仿宋" w:hAnsi="仿宋" w:eastAsia="仿宋" w:cs="仿宋"/>
          <w:b/>
          <w:bCs/>
          <w:sz w:val="32"/>
          <w:szCs w:val="32"/>
        </w:rPr>
        <w:t>眼科光学生物测量仪技术参数</w:t>
      </w:r>
    </w:p>
    <w:p w14:paraId="2994B6B9">
      <w:pPr>
        <w:pageBreakBefore w:val="0"/>
        <w:kinsoku/>
        <w:wordWrap/>
        <w:topLinePunct w:val="0"/>
        <w:bidi w:val="0"/>
        <w:spacing w:line="360" w:lineRule="auto"/>
        <w:rPr>
          <w:rFonts w:hint="eastAsia" w:ascii="仿宋" w:hAnsi="仿宋" w:eastAsia="仿宋" w:cs="仿宋"/>
          <w:b/>
          <w:bCs/>
          <w:szCs w:val="21"/>
        </w:rPr>
      </w:pPr>
    </w:p>
    <w:p w14:paraId="56B6A5C6">
      <w:pPr>
        <w:pageBreakBefore w:val="0"/>
        <w:kinsoku/>
        <w:wordWrap/>
        <w:topLinePunct w:val="0"/>
        <w:bidi w:val="0"/>
        <w:spacing w:line="360" w:lineRule="auto"/>
        <w:rPr>
          <w:rFonts w:hint="eastAsia" w:ascii="仿宋" w:hAnsi="仿宋" w:eastAsia="仿宋" w:cs="仿宋"/>
          <w:b/>
          <w:bCs/>
          <w:szCs w:val="21"/>
        </w:rPr>
      </w:pPr>
    </w:p>
    <w:p w14:paraId="7C1181F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1.测量光源：</w:t>
      </w:r>
      <w:r>
        <w:rPr>
          <w:rFonts w:hint="eastAsia" w:ascii="仿宋" w:hAnsi="仿宋" w:eastAsia="仿宋" w:cs="仿宋"/>
          <w:sz w:val="24"/>
          <w:szCs w:val="24"/>
        </w:rPr>
        <w:t xml:space="preserve"> 525nm，765nm，845nm，940nm</w:t>
      </w:r>
    </w:p>
    <w:p w14:paraId="2E4F0FB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2.采集模式：</w:t>
      </w:r>
      <w:r>
        <w:rPr>
          <w:rFonts w:hint="eastAsia" w:ascii="仿宋" w:hAnsi="仿宋" w:eastAsia="仿宋" w:cs="仿宋"/>
          <w:sz w:val="24"/>
          <w:szCs w:val="24"/>
        </w:rPr>
        <w:t>全自动/手动，自动寻找眼位、自动寻找瞳孔、自动校准瞳孔位置、自动切换左右眼，自动采集</w:t>
      </w:r>
    </w:p>
    <w:p w14:paraId="26282DA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3.采集过程中全程语音导航</w:t>
      </w:r>
    </w:p>
    <w:p w14:paraId="3B18E25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4.测量范围</w:t>
      </w:r>
      <w:r>
        <w:rPr>
          <w:rFonts w:hint="eastAsia" w:ascii="仿宋" w:hAnsi="仿宋" w:eastAsia="仿宋" w:cs="仿宋"/>
          <w:sz w:val="24"/>
          <w:szCs w:val="24"/>
        </w:rPr>
        <w:t>：  角膜屈光度（K）：</w:t>
      </w:r>
      <w:r>
        <w:rPr>
          <w:rFonts w:hint="eastAsia" w:ascii="仿宋" w:hAnsi="仿宋" w:eastAsia="仿宋" w:cs="仿宋"/>
          <w:sz w:val="24"/>
          <w:szCs w:val="24"/>
        </w:rPr>
        <w:tab/>
      </w:r>
      <w:r>
        <w:rPr>
          <w:rFonts w:hint="eastAsia" w:ascii="仿宋" w:hAnsi="仿宋" w:eastAsia="仿宋" w:cs="仿宋"/>
          <w:sz w:val="24"/>
          <w:szCs w:val="24"/>
        </w:rPr>
        <w:t>36.21D～50.60 D</w:t>
      </w:r>
    </w:p>
    <w:p w14:paraId="6360CBC9">
      <w:pPr>
        <w:pageBreakBefore w:val="0"/>
        <w:kinsoku/>
        <w:wordWrap/>
        <w:topLinePunct w:val="0"/>
        <w:bidi w:val="0"/>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晶体厚度（LT）：0.3 ~ 8mm</w:t>
      </w:r>
    </w:p>
    <w:p w14:paraId="1B0B9FA0">
      <w:pPr>
        <w:pageBreakBefore w:val="0"/>
        <w:kinsoku/>
        <w:wordWrap/>
        <w:topLinePunct w:val="0"/>
        <w:bidi w:val="0"/>
        <w:spacing w:line="360" w:lineRule="auto"/>
        <w:ind w:left="420" w:leftChars="200" w:firstLine="1262" w:firstLineChars="526"/>
        <w:rPr>
          <w:rFonts w:hint="eastAsia" w:ascii="仿宋" w:hAnsi="仿宋" w:eastAsia="仿宋" w:cs="仿宋"/>
          <w:sz w:val="24"/>
          <w:szCs w:val="24"/>
        </w:rPr>
      </w:pPr>
      <w:r>
        <w:rPr>
          <w:rFonts w:hint="eastAsia" w:ascii="仿宋" w:hAnsi="仿宋" w:eastAsia="仿宋" w:cs="仿宋"/>
          <w:sz w:val="24"/>
          <w:szCs w:val="24"/>
        </w:rPr>
        <w:t>散光轴向（AST）：</w:t>
      </w:r>
      <w:r>
        <w:rPr>
          <w:rFonts w:hint="eastAsia" w:ascii="仿宋" w:hAnsi="仿宋" w:eastAsia="仿宋" w:cs="仿宋"/>
          <w:sz w:val="24"/>
          <w:szCs w:val="24"/>
        </w:rPr>
        <w:tab/>
      </w:r>
      <w:r>
        <w:rPr>
          <w:rFonts w:hint="eastAsia" w:ascii="仿宋" w:hAnsi="仿宋" w:eastAsia="仿宋" w:cs="仿宋"/>
          <w:sz w:val="24"/>
          <w:szCs w:val="24"/>
        </w:rPr>
        <w:t>0°～180°</w:t>
      </w:r>
    </w:p>
    <w:p w14:paraId="2E4BBF6B">
      <w:pPr>
        <w:pageBreakBefore w:val="0"/>
        <w:kinsoku/>
        <w:wordWrap/>
        <w:topLinePunct w:val="0"/>
        <w:bidi w:val="0"/>
        <w:spacing w:line="360" w:lineRule="auto"/>
        <w:ind w:left="420" w:leftChars="200" w:firstLine="1262" w:firstLineChars="526"/>
        <w:rPr>
          <w:rFonts w:hint="eastAsia" w:ascii="仿宋" w:hAnsi="仿宋" w:eastAsia="仿宋" w:cs="仿宋"/>
          <w:sz w:val="24"/>
          <w:szCs w:val="24"/>
        </w:rPr>
      </w:pPr>
      <w:r>
        <w:rPr>
          <w:rFonts w:hint="eastAsia" w:ascii="仿宋" w:hAnsi="仿宋" w:eastAsia="仿宋" w:cs="仿宋"/>
          <w:sz w:val="24"/>
          <w:szCs w:val="24"/>
        </w:rPr>
        <w:t>眼轴长度（AL）：</w:t>
      </w:r>
      <w:r>
        <w:rPr>
          <w:rFonts w:hint="eastAsia" w:ascii="仿宋" w:hAnsi="仿宋" w:eastAsia="仿宋" w:cs="仿宋"/>
          <w:sz w:val="24"/>
          <w:szCs w:val="24"/>
        </w:rPr>
        <w:tab/>
      </w:r>
      <w:r>
        <w:rPr>
          <w:rFonts w:hint="eastAsia" w:ascii="仿宋" w:hAnsi="仿宋" w:eastAsia="仿宋" w:cs="仿宋"/>
          <w:sz w:val="24"/>
          <w:szCs w:val="24"/>
        </w:rPr>
        <w:t>14 mm～33mm</w:t>
      </w:r>
    </w:p>
    <w:p w14:paraId="7E12C384">
      <w:pPr>
        <w:pageBreakBefore w:val="0"/>
        <w:kinsoku/>
        <w:wordWrap/>
        <w:topLinePunct w:val="0"/>
        <w:bidi w:val="0"/>
        <w:spacing w:line="360" w:lineRule="auto"/>
        <w:ind w:left="420" w:leftChars="200" w:firstLine="1262" w:firstLineChars="526"/>
        <w:rPr>
          <w:rFonts w:hint="eastAsia" w:ascii="仿宋" w:hAnsi="仿宋" w:eastAsia="仿宋" w:cs="仿宋"/>
          <w:sz w:val="24"/>
          <w:szCs w:val="24"/>
        </w:rPr>
      </w:pPr>
      <w:r>
        <w:rPr>
          <w:rFonts w:hint="eastAsia" w:ascii="仿宋" w:hAnsi="仿宋" w:eastAsia="仿宋" w:cs="仿宋"/>
          <w:sz w:val="24"/>
          <w:szCs w:val="24"/>
        </w:rPr>
        <w:t>角膜中央厚度（CCT）：</w:t>
      </w:r>
      <w:r>
        <w:rPr>
          <w:rFonts w:hint="eastAsia" w:ascii="仿宋" w:hAnsi="仿宋" w:eastAsia="仿宋" w:cs="仿宋"/>
          <w:sz w:val="24"/>
          <w:szCs w:val="24"/>
        </w:rPr>
        <w:tab/>
      </w:r>
      <w:r>
        <w:rPr>
          <w:rFonts w:hint="eastAsia" w:ascii="仿宋" w:hAnsi="仿宋" w:eastAsia="仿宋" w:cs="仿宋"/>
          <w:sz w:val="24"/>
          <w:szCs w:val="24"/>
        </w:rPr>
        <w:t>200μm～1200 μm</w:t>
      </w:r>
    </w:p>
    <w:p w14:paraId="03BD6C68">
      <w:pPr>
        <w:pageBreakBefore w:val="0"/>
        <w:kinsoku/>
        <w:wordWrap/>
        <w:topLinePunct w:val="0"/>
        <w:bidi w:val="0"/>
        <w:spacing w:line="360" w:lineRule="auto"/>
        <w:ind w:left="420" w:leftChars="200" w:firstLine="1262" w:firstLineChars="526"/>
        <w:rPr>
          <w:rFonts w:hint="eastAsia" w:ascii="仿宋" w:hAnsi="仿宋" w:eastAsia="仿宋" w:cs="仿宋"/>
          <w:sz w:val="24"/>
          <w:szCs w:val="24"/>
        </w:rPr>
      </w:pPr>
      <w:r>
        <w:rPr>
          <w:rFonts w:hint="eastAsia" w:ascii="仿宋" w:hAnsi="仿宋" w:eastAsia="仿宋" w:cs="仿宋"/>
          <w:sz w:val="24"/>
          <w:szCs w:val="24"/>
        </w:rPr>
        <w:t>前房深度（ACD）：</w:t>
      </w:r>
      <w:r>
        <w:rPr>
          <w:rFonts w:hint="eastAsia" w:ascii="仿宋" w:hAnsi="仿宋" w:eastAsia="仿宋" w:cs="仿宋"/>
          <w:sz w:val="24"/>
          <w:szCs w:val="24"/>
        </w:rPr>
        <w:tab/>
      </w:r>
      <w:r>
        <w:rPr>
          <w:rFonts w:hint="eastAsia" w:ascii="仿宋" w:hAnsi="仿宋" w:eastAsia="仿宋" w:cs="仿宋"/>
          <w:sz w:val="24"/>
          <w:szCs w:val="24"/>
        </w:rPr>
        <w:t>0.7 mm～11 mm</w:t>
      </w:r>
    </w:p>
    <w:p w14:paraId="0EC52F60">
      <w:pPr>
        <w:pageBreakBefore w:val="0"/>
        <w:kinsoku/>
        <w:wordWrap/>
        <w:topLinePunct w:val="0"/>
        <w:bidi w:val="0"/>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白到白距离（WTW）：</w:t>
      </w:r>
      <w:r>
        <w:rPr>
          <w:rFonts w:hint="eastAsia" w:ascii="仿宋" w:hAnsi="仿宋" w:eastAsia="仿宋" w:cs="仿宋"/>
          <w:sz w:val="24"/>
          <w:szCs w:val="24"/>
        </w:rPr>
        <w:tab/>
      </w:r>
      <w:r>
        <w:rPr>
          <w:rFonts w:hint="eastAsia" w:ascii="仿宋" w:hAnsi="仿宋" w:eastAsia="仿宋" w:cs="仿宋"/>
          <w:sz w:val="24"/>
          <w:szCs w:val="24"/>
        </w:rPr>
        <w:t>7 mm～16 mm</w:t>
      </w:r>
    </w:p>
    <w:p w14:paraId="40CCA576">
      <w:pPr>
        <w:pageBreakBefore w:val="0"/>
        <w:kinsoku/>
        <w:wordWrap/>
        <w:topLinePunct w:val="0"/>
        <w:bidi w:val="0"/>
        <w:spacing w:line="360" w:lineRule="auto"/>
        <w:ind w:left="420" w:leftChars="200" w:firstLine="1262" w:firstLineChars="526"/>
        <w:rPr>
          <w:rFonts w:hint="eastAsia" w:ascii="仿宋" w:hAnsi="仿宋" w:eastAsia="仿宋" w:cs="仿宋"/>
          <w:sz w:val="24"/>
          <w:szCs w:val="24"/>
        </w:rPr>
      </w:pPr>
      <w:r>
        <w:rPr>
          <w:rFonts w:hint="eastAsia" w:ascii="仿宋" w:hAnsi="仿宋" w:eastAsia="仿宋" w:cs="仿宋"/>
          <w:sz w:val="24"/>
          <w:szCs w:val="24"/>
        </w:rPr>
        <w:t>瞳孔直径（PD）：</w:t>
      </w:r>
      <w:r>
        <w:rPr>
          <w:rFonts w:hint="eastAsia" w:ascii="仿宋" w:hAnsi="仿宋" w:eastAsia="仿宋" w:cs="仿宋"/>
          <w:sz w:val="24"/>
          <w:szCs w:val="24"/>
        </w:rPr>
        <w:tab/>
      </w:r>
      <w:r>
        <w:rPr>
          <w:rFonts w:hint="eastAsia" w:ascii="仿宋" w:hAnsi="仿宋" w:eastAsia="仿宋" w:cs="仿宋"/>
          <w:sz w:val="24"/>
          <w:szCs w:val="24"/>
        </w:rPr>
        <w:t>2 mm～13 mm</w:t>
      </w:r>
    </w:p>
    <w:p w14:paraId="3FB9A91E">
      <w:pPr>
        <w:pageBreakBefore w:val="0"/>
        <w:kinsoku/>
        <w:wordWrap/>
        <w:topLinePunct w:val="0"/>
        <w:bidi w:val="0"/>
        <w:spacing w:line="360" w:lineRule="auto"/>
        <w:rPr>
          <w:rFonts w:hint="eastAsia" w:ascii="仿宋" w:hAnsi="仿宋" w:eastAsia="仿宋" w:cs="仿宋"/>
          <w:sz w:val="24"/>
          <w:szCs w:val="24"/>
        </w:rPr>
      </w:pPr>
    </w:p>
    <w:p w14:paraId="27B43AE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5.显示精度：</w:t>
      </w:r>
      <w:r>
        <w:rPr>
          <w:rFonts w:hint="eastAsia" w:ascii="仿宋" w:hAnsi="仿宋" w:eastAsia="仿宋" w:cs="仿宋"/>
          <w:sz w:val="24"/>
          <w:szCs w:val="24"/>
        </w:rPr>
        <w:t xml:space="preserve"> 眼轴长：0.01mm（显示精度）</w:t>
      </w:r>
    </w:p>
    <w:p w14:paraId="16E47315">
      <w:pPr>
        <w:pageBreakBefore w:val="0"/>
        <w:kinsoku/>
        <w:wordWrap/>
        <w:topLinePunct w:val="0"/>
        <w:bidi w:val="0"/>
        <w:spacing w:line="36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角膜屈光度：0.01mm（显示精度）</w:t>
      </w:r>
    </w:p>
    <w:p w14:paraId="49F6EEB9">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瞳孔直径：0.01mm（显示精度）</w:t>
      </w:r>
    </w:p>
    <w:p w14:paraId="070426D4">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前房深度：0.01mm（显示精度）</w:t>
      </w:r>
    </w:p>
    <w:p w14:paraId="5A453184">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晶体厚度：0.01mm（显示精度）</w:t>
      </w:r>
    </w:p>
    <w:p w14:paraId="28232853">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中央角膜厚度：1μm（显示精度）</w:t>
      </w:r>
    </w:p>
    <w:p w14:paraId="66236E2B">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白到白：0.01mm（显示精度）</w:t>
      </w:r>
    </w:p>
    <w:p w14:paraId="4A0F80BD">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散光轴向（AST）：1°（显示精度）</w:t>
      </w:r>
    </w:p>
    <w:p w14:paraId="29C5B0BB">
      <w:pPr>
        <w:pageBreakBefore w:val="0"/>
        <w:kinsoku/>
        <w:wordWrap/>
        <w:topLinePunct w:val="0"/>
        <w:bidi w:val="0"/>
        <w:spacing w:line="360" w:lineRule="auto"/>
        <w:rPr>
          <w:rFonts w:hint="eastAsia" w:ascii="仿宋" w:hAnsi="仿宋" w:eastAsia="仿宋" w:cs="仿宋"/>
          <w:sz w:val="24"/>
          <w:szCs w:val="24"/>
        </w:rPr>
      </w:pPr>
    </w:p>
    <w:p w14:paraId="572E3CFF">
      <w:pPr>
        <w:pageBreakBefore w:val="0"/>
        <w:numPr>
          <w:ilvl w:val="0"/>
          <w:numId w:val="26"/>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重复性：</w:t>
      </w:r>
      <w:r>
        <w:rPr>
          <w:rFonts w:hint="eastAsia" w:ascii="仿宋" w:hAnsi="仿宋" w:eastAsia="仿宋" w:cs="仿宋"/>
          <w:sz w:val="24"/>
          <w:szCs w:val="24"/>
        </w:rPr>
        <w:t xml:space="preserve"> 角膜屈光度（K）</w:t>
      </w:r>
      <w:r>
        <w:rPr>
          <w:rFonts w:hint="eastAsia" w:ascii="仿宋" w:hAnsi="仿宋" w:eastAsia="仿宋" w:cs="仿宋"/>
          <w:sz w:val="24"/>
          <w:szCs w:val="24"/>
        </w:rPr>
        <w:tab/>
      </w:r>
      <w:r>
        <w:rPr>
          <w:rFonts w:hint="eastAsia" w:ascii="仿宋" w:hAnsi="仿宋" w:eastAsia="仿宋" w:cs="仿宋"/>
          <w:sz w:val="24"/>
          <w:szCs w:val="24"/>
        </w:rPr>
        <w:t xml:space="preserve">≤0.13 D   </w:t>
      </w:r>
    </w:p>
    <w:p w14:paraId="5CD22291">
      <w:pPr>
        <w:pageBreakBefore w:val="0"/>
        <w:kinsoku/>
        <w:wordWrap/>
        <w:topLinePunct w:val="0"/>
        <w:bidi w:val="0"/>
        <w:spacing w:line="36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晶体厚度（LT）：19μm</w:t>
      </w:r>
    </w:p>
    <w:p w14:paraId="7A7D9354">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散光轴向（AST）</w:t>
      </w:r>
      <w:r>
        <w:rPr>
          <w:rFonts w:hint="eastAsia" w:ascii="仿宋" w:hAnsi="仿宋" w:eastAsia="仿宋" w:cs="仿宋"/>
          <w:sz w:val="24"/>
          <w:szCs w:val="24"/>
        </w:rPr>
        <w:tab/>
      </w:r>
      <w:r>
        <w:rPr>
          <w:rFonts w:hint="eastAsia" w:ascii="仿宋" w:hAnsi="仿宋" w:eastAsia="仿宋" w:cs="仿宋"/>
          <w:sz w:val="24"/>
          <w:szCs w:val="24"/>
        </w:rPr>
        <w:t>≤2°</w:t>
      </w:r>
    </w:p>
    <w:p w14:paraId="4E30A3AC">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眼轴长度（AL）</w:t>
      </w:r>
      <w:r>
        <w:rPr>
          <w:rFonts w:hint="eastAsia" w:ascii="仿宋" w:hAnsi="仿宋" w:eastAsia="仿宋" w:cs="仿宋"/>
          <w:sz w:val="24"/>
          <w:szCs w:val="24"/>
        </w:rPr>
        <w:tab/>
      </w:r>
      <w:r>
        <w:rPr>
          <w:rFonts w:hint="eastAsia" w:ascii="仿宋" w:hAnsi="仿宋" w:eastAsia="仿宋" w:cs="仿宋"/>
          <w:sz w:val="24"/>
          <w:szCs w:val="24"/>
        </w:rPr>
        <w:t>≤0.025 mm</w:t>
      </w:r>
    </w:p>
    <w:p w14:paraId="0B285E76">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角膜中央厚度（CCT）</w:t>
      </w:r>
      <w:r>
        <w:rPr>
          <w:rFonts w:hint="eastAsia" w:ascii="仿宋" w:hAnsi="仿宋" w:eastAsia="仿宋" w:cs="仿宋"/>
          <w:sz w:val="24"/>
          <w:szCs w:val="24"/>
        </w:rPr>
        <w:tab/>
      </w:r>
      <w:r>
        <w:rPr>
          <w:rFonts w:hint="eastAsia" w:ascii="仿宋" w:hAnsi="仿宋" w:eastAsia="仿宋" w:cs="仿宋"/>
          <w:sz w:val="24"/>
          <w:szCs w:val="24"/>
        </w:rPr>
        <w:t>≤10μm</w:t>
      </w:r>
    </w:p>
    <w:p w14:paraId="224BF1F0">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前房深度（ACD）</w:t>
      </w:r>
      <w:r>
        <w:rPr>
          <w:rFonts w:hint="eastAsia" w:ascii="仿宋" w:hAnsi="仿宋" w:eastAsia="仿宋" w:cs="仿宋"/>
          <w:sz w:val="24"/>
          <w:szCs w:val="24"/>
        </w:rPr>
        <w:tab/>
      </w:r>
      <w:r>
        <w:rPr>
          <w:rFonts w:hint="eastAsia" w:ascii="仿宋" w:hAnsi="仿宋" w:eastAsia="仿宋" w:cs="仿宋"/>
          <w:sz w:val="24"/>
          <w:szCs w:val="24"/>
        </w:rPr>
        <w:t>≤0.02 mm</w:t>
      </w:r>
    </w:p>
    <w:p w14:paraId="1CDCA9FC">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白到白距离（WTW）</w:t>
      </w:r>
      <w:r>
        <w:rPr>
          <w:rFonts w:hint="eastAsia" w:ascii="仿宋" w:hAnsi="仿宋" w:eastAsia="仿宋" w:cs="仿宋"/>
          <w:sz w:val="24"/>
          <w:szCs w:val="24"/>
        </w:rPr>
        <w:tab/>
      </w:r>
      <w:r>
        <w:rPr>
          <w:rFonts w:hint="eastAsia" w:ascii="仿宋" w:hAnsi="仿宋" w:eastAsia="仿宋" w:cs="仿宋"/>
          <w:sz w:val="24"/>
          <w:szCs w:val="24"/>
        </w:rPr>
        <w:t>≤0.3 mm</w:t>
      </w:r>
    </w:p>
    <w:p w14:paraId="71CC18AC">
      <w:pPr>
        <w:pageBreakBefore w:val="0"/>
        <w:kinsoku/>
        <w:wordWrap/>
        <w:topLinePunct w:val="0"/>
        <w:bidi w:val="0"/>
        <w:spacing w:line="360" w:lineRule="auto"/>
        <w:ind w:left="420" w:leftChars="200" w:firstLine="1024" w:firstLineChars="427"/>
        <w:rPr>
          <w:rFonts w:hint="eastAsia" w:ascii="仿宋" w:hAnsi="仿宋" w:eastAsia="仿宋" w:cs="仿宋"/>
          <w:sz w:val="24"/>
          <w:szCs w:val="24"/>
        </w:rPr>
      </w:pPr>
      <w:r>
        <w:rPr>
          <w:rFonts w:hint="eastAsia" w:ascii="仿宋" w:hAnsi="仿宋" w:eastAsia="仿宋" w:cs="仿宋"/>
          <w:sz w:val="24"/>
          <w:szCs w:val="24"/>
        </w:rPr>
        <w:t>瞳孔直径（PD）</w:t>
      </w:r>
      <w:r>
        <w:rPr>
          <w:rFonts w:hint="eastAsia" w:ascii="仿宋" w:hAnsi="仿宋" w:eastAsia="仿宋" w:cs="仿宋"/>
          <w:sz w:val="24"/>
          <w:szCs w:val="24"/>
        </w:rPr>
        <w:tab/>
      </w:r>
      <w:r>
        <w:rPr>
          <w:rFonts w:hint="eastAsia" w:ascii="仿宋" w:hAnsi="仿宋" w:eastAsia="仿宋" w:cs="仿宋"/>
          <w:sz w:val="24"/>
          <w:szCs w:val="24"/>
        </w:rPr>
        <w:t>≤0.3 mm</w:t>
      </w:r>
    </w:p>
    <w:p w14:paraId="2EA73A7E">
      <w:pPr>
        <w:pageBreakBefore w:val="0"/>
        <w:kinsoku/>
        <w:wordWrap/>
        <w:topLinePunct w:val="0"/>
        <w:bidi w:val="0"/>
        <w:spacing w:line="360" w:lineRule="auto"/>
        <w:rPr>
          <w:rFonts w:hint="eastAsia" w:ascii="仿宋" w:hAnsi="仿宋" w:eastAsia="仿宋" w:cs="仿宋"/>
          <w:sz w:val="24"/>
          <w:szCs w:val="24"/>
        </w:rPr>
      </w:pPr>
    </w:p>
    <w:p w14:paraId="4B3706C5">
      <w:pPr>
        <w:pageBreakBefore w:val="0"/>
        <w:kinsoku/>
        <w:wordWrap/>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7.人工晶体计算公式</w:t>
      </w:r>
    </w:p>
    <w:p w14:paraId="0D8228A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SRK-T、 SRK-2、Shammas、Rosa、Holladay、HofferQ、Haigis、Binkhorst2</w:t>
      </w:r>
    </w:p>
    <w:p w14:paraId="531696C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b/>
          <w:bCs/>
          <w:sz w:val="24"/>
          <w:szCs w:val="24"/>
        </w:rPr>
        <w:t>8.数据传输：</w:t>
      </w:r>
      <w:r>
        <w:rPr>
          <w:rFonts w:hint="eastAsia" w:ascii="仿宋" w:hAnsi="仿宋" w:eastAsia="仿宋" w:cs="仿宋"/>
          <w:sz w:val="24"/>
          <w:szCs w:val="24"/>
        </w:rPr>
        <w:t>USB、RJ45</w:t>
      </w:r>
    </w:p>
    <w:p w14:paraId="59F9597F">
      <w:pPr>
        <w:pStyle w:val="6"/>
        <w:pageBreakBefore w:val="0"/>
        <w:kinsoku/>
        <w:wordWrap/>
        <w:topLinePunct w:val="0"/>
        <w:bidi w:val="0"/>
        <w:spacing w:line="360" w:lineRule="auto"/>
        <w:rPr>
          <w:rFonts w:hint="eastAsia" w:ascii="仿宋" w:hAnsi="仿宋" w:eastAsia="仿宋" w:cs="仿宋"/>
        </w:rPr>
      </w:pPr>
    </w:p>
    <w:p w14:paraId="6F2F8F2D">
      <w:pPr>
        <w:pageBreakBefore w:val="0"/>
        <w:kinsoku/>
        <w:wordWrap/>
        <w:topLinePunct w:val="0"/>
        <w:bidi w:val="0"/>
        <w:spacing w:line="360" w:lineRule="auto"/>
        <w:rPr>
          <w:rFonts w:hint="eastAsia" w:ascii="仿宋" w:hAnsi="仿宋" w:eastAsia="仿宋" w:cs="仿宋"/>
        </w:rPr>
      </w:pPr>
    </w:p>
    <w:p w14:paraId="7388CEBD">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十七</w:t>
      </w:r>
      <w:r>
        <w:rPr>
          <w:rFonts w:hint="eastAsia" w:ascii="仿宋" w:hAnsi="仿宋" w:eastAsia="仿宋" w:cs="仿宋"/>
          <w:bCs/>
          <w:sz w:val="30"/>
          <w:szCs w:val="30"/>
        </w:rPr>
        <w:t>：</w:t>
      </w:r>
    </w:p>
    <w:p w14:paraId="2F7A8A1C">
      <w:pPr>
        <w:pStyle w:val="4"/>
        <w:pageBreakBefore w:val="0"/>
        <w:kinsoku/>
        <w:wordWrap/>
        <w:topLinePunct w:val="0"/>
        <w:bidi w:val="0"/>
        <w:spacing w:line="360" w:lineRule="auto"/>
        <w:ind w:firstLine="2560" w:firstLineChars="800"/>
        <w:rPr>
          <w:rFonts w:hint="eastAsia" w:ascii="仿宋" w:hAnsi="仿宋" w:eastAsia="仿宋" w:cs="仿宋"/>
        </w:rPr>
      </w:pPr>
      <w:r>
        <w:rPr>
          <w:rFonts w:hint="eastAsia" w:ascii="仿宋" w:hAnsi="仿宋" w:eastAsia="仿宋" w:cs="仿宋"/>
          <w:bCs/>
          <w:sz w:val="32"/>
          <w:szCs w:val="32"/>
        </w:rPr>
        <w:t>牙科综合治疗</w:t>
      </w:r>
      <w:r>
        <w:rPr>
          <w:rFonts w:hint="eastAsia" w:ascii="仿宋" w:hAnsi="仿宋" w:eastAsia="仿宋" w:cs="仿宋"/>
          <w:bCs/>
          <w:sz w:val="32"/>
          <w:szCs w:val="32"/>
          <w:lang w:val="en-US" w:eastAsia="zh-CN"/>
        </w:rPr>
        <w:t>椅</w:t>
      </w:r>
      <w:r>
        <w:rPr>
          <w:rFonts w:hint="eastAsia" w:ascii="仿宋" w:hAnsi="仿宋" w:eastAsia="仿宋" w:cs="仿宋"/>
          <w:bCs/>
          <w:sz w:val="32"/>
          <w:szCs w:val="32"/>
        </w:rPr>
        <w:t>技术参数</w:t>
      </w:r>
    </w:p>
    <w:p w14:paraId="152832A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1.工作条件</w:t>
      </w:r>
    </w:p>
    <w:p w14:paraId="613B1E35">
      <w:pPr>
        <w:pStyle w:val="42"/>
        <w:pageBreakBefore w:val="0"/>
        <w:kinsoku/>
        <w:wordWrap/>
        <w:topLinePunct w:val="0"/>
        <w:bidi w:val="0"/>
        <w:spacing w:before="60" w:beforeAutospacing="0" w:after="60" w:afterAutospacing="0" w:line="360" w:lineRule="auto"/>
        <w:rPr>
          <w:rFonts w:hint="eastAsia" w:ascii="仿宋" w:hAnsi="仿宋" w:eastAsia="仿宋" w:cs="仿宋"/>
          <w:sz w:val="24"/>
          <w:szCs w:val="24"/>
        </w:rPr>
      </w:pPr>
      <w:r>
        <w:rPr>
          <w:rFonts w:hint="eastAsia" w:ascii="仿宋" w:hAnsi="仿宋" w:eastAsia="仿宋" w:cs="仿宋"/>
          <w:sz w:val="24"/>
          <w:szCs w:val="24"/>
        </w:rPr>
        <w:t>供气压力范围 0.55—0.80Mpa, 流量≥55L/min</w:t>
      </w:r>
    </w:p>
    <w:p w14:paraId="4992DD5E">
      <w:pPr>
        <w:pStyle w:val="42"/>
        <w:pageBreakBefore w:val="0"/>
        <w:kinsoku/>
        <w:wordWrap/>
        <w:topLinePunct w:val="0"/>
        <w:bidi w:val="0"/>
        <w:spacing w:before="60" w:beforeAutospacing="0" w:after="60" w:afterAutospacing="0" w:line="360" w:lineRule="auto"/>
        <w:rPr>
          <w:rFonts w:hint="eastAsia" w:ascii="仿宋" w:hAnsi="仿宋" w:eastAsia="仿宋" w:cs="仿宋"/>
          <w:sz w:val="24"/>
          <w:szCs w:val="24"/>
        </w:rPr>
      </w:pPr>
      <w:r>
        <w:rPr>
          <w:rFonts w:hint="eastAsia" w:ascii="仿宋" w:hAnsi="仿宋" w:eastAsia="仿宋" w:cs="仿宋"/>
          <w:sz w:val="24"/>
          <w:szCs w:val="24"/>
        </w:rPr>
        <w:t>水源水压范围 0.2—0.4Mpa, 流量≥10L/min</w:t>
      </w:r>
    </w:p>
    <w:p w14:paraId="020FC99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3.口腔灯</w:t>
      </w:r>
    </w:p>
    <w:p w14:paraId="0FD9020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与治疗机同品牌，感应LED冷光灯，色温可进行白光/黄光两种模式切换，色温最大值≥5000K，最小值≤2700K；照度可进行无极调节，最高照度≥30000Lux，无接触式控制.</w:t>
      </w:r>
    </w:p>
    <w:p w14:paraId="2721DE44">
      <w:pPr>
        <w:pageBreakBefore w:val="0"/>
        <w:kinsoku/>
        <w:wordWrap/>
        <w:topLinePunct w:val="0"/>
        <w:bidi w:val="0"/>
        <w:spacing w:line="360" w:lineRule="auto"/>
        <w:rPr>
          <w:rFonts w:hint="eastAsia" w:ascii="仿宋" w:hAnsi="仿宋" w:eastAsia="仿宋" w:cs="仿宋"/>
          <w:sz w:val="24"/>
          <w:szCs w:val="24"/>
        </w:rPr>
      </w:pPr>
    </w:p>
    <w:p w14:paraId="69222AB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4.牙科椅</w:t>
      </w:r>
    </w:p>
    <w:p w14:paraId="2C62879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4.1整体采用金属材质骨架和底座，座椅承重范围＞160KG；（具备国家实验室认证的第三方检测机构出具的检验报告）</w:t>
      </w:r>
    </w:p>
    <w:p w14:paraId="00E9C71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4.2座椅升降范围 最高＞780mm，最低＜360mm；（具备国家实验室认证的第三方检测机构出具的检验报告）</w:t>
      </w:r>
    </w:p>
    <w:p w14:paraId="54A59F9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4.3弯板采用精密铝合金铸造工艺</w:t>
      </w:r>
    </w:p>
    <w:p w14:paraId="20C431F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4.4座椅扶手为前翻式设计，扶手连接处位于椅身中部，不阻碍医生腿部动作，医生侧的扶手可向前翻转≥150°，便于患者上下牙椅；</w:t>
      </w:r>
    </w:p>
    <w:p w14:paraId="3173BC8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4.5防误触急停开关，平头内槽式设计，具有急停保护装置；</w:t>
      </w:r>
    </w:p>
    <w:p w14:paraId="63238F3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4.6.具备椅位补偿功能，靠背仰俯操作同时坐垫进行同方向小幅度抬升或回落，让患者治疗体验更舒适；</w:t>
      </w:r>
    </w:p>
    <w:p w14:paraId="156EEFF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4.7靠背主体采用冷轧钢板和静电喷涂工艺；</w:t>
      </w:r>
    </w:p>
    <w:p w14:paraId="57B36E6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4.8符合人体工程学的靠背设计，便于医生在治疗时能从各个方位靠近患者；</w:t>
      </w:r>
    </w:p>
    <w:p w14:paraId="7D25263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4.9坐垫和靠背背板为ABS工程塑料的材质，防潮防霉。免工具挂扣式安装方式，方便拆卸清洁； </w:t>
      </w:r>
    </w:p>
    <w:p w14:paraId="6FDD585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4.10人造合成皮革，具备防菌防霉涂层，高端缝制工艺，人体接触面无缝，舒适易清洁（需提供第三方的防霉抗菌检测报告）</w:t>
      </w:r>
    </w:p>
    <w:p w14:paraId="2EC7450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4.11头枕长度可在0-150mm间调节；头枕旋钮不阻碍医生腿部动作；</w:t>
      </w:r>
    </w:p>
    <w:p w14:paraId="3324C1C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4.12配置不低于3个记忆椅位；</w:t>
      </w:r>
    </w:p>
    <w:p w14:paraId="60D2E56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4.13具有开机自检功能，开机自动检测牙椅故障，通过不同提示判断故障部位；</w:t>
      </w:r>
    </w:p>
    <w:p w14:paraId="29DA3A5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4.14具有机椅互锁功能：手机工作时，除牙椅升降俯仰不能工作，其它功能可正常工作；</w:t>
      </w:r>
    </w:p>
    <w:p w14:paraId="449B30E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4.15具有灯椅联动功能：按下预设位口腔灯自动关闭，椅位运动；再次按下预设键椅位运动到治疗位，口腔灯自动打开，避免医生反复操作，减少患者灯光刺激。</w:t>
      </w:r>
    </w:p>
    <w:p w14:paraId="4F521BB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4.16牙科椅具备直流∕变频∕调速系统，装备低压直流电机或液压驱动系统，具有升降瞬间延时功能，使病人感觉不到椅子的瞬间冲力，无顿挫感。</w:t>
      </w:r>
    </w:p>
    <w:p w14:paraId="6FF00C8F">
      <w:pPr>
        <w:pageBreakBefore w:val="0"/>
        <w:kinsoku/>
        <w:wordWrap/>
        <w:topLinePunct w:val="0"/>
        <w:bidi w:val="0"/>
        <w:spacing w:line="360" w:lineRule="auto"/>
        <w:rPr>
          <w:rFonts w:hint="eastAsia" w:ascii="仿宋" w:hAnsi="仿宋" w:eastAsia="仿宋" w:cs="仿宋"/>
          <w:sz w:val="24"/>
          <w:szCs w:val="24"/>
        </w:rPr>
      </w:pPr>
    </w:p>
    <w:p w14:paraId="348EF3E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5.消毒系统</w:t>
      </w:r>
    </w:p>
    <w:p w14:paraId="3FDC0D8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5.1消毒液可同时覆盖手机管、三用枪管、洁牙机管和水杯供水管道所有诊疗用水的出水口，确保水路管路消毒的全面性；</w:t>
      </w:r>
    </w:p>
    <w:p w14:paraId="1182785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5.2防污染的下水排污连接组件，可有效隔绝下水管道对诊室造成的病菌、异味和污水回流的污染；</w:t>
      </w:r>
    </w:p>
    <w:p w14:paraId="55DA95A9">
      <w:pPr>
        <w:pageBreakBefore w:val="0"/>
        <w:kinsoku/>
        <w:wordWrap/>
        <w:topLinePunct w:val="0"/>
        <w:bidi w:val="0"/>
        <w:spacing w:line="360" w:lineRule="auto"/>
        <w:rPr>
          <w:rFonts w:hint="eastAsia" w:ascii="仿宋" w:hAnsi="仿宋" w:eastAsia="仿宋" w:cs="仿宋"/>
          <w:sz w:val="24"/>
          <w:szCs w:val="24"/>
        </w:rPr>
      </w:pPr>
    </w:p>
    <w:p w14:paraId="1776018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6.医生治疗台单元</w:t>
      </w:r>
    </w:p>
    <w:p w14:paraId="63D83EB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6.1配置≥15功能按键的控制面板</w:t>
      </w:r>
    </w:p>
    <w:p w14:paraId="2613BDD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6.2下挂式器械盘，配置防滑透明硅胶软垫和低压24伏观灯片；</w:t>
      </w:r>
    </w:p>
    <w:p w14:paraId="02CF021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6.3手机防回吸功能，可以防止手机回吸引起的管道内部感染；</w:t>
      </w:r>
    </w:p>
    <w:p w14:paraId="08A7303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6.4平衡臂可承受重≥5KG，放置重物时运行移动平稳顺滑，稳定可靠。（具备国家实验室认证的第三方检测机构出具的检验报告）</w:t>
      </w:r>
    </w:p>
    <w:p w14:paraId="4BF184C4">
      <w:pPr>
        <w:pageBreakBefore w:val="0"/>
        <w:kinsoku/>
        <w:wordWrap/>
        <w:topLinePunct w:val="0"/>
        <w:bidi w:val="0"/>
        <w:spacing w:line="360" w:lineRule="auto"/>
        <w:ind w:left="944"/>
        <w:rPr>
          <w:rFonts w:hint="eastAsia" w:ascii="仿宋" w:hAnsi="仿宋" w:eastAsia="仿宋" w:cs="仿宋"/>
          <w:sz w:val="24"/>
          <w:szCs w:val="24"/>
        </w:rPr>
      </w:pPr>
    </w:p>
    <w:p w14:paraId="6365A40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7侧箱单元</w:t>
      </w:r>
    </w:p>
    <w:p w14:paraId="3053642F">
      <w:pPr>
        <w:pStyle w:val="39"/>
        <w:pageBreakBefore w:val="0"/>
        <w:numPr>
          <w:ilvl w:val="1"/>
          <w:numId w:val="27"/>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箱体可向外旋转45度；</w:t>
      </w:r>
    </w:p>
    <w:p w14:paraId="6D7AD4C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7.2侧箱内部为整体铸造铝合金箱架，重量轻，强度高，耐腐蚀 ；</w:t>
      </w:r>
    </w:p>
    <w:p w14:paraId="35D3071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7.3侧箱箱壳采用注塑工艺，材质拥有卓越的耐酒精腐蚀，耐黄变性。</w:t>
      </w:r>
    </w:p>
    <w:p w14:paraId="72FA12D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7.4侧箱双边侧门可完全打开，侧箱门固定采用磁铁吸附，无需工具就可以快速拆卸和安装。</w:t>
      </w:r>
    </w:p>
    <w:p w14:paraId="12E617B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7.5侧箱可直接旋转至坐垫前方，使其可免拆卸侧箱进入≤80cm的窄门，提升安装维修效率；</w:t>
      </w:r>
    </w:p>
    <w:p w14:paraId="368335F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7.6可旋转≥135°的一体式陶瓷痰盂缸；</w:t>
      </w:r>
    </w:p>
    <w:p w14:paraId="3DE939B0">
      <w:pPr>
        <w:pageBreakBefore w:val="0"/>
        <w:kinsoku/>
        <w:wordWrap/>
        <w:topLinePunct w:val="0"/>
        <w:bidi w:val="0"/>
        <w:spacing w:line="360" w:lineRule="auto"/>
        <w:rPr>
          <w:rFonts w:hint="eastAsia" w:ascii="仿宋" w:hAnsi="仿宋" w:eastAsia="仿宋" w:cs="仿宋"/>
          <w:sz w:val="24"/>
          <w:szCs w:val="24"/>
        </w:rPr>
      </w:pPr>
      <w:bookmarkStart w:id="112" w:name="_Hlk116377554"/>
      <w:r>
        <w:rPr>
          <w:rFonts w:hint="eastAsia" w:ascii="仿宋" w:hAnsi="仿宋" w:eastAsia="仿宋" w:cs="仿宋"/>
          <w:sz w:val="24"/>
          <w:szCs w:val="24"/>
        </w:rPr>
        <w:t>7.7强弱吸过滤器为旋入式设计，滤网采用高分子材料，耐强酸强碱腐蚀；</w:t>
      </w:r>
    </w:p>
    <w:bookmarkEnd w:id="112"/>
    <w:p w14:paraId="1577187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7.8配备纯净水系统，纯净水瓶容量＞1000ml；</w:t>
      </w:r>
    </w:p>
    <w:p w14:paraId="41B22C70">
      <w:pPr>
        <w:pageBreakBefore w:val="0"/>
        <w:kinsoku/>
        <w:wordWrap/>
        <w:topLinePunct w:val="0"/>
        <w:bidi w:val="0"/>
        <w:spacing w:line="360" w:lineRule="auto"/>
        <w:rPr>
          <w:rFonts w:hint="eastAsia" w:ascii="仿宋" w:hAnsi="仿宋" w:eastAsia="仿宋" w:cs="仿宋"/>
          <w:sz w:val="24"/>
          <w:szCs w:val="24"/>
        </w:rPr>
      </w:pPr>
      <w:bookmarkStart w:id="113" w:name="_Hlk116377607"/>
      <w:r>
        <w:rPr>
          <w:rFonts w:hint="eastAsia" w:ascii="仿宋" w:hAnsi="仿宋" w:eastAsia="仿宋" w:cs="仿宋"/>
          <w:sz w:val="24"/>
          <w:szCs w:val="24"/>
        </w:rPr>
        <w:t>7.9治疗机内部所有水管、气管采用进口材质管道。</w:t>
      </w:r>
    </w:p>
    <w:bookmarkEnd w:id="113"/>
    <w:p w14:paraId="0CE9063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7.10水杯供水系统和冲痰盂系统可根据医生的要求设定时间。</w:t>
      </w:r>
    </w:p>
    <w:p w14:paraId="4298630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7.11具有漱口水恒温系统，具有超温安全保护。</w:t>
      </w:r>
    </w:p>
    <w:p w14:paraId="1FB50152">
      <w:pPr>
        <w:pageBreakBefore w:val="0"/>
        <w:kinsoku/>
        <w:wordWrap/>
        <w:topLinePunct w:val="0"/>
        <w:bidi w:val="0"/>
        <w:spacing w:line="360" w:lineRule="auto"/>
        <w:rPr>
          <w:rFonts w:hint="eastAsia" w:ascii="仿宋" w:hAnsi="仿宋" w:eastAsia="仿宋" w:cs="仿宋"/>
          <w:sz w:val="24"/>
          <w:szCs w:val="24"/>
        </w:rPr>
      </w:pPr>
    </w:p>
    <w:p w14:paraId="05FAF85D">
      <w:pPr>
        <w:pStyle w:val="39"/>
        <w:pageBreakBefore w:val="0"/>
        <w:numPr>
          <w:ilvl w:val="0"/>
          <w:numId w:val="27"/>
        </w:numPr>
        <w:kinsoku/>
        <w:wordWrap/>
        <w:topLinePunct w:val="0"/>
        <w:bidi w:val="0"/>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助手位单元</w:t>
      </w:r>
    </w:p>
    <w:p w14:paraId="2007D6BD">
      <w:pPr>
        <w:pageBreakBefore w:val="0"/>
        <w:numPr>
          <w:ilvl w:val="1"/>
          <w:numId w:val="27"/>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配置≥10功能按键的助手控制面板；</w:t>
      </w:r>
    </w:p>
    <w:p w14:paraId="6AC0FBCE">
      <w:pPr>
        <w:pageBreakBefore w:val="0"/>
        <w:numPr>
          <w:ilvl w:val="1"/>
          <w:numId w:val="27"/>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强弱吸手柄各1支，手柄采用进口高分子材料制成，耐高温高压消毒，耐酸碱腐蚀； </w:t>
      </w:r>
    </w:p>
    <w:p w14:paraId="0A6904C3">
      <w:pPr>
        <w:pageBreakBefore w:val="0"/>
        <w:numPr>
          <w:ilvl w:val="1"/>
          <w:numId w:val="27"/>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热水三用枪各1支；</w:t>
      </w:r>
    </w:p>
    <w:p w14:paraId="75013084">
      <w:pPr>
        <w:pageBreakBefore w:val="0"/>
        <w:numPr>
          <w:ilvl w:val="1"/>
          <w:numId w:val="27"/>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配置助手搁置台；</w:t>
      </w:r>
    </w:p>
    <w:p w14:paraId="5CE2201E">
      <w:pPr>
        <w:pageBreakBefore w:val="0"/>
        <w:numPr>
          <w:ilvl w:val="1"/>
          <w:numId w:val="27"/>
        </w:numPr>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单关节助手杆，可进行大范围灵活转动，便于助手进行四手操作；</w:t>
      </w:r>
    </w:p>
    <w:p w14:paraId="2AED9922">
      <w:pPr>
        <w:pageBreakBefore w:val="0"/>
        <w:kinsoku/>
        <w:wordWrap/>
        <w:topLinePunct w:val="0"/>
        <w:bidi w:val="0"/>
        <w:spacing w:line="360" w:lineRule="auto"/>
        <w:rPr>
          <w:rFonts w:hint="eastAsia" w:ascii="仿宋" w:hAnsi="仿宋" w:eastAsia="仿宋" w:cs="仿宋"/>
          <w:sz w:val="24"/>
          <w:szCs w:val="24"/>
        </w:rPr>
      </w:pPr>
    </w:p>
    <w:p w14:paraId="10FD8AB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9.地箱内置封闭电源：防潮、防尘，防电磁干扰；裸露的电线都符合人体安全电压；</w:t>
      </w:r>
    </w:p>
    <w:p w14:paraId="23E7F30F">
      <w:pPr>
        <w:pageBreakBefore w:val="0"/>
        <w:kinsoku/>
        <w:wordWrap/>
        <w:topLinePunct w:val="0"/>
        <w:bidi w:val="0"/>
        <w:spacing w:line="360" w:lineRule="auto"/>
        <w:rPr>
          <w:rFonts w:hint="eastAsia" w:ascii="仿宋" w:hAnsi="仿宋" w:eastAsia="仿宋" w:cs="仿宋"/>
          <w:sz w:val="24"/>
          <w:szCs w:val="24"/>
        </w:rPr>
      </w:pPr>
    </w:p>
    <w:p w14:paraId="06A5675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10.配置多功能脚踏开关，水气由独立踏板控制，可进行椅位调节和控制供水冲痰；</w:t>
      </w:r>
    </w:p>
    <w:p w14:paraId="4CCA707F">
      <w:pPr>
        <w:pageBreakBefore w:val="0"/>
        <w:kinsoku/>
        <w:wordWrap/>
        <w:topLinePunct w:val="0"/>
        <w:bidi w:val="0"/>
        <w:spacing w:line="360" w:lineRule="auto"/>
        <w:rPr>
          <w:rFonts w:hint="eastAsia" w:ascii="仿宋" w:hAnsi="仿宋" w:eastAsia="仿宋" w:cs="仿宋"/>
          <w:sz w:val="24"/>
          <w:szCs w:val="24"/>
        </w:rPr>
      </w:pPr>
    </w:p>
    <w:p w14:paraId="7AD9FB2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11.配置医生椅一张；≥6个方位可调节；脚轮架采用精密铝合金铸造件，脚轮采用静音轮；</w:t>
      </w:r>
    </w:p>
    <w:p w14:paraId="5291F668">
      <w:pPr>
        <w:pageBreakBefore w:val="0"/>
        <w:kinsoku/>
        <w:wordWrap/>
        <w:topLinePunct w:val="0"/>
        <w:bidi w:val="0"/>
        <w:spacing w:line="360" w:lineRule="auto"/>
        <w:rPr>
          <w:rFonts w:hint="eastAsia" w:ascii="仿宋" w:hAnsi="仿宋" w:eastAsia="仿宋" w:cs="仿宋"/>
          <w:sz w:val="24"/>
        </w:rPr>
      </w:pPr>
    </w:p>
    <w:p w14:paraId="56CF1E44">
      <w:pPr>
        <w:pageBreakBefore w:val="0"/>
        <w:kinsoku/>
        <w:wordWrap/>
        <w:topLinePunct w:val="0"/>
        <w:bidi w:val="0"/>
        <w:spacing w:line="360" w:lineRule="auto"/>
        <w:rPr>
          <w:rFonts w:hint="eastAsia" w:ascii="仿宋" w:hAnsi="仿宋" w:eastAsia="仿宋" w:cs="仿宋"/>
          <w:sz w:val="24"/>
        </w:rPr>
      </w:pPr>
    </w:p>
    <w:p w14:paraId="560EBB8A">
      <w:pPr>
        <w:pageBreakBefore w:val="0"/>
        <w:kinsoku/>
        <w:wordWrap/>
        <w:topLinePunct w:val="0"/>
        <w:bidi w:val="0"/>
        <w:spacing w:line="360" w:lineRule="auto"/>
        <w:rPr>
          <w:rFonts w:hint="eastAsia" w:ascii="仿宋" w:hAnsi="仿宋" w:eastAsia="仿宋" w:cs="仿宋"/>
          <w:bCs/>
          <w:sz w:val="30"/>
          <w:szCs w:val="30"/>
        </w:rPr>
      </w:pPr>
    </w:p>
    <w:p w14:paraId="31EEB04C">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十八</w:t>
      </w:r>
      <w:r>
        <w:rPr>
          <w:rFonts w:hint="eastAsia" w:ascii="仿宋" w:hAnsi="仿宋" w:eastAsia="仿宋" w:cs="仿宋"/>
          <w:bCs/>
          <w:sz w:val="30"/>
          <w:szCs w:val="30"/>
        </w:rPr>
        <w:t>：</w:t>
      </w:r>
    </w:p>
    <w:p w14:paraId="3CD0640D">
      <w:pPr>
        <w:pStyle w:val="4"/>
        <w:pageBreakBefore w:val="0"/>
        <w:kinsoku/>
        <w:wordWrap/>
        <w:topLinePunct w:val="0"/>
        <w:bidi w:val="0"/>
        <w:spacing w:line="360" w:lineRule="auto"/>
        <w:ind w:firstLine="960" w:firstLineChars="300"/>
        <w:rPr>
          <w:rFonts w:hint="eastAsia" w:ascii="仿宋" w:hAnsi="仿宋" w:eastAsia="仿宋" w:cs="仿宋"/>
          <w:bCs/>
          <w:sz w:val="32"/>
          <w:szCs w:val="32"/>
        </w:rPr>
      </w:pPr>
      <w:r>
        <w:rPr>
          <w:rFonts w:hint="eastAsia" w:ascii="仿宋" w:hAnsi="仿宋" w:eastAsia="仿宋" w:cs="仿宋"/>
          <w:bCs/>
          <w:sz w:val="32"/>
          <w:szCs w:val="32"/>
        </w:rPr>
        <w:t>牙科电动空压机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带膜干燥塔式）</w:t>
      </w:r>
      <w:r>
        <w:rPr>
          <w:rFonts w:hint="eastAsia" w:ascii="仿宋" w:hAnsi="仿宋" w:eastAsia="仿宋" w:cs="仿宋"/>
          <w:bCs/>
          <w:sz w:val="32"/>
          <w:szCs w:val="32"/>
        </w:rPr>
        <w:t>技术参数</w:t>
      </w:r>
    </w:p>
    <w:p w14:paraId="21BE61CE">
      <w:pPr>
        <w:pageBreakBefore w:val="0"/>
        <w:numPr>
          <w:ilvl w:val="0"/>
          <w:numId w:val="0"/>
        </w:numPr>
        <w:kinsoku/>
        <w:wordWrap/>
        <w:topLinePunct w:val="0"/>
        <w:bidi w:val="0"/>
        <w:snapToGrid w:val="0"/>
        <w:spacing w:line="360" w:lineRule="auto"/>
        <w:ind w:leftChars="0"/>
        <w:rPr>
          <w:rFonts w:hint="eastAsia" w:ascii="仿宋" w:hAnsi="仿宋" w:eastAsia="仿宋" w:cs="仿宋"/>
          <w:kern w:val="16"/>
          <w:sz w:val="24"/>
          <w:szCs w:val="24"/>
        </w:rPr>
      </w:pPr>
      <w:r>
        <w:rPr>
          <w:rFonts w:hint="eastAsia" w:ascii="仿宋" w:hAnsi="仿宋" w:eastAsia="仿宋" w:cs="仿宋"/>
          <w:kern w:val="16"/>
          <w:sz w:val="24"/>
          <w:szCs w:val="24"/>
        </w:rPr>
        <w:t>主要技术参数要求：</w:t>
      </w:r>
    </w:p>
    <w:p w14:paraId="133D46A3">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 xml:space="preserve">电源输入：220V/ 50HZ </w:t>
      </w:r>
    </w:p>
    <w:p w14:paraId="367CD18D">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功率：5HP /3.75KW</w:t>
      </w:r>
    </w:p>
    <w:p w14:paraId="5FC55335">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最大流量：</w:t>
      </w:r>
      <w:r>
        <w:rPr>
          <w:rFonts w:hint="eastAsia" w:ascii="仿宋" w:hAnsi="仿宋" w:eastAsia="仿宋" w:cs="仿宋"/>
          <w:sz w:val="24"/>
          <w:szCs w:val="24"/>
        </w:rPr>
        <w:t>≥</w:t>
      </w:r>
      <w:r>
        <w:rPr>
          <w:rFonts w:hint="eastAsia" w:ascii="仿宋" w:hAnsi="仿宋" w:eastAsia="仿宋" w:cs="仿宋"/>
          <w:kern w:val="16"/>
          <w:sz w:val="24"/>
          <w:szCs w:val="24"/>
        </w:rPr>
        <w:t xml:space="preserve">760L/min </w:t>
      </w:r>
    </w:p>
    <w:p w14:paraId="5D80D80D">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气流量：</w:t>
      </w:r>
      <w:r>
        <w:rPr>
          <w:rFonts w:hint="eastAsia" w:ascii="仿宋" w:hAnsi="仿宋" w:eastAsia="仿宋" w:cs="仿宋"/>
          <w:sz w:val="24"/>
          <w:szCs w:val="24"/>
        </w:rPr>
        <w:t>≥</w:t>
      </w:r>
      <w:r>
        <w:rPr>
          <w:rFonts w:hint="eastAsia" w:ascii="仿宋" w:hAnsi="仿宋" w:eastAsia="仿宋" w:cs="仿宋"/>
          <w:kern w:val="16"/>
          <w:sz w:val="24"/>
          <w:szCs w:val="24"/>
        </w:rPr>
        <w:t xml:space="preserve">250L/min </w:t>
      </w:r>
    </w:p>
    <w:p w14:paraId="1233CEC4">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最大压力：</w:t>
      </w:r>
      <w:r>
        <w:rPr>
          <w:rFonts w:hint="eastAsia" w:ascii="仿宋" w:hAnsi="仿宋" w:eastAsia="仿宋" w:cs="仿宋"/>
          <w:sz w:val="24"/>
          <w:szCs w:val="24"/>
        </w:rPr>
        <w:t>≥</w:t>
      </w:r>
      <w:r>
        <w:rPr>
          <w:rFonts w:hint="eastAsia" w:ascii="仿宋" w:hAnsi="仿宋" w:eastAsia="仿宋" w:cs="仿宋"/>
          <w:kern w:val="16"/>
          <w:sz w:val="24"/>
          <w:szCs w:val="24"/>
        </w:rPr>
        <w:t>8Bar/116pis</w:t>
      </w:r>
    </w:p>
    <w:p w14:paraId="2F7F32A1">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储气罐：160L</w:t>
      </w:r>
    </w:p>
    <w:p w14:paraId="4F38C6BA">
      <w:pPr>
        <w:pageBreakBefore w:val="0"/>
        <w:numPr>
          <w:ilvl w:val="0"/>
          <w:numId w:val="28"/>
        </w:numPr>
        <w:kinsoku/>
        <w:wordWrap/>
        <w:topLinePunct w:val="0"/>
        <w:bidi w:val="0"/>
        <w:snapToGrid w:val="0"/>
        <w:spacing w:line="360" w:lineRule="auto"/>
        <w:rPr>
          <w:rFonts w:hint="eastAsia" w:ascii="仿宋" w:hAnsi="仿宋" w:eastAsia="仿宋" w:cs="仿宋"/>
          <w:kern w:val="16"/>
          <w:sz w:val="24"/>
          <w:szCs w:val="24"/>
        </w:rPr>
      </w:pPr>
      <w:r>
        <w:rPr>
          <w:rFonts w:hint="eastAsia" w:ascii="仿宋" w:hAnsi="仿宋" w:eastAsia="仿宋" w:cs="仿宋"/>
          <w:kern w:val="16"/>
          <w:sz w:val="24"/>
          <w:szCs w:val="24"/>
        </w:rPr>
        <w:t>噪音值：</w:t>
      </w:r>
      <w:r>
        <w:rPr>
          <w:rFonts w:hint="eastAsia" w:ascii="仿宋" w:hAnsi="仿宋" w:eastAsia="仿宋" w:cs="仿宋"/>
          <w:sz w:val="24"/>
          <w:szCs w:val="24"/>
        </w:rPr>
        <w:t>≤65dB(A)</w:t>
      </w:r>
    </w:p>
    <w:p w14:paraId="46152D3F">
      <w:pPr>
        <w:pageBreakBefore w:val="0"/>
        <w:numPr>
          <w:ilvl w:val="0"/>
          <w:numId w:val="29"/>
        </w:numPr>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可为≥10台牙椅台供气：</w:t>
      </w:r>
    </w:p>
    <w:p w14:paraId="0F495B86">
      <w:pPr>
        <w:pageBreakBefore w:val="0"/>
        <w:numPr>
          <w:ilvl w:val="0"/>
          <w:numId w:val="29"/>
        </w:numPr>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带膜干燥塔室。</w:t>
      </w:r>
    </w:p>
    <w:p w14:paraId="50CD9B96">
      <w:pPr>
        <w:pageBreakBefore w:val="0"/>
        <w:kinsoku/>
        <w:wordWrap/>
        <w:topLinePunct w:val="0"/>
        <w:bidi w:val="0"/>
        <w:spacing w:line="360" w:lineRule="auto"/>
        <w:rPr>
          <w:rFonts w:hint="eastAsia" w:ascii="仿宋" w:hAnsi="仿宋" w:eastAsia="仿宋" w:cs="仿宋"/>
          <w:bCs/>
          <w:sz w:val="30"/>
          <w:szCs w:val="30"/>
        </w:rPr>
      </w:pPr>
    </w:p>
    <w:p w14:paraId="3DA575D0">
      <w:pPr>
        <w:pageBreakBefore w:val="0"/>
        <w:kinsoku/>
        <w:wordWrap/>
        <w:topLinePunct w:val="0"/>
        <w:bidi w:val="0"/>
        <w:spacing w:line="360" w:lineRule="auto"/>
        <w:rPr>
          <w:rFonts w:hint="eastAsia" w:ascii="仿宋" w:hAnsi="仿宋" w:eastAsia="仿宋" w:cs="仿宋"/>
          <w:bCs/>
          <w:sz w:val="30"/>
          <w:szCs w:val="30"/>
        </w:rPr>
      </w:pPr>
    </w:p>
    <w:p w14:paraId="0B3B5FBB">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十九</w:t>
      </w:r>
      <w:r>
        <w:rPr>
          <w:rFonts w:hint="eastAsia" w:ascii="仿宋" w:hAnsi="仿宋" w:eastAsia="仿宋" w:cs="仿宋"/>
          <w:bCs/>
          <w:sz w:val="30"/>
          <w:szCs w:val="30"/>
        </w:rPr>
        <w:t>：</w:t>
      </w:r>
    </w:p>
    <w:p w14:paraId="7AE7044A">
      <w:pPr>
        <w:pStyle w:val="43"/>
        <w:pageBreakBefore w:val="0"/>
        <w:tabs>
          <w:tab w:val="left" w:pos="830"/>
        </w:tabs>
        <w:kinsoku/>
        <w:wordWrap/>
        <w:topLinePunct w:val="0"/>
        <w:bidi w:val="0"/>
        <w:spacing w:after="0" w:line="360" w:lineRule="auto"/>
        <w:ind w:firstLine="1600" w:firstLineChars="500"/>
        <w:rPr>
          <w:rFonts w:hint="eastAsia" w:ascii="仿宋" w:hAnsi="仿宋" w:eastAsia="仿宋" w:cs="仿宋"/>
          <w:b/>
          <w:bCs/>
          <w:sz w:val="36"/>
          <w:szCs w:val="36"/>
        </w:rPr>
      </w:pPr>
      <w:r>
        <w:rPr>
          <w:rFonts w:hint="eastAsia" w:ascii="仿宋" w:hAnsi="仿宋" w:eastAsia="仿宋" w:cs="仿宋"/>
          <w:b/>
          <w:bCs/>
          <w:sz w:val="32"/>
          <w:szCs w:val="32"/>
          <w:lang w:val="en-US" w:eastAsia="zh-CN" w:bidi="ar-SA"/>
        </w:rPr>
        <w:t>牙科电动抽吸系统（湿式负压）技术参数</w:t>
      </w:r>
    </w:p>
    <w:p w14:paraId="5ACCCFB8">
      <w:pPr>
        <w:pStyle w:val="9"/>
        <w:pageBreakBefore w:val="0"/>
        <w:kinsoku/>
        <w:wordWrap/>
        <w:topLinePunct w:val="0"/>
        <w:bidi w:val="0"/>
        <w:spacing w:line="360" w:lineRule="auto"/>
        <w:rPr>
          <w:rFonts w:hint="eastAsia" w:ascii="仿宋" w:hAnsi="仿宋" w:eastAsia="仿宋" w:cs="仿宋"/>
          <w:color w:val="auto"/>
        </w:rPr>
      </w:pPr>
    </w:p>
    <w:p w14:paraId="4F7A5821">
      <w:pPr>
        <w:pStyle w:val="44"/>
        <w:pageBreakBefore w:val="0"/>
        <w:tabs>
          <w:tab w:val="left" w:pos="373"/>
        </w:tabs>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主要技术参数</w:t>
      </w:r>
      <w:r>
        <w:rPr>
          <w:rFonts w:hint="eastAsia" w:ascii="仿宋" w:hAnsi="仿宋" w:eastAsia="仿宋" w:cs="仿宋"/>
          <w:sz w:val="24"/>
          <w:szCs w:val="24"/>
          <w:lang w:val="en-US" w:eastAsia="zh-CN"/>
        </w:rPr>
        <w:t>要求</w:t>
      </w:r>
      <w:r>
        <w:rPr>
          <w:rFonts w:hint="eastAsia" w:ascii="仿宋" w:hAnsi="仿宋" w:eastAsia="仿宋" w:cs="仿宋"/>
          <w:sz w:val="24"/>
          <w:szCs w:val="24"/>
        </w:rPr>
        <w:t>：</w:t>
      </w:r>
    </w:p>
    <w:p w14:paraId="4C741D30">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bookmarkStart w:id="114" w:name="bookmark16"/>
      <w:r>
        <w:rPr>
          <w:rFonts w:hint="eastAsia" w:ascii="仿宋" w:hAnsi="仿宋" w:eastAsia="仿宋" w:cs="仿宋"/>
          <w:sz w:val="24"/>
          <w:szCs w:val="24"/>
        </w:rPr>
        <w:t>1</w:t>
      </w:r>
      <w:bookmarkEnd w:id="114"/>
      <w:r>
        <w:rPr>
          <w:rFonts w:hint="eastAsia" w:ascii="仿宋" w:hAnsi="仿宋" w:eastAsia="仿宋" w:cs="仿宋"/>
          <w:sz w:val="24"/>
          <w:szCs w:val="24"/>
        </w:rPr>
        <w:t xml:space="preserve">、电源输入：220V, </w:t>
      </w:r>
      <w:r>
        <w:rPr>
          <w:rFonts w:hint="eastAsia" w:ascii="仿宋" w:hAnsi="仿宋" w:eastAsia="仿宋" w:cs="仿宋"/>
          <w:sz w:val="24"/>
          <w:szCs w:val="24"/>
          <w:lang w:val="en-US" w:eastAsia="zh-CN" w:bidi="en-US"/>
        </w:rPr>
        <w:t>50Hz</w:t>
      </w:r>
    </w:p>
    <w:p w14:paraId="62D75758">
      <w:pPr>
        <w:pStyle w:val="43"/>
        <w:pageBreakBefore w:val="0"/>
        <w:tabs>
          <w:tab w:val="left" w:pos="398"/>
        </w:tabs>
        <w:kinsoku/>
        <w:wordWrap/>
        <w:topLinePunct w:val="0"/>
        <w:bidi w:val="0"/>
        <w:spacing w:line="360" w:lineRule="auto"/>
        <w:ind w:firstLine="480" w:firstLineChars="200"/>
        <w:rPr>
          <w:rFonts w:hint="eastAsia" w:ascii="仿宋" w:hAnsi="仿宋" w:eastAsia="仿宋" w:cs="仿宋"/>
          <w:sz w:val="24"/>
          <w:szCs w:val="24"/>
        </w:rPr>
      </w:pPr>
      <w:bookmarkStart w:id="115" w:name="bookmark17"/>
      <w:r>
        <w:rPr>
          <w:rFonts w:hint="eastAsia" w:ascii="仿宋" w:hAnsi="仿宋" w:eastAsia="仿宋" w:cs="仿宋"/>
          <w:sz w:val="24"/>
          <w:szCs w:val="24"/>
        </w:rPr>
        <w:t>2</w:t>
      </w:r>
      <w:bookmarkEnd w:id="115"/>
      <w:r>
        <w:rPr>
          <w:rFonts w:hint="eastAsia" w:ascii="仿宋" w:hAnsi="仿宋" w:eastAsia="仿宋" w:cs="仿宋"/>
          <w:sz w:val="24"/>
          <w:szCs w:val="24"/>
        </w:rPr>
        <w:t>、可供牙椅数量：10张</w:t>
      </w:r>
    </w:p>
    <w:p w14:paraId="35683B2D">
      <w:pPr>
        <w:pStyle w:val="44"/>
        <w:pageBreakBefore w:val="0"/>
        <w:tabs>
          <w:tab w:val="left" w:pos="398"/>
        </w:tabs>
        <w:kinsoku/>
        <w:wordWrap/>
        <w:topLinePunct w:val="0"/>
        <w:bidi w:val="0"/>
        <w:spacing w:line="360" w:lineRule="auto"/>
        <w:ind w:firstLine="480" w:firstLineChars="200"/>
        <w:rPr>
          <w:rFonts w:hint="eastAsia" w:ascii="仿宋" w:hAnsi="仿宋" w:eastAsia="仿宋" w:cs="仿宋"/>
          <w:sz w:val="24"/>
          <w:szCs w:val="24"/>
        </w:rPr>
      </w:pPr>
      <w:bookmarkStart w:id="116" w:name="bookmark18"/>
      <w:r>
        <w:rPr>
          <w:rFonts w:hint="eastAsia" w:ascii="仿宋" w:hAnsi="仿宋" w:eastAsia="仿宋" w:cs="仿宋"/>
          <w:sz w:val="24"/>
          <w:szCs w:val="24"/>
        </w:rPr>
        <w:t>3</w:t>
      </w:r>
      <w:bookmarkEnd w:id="116"/>
      <w:r>
        <w:rPr>
          <w:rFonts w:hint="eastAsia" w:ascii="仿宋" w:hAnsi="仿宋" w:eastAsia="仿宋" w:cs="仿宋"/>
          <w:sz w:val="24"/>
          <w:szCs w:val="24"/>
        </w:rPr>
        <w:t>、功率：≥</w:t>
      </w:r>
      <w:r>
        <w:rPr>
          <w:rFonts w:hint="eastAsia" w:ascii="仿宋" w:hAnsi="仿宋" w:eastAsia="仿宋" w:cs="仿宋"/>
          <w:sz w:val="24"/>
          <w:szCs w:val="24"/>
          <w:lang w:val="en-US" w:eastAsia="zh-CN" w:bidi="en-US"/>
        </w:rPr>
        <w:t>3000W</w:t>
      </w:r>
    </w:p>
    <w:p w14:paraId="0D797FA7">
      <w:pPr>
        <w:pStyle w:val="44"/>
        <w:pageBreakBefore w:val="0"/>
        <w:tabs>
          <w:tab w:val="left" w:pos="398"/>
        </w:tabs>
        <w:kinsoku/>
        <w:wordWrap/>
        <w:topLinePunct w:val="0"/>
        <w:bidi w:val="0"/>
        <w:spacing w:line="360" w:lineRule="auto"/>
        <w:ind w:firstLine="480" w:firstLineChars="200"/>
        <w:rPr>
          <w:rFonts w:hint="eastAsia" w:ascii="仿宋" w:hAnsi="仿宋" w:eastAsia="仿宋" w:cs="仿宋"/>
          <w:sz w:val="24"/>
          <w:szCs w:val="24"/>
        </w:rPr>
      </w:pPr>
      <w:bookmarkStart w:id="117" w:name="bookmark19"/>
      <w:r>
        <w:rPr>
          <w:rFonts w:hint="eastAsia" w:ascii="仿宋" w:hAnsi="仿宋" w:eastAsia="仿宋" w:cs="仿宋"/>
          <w:sz w:val="24"/>
          <w:szCs w:val="24"/>
        </w:rPr>
        <w:t>4</w:t>
      </w:r>
      <w:bookmarkEnd w:id="117"/>
      <w:r>
        <w:rPr>
          <w:rFonts w:hint="eastAsia" w:ascii="仿宋" w:hAnsi="仿宋" w:eastAsia="仿宋" w:cs="仿宋"/>
          <w:sz w:val="24"/>
          <w:szCs w:val="24"/>
        </w:rPr>
        <w:t>、极限真空度:</w:t>
      </w:r>
      <w:r>
        <w:rPr>
          <w:rFonts w:hint="eastAsia" w:ascii="仿宋" w:hAnsi="仿宋" w:eastAsia="仿宋" w:cs="仿宋"/>
          <w:sz w:val="24"/>
          <w:szCs w:val="24"/>
          <w:lang w:val="en-US" w:bidi="en-US"/>
        </w:rPr>
        <w:t>-60Kpa</w:t>
      </w:r>
    </w:p>
    <w:p w14:paraId="580A6B6F">
      <w:pPr>
        <w:pStyle w:val="44"/>
        <w:pageBreakBefore w:val="0"/>
        <w:tabs>
          <w:tab w:val="left" w:pos="398"/>
        </w:tabs>
        <w:kinsoku/>
        <w:wordWrap/>
        <w:topLinePunct w:val="0"/>
        <w:bidi w:val="0"/>
        <w:spacing w:line="360" w:lineRule="auto"/>
        <w:ind w:firstLine="480" w:firstLineChars="200"/>
        <w:rPr>
          <w:rFonts w:hint="eastAsia" w:ascii="仿宋" w:hAnsi="仿宋" w:eastAsia="仿宋" w:cs="仿宋"/>
          <w:sz w:val="24"/>
          <w:szCs w:val="24"/>
        </w:rPr>
      </w:pPr>
      <w:bookmarkStart w:id="118" w:name="bookmark20"/>
      <w:r>
        <w:rPr>
          <w:rFonts w:hint="eastAsia" w:ascii="仿宋" w:hAnsi="仿宋" w:eastAsia="仿宋" w:cs="仿宋"/>
          <w:sz w:val="24"/>
          <w:szCs w:val="24"/>
        </w:rPr>
        <w:t>5</w:t>
      </w:r>
      <w:bookmarkEnd w:id="118"/>
      <w:r>
        <w:rPr>
          <w:rFonts w:hint="eastAsia" w:ascii="仿宋" w:hAnsi="仿宋" w:eastAsia="仿宋" w:cs="仿宋"/>
          <w:sz w:val="24"/>
          <w:szCs w:val="24"/>
        </w:rPr>
        <w:t>、用水量：</w:t>
      </w:r>
      <w:r>
        <w:rPr>
          <w:rFonts w:hint="eastAsia" w:ascii="仿宋" w:hAnsi="仿宋" w:eastAsia="仿宋" w:cs="仿宋"/>
          <w:sz w:val="24"/>
          <w:szCs w:val="24"/>
          <w:lang w:val="en-US" w:bidi="en-US"/>
        </w:rPr>
        <w:t>IL/min</w:t>
      </w:r>
    </w:p>
    <w:p w14:paraId="780E3080">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、抽吸量：≥</w:t>
      </w:r>
      <w:r>
        <w:rPr>
          <w:rFonts w:hint="eastAsia" w:ascii="仿宋" w:hAnsi="仿宋" w:eastAsia="仿宋" w:cs="仿宋"/>
          <w:sz w:val="24"/>
          <w:szCs w:val="24"/>
          <w:lang w:val="en-US"/>
        </w:rPr>
        <w:t>3000L/min</w:t>
      </w:r>
    </w:p>
    <w:p w14:paraId="5D1A0183">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rPr>
        <w:t>、噪音值：≤65dB（A）</w:t>
      </w:r>
    </w:p>
    <w:p w14:paraId="61C685D2">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、高功率马达提供强劲稳定的吸力，可长时间连续使用。</w:t>
      </w:r>
    </w:p>
    <w:p w14:paraId="1CADC5E3">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12、内部心脏采用不锈钢"叶轮供及底部主体结构均采用纯铜铸造，坚固耐用。</w:t>
      </w:r>
    </w:p>
    <w:p w14:paraId="451018AB">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13、冷凝水循还，结合省水装置可节省80%以上的水资源。</w:t>
      </w:r>
    </w:p>
    <w:p w14:paraId="0402C71D">
      <w:pPr>
        <w:pStyle w:val="44"/>
        <w:pageBreakBefore w:val="0"/>
        <w:tabs>
          <w:tab w:val="left" w:pos="373"/>
        </w:tabs>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14、内置水气分离装置可降低燥音，废气直接排到室外，有效防止诊所空气污染。</w:t>
      </w:r>
    </w:p>
    <w:p w14:paraId="1778BE28">
      <w:pPr>
        <w:pageBreakBefore w:val="0"/>
        <w:kinsoku/>
        <w:wordWrap/>
        <w:topLinePunct w:val="0"/>
        <w:bidi w:val="0"/>
        <w:spacing w:line="360" w:lineRule="auto"/>
        <w:rPr>
          <w:rFonts w:hint="eastAsia" w:ascii="仿宋" w:hAnsi="仿宋" w:eastAsia="仿宋" w:cs="仿宋"/>
          <w:bCs/>
        </w:rPr>
      </w:pPr>
    </w:p>
    <w:p w14:paraId="454D3340">
      <w:pPr>
        <w:pageBreakBefore w:val="0"/>
        <w:kinsoku/>
        <w:wordWrap/>
        <w:topLinePunct w:val="0"/>
        <w:bidi w:val="0"/>
        <w:spacing w:line="360" w:lineRule="auto"/>
        <w:rPr>
          <w:rFonts w:hint="eastAsia" w:ascii="仿宋" w:hAnsi="仿宋" w:eastAsia="仿宋" w:cs="仿宋"/>
          <w:bCs/>
        </w:rPr>
      </w:pPr>
    </w:p>
    <w:p w14:paraId="1DF9E9CF">
      <w:pPr>
        <w:pageBreakBefore w:val="0"/>
        <w:kinsoku/>
        <w:wordWrap/>
        <w:topLinePunct w:val="0"/>
        <w:bidi w:val="0"/>
        <w:spacing w:line="360" w:lineRule="auto"/>
        <w:rPr>
          <w:rFonts w:hint="eastAsia" w:ascii="仿宋" w:hAnsi="仿宋" w:eastAsia="仿宋" w:cs="仿宋"/>
        </w:rPr>
      </w:pPr>
    </w:p>
    <w:p w14:paraId="23AE876B">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附件二十：</w:t>
      </w:r>
    </w:p>
    <w:p w14:paraId="66FCB468">
      <w:pPr>
        <w:pStyle w:val="43"/>
        <w:pageBreakBefore w:val="0"/>
        <w:tabs>
          <w:tab w:val="left" w:pos="830"/>
        </w:tabs>
        <w:kinsoku/>
        <w:wordWrap/>
        <w:topLinePunct w:val="0"/>
        <w:bidi w:val="0"/>
        <w:spacing w:after="0" w:line="360" w:lineRule="auto"/>
        <w:ind w:firstLine="2240" w:firstLineChars="700"/>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超声喷砂牙周治疗仪技术参数</w:t>
      </w:r>
    </w:p>
    <w:p w14:paraId="68CC4F0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1、可充电锂电池：≥750mAh</w:t>
      </w:r>
    </w:p>
    <w:p w14:paraId="4A0F917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2、输出的尖端主振幅偏移：0-90μm，偏差±50%</w:t>
      </w:r>
    </w:p>
    <w:p w14:paraId="261179B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3、输出的尖端振动频率：30±5kHz</w:t>
      </w:r>
    </w:p>
    <w:p w14:paraId="49D72812">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4、输出的半偏移力（最大值）：≥10N 偏差：±50%</w:t>
      </w:r>
    </w:p>
    <w:p w14:paraId="67B60FB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5、尖端输出功率：3W～20W</w:t>
      </w:r>
    </w:p>
    <w:p w14:paraId="1AADE4F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6、进水压力：1bar～5bar（0.1MPa～0.5MPa）</w:t>
      </w:r>
    </w:p>
    <w:p w14:paraId="3C5DA41F">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7、进气压力：5.5bar～7.5bar（0.55MPa～0.75MPa）</w:t>
      </w:r>
    </w:p>
    <w:p w14:paraId="794D73E7">
      <w:pPr>
        <w:pageBreakBefore w:val="0"/>
        <w:kinsoku/>
        <w:wordWrap/>
        <w:topLinePunct w:val="0"/>
        <w:bidi w:val="0"/>
        <w:spacing w:line="360" w:lineRule="auto"/>
        <w:rPr>
          <w:rFonts w:hint="eastAsia" w:ascii="仿宋" w:hAnsi="仿宋" w:eastAsia="仿宋" w:cs="仿宋"/>
          <w:bCs/>
          <w:sz w:val="30"/>
          <w:szCs w:val="30"/>
        </w:rPr>
      </w:pPr>
    </w:p>
    <w:p w14:paraId="26E97BAA">
      <w:pPr>
        <w:pageBreakBefore w:val="0"/>
        <w:kinsoku/>
        <w:wordWrap/>
        <w:topLinePunct w:val="0"/>
        <w:bidi w:val="0"/>
        <w:spacing w:line="360" w:lineRule="auto"/>
        <w:rPr>
          <w:rFonts w:hint="eastAsia" w:ascii="仿宋" w:hAnsi="仿宋" w:eastAsia="仿宋" w:cs="仿宋"/>
          <w:bCs/>
          <w:sz w:val="30"/>
          <w:szCs w:val="30"/>
        </w:rPr>
      </w:pPr>
    </w:p>
    <w:p w14:paraId="7EBB492C">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附件二十</w:t>
      </w:r>
      <w:r>
        <w:rPr>
          <w:rFonts w:hint="eastAsia" w:ascii="仿宋" w:hAnsi="仿宋" w:eastAsia="仿宋" w:cs="仿宋"/>
          <w:bCs/>
          <w:sz w:val="30"/>
          <w:szCs w:val="30"/>
          <w:lang w:val="en-US" w:eastAsia="zh-CN"/>
        </w:rPr>
        <w:t>一</w:t>
      </w:r>
      <w:r>
        <w:rPr>
          <w:rFonts w:hint="eastAsia" w:ascii="仿宋" w:hAnsi="仿宋" w:eastAsia="仿宋" w:cs="仿宋"/>
          <w:bCs/>
          <w:sz w:val="30"/>
          <w:szCs w:val="30"/>
        </w:rPr>
        <w:t>：</w:t>
      </w:r>
    </w:p>
    <w:p w14:paraId="591261C0">
      <w:pPr>
        <w:pStyle w:val="43"/>
        <w:keepNext w:val="0"/>
        <w:keepLines w:val="0"/>
        <w:pageBreakBefore w:val="0"/>
        <w:tabs>
          <w:tab w:val="left" w:pos="830"/>
        </w:tabs>
        <w:kinsoku/>
        <w:wordWrap/>
        <w:overflowPunct/>
        <w:topLinePunct w:val="0"/>
        <w:autoSpaceDE/>
        <w:autoSpaceDN/>
        <w:bidi w:val="0"/>
        <w:adjustRightInd/>
        <w:snapToGrid/>
        <w:spacing w:after="0" w:line="360" w:lineRule="auto"/>
        <w:ind w:firstLine="2240" w:firstLineChars="700"/>
        <w:textAlignment w:val="auto"/>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儿童牙科综合治疗椅技术参数</w:t>
      </w:r>
    </w:p>
    <w:p w14:paraId="6E55032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bookmarkStart w:id="119" w:name="_Hlk118461726"/>
      <w:r>
        <w:rPr>
          <w:rFonts w:hint="eastAsia" w:ascii="仿宋" w:hAnsi="仿宋" w:eastAsia="仿宋" w:cs="仿宋"/>
          <w:sz w:val="24"/>
          <w:szCs w:val="24"/>
          <w:lang w:val="zh-TW" w:eastAsia="zh-TW" w:bidi="zh-TW"/>
        </w:rPr>
        <w:t>1.工作条件：供气压力范围 0.55—0.80Mpa, 流量≥55L/min；水源水压范围 0.2—0.4Mpa, 流量≥10L/min</w:t>
      </w:r>
    </w:p>
    <w:bookmarkEnd w:id="119"/>
    <w:p w14:paraId="24C6F35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bidi="zh-TW"/>
        </w:rPr>
        <w:t>2.</w:t>
      </w:r>
      <w:r>
        <w:rPr>
          <w:rFonts w:hint="eastAsia" w:ascii="仿宋" w:hAnsi="仿宋" w:eastAsia="仿宋" w:cs="仿宋"/>
          <w:sz w:val="24"/>
          <w:szCs w:val="24"/>
          <w:lang w:val="zh-TW" w:eastAsia="zh-TW" w:bidi="zh-TW"/>
        </w:rPr>
        <w:t>口腔灯与治疗机同品牌，可三轴旋转的双模式LED感应灯，可感应控制白光开关，黄白光切换和照度的无极调节，无接触式控制；照度最大值≥30000lux,最小值≤8000lux；色温最大值≥5500k，最小值≤2300k；</w:t>
      </w:r>
    </w:p>
    <w:p w14:paraId="2082060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p>
    <w:p w14:paraId="1B44F7A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4.牙科椅</w:t>
      </w:r>
    </w:p>
    <w:p w14:paraId="08A5B9D0">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4.1整体采用金属材质骨架和底座，稳固耐用；</w:t>
      </w:r>
    </w:p>
    <w:p w14:paraId="2A122340">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4.2座椅升降范围，最高</w:t>
      </w:r>
      <w:r>
        <w:rPr>
          <w:rFonts w:hint="eastAsia" w:ascii="仿宋" w:hAnsi="仿宋" w:eastAsia="仿宋" w:cs="仿宋"/>
          <w:sz w:val="24"/>
          <w:szCs w:val="24"/>
        </w:rPr>
        <w:t>≥</w:t>
      </w:r>
      <w:r>
        <w:rPr>
          <w:rFonts w:hint="eastAsia" w:ascii="仿宋" w:hAnsi="仿宋" w:eastAsia="仿宋" w:cs="仿宋"/>
          <w:kern w:val="2"/>
          <w:sz w:val="24"/>
          <w:szCs w:val="24"/>
          <w:lang w:val="zh-TW" w:eastAsia="zh-TW" w:bidi="zh-TW"/>
        </w:rPr>
        <w:t>780mm，最低≤360mm；</w:t>
      </w:r>
    </w:p>
    <w:p w14:paraId="4B84038C">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4.3弯板采用精密铝合金铸造工艺：</w:t>
      </w:r>
    </w:p>
    <w:p w14:paraId="761882C8">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4.4配置座椅左右扶手，医生侧扶手可向外旋转90°，方便儿童上下牙科椅；</w:t>
      </w:r>
    </w:p>
    <w:p w14:paraId="69B823C8">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4.5防误触急停开关，平头内槽式设计，具有急停保护装置；</w:t>
      </w:r>
    </w:p>
    <w:p w14:paraId="3F80C932">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4.</w:t>
      </w:r>
      <w:bookmarkStart w:id="120" w:name="_Hlk115422962"/>
      <w:r>
        <w:rPr>
          <w:rFonts w:hint="eastAsia" w:ascii="仿宋" w:hAnsi="仿宋" w:eastAsia="仿宋" w:cs="仿宋"/>
          <w:kern w:val="2"/>
          <w:sz w:val="24"/>
          <w:szCs w:val="24"/>
          <w:lang w:val="zh-TW" w:eastAsia="zh-TW" w:bidi="zh-TW"/>
        </w:rPr>
        <w:t>6配置底板脚控，位于靠背正下方，可调节椅位升降俯仰；</w:t>
      </w:r>
      <w:bookmarkEnd w:id="120"/>
    </w:p>
    <w:p w14:paraId="4E8C937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4.7靠背主体采用冷轧钢板和静电喷涂工艺</w:t>
      </w:r>
    </w:p>
    <w:p w14:paraId="4FC0A82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4.8靠背和坐垫背板采用ABS工程塑料的材质，防潮防霉；免工具挂扣式安装方式，方便拆卸清洁；</w:t>
      </w:r>
    </w:p>
    <w:p w14:paraId="67EAEE7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4.9靠背两段式设计，下端始终支撑腰部，上部可根据儿童身高进行电动调节，拥有50mm运动行程；靠背肩部＜300mm，适配儿童肩宽，方便医生操作（提供佐证材料）</w:t>
      </w:r>
    </w:p>
    <w:p w14:paraId="75BBC78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4．10坐垫扶手间距＜520mm，头枕最多可伸长≥150mm，匹配儿童的体型和身高，使儿童治疗更舒适</w:t>
      </w:r>
    </w:p>
    <w:p w14:paraId="0B03243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4.11坐垫与靠背垫均采用超细纤维材质皮革；易清洁耐消毒；</w:t>
      </w:r>
    </w:p>
    <w:p w14:paraId="292FFC3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4.12配置</w:t>
      </w:r>
      <w:r>
        <w:rPr>
          <w:rFonts w:hint="eastAsia" w:ascii="仿宋" w:hAnsi="仿宋" w:eastAsia="仿宋" w:cs="仿宋"/>
          <w:sz w:val="24"/>
          <w:szCs w:val="24"/>
          <w:lang w:val="zh-TW" w:bidi="zh-TW"/>
        </w:rPr>
        <w:t>≥</w:t>
      </w:r>
      <w:r>
        <w:rPr>
          <w:rFonts w:hint="eastAsia" w:ascii="仿宋" w:hAnsi="仿宋" w:eastAsia="仿宋" w:cs="仿宋"/>
          <w:sz w:val="24"/>
          <w:szCs w:val="24"/>
          <w:lang w:val="zh-TW" w:eastAsia="zh-TW" w:bidi="zh-TW"/>
        </w:rPr>
        <w:t>3个记忆椅位；</w:t>
      </w:r>
    </w:p>
    <w:p w14:paraId="7D55F6A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bookmarkStart w:id="121" w:name="_Hlk118126059"/>
      <w:r>
        <w:rPr>
          <w:rFonts w:hint="eastAsia" w:ascii="仿宋" w:hAnsi="仿宋" w:eastAsia="仿宋" w:cs="仿宋"/>
          <w:sz w:val="24"/>
          <w:szCs w:val="24"/>
          <w:lang w:val="zh-TW" w:eastAsia="zh-TW" w:bidi="zh-TW"/>
        </w:rPr>
        <w:t>4.13具有开机自检功能，开机自动检测牙椅故障，通过不同提示判断故障部位；</w:t>
      </w:r>
    </w:p>
    <w:bookmarkEnd w:id="121"/>
    <w:p w14:paraId="5F8794D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4.14具有机椅互锁功能：手机工作时，除牙椅升降俯仰不能工作，其它功能可正常工作；</w:t>
      </w:r>
    </w:p>
    <w:p w14:paraId="738445A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4.15具有灯椅联动功能：按下预设位口腔灯自动关闭，椅位运动；再次按下预设键椅位运动到治疗位，口腔灯自动打开，避免医生反复操作，减少患者灯光刺激；</w:t>
      </w:r>
    </w:p>
    <w:p w14:paraId="1B4DED4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4.16牙科椅具备直流∕变频∕调速系统，装备低压直流电机或液压驱动系统，具有升降瞬间延时功能，使病人感觉不到椅子的瞬间冲力，无顿挫感。</w:t>
      </w:r>
    </w:p>
    <w:p w14:paraId="48310AB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5.治疗单元</w:t>
      </w:r>
    </w:p>
    <w:p w14:paraId="7DE08C9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5.1铸铝下挂式器械台，配置≥15功能按键控制面板，拥有5个器械挂架位；金属器械托盘可独立旋转，表面面积＞700cm²，配置防滑硅胶软垫；</w:t>
      </w:r>
    </w:p>
    <w:p w14:paraId="3A261D5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5.2手机管道具备防回吸功能，防止手机回吸引起交叉感染</w:t>
      </w:r>
    </w:p>
    <w:p w14:paraId="00ABEF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p>
    <w:p w14:paraId="7EFFBBC2">
      <w:pPr>
        <w:keepNext w:val="0"/>
        <w:keepLines w:val="0"/>
        <w:pageBreakBefore w:val="0"/>
        <w:numPr>
          <w:ilvl w:val="0"/>
          <w:numId w:val="3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侧箱单元</w:t>
      </w:r>
    </w:p>
    <w:p w14:paraId="114FE9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6.1侧箱整体金属设计，痰盂内嵌于侧箱，避免儿童碰撞；</w:t>
      </w:r>
    </w:p>
    <w:p w14:paraId="20819E9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6.2强弱吸过滤器为旋入式设计，滤网采用高分子材料，耐酸碱腐蚀；</w:t>
      </w:r>
    </w:p>
    <w:p w14:paraId="40FE8AF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6.3具有漱口水恒温系统，具有超温安全保护；</w:t>
      </w:r>
    </w:p>
    <w:p w14:paraId="1957295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6.4可调节角度的IPAD支架，连接于中柱。</w:t>
      </w:r>
    </w:p>
    <w:p w14:paraId="546E4EA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bidi="zh-TW"/>
        </w:rPr>
        <w:t xml:space="preserve">7  </w:t>
      </w:r>
      <w:r>
        <w:rPr>
          <w:rFonts w:hint="eastAsia" w:ascii="仿宋" w:hAnsi="仿宋" w:eastAsia="仿宋" w:cs="仿宋"/>
          <w:sz w:val="24"/>
          <w:szCs w:val="24"/>
          <w:lang w:val="zh-TW" w:eastAsia="zh-TW" w:bidi="zh-TW"/>
        </w:rPr>
        <w:t>助手位单元</w:t>
      </w:r>
    </w:p>
    <w:p w14:paraId="5C98CBC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7.1配置≥10功能助手控制面板；</w:t>
      </w:r>
    </w:p>
    <w:p w14:paraId="046290F7">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en-US" w:eastAsia="zh-CN" w:bidi="zh-TW"/>
        </w:rPr>
        <w:t>7.2</w:t>
      </w:r>
      <w:r>
        <w:rPr>
          <w:rFonts w:hint="eastAsia" w:ascii="仿宋" w:hAnsi="仿宋" w:eastAsia="仿宋" w:cs="仿宋"/>
          <w:sz w:val="24"/>
          <w:szCs w:val="24"/>
          <w:lang w:val="zh-TW" w:eastAsia="zh-TW" w:bidi="zh-TW"/>
        </w:rPr>
        <w:t>强弱吸手柄和热水三用枪各1支；</w:t>
      </w:r>
    </w:p>
    <w:p w14:paraId="63806A63">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en-US" w:eastAsia="zh-CN" w:bidi="zh-TW"/>
        </w:rPr>
        <w:t>7.3</w:t>
      </w:r>
      <w:r>
        <w:rPr>
          <w:rFonts w:hint="eastAsia" w:ascii="仿宋" w:hAnsi="仿宋" w:eastAsia="仿宋" w:cs="仿宋"/>
          <w:sz w:val="24"/>
          <w:szCs w:val="24"/>
          <w:lang w:val="zh-TW" w:eastAsia="zh-TW" w:bidi="zh-TW"/>
        </w:rPr>
        <w:t>配置助手搁置台；</w:t>
      </w:r>
    </w:p>
    <w:p w14:paraId="73C227F0">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en-US" w:eastAsia="zh-CN" w:bidi="zh-TW"/>
        </w:rPr>
        <w:t>7.4</w:t>
      </w:r>
      <w:r>
        <w:rPr>
          <w:rFonts w:hint="eastAsia" w:ascii="仿宋" w:hAnsi="仿宋" w:eastAsia="仿宋" w:cs="仿宋"/>
          <w:sz w:val="24"/>
          <w:szCs w:val="24"/>
          <w:lang w:val="zh-TW" w:eastAsia="zh-TW" w:bidi="zh-TW"/>
        </w:rPr>
        <w:t>双关节助手杆，可进行大范围灵活转动，便于助手进行四手操作；</w:t>
      </w:r>
    </w:p>
    <w:p w14:paraId="62AA8F43">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en-US" w:eastAsia="zh-CN" w:bidi="zh-TW"/>
        </w:rPr>
        <w:t>8</w:t>
      </w:r>
      <w:r>
        <w:rPr>
          <w:rFonts w:hint="eastAsia" w:ascii="仿宋" w:hAnsi="仿宋" w:eastAsia="仿宋" w:cs="仿宋"/>
          <w:sz w:val="24"/>
          <w:szCs w:val="24"/>
          <w:lang w:val="zh-TW" w:eastAsia="zh-TW" w:bidi="zh-TW"/>
        </w:rPr>
        <w:t>地箱</w:t>
      </w:r>
    </w:p>
    <w:p w14:paraId="6F9DA5C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内置封闭电源：防潮、防尘，防电磁干扰；裸露的电线都符合人体安全电压；</w:t>
      </w:r>
    </w:p>
    <w:p w14:paraId="0ACAFAE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9.脚踏</w:t>
      </w:r>
    </w:p>
    <w:p w14:paraId="7DE8AB9B">
      <w:pPr>
        <w:pStyle w:val="42"/>
        <w:keepNext w:val="0"/>
        <w:keepLines w:val="0"/>
        <w:pageBreakBefore w:val="0"/>
        <w:kinsoku/>
        <w:wordWrap/>
        <w:overflowPunct/>
        <w:topLinePunct w:val="0"/>
        <w:autoSpaceDE/>
        <w:autoSpaceDN/>
        <w:bidi w:val="0"/>
        <w:adjustRightInd/>
        <w:snapToGrid/>
        <w:spacing w:before="60" w:beforeAutospacing="0" w:after="60" w:afterAutospacing="0" w:line="360" w:lineRule="auto"/>
        <w:textAlignment w:val="auto"/>
        <w:rPr>
          <w:rFonts w:hint="eastAsia" w:ascii="仿宋" w:hAnsi="仿宋" w:eastAsia="仿宋" w:cs="仿宋"/>
          <w:kern w:val="2"/>
          <w:sz w:val="24"/>
          <w:szCs w:val="24"/>
          <w:lang w:val="zh-TW" w:eastAsia="zh-TW" w:bidi="zh-TW"/>
        </w:rPr>
      </w:pPr>
      <w:r>
        <w:rPr>
          <w:rFonts w:hint="eastAsia" w:ascii="仿宋" w:hAnsi="仿宋" w:eastAsia="仿宋" w:cs="仿宋"/>
          <w:kern w:val="2"/>
          <w:sz w:val="24"/>
          <w:szCs w:val="24"/>
          <w:lang w:val="zh-TW" w:eastAsia="zh-TW" w:bidi="zh-TW"/>
        </w:rPr>
        <w:t>配置不锈钢圆形脚踏，可控制手机转速，有无水。</w:t>
      </w:r>
    </w:p>
    <w:p w14:paraId="7460946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TW" w:bidi="zh-TW"/>
        </w:rPr>
      </w:pPr>
      <w:r>
        <w:rPr>
          <w:rFonts w:hint="eastAsia" w:ascii="仿宋" w:hAnsi="仿宋" w:eastAsia="仿宋" w:cs="仿宋"/>
          <w:sz w:val="24"/>
          <w:szCs w:val="24"/>
          <w:lang w:val="zh-TW" w:eastAsia="zh-TW" w:bidi="zh-TW"/>
        </w:rPr>
        <w:t>1</w:t>
      </w:r>
      <w:r>
        <w:rPr>
          <w:rFonts w:hint="eastAsia" w:ascii="仿宋" w:hAnsi="仿宋" w:eastAsia="仿宋" w:cs="仿宋"/>
          <w:sz w:val="24"/>
          <w:szCs w:val="24"/>
          <w:lang w:val="en-US" w:eastAsia="zh-CN" w:bidi="zh-TW"/>
        </w:rPr>
        <w:t>0</w:t>
      </w:r>
      <w:r>
        <w:rPr>
          <w:rFonts w:hint="eastAsia" w:ascii="仿宋" w:hAnsi="仿宋" w:eastAsia="仿宋" w:cs="仿宋"/>
          <w:sz w:val="24"/>
          <w:szCs w:val="24"/>
          <w:lang w:val="zh-TW" w:eastAsia="zh-TW" w:bidi="zh-TW"/>
        </w:rPr>
        <w:t>.配置医生椅一张；</w:t>
      </w:r>
      <w:r>
        <w:rPr>
          <w:rFonts w:hint="eastAsia" w:ascii="仿宋" w:hAnsi="仿宋" w:eastAsia="仿宋" w:cs="仿宋"/>
          <w:sz w:val="24"/>
          <w:szCs w:val="24"/>
          <w:lang w:val="zh-TW" w:bidi="zh-TW"/>
        </w:rPr>
        <w:t>≥</w:t>
      </w:r>
      <w:r>
        <w:rPr>
          <w:rFonts w:hint="eastAsia" w:ascii="仿宋" w:hAnsi="仿宋" w:eastAsia="仿宋" w:cs="仿宋"/>
          <w:sz w:val="24"/>
          <w:szCs w:val="24"/>
          <w:lang w:val="zh-TW" w:eastAsia="zh-TW" w:bidi="zh-TW"/>
        </w:rPr>
        <w:t>8个方位可调节；</w:t>
      </w:r>
    </w:p>
    <w:p w14:paraId="0D21746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zh-TW" w:eastAsia="zh-CN" w:bidi="zh-TW"/>
        </w:rPr>
      </w:pPr>
      <w:r>
        <w:rPr>
          <w:rFonts w:hint="eastAsia" w:ascii="仿宋" w:hAnsi="仿宋" w:eastAsia="仿宋" w:cs="仿宋"/>
          <w:sz w:val="24"/>
          <w:szCs w:val="24"/>
          <w:lang w:val="zh-TW" w:eastAsia="zh-TW" w:bidi="zh-TW"/>
        </w:rPr>
        <w:t>1</w:t>
      </w:r>
      <w:r>
        <w:rPr>
          <w:rFonts w:hint="eastAsia" w:ascii="仿宋" w:hAnsi="仿宋" w:eastAsia="仿宋" w:cs="仿宋"/>
          <w:sz w:val="24"/>
          <w:szCs w:val="24"/>
          <w:lang w:val="en-US" w:eastAsia="zh-CN" w:bidi="zh-TW"/>
        </w:rPr>
        <w:t>1.</w:t>
      </w:r>
      <w:r>
        <w:rPr>
          <w:rFonts w:hint="eastAsia" w:ascii="仿宋" w:hAnsi="仿宋" w:eastAsia="仿宋" w:cs="仿宋"/>
          <w:sz w:val="24"/>
          <w:szCs w:val="24"/>
          <w:lang w:val="zh-TW" w:eastAsia="zh-TW" w:bidi="zh-TW"/>
        </w:rPr>
        <w:t>护士椅一张，可2个方向调节；配置金属搁脚架及扶手</w:t>
      </w:r>
      <w:r>
        <w:rPr>
          <w:rFonts w:hint="eastAsia" w:ascii="仿宋" w:hAnsi="仿宋" w:eastAsia="仿宋" w:cs="仿宋"/>
          <w:sz w:val="24"/>
          <w:szCs w:val="24"/>
          <w:lang w:val="zh-TW" w:eastAsia="zh-CN" w:bidi="zh-TW"/>
        </w:rPr>
        <w:t>。</w:t>
      </w:r>
    </w:p>
    <w:p w14:paraId="5F1ABB48">
      <w:pPr>
        <w:pageBreakBefore w:val="0"/>
        <w:kinsoku/>
        <w:wordWrap/>
        <w:topLinePunct w:val="0"/>
        <w:bidi w:val="0"/>
        <w:spacing w:line="360" w:lineRule="auto"/>
        <w:rPr>
          <w:rFonts w:hint="eastAsia" w:ascii="仿宋" w:hAnsi="仿宋" w:eastAsia="仿宋" w:cs="仿宋"/>
          <w:sz w:val="22"/>
          <w:szCs w:val="22"/>
          <w:lang w:val="zh-TW" w:eastAsia="zh-TW" w:bidi="zh-TW"/>
        </w:rPr>
      </w:pPr>
    </w:p>
    <w:p w14:paraId="466F9495">
      <w:pPr>
        <w:pageBreakBefore w:val="0"/>
        <w:kinsoku/>
        <w:wordWrap/>
        <w:topLinePunct w:val="0"/>
        <w:bidi w:val="0"/>
        <w:spacing w:line="360" w:lineRule="auto"/>
        <w:rPr>
          <w:rFonts w:hint="eastAsia" w:ascii="仿宋" w:hAnsi="仿宋" w:eastAsia="仿宋" w:cs="仿宋"/>
          <w:sz w:val="24"/>
        </w:rPr>
      </w:pPr>
    </w:p>
    <w:p w14:paraId="6D7F0131">
      <w:pPr>
        <w:pageBreakBefore w:val="0"/>
        <w:kinsoku/>
        <w:wordWrap/>
        <w:topLinePunct w:val="0"/>
        <w:bidi w:val="0"/>
        <w:spacing w:line="360" w:lineRule="auto"/>
        <w:rPr>
          <w:rFonts w:hint="eastAsia" w:ascii="仿宋" w:hAnsi="仿宋" w:eastAsia="仿宋" w:cs="仿宋"/>
          <w:sz w:val="24"/>
        </w:rPr>
      </w:pPr>
    </w:p>
    <w:p w14:paraId="495A2D33">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附件二十</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w:t>
      </w:r>
    </w:p>
    <w:p w14:paraId="1E837D62">
      <w:pPr>
        <w:pageBreakBefore w:val="0"/>
        <w:kinsoku/>
        <w:wordWrap/>
        <w:topLinePunct w:val="0"/>
        <w:bidi w:val="0"/>
        <w:spacing w:line="360" w:lineRule="auto"/>
        <w:ind w:firstLine="2240" w:firstLineChars="700"/>
        <w:rPr>
          <w:rFonts w:hint="eastAsia" w:ascii="仿宋" w:hAnsi="仿宋" w:eastAsia="仿宋" w:cs="仿宋"/>
          <w:b/>
          <w:bCs/>
          <w:sz w:val="32"/>
          <w:szCs w:val="32"/>
        </w:rPr>
      </w:pPr>
      <w:r>
        <w:rPr>
          <w:rFonts w:hint="eastAsia" w:ascii="仿宋" w:hAnsi="仿宋" w:eastAsia="仿宋" w:cs="仿宋"/>
          <w:b/>
          <w:bCs/>
          <w:sz w:val="32"/>
          <w:szCs w:val="32"/>
        </w:rPr>
        <w:t>微酸性电解水生成器技术参数</w:t>
      </w:r>
    </w:p>
    <w:p w14:paraId="1AA980EA">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基本信息：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805"/>
        <w:gridCol w:w="4831"/>
      </w:tblGrid>
      <w:tr w14:paraId="6763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center"/>
          </w:tcPr>
          <w:p w14:paraId="6795D547">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项目</w:t>
            </w:r>
          </w:p>
        </w:tc>
        <w:tc>
          <w:tcPr>
            <w:tcW w:w="1805" w:type="dxa"/>
            <w:noWrap w:val="0"/>
            <w:vAlign w:val="center"/>
          </w:tcPr>
          <w:p w14:paraId="6FBC04FC">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单位</w:t>
            </w:r>
          </w:p>
        </w:tc>
        <w:tc>
          <w:tcPr>
            <w:tcW w:w="4831" w:type="dxa"/>
            <w:noWrap w:val="0"/>
            <w:vAlign w:val="center"/>
          </w:tcPr>
          <w:p w14:paraId="06288D98">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具体参数</w:t>
            </w:r>
          </w:p>
        </w:tc>
      </w:tr>
      <w:tr w14:paraId="2CDE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3CDD86BD">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电  压</w:t>
            </w:r>
          </w:p>
        </w:tc>
        <w:tc>
          <w:tcPr>
            <w:tcW w:w="1805" w:type="dxa"/>
            <w:noWrap w:val="0"/>
            <w:vAlign w:val="center"/>
          </w:tcPr>
          <w:p w14:paraId="67EB422E">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VAC</w:t>
            </w:r>
          </w:p>
        </w:tc>
        <w:tc>
          <w:tcPr>
            <w:tcW w:w="4831" w:type="dxa"/>
            <w:noWrap w:val="0"/>
            <w:vAlign w:val="center"/>
          </w:tcPr>
          <w:p w14:paraId="0485062F">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44"/>
                <w:sz w:val="24"/>
                <w:szCs w:val="24"/>
              </w:rPr>
              <w:t>220V,50/60Hz</w:t>
            </w:r>
          </w:p>
        </w:tc>
      </w:tr>
      <w:tr w14:paraId="425F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111D96E2">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功  率</w:t>
            </w:r>
          </w:p>
        </w:tc>
        <w:tc>
          <w:tcPr>
            <w:tcW w:w="1805" w:type="dxa"/>
            <w:noWrap w:val="0"/>
            <w:vAlign w:val="center"/>
          </w:tcPr>
          <w:p w14:paraId="75ABC7C8">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0"/>
                <w:sz w:val="24"/>
                <w:szCs w:val="24"/>
              </w:rPr>
              <w:t>W</w:t>
            </w:r>
          </w:p>
        </w:tc>
        <w:tc>
          <w:tcPr>
            <w:tcW w:w="4831" w:type="dxa"/>
            <w:noWrap w:val="0"/>
            <w:vAlign w:val="center"/>
          </w:tcPr>
          <w:p w14:paraId="3491D638">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0"/>
                <w:sz w:val="24"/>
                <w:szCs w:val="24"/>
              </w:rPr>
              <w:t>泵功率</w:t>
            </w:r>
            <w:r>
              <w:rPr>
                <w:rFonts w:hint="eastAsia" w:ascii="仿宋" w:hAnsi="仿宋" w:eastAsia="仿宋" w:cs="仿宋"/>
                <w:sz w:val="24"/>
                <w:szCs w:val="24"/>
              </w:rPr>
              <w:t>≥</w:t>
            </w:r>
            <w:r>
              <w:rPr>
                <w:rFonts w:hint="eastAsia" w:ascii="仿宋" w:hAnsi="仿宋" w:eastAsia="仿宋" w:cs="仿宋"/>
                <w:kern w:val="0"/>
                <w:sz w:val="24"/>
                <w:szCs w:val="24"/>
              </w:rPr>
              <w:t>370W</w:t>
            </w:r>
          </w:p>
        </w:tc>
      </w:tr>
      <w:tr w14:paraId="43DC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2B98E1E9">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储水桶</w:t>
            </w:r>
          </w:p>
        </w:tc>
        <w:tc>
          <w:tcPr>
            <w:tcW w:w="1805" w:type="dxa"/>
            <w:noWrap w:val="0"/>
            <w:vAlign w:val="center"/>
          </w:tcPr>
          <w:p w14:paraId="5A27667B">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L</w:t>
            </w:r>
          </w:p>
        </w:tc>
        <w:tc>
          <w:tcPr>
            <w:tcW w:w="4831" w:type="dxa"/>
            <w:noWrap w:val="0"/>
            <w:vAlign w:val="center"/>
          </w:tcPr>
          <w:p w14:paraId="51F9C417">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40L</w:t>
            </w:r>
          </w:p>
        </w:tc>
      </w:tr>
      <w:tr w14:paraId="101E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07D625AF">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供水管路</w:t>
            </w:r>
          </w:p>
        </w:tc>
        <w:tc>
          <w:tcPr>
            <w:tcW w:w="1805" w:type="dxa"/>
            <w:noWrap w:val="0"/>
            <w:vAlign w:val="center"/>
          </w:tcPr>
          <w:p w14:paraId="67A4A079">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831" w:type="dxa"/>
            <w:noWrap w:val="0"/>
            <w:vAlign w:val="center"/>
          </w:tcPr>
          <w:p w14:paraId="63B2FC70">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UPVC</w:t>
            </w:r>
          </w:p>
        </w:tc>
      </w:tr>
      <w:tr w14:paraId="0501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16DC4955">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给水条件</w:t>
            </w:r>
          </w:p>
        </w:tc>
        <w:tc>
          <w:tcPr>
            <w:tcW w:w="1805" w:type="dxa"/>
            <w:noWrap w:val="0"/>
            <w:vAlign w:val="center"/>
          </w:tcPr>
          <w:p w14:paraId="43A558F3">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Mpa</w:t>
            </w:r>
          </w:p>
        </w:tc>
        <w:tc>
          <w:tcPr>
            <w:tcW w:w="4831" w:type="dxa"/>
            <w:noWrap w:val="0"/>
            <w:vAlign w:val="center"/>
          </w:tcPr>
          <w:p w14:paraId="6CB1D47F">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0.2-0.3</w:t>
            </w:r>
          </w:p>
        </w:tc>
      </w:tr>
      <w:tr w14:paraId="0AA1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261C4970">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HClO生成量</w:t>
            </w:r>
          </w:p>
        </w:tc>
        <w:tc>
          <w:tcPr>
            <w:tcW w:w="1805" w:type="dxa"/>
            <w:noWrap w:val="0"/>
            <w:vAlign w:val="center"/>
          </w:tcPr>
          <w:p w14:paraId="75E6F386">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L/min</w:t>
            </w:r>
          </w:p>
        </w:tc>
        <w:tc>
          <w:tcPr>
            <w:tcW w:w="4831" w:type="dxa"/>
            <w:noWrap w:val="0"/>
            <w:vAlign w:val="center"/>
          </w:tcPr>
          <w:p w14:paraId="08471548">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1.5~3</w:t>
            </w:r>
          </w:p>
        </w:tc>
      </w:tr>
      <w:tr w14:paraId="5B79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20111265">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变频恒压供水泵</w:t>
            </w:r>
          </w:p>
        </w:tc>
        <w:tc>
          <w:tcPr>
            <w:tcW w:w="1805" w:type="dxa"/>
            <w:noWrap w:val="0"/>
            <w:vAlign w:val="top"/>
          </w:tcPr>
          <w:p w14:paraId="5E6E3631">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831" w:type="dxa"/>
            <w:noWrap w:val="0"/>
            <w:vAlign w:val="center"/>
          </w:tcPr>
          <w:p w14:paraId="7BCCE05F">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33米 扬程1m</w:t>
            </w:r>
            <w:r>
              <w:rPr>
                <w:rFonts w:hint="eastAsia" w:ascii="仿宋" w:hAnsi="仿宋" w:eastAsia="仿宋" w:cs="仿宋"/>
                <w:kern w:val="0"/>
                <w:sz w:val="24"/>
                <w:szCs w:val="24"/>
                <w:vertAlign w:val="superscript"/>
              </w:rPr>
              <w:t>3</w:t>
            </w:r>
            <w:r>
              <w:rPr>
                <w:rFonts w:hint="eastAsia" w:ascii="仿宋" w:hAnsi="仿宋" w:eastAsia="仿宋" w:cs="仿宋"/>
                <w:kern w:val="0"/>
                <w:sz w:val="24"/>
                <w:szCs w:val="24"/>
              </w:rPr>
              <w:t>/小时</w:t>
            </w:r>
          </w:p>
        </w:tc>
      </w:tr>
      <w:tr w14:paraId="0218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714F7EE1">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时间控制器</w:t>
            </w:r>
          </w:p>
        </w:tc>
        <w:tc>
          <w:tcPr>
            <w:tcW w:w="1805" w:type="dxa"/>
            <w:noWrap w:val="0"/>
            <w:vAlign w:val="top"/>
          </w:tcPr>
          <w:p w14:paraId="2FBA4109">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831" w:type="dxa"/>
            <w:noWrap w:val="0"/>
            <w:vAlign w:val="center"/>
          </w:tcPr>
          <w:p w14:paraId="103F137C">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16段,24V工业级</w:t>
            </w:r>
          </w:p>
        </w:tc>
      </w:tr>
      <w:tr w14:paraId="2C78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0C21B81C">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液位控制器</w:t>
            </w:r>
          </w:p>
        </w:tc>
        <w:tc>
          <w:tcPr>
            <w:tcW w:w="1805" w:type="dxa"/>
            <w:noWrap w:val="0"/>
            <w:vAlign w:val="top"/>
          </w:tcPr>
          <w:p w14:paraId="6E32A638">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831" w:type="dxa"/>
            <w:noWrap w:val="0"/>
            <w:vAlign w:val="center"/>
          </w:tcPr>
          <w:p w14:paraId="088B6483">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投入式24V 4-20mA 1m</w:t>
            </w:r>
          </w:p>
        </w:tc>
      </w:tr>
      <w:tr w14:paraId="70A7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5C62B375">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4G物联网系统</w:t>
            </w:r>
          </w:p>
        </w:tc>
        <w:tc>
          <w:tcPr>
            <w:tcW w:w="1805" w:type="dxa"/>
            <w:noWrap w:val="0"/>
            <w:vAlign w:val="top"/>
          </w:tcPr>
          <w:p w14:paraId="70E72162">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831" w:type="dxa"/>
            <w:noWrap w:val="0"/>
            <w:vAlign w:val="center"/>
          </w:tcPr>
          <w:p w14:paraId="58075B02">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4G模块+云端+手机微信管理端</w:t>
            </w:r>
          </w:p>
        </w:tc>
      </w:tr>
      <w:tr w14:paraId="3E82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5FE62AA9">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供水控制系统</w:t>
            </w:r>
          </w:p>
        </w:tc>
        <w:tc>
          <w:tcPr>
            <w:tcW w:w="1805" w:type="dxa"/>
            <w:noWrap w:val="0"/>
            <w:vAlign w:val="top"/>
          </w:tcPr>
          <w:p w14:paraId="002964F9">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831" w:type="dxa"/>
            <w:noWrap w:val="0"/>
            <w:vAlign w:val="center"/>
          </w:tcPr>
          <w:p w14:paraId="13E38AEA">
            <w:pPr>
              <w:pageBreakBefore w:val="0"/>
              <w:kinsoku/>
              <w:wordWrap/>
              <w:topLinePunct w:val="0"/>
              <w:bidi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≥7寸显示屏 ≥4种模式</w:t>
            </w:r>
          </w:p>
        </w:tc>
      </w:tr>
      <w:tr w14:paraId="37C6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26A8A942">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噪  音</w:t>
            </w:r>
          </w:p>
        </w:tc>
        <w:tc>
          <w:tcPr>
            <w:tcW w:w="1805" w:type="dxa"/>
            <w:noWrap w:val="0"/>
            <w:vAlign w:val="center"/>
          </w:tcPr>
          <w:p w14:paraId="0C959630">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0"/>
                <w:sz w:val="24"/>
                <w:szCs w:val="24"/>
              </w:rPr>
              <w:t>dB</w:t>
            </w:r>
          </w:p>
        </w:tc>
        <w:tc>
          <w:tcPr>
            <w:tcW w:w="4831" w:type="dxa"/>
            <w:noWrap w:val="0"/>
            <w:vAlign w:val="center"/>
          </w:tcPr>
          <w:p w14:paraId="28CE6F3D">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0"/>
                <w:sz w:val="24"/>
                <w:szCs w:val="24"/>
              </w:rPr>
              <w:t>≤55</w:t>
            </w:r>
          </w:p>
        </w:tc>
      </w:tr>
      <w:tr w14:paraId="4577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512846D1">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外壳材料</w:t>
            </w:r>
          </w:p>
        </w:tc>
        <w:tc>
          <w:tcPr>
            <w:tcW w:w="1805" w:type="dxa"/>
            <w:noWrap w:val="0"/>
            <w:vAlign w:val="center"/>
          </w:tcPr>
          <w:p w14:paraId="042FB14A">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w:t>
            </w:r>
          </w:p>
        </w:tc>
        <w:tc>
          <w:tcPr>
            <w:tcW w:w="4831" w:type="dxa"/>
            <w:noWrap w:val="0"/>
            <w:vAlign w:val="center"/>
          </w:tcPr>
          <w:p w14:paraId="7470FE4D">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0"/>
                <w:sz w:val="24"/>
                <w:szCs w:val="24"/>
              </w:rPr>
              <w:t>镀锌板，外壳喷塑</w:t>
            </w:r>
          </w:p>
        </w:tc>
      </w:tr>
      <w:tr w14:paraId="3A4F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86" w:type="dxa"/>
            <w:noWrap w:val="0"/>
            <w:vAlign w:val="top"/>
          </w:tcPr>
          <w:p w14:paraId="67A9CE03">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IP等级</w:t>
            </w:r>
          </w:p>
        </w:tc>
        <w:tc>
          <w:tcPr>
            <w:tcW w:w="1805" w:type="dxa"/>
            <w:noWrap w:val="0"/>
            <w:vAlign w:val="center"/>
          </w:tcPr>
          <w:p w14:paraId="11C7BBB4">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w:t>
            </w:r>
          </w:p>
        </w:tc>
        <w:tc>
          <w:tcPr>
            <w:tcW w:w="4831" w:type="dxa"/>
            <w:noWrap w:val="0"/>
            <w:vAlign w:val="center"/>
          </w:tcPr>
          <w:p w14:paraId="3017F4BD">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kern w:val="0"/>
                <w:sz w:val="24"/>
                <w:szCs w:val="24"/>
              </w:rPr>
              <w:t>IP32</w:t>
            </w:r>
          </w:p>
        </w:tc>
      </w:tr>
    </w:tbl>
    <w:p w14:paraId="230E2840">
      <w:pPr>
        <w:pageBreakBefore w:val="0"/>
        <w:kinsoku/>
        <w:wordWrap/>
        <w:topLinePunct w:val="0"/>
        <w:bidi w:val="0"/>
        <w:snapToGrid w:val="0"/>
        <w:spacing w:line="360" w:lineRule="auto"/>
        <w:rPr>
          <w:rFonts w:hint="eastAsia" w:ascii="仿宋" w:hAnsi="仿宋" w:eastAsia="仿宋" w:cs="仿宋"/>
          <w:kern w:val="44"/>
          <w:sz w:val="24"/>
          <w:szCs w:val="24"/>
        </w:rPr>
      </w:pPr>
    </w:p>
    <w:p w14:paraId="7B5BFB48">
      <w:pPr>
        <w:pageBreakBefore w:val="0"/>
        <w:kinsoku/>
        <w:wordWrap/>
        <w:topLinePunct w:val="0"/>
        <w:bidi w:val="0"/>
        <w:snapToGrid w:val="0"/>
        <w:spacing w:after="156" w:afterLines="50" w:line="360" w:lineRule="auto"/>
        <w:rPr>
          <w:rFonts w:hint="eastAsia" w:ascii="仿宋" w:hAnsi="仿宋" w:eastAsia="仿宋" w:cs="仿宋"/>
          <w:bCs/>
          <w:sz w:val="24"/>
          <w:szCs w:val="24"/>
        </w:rPr>
      </w:pPr>
      <w:r>
        <w:rPr>
          <w:rFonts w:hint="eastAsia" w:ascii="仿宋" w:hAnsi="仿宋" w:eastAsia="仿宋" w:cs="仿宋"/>
          <w:bCs/>
          <w:sz w:val="24"/>
          <w:szCs w:val="24"/>
        </w:rPr>
        <w:t>电解性能：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861"/>
        <w:gridCol w:w="4713"/>
      </w:tblGrid>
      <w:tr w14:paraId="0100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48" w:type="dxa"/>
            <w:noWrap w:val="0"/>
            <w:vAlign w:val="center"/>
          </w:tcPr>
          <w:p w14:paraId="6D3279DF">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项目</w:t>
            </w:r>
          </w:p>
        </w:tc>
        <w:tc>
          <w:tcPr>
            <w:tcW w:w="1861" w:type="dxa"/>
            <w:noWrap w:val="0"/>
            <w:vAlign w:val="center"/>
          </w:tcPr>
          <w:p w14:paraId="5CC3D819">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单位</w:t>
            </w:r>
          </w:p>
        </w:tc>
        <w:tc>
          <w:tcPr>
            <w:tcW w:w="4713" w:type="dxa"/>
            <w:noWrap w:val="0"/>
            <w:vAlign w:val="center"/>
          </w:tcPr>
          <w:p w14:paraId="64235A49">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具体参数</w:t>
            </w:r>
          </w:p>
        </w:tc>
      </w:tr>
      <w:tr w14:paraId="61BB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48" w:type="dxa"/>
            <w:noWrap w:val="0"/>
            <w:vAlign w:val="top"/>
          </w:tcPr>
          <w:p w14:paraId="6CEA14D9">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有效氯浓度</w:t>
            </w:r>
          </w:p>
        </w:tc>
        <w:tc>
          <w:tcPr>
            <w:tcW w:w="1861" w:type="dxa"/>
            <w:noWrap w:val="0"/>
            <w:vAlign w:val="top"/>
          </w:tcPr>
          <w:p w14:paraId="651604A7">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ppm</w:t>
            </w:r>
          </w:p>
        </w:tc>
        <w:tc>
          <w:tcPr>
            <w:tcW w:w="4713" w:type="dxa"/>
            <w:noWrap w:val="0"/>
            <w:vAlign w:val="top"/>
          </w:tcPr>
          <w:p w14:paraId="46B508E2">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5~80</w:t>
            </w:r>
          </w:p>
        </w:tc>
      </w:tr>
      <w:tr w14:paraId="6FB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48" w:type="dxa"/>
            <w:noWrap w:val="0"/>
            <w:vAlign w:val="top"/>
          </w:tcPr>
          <w:p w14:paraId="3EAD72E0">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pH</w:t>
            </w:r>
          </w:p>
        </w:tc>
        <w:tc>
          <w:tcPr>
            <w:tcW w:w="1861" w:type="dxa"/>
            <w:noWrap w:val="0"/>
            <w:vAlign w:val="top"/>
          </w:tcPr>
          <w:p w14:paraId="43D6BACD">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w:t>
            </w:r>
          </w:p>
        </w:tc>
        <w:tc>
          <w:tcPr>
            <w:tcW w:w="4713" w:type="dxa"/>
            <w:noWrap w:val="0"/>
            <w:vAlign w:val="top"/>
          </w:tcPr>
          <w:p w14:paraId="0B4B43BE">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4-7</w:t>
            </w:r>
          </w:p>
        </w:tc>
      </w:tr>
      <w:tr w14:paraId="2F08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48" w:type="dxa"/>
            <w:noWrap w:val="0"/>
            <w:vAlign w:val="top"/>
          </w:tcPr>
          <w:p w14:paraId="1A540A08">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电极材质</w:t>
            </w:r>
          </w:p>
        </w:tc>
        <w:tc>
          <w:tcPr>
            <w:tcW w:w="1861" w:type="dxa"/>
            <w:noWrap w:val="0"/>
            <w:vAlign w:val="top"/>
          </w:tcPr>
          <w:p w14:paraId="24BFF195">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w:t>
            </w:r>
          </w:p>
        </w:tc>
        <w:tc>
          <w:tcPr>
            <w:tcW w:w="4713" w:type="dxa"/>
            <w:noWrap w:val="0"/>
            <w:vAlign w:val="top"/>
          </w:tcPr>
          <w:p w14:paraId="46E04E3A">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钛基MMO电极</w:t>
            </w:r>
          </w:p>
        </w:tc>
      </w:tr>
      <w:tr w14:paraId="4E1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48" w:type="dxa"/>
            <w:noWrap w:val="0"/>
            <w:vAlign w:val="top"/>
          </w:tcPr>
          <w:p w14:paraId="6FF12586">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电极寿命</w:t>
            </w:r>
          </w:p>
        </w:tc>
        <w:tc>
          <w:tcPr>
            <w:tcW w:w="1861" w:type="dxa"/>
            <w:noWrap w:val="0"/>
            <w:vAlign w:val="top"/>
          </w:tcPr>
          <w:p w14:paraId="1488CBE7">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hr</w:t>
            </w:r>
          </w:p>
        </w:tc>
        <w:tc>
          <w:tcPr>
            <w:tcW w:w="4713" w:type="dxa"/>
            <w:noWrap w:val="0"/>
            <w:vAlign w:val="top"/>
          </w:tcPr>
          <w:p w14:paraId="26D43453">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&gt;5000</w:t>
            </w:r>
          </w:p>
        </w:tc>
      </w:tr>
    </w:tbl>
    <w:p w14:paraId="4821D0A1">
      <w:pPr>
        <w:pageBreakBefore w:val="0"/>
        <w:kinsoku/>
        <w:wordWrap/>
        <w:topLinePunct w:val="0"/>
        <w:bidi w:val="0"/>
        <w:snapToGrid w:val="0"/>
        <w:spacing w:after="156" w:afterLines="50" w:line="360" w:lineRule="auto"/>
        <w:rPr>
          <w:rFonts w:hint="eastAsia" w:ascii="仿宋" w:hAnsi="仿宋" w:eastAsia="仿宋" w:cs="仿宋"/>
          <w:b/>
          <w:sz w:val="24"/>
          <w:szCs w:val="24"/>
        </w:rPr>
      </w:pPr>
    </w:p>
    <w:p w14:paraId="7CA2128B">
      <w:pPr>
        <w:pageBreakBefore w:val="0"/>
        <w:kinsoku/>
        <w:wordWrap/>
        <w:topLinePunct w:val="0"/>
        <w:bidi w:val="0"/>
        <w:snapToGrid w:val="0"/>
        <w:spacing w:after="156" w:afterLines="50" w:line="360" w:lineRule="auto"/>
        <w:rPr>
          <w:rFonts w:hint="eastAsia" w:ascii="仿宋" w:hAnsi="仿宋" w:eastAsia="仿宋" w:cs="仿宋"/>
          <w:bCs/>
          <w:sz w:val="24"/>
          <w:szCs w:val="24"/>
        </w:rPr>
      </w:pPr>
      <w:r>
        <w:rPr>
          <w:rFonts w:hint="eastAsia" w:ascii="仿宋" w:hAnsi="仿宋" w:eastAsia="仿宋" w:cs="仿宋"/>
          <w:bCs/>
          <w:sz w:val="24"/>
          <w:szCs w:val="24"/>
        </w:rPr>
        <w:t>进出水参数：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873"/>
        <w:gridCol w:w="4711"/>
      </w:tblGrid>
      <w:tr w14:paraId="26E7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center"/>
          </w:tcPr>
          <w:p w14:paraId="45C5BC3A">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项目</w:t>
            </w:r>
          </w:p>
        </w:tc>
        <w:tc>
          <w:tcPr>
            <w:tcW w:w="1873" w:type="dxa"/>
            <w:noWrap w:val="0"/>
            <w:vAlign w:val="center"/>
          </w:tcPr>
          <w:p w14:paraId="3829067A">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单位</w:t>
            </w:r>
          </w:p>
        </w:tc>
        <w:tc>
          <w:tcPr>
            <w:tcW w:w="4711" w:type="dxa"/>
            <w:noWrap w:val="0"/>
            <w:vAlign w:val="center"/>
          </w:tcPr>
          <w:p w14:paraId="561F82A3">
            <w:pPr>
              <w:pageBreakBefore w:val="0"/>
              <w:kinsoku/>
              <w:wordWrap/>
              <w:topLinePunct w:val="0"/>
              <w:bidi w:val="0"/>
              <w:snapToGrid w:val="0"/>
              <w:spacing w:line="360" w:lineRule="auto"/>
              <w:rPr>
                <w:rFonts w:hint="eastAsia" w:ascii="仿宋" w:hAnsi="仿宋" w:eastAsia="仿宋" w:cs="仿宋"/>
                <w:b/>
                <w:bCs/>
                <w:kern w:val="44"/>
                <w:sz w:val="24"/>
                <w:szCs w:val="24"/>
              </w:rPr>
            </w:pPr>
            <w:r>
              <w:rPr>
                <w:rFonts w:hint="eastAsia" w:ascii="仿宋" w:hAnsi="仿宋" w:eastAsia="仿宋" w:cs="仿宋"/>
                <w:b/>
                <w:bCs/>
                <w:kern w:val="44"/>
                <w:sz w:val="24"/>
                <w:szCs w:val="24"/>
              </w:rPr>
              <w:t>具体参数</w:t>
            </w:r>
          </w:p>
        </w:tc>
      </w:tr>
      <w:tr w14:paraId="458E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top"/>
          </w:tcPr>
          <w:p w14:paraId="549139A1">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给水水压</w:t>
            </w:r>
          </w:p>
        </w:tc>
        <w:tc>
          <w:tcPr>
            <w:tcW w:w="1873" w:type="dxa"/>
            <w:noWrap w:val="0"/>
            <w:vAlign w:val="top"/>
          </w:tcPr>
          <w:p w14:paraId="4878B9C3">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MPa</w:t>
            </w:r>
          </w:p>
        </w:tc>
        <w:tc>
          <w:tcPr>
            <w:tcW w:w="4711" w:type="dxa"/>
            <w:noWrap w:val="0"/>
            <w:vAlign w:val="top"/>
          </w:tcPr>
          <w:p w14:paraId="5A119092">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0.1~0.3</w:t>
            </w:r>
          </w:p>
        </w:tc>
      </w:tr>
      <w:tr w14:paraId="0A41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top"/>
          </w:tcPr>
          <w:p w14:paraId="599D9721">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出水压力</w:t>
            </w:r>
          </w:p>
        </w:tc>
        <w:tc>
          <w:tcPr>
            <w:tcW w:w="1873" w:type="dxa"/>
            <w:noWrap w:val="0"/>
            <w:vAlign w:val="top"/>
          </w:tcPr>
          <w:p w14:paraId="1B220E0E">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MPa</w:t>
            </w:r>
          </w:p>
        </w:tc>
        <w:tc>
          <w:tcPr>
            <w:tcW w:w="4711" w:type="dxa"/>
            <w:noWrap w:val="0"/>
            <w:vAlign w:val="top"/>
          </w:tcPr>
          <w:p w14:paraId="323D3F64">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0.2</w:t>
            </w:r>
          </w:p>
        </w:tc>
      </w:tr>
      <w:tr w14:paraId="020D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top"/>
          </w:tcPr>
          <w:p w14:paraId="6FC85A08">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流  量</w:t>
            </w:r>
          </w:p>
        </w:tc>
        <w:tc>
          <w:tcPr>
            <w:tcW w:w="1873" w:type="dxa"/>
            <w:noWrap w:val="0"/>
            <w:vAlign w:val="top"/>
          </w:tcPr>
          <w:p w14:paraId="1BB9AA13">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L/min</w:t>
            </w:r>
          </w:p>
        </w:tc>
        <w:tc>
          <w:tcPr>
            <w:tcW w:w="4711" w:type="dxa"/>
            <w:noWrap w:val="0"/>
            <w:vAlign w:val="top"/>
          </w:tcPr>
          <w:p w14:paraId="639E1295">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≥1.6 L/min</w:t>
            </w:r>
          </w:p>
        </w:tc>
      </w:tr>
      <w:tr w14:paraId="5E3E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top"/>
          </w:tcPr>
          <w:p w14:paraId="52A732AC">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进水接口</w:t>
            </w:r>
          </w:p>
        </w:tc>
        <w:tc>
          <w:tcPr>
            <w:tcW w:w="1873" w:type="dxa"/>
            <w:noWrap w:val="0"/>
            <w:vAlign w:val="top"/>
          </w:tcPr>
          <w:p w14:paraId="00CDC8CA">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tc>
        <w:tc>
          <w:tcPr>
            <w:tcW w:w="4711" w:type="dxa"/>
            <w:noWrap w:val="0"/>
            <w:vAlign w:val="top"/>
          </w:tcPr>
          <w:p w14:paraId="2E4415A0">
            <w:pPr>
              <w:pageBreakBefore w:val="0"/>
              <w:kinsoku/>
              <w:wordWrap/>
              <w:topLinePunct w:val="0"/>
              <w:bidi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w:t>
            </w:r>
          </w:p>
        </w:tc>
      </w:tr>
      <w:tr w14:paraId="14D9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top"/>
          </w:tcPr>
          <w:p w14:paraId="14CD4300">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出水接口</w:t>
            </w:r>
          </w:p>
        </w:tc>
        <w:tc>
          <w:tcPr>
            <w:tcW w:w="1873" w:type="dxa"/>
            <w:noWrap w:val="0"/>
            <w:vAlign w:val="top"/>
          </w:tcPr>
          <w:p w14:paraId="3E6BDA3B">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w:t>
            </w:r>
          </w:p>
        </w:tc>
        <w:tc>
          <w:tcPr>
            <w:tcW w:w="4711" w:type="dxa"/>
            <w:noWrap w:val="0"/>
            <w:vAlign w:val="top"/>
          </w:tcPr>
          <w:p w14:paraId="2D875BAF">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1/2</w:t>
            </w:r>
          </w:p>
        </w:tc>
      </w:tr>
      <w:tr w14:paraId="0685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38" w:type="dxa"/>
            <w:noWrap w:val="0"/>
            <w:vAlign w:val="top"/>
          </w:tcPr>
          <w:p w14:paraId="11932F0A">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原水硬度</w:t>
            </w:r>
          </w:p>
        </w:tc>
        <w:tc>
          <w:tcPr>
            <w:tcW w:w="1873" w:type="dxa"/>
            <w:noWrap w:val="0"/>
            <w:vAlign w:val="top"/>
          </w:tcPr>
          <w:p w14:paraId="54D8C196">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mg/L</w:t>
            </w:r>
          </w:p>
        </w:tc>
        <w:tc>
          <w:tcPr>
            <w:tcW w:w="4711" w:type="dxa"/>
            <w:noWrap w:val="0"/>
            <w:vAlign w:val="top"/>
          </w:tcPr>
          <w:p w14:paraId="7FB50651">
            <w:pPr>
              <w:pageBreakBefore w:val="0"/>
              <w:kinsoku/>
              <w:wordWrap/>
              <w:topLinePunct w:val="0"/>
              <w:bidi w:val="0"/>
              <w:snapToGrid w:val="0"/>
              <w:spacing w:line="360" w:lineRule="auto"/>
              <w:rPr>
                <w:rFonts w:hint="eastAsia" w:ascii="仿宋" w:hAnsi="仿宋" w:eastAsia="仿宋" w:cs="仿宋"/>
                <w:kern w:val="44"/>
                <w:sz w:val="24"/>
                <w:szCs w:val="24"/>
              </w:rPr>
            </w:pPr>
            <w:r>
              <w:rPr>
                <w:rFonts w:hint="eastAsia" w:ascii="仿宋" w:hAnsi="仿宋" w:eastAsia="仿宋" w:cs="仿宋"/>
                <w:sz w:val="24"/>
                <w:szCs w:val="24"/>
              </w:rPr>
              <w:t>&lt;400</w:t>
            </w:r>
          </w:p>
        </w:tc>
      </w:tr>
    </w:tbl>
    <w:p w14:paraId="13427426">
      <w:pPr>
        <w:pageBreakBefore w:val="0"/>
        <w:kinsoku/>
        <w:wordWrap/>
        <w:topLinePunct w:val="0"/>
        <w:bidi w:val="0"/>
        <w:snapToGrid w:val="0"/>
        <w:spacing w:line="360" w:lineRule="auto"/>
        <w:rPr>
          <w:rFonts w:hint="eastAsia" w:ascii="仿宋" w:hAnsi="仿宋" w:eastAsia="仿宋" w:cs="仿宋"/>
          <w:kern w:val="44"/>
          <w:sz w:val="24"/>
          <w:szCs w:val="24"/>
        </w:rPr>
      </w:pPr>
    </w:p>
    <w:p w14:paraId="600ABCCB">
      <w:pPr>
        <w:pageBreakBefore w:val="0"/>
        <w:kinsoku/>
        <w:wordWrap/>
        <w:topLinePunct w:val="0"/>
        <w:bidi w:val="0"/>
        <w:spacing w:line="360" w:lineRule="auto"/>
        <w:ind w:left="-35" w:leftChars="-17"/>
        <w:textAlignment w:val="baseline"/>
        <w:rPr>
          <w:rStyle w:val="45"/>
          <w:rFonts w:hint="eastAsia" w:ascii="仿宋" w:hAnsi="仿宋" w:eastAsia="仿宋" w:cs="仿宋"/>
          <w:sz w:val="24"/>
          <w:szCs w:val="24"/>
        </w:rPr>
      </w:pPr>
    </w:p>
    <w:p w14:paraId="1EB54D1C">
      <w:pPr>
        <w:pageBreakBefore w:val="0"/>
        <w:kinsoku/>
        <w:wordWrap/>
        <w:topLinePunct w:val="0"/>
        <w:bidi w:val="0"/>
        <w:spacing w:line="360" w:lineRule="auto"/>
        <w:ind w:left="-35" w:leftChars="-17"/>
        <w:textAlignment w:val="baseline"/>
        <w:rPr>
          <w:rStyle w:val="45"/>
          <w:rFonts w:hint="eastAsia" w:ascii="仿宋" w:hAnsi="仿宋" w:eastAsia="仿宋" w:cs="仿宋"/>
          <w:sz w:val="24"/>
          <w:szCs w:val="24"/>
        </w:rPr>
      </w:pPr>
      <w:r>
        <w:rPr>
          <w:rStyle w:val="45"/>
          <w:rFonts w:hint="eastAsia" w:ascii="仿宋" w:hAnsi="仿宋" w:eastAsia="仿宋" w:cs="仿宋"/>
          <w:sz w:val="24"/>
          <w:szCs w:val="24"/>
        </w:rPr>
        <w:t>技术先进性：</w:t>
      </w:r>
    </w:p>
    <w:p w14:paraId="748EFC69">
      <w:pPr>
        <w:pageBreakBefore w:val="0"/>
        <w:kinsoku/>
        <w:wordWrap/>
        <w:topLinePunct w:val="0"/>
        <w:bidi w:val="0"/>
        <w:spacing w:line="360" w:lineRule="auto"/>
        <w:ind w:left="-35" w:leftChars="-17" w:firstLine="720" w:firstLineChars="300"/>
        <w:textAlignment w:val="baseline"/>
        <w:rPr>
          <w:rStyle w:val="45"/>
          <w:rFonts w:hint="eastAsia" w:ascii="仿宋" w:hAnsi="仿宋" w:eastAsia="仿宋" w:cs="仿宋"/>
          <w:b/>
          <w:bCs/>
          <w:kern w:val="0"/>
          <w:sz w:val="24"/>
          <w:szCs w:val="24"/>
        </w:rPr>
      </w:pPr>
      <w:r>
        <w:rPr>
          <w:rStyle w:val="45"/>
          <w:rFonts w:hint="eastAsia" w:ascii="仿宋" w:hAnsi="仿宋" w:eastAsia="仿宋" w:cs="仿宋"/>
          <w:sz w:val="24"/>
          <w:szCs w:val="24"/>
        </w:rPr>
        <w:t>1、采用电解法生成微酸水（次氯酸水），次氯酸水生成量每分钟是1.5~3L，生成次氯酸水，生成次氯酸水有效氯浓度（mg/L）:5~80mg/L，电解槽寿命</w:t>
      </w:r>
      <w:r>
        <w:rPr>
          <w:rFonts w:hint="eastAsia" w:ascii="仿宋" w:hAnsi="仿宋" w:eastAsia="仿宋" w:cs="仿宋"/>
          <w:sz w:val="24"/>
          <w:szCs w:val="24"/>
        </w:rPr>
        <w:t>≥</w:t>
      </w:r>
      <w:r>
        <w:rPr>
          <w:rStyle w:val="45"/>
          <w:rFonts w:hint="eastAsia" w:ascii="仿宋" w:hAnsi="仿宋" w:eastAsia="仿宋" w:cs="仿宋"/>
          <w:sz w:val="24"/>
          <w:szCs w:val="24"/>
        </w:rPr>
        <w:t>6000小时。*</w:t>
      </w:r>
    </w:p>
    <w:p w14:paraId="3CAB4E6A">
      <w:pPr>
        <w:pageBreakBefore w:val="0"/>
        <w:kinsoku/>
        <w:wordWrap/>
        <w:topLinePunct w:val="0"/>
        <w:bidi w:val="0"/>
        <w:spacing w:line="360" w:lineRule="auto"/>
        <w:textAlignment w:val="baseline"/>
        <w:rPr>
          <w:rStyle w:val="45"/>
          <w:rFonts w:hint="eastAsia" w:ascii="仿宋" w:hAnsi="仿宋" w:eastAsia="仿宋" w:cs="仿宋"/>
          <w:sz w:val="24"/>
          <w:szCs w:val="24"/>
        </w:rPr>
      </w:pPr>
      <w:r>
        <w:rPr>
          <w:rStyle w:val="45"/>
          <w:rFonts w:hint="eastAsia" w:ascii="仿宋" w:hAnsi="仿宋" w:eastAsia="仿宋" w:cs="仿宋"/>
          <w:sz w:val="24"/>
          <w:szCs w:val="24"/>
        </w:rPr>
        <w:t>2、扩展水箱系统及二次供水增压系统：</w:t>
      </w:r>
    </w:p>
    <w:p w14:paraId="4ACCB70D">
      <w:pPr>
        <w:pStyle w:val="46"/>
        <w:pageBreakBefore w:val="0"/>
        <w:kinsoku/>
        <w:wordWrap/>
        <w:topLinePunct w:val="0"/>
        <w:bidi w:val="0"/>
        <w:spacing w:line="360" w:lineRule="auto"/>
        <w:ind w:firstLine="480" w:firstLineChars="200"/>
        <w:rPr>
          <w:rStyle w:val="45"/>
          <w:rFonts w:hint="eastAsia" w:ascii="仿宋" w:hAnsi="仿宋" w:eastAsia="仿宋" w:cs="仿宋"/>
          <w:sz w:val="24"/>
          <w:szCs w:val="24"/>
        </w:rPr>
      </w:pPr>
      <w:r>
        <w:rPr>
          <w:rStyle w:val="45"/>
          <w:rFonts w:hint="eastAsia" w:ascii="仿宋" w:hAnsi="仿宋" w:eastAsia="仿宋" w:cs="仿宋"/>
          <w:sz w:val="24"/>
          <w:szCs w:val="24"/>
        </w:rPr>
        <w:t>（1）、全自动智能变频水泵，不锈钢泵体，供水压力1-6KG可调，功率强大，具备无水保护、压力保护等多种安全设置。</w:t>
      </w:r>
    </w:p>
    <w:p w14:paraId="0A4C65B8">
      <w:pPr>
        <w:pStyle w:val="46"/>
        <w:pageBreakBefore w:val="0"/>
        <w:kinsoku/>
        <w:wordWrap/>
        <w:topLinePunct w:val="0"/>
        <w:bidi w:val="0"/>
        <w:spacing w:line="360" w:lineRule="auto"/>
        <w:ind w:firstLine="480" w:firstLineChars="200"/>
        <w:rPr>
          <w:rStyle w:val="45"/>
          <w:rFonts w:hint="eastAsia" w:ascii="仿宋" w:hAnsi="仿宋" w:eastAsia="仿宋" w:cs="仿宋"/>
          <w:sz w:val="24"/>
          <w:szCs w:val="24"/>
        </w:rPr>
      </w:pPr>
      <w:r>
        <w:rPr>
          <w:rStyle w:val="45"/>
          <w:rFonts w:hint="eastAsia" w:ascii="仿宋" w:hAnsi="仿宋" w:eastAsia="仿宋" w:cs="仿宋"/>
          <w:sz w:val="24"/>
          <w:szCs w:val="24"/>
        </w:rPr>
        <w:t>（2）、扩展水箱系统≥50L,非金属材料，具有避光、密闭、无浸出的功能，具有远程报警功能，监测水箱缺水、溢水等故障。</w:t>
      </w:r>
    </w:p>
    <w:p w14:paraId="374B3B88">
      <w:pPr>
        <w:pStyle w:val="46"/>
        <w:pageBreakBefore w:val="0"/>
        <w:kinsoku/>
        <w:wordWrap/>
        <w:topLinePunct w:val="0"/>
        <w:bidi w:val="0"/>
        <w:spacing w:line="360" w:lineRule="auto"/>
        <w:ind w:firstLine="120" w:firstLineChars="50"/>
        <w:rPr>
          <w:rStyle w:val="45"/>
          <w:rFonts w:hint="eastAsia" w:ascii="仿宋" w:hAnsi="仿宋" w:eastAsia="仿宋" w:cs="仿宋"/>
          <w:sz w:val="24"/>
          <w:szCs w:val="24"/>
        </w:rPr>
      </w:pPr>
      <w:r>
        <w:rPr>
          <w:rStyle w:val="45"/>
          <w:rFonts w:hint="eastAsia" w:ascii="仿宋" w:hAnsi="仿宋" w:eastAsia="仿宋" w:cs="仿宋"/>
          <w:sz w:val="24"/>
          <w:szCs w:val="24"/>
        </w:rPr>
        <w:t>3、智能控制系统：</w:t>
      </w:r>
    </w:p>
    <w:p w14:paraId="145FC5EC">
      <w:pPr>
        <w:pStyle w:val="46"/>
        <w:pageBreakBefore w:val="0"/>
        <w:kinsoku/>
        <w:wordWrap/>
        <w:topLinePunct w:val="0"/>
        <w:bidi w:val="0"/>
        <w:spacing w:line="360" w:lineRule="auto"/>
        <w:ind w:firstLine="480" w:firstLineChars="200"/>
        <w:rPr>
          <w:rStyle w:val="45"/>
          <w:rFonts w:hint="eastAsia" w:ascii="仿宋" w:hAnsi="仿宋" w:eastAsia="仿宋" w:cs="仿宋"/>
          <w:sz w:val="24"/>
          <w:szCs w:val="24"/>
        </w:rPr>
      </w:pPr>
      <w:r>
        <w:rPr>
          <w:rStyle w:val="45"/>
          <w:rFonts w:hint="eastAsia" w:ascii="仿宋" w:hAnsi="仿宋" w:eastAsia="仿宋" w:cs="仿宋"/>
          <w:sz w:val="24"/>
          <w:szCs w:val="24"/>
        </w:rPr>
        <w:t>（1）、全触摸屏智能控制系统，可通过时间控制全自动实现微酸水（次氯酸水）与原水智能切换，自由选择浓度，配合工作需要。</w:t>
      </w:r>
    </w:p>
    <w:p w14:paraId="5F2F0A97">
      <w:pPr>
        <w:pStyle w:val="46"/>
        <w:pageBreakBefore w:val="0"/>
        <w:kinsoku/>
        <w:wordWrap/>
        <w:topLinePunct w:val="0"/>
        <w:bidi w:val="0"/>
        <w:spacing w:line="360" w:lineRule="auto"/>
        <w:ind w:firstLine="480" w:firstLineChars="200"/>
        <w:rPr>
          <w:rFonts w:hint="eastAsia" w:ascii="仿宋" w:hAnsi="仿宋" w:eastAsia="仿宋" w:cs="仿宋"/>
          <w:sz w:val="24"/>
          <w:szCs w:val="24"/>
        </w:rPr>
      </w:pPr>
      <w:r>
        <w:rPr>
          <w:rStyle w:val="45"/>
          <w:rFonts w:hint="eastAsia" w:ascii="仿宋" w:hAnsi="仿宋" w:eastAsia="仿宋" w:cs="仿宋"/>
          <w:sz w:val="24"/>
          <w:szCs w:val="24"/>
        </w:rPr>
        <w:t>（2）、设备具有4G互联网云平台，可通过云平台获取运行数据，配备微信小程序,可实现远程监控，实时监测控制。</w:t>
      </w:r>
    </w:p>
    <w:p w14:paraId="5CE98994">
      <w:pPr>
        <w:pageBreakBefore w:val="0"/>
        <w:kinsoku/>
        <w:wordWrap/>
        <w:topLinePunct w:val="0"/>
        <w:bidi w:val="0"/>
        <w:spacing w:line="360" w:lineRule="auto"/>
        <w:rPr>
          <w:rFonts w:hint="eastAsia" w:ascii="仿宋" w:hAnsi="仿宋" w:eastAsia="仿宋" w:cs="仿宋"/>
        </w:rPr>
      </w:pPr>
    </w:p>
    <w:p w14:paraId="76D74C96">
      <w:pPr>
        <w:pageBreakBefore w:val="0"/>
        <w:kinsoku/>
        <w:wordWrap/>
        <w:topLinePunct w:val="0"/>
        <w:bidi w:val="0"/>
        <w:spacing w:line="360" w:lineRule="auto"/>
        <w:rPr>
          <w:rFonts w:hint="eastAsia" w:ascii="仿宋" w:hAnsi="仿宋" w:eastAsia="仿宋" w:cs="仿宋"/>
        </w:rPr>
      </w:pPr>
    </w:p>
    <w:p w14:paraId="682DAB0A">
      <w:pPr>
        <w:pStyle w:val="6"/>
        <w:rPr>
          <w:rFonts w:hint="eastAsia"/>
        </w:rPr>
      </w:pPr>
    </w:p>
    <w:p w14:paraId="42E57362">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附件二十</w:t>
      </w:r>
      <w:r>
        <w:rPr>
          <w:rFonts w:hint="eastAsia" w:ascii="仿宋" w:hAnsi="仿宋" w:eastAsia="仿宋" w:cs="仿宋"/>
          <w:bCs/>
          <w:sz w:val="30"/>
          <w:szCs w:val="30"/>
          <w:lang w:val="en-US" w:eastAsia="zh-CN"/>
        </w:rPr>
        <w:t>三</w:t>
      </w:r>
      <w:r>
        <w:rPr>
          <w:rFonts w:hint="eastAsia" w:ascii="仿宋" w:hAnsi="仿宋" w:eastAsia="仿宋" w:cs="仿宋"/>
          <w:bCs/>
          <w:sz w:val="30"/>
          <w:szCs w:val="30"/>
        </w:rPr>
        <w:t>：</w:t>
      </w:r>
    </w:p>
    <w:p w14:paraId="24401D55">
      <w:pPr>
        <w:pageBreakBefore w:val="0"/>
        <w:kinsoku/>
        <w:wordWrap/>
        <w:topLinePunct w:val="0"/>
        <w:bidi w:val="0"/>
        <w:spacing w:line="360" w:lineRule="auto"/>
        <w:ind w:firstLine="1920" w:firstLineChars="600"/>
        <w:rPr>
          <w:rFonts w:hint="eastAsia" w:ascii="仿宋" w:hAnsi="仿宋" w:eastAsia="仿宋" w:cs="仿宋"/>
          <w:b/>
          <w:bCs/>
          <w:sz w:val="32"/>
          <w:szCs w:val="32"/>
        </w:rPr>
      </w:pPr>
      <w:r>
        <w:rPr>
          <w:rFonts w:hint="eastAsia" w:ascii="仿宋" w:hAnsi="仿宋" w:eastAsia="仿宋" w:cs="仿宋"/>
          <w:b/>
          <w:bCs/>
          <w:sz w:val="32"/>
          <w:szCs w:val="32"/>
        </w:rPr>
        <w:t>全自动血液流变分析仪技术参数</w:t>
      </w:r>
    </w:p>
    <w:p w14:paraId="3C03362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1）测量原理：切变率连续变化的非接触式压力传感法</w:t>
      </w:r>
    </w:p>
    <w:p w14:paraId="118D731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2）进样方式：采用排管进样方式，可以无限的增加样品检验数。</w:t>
      </w:r>
    </w:p>
    <w:p w14:paraId="276C248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3）采用真空采血管原始管直接上机，无需去盖，杜绝生物污染。</w:t>
      </w:r>
    </w:p>
    <w:p w14:paraId="626CDC9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4）混匀方式：机械手自动移出血液试管，进行颠倒混匀，并将试管放回原位。</w:t>
      </w:r>
    </w:p>
    <w:p w14:paraId="076D3B4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5）内置条码扫描，全血、血浆自动对位，标本位置可任意放置，所有结果可通过LIS 系统上传。</w:t>
      </w:r>
    </w:p>
    <w:p w14:paraId="4E7707F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6）自动清洗：具备废液清洗液液面报警功能，测量过程中清洗液能自动选择切换。</w:t>
      </w:r>
    </w:p>
    <w:p w14:paraId="05D8344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7）全自动化：放入试管架后，仪器自动移动试管架，自动判断有无样品，无样品的孔位自动自动跳过，试管架充满后自动提示报警。</w:t>
      </w:r>
    </w:p>
    <w:p w14:paraId="3D9CC0A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8）内置≥8英寸彩色触控屏；</w:t>
      </w:r>
    </w:p>
    <w:p w14:paraId="44846F4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9）测试参数：≥14项以上的血流变学指标，可打印表观粘度特性曲线。</w:t>
      </w:r>
    </w:p>
    <w:p w14:paraId="13D3DBF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10）切变率范围：切变率范围：1S</w:t>
      </w:r>
      <w:r>
        <w:rPr>
          <w:rFonts w:hint="eastAsia" w:ascii="仿宋" w:hAnsi="仿宋" w:eastAsia="仿宋" w:cs="仿宋"/>
          <w:sz w:val="24"/>
          <w:szCs w:val="24"/>
          <w:vertAlign w:val="superscript"/>
        </w:rPr>
        <w:t>-1</w:t>
      </w:r>
      <w:r>
        <w:rPr>
          <w:rFonts w:hint="eastAsia" w:ascii="仿宋" w:hAnsi="仿宋" w:eastAsia="仿宋" w:cs="仿宋"/>
          <w:sz w:val="24"/>
          <w:szCs w:val="24"/>
        </w:rPr>
        <w:t>-200S</w:t>
      </w:r>
      <w:r>
        <w:rPr>
          <w:rFonts w:hint="eastAsia" w:ascii="仿宋" w:hAnsi="仿宋" w:eastAsia="仿宋" w:cs="仿宋"/>
          <w:sz w:val="24"/>
          <w:szCs w:val="24"/>
          <w:vertAlign w:val="superscript"/>
        </w:rPr>
        <w:t>-1</w:t>
      </w:r>
      <w:r>
        <w:rPr>
          <w:rFonts w:hint="eastAsia" w:ascii="仿宋" w:hAnsi="仿宋" w:eastAsia="仿宋" w:cs="仿宋"/>
          <w:sz w:val="24"/>
          <w:szCs w:val="24"/>
        </w:rPr>
        <w:t>。</w:t>
      </w:r>
    </w:p>
    <w:p w14:paraId="1576E62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11）重复性偏差：高切变率≤1.5%、低切变率≤8.0%、血浆重复性偏差≤1.0%。</w:t>
      </w:r>
    </w:p>
    <w:p w14:paraId="35F5423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12）标本用量：全血样品量≤1.2m1，血浆样品量≤1.0m1。</w:t>
      </w:r>
    </w:p>
    <w:p w14:paraId="742827F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13）样品测试时间：全血&lt;33S/个，血浆&lt;27S/个。</w:t>
      </w:r>
    </w:p>
    <w:p w14:paraId="6F04723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14）质量控制：≥3种以上全血质控液和血浆质控液,可自动或手工标定参数。</w:t>
      </w:r>
    </w:p>
    <w:p w14:paraId="1F4A0B0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15）联机接口：标准网络接口和RS-232数据接口，中标方负责连接医用LIS系统并承担相应费用。</w:t>
      </w:r>
    </w:p>
    <w:p w14:paraId="57E85A11">
      <w:pPr>
        <w:pageBreakBefore w:val="0"/>
        <w:kinsoku/>
        <w:wordWrap/>
        <w:topLinePunct w:val="0"/>
        <w:bidi w:val="0"/>
        <w:spacing w:line="360" w:lineRule="auto"/>
        <w:rPr>
          <w:rFonts w:hint="eastAsia" w:ascii="仿宋" w:hAnsi="仿宋" w:eastAsia="仿宋" w:cs="仿宋"/>
          <w:bCs/>
          <w:sz w:val="24"/>
          <w:szCs w:val="24"/>
        </w:rPr>
      </w:pPr>
    </w:p>
    <w:p w14:paraId="16CA431C">
      <w:pPr>
        <w:pageBreakBefore w:val="0"/>
        <w:kinsoku/>
        <w:wordWrap/>
        <w:topLinePunct w:val="0"/>
        <w:bidi w:val="0"/>
        <w:spacing w:line="360" w:lineRule="auto"/>
        <w:rPr>
          <w:rFonts w:hint="eastAsia" w:ascii="仿宋" w:hAnsi="仿宋" w:eastAsia="仿宋" w:cs="仿宋"/>
          <w:bCs/>
          <w:sz w:val="30"/>
          <w:szCs w:val="30"/>
        </w:rPr>
      </w:pPr>
    </w:p>
    <w:p w14:paraId="39A9AA91">
      <w:pPr>
        <w:pStyle w:val="6"/>
        <w:pageBreakBefore w:val="0"/>
        <w:kinsoku/>
        <w:wordWrap/>
        <w:topLinePunct w:val="0"/>
        <w:bidi w:val="0"/>
        <w:spacing w:line="360" w:lineRule="auto"/>
        <w:rPr>
          <w:rFonts w:hint="eastAsia" w:ascii="仿宋" w:hAnsi="仿宋" w:eastAsia="仿宋" w:cs="仿宋"/>
        </w:rPr>
      </w:pPr>
    </w:p>
    <w:p w14:paraId="19ED7E48">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十</w:t>
      </w:r>
      <w:r>
        <w:rPr>
          <w:rFonts w:hint="eastAsia" w:ascii="仿宋" w:hAnsi="仿宋" w:eastAsia="仿宋" w:cs="仿宋"/>
          <w:bCs/>
          <w:sz w:val="30"/>
          <w:szCs w:val="30"/>
          <w:lang w:val="en-US" w:eastAsia="zh-CN"/>
        </w:rPr>
        <w:t>四</w:t>
      </w:r>
      <w:r>
        <w:rPr>
          <w:rFonts w:hint="eastAsia" w:ascii="仿宋" w:hAnsi="仿宋" w:eastAsia="仿宋" w:cs="仿宋"/>
          <w:bCs/>
          <w:sz w:val="30"/>
          <w:szCs w:val="30"/>
        </w:rPr>
        <w:t>：</w:t>
      </w:r>
    </w:p>
    <w:p w14:paraId="450F6AD1">
      <w:pPr>
        <w:pageBreakBefore w:val="0"/>
        <w:kinsoku/>
        <w:wordWrap/>
        <w:topLinePunct w:val="0"/>
        <w:bidi w:val="0"/>
        <w:spacing w:line="360" w:lineRule="auto"/>
        <w:ind w:firstLine="1600" w:firstLineChars="500"/>
        <w:rPr>
          <w:rFonts w:hint="eastAsia" w:ascii="仿宋" w:hAnsi="仿宋" w:eastAsia="仿宋" w:cs="仿宋"/>
          <w:b/>
          <w:bCs/>
          <w:sz w:val="32"/>
          <w:szCs w:val="32"/>
        </w:rPr>
      </w:pPr>
      <w:r>
        <w:rPr>
          <w:rFonts w:hint="eastAsia" w:ascii="仿宋" w:hAnsi="仿宋" w:eastAsia="仿宋" w:cs="仿宋"/>
          <w:b/>
          <w:bCs/>
          <w:sz w:val="32"/>
          <w:szCs w:val="32"/>
        </w:rPr>
        <w:t>循环水浴式恒温循环解冻箱技术参数</w:t>
      </w:r>
    </w:p>
    <w:p w14:paraId="6FD8EED3">
      <w:pPr>
        <w:pageBreakBefore w:val="0"/>
        <w:kinsoku/>
        <w:wordWrap/>
        <w:topLinePunct w:val="0"/>
        <w:bidi w:val="0"/>
        <w:spacing w:line="360" w:lineRule="auto"/>
        <w:rPr>
          <w:rFonts w:hint="eastAsia" w:ascii="仿宋" w:hAnsi="仿宋" w:eastAsia="仿宋" w:cs="仿宋"/>
          <w:b/>
          <w:bCs/>
        </w:rPr>
      </w:pPr>
    </w:p>
    <w:p w14:paraId="496657EF">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1、采用NTC热敏电阻温度控制和传感系统，控温精度高；</w:t>
      </w:r>
    </w:p>
    <w:p w14:paraId="30C160C8">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2、水循环系统进行解冻，迅速、充分、无瞬间温差，温度均衡，不会破坏血浆的有效成分；</w:t>
      </w:r>
    </w:p>
    <w:p w14:paraId="551E9A52">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3、卫生级耐腐优质不锈钢内胆</w:t>
      </w:r>
    </w:p>
    <w:p w14:paraId="67DD7E09">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4、采用进口磁力循环水泵，无噪音、静音运转；</w:t>
      </w:r>
    </w:p>
    <w:p w14:paraId="7E0CBF16">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5、微电脑触摸屏操作，可实时显示温度/时间的变化曲线，简洁方便</w:t>
      </w:r>
    </w:p>
    <w:p w14:paraId="03F4F5E0">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6、解冻完成后，自动控干血袋，减少浸泡时间</w:t>
      </w:r>
    </w:p>
    <w:p w14:paraId="611AFF26">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7、具有超温报警自动断电功能</w:t>
      </w:r>
    </w:p>
    <w:p w14:paraId="229665D3">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8、根据用户需要可加装自动除垢装置，保证管路畅通；</w:t>
      </w:r>
    </w:p>
    <w:p w14:paraId="2BF4CF07">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9、设备上盖采用模具制作</w:t>
      </w:r>
    </w:p>
    <w:p w14:paraId="1EFEC98D">
      <w:pPr>
        <w:pStyle w:val="8"/>
        <w:pageBreakBefore w:val="0"/>
        <w:tabs>
          <w:tab w:val="left" w:pos="567"/>
        </w:tabs>
        <w:kinsoku/>
        <w:wordWrap/>
        <w:topLinePunct w:val="0"/>
        <w:bidi w:val="0"/>
        <w:spacing w:line="360" w:lineRule="auto"/>
        <w:rPr>
          <w:rFonts w:hint="eastAsia" w:ascii="仿宋" w:hAnsi="仿宋" w:eastAsia="仿宋" w:cs="仿宋"/>
        </w:rPr>
      </w:pPr>
      <w:r>
        <w:rPr>
          <w:rFonts w:hint="eastAsia" w:ascii="仿宋" w:hAnsi="仿宋" w:eastAsia="仿宋" w:cs="仿宋"/>
        </w:rPr>
        <w:t>10、设备在无操作的情况下，自动进入睡眠状态，节约电能。</w:t>
      </w:r>
    </w:p>
    <w:p w14:paraId="03B59650">
      <w:pPr>
        <w:pStyle w:val="8"/>
        <w:pageBreakBefore w:val="0"/>
        <w:tabs>
          <w:tab w:val="left" w:pos="567"/>
        </w:tabs>
        <w:kinsoku/>
        <w:wordWrap/>
        <w:topLinePunct w:val="0"/>
        <w:bidi w:val="0"/>
        <w:spacing w:line="360" w:lineRule="auto"/>
        <w:rPr>
          <w:rFonts w:hint="eastAsia" w:ascii="仿宋" w:hAnsi="仿宋" w:eastAsia="仿宋" w:cs="仿宋"/>
        </w:rPr>
      </w:pPr>
    </w:p>
    <w:p w14:paraId="50C8F8B0">
      <w:pPr>
        <w:pageBreakBefore w:val="0"/>
        <w:kinsoku/>
        <w:wordWrap/>
        <w:topLinePunct w:val="0"/>
        <w:bidi w:val="0"/>
        <w:spacing w:line="360" w:lineRule="auto"/>
        <w:rPr>
          <w:rFonts w:hint="eastAsia" w:ascii="仿宋" w:hAnsi="仿宋" w:eastAsia="仿宋" w:cs="仿宋"/>
        </w:rPr>
      </w:pPr>
    </w:p>
    <w:p w14:paraId="2CB7195E">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二十五</w:t>
      </w:r>
      <w:r>
        <w:rPr>
          <w:rFonts w:hint="eastAsia" w:ascii="仿宋" w:hAnsi="仿宋" w:eastAsia="仿宋" w:cs="仿宋"/>
          <w:bCs/>
          <w:sz w:val="30"/>
          <w:szCs w:val="30"/>
        </w:rPr>
        <w:t>：</w:t>
      </w:r>
    </w:p>
    <w:p w14:paraId="11659320">
      <w:pPr>
        <w:pStyle w:val="8"/>
        <w:pageBreakBefore w:val="0"/>
        <w:tabs>
          <w:tab w:val="left" w:pos="567"/>
        </w:tabs>
        <w:kinsoku/>
        <w:wordWrap/>
        <w:topLinePunct w:val="0"/>
        <w:bidi w:val="0"/>
        <w:spacing w:line="360" w:lineRule="auto"/>
        <w:ind w:firstLine="2880" w:firstLineChars="900"/>
        <w:rPr>
          <w:rFonts w:hint="eastAsia" w:ascii="仿宋" w:hAnsi="仿宋" w:eastAsia="仿宋" w:cs="仿宋"/>
          <w:b/>
          <w:bCs/>
          <w:sz w:val="28"/>
          <w:szCs w:val="28"/>
        </w:rPr>
      </w:pPr>
      <w:r>
        <w:rPr>
          <w:rFonts w:hint="eastAsia" w:ascii="仿宋" w:hAnsi="仿宋" w:eastAsia="仿宋" w:cs="仿宋"/>
          <w:b/>
          <w:bCs/>
          <w:sz w:val="32"/>
          <w:szCs w:val="32"/>
        </w:rPr>
        <w:t>血液</w:t>
      </w:r>
      <w:r>
        <w:rPr>
          <w:rFonts w:hint="eastAsia" w:ascii="仿宋" w:hAnsi="仿宋" w:eastAsia="仿宋" w:cs="仿宋"/>
          <w:b/>
          <w:bCs/>
          <w:sz w:val="32"/>
          <w:szCs w:val="32"/>
          <w:lang w:val="en-US" w:eastAsia="zh-CN"/>
        </w:rPr>
        <w:t>储存</w:t>
      </w:r>
      <w:r>
        <w:rPr>
          <w:rFonts w:hint="eastAsia" w:ascii="仿宋" w:hAnsi="仿宋" w:eastAsia="仿宋" w:cs="仿宋"/>
          <w:b/>
          <w:bCs/>
          <w:sz w:val="32"/>
          <w:szCs w:val="32"/>
        </w:rPr>
        <w:t>箱技术参数</w:t>
      </w:r>
    </w:p>
    <w:p w14:paraId="54FC3F02">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1、电源:220V±10% ，电压50±1HZ。</w:t>
      </w:r>
    </w:p>
    <w:p w14:paraId="5CDB0547">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2、样式：立式，发泡视窗门。</w:t>
      </w:r>
    </w:p>
    <w:p w14:paraId="75596527">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3、内门：两个，亚克力材质。</w:t>
      </w:r>
    </w:p>
    <w:p w14:paraId="1972C5D8">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4、有效容积：≥280L。</w:t>
      </w:r>
    </w:p>
    <w:p w14:paraId="43A98A58">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8、箱体材料：热镀锌钢板，喷涂。</w:t>
      </w:r>
    </w:p>
    <w:p w14:paraId="257B855E">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9、内胆材料：不锈钢材质。</w:t>
      </w:r>
    </w:p>
    <w:p w14:paraId="139D45EE">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10、保温材料：无CFC聚氨酯发泡。</w:t>
      </w:r>
    </w:p>
    <w:p w14:paraId="03A813F3">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11、压缩机：采用进口品牌压缩机和风扇电机</w:t>
      </w:r>
    </w:p>
    <w:p w14:paraId="175A509A">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12、高精度微电脑温度控制系统，内置上/下区温度、环境温度、蒸发器温度、运行控制等传感器，确保运行状态安全稳定。</w:t>
      </w:r>
    </w:p>
    <w:p w14:paraId="5549E093">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13、数码温度显示，可通过设定使箱内温度保持在4℃±1℃范围内，显示精度0.1℃。</w:t>
      </w:r>
    </w:p>
    <w:p w14:paraId="17EF8F2B">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14、回型风道设计，确保箱体内部温度均匀性保持在±1℃。</w:t>
      </w:r>
    </w:p>
    <w:p w14:paraId="622753B8">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15、搭载DC/DC电源管理模块，节能效率大幅提升；电压控制精度高，电压和整机性能稳定；冗余热量少，杜绝过热安全隐患。</w:t>
      </w:r>
    </w:p>
    <w:p w14:paraId="2CC73774">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16、声光报警功能：具有高温、低温、传感器故障、开门、断电报警等多种功能。开门持续1分钟，蜂鸣报警，门关闭报警消除。</w:t>
      </w:r>
    </w:p>
    <w:p w14:paraId="2B797E0B">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17、报警模式：声音蜂鸣、报警代码3秒/次间隔闪烁，物品存放更安全。</w:t>
      </w:r>
    </w:p>
    <w:p w14:paraId="5E764AE0">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18、当显示控制/报警传感器发生故障时，压缩机以正常开停规律运行，确保物品存储安全。</w:t>
      </w:r>
    </w:p>
    <w:p w14:paraId="3459A52D">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19、发泡门体厚度≥65mm，箱体发泡层厚度≥52mm。</w:t>
      </w:r>
    </w:p>
    <w:p w14:paraId="776F5157">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20、底部前后4个脚轮，前轮带刹车装置。</w:t>
      </w:r>
    </w:p>
    <w:p w14:paraId="15FA2A5A">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21、暗把手，带锁，防止随意开启。</w:t>
      </w:r>
    </w:p>
    <w:p w14:paraId="10196669">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22、带状LED照明系统。</w:t>
      </w:r>
    </w:p>
    <w:p w14:paraId="17CB62C7">
      <w:pPr>
        <w:pStyle w:val="9"/>
        <w:pageBreakBefore w:val="0"/>
        <w:kinsoku/>
        <w:wordWrap/>
        <w:topLinePunct w:val="0"/>
        <w:bidi w:val="0"/>
        <w:spacing w:line="360" w:lineRule="auto"/>
        <w:rPr>
          <w:rFonts w:hint="eastAsia" w:ascii="仿宋" w:hAnsi="仿宋" w:eastAsia="仿宋" w:cs="仿宋"/>
          <w:color w:val="auto"/>
          <w:sz w:val="24"/>
        </w:rPr>
      </w:pPr>
    </w:p>
    <w:p w14:paraId="27FB0173">
      <w:pPr>
        <w:pageBreakBefore w:val="0"/>
        <w:kinsoku/>
        <w:wordWrap/>
        <w:topLinePunct w:val="0"/>
        <w:bidi w:val="0"/>
        <w:spacing w:line="360" w:lineRule="auto"/>
        <w:rPr>
          <w:rFonts w:hint="eastAsia" w:ascii="仿宋" w:hAnsi="仿宋" w:eastAsia="仿宋" w:cs="仿宋"/>
          <w:bCs/>
          <w:sz w:val="30"/>
          <w:szCs w:val="30"/>
        </w:rPr>
      </w:pPr>
    </w:p>
    <w:p w14:paraId="445FD489">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十</w:t>
      </w:r>
      <w:r>
        <w:rPr>
          <w:rFonts w:hint="eastAsia" w:ascii="仿宋" w:hAnsi="仿宋" w:eastAsia="仿宋" w:cs="仿宋"/>
          <w:bCs/>
          <w:sz w:val="30"/>
          <w:szCs w:val="30"/>
          <w:lang w:val="en-US" w:eastAsia="zh-CN"/>
        </w:rPr>
        <w:t>六</w:t>
      </w:r>
      <w:r>
        <w:rPr>
          <w:rFonts w:hint="eastAsia" w:ascii="仿宋" w:hAnsi="仿宋" w:eastAsia="仿宋" w:cs="仿宋"/>
          <w:bCs/>
          <w:sz w:val="30"/>
          <w:szCs w:val="30"/>
        </w:rPr>
        <w:t>：</w:t>
      </w:r>
    </w:p>
    <w:p w14:paraId="46F08C9F">
      <w:pPr>
        <w:pStyle w:val="8"/>
        <w:pageBreakBefore w:val="0"/>
        <w:tabs>
          <w:tab w:val="left" w:pos="567"/>
        </w:tabs>
        <w:kinsoku/>
        <w:wordWrap/>
        <w:topLinePunct w:val="0"/>
        <w:bidi w:val="0"/>
        <w:spacing w:line="360" w:lineRule="auto"/>
        <w:ind w:firstLine="2560" w:firstLineChars="800"/>
        <w:rPr>
          <w:rFonts w:hint="eastAsia" w:ascii="仿宋" w:hAnsi="仿宋" w:eastAsia="仿宋" w:cs="仿宋"/>
          <w:b/>
          <w:bCs/>
          <w:sz w:val="32"/>
          <w:szCs w:val="32"/>
        </w:rPr>
      </w:pPr>
      <w:r>
        <w:rPr>
          <w:rFonts w:hint="eastAsia" w:ascii="仿宋" w:hAnsi="仿宋" w:eastAsia="仿宋" w:cs="仿宋"/>
          <w:b/>
          <w:bCs/>
          <w:sz w:val="32"/>
          <w:szCs w:val="32"/>
        </w:rPr>
        <w:t>台式低速离心机技术参数</w:t>
      </w:r>
    </w:p>
    <w:p w14:paraId="76511702">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1、触摸面板、LCD液晶显示：时间、转速/离心力、运行状态、错误代码，</w:t>
      </w:r>
    </w:p>
    <w:p w14:paraId="079279B9">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运行中可随时修改参数，无需停机</w:t>
      </w:r>
    </w:p>
    <w:p w14:paraId="5289D2CA">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2、采用微机控制、交流变频电机，转速控制精度高。</w:t>
      </w:r>
    </w:p>
    <w:p w14:paraId="6696DF5A">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3、自动计算RCF值，具有RCF/rpm转换键，最短加/减速时间20/25s。时间设定可精确到秒，倒计时小于一分钟时以秒显示。</w:t>
      </w:r>
    </w:p>
    <w:p w14:paraId="283CB690">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4、采用特殊的减震器（三级减震），减震效果良好，具有自动平衡功能。</w:t>
      </w:r>
    </w:p>
    <w:p w14:paraId="4DACC2E9">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5、采用电子门锁/机械门锁双重设计，简单耐用。故障报错，自动停机。</w:t>
      </w:r>
    </w:p>
    <w:p w14:paraId="5B38D161">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6、设有门盖保护、超速和转子参数锁定等多种保护功能，防止意外修改参数避免操作失误，故障自动报警功能。≥10档升降（0档为自由停车），≥12种自定义工作模式。可选配48/96孔脱帽转子。</w:t>
      </w:r>
    </w:p>
    <w:p w14:paraId="34DEC531">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7、最高转速： ≥ 5500r/min</w:t>
      </w:r>
    </w:p>
    <w:p w14:paraId="73D49017">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8、最大相对离心力≥4900×g</w:t>
      </w:r>
    </w:p>
    <w:p w14:paraId="4443A7D2">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9、最大容量： 4×750ml</w:t>
      </w:r>
    </w:p>
    <w:p w14:paraId="3B7CDA8F">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10、显示类型： LCD液晶显示</w:t>
      </w:r>
    </w:p>
    <w:p w14:paraId="3EA3ADB5">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11、时间控制： 0-99min</w:t>
      </w:r>
    </w:p>
    <w:p w14:paraId="1AB374E3">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12、电机功率： 交流变频电机约800W</w:t>
      </w:r>
    </w:p>
    <w:p w14:paraId="7A2E6411">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13、转速精度：≤±10rpm</w:t>
      </w:r>
    </w:p>
    <w:p w14:paraId="213CCF5F">
      <w:pPr>
        <w:pStyle w:val="9"/>
        <w:pageBreakBefore w:val="0"/>
        <w:kinsoku/>
        <w:wordWrap/>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14、噪音：  ≤65 dB(A)</w:t>
      </w:r>
    </w:p>
    <w:p w14:paraId="2DF1BD98">
      <w:pPr>
        <w:pageBreakBefore w:val="0"/>
        <w:kinsoku/>
        <w:wordWrap/>
        <w:topLinePunct w:val="0"/>
        <w:bidi w:val="0"/>
        <w:spacing w:line="360" w:lineRule="auto"/>
        <w:rPr>
          <w:rFonts w:hint="eastAsia" w:ascii="仿宋" w:hAnsi="仿宋" w:eastAsia="仿宋" w:cs="仿宋"/>
          <w:sz w:val="20"/>
          <w:szCs w:val="22"/>
        </w:rPr>
      </w:pPr>
    </w:p>
    <w:p w14:paraId="69D6702F">
      <w:pPr>
        <w:pStyle w:val="8"/>
        <w:pageBreakBefore w:val="0"/>
        <w:tabs>
          <w:tab w:val="left" w:pos="567"/>
        </w:tabs>
        <w:kinsoku/>
        <w:wordWrap/>
        <w:topLinePunct w:val="0"/>
        <w:bidi w:val="0"/>
        <w:spacing w:line="360" w:lineRule="auto"/>
        <w:rPr>
          <w:rFonts w:hint="eastAsia" w:ascii="仿宋" w:hAnsi="仿宋" w:eastAsia="仿宋" w:cs="仿宋"/>
          <w:sz w:val="22"/>
          <w:szCs w:val="22"/>
        </w:rPr>
      </w:pPr>
    </w:p>
    <w:p w14:paraId="54AA0AED">
      <w:pPr>
        <w:pageBreakBefore w:val="0"/>
        <w:kinsoku/>
        <w:wordWrap/>
        <w:topLinePunct w:val="0"/>
        <w:bidi w:val="0"/>
        <w:spacing w:line="360" w:lineRule="auto"/>
        <w:rPr>
          <w:rFonts w:hint="eastAsia" w:ascii="仿宋" w:hAnsi="仿宋" w:eastAsia="仿宋" w:cs="仿宋"/>
          <w:bCs/>
          <w:sz w:val="30"/>
          <w:szCs w:val="30"/>
        </w:rPr>
      </w:pPr>
    </w:p>
    <w:p w14:paraId="23D9F857">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十</w:t>
      </w:r>
      <w:r>
        <w:rPr>
          <w:rFonts w:hint="eastAsia" w:ascii="仿宋" w:hAnsi="仿宋" w:eastAsia="仿宋" w:cs="仿宋"/>
          <w:bCs/>
          <w:sz w:val="30"/>
          <w:szCs w:val="30"/>
          <w:lang w:val="en-US" w:eastAsia="zh-CN"/>
        </w:rPr>
        <w:t>七</w:t>
      </w:r>
      <w:r>
        <w:rPr>
          <w:rFonts w:hint="eastAsia" w:ascii="仿宋" w:hAnsi="仿宋" w:eastAsia="仿宋" w:cs="仿宋"/>
          <w:bCs/>
          <w:sz w:val="30"/>
          <w:szCs w:val="30"/>
        </w:rPr>
        <w:t>：</w:t>
      </w:r>
    </w:p>
    <w:p w14:paraId="60EDF42C">
      <w:pPr>
        <w:pStyle w:val="8"/>
        <w:pageBreakBefore w:val="0"/>
        <w:tabs>
          <w:tab w:val="left" w:pos="567"/>
        </w:tabs>
        <w:kinsoku/>
        <w:wordWrap/>
        <w:topLinePunct w:val="0"/>
        <w:bidi w:val="0"/>
        <w:spacing w:line="360" w:lineRule="auto"/>
        <w:ind w:firstLine="1920" w:firstLineChars="600"/>
        <w:rPr>
          <w:rFonts w:hint="eastAsia" w:ascii="仿宋" w:hAnsi="仿宋" w:eastAsia="仿宋" w:cs="仿宋"/>
          <w:b/>
          <w:bCs/>
          <w:sz w:val="32"/>
          <w:szCs w:val="32"/>
        </w:rPr>
      </w:pPr>
      <w:r>
        <w:rPr>
          <w:rFonts w:hint="eastAsia" w:ascii="仿宋" w:hAnsi="仿宋" w:eastAsia="仿宋" w:cs="仿宋"/>
          <w:b/>
          <w:bCs/>
          <w:sz w:val="32"/>
          <w:szCs w:val="32"/>
        </w:rPr>
        <w:t>便捷式医用血小板振荡仪技术参数</w:t>
      </w:r>
    </w:p>
    <w:p w14:paraId="35A3C437">
      <w:pPr>
        <w:pStyle w:val="9"/>
        <w:rPr>
          <w:rFonts w:hint="eastAsia"/>
        </w:rPr>
      </w:pPr>
    </w:p>
    <w:p w14:paraId="672E11EA">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 xml:space="preserve">三种供电模式（带冷链和定位系统）               </w:t>
      </w:r>
    </w:p>
    <w:p w14:paraId="7DBFB74F">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控温范围：22.0℃±2.0℃</w:t>
      </w:r>
    </w:p>
    <w:p w14:paraId="11DAFD73">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制冷功率：</w:t>
      </w:r>
      <w:r>
        <w:rPr>
          <w:rFonts w:hint="eastAsia" w:ascii="仿宋" w:hAnsi="仿宋" w:eastAsia="仿宋" w:cs="仿宋"/>
          <w:sz w:val="22"/>
          <w:szCs w:val="22"/>
        </w:rPr>
        <w:t>≥</w:t>
      </w:r>
      <w:r>
        <w:rPr>
          <w:rFonts w:hint="eastAsia" w:ascii="仿宋" w:hAnsi="仿宋" w:eastAsia="仿宋" w:cs="仿宋"/>
        </w:rPr>
        <w:t>60W</w:t>
      </w:r>
    </w:p>
    <w:p w14:paraId="1E1C1BA6">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控温精度：±0.5℃</w:t>
      </w:r>
    </w:p>
    <w:p w14:paraId="4F7013E8">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制热功率</w:t>
      </w:r>
      <w:r>
        <w:rPr>
          <w:rFonts w:hint="eastAsia" w:ascii="仿宋" w:hAnsi="仿宋" w:eastAsia="仿宋" w:cs="仿宋"/>
          <w:sz w:val="22"/>
          <w:szCs w:val="22"/>
        </w:rPr>
        <w:t>≥</w:t>
      </w:r>
      <w:r>
        <w:rPr>
          <w:rFonts w:hint="eastAsia" w:ascii="仿宋" w:hAnsi="仿宋" w:eastAsia="仿宋" w:cs="仿宋"/>
        </w:rPr>
        <w:t>：60W</w:t>
      </w:r>
    </w:p>
    <w:p w14:paraId="221BF287">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振荡频率：60周/分钟</w:t>
      </w:r>
    </w:p>
    <w:p w14:paraId="20093C7C">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报警温度: &lt;20℃、&gt;24℃</w:t>
      </w:r>
    </w:p>
    <w:p w14:paraId="2C0CB09E">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振荡幅度：</w:t>
      </w:r>
      <w:r>
        <w:rPr>
          <w:rFonts w:hint="eastAsia" w:ascii="仿宋" w:hAnsi="仿宋" w:eastAsia="仿宋" w:cs="仿宋"/>
          <w:sz w:val="22"/>
          <w:szCs w:val="22"/>
        </w:rPr>
        <w:t>≥</w:t>
      </w:r>
      <w:r>
        <w:rPr>
          <w:rFonts w:hint="eastAsia" w:ascii="仿宋" w:hAnsi="仿宋" w:eastAsia="仿宋" w:cs="仿宋"/>
        </w:rPr>
        <w:t>50mm</w:t>
      </w:r>
    </w:p>
    <w:p w14:paraId="7213166E">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环境温度：5℃-35℃</w:t>
      </w:r>
    </w:p>
    <w:p w14:paraId="775BFD62">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工作方式：连续左右往复，水平振荡</w:t>
      </w:r>
    </w:p>
    <w:p w14:paraId="7FD18933">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层数及高度：3*30mm</w:t>
      </w:r>
    </w:p>
    <w:p w14:paraId="4EAA9AE6">
      <w:pPr>
        <w:pStyle w:val="8"/>
        <w:pageBreakBefore w:val="0"/>
        <w:tabs>
          <w:tab w:val="left" w:pos="567"/>
        </w:tabs>
        <w:kinsoku/>
        <w:wordWrap/>
        <w:topLinePunct w:val="0"/>
        <w:bidi w:val="0"/>
        <w:spacing w:line="360" w:lineRule="auto"/>
        <w:rPr>
          <w:rFonts w:hint="eastAsia" w:ascii="仿宋" w:hAnsi="仿宋" w:eastAsia="仿宋" w:cs="仿宋"/>
        </w:rPr>
      </w:pPr>
    </w:p>
    <w:p w14:paraId="68ACC940">
      <w:pPr>
        <w:pageBreakBefore w:val="0"/>
        <w:kinsoku/>
        <w:wordWrap/>
        <w:topLinePunct w:val="0"/>
        <w:bidi w:val="0"/>
        <w:spacing w:line="360" w:lineRule="auto"/>
        <w:rPr>
          <w:rFonts w:hint="eastAsia" w:ascii="仿宋" w:hAnsi="仿宋" w:eastAsia="仿宋" w:cs="仿宋"/>
          <w:bCs/>
          <w:sz w:val="30"/>
          <w:szCs w:val="30"/>
        </w:rPr>
      </w:pPr>
    </w:p>
    <w:p w14:paraId="32568288">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十</w:t>
      </w:r>
      <w:r>
        <w:rPr>
          <w:rFonts w:hint="eastAsia" w:ascii="仿宋" w:hAnsi="仿宋" w:eastAsia="仿宋" w:cs="仿宋"/>
          <w:bCs/>
          <w:sz w:val="30"/>
          <w:szCs w:val="30"/>
          <w:lang w:val="en-US" w:eastAsia="zh-CN"/>
        </w:rPr>
        <w:t>八</w:t>
      </w:r>
      <w:r>
        <w:rPr>
          <w:rFonts w:hint="eastAsia" w:ascii="仿宋" w:hAnsi="仿宋" w:eastAsia="仿宋" w:cs="仿宋"/>
          <w:bCs/>
          <w:sz w:val="30"/>
          <w:szCs w:val="30"/>
        </w:rPr>
        <w:t>：</w:t>
      </w:r>
    </w:p>
    <w:p w14:paraId="38778DF1">
      <w:pPr>
        <w:pStyle w:val="9"/>
        <w:pageBreakBefore w:val="0"/>
        <w:kinsoku/>
        <w:wordWrap/>
        <w:topLinePunct w:val="0"/>
        <w:bidi w:val="0"/>
        <w:spacing w:line="360" w:lineRule="auto"/>
        <w:ind w:firstLine="1600" w:firstLineChars="500"/>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t>可调节隔水式恒温恒湿培养箱技术参数</w:t>
      </w:r>
    </w:p>
    <w:p w14:paraId="35F012F6">
      <w:pPr>
        <w:rPr>
          <w:rFonts w:hint="eastAsia"/>
        </w:rPr>
      </w:pPr>
    </w:p>
    <w:p w14:paraId="45D1FA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1.外壳采用优质钢板制作，表面静电喷涂漆膜牢固，工作室采用优质304不锈钢板制作，抗腐蚀、耐老化、四角圆弧设计，易于清洁、无卫生死角，工作室内隔板可随意调节高度。</w:t>
      </w:r>
    </w:p>
    <w:p w14:paraId="52FE46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 控温系统采用微电脑单片机技术，液晶屏显示，具有控温、定时、超温报警等功能。时间设定范围为：0-9999分钟。</w:t>
      </w:r>
    </w:p>
    <w:p w14:paraId="369955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 智能水位控制，声光提醒用户加水是否到位，防治缺水。</w:t>
      </w:r>
    </w:p>
    <w:p w14:paraId="304968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 工作室三面采用水套加热，顶部装有低噪音小型风机促使空气循环，保证工作室内温度均匀。</w:t>
      </w:r>
    </w:p>
    <w:p w14:paraId="3FD94D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 双门设计，打开大门可通过内部玻璃门观察内部物体，大门采用磁性密封条，开启方便，密封良好。</w:t>
      </w:r>
    </w:p>
    <w:p w14:paraId="25B0AC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6. 控温范围 RT+ 5-65度  温度精度0.1度</w:t>
      </w:r>
    </w:p>
    <w:p w14:paraId="478CF0CD">
      <w:pPr>
        <w:pageBreakBefore w:val="0"/>
        <w:kinsoku/>
        <w:wordWrap/>
        <w:topLinePunct w:val="0"/>
        <w:bidi w:val="0"/>
        <w:spacing w:line="360" w:lineRule="auto"/>
        <w:rPr>
          <w:rFonts w:hint="eastAsia" w:ascii="仿宋" w:hAnsi="仿宋" w:eastAsia="仿宋" w:cs="仿宋"/>
          <w:bCs/>
          <w:sz w:val="30"/>
          <w:szCs w:val="30"/>
        </w:rPr>
      </w:pPr>
    </w:p>
    <w:p w14:paraId="73D1609C">
      <w:pPr>
        <w:pageBreakBefore w:val="0"/>
        <w:kinsoku/>
        <w:wordWrap/>
        <w:topLinePunct w:val="0"/>
        <w:bidi w:val="0"/>
        <w:spacing w:line="360" w:lineRule="auto"/>
        <w:rPr>
          <w:rFonts w:hint="eastAsia" w:ascii="仿宋" w:hAnsi="仿宋" w:eastAsia="仿宋" w:cs="仿宋"/>
          <w:bCs/>
          <w:sz w:val="30"/>
          <w:szCs w:val="30"/>
        </w:rPr>
      </w:pPr>
    </w:p>
    <w:p w14:paraId="06D18380">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十</w:t>
      </w:r>
      <w:r>
        <w:rPr>
          <w:rFonts w:hint="eastAsia" w:ascii="仿宋" w:hAnsi="仿宋" w:eastAsia="仿宋" w:cs="仿宋"/>
          <w:bCs/>
          <w:sz w:val="30"/>
          <w:szCs w:val="30"/>
          <w:lang w:val="en-US" w:eastAsia="zh-CN"/>
        </w:rPr>
        <w:t>九</w:t>
      </w:r>
      <w:r>
        <w:rPr>
          <w:rFonts w:hint="eastAsia" w:ascii="仿宋" w:hAnsi="仿宋" w:eastAsia="仿宋" w:cs="仿宋"/>
          <w:bCs/>
          <w:sz w:val="30"/>
          <w:szCs w:val="30"/>
        </w:rPr>
        <w:t>：</w:t>
      </w:r>
    </w:p>
    <w:p w14:paraId="4ABA5FF5">
      <w:pPr>
        <w:pStyle w:val="9"/>
        <w:pageBreakBefore w:val="0"/>
        <w:kinsoku/>
        <w:wordWrap/>
        <w:topLinePunct w:val="0"/>
        <w:bidi w:val="0"/>
        <w:spacing w:line="360" w:lineRule="auto"/>
        <w:ind w:firstLine="3200" w:firstLineChars="1000"/>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t>离心机技术参数</w:t>
      </w:r>
    </w:p>
    <w:p w14:paraId="10CEC90F">
      <w:pPr>
        <w:pageBreakBefore w:val="0"/>
        <w:widowControl/>
        <w:kinsoku/>
        <w:wordWrap/>
        <w:topLinePunct w:val="0"/>
        <w:bidi w:val="0"/>
        <w:spacing w:before="100" w:beforeAutospacing="1" w:after="180" w:line="360"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台式全钢结构，不锈钢离心腔。</w:t>
      </w:r>
    </w:p>
    <w:p w14:paraId="7D3F914E">
      <w:pPr>
        <w:pageBreakBefore w:val="0"/>
        <w:widowControl/>
        <w:kinsoku/>
        <w:wordWrap/>
        <w:topLinePunct w:val="0"/>
        <w:bidi w:val="0"/>
        <w:spacing w:before="100" w:beforeAutospacing="1" w:after="180" w:line="360"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微电脑控制、数码显示。无碳刷直流无极调速电机驱动。</w:t>
      </w:r>
    </w:p>
    <w:p w14:paraId="363C08DA">
      <w:pPr>
        <w:pageBreakBefore w:val="0"/>
        <w:widowControl/>
        <w:kinsoku/>
        <w:wordWrap/>
        <w:topLinePunct w:val="0"/>
        <w:bidi w:val="0"/>
        <w:spacing w:before="100" w:beforeAutospacing="1" w:after="180" w:line="360"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大液晶屏显示：模式、时间、转速、离心力，转速/离心力可互设、同步直现。</w:t>
      </w:r>
    </w:p>
    <w:p w14:paraId="5BA13899">
      <w:pPr>
        <w:pageBreakBefore w:val="0"/>
        <w:widowControl/>
        <w:kinsoku/>
        <w:wordWrap/>
        <w:topLinePunct w:val="0"/>
        <w:bidi w:val="0"/>
        <w:spacing w:before="100" w:beforeAutospacing="1" w:after="180" w:line="360"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双锁结构（机械锁加电子锁），安全可靠，电机启动电子锁自动上锁。</w:t>
      </w:r>
    </w:p>
    <w:p w14:paraId="5A925C76">
      <w:pPr>
        <w:pageBreakBefore w:val="0"/>
        <w:widowControl/>
        <w:kinsoku/>
        <w:wordWrap/>
        <w:topLinePunct w:val="0"/>
        <w:bidi w:val="0"/>
        <w:spacing w:before="100" w:beforeAutospacing="1" w:after="180" w:line="360"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自动配平，最大不平衡偏重30克。</w:t>
      </w:r>
    </w:p>
    <w:p w14:paraId="12C7BFDB">
      <w:pPr>
        <w:pageBreakBefore w:val="0"/>
        <w:widowControl/>
        <w:kinsoku/>
        <w:wordWrap/>
        <w:topLinePunct w:val="0"/>
        <w:bidi w:val="0"/>
        <w:spacing w:before="100" w:beforeAutospacing="1" w:after="180" w:line="360"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运行中可随时改变工作参数，无需停机。</w:t>
      </w:r>
    </w:p>
    <w:p w14:paraId="03019916">
      <w:pPr>
        <w:pageBreakBefore w:val="0"/>
        <w:widowControl/>
        <w:kinsoku/>
        <w:wordWrap/>
        <w:topLinePunct w:val="0"/>
        <w:bidi w:val="0"/>
        <w:spacing w:before="100" w:beforeAutospacing="1" w:after="180"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kern w:val="0"/>
          <w:sz w:val="24"/>
          <w:szCs w:val="24"/>
          <w:lang w:bidi="ar"/>
        </w:rPr>
        <w:t>10种升降速选择，</w:t>
      </w:r>
      <w:r>
        <w:rPr>
          <w:rFonts w:hint="eastAsia" w:ascii="仿宋" w:hAnsi="仿宋" w:eastAsia="仿宋" w:cs="仿宋"/>
          <w:sz w:val="24"/>
          <w:szCs w:val="24"/>
        </w:rPr>
        <w:t>≥</w:t>
      </w:r>
      <w:r>
        <w:rPr>
          <w:rFonts w:hint="eastAsia" w:ascii="仿宋" w:hAnsi="仿宋" w:eastAsia="仿宋" w:cs="仿宋"/>
          <w:kern w:val="0"/>
          <w:sz w:val="24"/>
          <w:szCs w:val="24"/>
          <w:lang w:bidi="ar"/>
        </w:rPr>
        <w:t>10种自定义工作模式，多重人性化设计。</w:t>
      </w:r>
    </w:p>
    <w:p w14:paraId="0A1C4293">
      <w:pPr>
        <w:pageBreakBefore w:val="0"/>
        <w:widowControl/>
        <w:kinsoku/>
        <w:wordWrap/>
        <w:topLinePunct w:val="0"/>
        <w:bidi w:val="0"/>
        <w:spacing w:before="100" w:beforeAutospacing="1" w:after="180" w:line="360" w:lineRule="auto"/>
        <w:rPr>
          <w:rFonts w:hint="eastAsia" w:ascii="仿宋" w:hAnsi="仿宋" w:eastAsia="仿宋" w:cs="仿宋"/>
          <w:sz w:val="24"/>
          <w:szCs w:val="24"/>
        </w:rPr>
      </w:pPr>
      <w:r>
        <w:rPr>
          <w:rFonts w:hint="eastAsia" w:ascii="仿宋" w:hAnsi="仿宋" w:eastAsia="仿宋" w:cs="仿宋"/>
          <w:kern w:val="0"/>
          <w:sz w:val="24"/>
          <w:szCs w:val="24"/>
          <w:lang w:bidi="ar"/>
        </w:rPr>
        <w:t>最高转速：</w:t>
      </w:r>
      <w:r>
        <w:rPr>
          <w:rFonts w:hint="eastAsia" w:ascii="仿宋" w:hAnsi="仿宋" w:eastAsia="仿宋" w:cs="仿宋"/>
          <w:sz w:val="24"/>
          <w:szCs w:val="24"/>
        </w:rPr>
        <w:t>≥</w:t>
      </w:r>
      <w:r>
        <w:rPr>
          <w:rFonts w:hint="eastAsia" w:ascii="仿宋" w:hAnsi="仿宋" w:eastAsia="仿宋" w:cs="仿宋"/>
          <w:kern w:val="0"/>
          <w:sz w:val="24"/>
          <w:szCs w:val="24"/>
          <w:lang w:bidi="ar"/>
        </w:rPr>
        <w:t>6000转/分</w:t>
      </w:r>
    </w:p>
    <w:p w14:paraId="35B42AF4">
      <w:pPr>
        <w:pageBreakBefore w:val="0"/>
        <w:widowControl/>
        <w:kinsoku/>
        <w:wordWrap/>
        <w:topLinePunct w:val="0"/>
        <w:bidi w:val="0"/>
        <w:spacing w:before="100" w:beforeAutospacing="1" w:after="180" w:line="360" w:lineRule="auto"/>
        <w:rPr>
          <w:rFonts w:hint="eastAsia" w:ascii="仿宋" w:hAnsi="仿宋" w:eastAsia="仿宋" w:cs="仿宋"/>
          <w:sz w:val="24"/>
          <w:szCs w:val="24"/>
        </w:rPr>
      </w:pPr>
      <w:r>
        <w:rPr>
          <w:rFonts w:hint="eastAsia" w:ascii="仿宋" w:hAnsi="仿宋" w:eastAsia="仿宋" w:cs="仿宋"/>
          <w:kern w:val="0"/>
          <w:sz w:val="24"/>
          <w:szCs w:val="24"/>
          <w:lang w:bidi="ar"/>
        </w:rPr>
        <w:t>最大相对离心力：</w:t>
      </w:r>
      <w:r>
        <w:rPr>
          <w:rFonts w:hint="eastAsia" w:ascii="仿宋" w:hAnsi="仿宋" w:eastAsia="仿宋" w:cs="仿宋"/>
          <w:sz w:val="24"/>
          <w:szCs w:val="24"/>
        </w:rPr>
        <w:t>≥</w:t>
      </w:r>
      <w:r>
        <w:rPr>
          <w:rFonts w:hint="eastAsia" w:ascii="仿宋" w:hAnsi="仿宋" w:eastAsia="仿宋" w:cs="仿宋"/>
          <w:kern w:val="0"/>
          <w:sz w:val="24"/>
          <w:szCs w:val="24"/>
          <w:lang w:bidi="ar"/>
        </w:rPr>
        <w:t>5000g</w:t>
      </w:r>
    </w:p>
    <w:p w14:paraId="29144623">
      <w:pPr>
        <w:pageBreakBefore w:val="0"/>
        <w:widowControl/>
        <w:kinsoku/>
        <w:wordWrap/>
        <w:topLinePunct w:val="0"/>
        <w:bidi w:val="0"/>
        <w:spacing w:before="100" w:beforeAutospacing="1" w:after="180" w:line="360" w:lineRule="auto"/>
        <w:rPr>
          <w:rFonts w:hint="eastAsia" w:ascii="仿宋" w:hAnsi="仿宋" w:eastAsia="仿宋" w:cs="仿宋"/>
          <w:sz w:val="24"/>
          <w:szCs w:val="24"/>
        </w:rPr>
      </w:pPr>
      <w:r>
        <w:rPr>
          <w:rFonts w:hint="eastAsia" w:ascii="仿宋" w:hAnsi="仿宋" w:eastAsia="仿宋" w:cs="仿宋"/>
          <w:kern w:val="0"/>
          <w:sz w:val="24"/>
          <w:szCs w:val="24"/>
          <w:lang w:bidi="ar"/>
        </w:rPr>
        <w:t>转速精度：</w:t>
      </w:r>
      <w:r>
        <w:rPr>
          <w:rFonts w:hint="eastAsia" w:ascii="仿宋" w:hAnsi="仿宋" w:eastAsia="仿宋" w:cs="仿宋"/>
          <w:sz w:val="24"/>
          <w:szCs w:val="24"/>
        </w:rPr>
        <w:t>≤±</w:t>
      </w:r>
      <w:r>
        <w:rPr>
          <w:rFonts w:hint="eastAsia" w:ascii="仿宋" w:hAnsi="仿宋" w:eastAsia="仿宋" w:cs="仿宋"/>
          <w:kern w:val="0"/>
          <w:sz w:val="24"/>
          <w:szCs w:val="24"/>
          <w:lang w:bidi="ar"/>
        </w:rPr>
        <w:t>10转/分</w:t>
      </w:r>
    </w:p>
    <w:p w14:paraId="11DE0D07">
      <w:pPr>
        <w:pageBreakBefore w:val="0"/>
        <w:widowControl/>
        <w:kinsoku/>
        <w:wordWrap/>
        <w:topLinePunct w:val="0"/>
        <w:bidi w:val="0"/>
        <w:spacing w:before="100" w:beforeAutospacing="1" w:after="180" w:line="360" w:lineRule="auto"/>
        <w:rPr>
          <w:rFonts w:hint="eastAsia" w:ascii="仿宋" w:hAnsi="仿宋" w:eastAsia="仿宋" w:cs="仿宋"/>
          <w:sz w:val="24"/>
          <w:szCs w:val="24"/>
        </w:rPr>
      </w:pPr>
      <w:r>
        <w:rPr>
          <w:rFonts w:hint="eastAsia" w:ascii="仿宋" w:hAnsi="仿宋" w:eastAsia="仿宋" w:cs="仿宋"/>
          <w:kern w:val="0"/>
          <w:sz w:val="24"/>
          <w:szCs w:val="24"/>
          <w:lang w:bidi="ar"/>
        </w:rPr>
        <w:t>定时范围：1-9999分/连续/可短暂离心</w:t>
      </w:r>
    </w:p>
    <w:p w14:paraId="0437861F">
      <w:pPr>
        <w:pageBreakBefore w:val="0"/>
        <w:widowControl/>
        <w:kinsoku/>
        <w:wordWrap/>
        <w:topLinePunct w:val="0"/>
        <w:bidi w:val="0"/>
        <w:spacing w:before="100" w:beforeAutospacing="1" w:after="180" w:line="360" w:lineRule="auto"/>
        <w:rPr>
          <w:rFonts w:hint="eastAsia" w:ascii="仿宋" w:hAnsi="仿宋" w:eastAsia="仿宋" w:cs="仿宋"/>
          <w:b/>
          <w:bCs/>
          <w:sz w:val="24"/>
          <w:szCs w:val="24"/>
        </w:rPr>
      </w:pPr>
      <w:r>
        <w:rPr>
          <w:rFonts w:hint="eastAsia" w:ascii="仿宋" w:hAnsi="仿宋" w:eastAsia="仿宋" w:cs="仿宋"/>
          <w:b/>
          <w:bCs/>
          <w:kern w:val="0"/>
          <w:sz w:val="24"/>
          <w:szCs w:val="24"/>
          <w:lang w:bidi="ar"/>
        </w:rPr>
        <w:t>水平转子容量：8*100ml</w:t>
      </w:r>
    </w:p>
    <w:p w14:paraId="362ED028">
      <w:pPr>
        <w:pageBreakBefore w:val="0"/>
        <w:widowControl/>
        <w:kinsoku/>
        <w:wordWrap/>
        <w:topLinePunct w:val="0"/>
        <w:bidi w:val="0"/>
        <w:spacing w:before="100" w:beforeAutospacing="1" w:after="180" w:line="360" w:lineRule="auto"/>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 xml:space="preserve">标配： 吊杯8*100ml </w:t>
      </w:r>
    </w:p>
    <w:p w14:paraId="000D11DF">
      <w:pPr>
        <w:pageBreakBefore w:val="0"/>
        <w:widowControl/>
        <w:kinsoku/>
        <w:wordWrap/>
        <w:topLinePunct w:val="0"/>
        <w:bidi w:val="0"/>
        <w:spacing w:before="100" w:beforeAutospacing="1" w:after="180" w:line="360" w:lineRule="auto"/>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 xml:space="preserve">提篮： 8*100ml   8*50ml   32*15ml </w:t>
      </w:r>
    </w:p>
    <w:p w14:paraId="561D3BC1">
      <w:pPr>
        <w:pageBreakBefore w:val="0"/>
        <w:widowControl/>
        <w:kinsoku/>
        <w:wordWrap/>
        <w:topLinePunct w:val="0"/>
        <w:bidi w:val="0"/>
        <w:spacing w:before="100" w:beforeAutospacing="1" w:after="180" w:line="360" w:lineRule="auto"/>
        <w:ind w:firstLine="720" w:firstLineChars="300"/>
        <w:rPr>
          <w:rFonts w:hint="eastAsia" w:ascii="仿宋" w:hAnsi="仿宋" w:eastAsia="仿宋" w:cs="仿宋"/>
          <w:b/>
          <w:bCs/>
          <w:sz w:val="24"/>
          <w:szCs w:val="24"/>
        </w:rPr>
      </w:pPr>
      <w:r>
        <w:rPr>
          <w:rFonts w:hint="eastAsia" w:ascii="仿宋" w:hAnsi="仿宋" w:eastAsia="仿宋" w:cs="仿宋"/>
          <w:b/>
          <w:bCs/>
          <w:kern w:val="0"/>
          <w:sz w:val="24"/>
          <w:szCs w:val="24"/>
          <w:lang w:bidi="ar"/>
        </w:rPr>
        <w:t>真空采血管*32 (长管） 真空采血管*32 (短管）</w:t>
      </w:r>
    </w:p>
    <w:p w14:paraId="258CCDB9">
      <w:pPr>
        <w:pStyle w:val="47"/>
        <w:pageBreakBefore w:val="0"/>
        <w:kinsoku/>
        <w:wordWrap/>
        <w:topLinePunct w:val="0"/>
        <w:bidi w:val="0"/>
        <w:spacing w:line="360" w:lineRule="auto"/>
        <w:ind w:left="0" w:leftChars="0" w:firstLine="0" w:firstLineChars="0"/>
        <w:rPr>
          <w:rFonts w:hint="eastAsia" w:ascii="仿宋" w:hAnsi="仿宋" w:eastAsia="仿宋" w:cs="仿宋"/>
          <w:sz w:val="28"/>
          <w:szCs w:val="28"/>
        </w:rPr>
      </w:pPr>
    </w:p>
    <w:p w14:paraId="187F614E">
      <w:pPr>
        <w:pageBreakBefore w:val="0"/>
        <w:kinsoku/>
        <w:wordWrap/>
        <w:topLinePunct w:val="0"/>
        <w:bidi w:val="0"/>
        <w:spacing w:line="360" w:lineRule="auto"/>
        <w:rPr>
          <w:rFonts w:hint="eastAsia" w:ascii="仿宋" w:hAnsi="仿宋" w:eastAsia="仿宋" w:cs="仿宋"/>
        </w:rPr>
      </w:pPr>
    </w:p>
    <w:p w14:paraId="730DB988">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附件三十：</w:t>
      </w:r>
    </w:p>
    <w:p w14:paraId="558CC64E">
      <w:pPr>
        <w:pageBreakBefore w:val="0"/>
        <w:kinsoku/>
        <w:wordWrap/>
        <w:topLinePunct w:val="0"/>
        <w:bidi w:val="0"/>
        <w:spacing w:line="360" w:lineRule="auto"/>
        <w:ind w:firstLine="2880" w:firstLineChars="900"/>
        <w:rPr>
          <w:rFonts w:hint="eastAsia" w:ascii="仿宋" w:hAnsi="仿宋" w:eastAsia="仿宋" w:cs="仿宋"/>
          <w:b/>
          <w:bCs/>
          <w:sz w:val="30"/>
          <w:szCs w:val="30"/>
        </w:rPr>
      </w:pPr>
      <w:r>
        <w:rPr>
          <w:rFonts w:hint="eastAsia" w:ascii="仿宋" w:hAnsi="仿宋" w:eastAsia="仿宋" w:cs="仿宋"/>
          <w:b/>
          <w:bCs/>
          <w:sz w:val="32"/>
          <w:szCs w:val="32"/>
        </w:rPr>
        <w:t>恒温振荡器技术参数</w:t>
      </w:r>
    </w:p>
    <w:p w14:paraId="38E9D9C0">
      <w:pPr>
        <w:pageBreakBefore w:val="0"/>
        <w:kinsoku/>
        <w:wordWrap/>
        <w:topLinePunct w:val="0"/>
        <w:bidi w:val="0"/>
        <w:spacing w:line="360" w:lineRule="auto"/>
        <w:rPr>
          <w:rFonts w:hint="eastAsia" w:ascii="仿宋" w:hAnsi="仿宋" w:eastAsia="仿宋" w:cs="仿宋"/>
        </w:rPr>
      </w:pPr>
    </w:p>
    <w:p w14:paraId="67467566">
      <w:pPr>
        <w:pageBreakBefore w:val="0"/>
        <w:kinsoku/>
        <w:wordWrap/>
        <w:topLinePunct w:val="0"/>
        <w:bidi w:val="0"/>
        <w:spacing w:line="360" w:lineRule="auto"/>
        <w:rPr>
          <w:rFonts w:hint="eastAsia" w:ascii="仿宋" w:hAnsi="仿宋" w:eastAsia="仿宋" w:cs="仿宋"/>
        </w:rPr>
      </w:pPr>
      <w:r>
        <w:rPr>
          <w:rFonts w:hint="eastAsia" w:ascii="仿宋" w:hAnsi="仿宋" w:eastAsia="仿宋" w:cs="仿宋"/>
        </w:rPr>
        <w:t xml:space="preserve">      </w:t>
      </w:r>
    </w:p>
    <w:p w14:paraId="0B996C2B">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温度范围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室温+5C - 150C</w:t>
      </w:r>
    </w:p>
    <w:p w14:paraId="325EB8A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定时时间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1min-99h59min</w:t>
      </w:r>
    </w:p>
    <w:p w14:paraId="3E4D22DC">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控温精度</w:t>
      </w:r>
      <w:r>
        <w:rPr>
          <w:rFonts w:hint="eastAsia" w:ascii="仿宋" w:hAnsi="仿宋" w:eastAsia="仿宋" w:cs="仿宋"/>
          <w:sz w:val="24"/>
          <w:szCs w:val="24"/>
        </w:rPr>
        <w:tab/>
      </w:r>
      <w:r>
        <w:rPr>
          <w:rFonts w:hint="eastAsia" w:ascii="仿宋" w:hAnsi="仿宋" w:eastAsia="仿宋" w:cs="仿宋"/>
          <w:sz w:val="24"/>
          <w:szCs w:val="24"/>
        </w:rPr>
        <w:t>≤ 0.5 C</w:t>
      </w:r>
      <w:r>
        <w:rPr>
          <w:rFonts w:hint="eastAsia" w:ascii="仿宋" w:hAnsi="仿宋" w:eastAsia="仿宋" w:cs="仿宋"/>
          <w:sz w:val="24"/>
          <w:szCs w:val="24"/>
        </w:rPr>
        <w:tab/>
      </w:r>
    </w:p>
    <w:p w14:paraId="5AE94B0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显示精度</w:t>
      </w:r>
      <w:r>
        <w:rPr>
          <w:rFonts w:hint="eastAsia" w:ascii="仿宋" w:hAnsi="仿宋" w:eastAsia="仿宋" w:cs="仿宋"/>
          <w:sz w:val="24"/>
          <w:szCs w:val="24"/>
        </w:rPr>
        <w:tab/>
      </w:r>
      <w:r>
        <w:rPr>
          <w:rFonts w:hint="eastAsia" w:ascii="仿宋" w:hAnsi="仿宋" w:eastAsia="仿宋" w:cs="仿宋"/>
          <w:sz w:val="24"/>
          <w:szCs w:val="24"/>
        </w:rPr>
        <w:t>0.1 C</w:t>
      </w:r>
      <w:r>
        <w:rPr>
          <w:rFonts w:hint="eastAsia" w:ascii="仿宋" w:hAnsi="仿宋" w:eastAsia="仿宋" w:cs="仿宋"/>
          <w:sz w:val="24"/>
          <w:szCs w:val="24"/>
        </w:rPr>
        <w:tab/>
      </w:r>
    </w:p>
    <w:p w14:paraId="5040142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温度均匀性</w:t>
      </w:r>
      <w:r>
        <w:rPr>
          <w:rFonts w:hint="eastAsia" w:ascii="仿宋" w:hAnsi="仿宋" w:eastAsia="仿宋" w:cs="仿宋"/>
          <w:sz w:val="24"/>
          <w:szCs w:val="24"/>
        </w:rPr>
        <w:tab/>
      </w:r>
      <w:r>
        <w:rPr>
          <w:rFonts w:hint="eastAsia" w:ascii="仿宋" w:hAnsi="仿宋" w:eastAsia="仿宋" w:cs="仿宋"/>
          <w:sz w:val="24"/>
          <w:szCs w:val="24"/>
        </w:rPr>
        <w:t>≤ 0.5 C</w:t>
      </w:r>
      <w:r>
        <w:rPr>
          <w:rFonts w:hint="eastAsia" w:ascii="仿宋" w:hAnsi="仿宋" w:eastAsia="仿宋" w:cs="仿宋"/>
          <w:sz w:val="24"/>
          <w:szCs w:val="24"/>
        </w:rPr>
        <w:tab/>
      </w:r>
    </w:p>
    <w:p w14:paraId="010304C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升温时间（25C-100C）</w:t>
      </w:r>
      <w:r>
        <w:rPr>
          <w:rFonts w:hint="eastAsia" w:ascii="仿宋" w:hAnsi="仿宋" w:eastAsia="仿宋" w:cs="仿宋"/>
          <w:sz w:val="24"/>
          <w:szCs w:val="24"/>
        </w:rPr>
        <w:tab/>
      </w:r>
      <w:r>
        <w:rPr>
          <w:rFonts w:hint="eastAsia" w:ascii="仿宋" w:hAnsi="仿宋" w:eastAsia="仿宋" w:cs="仿宋"/>
          <w:sz w:val="24"/>
          <w:szCs w:val="24"/>
        </w:rPr>
        <w:t>≤10分钟</w:t>
      </w:r>
      <w:r>
        <w:rPr>
          <w:rFonts w:hint="eastAsia" w:ascii="仿宋" w:hAnsi="仿宋" w:eastAsia="仿宋" w:cs="仿宋"/>
          <w:sz w:val="24"/>
          <w:szCs w:val="24"/>
        </w:rPr>
        <w:tab/>
      </w:r>
    </w:p>
    <w:p w14:paraId="3B53718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模块数量</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2个</w:t>
      </w:r>
      <w:r>
        <w:rPr>
          <w:rFonts w:hint="eastAsia" w:ascii="仿宋" w:hAnsi="仿宋" w:eastAsia="仿宋" w:cs="仿宋"/>
          <w:sz w:val="24"/>
          <w:szCs w:val="24"/>
        </w:rPr>
        <w:tab/>
      </w:r>
    </w:p>
    <w:p w14:paraId="174EF1B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加热功率</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≥400W</w:t>
      </w:r>
      <w:r>
        <w:rPr>
          <w:rFonts w:hint="eastAsia" w:ascii="仿宋" w:hAnsi="仿宋" w:eastAsia="仿宋" w:cs="仿宋"/>
          <w:sz w:val="24"/>
          <w:szCs w:val="24"/>
        </w:rPr>
        <w:tab/>
      </w:r>
    </w:p>
    <w:p w14:paraId="7B60A3CE">
      <w:pPr>
        <w:pStyle w:val="6"/>
        <w:pageBreakBefore w:val="0"/>
        <w:kinsoku/>
        <w:wordWrap/>
        <w:topLinePunct w:val="0"/>
        <w:bidi w:val="0"/>
        <w:spacing w:line="360" w:lineRule="auto"/>
        <w:rPr>
          <w:rFonts w:hint="eastAsia" w:ascii="仿宋" w:hAnsi="仿宋" w:eastAsia="仿宋" w:cs="仿宋"/>
        </w:rPr>
      </w:pPr>
    </w:p>
    <w:p w14:paraId="67777676">
      <w:pPr>
        <w:rPr>
          <w:rFonts w:hint="eastAsia" w:ascii="仿宋" w:hAnsi="仿宋" w:eastAsia="仿宋" w:cs="仿宋"/>
        </w:rPr>
      </w:pPr>
    </w:p>
    <w:p w14:paraId="31FA8967">
      <w:pPr>
        <w:pStyle w:val="6"/>
        <w:rPr>
          <w:rFonts w:hint="eastAsia"/>
        </w:rPr>
      </w:pPr>
    </w:p>
    <w:p w14:paraId="4B49C4AF">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附件三十</w:t>
      </w:r>
      <w:r>
        <w:rPr>
          <w:rFonts w:hint="eastAsia" w:ascii="仿宋" w:hAnsi="仿宋" w:eastAsia="仿宋" w:cs="仿宋"/>
          <w:bCs/>
          <w:sz w:val="30"/>
          <w:szCs w:val="30"/>
          <w:lang w:val="en-US" w:eastAsia="zh-CN"/>
        </w:rPr>
        <w:t>一</w:t>
      </w:r>
      <w:r>
        <w:rPr>
          <w:rFonts w:hint="eastAsia" w:ascii="仿宋" w:hAnsi="仿宋" w:eastAsia="仿宋" w:cs="仿宋"/>
          <w:bCs/>
          <w:sz w:val="30"/>
          <w:szCs w:val="30"/>
        </w:rPr>
        <w:t>：</w:t>
      </w:r>
    </w:p>
    <w:p w14:paraId="6619D038">
      <w:pPr>
        <w:pageBreakBefore w:val="0"/>
        <w:kinsoku/>
        <w:wordWrap/>
        <w:topLinePunct w:val="0"/>
        <w:bidi w:val="0"/>
        <w:spacing w:line="360" w:lineRule="auto"/>
        <w:rPr>
          <w:rFonts w:hint="eastAsia" w:ascii="仿宋" w:hAnsi="仿宋" w:eastAsia="仿宋" w:cs="仿宋"/>
        </w:rPr>
      </w:pPr>
    </w:p>
    <w:p w14:paraId="30B0B119">
      <w:pPr>
        <w:pageBreakBefore w:val="0"/>
        <w:kinsoku/>
        <w:wordWrap/>
        <w:topLinePunct w:val="0"/>
        <w:bidi w:val="0"/>
        <w:spacing w:line="360" w:lineRule="auto"/>
        <w:rPr>
          <w:rFonts w:hint="eastAsia" w:ascii="仿宋" w:hAnsi="仿宋" w:eastAsia="仿宋" w:cs="仿宋"/>
        </w:rPr>
      </w:pPr>
    </w:p>
    <w:p w14:paraId="5B8136BB">
      <w:pPr>
        <w:pageBreakBefore w:val="0"/>
        <w:kinsoku/>
        <w:wordWrap/>
        <w:topLinePunct w:val="0"/>
        <w:bidi w:val="0"/>
        <w:spacing w:line="360" w:lineRule="auto"/>
        <w:ind w:firstLine="2880" w:firstLineChars="900"/>
        <w:rPr>
          <w:rFonts w:hint="eastAsia" w:ascii="仿宋" w:hAnsi="仿宋" w:eastAsia="仿宋" w:cs="仿宋"/>
          <w:b/>
          <w:bCs/>
          <w:sz w:val="32"/>
          <w:szCs w:val="32"/>
        </w:rPr>
      </w:pPr>
      <w:r>
        <w:rPr>
          <w:rFonts w:hint="eastAsia" w:ascii="仿宋" w:hAnsi="仿宋" w:eastAsia="仿宋" w:cs="仿宋"/>
          <w:b/>
          <w:bCs/>
          <w:sz w:val="32"/>
          <w:szCs w:val="32"/>
        </w:rPr>
        <w:t>自动染色机技术参数</w:t>
      </w:r>
    </w:p>
    <w:p w14:paraId="13C3B5A4">
      <w:pPr>
        <w:pStyle w:val="6"/>
        <w:rPr>
          <w:rFonts w:hint="eastAsia"/>
        </w:rPr>
      </w:pPr>
    </w:p>
    <w:p w14:paraId="6720875C">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1、站点数量：总站点数≥25个</w:t>
      </w:r>
    </w:p>
    <w:p w14:paraId="69F1BD92">
      <w:pPr>
        <w:pageBreakBefore w:val="0"/>
        <w:kinsoku/>
        <w:wordWrap/>
        <w:topLinePunct w:val="0"/>
        <w:bidi w:val="0"/>
        <w:spacing w:line="360" w:lineRule="auto"/>
        <w:ind w:left="719" w:leftChars="114" w:hanging="480" w:hangingChars="200"/>
        <w:rPr>
          <w:rFonts w:hint="eastAsia" w:ascii="仿宋" w:hAnsi="仿宋" w:eastAsia="仿宋" w:cs="仿宋"/>
          <w:sz w:val="24"/>
          <w:szCs w:val="24"/>
        </w:rPr>
      </w:pPr>
      <w:r>
        <w:rPr>
          <w:rFonts w:hint="eastAsia" w:ascii="仿宋" w:hAnsi="仿宋" w:eastAsia="仿宋" w:cs="仿宋"/>
          <w:sz w:val="24"/>
          <w:szCs w:val="24"/>
        </w:rPr>
        <w:t>2、包含≥4个水洗站点、1个烤箱、4个加载/卸载站点（任意设定）、≥12个试剂缸</w:t>
      </w:r>
    </w:p>
    <w:p w14:paraId="165C0222">
      <w:pPr>
        <w:pageBreakBefore w:val="0"/>
        <w:kinsoku/>
        <w:wordWrap/>
        <w:topLinePunct w:val="0"/>
        <w:bidi w:val="0"/>
        <w:spacing w:line="360" w:lineRule="auto"/>
        <w:ind w:left="719" w:leftChars="114" w:hanging="480" w:hangingChars="200"/>
        <w:rPr>
          <w:rFonts w:hint="eastAsia" w:ascii="仿宋" w:hAnsi="仿宋" w:eastAsia="仿宋" w:cs="仿宋"/>
          <w:sz w:val="24"/>
          <w:szCs w:val="24"/>
        </w:rPr>
      </w:pPr>
      <w:r>
        <w:rPr>
          <w:rFonts w:hint="eastAsia" w:ascii="仿宋" w:hAnsi="仿宋" w:eastAsia="仿宋" w:cs="仿宋"/>
          <w:sz w:val="24"/>
          <w:szCs w:val="24"/>
        </w:rPr>
        <w:t>3、≥4个加温试剂缸</w:t>
      </w:r>
    </w:p>
    <w:p w14:paraId="51A91240">
      <w:pPr>
        <w:pageBreakBefore w:val="0"/>
        <w:kinsoku/>
        <w:wordWrap/>
        <w:topLinePunct w:val="0"/>
        <w:bidi w:val="0"/>
        <w:spacing w:line="360" w:lineRule="auto"/>
        <w:ind w:left="719" w:leftChars="114" w:hanging="480" w:hangingChars="200"/>
        <w:rPr>
          <w:rFonts w:hint="eastAsia" w:ascii="仿宋" w:hAnsi="仿宋" w:eastAsia="仿宋" w:cs="仿宋"/>
          <w:sz w:val="24"/>
          <w:szCs w:val="24"/>
        </w:rPr>
      </w:pPr>
      <w:r>
        <w:rPr>
          <w:rFonts w:hint="eastAsia" w:ascii="仿宋" w:hAnsi="仿宋" w:eastAsia="仿宋" w:cs="仿宋"/>
          <w:sz w:val="24"/>
          <w:szCs w:val="24"/>
        </w:rPr>
        <w:t>4、XYZ三轴机械手组合运动，高度智能的多线程任务调度程序，工作效率高，可同时运行≥12个染色程序</w:t>
      </w:r>
    </w:p>
    <w:p w14:paraId="524A67AB">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5、≥8寸彩色触摸屏</w:t>
      </w:r>
    </w:p>
    <w:p w14:paraId="4F965E65">
      <w:pPr>
        <w:pageBreakBefore w:val="0"/>
        <w:kinsoku/>
        <w:wordWrap/>
        <w:topLinePunct w:val="0"/>
        <w:bidi w:val="0"/>
        <w:spacing w:line="360" w:lineRule="auto"/>
        <w:ind w:left="698" w:leftChars="104" w:hanging="480" w:hangingChars="200"/>
        <w:rPr>
          <w:rFonts w:hint="eastAsia" w:ascii="仿宋" w:hAnsi="仿宋" w:eastAsia="仿宋" w:cs="仿宋"/>
          <w:sz w:val="24"/>
          <w:szCs w:val="24"/>
        </w:rPr>
      </w:pPr>
      <w:r>
        <w:rPr>
          <w:rFonts w:hint="eastAsia" w:ascii="仿宋" w:hAnsi="仿宋" w:eastAsia="仿宋" w:cs="仿宋"/>
          <w:sz w:val="24"/>
          <w:szCs w:val="24"/>
        </w:rPr>
        <w:t>6、染色程序可编程并存储：≥200个，每个程序可设置≥50个步骤，每个步骤可设置时间为：1s～59min59s；；可同时运行多个程序，可进行常规HE染色、快速冰冻HE染色及细胞学染色。</w:t>
      </w:r>
    </w:p>
    <w:p w14:paraId="27B0FB70">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7、主界面可设置≥4个快捷程序</w:t>
      </w:r>
    </w:p>
    <w:p w14:paraId="06117E62">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8、具有断电记忆功能，来电后提醒用户选择继续染色或者重新染色</w:t>
      </w:r>
    </w:p>
    <w:p w14:paraId="03108329">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9、根据水压可调节水流量，保证洗涤充分。</w:t>
      </w:r>
    </w:p>
    <w:p w14:paraId="3D7EEC48">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10、按需供水，程序智能控制供水或断水。</w:t>
      </w:r>
    </w:p>
    <w:p w14:paraId="4E504C50">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11、设备运行过程中可随时“暂停”或“启动”正在运行的程序</w:t>
      </w:r>
    </w:p>
    <w:p w14:paraId="6B69D363">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12、根据试剂使用时间、染色片数智能调整染色时间</w:t>
      </w:r>
    </w:p>
    <w:p w14:paraId="027FC269">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13、运行速度快，可以完成1s分化操作。</w:t>
      </w:r>
    </w:p>
    <w:p w14:paraId="2AF5D8CB">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14、设备运行中可随时撤销正在运行的染色程序，也可根据需要将已撤销的程序恢复运行，恢复后的程序将从撤销前的状态继续运行</w:t>
      </w:r>
    </w:p>
    <w:p w14:paraId="6E0298B6">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15、染色时间自动调节功能</w:t>
      </w:r>
    </w:p>
    <w:p w14:paraId="0DB93C36">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16、可视的平面结构，方便观察各缸位的液面高度；内置LED灯照明，方便观察染色过程。</w:t>
      </w:r>
    </w:p>
    <w:p w14:paraId="2E24DAD3">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17、设备在运行中，外罩异常打开报警，机械手停止运行</w:t>
      </w:r>
    </w:p>
    <w:p w14:paraId="5948C4F2">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18、内嵌空气净化功能</w:t>
      </w:r>
    </w:p>
    <w:p w14:paraId="38D18F8E">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19、具备试剂更换管理系统;</w:t>
      </w:r>
    </w:p>
    <w:p w14:paraId="03163E82">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20、玻片架容量：≥30片。</w:t>
      </w:r>
    </w:p>
    <w:p w14:paraId="2AF2214A">
      <w:pPr>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21、试剂容器容量：450±50ml。</w:t>
      </w:r>
    </w:p>
    <w:p w14:paraId="3D124F12">
      <w:pPr>
        <w:pageBreakBefore w:val="0"/>
        <w:kinsoku/>
        <w:wordWrap/>
        <w:topLinePunct w:val="0"/>
        <w:bidi w:val="0"/>
        <w:spacing w:line="360" w:lineRule="auto"/>
        <w:rPr>
          <w:rFonts w:hint="eastAsia" w:ascii="仿宋" w:hAnsi="仿宋" w:eastAsia="仿宋" w:cs="仿宋"/>
          <w:bCs/>
          <w:sz w:val="30"/>
          <w:szCs w:val="30"/>
        </w:rPr>
      </w:pPr>
    </w:p>
    <w:p w14:paraId="18256338">
      <w:pPr>
        <w:pageBreakBefore w:val="0"/>
        <w:kinsoku/>
        <w:wordWrap/>
        <w:topLinePunct w:val="0"/>
        <w:bidi w:val="0"/>
        <w:spacing w:line="360" w:lineRule="auto"/>
        <w:rPr>
          <w:rFonts w:hint="eastAsia" w:ascii="仿宋" w:hAnsi="仿宋" w:eastAsia="仿宋" w:cs="仿宋"/>
          <w:bCs/>
          <w:sz w:val="30"/>
          <w:szCs w:val="30"/>
        </w:rPr>
      </w:pPr>
    </w:p>
    <w:p w14:paraId="2DBE934C">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三</w:t>
      </w:r>
      <w:r>
        <w:rPr>
          <w:rFonts w:hint="eastAsia" w:ascii="仿宋" w:hAnsi="仿宋" w:eastAsia="仿宋" w:cs="仿宋"/>
          <w:bCs/>
          <w:sz w:val="30"/>
          <w:szCs w:val="30"/>
        </w:rPr>
        <w:t>十</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w:t>
      </w:r>
    </w:p>
    <w:p w14:paraId="5AD1EE92">
      <w:pPr>
        <w:pStyle w:val="3"/>
        <w:pageBreakBefore w:val="0"/>
        <w:kinsoku/>
        <w:wordWrap/>
        <w:topLinePunct w:val="0"/>
        <w:bidi w:val="0"/>
        <w:spacing w:line="360" w:lineRule="auto"/>
        <w:ind w:firstLine="2240" w:firstLineChars="700"/>
        <w:jc w:val="both"/>
        <w:rPr>
          <w:rFonts w:hint="eastAsia" w:ascii="仿宋" w:hAnsi="仿宋" w:eastAsia="仿宋" w:cs="仿宋"/>
          <w:b/>
          <w:bCs w:val="0"/>
          <w:sz w:val="32"/>
          <w:szCs w:val="32"/>
        </w:rPr>
      </w:pPr>
      <w:r>
        <w:rPr>
          <w:rFonts w:hint="eastAsia" w:ascii="仿宋" w:hAnsi="仿宋" w:eastAsia="仿宋" w:cs="仿宋"/>
          <w:b/>
          <w:bCs w:val="0"/>
          <w:sz w:val="32"/>
          <w:szCs w:val="21"/>
        </w:rPr>
        <w:t>手持式麻醉视频喉镜技术参数</w:t>
      </w:r>
    </w:p>
    <w:p w14:paraId="79D621BE">
      <w:pPr>
        <w:pStyle w:val="39"/>
        <w:pageBreakBefore w:val="0"/>
        <w:numPr>
          <w:ilvl w:val="0"/>
          <w:numId w:val="31"/>
        </w:numPr>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喉镜与显示屏一体化结构</w:t>
      </w:r>
    </w:p>
    <w:p w14:paraId="458CE82F">
      <w:pPr>
        <w:pStyle w:val="39"/>
        <w:pageBreakBefore w:val="0"/>
        <w:numPr>
          <w:ilvl w:val="0"/>
          <w:numId w:val="31"/>
        </w:numPr>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全防水设计，可浸泡消毒</w:t>
      </w:r>
    </w:p>
    <w:p w14:paraId="4B18834D">
      <w:pPr>
        <w:pStyle w:val="39"/>
        <w:pageBreakBefore w:val="0"/>
        <w:kinsoku/>
        <w:wordWrap/>
        <w:topLinePunct w:val="0"/>
        <w:bidi w:val="0"/>
        <w:spacing w:line="360" w:lineRule="auto"/>
        <w:ind w:left="210" w:leftChars="100" w:firstLine="0" w:firstLineChars="0"/>
        <w:rPr>
          <w:rFonts w:hint="eastAsia" w:ascii="仿宋" w:hAnsi="仿宋" w:eastAsia="仿宋" w:cs="仿宋"/>
          <w:sz w:val="24"/>
          <w:szCs w:val="24"/>
        </w:rPr>
      </w:pPr>
      <w:r>
        <w:rPr>
          <w:rFonts w:hint="eastAsia" w:ascii="仿宋" w:hAnsi="仿宋" w:eastAsia="仿宋" w:cs="仿宋"/>
          <w:sz w:val="24"/>
          <w:szCs w:val="24"/>
        </w:rPr>
        <w:t>3、镜片精细化设计，为插管提供更大的空间</w:t>
      </w:r>
    </w:p>
    <w:p w14:paraId="2EE4B118">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4、充电时间≤5h   </w:t>
      </w:r>
    </w:p>
    <w:p w14:paraId="79547919">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5、视频喉镜的全金属框架，机械强度高</w:t>
      </w:r>
    </w:p>
    <w:p w14:paraId="1D2B051D">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6、USB读取与存储，大容量≥16G TF卡  </w:t>
      </w:r>
    </w:p>
    <w:p w14:paraId="5DD8F367">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7、镜头像素：≥300万</w:t>
      </w:r>
    </w:p>
    <w:p w14:paraId="03DA9019">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8、显示器可上下左右双方向旋转</w:t>
      </w:r>
    </w:p>
    <w:p w14:paraId="1D2EB07D">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9、内置电源：可充电电池≥2000mAh</w:t>
      </w:r>
    </w:p>
    <w:p w14:paraId="4DC37278">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10、工作时间：≥200min   </w:t>
      </w:r>
    </w:p>
    <w:p w14:paraId="3ADE2B1D">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11、显示器规格：≥3英寸显示屏</w:t>
      </w:r>
    </w:p>
    <w:p w14:paraId="0C3BF594">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12、背光方式：LED（5Pcs）  </w:t>
      </w:r>
    </w:p>
    <w:p w14:paraId="1A62C303">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13、屏幕比例：4:3</w:t>
      </w:r>
    </w:p>
    <w:p w14:paraId="4EB1D1DC">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14、低电量屏幕显示功能</w:t>
      </w:r>
    </w:p>
    <w:p w14:paraId="18D2FD89">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15、一次性视频喉镜片为进口医用级高分子材料</w:t>
      </w:r>
    </w:p>
    <w:p w14:paraId="7BFA6CF2">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16、视场角：50 -65 º   </w:t>
      </w:r>
    </w:p>
    <w:p w14:paraId="44D36731">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17、景深：50mm-500mm</w:t>
      </w:r>
    </w:p>
    <w:p w14:paraId="399674F2">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18、一支喉镜手柄可与多种不同规格的镜片匹配使用，适用范围广</w:t>
      </w:r>
    </w:p>
    <w:p w14:paraId="7C841C84">
      <w:pPr>
        <w:pStyle w:val="39"/>
        <w:pageBreakBefore w:val="0"/>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19、高清数字化系统芯片</w:t>
      </w:r>
    </w:p>
    <w:p w14:paraId="73A61BFD">
      <w:pPr>
        <w:pStyle w:val="39"/>
        <w:pageBreakBefore w:val="0"/>
        <w:tabs>
          <w:tab w:val="left" w:pos="0"/>
        </w:tabs>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20、一键拍照/录像功能</w:t>
      </w:r>
    </w:p>
    <w:p w14:paraId="32D503CB">
      <w:pPr>
        <w:pStyle w:val="39"/>
        <w:pageBreakBefore w:val="0"/>
        <w:tabs>
          <w:tab w:val="left" w:pos="0"/>
        </w:tabs>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21、光照度：≥150 Lux</w:t>
      </w:r>
    </w:p>
    <w:p w14:paraId="49234660">
      <w:pPr>
        <w:pageBreakBefore w:val="0"/>
        <w:tabs>
          <w:tab w:val="left" w:pos="2062"/>
        </w:tabs>
        <w:kinsoku/>
        <w:wordWrap/>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22、充电指示功能 </w:t>
      </w:r>
    </w:p>
    <w:p w14:paraId="7DBFAFE7">
      <w:pPr>
        <w:pStyle w:val="7"/>
        <w:pageBreakBefore w:val="0"/>
        <w:kinsoku/>
        <w:wordWrap/>
        <w:topLinePunct w:val="0"/>
        <w:bidi w:val="0"/>
        <w:spacing w:line="360" w:lineRule="auto"/>
        <w:rPr>
          <w:rFonts w:hint="eastAsia" w:ascii="仿宋" w:hAnsi="仿宋" w:eastAsia="仿宋" w:cs="仿宋"/>
        </w:rPr>
      </w:pPr>
    </w:p>
    <w:p w14:paraId="1478B56C">
      <w:pPr>
        <w:pageBreakBefore w:val="0"/>
        <w:kinsoku/>
        <w:wordWrap/>
        <w:topLinePunct w:val="0"/>
        <w:bidi w:val="0"/>
        <w:spacing w:line="360" w:lineRule="auto"/>
        <w:rPr>
          <w:rFonts w:hint="eastAsia" w:ascii="仿宋" w:hAnsi="仿宋" w:eastAsia="仿宋" w:cs="仿宋"/>
          <w:bCs/>
          <w:sz w:val="30"/>
          <w:szCs w:val="30"/>
        </w:rPr>
      </w:pPr>
    </w:p>
    <w:p w14:paraId="51C5E1D0">
      <w:pPr>
        <w:pageBreakBefore w:val="0"/>
        <w:kinsoku/>
        <w:wordWrap/>
        <w:topLinePunct w:val="0"/>
        <w:bidi w:val="0"/>
        <w:spacing w:line="360" w:lineRule="auto"/>
        <w:rPr>
          <w:rFonts w:hint="eastAsia" w:ascii="仿宋" w:hAnsi="仿宋" w:eastAsia="仿宋" w:cs="仿宋"/>
          <w:bCs/>
          <w:sz w:val="30"/>
          <w:szCs w:val="30"/>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三十三</w:t>
      </w:r>
      <w:r>
        <w:rPr>
          <w:rFonts w:hint="eastAsia" w:ascii="仿宋" w:hAnsi="仿宋" w:eastAsia="仿宋" w:cs="仿宋"/>
          <w:bCs/>
          <w:sz w:val="30"/>
          <w:szCs w:val="30"/>
        </w:rPr>
        <w:t>：</w:t>
      </w:r>
    </w:p>
    <w:p w14:paraId="4CA6A08C">
      <w:pPr>
        <w:pStyle w:val="2"/>
        <w:pageBreakBefore w:val="0"/>
        <w:numPr>
          <w:ilvl w:val="0"/>
          <w:numId w:val="0"/>
        </w:numPr>
        <w:kinsoku/>
        <w:wordWrap/>
        <w:topLinePunct w:val="0"/>
        <w:bidi w:val="0"/>
        <w:spacing w:line="360" w:lineRule="auto"/>
        <w:ind w:leftChars="900" w:firstLine="1200" w:firstLineChars="400"/>
        <w:jc w:val="both"/>
        <w:rPr>
          <w:rFonts w:hint="eastAsia" w:ascii="仿宋" w:hAnsi="仿宋" w:eastAsia="仿宋" w:cs="仿宋"/>
          <w:color w:val="auto"/>
        </w:rPr>
      </w:pPr>
      <w:r>
        <w:rPr>
          <w:rFonts w:hint="eastAsia" w:ascii="仿宋" w:hAnsi="仿宋" w:eastAsia="仿宋" w:cs="仿宋"/>
          <w:b/>
          <w:color w:val="auto"/>
        </w:rPr>
        <w:t>十二道心电图机技术参数</w:t>
      </w:r>
    </w:p>
    <w:p w14:paraId="7A0F931C">
      <w:pPr>
        <w:pageBreakBefore w:val="0"/>
        <w:kinsoku/>
        <w:wordWrap/>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w:t>一、整机配置</w:t>
      </w:r>
    </w:p>
    <w:p w14:paraId="4582D39E">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、≥10英寸显示屏，支持全屏多点触控</w:t>
      </w:r>
    </w:p>
    <w:p w14:paraId="38AE62D6">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1.2、高清分辨率，显示像素≥1920*1200。</w:t>
      </w:r>
    </w:p>
    <w:p w14:paraId="6BDE86E4">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sz w:val="24"/>
          <w:szCs w:val="24"/>
        </w:rPr>
        <w:t>1.3</w:t>
      </w:r>
      <w:r>
        <w:rPr>
          <w:rFonts w:hint="eastAsia" w:ascii="仿宋" w:hAnsi="仿宋" w:eastAsia="仿宋" w:cs="仿宋"/>
          <w:bCs/>
          <w:sz w:val="24"/>
          <w:szCs w:val="24"/>
        </w:rPr>
        <w:t>、</w:t>
      </w:r>
      <w:r>
        <w:rPr>
          <w:rFonts w:hint="eastAsia" w:ascii="仿宋" w:hAnsi="仿宋" w:eastAsia="仿宋" w:cs="仿宋"/>
          <w:sz w:val="24"/>
          <w:szCs w:val="24"/>
        </w:rPr>
        <w:t>外部接口：USB接口x2，</w:t>
      </w:r>
      <w:r>
        <w:rPr>
          <w:rFonts w:hint="eastAsia" w:ascii="仿宋" w:hAnsi="仿宋" w:eastAsia="仿宋" w:cs="仿宋"/>
          <w:bCs/>
          <w:sz w:val="24"/>
          <w:szCs w:val="24"/>
        </w:rPr>
        <w:t>18导导联线接口</w:t>
      </w:r>
      <w:r>
        <w:rPr>
          <w:rFonts w:hint="eastAsia" w:ascii="仿宋" w:hAnsi="仿宋" w:eastAsia="仿宋" w:cs="仿宋"/>
          <w:sz w:val="24"/>
          <w:szCs w:val="24"/>
        </w:rPr>
        <w:t>x</w:t>
      </w:r>
      <w:r>
        <w:rPr>
          <w:rFonts w:hint="eastAsia" w:ascii="仿宋" w:hAnsi="仿宋" w:eastAsia="仿宋" w:cs="仿宋"/>
          <w:bCs/>
          <w:sz w:val="24"/>
          <w:szCs w:val="24"/>
        </w:rPr>
        <w:t>1，12导导联线接口</w:t>
      </w:r>
      <w:r>
        <w:rPr>
          <w:rFonts w:hint="eastAsia" w:ascii="仿宋" w:hAnsi="仿宋" w:eastAsia="仿宋" w:cs="仿宋"/>
          <w:sz w:val="24"/>
          <w:szCs w:val="24"/>
        </w:rPr>
        <w:t>x</w:t>
      </w:r>
      <w:r>
        <w:rPr>
          <w:rFonts w:hint="eastAsia" w:ascii="仿宋" w:hAnsi="仿宋" w:eastAsia="仿宋" w:cs="仿宋"/>
          <w:bCs/>
          <w:sz w:val="24"/>
          <w:szCs w:val="24"/>
        </w:rPr>
        <w:t>1，Type-C接口</w:t>
      </w:r>
      <w:r>
        <w:rPr>
          <w:rFonts w:hint="eastAsia" w:ascii="仿宋" w:hAnsi="仿宋" w:eastAsia="仿宋" w:cs="仿宋"/>
          <w:sz w:val="24"/>
          <w:szCs w:val="24"/>
        </w:rPr>
        <w:t>x</w:t>
      </w:r>
      <w:r>
        <w:rPr>
          <w:rFonts w:hint="eastAsia" w:ascii="仿宋" w:hAnsi="仿宋" w:eastAsia="仿宋" w:cs="仿宋"/>
          <w:bCs/>
          <w:sz w:val="24"/>
          <w:szCs w:val="24"/>
        </w:rPr>
        <w:t>1，有线网络接口</w:t>
      </w:r>
      <w:r>
        <w:rPr>
          <w:rFonts w:hint="eastAsia" w:ascii="仿宋" w:hAnsi="仿宋" w:eastAsia="仿宋" w:cs="仿宋"/>
          <w:sz w:val="24"/>
          <w:szCs w:val="24"/>
        </w:rPr>
        <w:t>x</w:t>
      </w:r>
      <w:r>
        <w:rPr>
          <w:rFonts w:hint="eastAsia" w:ascii="仿宋" w:hAnsi="仿宋" w:eastAsia="仿宋" w:cs="仿宋"/>
          <w:bCs/>
          <w:sz w:val="24"/>
          <w:szCs w:val="24"/>
        </w:rPr>
        <w:t>1。</w:t>
      </w:r>
    </w:p>
    <w:p w14:paraId="199CD52D">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1.4、无线传输：蓝牙4.2，无线Wi-Fi支持2.4GHz/5GHz双频段。（提供无线电发射设备型号核准证）</w:t>
      </w:r>
    </w:p>
    <w:p w14:paraId="316A4F90">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1.5、移动通信：内置eSIM卡和标准SIM卡。（提供CTA进网许可证明）</w:t>
      </w:r>
    </w:p>
    <w:p w14:paraId="02249237">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1.6、内置传感器：NFC近场通信、指纹识别登陆、红外条码扫描仪、前置高清摄像头。</w:t>
      </w:r>
    </w:p>
    <w:p w14:paraId="5C43FF4F">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1.7、整机配置标准化台车或便携包，满足病房巡检。</w:t>
      </w:r>
    </w:p>
    <w:p w14:paraId="75CB3F6D">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1.8、心电采集器内置在主机里。</w:t>
      </w:r>
    </w:p>
    <w:p w14:paraId="7B3A46AF">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1.10、支持升级为18导。</w:t>
      </w:r>
    </w:p>
    <w:p w14:paraId="3E41B804">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二、硬件参数</w:t>
      </w:r>
    </w:p>
    <w:p w14:paraId="484AF12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2.1、导联模式：9/12导联同步采集，支持wilson和cabrera两种导联体系。</w:t>
      </w:r>
    </w:p>
    <w:p w14:paraId="04EAA1E7">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2.2、输入阻抗：≥100MΩ。（10Hz）</w:t>
      </w:r>
    </w:p>
    <w:p w14:paraId="2E8D3A6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2.3、频率响应：0.01z~300Hz，-3dB。</w:t>
      </w:r>
    </w:p>
    <w:p w14:paraId="4FD42359">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2.4、定标电压：1mV±2%。</w:t>
      </w:r>
    </w:p>
    <w:p w14:paraId="02E1089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2.5、耐极化电压：≥±900mV（±5%）。</w:t>
      </w:r>
    </w:p>
    <w:p w14:paraId="5DA6E23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2.6、内部噪声：≤12.5µVp-p。</w:t>
      </w:r>
    </w:p>
    <w:p w14:paraId="425AEF81">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2.7、时间常数：≥5s。</w:t>
      </w:r>
    </w:p>
    <w:p w14:paraId="7CFF46C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2.8、共模抑制比：≥140dB。</w:t>
      </w:r>
    </w:p>
    <w:p w14:paraId="11AE3C5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2.9、除颤保护：具有抗除颤电击保护功能。</w:t>
      </w:r>
    </w:p>
    <w:p w14:paraId="1E561BD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2.10、A/D转换：</w:t>
      </w:r>
      <w:r>
        <w:rPr>
          <w:rFonts w:hint="eastAsia" w:ascii="仿宋" w:hAnsi="仿宋" w:eastAsia="仿宋" w:cs="仿宋"/>
          <w:kern w:val="0"/>
          <w:sz w:val="24"/>
          <w:szCs w:val="24"/>
        </w:rPr>
        <w:t>24 位。</w:t>
      </w:r>
    </w:p>
    <w:p w14:paraId="5F9F570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2.11、心电波形采样率：≥60,000 Hz，每导联；具有起搏检测功能，起搏采样率：≥70,000 Hz，每节律导联。</w:t>
      </w:r>
    </w:p>
    <w:p w14:paraId="2DE754ED">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sz w:val="24"/>
          <w:szCs w:val="24"/>
        </w:rPr>
        <w:t>2.12、</w:t>
      </w:r>
      <w:r>
        <w:rPr>
          <w:rFonts w:hint="eastAsia" w:ascii="仿宋" w:hAnsi="仿宋" w:eastAsia="仿宋" w:cs="仿宋"/>
          <w:kern w:val="0"/>
          <w:sz w:val="24"/>
          <w:szCs w:val="24"/>
        </w:rPr>
        <w:t>灵敏度/增益：（1.25 mm/mV，2.5 mm/mV，5 mm/mV，10 mm/mV，20 mm/mV, 10/5 mm/mV，AGC）±5%。</w:t>
      </w:r>
    </w:p>
    <w:p w14:paraId="3386339F">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sz w:val="24"/>
          <w:szCs w:val="24"/>
        </w:rPr>
        <w:t>2.13、</w:t>
      </w:r>
      <w:r>
        <w:rPr>
          <w:rFonts w:hint="eastAsia" w:ascii="仿宋" w:hAnsi="仿宋" w:eastAsia="仿宋" w:cs="仿宋"/>
          <w:kern w:val="0"/>
          <w:sz w:val="24"/>
          <w:szCs w:val="24"/>
        </w:rPr>
        <w:t>设备内置存储器</w:t>
      </w:r>
      <w:r>
        <w:rPr>
          <w:rFonts w:hint="eastAsia" w:ascii="仿宋" w:hAnsi="仿宋" w:eastAsia="仿宋" w:cs="仿宋"/>
          <w:bCs/>
          <w:sz w:val="24"/>
          <w:szCs w:val="24"/>
        </w:rPr>
        <w:t>：</w:t>
      </w:r>
      <w:r>
        <w:rPr>
          <w:rFonts w:hint="eastAsia" w:ascii="仿宋" w:hAnsi="仿宋" w:eastAsia="仿宋" w:cs="仿宋"/>
          <w:sz w:val="24"/>
          <w:szCs w:val="24"/>
        </w:rPr>
        <w:t>≥32</w:t>
      </w:r>
      <w:r>
        <w:rPr>
          <w:rFonts w:hint="eastAsia" w:ascii="仿宋" w:hAnsi="仿宋" w:eastAsia="仿宋" w:cs="仿宋"/>
          <w:bCs/>
          <w:sz w:val="24"/>
          <w:szCs w:val="24"/>
        </w:rPr>
        <w:t>GB内存，存储病历不小于100000例（10秒静态心电）或20000例（60秒静态心电）</w:t>
      </w:r>
      <w:r>
        <w:rPr>
          <w:rFonts w:hint="eastAsia" w:ascii="仿宋" w:hAnsi="仿宋" w:eastAsia="仿宋" w:cs="仿宋"/>
          <w:sz w:val="24"/>
          <w:szCs w:val="24"/>
        </w:rPr>
        <w:t>。</w:t>
      </w:r>
    </w:p>
    <w:p w14:paraId="65339EC2">
      <w:pPr>
        <w:pageBreakBefore w:val="0"/>
        <w:kinsoku/>
        <w:wordWrap/>
        <w:topLinePunct w:val="0"/>
        <w:bidi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2.14、外部扩展：支持外接U盘扩展存储空间，支持TF卡存储。</w:t>
      </w:r>
    </w:p>
    <w:p w14:paraId="3F9B7F0E">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2.15、</w:t>
      </w:r>
      <w:r>
        <w:rPr>
          <w:rFonts w:hint="eastAsia" w:ascii="仿宋" w:hAnsi="仿宋" w:eastAsia="仿宋" w:cs="仿宋"/>
          <w:sz w:val="24"/>
          <w:szCs w:val="24"/>
        </w:rPr>
        <w:t>交流适配器和内置直流锂电池供电。</w:t>
      </w:r>
    </w:p>
    <w:p w14:paraId="5897045E">
      <w:pPr>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sz w:val="24"/>
          <w:szCs w:val="24"/>
        </w:rPr>
        <w:t>2.16、</w:t>
      </w:r>
      <w:r>
        <w:rPr>
          <w:rFonts w:hint="eastAsia" w:ascii="仿宋" w:hAnsi="仿宋" w:eastAsia="仿宋" w:cs="仿宋"/>
          <w:kern w:val="0"/>
          <w:sz w:val="24"/>
          <w:szCs w:val="24"/>
        </w:rPr>
        <w:t>内置可充电锂离子电池，工作时间</w:t>
      </w:r>
      <w:r>
        <w:rPr>
          <w:rFonts w:hint="eastAsia" w:ascii="仿宋" w:hAnsi="仿宋" w:eastAsia="仿宋" w:cs="仿宋"/>
          <w:sz w:val="24"/>
          <w:szCs w:val="24"/>
        </w:rPr>
        <w:t>≥</w:t>
      </w:r>
      <w:r>
        <w:rPr>
          <w:rFonts w:hint="eastAsia" w:ascii="仿宋" w:hAnsi="仿宋" w:eastAsia="仿宋" w:cs="仿宋"/>
          <w:kern w:val="0"/>
          <w:sz w:val="24"/>
          <w:szCs w:val="24"/>
        </w:rPr>
        <w:t>8小时。</w:t>
      </w:r>
    </w:p>
    <w:p w14:paraId="2964CF6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3.1、Android操作系统。</w:t>
      </w:r>
    </w:p>
    <w:p w14:paraId="326B4AF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3.2、内置一维\二维码扫描仪并支持外接扫描枪、外接读卡器输入，支持社保卡、身份证等卡片信息读取。</w:t>
      </w:r>
    </w:p>
    <w:p w14:paraId="5D8F436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3.3、具备导联脱落检测功能；支持各种异常的友好提示。</w:t>
      </w:r>
    </w:p>
    <w:p w14:paraId="4A1E10A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3.4、支持采集波形质量颜色指示；可辅助判断心电波形质量，待波形稳定后，机器可自动触发采集，支持采集过程中出现干扰自动重采、分析、存储、上传、打印。</w:t>
      </w:r>
    </w:p>
    <w:p w14:paraId="0C0F397D">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3.5、支持高级功能：药物试验，心向量，心率变异，晚电位等高级功能。（</w:t>
      </w:r>
      <w:r>
        <w:rPr>
          <w:rFonts w:hint="eastAsia" w:ascii="仿宋" w:hAnsi="仿宋" w:eastAsia="仿宋" w:cs="仿宋"/>
          <w:kern w:val="0"/>
          <w:sz w:val="24"/>
          <w:szCs w:val="24"/>
        </w:rPr>
        <w:t>提供以上功能的软件截图</w:t>
      </w:r>
      <w:r>
        <w:rPr>
          <w:rFonts w:hint="eastAsia" w:ascii="仿宋" w:hAnsi="仿宋" w:eastAsia="仿宋" w:cs="仿宋"/>
          <w:sz w:val="24"/>
          <w:szCs w:val="24"/>
        </w:rPr>
        <w:t>）</w:t>
      </w:r>
    </w:p>
    <w:p w14:paraId="0E9B9C3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3.6、支持多种节律采集方式如：实时采集、单节律采样、多节律采样等，支持节律导联自定义选择。</w:t>
      </w:r>
    </w:p>
    <w:p w14:paraId="6DF28EE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3.7、具有自主研发的心电算法，支持自动分析及自动诊断功能。</w:t>
      </w:r>
    </w:p>
    <w:p w14:paraId="1C75F25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3.8、支持多种在线诊断工具，可通过放大波形、平均模板、在线测量、电子病历等多种方式辅助医生诊断。</w:t>
      </w:r>
    </w:p>
    <w:p w14:paraId="3E2CE52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3.8、支持对心电图波形进行自动分析、测量得出初步诊断结果及解释。</w:t>
      </w:r>
    </w:p>
    <w:p w14:paraId="019D7955">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3.9、支持接收并显示第三方设备的数据。</w:t>
      </w:r>
    </w:p>
    <w:p w14:paraId="4FAB64F8">
      <w:pPr>
        <w:pageBreakBefore w:val="0"/>
        <w:kinsoku/>
        <w:wordWrap/>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rPr>
        <w:t>3.10、支持通有线或无线与其它医疗设备连接，获取和管理数据。</w:t>
      </w:r>
    </w:p>
    <w:p w14:paraId="4706F06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3.11、支持病人数据同屏对比。</w:t>
      </w:r>
    </w:p>
    <w:p w14:paraId="5904B133">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3.12、支持3x3、6+3、9x1、3x4+1R、6x2+1R、12x1等心电波形显示。</w:t>
      </w:r>
    </w:p>
    <w:p w14:paraId="7904B56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3.13、支持波形预览和报告预览；</w:t>
      </w:r>
      <w:r>
        <w:rPr>
          <w:rFonts w:hint="eastAsia" w:ascii="仿宋" w:hAnsi="仿宋" w:eastAsia="仿宋" w:cs="仿宋"/>
          <w:kern w:val="0"/>
          <w:sz w:val="24"/>
          <w:szCs w:val="24"/>
        </w:rPr>
        <w:t>可USB外接打印机或WIFI连接打印机，通过A4纸打印心电波形和报告。</w:t>
      </w:r>
    </w:p>
    <w:p w14:paraId="3EB293B5">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3.14、支持用户指纹登陆。</w:t>
      </w:r>
    </w:p>
    <w:p w14:paraId="2E8DE70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3.15、支持用户权限控制。</w:t>
      </w:r>
    </w:p>
    <w:p w14:paraId="1B6E7764">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3.16、支持病人信息加密显示。</w:t>
      </w:r>
    </w:p>
    <w:p w14:paraId="116441E6">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3.17、支持PDF、SCP、FDA-XML、DICOM、JPG、BMP等格式输出，可对接医院HIS、电子病历、心电网络等系统，满足医院信息化需求。</w:t>
      </w:r>
    </w:p>
    <w:p w14:paraId="4614922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3.18、可通过蓝牙传输来心电图报告。可选的报告格式有PDF、JPG等。</w:t>
      </w:r>
    </w:p>
    <w:p w14:paraId="530F14C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3.19、支持与服务器时间同步。</w:t>
      </w:r>
    </w:p>
    <w:p w14:paraId="4F6A3978">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3.20、支持机器异常错误代码通讯功能，在服务端可以查看机器状态、异常错误类型。</w:t>
      </w:r>
    </w:p>
    <w:p w14:paraId="20351A40">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3.21、支持GPS定位，可远程获取设备位置、设备序列号、软件版本号等相关信息。（</w:t>
      </w:r>
      <w:r>
        <w:rPr>
          <w:rFonts w:hint="eastAsia" w:ascii="仿宋" w:hAnsi="仿宋" w:eastAsia="仿宋" w:cs="仿宋"/>
          <w:kern w:val="0"/>
          <w:sz w:val="24"/>
          <w:szCs w:val="24"/>
        </w:rPr>
        <w:t>提供以上功能截图</w:t>
      </w:r>
      <w:r>
        <w:rPr>
          <w:rFonts w:hint="eastAsia" w:ascii="仿宋" w:hAnsi="仿宋" w:eastAsia="仿宋" w:cs="仿宋"/>
          <w:sz w:val="24"/>
          <w:szCs w:val="24"/>
        </w:rPr>
        <w:t>）</w:t>
      </w:r>
    </w:p>
    <w:p w14:paraId="14F5D58A">
      <w:pPr>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3.22、支持在线升级系统版本及软件版本。</w:t>
      </w:r>
    </w:p>
    <w:p w14:paraId="43DE1B07">
      <w:pPr>
        <w:pageBreakBefore w:val="0"/>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4</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具有通过ISO13485质量管理体系和ISO14001环境质量认证。</w:t>
      </w:r>
    </w:p>
    <w:p w14:paraId="164D849C">
      <w:pPr>
        <w:pageBreakBefore w:val="0"/>
        <w:kinsoku/>
        <w:wordWrap/>
        <w:topLinePunct w:val="0"/>
        <w:bidi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5、连接院内现有心电网络，中标方承担此项目中所有信息化所产生的接口费用</w:t>
      </w:r>
    </w:p>
    <w:p w14:paraId="120FD984">
      <w:pPr>
        <w:pStyle w:val="39"/>
        <w:pageBreakBefore w:val="0"/>
        <w:tabs>
          <w:tab w:val="left" w:pos="0"/>
        </w:tabs>
        <w:kinsoku/>
        <w:wordWrap/>
        <w:topLinePunct w:val="0"/>
        <w:bidi w:val="0"/>
        <w:spacing w:line="360" w:lineRule="auto"/>
        <w:ind w:firstLine="280" w:firstLineChars="100"/>
        <w:rPr>
          <w:rFonts w:hint="eastAsia" w:ascii="仿宋" w:hAnsi="仿宋" w:eastAsia="仿宋" w:cs="仿宋"/>
          <w:sz w:val="28"/>
          <w:szCs w:val="28"/>
        </w:rPr>
      </w:pPr>
    </w:p>
    <w:p w14:paraId="223059E0">
      <w:pPr>
        <w:pStyle w:val="39"/>
        <w:pageBreakBefore w:val="0"/>
        <w:tabs>
          <w:tab w:val="left" w:pos="0"/>
        </w:tabs>
        <w:kinsoku/>
        <w:wordWrap/>
        <w:topLinePunct w:val="0"/>
        <w:bidi w:val="0"/>
        <w:spacing w:line="360" w:lineRule="auto"/>
        <w:ind w:firstLine="400" w:firstLineChars="100"/>
        <w:jc w:val="center"/>
        <w:rPr>
          <w:rFonts w:hint="eastAsia" w:ascii="仿宋" w:hAnsi="仿宋" w:eastAsia="仿宋" w:cs="仿宋"/>
          <w:b/>
          <w:bCs/>
          <w:sz w:val="40"/>
          <w:szCs w:val="40"/>
        </w:rPr>
      </w:pPr>
    </w:p>
    <w:p w14:paraId="4987BC73">
      <w:pPr>
        <w:rPr>
          <w:rFonts w:hint="eastAsia" w:ascii="仿宋" w:hAnsi="仿宋" w:eastAsia="仿宋" w:cs="仿宋"/>
          <w:b/>
          <w:bCs/>
          <w:color w:val="auto"/>
          <w:sz w:val="36"/>
          <w:highlight w:val="none"/>
          <w:lang w:val="en-US" w:eastAsia="zh-CN"/>
        </w:rPr>
      </w:pPr>
      <w:bookmarkStart w:id="122" w:name="_Toc2026"/>
    </w:p>
    <w:p w14:paraId="3FF86CB5">
      <w:pPr>
        <w:jc w:val="center"/>
        <w:rPr>
          <w:rFonts w:hint="default" w:eastAsia="仿宋"/>
          <w:b/>
          <w:bCs/>
          <w:color w:val="auto"/>
          <w:highlight w:val="none"/>
          <w:lang w:val="en-US" w:eastAsia="zh-CN"/>
        </w:rPr>
      </w:pPr>
      <w:r>
        <w:rPr>
          <w:rFonts w:hint="eastAsia" w:ascii="仿宋" w:hAnsi="仿宋" w:eastAsia="仿宋" w:cs="仿宋"/>
          <w:b/>
          <w:bCs/>
          <w:color w:val="auto"/>
          <w:sz w:val="36"/>
          <w:highlight w:val="none"/>
          <w:lang w:val="en-US" w:eastAsia="zh-CN"/>
        </w:rPr>
        <w:t>商务要求</w:t>
      </w:r>
    </w:p>
    <w:p w14:paraId="1E4763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0"/>
        <w:rPr>
          <w:rFonts w:hint="eastAsia" w:ascii="仿宋" w:hAnsi="仿宋" w:eastAsia="仿宋" w:cs="仿宋"/>
          <w:color w:val="auto"/>
          <w:sz w:val="24"/>
          <w:szCs w:val="22"/>
          <w:highlight w:val="none"/>
          <w:lang w:val="en-US" w:eastAsia="zh-CN"/>
        </w:rPr>
      </w:pPr>
      <w:bookmarkStart w:id="123" w:name="_Toc26329"/>
      <w:r>
        <w:rPr>
          <w:rFonts w:hint="eastAsia" w:ascii="仿宋" w:hAnsi="仿宋" w:eastAsia="仿宋" w:cs="仿宋"/>
          <w:color w:val="auto"/>
          <w:sz w:val="24"/>
          <w:szCs w:val="22"/>
          <w:highlight w:val="none"/>
          <w:lang w:val="en-US" w:eastAsia="zh-CN"/>
        </w:rPr>
        <w:t>投标产品质量要求:</w:t>
      </w:r>
      <w:bookmarkEnd w:id="123"/>
    </w:p>
    <w:p w14:paraId="0D92C4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24" w:name="_Toc947"/>
      <w:r>
        <w:rPr>
          <w:rFonts w:hint="eastAsia" w:ascii="仿宋" w:hAnsi="仿宋" w:eastAsia="仿宋" w:cs="仿宋"/>
          <w:color w:val="auto"/>
          <w:sz w:val="24"/>
          <w:szCs w:val="22"/>
          <w:highlight w:val="none"/>
          <w:lang w:val="en-US" w:eastAsia="zh-CN"/>
        </w:rPr>
        <w:t>1、资质证照合法、手续齐全；</w:t>
      </w:r>
      <w:bookmarkEnd w:id="124"/>
    </w:p>
    <w:p w14:paraId="766747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25" w:name="_Toc11252"/>
      <w:r>
        <w:rPr>
          <w:rFonts w:hint="eastAsia" w:ascii="仿宋" w:hAnsi="仿宋" w:eastAsia="仿宋" w:cs="仿宋"/>
          <w:color w:val="auto"/>
          <w:sz w:val="24"/>
          <w:szCs w:val="22"/>
          <w:highlight w:val="none"/>
          <w:lang w:val="en-US" w:eastAsia="zh-CN"/>
        </w:rPr>
        <w:t>2、投标产品实际品牌、规格型号、生产厂家、质量必须与投标书内所投产品描述一致；</w:t>
      </w:r>
      <w:bookmarkEnd w:id="125"/>
    </w:p>
    <w:p w14:paraId="3BAB43F7">
      <w:pPr>
        <w:pStyle w:val="3"/>
        <w:bidi w:val="0"/>
        <w:ind w:firstLine="480" w:firstLineChars="200"/>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3、质保服务期三年；</w:t>
      </w:r>
    </w:p>
    <w:p w14:paraId="0534EF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26" w:name="_Toc7666"/>
      <w:r>
        <w:rPr>
          <w:rFonts w:hint="eastAsia" w:ascii="仿宋" w:hAnsi="仿宋" w:eastAsia="仿宋" w:cs="仿宋"/>
          <w:color w:val="auto"/>
          <w:sz w:val="24"/>
          <w:szCs w:val="22"/>
          <w:highlight w:val="none"/>
          <w:lang w:val="en-US" w:eastAsia="zh-CN"/>
        </w:rPr>
        <w:t>4、有足够的物资供应配送能力、较好的售后服务保障能力和支持仪器性能校准验证能力；</w:t>
      </w:r>
      <w:bookmarkEnd w:id="126"/>
    </w:p>
    <w:p w14:paraId="59699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27" w:name="_Toc4648"/>
      <w:r>
        <w:rPr>
          <w:rFonts w:hint="eastAsia" w:ascii="仿宋" w:hAnsi="仿宋" w:eastAsia="仿宋" w:cs="仿宋"/>
          <w:color w:val="auto"/>
          <w:sz w:val="24"/>
          <w:szCs w:val="22"/>
          <w:highlight w:val="none"/>
          <w:lang w:val="en-US" w:eastAsia="zh-CN"/>
        </w:rPr>
        <w:t>5、商业信誉良好，在经营活动中无违法记录、无不良销售记录和不规范销售行为记录；</w:t>
      </w:r>
      <w:bookmarkEnd w:id="127"/>
    </w:p>
    <w:p w14:paraId="19B516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28" w:name="_Toc30628"/>
      <w:r>
        <w:rPr>
          <w:rFonts w:hint="eastAsia" w:ascii="仿宋" w:hAnsi="仿宋" w:eastAsia="仿宋" w:cs="仿宋"/>
          <w:color w:val="auto"/>
          <w:sz w:val="24"/>
          <w:szCs w:val="22"/>
          <w:highlight w:val="none"/>
          <w:lang w:val="en-US" w:eastAsia="zh-CN"/>
        </w:rPr>
        <w:t>6、具有合法的产品来源，符合法律法规规定的其它条件。</w:t>
      </w:r>
      <w:bookmarkEnd w:id="128"/>
    </w:p>
    <w:p w14:paraId="3A70FE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29" w:name="_Toc24259"/>
      <w:r>
        <w:rPr>
          <w:rFonts w:hint="eastAsia" w:ascii="仿宋" w:hAnsi="仿宋" w:eastAsia="仿宋" w:cs="仿宋"/>
          <w:color w:val="auto"/>
          <w:sz w:val="24"/>
          <w:szCs w:val="22"/>
          <w:highlight w:val="none"/>
          <w:lang w:val="en-US" w:eastAsia="zh-CN"/>
        </w:rPr>
        <w:t>7、投标人必须提供企业及产品的有效资质证明文件，具备该行业国家规定必备的资质、资格，且符合参投品种的经营范围；</w:t>
      </w:r>
      <w:bookmarkEnd w:id="129"/>
    </w:p>
    <w:p w14:paraId="0D357F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4"/>
          <w:highlight w:val="none"/>
        </w:rPr>
      </w:pPr>
      <w:bookmarkStart w:id="130" w:name="_Toc2268"/>
      <w:r>
        <w:rPr>
          <w:rFonts w:hint="eastAsia" w:ascii="仿宋" w:hAnsi="仿宋" w:eastAsia="仿宋" w:cs="仿宋"/>
          <w:color w:val="auto"/>
          <w:sz w:val="24"/>
          <w:szCs w:val="22"/>
          <w:highlight w:val="none"/>
          <w:lang w:val="en-US" w:eastAsia="zh-CN"/>
        </w:rPr>
        <w:t>8、提供所投产品的检测报告；提供产品图片资料及产品说明书；</w:t>
      </w:r>
      <w:bookmarkEnd w:id="130"/>
    </w:p>
    <w:p w14:paraId="3C59F2FB">
      <w:pPr>
        <w:numPr>
          <w:ilvl w:val="0"/>
          <w:numId w:val="32"/>
        </w:numPr>
        <w:jc w:val="center"/>
        <w:outlineLvl w:val="0"/>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br w:type="page"/>
      </w:r>
      <w:bookmarkStart w:id="131" w:name="_Toc14757"/>
      <w:r>
        <w:rPr>
          <w:rFonts w:hint="eastAsia" w:ascii="仿宋" w:hAnsi="仿宋" w:eastAsia="仿宋" w:cs="仿宋"/>
          <w:b/>
          <w:bCs/>
          <w:color w:val="auto"/>
          <w:kern w:val="2"/>
          <w:sz w:val="36"/>
          <w:szCs w:val="32"/>
          <w:highlight w:val="none"/>
          <w:lang w:val="en-US" w:eastAsia="zh-CN" w:bidi="ar-SA"/>
        </w:rPr>
        <w:t>合同条款及格式</w:t>
      </w:r>
      <w:bookmarkEnd w:id="122"/>
      <w:bookmarkEnd w:id="131"/>
      <w:bookmarkStart w:id="132" w:name="_Toc20669"/>
    </w:p>
    <w:p w14:paraId="2B60FEDB">
      <w:pPr>
        <w:pStyle w:val="20"/>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（具体以实际签订合同为主）</w:t>
      </w:r>
    </w:p>
    <w:bookmarkEnd w:id="132"/>
    <w:p w14:paraId="0A75C999">
      <w:pPr>
        <w:spacing w:line="360" w:lineRule="auto"/>
        <w:ind w:firstLine="560"/>
        <w:rPr>
          <w:rFonts w:hint="eastAsia" w:ascii="仿宋" w:hAnsi="仿宋" w:eastAsia="仿宋" w:cs="仿宋"/>
          <w:color w:val="auto"/>
          <w:sz w:val="24"/>
          <w:szCs w:val="24"/>
          <w:highlight w:val="none"/>
          <w:lang w:eastAsia="zh-CN"/>
        </w:rPr>
      </w:pPr>
      <w:bookmarkStart w:id="133" w:name="_Toc31337"/>
      <w:bookmarkStart w:id="134" w:name="_Toc152045610"/>
      <w:bookmarkStart w:id="135" w:name="_Toc296602498"/>
      <w:bookmarkStart w:id="136" w:name="_Toc152042388"/>
      <w:bookmarkStart w:id="137" w:name="_Toc246996996"/>
      <w:bookmarkStart w:id="138" w:name="_Toc246996253"/>
      <w:bookmarkStart w:id="139" w:name="_Toc247085768"/>
      <w:bookmarkStart w:id="140" w:name="_Toc179632628"/>
      <w:bookmarkStart w:id="141" w:name="_Toc144974578"/>
      <w:r>
        <w:rPr>
          <w:rFonts w:hint="eastAsia" w:ascii="仿宋" w:hAnsi="仿宋" w:eastAsia="仿宋" w:cs="仿宋"/>
          <w:color w:val="auto"/>
          <w:sz w:val="24"/>
          <w:szCs w:val="24"/>
          <w:highlight w:val="none"/>
        </w:rPr>
        <w:t>甲方（买方）：</w:t>
      </w:r>
      <w:r>
        <w:rPr>
          <w:rFonts w:hint="eastAsia" w:ascii="仿宋" w:hAnsi="仿宋" w:eastAsia="仿宋" w:cs="仿宋"/>
          <w:color w:val="auto"/>
          <w:sz w:val="24"/>
          <w:szCs w:val="24"/>
          <w:highlight w:val="none"/>
          <w:lang w:val="en-US" w:eastAsia="zh-CN"/>
        </w:rPr>
        <w:t>哈巴河县人民医院</w:t>
      </w:r>
    </w:p>
    <w:p w14:paraId="517C13AB">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5CDA4D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0FEABA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乙方（卖方）：</w:t>
      </w:r>
    </w:p>
    <w:p w14:paraId="68CCDE2C">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F9F6F0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26B2CEE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哈巴河县人民医院</w:t>
      </w:r>
      <w:r>
        <w:rPr>
          <w:rFonts w:hint="eastAsia" w:ascii="仿宋" w:hAnsi="仿宋" w:eastAsia="仿宋" w:cs="仿宋"/>
          <w:color w:val="auto"/>
          <w:sz w:val="24"/>
          <w:szCs w:val="24"/>
          <w:highlight w:val="none"/>
        </w:rPr>
        <w:t>（以下简称甲方）与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有限公司（以下简称乙方）就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采购事宜，根据《中华人民共和国政府采购法》《中华人民共和国民法典》等规定，本着平等、自愿、互利、互惠的原则，经各方协商一致，订立本合同。  </w:t>
      </w:r>
    </w:p>
    <w:p w14:paraId="6662EA04">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一、合同标的</w:t>
      </w:r>
    </w:p>
    <w:p w14:paraId="480F521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w:t>
      </w:r>
    </w:p>
    <w:p w14:paraId="41BADFD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乙方按照甲方提供的采购计划在商定的时限内保质、保量、及时组织配送，合同一经签订不得随意更改，同时，所供货物的品种、规格、数量、质量、价格、保质期等方面的标准应符合本合同约定的验收标准。</w:t>
      </w:r>
    </w:p>
    <w:p w14:paraId="337D3228">
      <w:pPr>
        <w:numPr>
          <w:ilvl w:val="0"/>
          <w:numId w:val="0"/>
        </w:numPr>
        <w:spacing w:line="360" w:lineRule="auto"/>
        <w:ind w:firstLine="56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货物的名称、生产厂家、品牌、规格型号及价格详见附表：</w:t>
      </w:r>
    </w:p>
    <w:tbl>
      <w:tblPr>
        <w:tblStyle w:val="21"/>
        <w:tblW w:w="9739" w:type="dxa"/>
        <w:tblInd w:w="108" w:type="dxa"/>
        <w:tblLayout w:type="fixed"/>
        <w:tblCellMar>
          <w:top w:w="0" w:type="dxa"/>
          <w:left w:w="108" w:type="dxa"/>
          <w:bottom w:w="0" w:type="dxa"/>
          <w:right w:w="108" w:type="dxa"/>
        </w:tblCellMar>
      </w:tblPr>
      <w:tblGrid>
        <w:gridCol w:w="950"/>
        <w:gridCol w:w="1129"/>
        <w:gridCol w:w="1603"/>
        <w:gridCol w:w="1247"/>
        <w:gridCol w:w="1247"/>
        <w:gridCol w:w="1056"/>
        <w:gridCol w:w="1535"/>
        <w:gridCol w:w="972"/>
      </w:tblGrid>
      <w:tr w14:paraId="42A0723A">
        <w:tblPrEx>
          <w:tblCellMar>
            <w:top w:w="0" w:type="dxa"/>
            <w:left w:w="108" w:type="dxa"/>
            <w:bottom w:w="0" w:type="dxa"/>
            <w:right w:w="108" w:type="dxa"/>
          </w:tblCellMar>
        </w:tblPrEx>
        <w:trPr>
          <w:trHeight w:val="720" w:hRule="atLeast"/>
        </w:trPr>
        <w:tc>
          <w:tcPr>
            <w:tcW w:w="9739" w:type="dxa"/>
            <w:gridSpan w:val="8"/>
            <w:tcBorders>
              <w:top w:val="single" w:color="auto" w:sz="4" w:space="0"/>
              <w:left w:val="single" w:color="auto" w:sz="4" w:space="0"/>
              <w:bottom w:val="single" w:color="auto" w:sz="4" w:space="0"/>
              <w:right w:val="single" w:color="auto" w:sz="4" w:space="0"/>
            </w:tcBorders>
            <w:noWrap w:val="0"/>
            <w:vAlign w:val="center"/>
          </w:tcPr>
          <w:p w14:paraId="4911C7F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中标明细</w:t>
            </w:r>
          </w:p>
        </w:tc>
      </w:tr>
      <w:tr w14:paraId="3E36F4F5">
        <w:tblPrEx>
          <w:tblCellMar>
            <w:top w:w="0" w:type="dxa"/>
            <w:left w:w="108" w:type="dxa"/>
            <w:bottom w:w="0" w:type="dxa"/>
            <w:right w:w="108" w:type="dxa"/>
          </w:tblCellMar>
        </w:tblPrEx>
        <w:trPr>
          <w:trHeight w:val="540" w:hRule="atLeast"/>
        </w:trPr>
        <w:tc>
          <w:tcPr>
            <w:tcW w:w="950" w:type="dxa"/>
            <w:tcBorders>
              <w:top w:val="nil"/>
              <w:left w:val="single" w:color="auto" w:sz="4" w:space="0"/>
              <w:bottom w:val="single" w:color="auto" w:sz="4" w:space="0"/>
              <w:right w:val="single" w:color="auto" w:sz="4" w:space="0"/>
            </w:tcBorders>
            <w:noWrap w:val="0"/>
            <w:vAlign w:val="center"/>
          </w:tcPr>
          <w:p w14:paraId="37CCFA1B">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129" w:type="dxa"/>
            <w:tcBorders>
              <w:top w:val="nil"/>
              <w:left w:val="nil"/>
              <w:bottom w:val="single" w:color="auto" w:sz="4" w:space="0"/>
              <w:right w:val="single" w:color="auto" w:sz="4" w:space="0"/>
            </w:tcBorders>
            <w:noWrap w:val="0"/>
            <w:vAlign w:val="center"/>
          </w:tcPr>
          <w:p w14:paraId="6338FE37">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产品名称</w:t>
            </w:r>
          </w:p>
        </w:tc>
        <w:tc>
          <w:tcPr>
            <w:tcW w:w="1603" w:type="dxa"/>
            <w:tcBorders>
              <w:top w:val="nil"/>
              <w:left w:val="nil"/>
              <w:bottom w:val="single" w:color="auto" w:sz="4" w:space="0"/>
              <w:right w:val="single" w:color="auto" w:sz="4" w:space="0"/>
            </w:tcBorders>
            <w:noWrap w:val="0"/>
            <w:vAlign w:val="center"/>
          </w:tcPr>
          <w:p w14:paraId="733B33A3">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生产厂家/品牌</w:t>
            </w:r>
          </w:p>
        </w:tc>
        <w:tc>
          <w:tcPr>
            <w:tcW w:w="1247" w:type="dxa"/>
            <w:tcBorders>
              <w:top w:val="nil"/>
              <w:left w:val="nil"/>
              <w:bottom w:val="single" w:color="auto" w:sz="4" w:space="0"/>
              <w:right w:val="single" w:color="auto" w:sz="4" w:space="0"/>
            </w:tcBorders>
            <w:noWrap w:val="0"/>
            <w:vAlign w:val="center"/>
          </w:tcPr>
          <w:p w14:paraId="2258862D">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注册证号</w:t>
            </w:r>
          </w:p>
        </w:tc>
        <w:tc>
          <w:tcPr>
            <w:tcW w:w="1247" w:type="dxa"/>
            <w:tcBorders>
              <w:top w:val="nil"/>
              <w:left w:val="nil"/>
              <w:bottom w:val="single" w:color="auto" w:sz="4" w:space="0"/>
              <w:right w:val="single" w:color="auto" w:sz="4" w:space="0"/>
            </w:tcBorders>
            <w:noWrap w:val="0"/>
            <w:vAlign w:val="center"/>
          </w:tcPr>
          <w:p w14:paraId="5895AF5E">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规格型号</w:t>
            </w:r>
          </w:p>
        </w:tc>
        <w:tc>
          <w:tcPr>
            <w:tcW w:w="1056" w:type="dxa"/>
            <w:tcBorders>
              <w:top w:val="nil"/>
              <w:left w:val="nil"/>
              <w:bottom w:val="single" w:color="auto" w:sz="4" w:space="0"/>
              <w:right w:val="single" w:color="auto" w:sz="4" w:space="0"/>
            </w:tcBorders>
            <w:noWrap w:val="0"/>
            <w:vAlign w:val="center"/>
          </w:tcPr>
          <w:p w14:paraId="6D68B0DC">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535" w:type="dxa"/>
            <w:tcBorders>
              <w:top w:val="nil"/>
              <w:left w:val="nil"/>
              <w:bottom w:val="single" w:color="auto" w:sz="4" w:space="0"/>
              <w:right w:val="single" w:color="auto" w:sz="4" w:space="0"/>
            </w:tcBorders>
            <w:noWrap w:val="0"/>
            <w:vAlign w:val="center"/>
          </w:tcPr>
          <w:p w14:paraId="3FFF5EB1">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固定单价（元）</w:t>
            </w:r>
          </w:p>
        </w:tc>
        <w:tc>
          <w:tcPr>
            <w:tcW w:w="972" w:type="dxa"/>
            <w:tcBorders>
              <w:top w:val="nil"/>
              <w:left w:val="nil"/>
              <w:bottom w:val="single" w:color="auto" w:sz="4" w:space="0"/>
              <w:right w:val="single" w:color="auto" w:sz="4" w:space="0"/>
            </w:tcBorders>
            <w:noWrap w:val="0"/>
            <w:vAlign w:val="center"/>
          </w:tcPr>
          <w:p w14:paraId="444F21FA">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6E43A0E">
        <w:tblPrEx>
          <w:tblCellMar>
            <w:top w:w="0" w:type="dxa"/>
            <w:left w:w="108" w:type="dxa"/>
            <w:bottom w:w="0" w:type="dxa"/>
            <w:right w:w="108" w:type="dxa"/>
          </w:tblCellMar>
        </w:tblPrEx>
        <w:trPr>
          <w:trHeight w:val="592" w:hRule="atLeast"/>
        </w:trPr>
        <w:tc>
          <w:tcPr>
            <w:tcW w:w="950" w:type="dxa"/>
            <w:tcBorders>
              <w:top w:val="nil"/>
              <w:left w:val="single" w:color="auto" w:sz="4" w:space="0"/>
              <w:bottom w:val="single" w:color="auto" w:sz="4" w:space="0"/>
              <w:right w:val="single" w:color="auto" w:sz="4" w:space="0"/>
            </w:tcBorders>
            <w:noWrap w:val="0"/>
            <w:vAlign w:val="center"/>
          </w:tcPr>
          <w:p w14:paraId="0136F8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29" w:type="dxa"/>
            <w:tcBorders>
              <w:top w:val="nil"/>
              <w:left w:val="nil"/>
              <w:bottom w:val="single" w:color="auto" w:sz="4" w:space="0"/>
              <w:right w:val="single" w:color="auto" w:sz="4" w:space="0"/>
            </w:tcBorders>
            <w:noWrap w:val="0"/>
            <w:vAlign w:val="center"/>
          </w:tcPr>
          <w:p w14:paraId="7DC33ABB">
            <w:pPr>
              <w:spacing w:line="360" w:lineRule="auto"/>
              <w:ind w:firstLine="420"/>
              <w:rPr>
                <w:rFonts w:hint="eastAsia" w:ascii="仿宋" w:hAnsi="仿宋" w:eastAsia="仿宋" w:cs="仿宋"/>
                <w:color w:val="auto"/>
                <w:sz w:val="24"/>
                <w:szCs w:val="24"/>
                <w:highlight w:val="none"/>
              </w:rPr>
            </w:pPr>
          </w:p>
        </w:tc>
        <w:tc>
          <w:tcPr>
            <w:tcW w:w="1603" w:type="dxa"/>
            <w:tcBorders>
              <w:top w:val="nil"/>
              <w:left w:val="nil"/>
              <w:bottom w:val="single" w:color="auto" w:sz="4" w:space="0"/>
              <w:right w:val="single" w:color="auto" w:sz="4" w:space="0"/>
            </w:tcBorders>
            <w:noWrap w:val="0"/>
            <w:vAlign w:val="center"/>
          </w:tcPr>
          <w:p w14:paraId="57C72A53">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4416FEAA">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7B76AF35">
            <w:pPr>
              <w:spacing w:line="360" w:lineRule="auto"/>
              <w:ind w:firstLine="420"/>
              <w:rPr>
                <w:rFonts w:hint="eastAsia" w:ascii="仿宋" w:hAnsi="仿宋" w:eastAsia="仿宋" w:cs="仿宋"/>
                <w:color w:val="auto"/>
                <w:sz w:val="24"/>
                <w:szCs w:val="24"/>
                <w:highlight w:val="none"/>
              </w:rPr>
            </w:pPr>
          </w:p>
        </w:tc>
        <w:tc>
          <w:tcPr>
            <w:tcW w:w="1056" w:type="dxa"/>
            <w:tcBorders>
              <w:top w:val="nil"/>
              <w:left w:val="nil"/>
              <w:bottom w:val="single" w:color="auto" w:sz="4" w:space="0"/>
              <w:right w:val="single" w:color="auto" w:sz="4" w:space="0"/>
            </w:tcBorders>
            <w:noWrap w:val="0"/>
            <w:vAlign w:val="center"/>
          </w:tcPr>
          <w:p w14:paraId="440087F4">
            <w:pPr>
              <w:spacing w:line="360" w:lineRule="auto"/>
              <w:ind w:firstLine="420"/>
              <w:rPr>
                <w:rFonts w:hint="eastAsia" w:ascii="仿宋" w:hAnsi="仿宋" w:eastAsia="仿宋" w:cs="仿宋"/>
                <w:color w:val="auto"/>
                <w:sz w:val="24"/>
                <w:szCs w:val="24"/>
                <w:highlight w:val="none"/>
              </w:rPr>
            </w:pPr>
          </w:p>
        </w:tc>
        <w:tc>
          <w:tcPr>
            <w:tcW w:w="1535" w:type="dxa"/>
            <w:tcBorders>
              <w:top w:val="nil"/>
              <w:left w:val="nil"/>
              <w:bottom w:val="single" w:color="auto" w:sz="4" w:space="0"/>
              <w:right w:val="single" w:color="auto" w:sz="4" w:space="0"/>
            </w:tcBorders>
            <w:noWrap w:val="0"/>
            <w:vAlign w:val="center"/>
          </w:tcPr>
          <w:p w14:paraId="29721722">
            <w:pPr>
              <w:spacing w:line="360" w:lineRule="auto"/>
              <w:ind w:firstLine="560"/>
              <w:rPr>
                <w:rFonts w:hint="eastAsia" w:ascii="仿宋" w:hAnsi="仿宋" w:eastAsia="仿宋" w:cs="仿宋"/>
                <w:color w:val="auto"/>
                <w:sz w:val="24"/>
                <w:szCs w:val="24"/>
                <w:highlight w:val="none"/>
              </w:rPr>
            </w:pPr>
          </w:p>
        </w:tc>
        <w:tc>
          <w:tcPr>
            <w:tcW w:w="972" w:type="dxa"/>
            <w:tcBorders>
              <w:top w:val="nil"/>
              <w:left w:val="nil"/>
              <w:bottom w:val="single" w:color="auto" w:sz="4" w:space="0"/>
              <w:right w:val="single" w:color="auto" w:sz="4" w:space="0"/>
            </w:tcBorders>
            <w:noWrap w:val="0"/>
            <w:vAlign w:val="top"/>
          </w:tcPr>
          <w:p w14:paraId="1EF07FCA">
            <w:pPr>
              <w:spacing w:line="360" w:lineRule="auto"/>
              <w:ind w:firstLine="560"/>
              <w:rPr>
                <w:rFonts w:hint="eastAsia" w:ascii="仿宋" w:hAnsi="仿宋" w:eastAsia="仿宋" w:cs="仿宋"/>
                <w:color w:val="auto"/>
                <w:sz w:val="24"/>
                <w:szCs w:val="24"/>
                <w:highlight w:val="none"/>
              </w:rPr>
            </w:pPr>
          </w:p>
        </w:tc>
      </w:tr>
      <w:tr w14:paraId="1500EE3D">
        <w:tblPrEx>
          <w:tblCellMar>
            <w:top w:w="0" w:type="dxa"/>
            <w:left w:w="108" w:type="dxa"/>
            <w:bottom w:w="0" w:type="dxa"/>
            <w:right w:w="108" w:type="dxa"/>
          </w:tblCellMar>
        </w:tblPrEx>
        <w:trPr>
          <w:trHeight w:val="540" w:hRule="atLeast"/>
        </w:trPr>
        <w:tc>
          <w:tcPr>
            <w:tcW w:w="950" w:type="dxa"/>
            <w:tcBorders>
              <w:top w:val="nil"/>
              <w:left w:val="single" w:color="auto" w:sz="4" w:space="0"/>
              <w:bottom w:val="single" w:color="auto" w:sz="4" w:space="0"/>
              <w:right w:val="single" w:color="auto" w:sz="4" w:space="0"/>
            </w:tcBorders>
            <w:noWrap w:val="0"/>
            <w:vAlign w:val="center"/>
          </w:tcPr>
          <w:p w14:paraId="0958BC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29" w:type="dxa"/>
            <w:tcBorders>
              <w:top w:val="nil"/>
              <w:left w:val="nil"/>
              <w:bottom w:val="single" w:color="auto" w:sz="4" w:space="0"/>
              <w:right w:val="single" w:color="auto" w:sz="4" w:space="0"/>
            </w:tcBorders>
            <w:noWrap w:val="0"/>
            <w:vAlign w:val="center"/>
          </w:tcPr>
          <w:p w14:paraId="521B14EB">
            <w:pPr>
              <w:spacing w:line="360" w:lineRule="auto"/>
              <w:ind w:firstLine="420"/>
              <w:rPr>
                <w:rFonts w:hint="eastAsia" w:ascii="仿宋" w:hAnsi="仿宋" w:eastAsia="仿宋" w:cs="仿宋"/>
                <w:color w:val="auto"/>
                <w:sz w:val="24"/>
                <w:szCs w:val="24"/>
                <w:highlight w:val="none"/>
              </w:rPr>
            </w:pPr>
          </w:p>
        </w:tc>
        <w:tc>
          <w:tcPr>
            <w:tcW w:w="1603" w:type="dxa"/>
            <w:tcBorders>
              <w:top w:val="nil"/>
              <w:left w:val="nil"/>
              <w:bottom w:val="single" w:color="auto" w:sz="4" w:space="0"/>
              <w:right w:val="single" w:color="auto" w:sz="4" w:space="0"/>
            </w:tcBorders>
            <w:noWrap w:val="0"/>
            <w:vAlign w:val="center"/>
          </w:tcPr>
          <w:p w14:paraId="1A847282">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5E558B18">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38DCAB59">
            <w:pPr>
              <w:spacing w:line="360" w:lineRule="auto"/>
              <w:ind w:firstLine="420"/>
              <w:rPr>
                <w:rFonts w:hint="eastAsia" w:ascii="仿宋" w:hAnsi="仿宋" w:eastAsia="仿宋" w:cs="仿宋"/>
                <w:color w:val="auto"/>
                <w:sz w:val="24"/>
                <w:szCs w:val="24"/>
                <w:highlight w:val="none"/>
              </w:rPr>
            </w:pPr>
          </w:p>
        </w:tc>
        <w:tc>
          <w:tcPr>
            <w:tcW w:w="1056" w:type="dxa"/>
            <w:tcBorders>
              <w:top w:val="nil"/>
              <w:left w:val="nil"/>
              <w:bottom w:val="single" w:color="auto" w:sz="4" w:space="0"/>
              <w:right w:val="single" w:color="auto" w:sz="4" w:space="0"/>
            </w:tcBorders>
            <w:noWrap w:val="0"/>
            <w:vAlign w:val="center"/>
          </w:tcPr>
          <w:p w14:paraId="4DA5EBC4">
            <w:pPr>
              <w:spacing w:line="360" w:lineRule="auto"/>
              <w:ind w:firstLine="420"/>
              <w:rPr>
                <w:rFonts w:hint="eastAsia" w:ascii="仿宋" w:hAnsi="仿宋" w:eastAsia="仿宋" w:cs="仿宋"/>
                <w:color w:val="auto"/>
                <w:sz w:val="24"/>
                <w:szCs w:val="24"/>
                <w:highlight w:val="none"/>
              </w:rPr>
            </w:pPr>
          </w:p>
        </w:tc>
        <w:tc>
          <w:tcPr>
            <w:tcW w:w="1535" w:type="dxa"/>
            <w:tcBorders>
              <w:top w:val="nil"/>
              <w:left w:val="nil"/>
              <w:bottom w:val="single" w:color="auto" w:sz="4" w:space="0"/>
              <w:right w:val="single" w:color="auto" w:sz="4" w:space="0"/>
            </w:tcBorders>
            <w:noWrap w:val="0"/>
            <w:vAlign w:val="center"/>
          </w:tcPr>
          <w:p w14:paraId="2AFB49EE">
            <w:pPr>
              <w:spacing w:line="360" w:lineRule="auto"/>
              <w:ind w:firstLine="560"/>
              <w:rPr>
                <w:rFonts w:hint="eastAsia" w:ascii="仿宋" w:hAnsi="仿宋" w:eastAsia="仿宋" w:cs="仿宋"/>
                <w:color w:val="auto"/>
                <w:sz w:val="24"/>
                <w:szCs w:val="24"/>
                <w:highlight w:val="none"/>
              </w:rPr>
            </w:pPr>
          </w:p>
        </w:tc>
        <w:tc>
          <w:tcPr>
            <w:tcW w:w="972" w:type="dxa"/>
            <w:tcBorders>
              <w:top w:val="nil"/>
              <w:left w:val="nil"/>
              <w:bottom w:val="single" w:color="auto" w:sz="4" w:space="0"/>
              <w:right w:val="single" w:color="auto" w:sz="4" w:space="0"/>
            </w:tcBorders>
            <w:noWrap w:val="0"/>
            <w:vAlign w:val="top"/>
          </w:tcPr>
          <w:p w14:paraId="6CD53A76">
            <w:pPr>
              <w:spacing w:line="360" w:lineRule="auto"/>
              <w:ind w:firstLine="560"/>
              <w:rPr>
                <w:rFonts w:hint="eastAsia" w:ascii="仿宋" w:hAnsi="仿宋" w:eastAsia="仿宋" w:cs="仿宋"/>
                <w:color w:val="auto"/>
                <w:sz w:val="24"/>
                <w:szCs w:val="24"/>
                <w:highlight w:val="none"/>
              </w:rPr>
            </w:pPr>
          </w:p>
        </w:tc>
      </w:tr>
      <w:tr w14:paraId="6B51F9D6">
        <w:tblPrEx>
          <w:tblCellMar>
            <w:top w:w="0" w:type="dxa"/>
            <w:left w:w="108" w:type="dxa"/>
            <w:bottom w:w="0" w:type="dxa"/>
            <w:right w:w="108" w:type="dxa"/>
          </w:tblCellMar>
        </w:tblPrEx>
        <w:trPr>
          <w:trHeight w:val="5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14:paraId="6C9100D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29" w:type="dxa"/>
            <w:tcBorders>
              <w:top w:val="single" w:color="auto" w:sz="4" w:space="0"/>
              <w:left w:val="nil"/>
              <w:bottom w:val="single" w:color="auto" w:sz="4" w:space="0"/>
              <w:right w:val="single" w:color="auto" w:sz="4" w:space="0"/>
            </w:tcBorders>
            <w:noWrap w:val="0"/>
            <w:vAlign w:val="center"/>
          </w:tcPr>
          <w:p w14:paraId="57C86954">
            <w:pPr>
              <w:spacing w:line="360" w:lineRule="auto"/>
              <w:ind w:firstLine="420"/>
              <w:rPr>
                <w:rFonts w:hint="eastAsia" w:ascii="仿宋" w:hAnsi="仿宋" w:eastAsia="仿宋" w:cs="仿宋"/>
                <w:color w:val="auto"/>
                <w:sz w:val="24"/>
                <w:szCs w:val="24"/>
                <w:highlight w:val="none"/>
              </w:rPr>
            </w:pPr>
          </w:p>
        </w:tc>
        <w:tc>
          <w:tcPr>
            <w:tcW w:w="1603" w:type="dxa"/>
            <w:tcBorders>
              <w:top w:val="single" w:color="auto" w:sz="4" w:space="0"/>
              <w:left w:val="nil"/>
              <w:bottom w:val="single" w:color="auto" w:sz="4" w:space="0"/>
              <w:right w:val="single" w:color="auto" w:sz="4" w:space="0"/>
            </w:tcBorders>
            <w:noWrap w:val="0"/>
            <w:vAlign w:val="center"/>
          </w:tcPr>
          <w:p w14:paraId="76D3D7F6">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single" w:color="auto" w:sz="4" w:space="0"/>
              <w:right w:val="single" w:color="auto" w:sz="4" w:space="0"/>
            </w:tcBorders>
            <w:noWrap w:val="0"/>
            <w:vAlign w:val="center"/>
          </w:tcPr>
          <w:p w14:paraId="16477BD6">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single" w:color="auto" w:sz="4" w:space="0"/>
              <w:right w:val="single" w:color="auto" w:sz="4" w:space="0"/>
            </w:tcBorders>
            <w:noWrap w:val="0"/>
            <w:vAlign w:val="center"/>
          </w:tcPr>
          <w:p w14:paraId="5020F41A">
            <w:pPr>
              <w:spacing w:line="360" w:lineRule="auto"/>
              <w:ind w:firstLine="420"/>
              <w:rPr>
                <w:rFonts w:hint="eastAsia" w:ascii="仿宋" w:hAnsi="仿宋" w:eastAsia="仿宋" w:cs="仿宋"/>
                <w:color w:val="auto"/>
                <w:sz w:val="24"/>
                <w:szCs w:val="24"/>
                <w:highlight w:val="none"/>
              </w:rPr>
            </w:pPr>
          </w:p>
        </w:tc>
        <w:tc>
          <w:tcPr>
            <w:tcW w:w="1056" w:type="dxa"/>
            <w:tcBorders>
              <w:top w:val="single" w:color="auto" w:sz="4" w:space="0"/>
              <w:left w:val="nil"/>
              <w:bottom w:val="single" w:color="auto" w:sz="4" w:space="0"/>
              <w:right w:val="single" w:color="auto" w:sz="4" w:space="0"/>
            </w:tcBorders>
            <w:noWrap w:val="0"/>
            <w:vAlign w:val="center"/>
          </w:tcPr>
          <w:p w14:paraId="5A8670CE">
            <w:pPr>
              <w:spacing w:line="360" w:lineRule="auto"/>
              <w:ind w:firstLine="420"/>
              <w:rPr>
                <w:rFonts w:hint="eastAsia" w:ascii="仿宋" w:hAnsi="仿宋" w:eastAsia="仿宋" w:cs="仿宋"/>
                <w:color w:val="auto"/>
                <w:sz w:val="24"/>
                <w:szCs w:val="24"/>
                <w:highlight w:val="none"/>
              </w:rPr>
            </w:pPr>
          </w:p>
        </w:tc>
        <w:tc>
          <w:tcPr>
            <w:tcW w:w="1535" w:type="dxa"/>
            <w:tcBorders>
              <w:top w:val="single" w:color="auto" w:sz="4" w:space="0"/>
              <w:left w:val="nil"/>
              <w:bottom w:val="single" w:color="auto" w:sz="4" w:space="0"/>
              <w:right w:val="single" w:color="auto" w:sz="4" w:space="0"/>
            </w:tcBorders>
            <w:noWrap w:val="0"/>
            <w:vAlign w:val="center"/>
          </w:tcPr>
          <w:p w14:paraId="75E4A17E">
            <w:pPr>
              <w:spacing w:line="360" w:lineRule="auto"/>
              <w:ind w:firstLine="560"/>
              <w:rPr>
                <w:rFonts w:hint="eastAsia" w:ascii="仿宋" w:hAnsi="仿宋" w:eastAsia="仿宋" w:cs="仿宋"/>
                <w:color w:val="auto"/>
                <w:sz w:val="24"/>
                <w:szCs w:val="24"/>
                <w:highlight w:val="none"/>
              </w:rPr>
            </w:pPr>
          </w:p>
        </w:tc>
        <w:tc>
          <w:tcPr>
            <w:tcW w:w="972" w:type="dxa"/>
            <w:tcBorders>
              <w:top w:val="single" w:color="auto" w:sz="4" w:space="0"/>
              <w:left w:val="nil"/>
              <w:bottom w:val="single" w:color="auto" w:sz="4" w:space="0"/>
              <w:right w:val="single" w:color="auto" w:sz="4" w:space="0"/>
            </w:tcBorders>
            <w:noWrap w:val="0"/>
            <w:vAlign w:val="center"/>
          </w:tcPr>
          <w:p w14:paraId="41BC6F5A">
            <w:pPr>
              <w:spacing w:line="360" w:lineRule="auto"/>
              <w:ind w:firstLine="560"/>
              <w:rPr>
                <w:rFonts w:hint="eastAsia" w:ascii="仿宋" w:hAnsi="仿宋" w:eastAsia="仿宋" w:cs="仿宋"/>
                <w:color w:val="auto"/>
                <w:sz w:val="24"/>
                <w:szCs w:val="24"/>
                <w:highlight w:val="none"/>
              </w:rPr>
            </w:pPr>
          </w:p>
        </w:tc>
      </w:tr>
      <w:tr w14:paraId="46BE9733">
        <w:tblPrEx>
          <w:tblCellMar>
            <w:top w:w="0" w:type="dxa"/>
            <w:left w:w="108" w:type="dxa"/>
            <w:bottom w:w="0" w:type="dxa"/>
            <w:right w:w="108" w:type="dxa"/>
          </w:tblCellMar>
        </w:tblPrEx>
        <w:trPr>
          <w:trHeight w:val="540" w:hRule="atLeast"/>
        </w:trPr>
        <w:tc>
          <w:tcPr>
            <w:tcW w:w="950" w:type="dxa"/>
            <w:tcBorders>
              <w:top w:val="single" w:color="auto" w:sz="4" w:space="0"/>
              <w:left w:val="single" w:color="auto" w:sz="4" w:space="0"/>
              <w:bottom w:val="nil"/>
              <w:right w:val="single" w:color="auto" w:sz="4" w:space="0"/>
            </w:tcBorders>
            <w:noWrap w:val="0"/>
            <w:vAlign w:val="center"/>
          </w:tcPr>
          <w:p w14:paraId="1119ABA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29" w:type="dxa"/>
            <w:tcBorders>
              <w:top w:val="single" w:color="auto" w:sz="4" w:space="0"/>
              <w:left w:val="nil"/>
              <w:bottom w:val="nil"/>
              <w:right w:val="single" w:color="auto" w:sz="4" w:space="0"/>
            </w:tcBorders>
            <w:noWrap w:val="0"/>
            <w:vAlign w:val="center"/>
          </w:tcPr>
          <w:p w14:paraId="6FE0AE6B">
            <w:pPr>
              <w:spacing w:line="360" w:lineRule="auto"/>
              <w:ind w:firstLine="420"/>
              <w:rPr>
                <w:rFonts w:hint="eastAsia" w:ascii="仿宋" w:hAnsi="仿宋" w:eastAsia="仿宋" w:cs="仿宋"/>
                <w:color w:val="auto"/>
                <w:sz w:val="24"/>
                <w:szCs w:val="24"/>
                <w:highlight w:val="none"/>
              </w:rPr>
            </w:pPr>
          </w:p>
        </w:tc>
        <w:tc>
          <w:tcPr>
            <w:tcW w:w="1603" w:type="dxa"/>
            <w:tcBorders>
              <w:top w:val="single" w:color="auto" w:sz="4" w:space="0"/>
              <w:left w:val="nil"/>
              <w:bottom w:val="nil"/>
              <w:right w:val="single" w:color="auto" w:sz="4" w:space="0"/>
            </w:tcBorders>
            <w:noWrap w:val="0"/>
            <w:vAlign w:val="center"/>
          </w:tcPr>
          <w:p w14:paraId="072E2EEB">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nil"/>
              <w:right w:val="single" w:color="auto" w:sz="4" w:space="0"/>
            </w:tcBorders>
            <w:noWrap w:val="0"/>
            <w:vAlign w:val="center"/>
          </w:tcPr>
          <w:p w14:paraId="1963B410">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nil"/>
              <w:right w:val="single" w:color="auto" w:sz="4" w:space="0"/>
            </w:tcBorders>
            <w:noWrap w:val="0"/>
            <w:vAlign w:val="center"/>
          </w:tcPr>
          <w:p w14:paraId="4B2D7815">
            <w:pPr>
              <w:spacing w:line="360" w:lineRule="auto"/>
              <w:ind w:firstLine="420"/>
              <w:rPr>
                <w:rFonts w:hint="eastAsia" w:ascii="仿宋" w:hAnsi="仿宋" w:eastAsia="仿宋" w:cs="仿宋"/>
                <w:color w:val="auto"/>
                <w:sz w:val="24"/>
                <w:szCs w:val="24"/>
                <w:highlight w:val="none"/>
              </w:rPr>
            </w:pPr>
          </w:p>
        </w:tc>
        <w:tc>
          <w:tcPr>
            <w:tcW w:w="1056" w:type="dxa"/>
            <w:tcBorders>
              <w:top w:val="single" w:color="auto" w:sz="4" w:space="0"/>
              <w:left w:val="nil"/>
              <w:bottom w:val="nil"/>
              <w:right w:val="single" w:color="auto" w:sz="4" w:space="0"/>
            </w:tcBorders>
            <w:noWrap w:val="0"/>
            <w:vAlign w:val="center"/>
          </w:tcPr>
          <w:p w14:paraId="3EC998AF">
            <w:pPr>
              <w:spacing w:line="360" w:lineRule="auto"/>
              <w:ind w:firstLine="420"/>
              <w:rPr>
                <w:rFonts w:hint="eastAsia" w:ascii="仿宋" w:hAnsi="仿宋" w:eastAsia="仿宋" w:cs="仿宋"/>
                <w:color w:val="auto"/>
                <w:sz w:val="24"/>
                <w:szCs w:val="24"/>
                <w:highlight w:val="none"/>
              </w:rPr>
            </w:pPr>
          </w:p>
        </w:tc>
        <w:tc>
          <w:tcPr>
            <w:tcW w:w="1535" w:type="dxa"/>
            <w:tcBorders>
              <w:top w:val="single" w:color="auto" w:sz="4" w:space="0"/>
              <w:left w:val="nil"/>
              <w:bottom w:val="nil"/>
              <w:right w:val="single" w:color="auto" w:sz="4" w:space="0"/>
            </w:tcBorders>
            <w:noWrap w:val="0"/>
            <w:vAlign w:val="center"/>
          </w:tcPr>
          <w:p w14:paraId="6D9A52CF">
            <w:pPr>
              <w:spacing w:line="360" w:lineRule="auto"/>
              <w:ind w:firstLine="560"/>
              <w:rPr>
                <w:rFonts w:hint="eastAsia" w:ascii="仿宋" w:hAnsi="仿宋" w:eastAsia="仿宋" w:cs="仿宋"/>
                <w:color w:val="auto"/>
                <w:sz w:val="24"/>
                <w:szCs w:val="24"/>
                <w:highlight w:val="none"/>
              </w:rPr>
            </w:pPr>
          </w:p>
        </w:tc>
        <w:tc>
          <w:tcPr>
            <w:tcW w:w="972" w:type="dxa"/>
            <w:tcBorders>
              <w:top w:val="single" w:color="auto" w:sz="4" w:space="0"/>
              <w:left w:val="nil"/>
              <w:bottom w:val="nil"/>
              <w:right w:val="single" w:color="auto" w:sz="4" w:space="0"/>
            </w:tcBorders>
            <w:noWrap w:val="0"/>
            <w:vAlign w:val="top"/>
          </w:tcPr>
          <w:p w14:paraId="700AB108">
            <w:pPr>
              <w:spacing w:line="360" w:lineRule="auto"/>
              <w:ind w:firstLine="560"/>
              <w:rPr>
                <w:rFonts w:hint="eastAsia" w:ascii="仿宋" w:hAnsi="仿宋" w:eastAsia="仿宋" w:cs="仿宋"/>
                <w:color w:val="auto"/>
                <w:sz w:val="24"/>
                <w:szCs w:val="24"/>
                <w:highlight w:val="none"/>
              </w:rPr>
            </w:pPr>
          </w:p>
        </w:tc>
      </w:tr>
      <w:tr w14:paraId="6EAD6B09">
        <w:tblPrEx>
          <w:tblCellMar>
            <w:top w:w="0" w:type="dxa"/>
            <w:left w:w="108" w:type="dxa"/>
            <w:bottom w:w="0" w:type="dxa"/>
            <w:right w:w="108" w:type="dxa"/>
          </w:tblCellMar>
        </w:tblPrEx>
        <w:trPr>
          <w:trHeight w:val="540" w:hRule="atLeast"/>
        </w:trPr>
        <w:tc>
          <w:tcPr>
            <w:tcW w:w="9739" w:type="dxa"/>
            <w:gridSpan w:val="8"/>
            <w:tcBorders>
              <w:top w:val="single" w:color="auto" w:sz="4" w:space="0"/>
              <w:left w:val="single" w:color="auto" w:sz="4" w:space="0"/>
              <w:bottom w:val="single" w:color="auto" w:sz="4" w:space="0"/>
              <w:right w:val="single" w:color="auto" w:sz="4" w:space="0"/>
            </w:tcBorders>
            <w:noWrap w:val="0"/>
            <w:vAlign w:val="center"/>
          </w:tcPr>
          <w:p w14:paraId="7B4A698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说明：含运输费、装卸费、技术指导、增值税</w:t>
            </w:r>
          </w:p>
        </w:tc>
      </w:tr>
    </w:tbl>
    <w:p w14:paraId="33BDADC1">
      <w:pPr>
        <w:spacing w:line="360" w:lineRule="auto"/>
        <w:rPr>
          <w:rFonts w:hint="eastAsia" w:ascii="仿宋" w:hAnsi="仿宋" w:eastAsia="仿宋" w:cs="仿宋"/>
          <w:color w:val="auto"/>
          <w:sz w:val="24"/>
          <w:szCs w:val="24"/>
          <w:highlight w:val="none"/>
        </w:rPr>
      </w:pPr>
    </w:p>
    <w:p w14:paraId="6DB995DB">
      <w:pPr>
        <w:spacing w:line="360" w:lineRule="auto"/>
        <w:ind w:left="210" w:leftChars="1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3、本合同为固定单价，本合同分项报价合计人民币小写</w:t>
      </w:r>
      <w:r>
        <w:rPr>
          <w:rFonts w:hint="eastAsia" w:ascii="仿宋" w:hAnsi="仿宋" w:eastAsia="仿宋" w:cs="仿宋"/>
          <w:color w:val="auto"/>
          <w:sz w:val="24"/>
          <w:szCs w:val="24"/>
          <w:highlight w:val="none"/>
          <w:u w:val="single"/>
        </w:rPr>
        <w:t>：   元</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 xml:space="preserve">整。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 </w:t>
      </w:r>
    </w:p>
    <w:p w14:paraId="3291017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p>
    <w:p w14:paraId="0697BEB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5、货物的证件要求和乙方责任：</w:t>
      </w:r>
    </w:p>
    <w:p w14:paraId="645F734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必须按照《医疗器械管理条例》、《医疗器械使用质量监督管理办法》等相关要求提供符合国家省、市有关医疗器械管理规定的各种证件（如：营业执照、生产企业许可证、经营许可证、医疗器械注册证或备案凭证）等证明文件。</w:t>
      </w:r>
    </w:p>
    <w:p w14:paraId="32FE76D5">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（2）乙方提供的上述各种证件必须完整、真实、有效，协议期内，证件到期更换时乙方应及时向甲方提供更换后的有效证件。</w:t>
      </w:r>
    </w:p>
    <w:p w14:paraId="2E9292A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4821874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b/>
          <w:color w:val="auto"/>
          <w:sz w:val="24"/>
          <w:szCs w:val="24"/>
          <w:highlight w:val="none"/>
        </w:rPr>
        <w:t>质量保证</w:t>
      </w:r>
    </w:p>
    <w:p w14:paraId="302C1D3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737BD9B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2、乙方保证本合同货物是全新的、未使用过的、标识清楚，并符合国家技术规格和国家质量标准的出厂原装合格产品，产品型号、数量、规格及技术、质量标准、售后服务必须满足甲方采购要求。</w:t>
      </w:r>
    </w:p>
    <w:p w14:paraId="4C84777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3、乙方保证向甲方提供的货品必须资质齐全、信誉好、质量高、性价比合理、售后有保障的产品。因产品资质或质量问题引发的医疗事故或纠纷，均由乙方承担全部损失。</w:t>
      </w:r>
    </w:p>
    <w:p w14:paraId="28C3F05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4、乙方提供的货物进入甲方后，应接受国家、省、市有关行业主管部门的抽查或检查。由此发生的资质、标识或产品质量问题的罚没事项均由乙方自行承担。</w:t>
      </w:r>
    </w:p>
    <w:p w14:paraId="239210A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5、货物在交货过程中，发生意外事故和故障损失，如撞、刮、裂、损等均由乙方承担责任。</w:t>
      </w:r>
    </w:p>
    <w:p w14:paraId="39309679">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6、乙方提供的产品，如发生过期、失效等问题时，由乙方全部负责，且自收到甲方书面通知后7日内无条件予以补充或调换。</w:t>
      </w:r>
    </w:p>
    <w:p w14:paraId="3E532729">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四、质量保证期</w:t>
      </w:r>
    </w:p>
    <w:p w14:paraId="1806562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1、质保期自甲方书面验收合格后，乙方开具发票之日起计算。</w:t>
      </w:r>
    </w:p>
    <w:p w14:paraId="61DEAFB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2、乙方提供产品的具体质保期以相关产品生产厂家提供的质保期为准。</w:t>
      </w:r>
    </w:p>
    <w:p w14:paraId="1928014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3、在质量保证期内，因产品质量出现问题，乙方负责免费更换，并承担与更换有关的运费、安装、调试、保险等一切费用。</w:t>
      </w:r>
    </w:p>
    <w:p w14:paraId="6A498CA6">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五、交货时间、地点</w:t>
      </w:r>
    </w:p>
    <w:p w14:paraId="7C73539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54D93AD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2、在应急情况下（自然灾害等不可抗力因素情况除外），产品应于1小时内送到甲方指定地点，正常情况下产品24小时内送到甲方指定地点：</w:t>
      </w:r>
      <w:r>
        <w:rPr>
          <w:rFonts w:hint="eastAsia" w:ascii="仿宋" w:hAnsi="仿宋" w:eastAsia="仿宋" w:cs="仿宋"/>
          <w:color w:val="auto"/>
          <w:sz w:val="24"/>
          <w:szCs w:val="24"/>
          <w:highlight w:val="none"/>
          <w:u w:val="single"/>
          <w:lang w:val="en-US" w:eastAsia="zh-CN"/>
        </w:rPr>
        <w:t>哈巴河县人民医院</w:t>
      </w:r>
      <w:r>
        <w:rPr>
          <w:rFonts w:hint="eastAsia" w:ascii="仿宋" w:hAnsi="仿宋" w:eastAsia="仿宋" w:cs="仿宋"/>
          <w:color w:val="auto"/>
          <w:sz w:val="24"/>
          <w:szCs w:val="24"/>
          <w:highlight w:val="none"/>
        </w:rPr>
        <w:t>,节假日保证按时配送。如甲方有特殊配送需求的，乙方必须设法满足，如不能按时到货，造成甲方损失的，乙方将按第九条向甲方承担违约责任。</w:t>
      </w:r>
    </w:p>
    <w:p w14:paraId="0CCDD206">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3、到货地点和接货单位（或接货人）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哈巴河县人民医院</w:t>
      </w:r>
      <w:r>
        <w:rPr>
          <w:rFonts w:hint="eastAsia" w:ascii="仿宋" w:hAnsi="仿宋" w:eastAsia="仿宋" w:cs="仿宋"/>
          <w:color w:val="auto"/>
          <w:sz w:val="24"/>
          <w:szCs w:val="24"/>
          <w:highlight w:val="none"/>
        </w:rPr>
        <w:t>。甲方指定的接货人为：姓名：电话号码：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；双方明确，除该指定接货人外，其他任何人员（包括甲方的其他任何工作人员）签署的接货单，甲方均不予认可。</w:t>
      </w:r>
    </w:p>
    <w:p w14:paraId="1EB7442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4、在交付时，乙方必须向甲方提供质量合格证书等一切相关资料及配件，否则，甲方有权不予付款且不承担违约责任。</w:t>
      </w:r>
    </w:p>
    <w:p w14:paraId="7DF72DB5">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六、产品包装及运输</w:t>
      </w:r>
    </w:p>
    <w:p w14:paraId="4334C9ED">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１、包装必须与运输方式相适应，包装方式的确定和包装费用均由乙方负责;由于不适当的包装而造成的货物有任何的损坏由乙方负责。</w:t>
      </w:r>
    </w:p>
    <w:p w14:paraId="1D06174F">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37E4678A">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3、包装费、运输费、装卸费和保险费均已包含在合同单价内。</w:t>
      </w:r>
    </w:p>
    <w:p w14:paraId="6B80C7D6">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4、运输途中的货物安全问题均由乙方负责。</w:t>
      </w:r>
    </w:p>
    <w:p w14:paraId="63C0AA71">
      <w:pPr>
        <w:spacing w:line="360" w:lineRule="auto"/>
        <w:ind w:firstLine="562"/>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七、验收</w:t>
      </w:r>
    </w:p>
    <w:p w14:paraId="1894B43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548B44A6">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2、数量: 乙方交货时，甲乙双方应各指定一名工作人员对货物数量进行统计，交货完成后，就甲方验收合格的货物数量，由双方各自指定的工作人员在随货通行单上签字确认，随货通行单一式肆份，作为今后双方结算的依据之一。</w:t>
      </w:r>
    </w:p>
    <w:p w14:paraId="2041B9E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p>
    <w:p w14:paraId="76A814D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4101240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货物的有效期至少在一年以上，如发现有效期少于三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05B1F61F">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八、货款的支付</w:t>
      </w:r>
    </w:p>
    <w:p w14:paraId="150EE8AE">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1、本合同为固定单价，合同总价按甲方付款计划以合同单价乘以甲方实际采购并书面验收合格的数量确定总价进行支付。</w:t>
      </w:r>
    </w:p>
    <w:p w14:paraId="1679C50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071B372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3、甲方支付上述任何一笔款项前，乙方应提供符合甲方财务做账要求的正规全额增值税发票，否则，甲方有权拒付款项且不承担违约责任。 </w:t>
      </w:r>
    </w:p>
    <w:p w14:paraId="3BA7BD0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4、甲方将上述款项支付至乙方指定的如下银行账户：</w:t>
      </w:r>
    </w:p>
    <w:p w14:paraId="167B4231">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开户行：</w:t>
      </w:r>
    </w:p>
    <w:p w14:paraId="1709A6D5">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账户名称：</w:t>
      </w:r>
    </w:p>
    <w:p w14:paraId="37A417F6">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银行账号：</w:t>
      </w:r>
    </w:p>
    <w:p w14:paraId="2F9A8566">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24E74D5F">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九、违约责任</w:t>
      </w:r>
    </w:p>
    <w:p w14:paraId="51027D7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每发生一次，乙方向甲方承担本次货款的20%的违约金。乙方出现三次不按时配送、延迟配送的情形，甲方有权解除合同并有权要求乙方承担合同总金额20%的违约金。</w:t>
      </w:r>
    </w:p>
    <w:p w14:paraId="795EFF1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2）乙方必须确保投标的产品和供货的产品一致，如发现供货产品生产厂家、质量和招标时不符的情况，甲方有权立即要求乙方退货、解除合同，并要求乙方承担合同总金额20%的违约金。</w:t>
      </w:r>
    </w:p>
    <w:p w14:paraId="5D408A63">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5F1D7E1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2FE85ED6">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5）上述条款中约定的违约金如不能弥补甲方实际损失的，以甲方实际损失为准（包括但不限于第三方索赔、律师费、诉讼费、鉴定费、公证费、差旅费等甲方采取诉讼途径发生的一切费用）。</w:t>
      </w:r>
    </w:p>
    <w:p w14:paraId="17F0F3F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592E1677">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十、争议的解决</w:t>
      </w:r>
    </w:p>
    <w:p w14:paraId="54E02A2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本合同如发生纠纷，当事人双方应当及时协商解决，协商不成时，可提交甲方所在地法院诉讼解决。</w:t>
      </w:r>
    </w:p>
    <w:p w14:paraId="65A36C3C">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十一、合同的生效与文本</w:t>
      </w:r>
    </w:p>
    <w:p w14:paraId="05B8C5F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1、本合同经双方法定代表人签字或单位盖章或双方委托代理人签字成立生效。</w:t>
      </w:r>
    </w:p>
    <w:p w14:paraId="34590CEE">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2、本合同一式陆份，甲方执伍份，乙方执壹份，具有同等法律效力。</w:t>
      </w:r>
    </w:p>
    <w:p w14:paraId="29ED5B9B">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十二、其他</w:t>
      </w:r>
    </w:p>
    <w:p w14:paraId="2574634A">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1、本合同有效期自</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日起至</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止；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甲方无需向乙方承担任何违约责任，乙方对此无异议。</w:t>
      </w:r>
    </w:p>
    <w:p w14:paraId="08E4F82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2、和本合同相关的双方往来函件(包括传真件、电子邮件)与原件具有同等的法律效力，修改无效。</w:t>
      </w:r>
    </w:p>
    <w:p w14:paraId="4D28978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首尾部分签字页双方提供的双方信息，为双方确认的各方准确有效的送达地址信息，如有变更应书面通知对方，未通知视为未变更。双方同意按前述地址向对方送达各类文件、函件等，寄出及发送时间为送达时间。</w:t>
      </w:r>
    </w:p>
    <w:p w14:paraId="12EF757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4、与本合同有关的招投标文件、答疑附件、合同附件等均是本合同不可分割的组成部分，与本合同具有同等法律效力，其他未尽事宜从其规定。</w:t>
      </w:r>
    </w:p>
    <w:p w14:paraId="1122B5D0">
      <w:pPr>
        <w:spacing w:line="360" w:lineRule="auto"/>
        <w:ind w:firstLine="560"/>
        <w:rPr>
          <w:rFonts w:hint="eastAsia" w:ascii="仿宋" w:hAnsi="仿宋" w:eastAsia="仿宋" w:cs="仿宋"/>
          <w:color w:val="auto"/>
          <w:sz w:val="24"/>
          <w:szCs w:val="24"/>
          <w:highlight w:val="none"/>
        </w:rPr>
      </w:pPr>
    </w:p>
    <w:p w14:paraId="2D07B389">
      <w:pPr>
        <w:spacing w:line="360" w:lineRule="auto"/>
        <w:ind w:firstLine="560"/>
        <w:outlineLvl w:val="0"/>
        <w:rPr>
          <w:rFonts w:hint="eastAsia" w:ascii="仿宋" w:hAnsi="仿宋" w:eastAsia="仿宋" w:cs="仿宋"/>
          <w:color w:val="auto"/>
          <w:sz w:val="24"/>
          <w:szCs w:val="24"/>
          <w:highlight w:val="none"/>
        </w:rPr>
      </w:pPr>
      <w:bookmarkStart w:id="142" w:name="_Toc29123"/>
      <w:r>
        <w:rPr>
          <w:rFonts w:hint="eastAsia" w:ascii="仿宋" w:hAnsi="仿宋" w:eastAsia="仿宋" w:cs="仿宋"/>
          <w:color w:val="auto"/>
          <w:sz w:val="24"/>
          <w:szCs w:val="24"/>
          <w:highlight w:val="none"/>
        </w:rPr>
        <w:t>（以下无正文，为本合同签署页）</w:t>
      </w:r>
      <w:bookmarkEnd w:id="142"/>
    </w:p>
    <w:p w14:paraId="21F1849D">
      <w:pPr>
        <w:spacing w:line="360" w:lineRule="auto"/>
        <w:ind w:firstLine="560"/>
        <w:rPr>
          <w:rFonts w:hint="eastAsia" w:ascii="仿宋" w:hAnsi="仿宋" w:eastAsia="仿宋" w:cs="仿宋"/>
          <w:color w:val="auto"/>
          <w:sz w:val="24"/>
          <w:szCs w:val="24"/>
          <w:highlight w:val="none"/>
        </w:rPr>
      </w:pPr>
    </w:p>
    <w:p w14:paraId="26B30D60">
      <w:pPr>
        <w:spacing w:line="360" w:lineRule="auto"/>
        <w:ind w:left="6360" w:hanging="6360" w:hangingChars="2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5FDA2DD5">
      <w:pPr>
        <w:spacing w:line="360" w:lineRule="auto"/>
        <w:ind w:left="6360" w:hanging="6360" w:hangingChars="26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p>
    <w:p w14:paraId="37121D35">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 同 章：                                         合 同 章：</w:t>
      </w:r>
    </w:p>
    <w:p w14:paraId="5EAFBFFE">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法人签字：                                         法人签字：</w:t>
      </w:r>
    </w:p>
    <w:p w14:paraId="0F75D9C7">
      <w:pPr>
        <w:autoSpaceDE w:val="0"/>
        <w:autoSpaceDN w:val="0"/>
        <w:adjustRightInd w:val="0"/>
        <w:spacing w:line="360" w:lineRule="auto"/>
        <w:ind w:left="-230" w:leftChars="-256" w:hanging="307" w:hangingChars="1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授权代表签字：                                    授权代表签字：</w:t>
      </w:r>
    </w:p>
    <w:p w14:paraId="77FED993">
      <w:pPr>
        <w:autoSpaceDE w:val="0"/>
        <w:autoSpaceDN w:val="0"/>
        <w:adjustRightInd w:val="0"/>
        <w:spacing w:line="360" w:lineRule="auto"/>
        <w:ind w:left="-230" w:leftChars="-256" w:hanging="307" w:hangingChars="1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电话：</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电话：</w:t>
      </w:r>
    </w:p>
    <w:p w14:paraId="033FD814">
      <w:pPr>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纳税人识别号                                      纳税人识别号：</w:t>
      </w:r>
    </w:p>
    <w:p w14:paraId="0FC4BEFB">
      <w:pPr>
        <w:autoSpaceDE w:val="0"/>
        <w:autoSpaceDN w:val="0"/>
        <w:adjustRightInd w:val="0"/>
        <w:spacing w:line="360" w:lineRule="auto"/>
        <w:ind w:left="5400" w:hanging="5400" w:hangingChars="225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val="en-US" w:eastAsia="zh-CN"/>
        </w:rPr>
        <w:t xml:space="preserve">                                             地址：</w:t>
      </w:r>
    </w:p>
    <w:p w14:paraId="4E910B7A">
      <w:pPr>
        <w:autoSpaceDE w:val="0"/>
        <w:autoSpaceDN w:val="0"/>
        <w:adjustRightInd w:val="0"/>
        <w:spacing w:line="360" w:lineRule="auto"/>
        <w:ind w:left="5400" w:hanging="5400" w:hangingChars="22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72D58E58">
      <w:pPr>
        <w:autoSpaceDE w:val="0"/>
        <w:autoSpaceDN w:val="0"/>
        <w:adjustRightInd w:val="0"/>
        <w:spacing w:line="360" w:lineRule="auto"/>
        <w:ind w:left="5520" w:hanging="5520" w:hanging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开户行：                                          开户行：</w:t>
      </w:r>
    </w:p>
    <w:p w14:paraId="5A831002">
      <w:pPr>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行号：                                            行号：</w:t>
      </w:r>
    </w:p>
    <w:p w14:paraId="4CA9F6A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                                        银行账号：</w:t>
      </w:r>
    </w:p>
    <w:p w14:paraId="579245A6">
      <w:pPr>
        <w:pStyle w:val="27"/>
        <w:spacing w:line="52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签订时间：  年  月  日                            签订时间：  年  月  日</w:t>
      </w:r>
    </w:p>
    <w:p w14:paraId="0A7B49BC">
      <w:pPr>
        <w:pStyle w:val="10"/>
        <w:shd w:val="clear" w:color="auto" w:fill="auto"/>
        <w:spacing w:after="0" w:line="400" w:lineRule="exact"/>
        <w:ind w:left="0" w:leftChars="0" w:firstLine="480" w:firstLineChars="200"/>
        <w:rPr>
          <w:rFonts w:hint="eastAsia" w:ascii="仿宋" w:hAnsi="仿宋" w:eastAsia="仿宋" w:cs="仿宋"/>
          <w:color w:val="auto"/>
          <w:kern w:val="0"/>
          <w:sz w:val="24"/>
          <w:szCs w:val="24"/>
          <w:highlight w:val="none"/>
          <w:u w:val="none" w:color="000000"/>
        </w:rPr>
      </w:pPr>
    </w:p>
    <w:bookmarkEnd w:id="133"/>
    <w:p w14:paraId="0BD2C093">
      <w:pPr>
        <w:spacing w:line="580" w:lineRule="exact"/>
        <w:outlineLvl w:val="9"/>
        <w:rPr>
          <w:rFonts w:hint="eastAsia" w:ascii="仿宋" w:hAnsi="仿宋" w:eastAsia="仿宋" w:cs="仿宋"/>
          <w:color w:val="auto"/>
          <w:kern w:val="0"/>
          <w:sz w:val="24"/>
          <w:szCs w:val="24"/>
          <w:highlight w:val="none"/>
        </w:rPr>
      </w:pPr>
      <w:bookmarkStart w:id="143" w:name="_Toc16530"/>
      <w:r>
        <w:rPr>
          <w:rFonts w:hint="eastAsia" w:ascii="仿宋" w:hAnsi="仿宋" w:eastAsia="仿宋" w:cs="仿宋"/>
          <w:b/>
          <w:color w:val="auto"/>
          <w:sz w:val="24"/>
          <w:szCs w:val="24"/>
          <w:highlight w:val="none"/>
        </w:rPr>
        <w:br w:type="page"/>
      </w:r>
      <w:bookmarkEnd w:id="134"/>
      <w:bookmarkEnd w:id="135"/>
      <w:bookmarkEnd w:id="136"/>
      <w:bookmarkEnd w:id="137"/>
      <w:bookmarkEnd w:id="138"/>
      <w:bookmarkEnd w:id="139"/>
      <w:bookmarkEnd w:id="140"/>
      <w:bookmarkEnd w:id="141"/>
      <w:bookmarkEnd w:id="143"/>
    </w:p>
    <w:p w14:paraId="33D4BFAD">
      <w:pPr>
        <w:spacing w:line="520" w:lineRule="exact"/>
        <w:ind w:left="560" w:firstLine="720" w:firstLineChars="200"/>
        <w:outlineLvl w:val="9"/>
        <w:rPr>
          <w:rFonts w:hint="eastAsia" w:ascii="仿宋" w:hAnsi="仿宋" w:eastAsia="仿宋" w:cs="仿宋"/>
          <w:b/>
          <w:color w:val="auto"/>
          <w:sz w:val="36"/>
          <w:highlight w:val="none"/>
        </w:rPr>
      </w:pPr>
    </w:p>
    <w:p w14:paraId="75676D73">
      <w:pPr>
        <w:numPr>
          <w:ilvl w:val="0"/>
          <w:numId w:val="32"/>
        </w:numPr>
        <w:spacing w:line="360" w:lineRule="atLeast"/>
        <w:ind w:left="0" w:leftChars="0" w:firstLine="0" w:firstLineChars="0"/>
        <w:jc w:val="center"/>
        <w:outlineLvl w:val="0"/>
        <w:rPr>
          <w:rFonts w:hint="eastAsia" w:ascii="仿宋" w:hAnsi="仿宋" w:eastAsia="仿宋" w:cs="仿宋"/>
          <w:b/>
          <w:color w:val="auto"/>
          <w:sz w:val="36"/>
          <w:highlight w:val="none"/>
        </w:rPr>
      </w:pPr>
      <w:bookmarkStart w:id="144" w:name="_Toc8939"/>
      <w:bookmarkStart w:id="145" w:name="_Toc32653"/>
      <w:r>
        <w:rPr>
          <w:rFonts w:hint="eastAsia" w:ascii="仿宋" w:hAnsi="仿宋" w:eastAsia="仿宋" w:cs="仿宋"/>
          <w:b/>
          <w:color w:val="auto"/>
          <w:sz w:val="36"/>
          <w:highlight w:val="none"/>
        </w:rPr>
        <w:t>投标书格式</w:t>
      </w:r>
      <w:bookmarkEnd w:id="144"/>
      <w:bookmarkEnd w:id="145"/>
      <w:bookmarkStart w:id="146" w:name="_Toc61184635"/>
      <w:bookmarkStart w:id="147" w:name="_Toc56170392"/>
    </w:p>
    <w:p w14:paraId="0A19850E">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F51701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ABD2683">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6EDB5DC">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1A76C5A">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DA42B21">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5300730">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362FDCE">
      <w:pPr>
        <w:numPr>
          <w:ilvl w:val="0"/>
          <w:numId w:val="0"/>
        </w:numPr>
        <w:spacing w:line="360" w:lineRule="atLeast"/>
        <w:ind w:leftChars="0"/>
        <w:jc w:val="center"/>
        <w:outlineLvl w:val="0"/>
        <w:rPr>
          <w:rFonts w:hint="default" w:ascii="仿宋" w:hAnsi="仿宋" w:eastAsia="仿宋" w:cs="仿宋"/>
          <w:b/>
          <w:color w:val="auto"/>
          <w:sz w:val="48"/>
          <w:szCs w:val="24"/>
          <w:highlight w:val="none"/>
          <w:lang w:val="en-US" w:eastAsia="zh-CN"/>
        </w:rPr>
      </w:pPr>
      <w:bookmarkStart w:id="148" w:name="_Toc6169"/>
      <w:r>
        <w:rPr>
          <w:rFonts w:hint="eastAsia" w:ascii="仿宋" w:hAnsi="仿宋" w:eastAsia="仿宋" w:cs="仿宋"/>
          <w:b/>
          <w:color w:val="auto"/>
          <w:sz w:val="48"/>
          <w:szCs w:val="24"/>
          <w:highlight w:val="none"/>
          <w:lang w:val="en-US" w:eastAsia="zh-CN"/>
        </w:rPr>
        <w:t>封皮格式自拟</w:t>
      </w:r>
      <w:bookmarkEnd w:id="148"/>
    </w:p>
    <w:p w14:paraId="67A26E80">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D88481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184DD10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16D3CF8E">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6D7B5A4">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237ABB2">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54D759C2">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300F856">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501C15A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0AFB88C">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0019A41">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92B4198">
      <w:pPr>
        <w:numPr>
          <w:ilvl w:val="0"/>
          <w:numId w:val="0"/>
        </w:numPr>
        <w:spacing w:line="360" w:lineRule="atLeast"/>
        <w:ind w:leftChars="0"/>
        <w:jc w:val="both"/>
        <w:outlineLvl w:val="9"/>
        <w:rPr>
          <w:rFonts w:hint="eastAsia" w:ascii="仿宋" w:hAnsi="仿宋" w:eastAsia="仿宋" w:cs="仿宋"/>
          <w:b/>
          <w:color w:val="auto"/>
          <w:sz w:val="36"/>
          <w:highlight w:val="none"/>
        </w:rPr>
      </w:pPr>
    </w:p>
    <w:bookmarkEnd w:id="146"/>
    <w:bookmarkEnd w:id="147"/>
    <w:p w14:paraId="24163E82">
      <w:pPr>
        <w:jc w:val="center"/>
        <w:outlineLvl w:val="1"/>
        <w:rPr>
          <w:rFonts w:hint="eastAsia" w:ascii="仿宋" w:hAnsi="仿宋" w:eastAsia="仿宋" w:cs="仿宋"/>
          <w:color w:val="auto"/>
          <w:highlight w:val="none"/>
        </w:rPr>
      </w:pPr>
      <w:bookmarkStart w:id="149" w:name="_Toc61184636"/>
      <w:bookmarkStart w:id="150" w:name="_Toc56170393"/>
      <w:bookmarkStart w:id="151" w:name="_Toc10657"/>
      <w:bookmarkStart w:id="152" w:name="_Toc13962"/>
      <w:r>
        <w:rPr>
          <w:rFonts w:hint="eastAsia" w:ascii="仿宋" w:hAnsi="仿宋" w:eastAsia="仿宋" w:cs="仿宋"/>
          <w:color w:val="auto"/>
          <w:sz w:val="28"/>
          <w:szCs w:val="28"/>
          <w:highlight w:val="none"/>
        </w:rPr>
        <w:t>附件一、投标书</w:t>
      </w:r>
      <w:bookmarkEnd w:id="149"/>
      <w:bookmarkEnd w:id="150"/>
      <w:bookmarkEnd w:id="151"/>
      <w:bookmarkEnd w:id="152"/>
    </w:p>
    <w:p w14:paraId="71148141">
      <w:pPr>
        <w:pStyle w:val="36"/>
        <w:spacing w:line="360" w:lineRule="auto"/>
        <w:ind w:firstLine="0" w:firstLineChars="0"/>
        <w:jc w:val="both"/>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新疆浩瑞兴建设工程项目管理咨询有限公司</w:t>
      </w:r>
      <w:r>
        <w:rPr>
          <w:rFonts w:hint="eastAsia" w:ascii="仿宋" w:hAnsi="仿宋" w:eastAsia="仿宋" w:cs="仿宋"/>
          <w:b w:val="0"/>
          <w:color w:val="auto"/>
          <w:sz w:val="24"/>
          <w:szCs w:val="24"/>
          <w:highlight w:val="none"/>
        </w:rPr>
        <w:t>：</w:t>
      </w:r>
    </w:p>
    <w:p w14:paraId="2596088D">
      <w:pPr>
        <w:spacing w:line="360" w:lineRule="auto"/>
        <w:ind w:firstLine="420"/>
        <w:outlineLvl w:val="9"/>
        <w:rPr>
          <w:rFonts w:hint="eastAsia" w:ascii="仿宋" w:hAnsi="仿宋" w:eastAsia="仿宋" w:cs="仿宋"/>
          <w:color w:val="auto"/>
          <w:sz w:val="24"/>
          <w:szCs w:val="24"/>
          <w:highlight w:val="none"/>
        </w:rPr>
      </w:pPr>
    </w:p>
    <w:p w14:paraId="17EC43F2">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我们收到你们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招标文件，经认真研究，我们决定参加投标。</w:t>
      </w:r>
    </w:p>
    <w:p w14:paraId="5DC12CC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⒈按照招标文件中的一切要求，提供投标货物、安装及技术服务，投标总价</w:t>
      </w:r>
    </w:p>
    <w:p w14:paraId="378A12DC">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元（用阿拉伯数字书写）人民币，明细见投标产品名称数量报价表。</w:t>
      </w:r>
    </w:p>
    <w:p w14:paraId="1A15C672">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⒉如果我们的响应文件被接受，我们将履行招标文件中规定的每一项要求，按期、按质、按量完成交货和完工任务。</w:t>
      </w:r>
    </w:p>
    <w:p w14:paraId="09F80BB5">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⒊我们同意按招标文件的规定，本响应文件的有效期为投标截止后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p>
    <w:p w14:paraId="6B83A8DC">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⒋我们愿意提供采购人在招标文件中要求的所有资料。</w:t>
      </w:r>
    </w:p>
    <w:p w14:paraId="7AC2C63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⒌我们认为你们有选择或拒绝任何投标者成交的权力。我们理解，最低报价不是成交的唯一条件。</w:t>
      </w:r>
    </w:p>
    <w:p w14:paraId="37697BF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⒍我们愿按合同法履行自己的全部责任。</w:t>
      </w:r>
    </w:p>
    <w:p w14:paraId="155C7AA7">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⒎我方愿意遵守国家有关规定及招标文件中规定的收费标准，承付成交服务费。</w:t>
      </w:r>
    </w:p>
    <w:p w14:paraId="7C333B38">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⒏该项承诺在开标后的全过程中保持有效，不作任何更改和变动。</w:t>
      </w:r>
    </w:p>
    <w:p w14:paraId="5299AB0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⒐我们同意按招标文件规定，交纳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大写：元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的投标保证金。并同意在确定最终成交供应商、发出成交通知书之后5个工作日内退还我公司的投标保证金。（如因特殊原因，在投标有效期之后确定成交供应商，本承诺依然有效。）</w:t>
      </w:r>
    </w:p>
    <w:p w14:paraId="26316ECB">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⒑综合说明：</w:t>
      </w:r>
    </w:p>
    <w:p w14:paraId="797EADF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（1）材料的详细技术参数、技术条件、技术标准、拟达到的质量标准和保险期限。</w:t>
      </w:r>
    </w:p>
    <w:p w14:paraId="18B93ED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（2）易损件、配件及供应方式。</w:t>
      </w:r>
    </w:p>
    <w:p w14:paraId="74F0DCFD">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（3）工程安装计划、组织机构及人员安排。</w:t>
      </w:r>
    </w:p>
    <w:p w14:paraId="617EBB7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w:t>
      </w:r>
    </w:p>
    <w:p w14:paraId="4048229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（6）运输方式。</w:t>
      </w:r>
    </w:p>
    <w:p w14:paraId="3E95F986">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（7）要求项目单位提供的配合。</w:t>
      </w:r>
    </w:p>
    <w:p w14:paraId="482040F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（8）对招标文件内容有不同意见的偏离说明。</w:t>
      </w:r>
    </w:p>
    <w:p w14:paraId="16B262A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（9）其它。</w:t>
      </w:r>
    </w:p>
    <w:p w14:paraId="4CA451C8">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11.所有有关本标书的函电，请按下列地址联系：</w:t>
      </w:r>
    </w:p>
    <w:p w14:paraId="30D1164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w:t>
      </w:r>
    </w:p>
    <w:p w14:paraId="00AE11C6">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78F5F7D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5B024557">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55AFCE3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p w14:paraId="4F6E49B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p w14:paraId="14ECE970">
      <w:pPr>
        <w:spacing w:line="360" w:lineRule="auto"/>
        <w:ind w:firstLine="560"/>
        <w:outlineLvl w:val="9"/>
        <w:rPr>
          <w:rFonts w:hint="eastAsia" w:ascii="仿宋" w:hAnsi="仿宋" w:eastAsia="仿宋" w:cs="仿宋"/>
          <w:color w:val="auto"/>
          <w:sz w:val="24"/>
          <w:szCs w:val="24"/>
          <w:highlight w:val="none"/>
        </w:rPr>
      </w:pPr>
    </w:p>
    <w:p w14:paraId="0BFA407B">
      <w:pPr>
        <w:pStyle w:val="27"/>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投标单位名称</w:t>
      </w:r>
      <w:r>
        <w:rPr>
          <w:rFonts w:hint="eastAsia" w:ascii="仿宋" w:hAnsi="仿宋" w:eastAsia="仿宋" w:cs="仿宋"/>
          <w:color w:val="auto"/>
          <w:sz w:val="24"/>
          <w:szCs w:val="24"/>
          <w:highlight w:val="none"/>
        </w:rPr>
        <w:t>：（公章）</w:t>
      </w:r>
    </w:p>
    <w:p w14:paraId="0CB61646">
      <w:pPr>
        <w:pStyle w:val="27"/>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法定代表授权委托人：（签字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16329564">
      <w:pPr>
        <w:pStyle w:val="27"/>
        <w:spacing w:line="360" w:lineRule="auto"/>
        <w:ind w:firstLine="1200" w:firstLineChars="5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0423DA8">
      <w:pPr>
        <w:pStyle w:val="27"/>
        <w:spacing w:line="360" w:lineRule="auto"/>
        <w:ind w:left="0" w:leftChars="0" w:firstLine="0" w:firstLineChars="0"/>
        <w:jc w:val="center"/>
        <w:outlineLvl w:val="1"/>
        <w:rPr>
          <w:rFonts w:hint="default" w:ascii="仿宋" w:hAnsi="仿宋" w:eastAsia="仿宋" w:cs="仿宋"/>
          <w:color w:val="auto"/>
          <w:highlight w:val="none"/>
          <w:lang w:val="en-US" w:eastAsia="zh-CN"/>
        </w:rPr>
      </w:pPr>
      <w:r>
        <w:rPr>
          <w:rFonts w:hint="eastAsia" w:ascii="仿宋" w:hAnsi="仿宋" w:eastAsia="仿宋" w:cs="仿宋"/>
          <w:color w:val="auto"/>
          <w:highlight w:val="none"/>
        </w:rPr>
        <w:br w:type="page"/>
      </w:r>
      <w:bookmarkStart w:id="153" w:name="_Toc26466"/>
      <w:bookmarkStart w:id="154" w:name="_Toc18422"/>
      <w:bookmarkStart w:id="155" w:name="_Toc56170394"/>
      <w:bookmarkStart w:id="156" w:name="_Toc61184637"/>
      <w:r>
        <w:rPr>
          <w:rFonts w:hint="eastAsia" w:ascii="仿宋" w:hAnsi="仿宋" w:eastAsia="仿宋" w:cs="仿宋"/>
          <w:color w:val="auto"/>
          <w:highlight w:val="none"/>
        </w:rPr>
        <w:t>附件二、法定代表人资格证明书</w:t>
      </w:r>
      <w:bookmarkEnd w:id="153"/>
      <w:bookmarkEnd w:id="154"/>
      <w:bookmarkEnd w:id="155"/>
      <w:bookmarkEnd w:id="156"/>
      <w:r>
        <w:rPr>
          <w:rFonts w:hint="eastAsia" w:ascii="仿宋" w:hAnsi="仿宋" w:eastAsia="仿宋" w:cs="仿宋"/>
          <w:color w:val="auto"/>
          <w:highlight w:val="none"/>
          <w:lang w:val="en-US" w:eastAsia="zh-CN"/>
        </w:rPr>
        <w:t>(法人投标时提供）</w:t>
      </w:r>
    </w:p>
    <w:p w14:paraId="78D3C8C8">
      <w:pPr>
        <w:spacing w:line="360" w:lineRule="auto"/>
        <w:outlineLvl w:val="9"/>
        <w:rPr>
          <w:rFonts w:hint="eastAsia" w:ascii="仿宋" w:hAnsi="仿宋" w:eastAsia="仿宋" w:cs="仿宋"/>
          <w:color w:val="auto"/>
          <w:szCs w:val="21"/>
          <w:highlight w:val="none"/>
        </w:rPr>
      </w:pPr>
    </w:p>
    <w:p w14:paraId="3FE7E41B">
      <w:pPr>
        <w:pStyle w:val="27"/>
        <w:spacing w:line="360" w:lineRule="auto"/>
        <w:ind w:firstLine="560"/>
        <w:outlineLvl w:val="9"/>
        <w:rPr>
          <w:rFonts w:hint="eastAsia" w:ascii="仿宋" w:hAnsi="仿宋" w:eastAsia="仿宋" w:cs="仿宋"/>
          <w:color w:val="auto"/>
          <w:sz w:val="24"/>
          <w:szCs w:val="18"/>
          <w:highlight w:val="none"/>
          <w:u w:val="single"/>
        </w:rPr>
      </w:pPr>
      <w:r>
        <w:rPr>
          <w:rFonts w:hint="eastAsia" w:ascii="仿宋" w:hAnsi="仿宋" w:eastAsia="仿宋" w:cs="仿宋"/>
          <w:color w:val="auto"/>
          <w:sz w:val="24"/>
          <w:szCs w:val="18"/>
          <w:highlight w:val="none"/>
        </w:rPr>
        <w:t>单位名称：</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28036D8F">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地    址：</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5D74F71B">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姓    名：</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性别：</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职务：</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0CA259C4">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该同志系</w:t>
      </w:r>
      <w:r>
        <w:rPr>
          <w:rFonts w:hint="eastAsia" w:ascii="仿宋" w:hAnsi="仿宋" w:eastAsia="仿宋" w:cs="仿宋"/>
          <w:color w:val="auto"/>
          <w:sz w:val="24"/>
          <w:szCs w:val="18"/>
          <w:highlight w:val="none"/>
          <w:u w:val="single"/>
        </w:rPr>
        <w:t xml:space="preserve">                                  公司</w:t>
      </w:r>
      <w:r>
        <w:rPr>
          <w:rFonts w:hint="eastAsia" w:ascii="仿宋" w:hAnsi="仿宋" w:eastAsia="仿宋" w:cs="仿宋"/>
          <w:color w:val="auto"/>
          <w:sz w:val="24"/>
          <w:szCs w:val="18"/>
          <w:highlight w:val="none"/>
        </w:rPr>
        <w:t>的法定代表人。为参加本项目，签署上述的文件、进行合同谈判、签署合同和处理与之有关的一切事务。</w:t>
      </w:r>
    </w:p>
    <w:p w14:paraId="705B16CE">
      <w:pPr>
        <w:pStyle w:val="27"/>
        <w:spacing w:line="360" w:lineRule="auto"/>
        <w:ind w:firstLine="560"/>
        <w:outlineLvl w:val="9"/>
        <w:rPr>
          <w:rFonts w:hint="eastAsia" w:ascii="仿宋" w:hAnsi="仿宋" w:eastAsia="仿宋" w:cs="仿宋"/>
          <w:color w:val="auto"/>
          <w:sz w:val="24"/>
          <w:szCs w:val="18"/>
          <w:highlight w:val="none"/>
        </w:rPr>
      </w:pPr>
    </w:p>
    <w:p w14:paraId="1CAE296E">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特此证明</w:t>
      </w:r>
    </w:p>
    <w:p w14:paraId="0794A166">
      <w:pPr>
        <w:pStyle w:val="27"/>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191770</wp:posOffset>
                </wp:positionV>
                <wp:extent cx="2710180" cy="1793875"/>
                <wp:effectExtent l="12700" t="12700" r="20320" b="22225"/>
                <wp:wrapNone/>
                <wp:docPr id="6" name="圆角矩形 6"/>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w="25400" cap="flat" cmpd="sng" algn="ctr">
                          <a:solidFill>
                            <a:srgbClr val="000000"/>
                          </a:solidFill>
                          <a:prstDash val="solid"/>
                        </a:ln>
                        <a:effectLst/>
                      </wps:spPr>
                      <wps:txbx>
                        <w:txbxContent>
                          <w:p w14:paraId="638B3971">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1817418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1312;v-text-anchor:middle;mso-width-relative:page;mso-height-relative:page;" filled="f" stroked="t" coordsize="21600,21600" arcsize="0.0403703703703704" o:gfxdata="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sCyQ7WAAAACgEA&#10;AA8AAAAAAAAAAQAgAAAAIgAAAGRycy9kb3ducmV2LnhtbFBLAQIUABQAAAAIAIdO4kB3oNfujgIA&#10;AAQFAAAOAAAAAAAAAAEAIAAAACUBAABkcnMvZTJvRG9jLnhtbFBLBQYAAAAABgAGAFkBAAAlBgAA&#10;AAA=&#10;">
                <v:fill on="f" focussize="0,0"/>
                <v:stroke weight="2pt" color="#000000" joinstyle="round"/>
                <v:imagedata o:title=""/>
                <o:lock v:ext="edit" aspectratio="f"/>
                <v:textbox>
                  <w:txbxContent>
                    <w:p w14:paraId="638B3971">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1817418A">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315595</wp:posOffset>
                </wp:positionH>
                <wp:positionV relativeFrom="paragraph">
                  <wp:posOffset>191770</wp:posOffset>
                </wp:positionV>
                <wp:extent cx="2710180" cy="1793875"/>
                <wp:effectExtent l="12700" t="12700" r="20320" b="22225"/>
                <wp:wrapNone/>
                <wp:docPr id="16" name="圆角矩形 16"/>
                <wp:cNvGraphicFramePr/>
                <a:graphic xmlns:a="http://schemas.openxmlformats.org/drawingml/2006/main">
                  <a:graphicData uri="http://schemas.microsoft.com/office/word/2010/wordprocessingShape">
                    <wps:wsp>
                      <wps:cNvSpPr/>
                      <wps:spPr>
                        <a:xfrm>
                          <a:off x="1072515" y="5060315"/>
                          <a:ext cx="2710180" cy="1793875"/>
                        </a:xfrm>
                        <a:prstGeom prst="roundRect">
                          <a:avLst>
                            <a:gd name="adj" fmla="val 4035"/>
                          </a:avLst>
                        </a:prstGeom>
                        <a:noFill/>
                        <a:ln w="25400" cap="flat" cmpd="sng" algn="ctr">
                          <a:solidFill>
                            <a:srgbClr val="000000"/>
                          </a:solidFill>
                          <a:prstDash val="solid"/>
                        </a:ln>
                        <a:effectLst/>
                      </wps:spPr>
                      <wps:txbx>
                        <w:txbxContent>
                          <w:p w14:paraId="5B467C39">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56FDB5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5pt;margin-top:15.1pt;height:141.25pt;width:213.4pt;z-index:251660288;v-text-anchor:middle;mso-width-relative:page;mso-height-relative:page;" filled="f" stroked="t" coordsize="21600,21600" arcsize="0.0403703703703704" o:gfxdata="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ivSstYAAAAJAQAADwAAAAAAAAABACAAAAAiAAAAZHJzL2Rvd25yZXYueG1sUEsBAhQAFAAA&#10;AAgAh07iQNEAMOmcAgAAEgUAAA4AAAAAAAAAAQAgAAAAJQEAAGRycy9lMm9Eb2MueG1sUEsFBgAA&#10;AAAGAAYAWQEAADMGAAAAAA==&#10;">
                <v:fill on="f" focussize="0,0"/>
                <v:stroke weight="2pt" color="#000000" joinstyle="round"/>
                <v:imagedata o:title=""/>
                <o:lock v:ext="edit" aspectratio="f"/>
                <v:textbox>
                  <w:txbxContent>
                    <w:p w14:paraId="5B467C39">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56FDB534">
                      <w:pPr>
                        <w:jc w:val="center"/>
                      </w:pPr>
                    </w:p>
                  </w:txbxContent>
                </v:textbox>
              </v:roundrect>
            </w:pict>
          </mc:Fallback>
        </mc:AlternateContent>
      </w:r>
    </w:p>
    <w:p w14:paraId="01DFBFBB">
      <w:pPr>
        <w:pStyle w:val="27"/>
        <w:spacing w:line="360" w:lineRule="auto"/>
        <w:ind w:firstLine="560"/>
        <w:jc w:val="left"/>
        <w:outlineLvl w:val="9"/>
        <w:rPr>
          <w:rFonts w:hint="eastAsia" w:ascii="仿宋" w:hAnsi="仿宋" w:eastAsia="仿宋" w:cs="仿宋"/>
          <w:color w:val="auto"/>
          <w:highlight w:val="none"/>
        </w:rPr>
      </w:pPr>
    </w:p>
    <w:p w14:paraId="2413DCFB">
      <w:pPr>
        <w:pStyle w:val="27"/>
        <w:spacing w:line="360" w:lineRule="auto"/>
        <w:ind w:firstLine="560"/>
        <w:outlineLvl w:val="9"/>
        <w:rPr>
          <w:rFonts w:hint="eastAsia" w:ascii="仿宋" w:hAnsi="仿宋" w:eastAsia="仿宋" w:cs="仿宋"/>
          <w:color w:val="auto"/>
          <w:highlight w:val="none"/>
        </w:rPr>
      </w:pPr>
    </w:p>
    <w:p w14:paraId="63D98877">
      <w:pPr>
        <w:pStyle w:val="27"/>
        <w:spacing w:line="360" w:lineRule="auto"/>
        <w:ind w:firstLine="560"/>
        <w:outlineLvl w:val="9"/>
        <w:rPr>
          <w:rFonts w:hint="eastAsia" w:ascii="仿宋" w:hAnsi="仿宋" w:eastAsia="仿宋" w:cs="仿宋"/>
          <w:color w:val="auto"/>
          <w:highlight w:val="none"/>
        </w:rPr>
      </w:pPr>
    </w:p>
    <w:p w14:paraId="6E4EB65E">
      <w:pPr>
        <w:pStyle w:val="27"/>
        <w:spacing w:line="360" w:lineRule="auto"/>
        <w:ind w:firstLine="4200" w:firstLineChars="1500"/>
        <w:outlineLvl w:val="9"/>
        <w:rPr>
          <w:rFonts w:hint="eastAsia" w:ascii="仿宋" w:hAnsi="仿宋" w:eastAsia="仿宋" w:cs="仿宋"/>
          <w:color w:val="auto"/>
          <w:highlight w:val="none"/>
        </w:rPr>
      </w:pPr>
    </w:p>
    <w:p w14:paraId="4141CD13">
      <w:pPr>
        <w:pStyle w:val="27"/>
        <w:spacing w:line="360" w:lineRule="auto"/>
        <w:ind w:firstLine="4200" w:firstLineChars="1500"/>
        <w:outlineLvl w:val="9"/>
        <w:rPr>
          <w:rFonts w:hint="eastAsia" w:ascii="仿宋" w:hAnsi="仿宋" w:eastAsia="仿宋" w:cs="仿宋"/>
          <w:color w:val="auto"/>
          <w:highlight w:val="none"/>
        </w:rPr>
      </w:pPr>
    </w:p>
    <w:p w14:paraId="5662BFAE">
      <w:pPr>
        <w:pStyle w:val="27"/>
        <w:spacing w:line="360" w:lineRule="auto"/>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195CB7C9">
      <w:pPr>
        <w:pStyle w:val="27"/>
        <w:spacing w:line="360" w:lineRule="auto"/>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法定代表人：（签字</w:t>
      </w:r>
      <w:r>
        <w:rPr>
          <w:rFonts w:hint="eastAsia" w:ascii="仿宋" w:hAnsi="仿宋" w:eastAsia="仿宋" w:cs="仿宋"/>
          <w:color w:val="auto"/>
          <w:sz w:val="24"/>
          <w:szCs w:val="18"/>
          <w:highlight w:val="none"/>
          <w:lang w:val="en-US" w:eastAsia="zh-CN"/>
        </w:rPr>
        <w:t>、盖章</w:t>
      </w:r>
      <w:r>
        <w:rPr>
          <w:rFonts w:hint="eastAsia" w:ascii="仿宋" w:hAnsi="仿宋" w:eastAsia="仿宋" w:cs="仿宋"/>
          <w:color w:val="auto"/>
          <w:sz w:val="24"/>
          <w:szCs w:val="18"/>
          <w:highlight w:val="none"/>
        </w:rPr>
        <w:t>）</w:t>
      </w:r>
    </w:p>
    <w:p w14:paraId="0DD97CDE">
      <w:pPr>
        <w:pStyle w:val="27"/>
        <w:spacing w:line="360" w:lineRule="auto"/>
        <w:ind w:firstLine="1200" w:firstLineChars="500"/>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年      月     日</w:t>
      </w:r>
    </w:p>
    <w:p w14:paraId="68CD8412">
      <w:pPr>
        <w:pStyle w:val="27"/>
        <w:spacing w:line="360" w:lineRule="auto"/>
        <w:jc w:val="center"/>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0"/>
          <w:szCs w:val="18"/>
          <w:highlight w:val="none"/>
        </w:rPr>
        <w:br w:type="page"/>
      </w:r>
      <w:bookmarkStart w:id="157" w:name="_Toc3373"/>
      <w:bookmarkStart w:id="158" w:name="_Toc61184638"/>
      <w:bookmarkStart w:id="159" w:name="_Toc56170395"/>
      <w:bookmarkStart w:id="160" w:name="_Toc10811"/>
      <w:r>
        <w:rPr>
          <w:rFonts w:hint="eastAsia" w:ascii="仿宋" w:hAnsi="仿宋" w:eastAsia="仿宋" w:cs="仿宋"/>
          <w:color w:val="auto"/>
          <w:sz w:val="28"/>
          <w:szCs w:val="28"/>
          <w:highlight w:val="none"/>
        </w:rPr>
        <w:t>附件三、法定代表人授权委托书</w:t>
      </w:r>
      <w:bookmarkEnd w:id="157"/>
      <w:bookmarkEnd w:id="158"/>
      <w:bookmarkEnd w:id="159"/>
      <w:bookmarkEnd w:id="160"/>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授权代表人参加投标时提供</w:t>
      </w:r>
      <w:r>
        <w:rPr>
          <w:rFonts w:hint="eastAsia" w:ascii="仿宋" w:hAnsi="仿宋" w:eastAsia="仿宋" w:cs="仿宋"/>
          <w:color w:val="auto"/>
          <w:sz w:val="28"/>
          <w:szCs w:val="28"/>
          <w:highlight w:val="none"/>
          <w:lang w:eastAsia="zh-CN"/>
        </w:rPr>
        <w:t>）</w:t>
      </w:r>
    </w:p>
    <w:p w14:paraId="1A730DDD">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本授权委托书声明：我</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（姓名）系</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lang w:val="en-US" w:eastAsia="zh-CN"/>
        </w:rPr>
        <w:t>投标人</w:t>
      </w:r>
      <w:r>
        <w:rPr>
          <w:rFonts w:hint="eastAsia" w:ascii="仿宋" w:hAnsi="仿宋" w:eastAsia="仿宋" w:cs="仿宋"/>
          <w:color w:val="auto"/>
          <w:sz w:val="24"/>
          <w:szCs w:val="18"/>
          <w:highlight w:val="none"/>
        </w:rPr>
        <w:t>名称）的法定代表人，现授权委托</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（单位名称）的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（姓名）为我公司签署本项目投标文件的法定代表人授权委托代理人，全权代表我单位处理本次投标的有关事宜。代理人所签署的一切有关文件，我单位均予承认。</w:t>
      </w:r>
    </w:p>
    <w:p w14:paraId="1E22B369">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代理人无转委托权，特此声明！</w:t>
      </w:r>
    </w:p>
    <w:p w14:paraId="54413809">
      <w:pPr>
        <w:pStyle w:val="27"/>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3104515</wp:posOffset>
                </wp:positionH>
                <wp:positionV relativeFrom="paragraph">
                  <wp:posOffset>38735</wp:posOffset>
                </wp:positionV>
                <wp:extent cx="2710180" cy="1588770"/>
                <wp:effectExtent l="12700" t="12700" r="20320" b="13970"/>
                <wp:wrapNone/>
                <wp:docPr id="17"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7AE27BC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3C7859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3.05pt;height:125.1pt;width:213.4pt;z-index:251663360;v-text-anchor:middle;mso-width-relative:page;mso-height-relative:page;" filled="f" stroked="t" coordsize="21600,21600" arcsize="0.0403703703703704" o:gfxdata="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7Xdd81gAAAAkB&#10;AAAPAAAAAAAAAAEAIAAAACIAAABkcnMvZG93bnJldi54bWxQSwECFAAUAAAACACHTuJAfOXys48C&#10;AAAGBQAADgAAAAAAAAABACAAAAAlAQAAZHJzL2Uyb0RvYy54bWxQSwUGAAAAAAYABgBZAQAAJgYA&#10;AAAA&#10;">
                <v:fill on="f" focussize="0,0"/>
                <v:stroke weight="2pt" color="#000000" joinstyle="round"/>
                <v:imagedata o:title=""/>
                <o:lock v:ext="edit" aspectratio="f"/>
                <v:textbox>
                  <w:txbxContent>
                    <w:p w14:paraId="7AE27BC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3C78591B">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248285</wp:posOffset>
                </wp:positionH>
                <wp:positionV relativeFrom="paragraph">
                  <wp:posOffset>38735</wp:posOffset>
                </wp:positionV>
                <wp:extent cx="2710180" cy="1588770"/>
                <wp:effectExtent l="12700" t="12700" r="20320" b="13970"/>
                <wp:wrapNone/>
                <wp:docPr id="18"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381D88B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0B6EC29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3.05pt;height:125.1pt;width:213.4pt;z-index:251662336;v-text-anchor:middle;mso-width-relative:page;mso-height-relative:page;" filled="f" stroked="t" coordsize="21600,21600" arcsize="0.0403703703703704" o:gfxdata="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nZwl1gAAAAgB&#10;AAAPAAAAAAAAAAEAIAAAACIAAABkcnMvZG93bnJldi54bWxQSwECFAAUAAAACACHTuJANvF5A48C&#10;AAAGBQAADgAAAAAAAAABACAAAAAlAQAAZHJzL2Uyb0RvYy54bWxQSwUGAAAAAAYABgBZAQAAJgYA&#10;AAAA&#10;">
                <v:fill on="f" focussize="0,0"/>
                <v:stroke weight="2pt" color="#000000" joinstyle="round"/>
                <v:imagedata o:title=""/>
                <o:lock v:ext="edit" aspectratio="f"/>
                <v:textbox>
                  <w:txbxContent>
                    <w:p w14:paraId="381D88B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0B6EC298">
                      <w:pPr>
                        <w:jc w:val="center"/>
                      </w:pPr>
                    </w:p>
                  </w:txbxContent>
                </v:textbox>
              </v:roundrect>
            </w:pict>
          </mc:Fallback>
        </mc:AlternateContent>
      </w:r>
      <w:r>
        <w:rPr>
          <w:rFonts w:hint="eastAsia" w:ascii="仿宋" w:hAnsi="仿宋" w:eastAsia="仿宋" w:cs="仿宋"/>
          <w:color w:val="auto"/>
          <w:highlight w:val="none"/>
        </w:rPr>
        <w:t xml:space="preserve"> </w:t>
      </w:r>
    </w:p>
    <w:p w14:paraId="79BDADD9">
      <w:pPr>
        <w:pStyle w:val="27"/>
        <w:spacing w:line="360" w:lineRule="auto"/>
        <w:ind w:firstLine="560"/>
        <w:outlineLvl w:val="9"/>
        <w:rPr>
          <w:rFonts w:hint="eastAsia" w:ascii="仿宋" w:hAnsi="仿宋" w:eastAsia="仿宋" w:cs="仿宋"/>
          <w:color w:val="auto"/>
          <w:highlight w:val="none"/>
        </w:rPr>
      </w:pPr>
    </w:p>
    <w:p w14:paraId="02455D58">
      <w:pPr>
        <w:pStyle w:val="27"/>
        <w:spacing w:line="360" w:lineRule="auto"/>
        <w:ind w:firstLine="560"/>
        <w:outlineLvl w:val="9"/>
        <w:rPr>
          <w:rFonts w:hint="eastAsia" w:ascii="仿宋" w:hAnsi="仿宋" w:eastAsia="仿宋" w:cs="仿宋"/>
          <w:color w:val="auto"/>
          <w:highlight w:val="none"/>
        </w:rPr>
      </w:pPr>
    </w:p>
    <w:p w14:paraId="6669A14D">
      <w:pPr>
        <w:pStyle w:val="27"/>
        <w:spacing w:line="360" w:lineRule="auto"/>
        <w:ind w:firstLine="560"/>
        <w:outlineLvl w:val="9"/>
        <w:rPr>
          <w:rFonts w:hint="eastAsia" w:ascii="仿宋" w:hAnsi="仿宋" w:eastAsia="仿宋" w:cs="仿宋"/>
          <w:color w:val="auto"/>
          <w:highlight w:val="none"/>
        </w:rPr>
      </w:pPr>
    </w:p>
    <w:p w14:paraId="30276094">
      <w:pPr>
        <w:pStyle w:val="27"/>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137160</wp:posOffset>
                </wp:positionV>
                <wp:extent cx="2710180" cy="1588770"/>
                <wp:effectExtent l="12700" t="12700" r="20320" b="13970"/>
                <wp:wrapNone/>
                <wp:docPr id="19"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21C63170">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7F877C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10.8pt;height:125.1pt;width:213.4pt;z-index:251664384;v-text-anchor:middle;mso-width-relative:page;mso-height-relative:page;" filled="f" stroked="t" coordsize="21600,21600" arcsize="0.0403703703703704" o:gfxdata="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bjs61gAAAAkB&#10;AAAPAAAAAAAAAAEAIAAAACIAAABkcnMvZG93bnJldi54bWxQSwECFAAUAAAACACHTuJAIsLNxI8C&#10;AAAGBQAADgAAAAAAAAABACAAAAAlAQAAZHJzL2Uyb0RvYy54bWxQSwUGAAAAAAYABgBZAQAAJgYA&#10;AAAA&#10;">
                <v:fill on="f" focussize="0,0"/>
                <v:stroke weight="2pt" color="#000000" joinstyle="round"/>
                <v:imagedata o:title=""/>
                <o:lock v:ext="edit" aspectratio="f"/>
                <v:textbox>
                  <w:txbxContent>
                    <w:p w14:paraId="21C63170">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7F877CE3">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3104515</wp:posOffset>
                </wp:positionH>
                <wp:positionV relativeFrom="paragraph">
                  <wp:posOffset>137160</wp:posOffset>
                </wp:positionV>
                <wp:extent cx="2710180" cy="1588770"/>
                <wp:effectExtent l="12700" t="12700" r="20320" b="13970"/>
                <wp:wrapNone/>
                <wp:docPr id="20" name="圆角矩形 20"/>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33E60517">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453A80D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10.8pt;height:125.1pt;width:213.4pt;z-index:251665408;v-text-anchor:middle;mso-width-relative:page;mso-height-relative:page;" filled="f" stroked="t" coordsize="21600,21600" arcsize="0.0403703703703704" o:gfxdata="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IW6DWAAAACgEA&#10;AA8AAAAAAAAAAQAgAAAAIgAAAGRycy9kb3ducmV2LnhtbFBLAQIUABQAAAAIAIdO4kAB1kqmjgIA&#10;AAYFAAAOAAAAAAAAAAEAIAAAACUBAABkcnMvZTJvRG9jLnhtbFBLBQYAAAAABgAGAFkBAAAlBgAA&#10;AAA=&#10;">
                <v:fill on="f" focussize="0,0"/>
                <v:stroke weight="2pt" color="#000000" joinstyle="round"/>
                <v:imagedata o:title=""/>
                <o:lock v:ext="edit" aspectratio="f"/>
                <v:textbox>
                  <w:txbxContent>
                    <w:p w14:paraId="33E60517">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453A80DC">
                      <w:pPr>
                        <w:jc w:val="center"/>
                      </w:pPr>
                    </w:p>
                  </w:txbxContent>
                </v:textbox>
              </v:roundrect>
            </w:pict>
          </mc:Fallback>
        </mc:AlternateContent>
      </w:r>
    </w:p>
    <w:p w14:paraId="1E25A244">
      <w:pPr>
        <w:pStyle w:val="27"/>
        <w:spacing w:line="360" w:lineRule="auto"/>
        <w:ind w:firstLine="560"/>
        <w:outlineLvl w:val="9"/>
        <w:rPr>
          <w:rFonts w:hint="eastAsia" w:ascii="仿宋" w:hAnsi="仿宋" w:eastAsia="仿宋" w:cs="仿宋"/>
          <w:color w:val="auto"/>
          <w:highlight w:val="none"/>
        </w:rPr>
      </w:pPr>
    </w:p>
    <w:p w14:paraId="6AFEBC1B">
      <w:pPr>
        <w:pStyle w:val="27"/>
        <w:spacing w:line="360" w:lineRule="auto"/>
        <w:ind w:firstLine="560"/>
        <w:outlineLvl w:val="9"/>
        <w:rPr>
          <w:rFonts w:hint="eastAsia" w:ascii="仿宋" w:hAnsi="仿宋" w:eastAsia="仿宋" w:cs="仿宋"/>
          <w:color w:val="auto"/>
          <w:highlight w:val="none"/>
        </w:rPr>
      </w:pPr>
    </w:p>
    <w:p w14:paraId="50012EFF">
      <w:pPr>
        <w:pStyle w:val="27"/>
        <w:spacing w:line="360" w:lineRule="auto"/>
        <w:ind w:firstLine="0" w:firstLineChars="0"/>
        <w:outlineLvl w:val="9"/>
        <w:rPr>
          <w:rFonts w:hint="eastAsia" w:ascii="仿宋" w:hAnsi="仿宋" w:eastAsia="仿宋" w:cs="仿宋"/>
          <w:color w:val="auto"/>
          <w:highlight w:val="none"/>
        </w:rPr>
      </w:pPr>
    </w:p>
    <w:p w14:paraId="7EE61D4A">
      <w:pPr>
        <w:pStyle w:val="27"/>
        <w:spacing w:line="360" w:lineRule="auto"/>
        <w:ind w:firstLine="0" w:firstLineChars="0"/>
        <w:outlineLvl w:val="9"/>
        <w:rPr>
          <w:rFonts w:hint="eastAsia" w:ascii="仿宋" w:hAnsi="仿宋" w:eastAsia="仿宋" w:cs="仿宋"/>
          <w:color w:val="auto"/>
          <w:highlight w:val="none"/>
        </w:rPr>
      </w:pPr>
    </w:p>
    <w:p w14:paraId="70FF3329">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代理人：姓名：</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性别：</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44032BAD">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身份证号码：</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职务：</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51ABFCBF">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投标人名称</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（盖章）</w:t>
      </w:r>
    </w:p>
    <w:p w14:paraId="6CB7FCBF">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eastAsia="zh-CN"/>
        </w:rPr>
        <w:t>、</w:t>
      </w:r>
      <w:r>
        <w:rPr>
          <w:rFonts w:hint="eastAsia" w:ascii="仿宋" w:hAnsi="仿宋" w:eastAsia="仿宋" w:cs="仿宋"/>
          <w:color w:val="auto"/>
          <w:sz w:val="24"/>
          <w:szCs w:val="18"/>
          <w:highlight w:val="none"/>
        </w:rPr>
        <w:t>法定代表授权委托人：</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6D382565">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授权委托日期：</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月</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日</w:t>
      </w:r>
    </w:p>
    <w:p w14:paraId="048AA669">
      <w:pPr>
        <w:pStyle w:val="27"/>
        <w:spacing w:line="360" w:lineRule="auto"/>
        <w:ind w:firstLine="560"/>
        <w:outlineLvl w:val="9"/>
        <w:rPr>
          <w:rFonts w:hint="eastAsia" w:ascii="仿宋" w:hAnsi="仿宋" w:eastAsia="仿宋" w:cs="仿宋"/>
          <w:color w:val="auto"/>
          <w:sz w:val="24"/>
          <w:szCs w:val="18"/>
          <w:highlight w:val="none"/>
        </w:rPr>
      </w:pPr>
    </w:p>
    <w:p w14:paraId="66657452">
      <w:pPr>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56170396"/>
      <w:bookmarkStart w:id="162" w:name="_Toc21188"/>
      <w:bookmarkStart w:id="163" w:name="_Toc61184639"/>
      <w:bookmarkStart w:id="164" w:name="_Toc9301"/>
      <w:r>
        <w:rPr>
          <w:rFonts w:hint="eastAsia" w:ascii="仿宋" w:hAnsi="仿宋" w:eastAsia="仿宋" w:cs="仿宋"/>
          <w:color w:val="auto"/>
          <w:sz w:val="28"/>
          <w:szCs w:val="28"/>
          <w:highlight w:val="none"/>
        </w:rPr>
        <w:t>附件四、关于招标文件的声明函</w:t>
      </w:r>
      <w:bookmarkEnd w:id="161"/>
      <w:bookmarkEnd w:id="162"/>
      <w:bookmarkEnd w:id="163"/>
      <w:bookmarkEnd w:id="164"/>
    </w:p>
    <w:p w14:paraId="4AD07237">
      <w:pPr>
        <w:adjustRightInd w:val="0"/>
        <w:snapToGrid w:val="0"/>
        <w:spacing w:line="360" w:lineRule="auto"/>
        <w:ind w:firstLine="560" w:firstLineChars="200"/>
        <w:outlineLvl w:val="9"/>
        <w:rPr>
          <w:rFonts w:hint="eastAsia" w:ascii="仿宋" w:hAnsi="仿宋" w:eastAsia="仿宋" w:cs="仿宋"/>
          <w:color w:val="auto"/>
          <w:sz w:val="28"/>
          <w:szCs w:val="28"/>
          <w:highlight w:val="none"/>
        </w:rPr>
      </w:pPr>
    </w:p>
    <w:p w14:paraId="64B5C3E0">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致：</w:t>
      </w:r>
      <w:r>
        <w:rPr>
          <w:rFonts w:hint="eastAsia" w:ascii="仿宋" w:hAnsi="仿宋" w:eastAsia="仿宋" w:cs="仿宋"/>
          <w:color w:val="auto"/>
          <w:sz w:val="24"/>
          <w:szCs w:val="18"/>
          <w:highlight w:val="none"/>
          <w:lang w:eastAsia="zh-CN"/>
        </w:rPr>
        <w:t>新疆浩瑞兴建设工程项目管理咨询有限公司</w:t>
      </w:r>
      <w:r>
        <w:rPr>
          <w:rFonts w:hint="eastAsia" w:ascii="仿宋" w:hAnsi="仿宋" w:eastAsia="仿宋" w:cs="仿宋"/>
          <w:color w:val="auto"/>
          <w:sz w:val="24"/>
          <w:szCs w:val="18"/>
          <w:highlight w:val="none"/>
        </w:rPr>
        <w:t>：</w:t>
      </w:r>
    </w:p>
    <w:p w14:paraId="1CDDEE9B">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为响应你方</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月</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日的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投标邀请，下述签字人自愿参与投标，提供招标文件技术需求书中规定的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项目，提交下述文件并声明全部说明是真实的和正确的。下述签字人将就下述文件中存在的虚假或不真实内容对采购代理机构和采购人承担法律责任。</w:t>
      </w:r>
    </w:p>
    <w:p w14:paraId="0A418527">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下述签字人证明本资格文件中的内容是真实的和正确的。</w:t>
      </w:r>
    </w:p>
    <w:p w14:paraId="29E70B5C">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下述签字人知道，采购人可能要求其提供进一步的资格材料并同意按采购人的要求提交。</w:t>
      </w:r>
    </w:p>
    <w:p w14:paraId="2724B0FC">
      <w:pPr>
        <w:pStyle w:val="27"/>
        <w:spacing w:line="360" w:lineRule="auto"/>
        <w:outlineLvl w:val="9"/>
        <w:rPr>
          <w:rFonts w:hint="eastAsia" w:ascii="仿宋" w:hAnsi="仿宋" w:eastAsia="仿宋" w:cs="仿宋"/>
          <w:color w:val="auto"/>
          <w:sz w:val="24"/>
          <w:szCs w:val="18"/>
          <w:highlight w:val="none"/>
          <w:lang w:val="en-US" w:eastAsia="zh-CN"/>
        </w:rPr>
      </w:pPr>
    </w:p>
    <w:p w14:paraId="50B29069">
      <w:pPr>
        <w:pStyle w:val="27"/>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1AB60E63">
      <w:pPr>
        <w:pStyle w:val="27"/>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4CBD62B0">
      <w:pPr>
        <w:pStyle w:val="27"/>
        <w:spacing w:line="360" w:lineRule="auto"/>
        <w:ind w:firstLine="1200" w:firstLineChars="50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年      月     日</w:t>
      </w:r>
    </w:p>
    <w:p w14:paraId="37612DAD">
      <w:pPr>
        <w:jc w:val="center"/>
        <w:outlineLvl w:val="1"/>
        <w:rPr>
          <w:rFonts w:hint="eastAsia" w:ascii="仿宋" w:hAnsi="仿宋" w:eastAsia="仿宋" w:cs="仿宋"/>
          <w:color w:val="auto"/>
          <w:highlight w:val="none"/>
        </w:rPr>
      </w:pPr>
      <w:r>
        <w:rPr>
          <w:rFonts w:hint="eastAsia" w:ascii="仿宋" w:hAnsi="仿宋" w:eastAsia="仿宋" w:cs="仿宋"/>
          <w:color w:val="auto"/>
          <w:sz w:val="20"/>
          <w:szCs w:val="18"/>
          <w:highlight w:val="none"/>
        </w:rPr>
        <w:br w:type="page"/>
      </w:r>
      <w:bookmarkStart w:id="165" w:name="_Toc29264"/>
      <w:bookmarkStart w:id="166" w:name="_Toc5174"/>
      <w:bookmarkStart w:id="167" w:name="_Toc61184640"/>
      <w:bookmarkStart w:id="168" w:name="_Toc56170397"/>
      <w:r>
        <w:rPr>
          <w:rFonts w:hint="eastAsia" w:ascii="仿宋" w:hAnsi="仿宋" w:eastAsia="仿宋" w:cs="仿宋"/>
          <w:color w:val="auto"/>
          <w:sz w:val="28"/>
          <w:szCs w:val="28"/>
          <w:highlight w:val="none"/>
        </w:rPr>
        <w:t>附件五、诚信投标承诺书</w:t>
      </w:r>
      <w:bookmarkEnd w:id="165"/>
      <w:bookmarkEnd w:id="166"/>
      <w:bookmarkEnd w:id="167"/>
      <w:bookmarkEnd w:id="168"/>
    </w:p>
    <w:p w14:paraId="0890C398">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本人以企业法定代表人的身份郑重承诺：</w:t>
      </w:r>
    </w:p>
    <w:p w14:paraId="26573A86">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一、招标文件中所提供的一切材料都是真实、有效、合法的；</w:t>
      </w:r>
    </w:p>
    <w:p w14:paraId="43BB5D0C">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二、不以他人名义投标或者以其他方式弄虚作假，骗取成交；</w:t>
      </w:r>
    </w:p>
    <w:p w14:paraId="48DEF82C">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三、不与其他供应商互相串通投标，不排挤其他供应商的公平竞争，不损害供应商的合法权益；</w:t>
      </w:r>
    </w:p>
    <w:p w14:paraId="1034863E">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四、不与采购人或者采购代理机构串通投标，损害国家利益、社会公共利益或者他人的合法权益；</w:t>
      </w:r>
    </w:p>
    <w:p w14:paraId="0831B7CA">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五、不向采购人或者评标委员会成员行贿以牟取成交；</w:t>
      </w:r>
    </w:p>
    <w:p w14:paraId="04EF5506">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六、如在开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292408D4">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0CE71991">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以上内容我已仔细阅读。如若违反上述承诺或形成恶意投诉，我们自愿接受以下一种或几种处罚：自动放弃成交供应商资格、限制以后投标、记入不良信用档案、没收本次投标保证金，并愿意承担由此引起的其他法律责任。</w:t>
      </w:r>
    </w:p>
    <w:p w14:paraId="6F886046">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7B2E9E47">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2401B2F4">
      <w:pPr>
        <w:pStyle w:val="27"/>
        <w:spacing w:line="360" w:lineRule="auto"/>
        <w:ind w:firstLine="1200" w:firstLineChars="5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0E8DF9D2">
      <w:pPr>
        <w:jc w:val="center"/>
        <w:outlineLvl w:val="1"/>
        <w:rPr>
          <w:rFonts w:hint="eastAsia" w:ascii="仿宋" w:hAnsi="仿宋" w:eastAsia="仿宋" w:cs="仿宋"/>
          <w:color w:val="auto"/>
          <w:sz w:val="28"/>
          <w:szCs w:val="28"/>
          <w:highlight w:val="none"/>
        </w:rPr>
      </w:pPr>
      <w:bookmarkStart w:id="169" w:name="_Toc435087575"/>
      <w:bookmarkStart w:id="170" w:name="_Toc56170398"/>
      <w:bookmarkStart w:id="171" w:name="_Toc29347"/>
      <w:bookmarkStart w:id="172" w:name="_Toc30642"/>
      <w:bookmarkStart w:id="173" w:name="_Toc61184641"/>
    </w:p>
    <w:p w14:paraId="4D01F7E4">
      <w:pPr>
        <w:jc w:val="center"/>
        <w:outlineLvl w:val="1"/>
        <w:rPr>
          <w:rFonts w:hint="eastAsia" w:ascii="仿宋" w:hAnsi="仿宋" w:eastAsia="仿宋" w:cs="仿宋"/>
          <w:color w:val="auto"/>
          <w:sz w:val="28"/>
          <w:szCs w:val="28"/>
          <w:highlight w:val="none"/>
        </w:rPr>
      </w:pPr>
    </w:p>
    <w:p w14:paraId="15F458E1">
      <w:pPr>
        <w:jc w:val="center"/>
        <w:outlineLvl w:val="1"/>
        <w:rPr>
          <w:rFonts w:hint="eastAsia" w:ascii="仿宋" w:hAnsi="仿宋" w:eastAsia="仿宋" w:cs="仿宋"/>
          <w:color w:val="auto"/>
          <w:sz w:val="28"/>
          <w:szCs w:val="28"/>
          <w:highlight w:val="none"/>
        </w:rPr>
      </w:pPr>
    </w:p>
    <w:p w14:paraId="0E230DF1">
      <w:pPr>
        <w:jc w:val="center"/>
        <w:outlineLvl w:val="1"/>
        <w:rPr>
          <w:rFonts w:hint="eastAsia" w:ascii="仿宋" w:hAnsi="仿宋" w:eastAsia="仿宋" w:cs="仿宋"/>
          <w:color w:val="auto"/>
          <w:sz w:val="28"/>
          <w:szCs w:val="28"/>
          <w:highlight w:val="none"/>
        </w:rPr>
      </w:pPr>
    </w:p>
    <w:p w14:paraId="19DFB48A">
      <w:pPr>
        <w:jc w:val="center"/>
        <w:outlineLvl w:val="1"/>
        <w:rPr>
          <w:rFonts w:hint="eastAsia" w:ascii="仿宋" w:hAnsi="仿宋" w:eastAsia="仿宋" w:cs="仿宋"/>
          <w:color w:val="auto"/>
          <w:sz w:val="28"/>
          <w:szCs w:val="28"/>
          <w:highlight w:val="none"/>
        </w:rPr>
      </w:pPr>
    </w:p>
    <w:p w14:paraId="37E02BD9">
      <w:pPr>
        <w:jc w:val="center"/>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bookmarkEnd w:id="169"/>
      <w:r>
        <w:rPr>
          <w:rFonts w:hint="eastAsia" w:ascii="仿宋" w:hAnsi="仿宋" w:eastAsia="仿宋" w:cs="仿宋"/>
          <w:color w:val="auto"/>
          <w:sz w:val="28"/>
          <w:szCs w:val="28"/>
          <w:highlight w:val="none"/>
        </w:rPr>
        <w:t>六、供应商反商业贿赂承诺书</w:t>
      </w:r>
      <w:bookmarkEnd w:id="170"/>
      <w:bookmarkEnd w:id="171"/>
      <w:bookmarkEnd w:id="172"/>
      <w:bookmarkEnd w:id="173"/>
    </w:p>
    <w:p w14:paraId="55FF1CC2">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lang w:val="zh-CN"/>
        </w:rPr>
      </w:pPr>
    </w:p>
    <w:p w14:paraId="5366DEA1">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val="en-US" w:eastAsia="zh-CN"/>
        </w:rPr>
        <w:t>项目编</w:t>
      </w:r>
      <w:r>
        <w:rPr>
          <w:rFonts w:hint="eastAsia" w:ascii="仿宋" w:hAnsi="仿宋" w:eastAsia="仿宋" w:cs="仿宋"/>
          <w:color w:val="auto"/>
          <w:kern w:val="0"/>
          <w:sz w:val="24"/>
          <w:szCs w:val="24"/>
          <w:highlight w:val="none"/>
          <w:u w:val="none"/>
        </w:rPr>
        <w:t>号</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项目）招标活动中，我公司承诺如下 ：</w:t>
      </w:r>
    </w:p>
    <w:p w14:paraId="3EC4310E">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1、不给予国家工作人员及其亲属各种形式的商业贿赂（包括送礼金礼品、有价证券、购物券、回扣、佣金、咨询费、劳务费、赞助费、宣传费、支付旅游费用、报销各种消费凭证、宴请、娱乐等）；</w:t>
      </w:r>
    </w:p>
    <w:p w14:paraId="6AEBB20C">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2、不与采购人相互勾结私下协议，弄虚作假，搞假投标、陪标、串通投标，明招暗定，暗箱操作。</w:t>
      </w:r>
    </w:p>
    <w:p w14:paraId="58ECA487">
      <w:pPr>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3、我公司法人及项目参与人员有亲戚担任业主方副科级以上领导职务时，自愿放弃此次投标权。</w:t>
      </w:r>
    </w:p>
    <w:p w14:paraId="2FD62BA2">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如有上述行为，一经发现，我公司及项目参与人员愿意按照《政府采购法》、《招投标法》、《反不正当竞争法》的有关规定接受处罚。</w:t>
      </w:r>
    </w:p>
    <w:p w14:paraId="34E91F6F">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p>
    <w:p w14:paraId="5A201FCD">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05308073">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2F59438B">
      <w:pPr>
        <w:pStyle w:val="27"/>
        <w:spacing w:line="360" w:lineRule="auto"/>
        <w:ind w:firstLine="1200" w:firstLineChars="5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34D6CB11">
      <w:pPr>
        <w:jc w:val="center"/>
        <w:outlineLvl w:val="1"/>
        <w:rPr>
          <w:rFonts w:hint="eastAsia" w:ascii="仿宋" w:hAnsi="仿宋" w:eastAsia="仿宋" w:cs="仿宋"/>
          <w:color w:val="auto"/>
          <w:sz w:val="19"/>
          <w:szCs w:val="19"/>
          <w:highlight w:val="none"/>
        </w:rPr>
      </w:pPr>
      <w:r>
        <w:rPr>
          <w:rFonts w:hint="eastAsia" w:ascii="仿宋" w:hAnsi="仿宋" w:eastAsia="仿宋" w:cs="仿宋"/>
          <w:color w:val="auto"/>
          <w:sz w:val="20"/>
          <w:szCs w:val="18"/>
          <w:highlight w:val="none"/>
        </w:rPr>
        <w:br w:type="page"/>
      </w:r>
      <w:bookmarkStart w:id="174" w:name="_Toc5490"/>
      <w:bookmarkStart w:id="175" w:name="_Toc31315"/>
      <w:r>
        <w:rPr>
          <w:rFonts w:hint="eastAsia" w:ascii="仿宋" w:hAnsi="仿宋" w:eastAsia="仿宋" w:cs="仿宋"/>
          <w:color w:val="auto"/>
          <w:sz w:val="28"/>
          <w:szCs w:val="28"/>
          <w:highlight w:val="none"/>
        </w:rPr>
        <w:t>附件七、中小企业声明函（货物）</w:t>
      </w:r>
      <w:bookmarkEnd w:id="174"/>
      <w:bookmarkEnd w:id="175"/>
    </w:p>
    <w:p w14:paraId="38C81E44">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68FC4DF">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258BA677">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11578B1">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3FE0D00">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CE271D9">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3125411">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48EFD0DA">
      <w:pPr>
        <w:pStyle w:val="27"/>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 xml:space="preserve"> ……</w:t>
      </w:r>
    </w:p>
    <w:p w14:paraId="3CB5E527">
      <w:pPr>
        <w:pStyle w:val="27"/>
        <w:spacing w:line="360" w:lineRule="auto"/>
        <w:ind w:firstLine="560"/>
        <w:outlineLvl w:val="9"/>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 xml:space="preserve">                                        </w:t>
      </w:r>
      <w:r>
        <w:rPr>
          <w:rFonts w:hint="eastAsia" w:ascii="仿宋" w:hAnsi="仿宋" w:eastAsia="仿宋" w:cs="仿宋"/>
          <w:b/>
          <w:bCs/>
          <w:color w:val="auto"/>
          <w:sz w:val="24"/>
          <w:szCs w:val="18"/>
          <w:highlight w:val="none"/>
        </w:rPr>
        <w:t xml:space="preserve"> </w:t>
      </w:r>
      <w:r>
        <w:rPr>
          <w:rFonts w:hint="eastAsia" w:ascii="仿宋" w:hAnsi="仿宋" w:eastAsia="仿宋" w:cs="仿宋"/>
          <w:color w:val="auto"/>
          <w:kern w:val="0"/>
          <w:sz w:val="24"/>
          <w:szCs w:val="24"/>
          <w:highlight w:val="none"/>
        </w:rPr>
        <w:t>年      月     日</w:t>
      </w:r>
    </w:p>
    <w:p w14:paraId="12CF6C0B">
      <w:pPr>
        <w:pStyle w:val="27"/>
        <w:spacing w:line="360" w:lineRule="auto"/>
        <w:ind w:firstLine="560"/>
        <w:outlineLvl w:val="9"/>
        <w:rPr>
          <w:rFonts w:hint="eastAsia" w:ascii="仿宋" w:hAnsi="仿宋" w:eastAsia="仿宋" w:cs="仿宋"/>
          <w:b/>
          <w:bCs/>
          <w:color w:val="auto"/>
          <w:sz w:val="24"/>
          <w:szCs w:val="18"/>
          <w:highlight w:val="none"/>
        </w:rPr>
      </w:pPr>
      <w:r>
        <w:rPr>
          <w:rFonts w:hint="eastAsia" w:ascii="仿宋" w:hAnsi="仿宋" w:eastAsia="仿宋" w:cs="仿宋"/>
          <w:b/>
          <w:bCs/>
          <w:color w:val="auto"/>
          <w:sz w:val="24"/>
          <w:szCs w:val="18"/>
          <w:highlight w:val="none"/>
        </w:rPr>
        <w:t>注：</w:t>
      </w:r>
      <w:r>
        <w:rPr>
          <w:rFonts w:hint="eastAsia" w:ascii="仿宋" w:hAnsi="仿宋" w:eastAsia="仿宋" w:cs="仿宋"/>
          <w:b/>
          <w:bCs/>
          <w:color w:val="auto"/>
          <w:sz w:val="24"/>
          <w:szCs w:val="18"/>
          <w:highlight w:val="none"/>
          <w:lang w:val="en-US" w:eastAsia="zh-CN"/>
        </w:rPr>
        <w:t>1、</w:t>
      </w:r>
      <w:r>
        <w:rPr>
          <w:rFonts w:hint="eastAsia" w:ascii="仿宋" w:hAnsi="仿宋" w:eastAsia="仿宋" w:cs="仿宋"/>
          <w:b/>
          <w:bCs/>
          <w:color w:val="auto"/>
          <w:sz w:val="24"/>
          <w:szCs w:val="18"/>
          <w:highlight w:val="none"/>
        </w:rPr>
        <w:t xml:space="preserve">以上企业，不属于大企业的分支机构，不存在控股股东为大企业的情形，也不存在与大企业的负责人为同一人的情形。 </w:t>
      </w:r>
    </w:p>
    <w:p w14:paraId="214D107A">
      <w:pPr>
        <w:pStyle w:val="27"/>
        <w:spacing w:line="360" w:lineRule="auto"/>
        <w:ind w:firstLine="560"/>
        <w:outlineLvl w:val="9"/>
        <w:rPr>
          <w:rFonts w:hint="eastAsia" w:ascii="仿宋" w:hAnsi="仿宋" w:eastAsia="仿宋" w:cs="仿宋"/>
          <w:b/>
          <w:bCs/>
          <w:color w:val="auto"/>
          <w:sz w:val="24"/>
          <w:szCs w:val="18"/>
          <w:highlight w:val="none"/>
        </w:rPr>
      </w:pPr>
      <w:r>
        <w:rPr>
          <w:rFonts w:hint="eastAsia" w:ascii="仿宋" w:hAnsi="仿宋" w:eastAsia="仿宋" w:cs="仿宋"/>
          <w:b/>
          <w:bCs/>
          <w:color w:val="auto"/>
          <w:kern w:val="2"/>
          <w:sz w:val="24"/>
          <w:szCs w:val="18"/>
          <w:highlight w:val="none"/>
          <w:lang w:val="en-US" w:eastAsia="zh-CN" w:bidi="ar-SA"/>
        </w:rPr>
        <w:t>2、</w:t>
      </w:r>
      <w:r>
        <w:rPr>
          <w:rFonts w:hint="eastAsia" w:ascii="仿宋" w:hAnsi="仿宋" w:eastAsia="仿宋" w:cs="仿宋"/>
          <w:b/>
          <w:bCs/>
          <w:color w:val="auto"/>
          <w:sz w:val="24"/>
          <w:szCs w:val="18"/>
          <w:highlight w:val="none"/>
        </w:rPr>
        <w:t>本企业对上述声明内容的真实性负责。如有虚假，将依法承担相应责任。</w:t>
      </w:r>
    </w:p>
    <w:p w14:paraId="22050E54">
      <w:pPr>
        <w:pStyle w:val="27"/>
        <w:spacing w:line="360" w:lineRule="auto"/>
        <w:ind w:firstLine="560"/>
        <w:jc w:val="right"/>
        <w:outlineLvl w:val="9"/>
        <w:rPr>
          <w:rFonts w:hint="eastAsia" w:ascii="仿宋" w:hAnsi="仿宋" w:eastAsia="仿宋" w:cs="仿宋"/>
          <w:color w:val="auto"/>
          <w:kern w:val="0"/>
          <w:sz w:val="24"/>
          <w:szCs w:val="24"/>
          <w:highlight w:val="none"/>
        </w:rPr>
      </w:pPr>
    </w:p>
    <w:p w14:paraId="14B55935">
      <w:pPr>
        <w:pStyle w:val="27"/>
        <w:spacing w:line="360" w:lineRule="auto"/>
        <w:ind w:firstLine="560"/>
        <w:outlineLvl w:val="9"/>
        <w:rPr>
          <w:rFonts w:hint="eastAsia" w:ascii="仿宋" w:hAnsi="仿宋" w:eastAsia="仿宋" w:cs="仿宋"/>
          <w:b/>
          <w:bCs/>
          <w:color w:val="auto"/>
          <w:sz w:val="24"/>
          <w:szCs w:val="18"/>
          <w:highlight w:val="none"/>
        </w:rPr>
      </w:pPr>
    </w:p>
    <w:p w14:paraId="4498CB57">
      <w:pPr>
        <w:pStyle w:val="27"/>
        <w:spacing w:line="360" w:lineRule="auto"/>
        <w:ind w:firstLine="560"/>
        <w:outlineLvl w:val="9"/>
        <w:rPr>
          <w:rFonts w:hint="eastAsia" w:ascii="仿宋" w:hAnsi="仿宋" w:eastAsia="仿宋" w:cs="仿宋"/>
          <w:color w:val="auto"/>
          <w:highlight w:val="none"/>
        </w:rPr>
      </w:pPr>
    </w:p>
    <w:p w14:paraId="21F5B704">
      <w:pPr>
        <w:spacing w:line="360" w:lineRule="auto"/>
        <w:ind w:firstLine="622"/>
        <w:outlineLvl w:val="9"/>
        <w:rPr>
          <w:rFonts w:hint="eastAsia" w:ascii="仿宋" w:hAnsi="仿宋" w:eastAsia="仿宋" w:cs="仿宋"/>
          <w:color w:val="auto"/>
          <w:sz w:val="31"/>
          <w:highlight w:val="none"/>
        </w:rPr>
        <w:sectPr>
          <w:footerReference r:id="rId9" w:type="first"/>
          <w:footerReference r:id="rId8" w:type="default"/>
          <w:pgSz w:w="11906" w:h="16838"/>
          <w:pgMar w:top="1440" w:right="1080" w:bottom="1440" w:left="1080" w:header="851" w:footer="851" w:gutter="0"/>
          <w:pgNumType w:fmt="numberInDash"/>
          <w:cols w:space="720" w:num="1"/>
          <w:titlePg/>
          <w:docGrid w:type="linesAndChars" w:linePitch="312" w:charSpace="0"/>
        </w:sectPr>
      </w:pPr>
    </w:p>
    <w:p w14:paraId="3AD30BB1">
      <w:pPr>
        <w:spacing w:line="360" w:lineRule="auto"/>
        <w:jc w:val="center"/>
        <w:outlineLvl w:val="1"/>
        <w:rPr>
          <w:rFonts w:hint="eastAsia" w:ascii="仿宋" w:hAnsi="仿宋" w:eastAsia="仿宋" w:cs="仿宋"/>
          <w:color w:val="auto"/>
          <w:sz w:val="24"/>
          <w:szCs w:val="24"/>
          <w:highlight w:val="none"/>
        </w:rPr>
      </w:pPr>
      <w:bookmarkStart w:id="176" w:name="_Toc61184642"/>
      <w:bookmarkStart w:id="177" w:name="_Toc16288"/>
      <w:bookmarkStart w:id="178" w:name="_Toc56170399"/>
      <w:bookmarkStart w:id="179" w:name="_Toc22501"/>
      <w:r>
        <w:rPr>
          <w:rFonts w:hint="eastAsia" w:ascii="仿宋" w:hAnsi="仿宋" w:eastAsia="仿宋" w:cs="仿宋"/>
          <w:color w:val="auto"/>
          <w:sz w:val="28"/>
          <w:szCs w:val="28"/>
          <w:highlight w:val="none"/>
        </w:rPr>
        <w:t>附件八、开标一览表</w:t>
      </w:r>
      <w:bookmarkEnd w:id="176"/>
      <w:bookmarkEnd w:id="177"/>
      <w:bookmarkEnd w:id="178"/>
      <w:bookmarkEnd w:id="179"/>
    </w:p>
    <w:p w14:paraId="44D22475">
      <w:pPr>
        <w:spacing w:before="131" w:line="229" w:lineRule="auto"/>
        <w:ind w:left="495"/>
        <w:rPr>
          <w:rFonts w:ascii="仿宋" w:hAnsi="仿宋" w:eastAsia="仿宋" w:cs="仿宋"/>
          <w:sz w:val="23"/>
          <w:szCs w:val="23"/>
        </w:rPr>
      </w:pPr>
      <w:bookmarkStart w:id="180" w:name="_Toc2236"/>
      <w:bookmarkStart w:id="181" w:name="_Toc56170400"/>
      <w:bookmarkStart w:id="182" w:name="_Toc20340"/>
      <w:bookmarkStart w:id="183" w:name="_Toc61184643"/>
      <w:r>
        <w:rPr>
          <w:rFonts w:ascii="仿宋" w:hAnsi="仿宋" w:eastAsia="仿宋" w:cs="仿宋"/>
          <w:spacing w:val="-1"/>
          <w:sz w:val="23"/>
          <w:szCs w:val="23"/>
        </w:rPr>
        <w:t>项目名称：                                        项目编号/标项</w:t>
      </w:r>
      <w:r>
        <w:rPr>
          <w:rFonts w:ascii="仿宋" w:hAnsi="仿宋" w:eastAsia="仿宋" w:cs="仿宋"/>
          <w:sz w:val="23"/>
          <w:szCs w:val="23"/>
        </w:rPr>
        <w:t>号：</w:t>
      </w:r>
    </w:p>
    <w:p w14:paraId="534C8A88">
      <w:pPr>
        <w:spacing w:line="70" w:lineRule="auto"/>
        <w:rPr>
          <w:rFonts w:ascii="Arial"/>
          <w:sz w:val="2"/>
        </w:rPr>
      </w:pPr>
    </w:p>
    <w:tbl>
      <w:tblPr>
        <w:tblStyle w:val="48"/>
        <w:tblW w:w="90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8"/>
        <w:gridCol w:w="6985"/>
      </w:tblGrid>
      <w:tr w14:paraId="5C9F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08" w:type="dxa"/>
            <w:vAlign w:val="top"/>
          </w:tcPr>
          <w:p w14:paraId="2798639F">
            <w:pPr>
              <w:spacing w:before="269" w:line="229" w:lineRule="auto"/>
              <w:ind w:left="122"/>
              <w:rPr>
                <w:rFonts w:ascii="仿宋" w:hAnsi="仿宋" w:eastAsia="仿宋" w:cs="仿宋"/>
                <w:sz w:val="23"/>
                <w:szCs w:val="23"/>
              </w:rPr>
            </w:pPr>
            <w:r>
              <w:rPr>
                <w:rFonts w:ascii="仿宋" w:hAnsi="仿宋" w:eastAsia="仿宋" w:cs="仿宋"/>
                <w:spacing w:val="7"/>
                <w:sz w:val="23"/>
                <w:szCs w:val="23"/>
              </w:rPr>
              <w:t>投标人名</w:t>
            </w:r>
            <w:r>
              <w:rPr>
                <w:rFonts w:ascii="仿宋" w:hAnsi="仿宋" w:eastAsia="仿宋" w:cs="仿宋"/>
                <w:spacing w:val="6"/>
                <w:sz w:val="23"/>
                <w:szCs w:val="23"/>
              </w:rPr>
              <w:t>称</w:t>
            </w:r>
          </w:p>
        </w:tc>
        <w:tc>
          <w:tcPr>
            <w:tcW w:w="6985" w:type="dxa"/>
            <w:vAlign w:val="top"/>
          </w:tcPr>
          <w:p w14:paraId="57FEC9F4">
            <w:pPr>
              <w:rPr>
                <w:rFonts w:ascii="Arial"/>
                <w:sz w:val="21"/>
              </w:rPr>
            </w:pPr>
          </w:p>
        </w:tc>
      </w:tr>
      <w:tr w14:paraId="7BEF9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108" w:type="dxa"/>
            <w:vAlign w:val="top"/>
          </w:tcPr>
          <w:p w14:paraId="0913BA6E">
            <w:pPr>
              <w:spacing w:line="263" w:lineRule="auto"/>
              <w:rPr>
                <w:rFonts w:ascii="Arial"/>
                <w:sz w:val="21"/>
              </w:rPr>
            </w:pPr>
          </w:p>
          <w:p w14:paraId="4FEA92C1">
            <w:pPr>
              <w:spacing w:before="74" w:line="231" w:lineRule="auto"/>
              <w:ind w:left="122"/>
              <w:rPr>
                <w:rFonts w:ascii="宋体" w:hAnsi="宋体" w:eastAsia="宋体" w:cs="宋体"/>
                <w:sz w:val="20"/>
                <w:szCs w:val="20"/>
              </w:rPr>
            </w:pPr>
            <w:r>
              <w:drawing>
                <wp:anchor distT="0" distB="0" distL="0" distR="0" simplePos="0" relativeHeight="251669504" behindDoc="1" locked="0" layoutInCell="1" allowOverlap="1">
                  <wp:simplePos x="0" y="0"/>
                  <wp:positionH relativeFrom="column">
                    <wp:posOffset>1270</wp:posOffset>
                  </wp:positionH>
                  <wp:positionV relativeFrom="paragraph">
                    <wp:posOffset>-168910</wp:posOffset>
                  </wp:positionV>
                  <wp:extent cx="1333500" cy="805180"/>
                  <wp:effectExtent l="0" t="0" r="7620" b="2540"/>
                  <wp:wrapNone/>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4"/>
                          <a:stretch>
                            <a:fillRect/>
                          </a:stretch>
                        </pic:blipFill>
                        <pic:spPr>
                          <a:xfrm>
                            <a:off x="0" y="0"/>
                            <a:ext cx="1333500" cy="805180"/>
                          </a:xfrm>
                          <a:prstGeom prst="rect">
                            <a:avLst/>
                          </a:prstGeom>
                        </pic:spPr>
                      </pic:pic>
                    </a:graphicData>
                  </a:graphic>
                </wp:anchor>
              </w:drawing>
            </w:r>
            <w:r>
              <w:rPr>
                <w:rFonts w:ascii="仿宋" w:hAnsi="仿宋" w:eastAsia="仿宋" w:cs="仿宋"/>
                <w:spacing w:val="6"/>
                <w:sz w:val="23"/>
                <w:szCs w:val="23"/>
              </w:rPr>
              <w:t>投标</w:t>
            </w:r>
            <w:r>
              <w:rPr>
                <w:rFonts w:ascii="仿宋" w:hAnsi="仿宋" w:eastAsia="仿宋" w:cs="仿宋"/>
                <w:spacing w:val="3"/>
                <w:sz w:val="23"/>
                <w:szCs w:val="23"/>
              </w:rPr>
              <w:t xml:space="preserve">总价 </w:t>
            </w:r>
            <w:r>
              <w:rPr>
                <w:rFonts w:ascii="宋体" w:hAnsi="宋体" w:eastAsia="宋体" w:cs="宋体"/>
                <w:spacing w:val="3"/>
                <w:sz w:val="20"/>
                <w:szCs w:val="20"/>
              </w:rPr>
              <w:t>(元)</w:t>
            </w:r>
          </w:p>
          <w:p w14:paraId="4F5ADD54">
            <w:pPr>
              <w:spacing w:before="153" w:line="231" w:lineRule="auto"/>
              <w:ind w:left="128"/>
              <w:rPr>
                <w:rFonts w:ascii="仿宋" w:hAnsi="仿宋" w:eastAsia="仿宋" w:cs="仿宋"/>
                <w:sz w:val="23"/>
                <w:szCs w:val="23"/>
              </w:rPr>
            </w:pPr>
            <w:r>
              <w:rPr>
                <w:rFonts w:ascii="仿宋" w:hAnsi="仿宋" w:eastAsia="仿宋" w:cs="仿宋"/>
                <w:spacing w:val="27"/>
                <w:sz w:val="23"/>
                <w:szCs w:val="23"/>
              </w:rPr>
              <w:t>(人民币</w:t>
            </w:r>
            <w:r>
              <w:rPr>
                <w:rFonts w:ascii="仿宋" w:hAnsi="仿宋" w:eastAsia="仿宋" w:cs="仿宋"/>
                <w:spacing w:val="26"/>
                <w:sz w:val="23"/>
                <w:szCs w:val="23"/>
              </w:rPr>
              <w:t>)</w:t>
            </w:r>
          </w:p>
        </w:tc>
        <w:tc>
          <w:tcPr>
            <w:tcW w:w="6985" w:type="dxa"/>
            <w:vAlign w:val="top"/>
          </w:tcPr>
          <w:p w14:paraId="10168686">
            <w:pPr>
              <w:spacing w:line="263" w:lineRule="auto"/>
              <w:rPr>
                <w:rFonts w:ascii="Arial"/>
                <w:sz w:val="21"/>
              </w:rPr>
            </w:pPr>
          </w:p>
          <w:p w14:paraId="10B6A850">
            <w:pPr>
              <w:spacing w:before="75" w:line="232" w:lineRule="auto"/>
              <w:ind w:left="122"/>
              <w:rPr>
                <w:rFonts w:ascii="仿宋" w:hAnsi="仿宋" w:eastAsia="仿宋" w:cs="仿宋"/>
                <w:sz w:val="23"/>
                <w:szCs w:val="23"/>
              </w:rPr>
            </w:pPr>
            <w:r>
              <w:drawing>
                <wp:anchor distT="0" distB="0" distL="0" distR="0" simplePos="0" relativeHeight="251672576" behindDoc="1" locked="0" layoutInCell="1" allowOverlap="1">
                  <wp:simplePos x="0" y="0"/>
                  <wp:positionH relativeFrom="column">
                    <wp:posOffset>0</wp:posOffset>
                  </wp:positionH>
                  <wp:positionV relativeFrom="paragraph">
                    <wp:posOffset>-168275</wp:posOffset>
                  </wp:positionV>
                  <wp:extent cx="4431665" cy="805180"/>
                  <wp:effectExtent l="0" t="0" r="3175" b="2540"/>
                  <wp:wrapNone/>
                  <wp:docPr id="14" name="IM 3"/>
                  <wp:cNvGraphicFramePr/>
                  <a:graphic xmlns:a="http://schemas.openxmlformats.org/drawingml/2006/main">
                    <a:graphicData uri="http://schemas.openxmlformats.org/drawingml/2006/picture">
                      <pic:pic xmlns:pic="http://schemas.openxmlformats.org/drawingml/2006/picture">
                        <pic:nvPicPr>
                          <pic:cNvPr id="14" name="IM 3"/>
                          <pic:cNvPicPr/>
                        </pic:nvPicPr>
                        <pic:blipFill>
                          <a:blip r:embed="rId15"/>
                          <a:stretch>
                            <a:fillRect/>
                          </a:stretch>
                        </pic:blipFill>
                        <pic:spPr>
                          <a:xfrm>
                            <a:off x="0" y="0"/>
                            <a:ext cx="4431664" cy="805180"/>
                          </a:xfrm>
                          <a:prstGeom prst="rect">
                            <a:avLst/>
                          </a:prstGeom>
                        </pic:spPr>
                      </pic:pic>
                    </a:graphicData>
                  </a:graphic>
                </wp:anchor>
              </w:drawing>
            </w:r>
            <w:r>
              <w:rPr>
                <w:rFonts w:ascii="仿宋" w:hAnsi="仿宋" w:eastAsia="仿宋" w:cs="仿宋"/>
                <w:spacing w:val="1"/>
                <w:sz w:val="23"/>
                <w:szCs w:val="23"/>
              </w:rPr>
              <w:t>大</w:t>
            </w:r>
            <w:r>
              <w:rPr>
                <w:rFonts w:ascii="仿宋" w:hAnsi="仿宋" w:eastAsia="仿宋" w:cs="仿宋"/>
                <w:sz w:val="23"/>
                <w:szCs w:val="23"/>
              </w:rPr>
              <w:t>写：</w:t>
            </w:r>
            <w:r>
              <w:rPr>
                <w:rFonts w:ascii="仿宋" w:hAnsi="仿宋" w:eastAsia="仿宋" w:cs="仿宋"/>
                <w:sz w:val="23"/>
                <w:szCs w:val="23"/>
                <w:u w:val="single" w:color="auto"/>
              </w:rPr>
              <w:t xml:space="preserve">         </w:t>
            </w:r>
          </w:p>
          <w:p w14:paraId="3EBF8057">
            <w:pPr>
              <w:spacing w:before="152" w:line="233" w:lineRule="auto"/>
              <w:ind w:left="119"/>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r>
              <w:rPr>
                <w:rFonts w:ascii="仿宋" w:hAnsi="仿宋" w:eastAsia="仿宋" w:cs="仿宋"/>
                <w:sz w:val="23"/>
                <w:szCs w:val="23"/>
                <w:u w:val="single" w:color="auto"/>
              </w:rPr>
              <w:t xml:space="preserve">         </w:t>
            </w:r>
          </w:p>
        </w:tc>
      </w:tr>
      <w:tr w14:paraId="68D9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108" w:type="dxa"/>
            <w:vAlign w:val="top"/>
          </w:tcPr>
          <w:p w14:paraId="0B32E5C3">
            <w:pPr>
              <w:spacing w:before="211" w:line="231" w:lineRule="auto"/>
              <w:ind w:left="128"/>
              <w:rPr>
                <w:rFonts w:ascii="仿宋" w:hAnsi="仿宋" w:eastAsia="仿宋" w:cs="仿宋"/>
                <w:sz w:val="23"/>
                <w:szCs w:val="23"/>
              </w:rPr>
            </w:pPr>
            <w:r>
              <w:drawing>
                <wp:anchor distT="0" distB="0" distL="0" distR="0" simplePos="0" relativeHeight="251670528" behindDoc="1" locked="0" layoutInCell="1" allowOverlap="1">
                  <wp:simplePos x="0" y="0"/>
                  <wp:positionH relativeFrom="column">
                    <wp:posOffset>1270</wp:posOffset>
                  </wp:positionH>
                  <wp:positionV relativeFrom="paragraph">
                    <wp:posOffset>635</wp:posOffset>
                  </wp:positionV>
                  <wp:extent cx="1333500" cy="359410"/>
                  <wp:effectExtent l="0" t="0" r="7620" b="6350"/>
                  <wp:wrapNone/>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6"/>
                          <a:stretch>
                            <a:fillRect/>
                          </a:stretch>
                        </pic:blipFill>
                        <pic:spPr>
                          <a:xfrm>
                            <a:off x="0" y="0"/>
                            <a:ext cx="1333500" cy="359409"/>
                          </a:xfrm>
                          <a:prstGeom prst="rect">
                            <a:avLst/>
                          </a:prstGeom>
                        </pic:spPr>
                      </pic:pic>
                    </a:graphicData>
                  </a:graphic>
                </wp:anchor>
              </w:drawing>
            </w:r>
            <w:r>
              <w:rPr>
                <w:rFonts w:ascii="仿宋" w:hAnsi="仿宋" w:eastAsia="仿宋" w:cs="仿宋"/>
                <w:spacing w:val="4"/>
                <w:sz w:val="23"/>
                <w:szCs w:val="23"/>
              </w:rPr>
              <w:t>交</w:t>
            </w:r>
            <w:r>
              <w:rPr>
                <w:rFonts w:ascii="仿宋" w:hAnsi="仿宋" w:eastAsia="仿宋" w:cs="仿宋"/>
                <w:spacing w:val="2"/>
                <w:sz w:val="23"/>
                <w:szCs w:val="23"/>
              </w:rPr>
              <w:t>货期</w:t>
            </w:r>
          </w:p>
        </w:tc>
        <w:tc>
          <w:tcPr>
            <w:tcW w:w="6985" w:type="dxa"/>
            <w:shd w:val="clear" w:color="auto" w:fill="FFFFFF"/>
            <w:vAlign w:val="top"/>
          </w:tcPr>
          <w:p w14:paraId="20DF4341">
            <w:pPr>
              <w:rPr>
                <w:rFonts w:ascii="Arial"/>
                <w:sz w:val="21"/>
              </w:rPr>
            </w:pPr>
          </w:p>
        </w:tc>
      </w:tr>
      <w:tr w14:paraId="1658A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08" w:type="dxa"/>
            <w:vAlign w:val="top"/>
          </w:tcPr>
          <w:p w14:paraId="11160AD8">
            <w:pPr>
              <w:spacing w:before="266" w:line="229" w:lineRule="auto"/>
              <w:ind w:left="128"/>
              <w:rPr>
                <w:rFonts w:ascii="仿宋" w:hAnsi="仿宋" w:eastAsia="仿宋" w:cs="仿宋"/>
                <w:sz w:val="23"/>
                <w:szCs w:val="23"/>
              </w:rPr>
            </w:pPr>
            <w:r>
              <w:drawing>
                <wp:anchor distT="0" distB="0" distL="0" distR="0" simplePos="0" relativeHeight="251671552" behindDoc="1" locked="0" layoutInCell="1" allowOverlap="1">
                  <wp:simplePos x="0" y="0"/>
                  <wp:positionH relativeFrom="column">
                    <wp:posOffset>1270</wp:posOffset>
                  </wp:positionH>
                  <wp:positionV relativeFrom="paragraph">
                    <wp:posOffset>1270</wp:posOffset>
                  </wp:positionV>
                  <wp:extent cx="1333500" cy="429895"/>
                  <wp:effectExtent l="0" t="0" r="7620" b="12065"/>
                  <wp:wrapNone/>
                  <wp:docPr id="22" name="IM 5"/>
                  <wp:cNvGraphicFramePr/>
                  <a:graphic xmlns:a="http://schemas.openxmlformats.org/drawingml/2006/main">
                    <a:graphicData uri="http://schemas.openxmlformats.org/drawingml/2006/picture">
                      <pic:pic xmlns:pic="http://schemas.openxmlformats.org/drawingml/2006/picture">
                        <pic:nvPicPr>
                          <pic:cNvPr id="22" name="IM 5"/>
                          <pic:cNvPicPr/>
                        </pic:nvPicPr>
                        <pic:blipFill>
                          <a:blip r:embed="rId17"/>
                          <a:stretch>
                            <a:fillRect/>
                          </a:stretch>
                        </pic:blipFill>
                        <pic:spPr>
                          <a:xfrm>
                            <a:off x="0" y="0"/>
                            <a:ext cx="1333500" cy="429894"/>
                          </a:xfrm>
                          <a:prstGeom prst="rect">
                            <a:avLst/>
                          </a:prstGeom>
                        </pic:spPr>
                      </pic:pic>
                    </a:graphicData>
                  </a:graphic>
                </wp:anchor>
              </w:drawing>
            </w:r>
            <w:r>
              <w:rPr>
                <w:rFonts w:ascii="仿宋" w:hAnsi="仿宋" w:eastAsia="仿宋" w:cs="仿宋"/>
                <w:spacing w:val="4"/>
                <w:sz w:val="23"/>
                <w:szCs w:val="23"/>
              </w:rPr>
              <w:t>质</w:t>
            </w:r>
            <w:r>
              <w:rPr>
                <w:rFonts w:ascii="仿宋" w:hAnsi="仿宋" w:eastAsia="仿宋" w:cs="仿宋"/>
                <w:spacing w:val="2"/>
                <w:sz w:val="23"/>
                <w:szCs w:val="23"/>
              </w:rPr>
              <w:t>保期</w:t>
            </w:r>
          </w:p>
        </w:tc>
        <w:tc>
          <w:tcPr>
            <w:tcW w:w="6985" w:type="dxa"/>
            <w:vAlign w:val="top"/>
          </w:tcPr>
          <w:p w14:paraId="79560992">
            <w:pPr>
              <w:spacing w:before="1" w:line="677" w:lineRule="exact"/>
              <w:textAlignment w:val="center"/>
            </w:pPr>
            <w:r>
              <w:drawing>
                <wp:inline distT="0" distB="0" distL="0" distR="0">
                  <wp:extent cx="4431030" cy="429260"/>
                  <wp:effectExtent l="0" t="0" r="3810" b="12700"/>
                  <wp:docPr id="23" name="IM 6"/>
                  <wp:cNvGraphicFramePr/>
                  <a:graphic xmlns:a="http://schemas.openxmlformats.org/drawingml/2006/main">
                    <a:graphicData uri="http://schemas.openxmlformats.org/drawingml/2006/picture">
                      <pic:pic xmlns:pic="http://schemas.openxmlformats.org/drawingml/2006/picture">
                        <pic:nvPicPr>
                          <pic:cNvPr id="23" name="IM 6"/>
                          <pic:cNvPicPr/>
                        </pic:nvPicPr>
                        <pic:blipFill>
                          <a:blip r:embed="rId18"/>
                          <a:stretch>
                            <a:fillRect/>
                          </a:stretch>
                        </pic:blipFill>
                        <pic:spPr>
                          <a:xfrm>
                            <a:off x="0" y="0"/>
                            <a:ext cx="4431538" cy="429894"/>
                          </a:xfrm>
                          <a:prstGeom prst="rect">
                            <a:avLst/>
                          </a:prstGeom>
                        </pic:spPr>
                      </pic:pic>
                    </a:graphicData>
                  </a:graphic>
                </wp:inline>
              </w:drawing>
            </w:r>
          </w:p>
        </w:tc>
      </w:tr>
      <w:tr w14:paraId="2464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08" w:type="dxa"/>
            <w:vAlign w:val="top"/>
          </w:tcPr>
          <w:p w14:paraId="05CC8124">
            <w:pPr>
              <w:spacing w:before="268" w:line="231" w:lineRule="auto"/>
              <w:ind w:left="123"/>
              <w:rPr>
                <w:rFonts w:ascii="仿宋" w:hAnsi="仿宋" w:eastAsia="仿宋" w:cs="仿宋"/>
                <w:sz w:val="23"/>
                <w:szCs w:val="23"/>
              </w:rPr>
            </w:pPr>
            <w:r>
              <mc:AlternateContent>
                <mc:Choice Requires="wpg">
                  <w:drawing>
                    <wp:anchor distT="0" distB="0" distL="114300" distR="114300" simplePos="0" relativeHeight="251668480" behindDoc="1" locked="0" layoutInCell="1" allowOverlap="1">
                      <wp:simplePos x="0" y="0"/>
                      <wp:positionH relativeFrom="column">
                        <wp:posOffset>1270</wp:posOffset>
                      </wp:positionH>
                      <wp:positionV relativeFrom="paragraph">
                        <wp:posOffset>1270</wp:posOffset>
                      </wp:positionV>
                      <wp:extent cx="1334135" cy="431800"/>
                      <wp:effectExtent l="0" t="0" r="6985" b="10160"/>
                      <wp:wrapNone/>
                      <wp:docPr id="29" name="组合 29"/>
                      <wp:cNvGraphicFramePr/>
                      <a:graphic xmlns:a="http://schemas.openxmlformats.org/drawingml/2006/main">
                        <a:graphicData uri="http://schemas.microsoft.com/office/word/2010/wordprocessingGroup">
                          <wpg:wgp>
                            <wpg:cNvGrpSpPr/>
                            <wpg:grpSpPr>
                              <a:xfrm>
                                <a:off x="0" y="0"/>
                                <a:ext cx="1334135" cy="431800"/>
                                <a:chOff x="0" y="0"/>
                                <a:chExt cx="2101" cy="680"/>
                              </a:xfrm>
                            </wpg:grpSpPr>
                            <wps:wsp>
                              <wps:cNvPr id="27" name="任意多边形 27"/>
                              <wps:cNvSpPr/>
                              <wps:spPr>
                                <a:xfrm>
                                  <a:off x="0" y="0"/>
                                  <a:ext cx="2101" cy="680"/>
                                </a:xfrm>
                                <a:custGeom>
                                  <a:avLst/>
                                  <a:gdLst/>
                                  <a:ahLst/>
                                  <a:cxnLst/>
                                  <a:pathLst>
                                    <a:path w="2101" h="680">
                                      <a:moveTo>
                                        <a:pt x="0" y="0"/>
                                      </a:moveTo>
                                      <a:lnTo>
                                        <a:pt x="2100" y="0"/>
                                      </a:lnTo>
                                      <a:lnTo>
                                        <a:pt x="2100" y="680"/>
                                      </a:lnTo>
                                      <a:lnTo>
                                        <a:pt x="0" y="680"/>
                                      </a:lnTo>
                                      <a:lnTo>
                                        <a:pt x="0" y="0"/>
                                      </a:lnTo>
                                      <a:close/>
                                    </a:path>
                                  </a:pathLst>
                                </a:custGeom>
                                <a:solidFill>
                                  <a:srgbClr val="F3F3F3"/>
                                </a:solidFill>
                                <a:ln>
                                  <a:noFill/>
                                </a:ln>
                              </wps:spPr>
                              <wps:bodyPr upright="1"/>
                            </wps:wsp>
                            <wps:wsp>
                              <wps:cNvPr id="28" name="任意多边形 28"/>
                              <wps:cNvSpPr/>
                              <wps:spPr>
                                <a:xfrm>
                                  <a:off x="105" y="118"/>
                                  <a:ext cx="1890" cy="440"/>
                                </a:xfrm>
                                <a:custGeom>
                                  <a:avLst/>
                                  <a:gdLst/>
                                  <a:ahLst/>
                                  <a:cxnLst/>
                                  <a:pathLst>
                                    <a:path w="1890" h="440">
                                      <a:moveTo>
                                        <a:pt x="0" y="0"/>
                                      </a:moveTo>
                                      <a:lnTo>
                                        <a:pt x="1889" y="0"/>
                                      </a:lnTo>
                                      <a:lnTo>
                                        <a:pt x="1889" y="440"/>
                                      </a:lnTo>
                                      <a:lnTo>
                                        <a:pt x="0" y="440"/>
                                      </a:lnTo>
                                      <a:lnTo>
                                        <a:pt x="0" y="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0.1pt;margin-top:0.1pt;height:34pt;width:105.05pt;z-index:-251648000;mso-width-relative:page;mso-height-relative:page;" coordsize="2101,680" o:gfxdata="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9n+3jUAAAABAEAAA8A&#10;AAAAAAAAAQAgAAAAIgAAAGRycy9kb3ducmV2LnhtbFBLAQIUABQAAAAIAIdO4kCGCbRhxgIAAEkI&#10;AAAOAAAAAAAAAAEAIAAAACMBAABkcnMvZTJvRG9jLnhtbFBLBQYAAAAABgAGAFkBAABbBgAAAAA=&#10;">
                      <o:lock v:ext="edit" aspectratio="f"/>
                      <v:shape id="_x0000_s1026" o:spid="_x0000_s1026" o:spt="100" style="position:absolute;left:0;top:0;height:680;width:2101;" fillcolor="#F3F3F3" filled="t" stroked="f" coordsize="2101,680" o:gfxdata="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1eK8AAAA&#10;2wAAAA8AAAAAAAAAAQAgAAAAIgAAAGRycy9kb3ducmV2LnhtbFBLAQIUABQAAAAIAIdO4kAzLwWe&#10;OwAAADkAAAAQAAAAAAAAAAEAIAAAAAsBAABkcnMvc2hhcGV4bWwueG1sUEsFBgAAAAAGAAYAWwEA&#10;ALUDAAAAAA==&#10;" path="m0,0l2100,0,2100,680,0,680,0,0xe">
                        <v:fill on="t" focussize="0,0"/>
                        <v:stroke on="f"/>
                        <v:imagedata o:title=""/>
                        <o:lock v:ext="edit" aspectratio="f"/>
                      </v:shape>
                      <v:shape id="_x0000_s1026" o:spid="_x0000_s1026" o:spt="100" style="position:absolute;left:105;top:118;height:440;width:1890;" fillcolor="#FFFFFF" filled="t" stroked="f" coordsize="1890,440" o:gfxdata="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mZp5ugAAANsA&#10;AAAPAAAAAAAAAAEAIAAAACIAAABkcnMvZG93bnJldi54bWxQSwECFAAUAAAACACHTuJAMy8FnjsA&#10;AAA5AAAAEAAAAAAAAAABACAAAAAJAQAAZHJzL3NoYXBleG1sLnhtbFBLBQYAAAAABgAGAFsBAACz&#10;AwAAAAA=&#10;" path="m0,0l1889,0,1889,440,0,440,0,0xe">
                        <v:fill on="t" focussize="0,0"/>
                        <v:stroke on="f"/>
                        <v:imagedata o:title=""/>
                        <o:lock v:ext="edit" aspectratio="f"/>
                      </v:shape>
                    </v:group>
                  </w:pict>
                </mc:Fallback>
              </mc:AlternateContent>
            </w:r>
            <w:r>
              <w:rPr>
                <w:rFonts w:ascii="仿宋" w:hAnsi="仿宋" w:eastAsia="仿宋" w:cs="仿宋"/>
                <w:spacing w:val="6"/>
                <w:sz w:val="23"/>
                <w:szCs w:val="23"/>
              </w:rPr>
              <w:t>报价说明</w:t>
            </w:r>
          </w:p>
        </w:tc>
        <w:tc>
          <w:tcPr>
            <w:tcW w:w="6985" w:type="dxa"/>
            <w:vAlign w:val="top"/>
          </w:tcPr>
          <w:p w14:paraId="2A676452">
            <w:pPr>
              <w:spacing w:before="2" w:line="680" w:lineRule="exact"/>
              <w:textAlignment w:val="center"/>
            </w:pPr>
            <w:r>
              <mc:AlternateContent>
                <mc:Choice Requires="wpg">
                  <w:drawing>
                    <wp:inline distT="0" distB="0" distL="114300" distR="114300">
                      <wp:extent cx="4431665" cy="431800"/>
                      <wp:effectExtent l="0" t="0" r="3175" b="10160"/>
                      <wp:docPr id="26" name="组合 26"/>
                      <wp:cNvGraphicFramePr/>
                      <a:graphic xmlns:a="http://schemas.openxmlformats.org/drawingml/2006/main">
                        <a:graphicData uri="http://schemas.microsoft.com/office/word/2010/wordprocessingGroup">
                          <wpg:wgp>
                            <wpg:cNvGrpSpPr/>
                            <wpg:grpSpPr>
                              <a:xfrm>
                                <a:off x="0" y="0"/>
                                <a:ext cx="4431665" cy="431800"/>
                                <a:chOff x="0" y="0"/>
                                <a:chExt cx="6979" cy="680"/>
                              </a:xfrm>
                            </wpg:grpSpPr>
                            <wps:wsp>
                              <wps:cNvPr id="24" name="任意多边形 24"/>
                              <wps:cNvSpPr/>
                              <wps:spPr>
                                <a:xfrm>
                                  <a:off x="0" y="0"/>
                                  <a:ext cx="6979" cy="680"/>
                                </a:xfrm>
                                <a:custGeom>
                                  <a:avLst/>
                                  <a:gdLst/>
                                  <a:ahLst/>
                                  <a:cxnLst/>
                                  <a:pathLst>
                                    <a:path w="6979" h="680">
                                      <a:moveTo>
                                        <a:pt x="0" y="0"/>
                                      </a:moveTo>
                                      <a:lnTo>
                                        <a:pt x="6978" y="0"/>
                                      </a:lnTo>
                                      <a:lnTo>
                                        <a:pt x="6978" y="680"/>
                                      </a:lnTo>
                                      <a:lnTo>
                                        <a:pt x="0" y="680"/>
                                      </a:lnTo>
                                      <a:lnTo>
                                        <a:pt x="0" y="0"/>
                                      </a:lnTo>
                                      <a:close/>
                                    </a:path>
                                  </a:pathLst>
                                </a:custGeom>
                                <a:solidFill>
                                  <a:srgbClr val="F3F3F3"/>
                                </a:solidFill>
                                <a:ln>
                                  <a:noFill/>
                                </a:ln>
                              </wps:spPr>
                              <wps:bodyPr upright="1"/>
                            </wps:wsp>
                            <wps:wsp>
                              <wps:cNvPr id="25" name="任意多边形 25"/>
                              <wps:cNvSpPr/>
                              <wps:spPr>
                                <a:xfrm>
                                  <a:off x="105" y="118"/>
                                  <a:ext cx="6767" cy="440"/>
                                </a:xfrm>
                                <a:custGeom>
                                  <a:avLst/>
                                  <a:gdLst/>
                                  <a:ahLst/>
                                  <a:cxnLst/>
                                  <a:pathLst>
                                    <a:path w="6767" h="440">
                                      <a:moveTo>
                                        <a:pt x="0" y="0"/>
                                      </a:moveTo>
                                      <a:lnTo>
                                        <a:pt x="6767" y="0"/>
                                      </a:lnTo>
                                      <a:lnTo>
                                        <a:pt x="6767" y="440"/>
                                      </a:lnTo>
                                      <a:lnTo>
                                        <a:pt x="0" y="440"/>
                                      </a:lnTo>
                                      <a:lnTo>
                                        <a:pt x="0" y="0"/>
                                      </a:lnTo>
                                      <a:close/>
                                    </a:path>
                                  </a:pathLst>
                                </a:custGeom>
                                <a:solidFill>
                                  <a:srgbClr val="FFFFFF"/>
                                </a:solidFill>
                                <a:ln>
                                  <a:noFill/>
                                </a:ln>
                              </wps:spPr>
                              <wps:bodyPr upright="1"/>
                            </wps:wsp>
                          </wpg:wgp>
                        </a:graphicData>
                      </a:graphic>
                    </wp:inline>
                  </w:drawing>
                </mc:Choice>
                <mc:Fallback>
                  <w:pict>
                    <v:group id="_x0000_s1026" o:spid="_x0000_s1026" o:spt="203" style="height:34pt;width:348.95pt;" coordsize="6979,680" o:gfxdata="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NGb&#10;ESDVAAAABAEAAA8AAAAAAAAAAQAgAAAAIgAAAGRycy9kb3ducmV2LnhtbFBLAQIUABQAAAAIAIdO&#10;4kCH9Qd10QIAAEkIAAAOAAAAAAAAAAEAIAAAACQBAABkcnMvZTJvRG9jLnhtbFBLBQYAAAAABgAG&#10;AFkBAABnBgAAAAA=&#10;">
                      <o:lock v:ext="edit" aspectratio="f"/>
                      <v:shape id="_x0000_s1026" o:spid="_x0000_s1026" o:spt="100" style="position:absolute;left:0;top:0;height:680;width:6979;" fillcolor="#F3F3F3" filled="t" stroked="f" coordsize="6979,680" o:gfxdata="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xz0tvQAA&#10;ANsAAAAPAAAAAAAAAAEAIAAAACIAAABkcnMvZG93bnJldi54bWxQSwECFAAUAAAACACHTuJAMy8F&#10;njsAAAA5AAAAEAAAAAAAAAABACAAAAAMAQAAZHJzL3NoYXBleG1sLnhtbFBLBQYAAAAABgAGAFsB&#10;AAC2AwAAAAA=&#10;" path="m0,0l6978,0,6978,680,0,680,0,0xe">
                        <v:fill on="t" focussize="0,0"/>
                        <v:stroke on="f"/>
                        <v:imagedata o:title=""/>
                        <o:lock v:ext="edit" aspectratio="f"/>
                      </v:shape>
                      <v:shape id="_x0000_s1026" o:spid="_x0000_s1026" o:spt="100" style="position:absolute;left:105;top:118;height:440;width:6767;" fillcolor="#FFFFFF" filled="t" stroked="f" coordsize="6767,440" o:gfxdata="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y44LsAAADb&#10;AAAADwAAAAAAAAABACAAAAAiAAAAZHJzL2Rvd25yZXYueG1sUEsBAhQAFAAAAAgAh07iQDMvBZ47&#10;AAAAOQAAABAAAAAAAAAAAQAgAAAACgEAAGRycy9zaGFwZXhtbC54bWxQSwUGAAAAAAYABgBbAQAA&#10;tAMAAAAA&#10;" path="m0,0l6767,0,6767,440,0,440,0,0xe">
                        <v:fill on="t" focussize="0,0"/>
                        <v:stroke on="f"/>
                        <v:imagedata o:title=""/>
                        <o:lock v:ext="edit" aspectratio="f"/>
                      </v:shape>
                      <w10:wrap type="none"/>
                      <w10:anchorlock/>
                    </v:group>
                  </w:pict>
                </mc:Fallback>
              </mc:AlternateContent>
            </w:r>
          </w:p>
        </w:tc>
      </w:tr>
    </w:tbl>
    <w:p w14:paraId="0EFDE624">
      <w:pPr>
        <w:spacing w:before="147" w:line="233" w:lineRule="auto"/>
        <w:ind w:left="16"/>
        <w:rPr>
          <w:rFonts w:ascii="仿宋" w:hAnsi="仿宋" w:eastAsia="仿宋" w:cs="仿宋"/>
          <w:sz w:val="23"/>
          <w:szCs w:val="23"/>
        </w:rPr>
      </w:pPr>
      <w:r>
        <w:rPr>
          <w:rFonts w:ascii="仿宋" w:hAnsi="仿宋" w:eastAsia="仿宋" w:cs="仿宋"/>
          <w:spacing w:val="1"/>
          <w:sz w:val="23"/>
          <w:szCs w:val="23"/>
        </w:rPr>
        <w:t>备注</w:t>
      </w:r>
      <w:r>
        <w:rPr>
          <w:rFonts w:ascii="仿宋" w:hAnsi="仿宋" w:eastAsia="仿宋" w:cs="仿宋"/>
          <w:sz w:val="23"/>
          <w:szCs w:val="23"/>
        </w:rPr>
        <w:t>：</w:t>
      </w:r>
    </w:p>
    <w:p w14:paraId="15C3DC65">
      <w:pPr>
        <w:spacing w:before="149" w:line="229" w:lineRule="auto"/>
        <w:ind w:left="23"/>
        <w:rPr>
          <w:rFonts w:ascii="仿宋" w:hAnsi="仿宋" w:eastAsia="仿宋" w:cs="仿宋"/>
          <w:sz w:val="23"/>
          <w:szCs w:val="23"/>
        </w:rPr>
      </w:pP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w:t>
      </w:r>
      <w:r>
        <w:rPr>
          <w:rFonts w:ascii="仿宋" w:hAnsi="仿宋" w:eastAsia="仿宋" w:cs="仿宋"/>
          <w:spacing w:val="1"/>
          <w:sz w:val="23"/>
          <w:szCs w:val="23"/>
        </w:rPr>
        <w:t>投标总报价以元为单位，小数点</w:t>
      </w:r>
      <w:r>
        <w:rPr>
          <w:rFonts w:ascii="仿宋" w:hAnsi="仿宋" w:eastAsia="仿宋" w:cs="仿宋"/>
          <w:sz w:val="23"/>
          <w:szCs w:val="23"/>
        </w:rPr>
        <w:t>后保留 2 位。</w:t>
      </w:r>
    </w:p>
    <w:p w14:paraId="7A83047F">
      <w:pPr>
        <w:spacing w:before="153" w:line="313" w:lineRule="exact"/>
        <w:ind w:left="10"/>
        <w:rPr>
          <w:rFonts w:ascii="仿宋" w:hAnsi="仿宋" w:eastAsia="仿宋" w:cs="仿宋"/>
          <w:sz w:val="23"/>
          <w:szCs w:val="23"/>
        </w:rPr>
      </w:pPr>
      <w:r>
        <w:rPr>
          <w:rFonts w:ascii="仿宋" w:hAnsi="仿宋" w:eastAsia="仿宋" w:cs="仿宋"/>
          <w:spacing w:val="13"/>
          <w:position w:val="2"/>
          <w:sz w:val="23"/>
          <w:szCs w:val="23"/>
        </w:rPr>
        <w:t>2</w:t>
      </w:r>
      <w:r>
        <w:rPr>
          <w:rFonts w:ascii="仿宋" w:hAnsi="仿宋" w:eastAsia="仿宋" w:cs="仿宋"/>
          <w:spacing w:val="8"/>
          <w:position w:val="2"/>
          <w:sz w:val="23"/>
          <w:szCs w:val="23"/>
        </w:rPr>
        <w:t>、合计金额应为各分项价格之和。</w:t>
      </w:r>
    </w:p>
    <w:p w14:paraId="178F57D3">
      <w:pPr>
        <w:spacing w:before="128" w:line="291" w:lineRule="auto"/>
        <w:ind w:left="27" w:hanging="15"/>
        <w:rPr>
          <w:rFonts w:ascii="仿宋" w:hAnsi="仿宋" w:eastAsia="仿宋" w:cs="仿宋"/>
          <w:sz w:val="23"/>
          <w:szCs w:val="23"/>
        </w:rPr>
      </w:pPr>
      <w:r>
        <w:rPr>
          <w:rFonts w:ascii="仿宋" w:hAnsi="仿宋" w:eastAsia="仿宋" w:cs="仿宋"/>
          <w:spacing w:val="5"/>
          <w:sz w:val="23"/>
          <w:szCs w:val="23"/>
        </w:rPr>
        <w:t>3、综合单价报价应包含货物的采购、包装、运输、装卸、保险、技术支持、验收、检</w:t>
      </w:r>
      <w:r>
        <w:rPr>
          <w:rFonts w:ascii="仿宋" w:hAnsi="仿宋" w:eastAsia="仿宋" w:cs="仿宋"/>
          <w:spacing w:val="2"/>
          <w:sz w:val="23"/>
          <w:szCs w:val="23"/>
        </w:rPr>
        <w:t>验</w:t>
      </w:r>
      <w:r>
        <w:rPr>
          <w:rFonts w:ascii="仿宋" w:hAnsi="仿宋" w:eastAsia="仿宋" w:cs="仿宋"/>
          <w:sz w:val="23"/>
          <w:szCs w:val="23"/>
        </w:rPr>
        <w:t xml:space="preserve">、 </w:t>
      </w:r>
      <w:r>
        <w:rPr>
          <w:rFonts w:ascii="仿宋" w:hAnsi="仿宋" w:eastAsia="仿宋" w:cs="仿宋"/>
          <w:spacing w:val="7"/>
          <w:sz w:val="23"/>
          <w:szCs w:val="23"/>
        </w:rPr>
        <w:t>售后服务、培训等一切费用</w:t>
      </w:r>
      <w:r>
        <w:rPr>
          <w:rFonts w:ascii="仿宋" w:hAnsi="仿宋" w:eastAsia="仿宋" w:cs="仿宋"/>
          <w:spacing w:val="6"/>
          <w:sz w:val="23"/>
          <w:szCs w:val="23"/>
        </w:rPr>
        <w:t>。</w:t>
      </w:r>
    </w:p>
    <w:p w14:paraId="624C49CA">
      <w:pPr>
        <w:spacing w:before="154" w:line="292" w:lineRule="auto"/>
        <w:ind w:left="13" w:right="104" w:hanging="7"/>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投标人必须自行考虑本项目在实施期间的一切可能产生的费用。在合同执行过程中，</w:t>
      </w:r>
      <w:r>
        <w:rPr>
          <w:rFonts w:ascii="仿宋" w:hAnsi="仿宋" w:eastAsia="仿宋" w:cs="仿宋"/>
          <w:sz w:val="23"/>
          <w:szCs w:val="23"/>
        </w:rPr>
        <w:t xml:space="preserve"> </w:t>
      </w:r>
      <w:r>
        <w:rPr>
          <w:rFonts w:ascii="仿宋" w:hAnsi="仿宋" w:eastAsia="仿宋" w:cs="仿宋"/>
          <w:spacing w:val="9"/>
          <w:sz w:val="23"/>
          <w:szCs w:val="23"/>
        </w:rPr>
        <w:t xml:space="preserve">招标人将不再另行支付与本项目相关的任何费用 (非本项目要求的其它内容除外) </w:t>
      </w:r>
      <w:r>
        <w:rPr>
          <w:rFonts w:ascii="仿宋" w:hAnsi="仿宋" w:eastAsia="仿宋" w:cs="仿宋"/>
          <w:spacing w:val="4"/>
          <w:sz w:val="23"/>
          <w:szCs w:val="23"/>
        </w:rPr>
        <w:t>。</w:t>
      </w:r>
    </w:p>
    <w:p w14:paraId="3BD3AF27">
      <w:pPr>
        <w:pStyle w:val="20"/>
        <w:rPr>
          <w:rFonts w:hint="eastAsia" w:ascii="仿宋" w:hAnsi="仿宋" w:eastAsia="仿宋" w:cs="仿宋"/>
          <w:color w:val="auto"/>
          <w:kern w:val="2"/>
          <w:sz w:val="24"/>
          <w:szCs w:val="22"/>
          <w:highlight w:val="none"/>
          <w:lang w:val="en-US" w:eastAsia="zh-CN" w:bidi="ar-SA"/>
        </w:rPr>
      </w:pPr>
    </w:p>
    <w:p w14:paraId="4CDB9A27">
      <w:pPr>
        <w:pStyle w:val="20"/>
        <w:rPr>
          <w:rFonts w:hint="eastAsia" w:ascii="仿宋" w:hAnsi="仿宋" w:eastAsia="仿宋" w:cs="仿宋"/>
          <w:color w:val="auto"/>
          <w:kern w:val="2"/>
          <w:sz w:val="24"/>
          <w:szCs w:val="22"/>
          <w:highlight w:val="none"/>
          <w:lang w:val="en-US" w:eastAsia="zh-CN" w:bidi="ar-SA"/>
        </w:rPr>
      </w:pPr>
    </w:p>
    <w:p w14:paraId="6D420C1A">
      <w:pPr>
        <w:pStyle w:val="20"/>
        <w:ind w:firstLine="480" w:firstLineChars="2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76AB419D">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19F9CA1A">
      <w:pPr>
        <w:pStyle w:val="20"/>
        <w:ind w:firstLine="720" w:firstLineChars="3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56204F12">
      <w:pPr>
        <w:jc w:val="both"/>
        <w:outlineLvl w:val="9"/>
        <w:rPr>
          <w:rFonts w:hint="eastAsia" w:ascii="仿宋" w:hAnsi="仿宋" w:eastAsia="仿宋" w:cs="仿宋"/>
          <w:color w:val="auto"/>
          <w:sz w:val="24"/>
          <w:szCs w:val="24"/>
          <w:highlight w:val="none"/>
        </w:rPr>
      </w:pPr>
    </w:p>
    <w:p w14:paraId="1B9A59CD">
      <w:pPr>
        <w:jc w:val="center"/>
        <w:outlineLvl w:val="1"/>
        <w:rPr>
          <w:rFonts w:hint="eastAsia" w:ascii="仿宋" w:hAnsi="仿宋" w:eastAsia="仿宋" w:cs="仿宋"/>
          <w:color w:val="auto"/>
          <w:sz w:val="28"/>
          <w:szCs w:val="28"/>
          <w:highlight w:val="none"/>
        </w:rPr>
      </w:pPr>
    </w:p>
    <w:p w14:paraId="2A0624A8">
      <w:pPr>
        <w:jc w:val="both"/>
        <w:outlineLvl w:val="1"/>
        <w:rPr>
          <w:rFonts w:hint="eastAsia" w:ascii="仿宋" w:hAnsi="仿宋" w:eastAsia="仿宋" w:cs="仿宋"/>
          <w:color w:val="auto"/>
          <w:sz w:val="28"/>
          <w:szCs w:val="28"/>
          <w:highlight w:val="none"/>
        </w:rPr>
      </w:pPr>
    </w:p>
    <w:p w14:paraId="2A26280D">
      <w:pPr>
        <w:jc w:val="both"/>
        <w:outlineLvl w:val="1"/>
        <w:rPr>
          <w:rFonts w:hint="eastAsia" w:ascii="仿宋" w:hAnsi="仿宋" w:eastAsia="仿宋" w:cs="仿宋"/>
          <w:color w:val="auto"/>
          <w:sz w:val="28"/>
          <w:szCs w:val="28"/>
          <w:highlight w:val="none"/>
        </w:rPr>
      </w:pPr>
    </w:p>
    <w:p w14:paraId="4E5B49EA">
      <w:pPr>
        <w:jc w:val="both"/>
        <w:outlineLvl w:val="1"/>
        <w:rPr>
          <w:rFonts w:hint="eastAsia" w:ascii="仿宋" w:hAnsi="仿宋" w:eastAsia="仿宋" w:cs="仿宋"/>
          <w:color w:val="auto"/>
          <w:sz w:val="28"/>
          <w:szCs w:val="28"/>
          <w:highlight w:val="none"/>
        </w:rPr>
      </w:pPr>
    </w:p>
    <w:p w14:paraId="58824B65">
      <w:pPr>
        <w:jc w:val="both"/>
        <w:outlineLvl w:val="1"/>
        <w:rPr>
          <w:rFonts w:hint="eastAsia" w:ascii="仿宋" w:hAnsi="仿宋" w:eastAsia="仿宋" w:cs="仿宋"/>
          <w:color w:val="auto"/>
          <w:sz w:val="28"/>
          <w:szCs w:val="28"/>
          <w:highlight w:val="none"/>
        </w:rPr>
      </w:pPr>
    </w:p>
    <w:p w14:paraId="41C7D82C">
      <w:pPr>
        <w:jc w:val="center"/>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附件九、投标产品名称、数量、规格分项报价表</w:t>
      </w:r>
      <w:bookmarkEnd w:id="180"/>
      <w:bookmarkEnd w:id="181"/>
      <w:bookmarkEnd w:id="182"/>
      <w:bookmarkEnd w:id="183"/>
    </w:p>
    <w:p w14:paraId="0D46F6D9">
      <w:pPr>
        <w:jc w:val="both"/>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 xml:space="preserve">               </w:t>
      </w:r>
    </w:p>
    <w:tbl>
      <w:tblPr>
        <w:tblStyle w:val="22"/>
        <w:tblW w:w="976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61"/>
        <w:gridCol w:w="669"/>
        <w:gridCol w:w="1080"/>
        <w:gridCol w:w="908"/>
        <w:gridCol w:w="754"/>
        <w:gridCol w:w="996"/>
        <w:gridCol w:w="924"/>
        <w:gridCol w:w="924"/>
        <w:gridCol w:w="924"/>
      </w:tblGrid>
      <w:tr w14:paraId="5DEB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27" w:type="dxa"/>
            <w:noWrap w:val="0"/>
            <w:vAlign w:val="center"/>
          </w:tcPr>
          <w:p w14:paraId="43FB2FB5">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2"/>
                <w:szCs w:val="22"/>
                <w:highlight w:val="none"/>
                <w:u w:val="none"/>
                <w:lang w:val="en-US" w:eastAsia="zh-CN" w:bidi="ar"/>
              </w:rPr>
              <w:t>商品名称</w:t>
            </w:r>
          </w:p>
        </w:tc>
        <w:tc>
          <w:tcPr>
            <w:tcW w:w="1161" w:type="dxa"/>
            <w:noWrap w:val="0"/>
            <w:vAlign w:val="center"/>
          </w:tcPr>
          <w:p w14:paraId="05FB8DE4">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型号</w:t>
            </w:r>
          </w:p>
        </w:tc>
        <w:tc>
          <w:tcPr>
            <w:tcW w:w="669" w:type="dxa"/>
            <w:noWrap w:val="0"/>
            <w:vAlign w:val="center"/>
          </w:tcPr>
          <w:p w14:paraId="564A86E7">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2"/>
                <w:szCs w:val="22"/>
                <w:highlight w:val="none"/>
                <w:u w:val="none"/>
                <w:lang w:val="en-US" w:eastAsia="zh-CN" w:bidi="ar"/>
              </w:rPr>
              <w:t>规格</w:t>
            </w:r>
          </w:p>
        </w:tc>
        <w:tc>
          <w:tcPr>
            <w:tcW w:w="1080" w:type="dxa"/>
            <w:noWrap w:val="0"/>
            <w:vAlign w:val="center"/>
          </w:tcPr>
          <w:p w14:paraId="143CEE50">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产品注册证名称</w:t>
            </w:r>
          </w:p>
        </w:tc>
        <w:tc>
          <w:tcPr>
            <w:tcW w:w="908" w:type="dxa"/>
            <w:noWrap w:val="0"/>
            <w:vAlign w:val="center"/>
          </w:tcPr>
          <w:p w14:paraId="25330D6D">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产品注册证号</w:t>
            </w:r>
          </w:p>
        </w:tc>
        <w:tc>
          <w:tcPr>
            <w:tcW w:w="754" w:type="dxa"/>
            <w:noWrap w:val="0"/>
            <w:vAlign w:val="center"/>
          </w:tcPr>
          <w:p w14:paraId="6196233B">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生产厂家</w:t>
            </w:r>
          </w:p>
        </w:tc>
        <w:tc>
          <w:tcPr>
            <w:tcW w:w="996" w:type="dxa"/>
            <w:noWrap w:val="0"/>
            <w:vAlign w:val="center"/>
          </w:tcPr>
          <w:p w14:paraId="038A857E">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数量</w:t>
            </w:r>
          </w:p>
        </w:tc>
        <w:tc>
          <w:tcPr>
            <w:tcW w:w="924" w:type="dxa"/>
            <w:noWrap w:val="0"/>
            <w:vAlign w:val="center"/>
          </w:tcPr>
          <w:p w14:paraId="6651D9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单位</w:t>
            </w:r>
          </w:p>
        </w:tc>
        <w:tc>
          <w:tcPr>
            <w:tcW w:w="924" w:type="dxa"/>
            <w:noWrap w:val="0"/>
            <w:vAlign w:val="center"/>
          </w:tcPr>
          <w:p w14:paraId="3A5E196E">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单价/元</w:t>
            </w:r>
          </w:p>
        </w:tc>
        <w:tc>
          <w:tcPr>
            <w:tcW w:w="924" w:type="dxa"/>
            <w:noWrap w:val="0"/>
            <w:vAlign w:val="center"/>
          </w:tcPr>
          <w:p w14:paraId="16FA25FE">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金额</w:t>
            </w:r>
          </w:p>
        </w:tc>
      </w:tr>
      <w:tr w14:paraId="12BF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5A3E4450">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180EC1B8">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1027FC88">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67A29C81">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141CD0CF">
            <w:pPr>
              <w:keepNext w:val="0"/>
              <w:keepLines w:val="0"/>
              <w:widowControl/>
              <w:suppressLineNumbers w:val="0"/>
              <w:jc w:val="center"/>
              <w:textAlignment w:val="center"/>
              <w:rPr>
                <w:rFonts w:hint="eastAsia"/>
                <w:color w:val="auto"/>
                <w:highlight w:val="none"/>
                <w:vertAlign w:val="baseline"/>
              </w:rPr>
            </w:pPr>
          </w:p>
        </w:tc>
        <w:tc>
          <w:tcPr>
            <w:tcW w:w="754" w:type="dxa"/>
            <w:noWrap w:val="0"/>
            <w:vAlign w:val="center"/>
          </w:tcPr>
          <w:p w14:paraId="1CC7E8EB">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2502C3BC">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6F13127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46570B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59B794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63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089F881D">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66F155C1">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0A9B9299">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5C7723CC">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4F4E1122">
            <w:pPr>
              <w:jc w:val="center"/>
              <w:rPr>
                <w:rFonts w:hint="eastAsia"/>
                <w:color w:val="auto"/>
                <w:highlight w:val="none"/>
                <w:vertAlign w:val="baseline"/>
              </w:rPr>
            </w:pPr>
          </w:p>
        </w:tc>
        <w:tc>
          <w:tcPr>
            <w:tcW w:w="754" w:type="dxa"/>
            <w:noWrap w:val="0"/>
            <w:vAlign w:val="center"/>
          </w:tcPr>
          <w:p w14:paraId="11FC3E1F">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5362C4D7">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0BDC23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047DE27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18457F4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07A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5A2CB5A2">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2C4C4A9D">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1DE14141">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13709110">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2C992505">
            <w:pPr>
              <w:jc w:val="center"/>
              <w:rPr>
                <w:rFonts w:hint="eastAsia"/>
                <w:color w:val="auto"/>
                <w:highlight w:val="none"/>
                <w:vertAlign w:val="baseline"/>
              </w:rPr>
            </w:pPr>
          </w:p>
        </w:tc>
        <w:tc>
          <w:tcPr>
            <w:tcW w:w="754" w:type="dxa"/>
            <w:noWrap w:val="0"/>
            <w:vAlign w:val="center"/>
          </w:tcPr>
          <w:p w14:paraId="339D47BF">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1F591020">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34721F0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14662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25D06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74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21019587">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6DE96385">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34476022">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1CCF0D94">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5AC6A6F7">
            <w:pPr>
              <w:jc w:val="center"/>
              <w:rPr>
                <w:rFonts w:hint="eastAsia"/>
                <w:color w:val="auto"/>
                <w:highlight w:val="none"/>
                <w:vertAlign w:val="baseline"/>
              </w:rPr>
            </w:pPr>
          </w:p>
        </w:tc>
        <w:tc>
          <w:tcPr>
            <w:tcW w:w="754" w:type="dxa"/>
            <w:noWrap w:val="0"/>
            <w:vAlign w:val="center"/>
          </w:tcPr>
          <w:p w14:paraId="6B2235DD">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019BCE47">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0CCFD8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BBE3F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4F3452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28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22E013F2">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568DE21C">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371741F6">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7790D240">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16C7BC55">
            <w:pPr>
              <w:jc w:val="center"/>
              <w:rPr>
                <w:rFonts w:hint="eastAsia"/>
                <w:color w:val="auto"/>
                <w:highlight w:val="none"/>
                <w:vertAlign w:val="baseline"/>
              </w:rPr>
            </w:pPr>
          </w:p>
        </w:tc>
        <w:tc>
          <w:tcPr>
            <w:tcW w:w="754" w:type="dxa"/>
            <w:noWrap w:val="0"/>
            <w:vAlign w:val="center"/>
          </w:tcPr>
          <w:p w14:paraId="5FF29412">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4A094C94">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2F7008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67EE66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05DA5E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14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0F248DE1">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1746E8A4">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385B758B">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47557CEB">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7AFBD0A7">
            <w:pPr>
              <w:jc w:val="center"/>
              <w:rPr>
                <w:rFonts w:hint="eastAsia"/>
                <w:color w:val="auto"/>
                <w:highlight w:val="none"/>
                <w:vertAlign w:val="baseline"/>
              </w:rPr>
            </w:pPr>
          </w:p>
        </w:tc>
        <w:tc>
          <w:tcPr>
            <w:tcW w:w="754" w:type="dxa"/>
            <w:noWrap w:val="0"/>
            <w:vAlign w:val="center"/>
          </w:tcPr>
          <w:p w14:paraId="21C07DC3">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153FF081">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0DE988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5F35B3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39810A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A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0D625152">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49A48445">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1C3B97D0">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5BE777A0">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29C03B4D">
            <w:pPr>
              <w:jc w:val="center"/>
              <w:rPr>
                <w:rFonts w:hint="eastAsia"/>
                <w:color w:val="auto"/>
                <w:highlight w:val="none"/>
                <w:vertAlign w:val="baseline"/>
              </w:rPr>
            </w:pPr>
          </w:p>
        </w:tc>
        <w:tc>
          <w:tcPr>
            <w:tcW w:w="754" w:type="dxa"/>
            <w:noWrap w:val="0"/>
            <w:vAlign w:val="center"/>
          </w:tcPr>
          <w:p w14:paraId="5B249D43">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7F26142F">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769194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0267AA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673E98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268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309474FC">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415D9FA2">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3B564713">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1CF230E2">
            <w:pPr>
              <w:jc w:val="center"/>
              <w:rPr>
                <w:rFonts w:hint="eastAsia"/>
                <w:color w:val="auto"/>
                <w:highlight w:val="none"/>
                <w:vertAlign w:val="baseline"/>
              </w:rPr>
            </w:pPr>
          </w:p>
        </w:tc>
        <w:tc>
          <w:tcPr>
            <w:tcW w:w="908" w:type="dxa"/>
            <w:noWrap w:val="0"/>
            <w:vAlign w:val="center"/>
          </w:tcPr>
          <w:p w14:paraId="4E9439D1">
            <w:pPr>
              <w:jc w:val="center"/>
              <w:rPr>
                <w:rFonts w:hint="eastAsia"/>
                <w:color w:val="auto"/>
                <w:highlight w:val="none"/>
                <w:vertAlign w:val="baseline"/>
              </w:rPr>
            </w:pPr>
          </w:p>
        </w:tc>
        <w:tc>
          <w:tcPr>
            <w:tcW w:w="754" w:type="dxa"/>
            <w:noWrap w:val="0"/>
            <w:vAlign w:val="center"/>
          </w:tcPr>
          <w:p w14:paraId="20544BD5">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36783AB4">
            <w:pPr>
              <w:keepNext w:val="0"/>
              <w:keepLines w:val="0"/>
              <w:widowControl/>
              <w:suppressLineNumbers w:val="0"/>
              <w:jc w:val="center"/>
              <w:textAlignment w:val="center"/>
              <w:rPr>
                <w:rFonts w:hint="eastAsia"/>
                <w:color w:val="auto"/>
                <w:highlight w:val="none"/>
                <w:vertAlign w:val="baseline"/>
              </w:rPr>
            </w:pPr>
          </w:p>
        </w:tc>
        <w:tc>
          <w:tcPr>
            <w:tcW w:w="924" w:type="dxa"/>
            <w:noWrap w:val="0"/>
            <w:vAlign w:val="center"/>
          </w:tcPr>
          <w:p w14:paraId="67F7142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4D6E83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BE4CE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07525847">
      <w:pPr>
        <w:spacing w:beforeLines="50"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注：1、如果按单价计算的结果与总价不一致，以单价为准修正总价。</w:t>
      </w:r>
    </w:p>
    <w:p w14:paraId="3A2441F5">
      <w:pPr>
        <w:pStyle w:val="27"/>
        <w:numPr>
          <w:ilvl w:val="0"/>
          <w:numId w:val="33"/>
        </w:numPr>
        <w:spacing w:line="360" w:lineRule="auto"/>
        <w:ind w:firstLine="560"/>
        <w:outlineLvl w:val="9"/>
        <w:rPr>
          <w:rFonts w:hint="eastAsia" w:ascii="仿宋" w:hAnsi="仿宋" w:eastAsia="仿宋" w:cs="仿宋"/>
          <w:color w:val="auto"/>
          <w:kern w:val="2"/>
          <w:sz w:val="24"/>
          <w:szCs w:val="18"/>
          <w:highlight w:val="none"/>
          <w:lang w:val="en-US" w:eastAsia="zh-CN" w:bidi="ar-SA"/>
        </w:rPr>
      </w:pPr>
      <w:r>
        <w:rPr>
          <w:rFonts w:hint="eastAsia" w:ascii="仿宋" w:hAnsi="仿宋" w:eastAsia="仿宋" w:cs="仿宋"/>
          <w:color w:val="auto"/>
          <w:sz w:val="24"/>
          <w:szCs w:val="18"/>
          <w:highlight w:val="none"/>
        </w:rPr>
        <w:t>供应商须参照第</w:t>
      </w:r>
      <w:r>
        <w:rPr>
          <w:rFonts w:hint="eastAsia" w:ascii="仿宋" w:hAnsi="仿宋" w:eastAsia="仿宋" w:cs="仿宋"/>
          <w:color w:val="auto"/>
          <w:sz w:val="24"/>
          <w:szCs w:val="18"/>
          <w:highlight w:val="none"/>
          <w:lang w:val="en-US" w:eastAsia="zh-CN"/>
        </w:rPr>
        <w:t>四</w:t>
      </w:r>
      <w:r>
        <w:rPr>
          <w:rFonts w:hint="eastAsia" w:ascii="仿宋" w:hAnsi="仿宋" w:eastAsia="仿宋" w:cs="仿宋"/>
          <w:color w:val="auto"/>
          <w:sz w:val="24"/>
          <w:szCs w:val="18"/>
          <w:highlight w:val="none"/>
        </w:rPr>
        <w:t>章各包所列明的内容全部报价。如果不提供详细分项报价视为未实质性响应招标</w:t>
      </w:r>
      <w:r>
        <w:rPr>
          <w:rFonts w:hint="eastAsia" w:ascii="仿宋" w:hAnsi="仿宋" w:eastAsia="仿宋" w:cs="仿宋"/>
          <w:color w:val="auto"/>
          <w:kern w:val="2"/>
          <w:sz w:val="24"/>
          <w:szCs w:val="18"/>
          <w:highlight w:val="none"/>
          <w:lang w:val="en-US" w:eastAsia="zh-CN" w:bidi="ar-SA"/>
        </w:rPr>
        <w:t>文件。</w:t>
      </w:r>
    </w:p>
    <w:p w14:paraId="4A47BD09">
      <w:pPr>
        <w:pStyle w:val="27"/>
        <w:numPr>
          <w:ilvl w:val="0"/>
          <w:numId w:val="0"/>
        </w:numPr>
        <w:spacing w:line="360" w:lineRule="auto"/>
        <w:ind w:firstLine="480" w:firstLineChars="200"/>
        <w:outlineLvl w:val="9"/>
        <w:rPr>
          <w:rFonts w:hint="eastAsia" w:eastAsia="宋体"/>
          <w:color w:val="auto"/>
          <w:sz w:val="24"/>
          <w:szCs w:val="18"/>
          <w:highlight w:val="none"/>
          <w:lang w:val="en-US" w:eastAsia="zh-CN"/>
        </w:rPr>
      </w:pPr>
      <w:r>
        <w:rPr>
          <w:rFonts w:hint="eastAsia" w:ascii="仿宋" w:hAnsi="仿宋" w:eastAsia="仿宋" w:cs="仿宋"/>
          <w:color w:val="auto"/>
          <w:kern w:val="2"/>
          <w:sz w:val="24"/>
          <w:szCs w:val="18"/>
          <w:highlight w:val="none"/>
          <w:lang w:val="en-US" w:eastAsia="zh-CN" w:bidi="ar-SA"/>
        </w:rPr>
        <w:t>3、不得缺项漏项</w:t>
      </w:r>
    </w:p>
    <w:p w14:paraId="36A5E7A3">
      <w:pPr>
        <w:pStyle w:val="20"/>
        <w:rPr>
          <w:rFonts w:hint="eastAsia" w:ascii="仿宋" w:hAnsi="仿宋" w:eastAsia="仿宋" w:cs="仿宋"/>
          <w:color w:val="auto"/>
          <w:kern w:val="2"/>
          <w:sz w:val="24"/>
          <w:szCs w:val="22"/>
          <w:highlight w:val="none"/>
          <w:lang w:val="en-US" w:eastAsia="zh-CN" w:bidi="ar-SA"/>
        </w:rPr>
      </w:pPr>
    </w:p>
    <w:p w14:paraId="5EEB28EE">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4B9CFCFF">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67569980">
      <w:pPr>
        <w:pStyle w:val="20"/>
        <w:ind w:left="0" w:leftChars="0" w:firstLine="960" w:firstLineChars="400"/>
        <w:jc w:val="both"/>
        <w:rPr>
          <w:rFonts w:hint="eastAsia" w:ascii="仿宋" w:hAnsi="仿宋" w:eastAsia="仿宋" w:cs="仿宋"/>
          <w:color w:val="auto"/>
          <w:sz w:val="28"/>
          <w:szCs w:val="28"/>
          <w:highlight w:val="none"/>
        </w:rPr>
      </w:pPr>
      <w:r>
        <w:rPr>
          <w:rFonts w:hint="eastAsia" w:ascii="仿宋" w:hAnsi="仿宋" w:eastAsia="仿宋" w:cs="仿宋"/>
          <w:color w:val="auto"/>
          <w:kern w:val="2"/>
          <w:sz w:val="24"/>
          <w:szCs w:val="22"/>
          <w:highlight w:val="none"/>
          <w:lang w:val="en-US" w:eastAsia="zh-CN" w:bidi="ar-SA"/>
        </w:rPr>
        <w:t>年      月     日</w:t>
      </w:r>
      <w:bookmarkStart w:id="184" w:name="_Toc61184644"/>
      <w:bookmarkStart w:id="185" w:name="_Toc27579"/>
      <w:bookmarkStart w:id="186" w:name="_Toc25169"/>
      <w:bookmarkStart w:id="187" w:name="_Toc56170401"/>
    </w:p>
    <w:p w14:paraId="7E7CBEBD">
      <w:pPr>
        <w:pStyle w:val="20"/>
        <w:jc w:val="both"/>
        <w:rPr>
          <w:rFonts w:hint="eastAsia" w:ascii="仿宋" w:hAnsi="仿宋" w:eastAsia="仿宋" w:cs="仿宋"/>
          <w:color w:val="auto"/>
          <w:sz w:val="28"/>
          <w:szCs w:val="28"/>
          <w:highlight w:val="none"/>
        </w:rPr>
      </w:pPr>
    </w:p>
    <w:p w14:paraId="118DE0B6">
      <w:pPr>
        <w:pStyle w:val="20"/>
        <w:ind w:left="0" w:leftChars="0" w:firstLine="0" w:firstLineChars="0"/>
        <w:jc w:val="both"/>
        <w:rPr>
          <w:rFonts w:hint="eastAsia" w:ascii="仿宋" w:hAnsi="仿宋" w:eastAsia="仿宋" w:cs="仿宋"/>
          <w:color w:val="auto"/>
          <w:sz w:val="28"/>
          <w:szCs w:val="28"/>
          <w:highlight w:val="none"/>
        </w:rPr>
      </w:pPr>
    </w:p>
    <w:p w14:paraId="325A5863">
      <w:pPr>
        <w:pStyle w:val="20"/>
        <w:ind w:left="0" w:leftChars="0" w:firstLine="0" w:firstLineChars="0"/>
        <w:jc w:val="both"/>
        <w:rPr>
          <w:rFonts w:hint="eastAsia" w:ascii="仿宋" w:hAnsi="仿宋" w:eastAsia="仿宋" w:cs="仿宋"/>
          <w:color w:val="auto"/>
          <w:sz w:val="28"/>
          <w:szCs w:val="28"/>
          <w:highlight w:val="none"/>
        </w:rPr>
      </w:pPr>
    </w:p>
    <w:p w14:paraId="2A559F11">
      <w:pPr>
        <w:pStyle w:val="20"/>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rPr>
        <w:t>附件十、技术规格偏离表</w:t>
      </w:r>
    </w:p>
    <w:p w14:paraId="49395736">
      <w:pPr>
        <w:pStyle w:val="20"/>
        <w:ind w:left="0" w:leftChars="0" w:firstLine="0" w:firstLineChars="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项目名称：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eastAsia="zh-CN"/>
        </w:rPr>
        <w:t>编号：</w:t>
      </w:r>
      <w:r>
        <w:rPr>
          <w:rFonts w:hint="eastAsia" w:ascii="仿宋" w:hAnsi="仿宋" w:eastAsia="仿宋" w:cs="仿宋"/>
          <w:color w:val="auto"/>
          <w:sz w:val="28"/>
          <w:szCs w:val="28"/>
          <w:highlight w:val="none"/>
          <w:lang w:val="en-US" w:eastAsia="zh-CN"/>
        </w:rPr>
        <w:t xml:space="preserve">               </w:t>
      </w:r>
    </w:p>
    <w:tbl>
      <w:tblPr>
        <w:tblStyle w:val="21"/>
        <w:tblpPr w:leftFromText="180" w:rightFromText="180" w:vertAnchor="text" w:horzAnchor="page" w:tblpX="1227" w:tblpY="732"/>
        <w:tblOverlap w:val="never"/>
        <w:tblW w:w="9651" w:type="dxa"/>
        <w:tblInd w:w="0" w:type="dxa"/>
        <w:tblLayout w:type="fixed"/>
        <w:tblCellMar>
          <w:top w:w="0" w:type="dxa"/>
          <w:left w:w="108" w:type="dxa"/>
          <w:bottom w:w="0" w:type="dxa"/>
          <w:right w:w="108" w:type="dxa"/>
        </w:tblCellMar>
      </w:tblPr>
      <w:tblGrid>
        <w:gridCol w:w="1561"/>
        <w:gridCol w:w="1803"/>
        <w:gridCol w:w="1405"/>
        <w:gridCol w:w="2795"/>
        <w:gridCol w:w="2087"/>
      </w:tblGrid>
      <w:tr w14:paraId="4B892FA1">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251610F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38BF329">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1405" w:type="dxa"/>
            <w:tcBorders>
              <w:top w:val="single" w:color="auto" w:sz="6" w:space="0"/>
              <w:left w:val="single" w:color="auto" w:sz="6" w:space="0"/>
              <w:bottom w:val="single" w:color="auto" w:sz="6" w:space="0"/>
              <w:right w:val="single" w:color="auto" w:sz="6" w:space="0"/>
            </w:tcBorders>
            <w:noWrap w:val="0"/>
            <w:vAlign w:val="center"/>
          </w:tcPr>
          <w:p w14:paraId="1B1AAC2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2795" w:type="dxa"/>
            <w:tcBorders>
              <w:top w:val="single" w:color="auto" w:sz="6" w:space="0"/>
              <w:left w:val="single" w:color="auto" w:sz="6" w:space="0"/>
              <w:bottom w:val="single" w:color="auto" w:sz="6" w:space="0"/>
              <w:right w:val="single" w:color="auto" w:sz="4" w:space="0"/>
            </w:tcBorders>
            <w:noWrap w:val="0"/>
            <w:vAlign w:val="center"/>
          </w:tcPr>
          <w:p w14:paraId="2788FF4B">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2087" w:type="dxa"/>
            <w:tcBorders>
              <w:top w:val="single" w:color="auto" w:sz="6" w:space="0"/>
              <w:left w:val="single" w:color="auto" w:sz="4" w:space="0"/>
              <w:bottom w:val="single" w:color="auto" w:sz="6" w:space="0"/>
              <w:right w:val="single" w:color="auto" w:sz="6" w:space="0"/>
            </w:tcBorders>
            <w:noWrap w:val="0"/>
            <w:vAlign w:val="center"/>
          </w:tcPr>
          <w:p w14:paraId="00BEB1F9">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743A8B68">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7536387">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2ABA6EB">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1B128807">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5B0491D">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60D2512E">
            <w:pPr>
              <w:spacing w:line="360" w:lineRule="auto"/>
              <w:ind w:firstLine="420"/>
              <w:jc w:val="center"/>
              <w:outlineLvl w:val="9"/>
              <w:rPr>
                <w:rFonts w:hint="eastAsia" w:ascii="仿宋" w:hAnsi="仿宋" w:eastAsia="仿宋" w:cs="仿宋"/>
                <w:color w:val="auto"/>
                <w:sz w:val="24"/>
                <w:szCs w:val="24"/>
                <w:highlight w:val="none"/>
              </w:rPr>
            </w:pPr>
          </w:p>
        </w:tc>
      </w:tr>
      <w:tr w14:paraId="74A134BB">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2CBD8DEA">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5ACE27D">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FB2A33B">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403F2DC2">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54952B1D">
            <w:pPr>
              <w:spacing w:line="360" w:lineRule="auto"/>
              <w:ind w:firstLine="420"/>
              <w:jc w:val="center"/>
              <w:outlineLvl w:val="9"/>
              <w:rPr>
                <w:rFonts w:hint="eastAsia" w:ascii="仿宋" w:hAnsi="仿宋" w:eastAsia="仿宋" w:cs="仿宋"/>
                <w:color w:val="auto"/>
                <w:sz w:val="24"/>
                <w:szCs w:val="24"/>
                <w:highlight w:val="none"/>
              </w:rPr>
            </w:pPr>
          </w:p>
        </w:tc>
      </w:tr>
      <w:tr w14:paraId="4EB1DC3E">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3E0BB865">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22CA08E">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552467DF">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FB625A3">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28DCF119">
            <w:pPr>
              <w:spacing w:line="360" w:lineRule="auto"/>
              <w:ind w:firstLine="420"/>
              <w:jc w:val="center"/>
              <w:outlineLvl w:val="9"/>
              <w:rPr>
                <w:rFonts w:hint="eastAsia" w:ascii="仿宋" w:hAnsi="仿宋" w:eastAsia="仿宋" w:cs="仿宋"/>
                <w:color w:val="auto"/>
                <w:sz w:val="24"/>
                <w:szCs w:val="24"/>
                <w:highlight w:val="none"/>
              </w:rPr>
            </w:pPr>
          </w:p>
        </w:tc>
      </w:tr>
      <w:tr w14:paraId="1419BDA6">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323F764">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40ED7827">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28D6C7E1">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1341EFF">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06CE6A1C">
            <w:pPr>
              <w:spacing w:line="360" w:lineRule="auto"/>
              <w:ind w:firstLine="420"/>
              <w:jc w:val="center"/>
              <w:outlineLvl w:val="9"/>
              <w:rPr>
                <w:rFonts w:hint="eastAsia" w:ascii="仿宋" w:hAnsi="仿宋" w:eastAsia="仿宋" w:cs="仿宋"/>
                <w:color w:val="auto"/>
                <w:sz w:val="24"/>
                <w:szCs w:val="24"/>
                <w:highlight w:val="none"/>
              </w:rPr>
            </w:pPr>
          </w:p>
        </w:tc>
      </w:tr>
      <w:tr w14:paraId="50B6FD18">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C049B00">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C45DC09">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BC27B73">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40177438">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451889C0">
            <w:pPr>
              <w:spacing w:line="360" w:lineRule="auto"/>
              <w:ind w:firstLine="420"/>
              <w:jc w:val="center"/>
              <w:outlineLvl w:val="9"/>
              <w:rPr>
                <w:rFonts w:hint="eastAsia" w:ascii="仿宋" w:hAnsi="仿宋" w:eastAsia="仿宋" w:cs="仿宋"/>
                <w:color w:val="auto"/>
                <w:sz w:val="24"/>
                <w:szCs w:val="24"/>
                <w:highlight w:val="none"/>
              </w:rPr>
            </w:pPr>
          </w:p>
        </w:tc>
      </w:tr>
      <w:tr w14:paraId="3BBCB1D3">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64319FC7">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753B682">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384B6B99">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0A88B5EE">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5955AFFE">
            <w:pPr>
              <w:spacing w:line="360" w:lineRule="auto"/>
              <w:ind w:firstLine="420"/>
              <w:jc w:val="center"/>
              <w:outlineLvl w:val="9"/>
              <w:rPr>
                <w:rFonts w:hint="eastAsia" w:ascii="仿宋" w:hAnsi="仿宋" w:eastAsia="仿宋" w:cs="仿宋"/>
                <w:color w:val="auto"/>
                <w:sz w:val="24"/>
                <w:szCs w:val="24"/>
                <w:highlight w:val="none"/>
              </w:rPr>
            </w:pPr>
          </w:p>
        </w:tc>
      </w:tr>
      <w:tr w14:paraId="52E575AE">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C88EFF9">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1015C6CE">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79563621">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7322129">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86B4680">
            <w:pPr>
              <w:spacing w:line="360" w:lineRule="auto"/>
              <w:ind w:firstLine="420"/>
              <w:jc w:val="center"/>
              <w:outlineLvl w:val="9"/>
              <w:rPr>
                <w:rFonts w:hint="eastAsia" w:ascii="仿宋" w:hAnsi="仿宋" w:eastAsia="仿宋" w:cs="仿宋"/>
                <w:color w:val="auto"/>
                <w:sz w:val="24"/>
                <w:szCs w:val="24"/>
                <w:highlight w:val="none"/>
              </w:rPr>
            </w:pPr>
          </w:p>
        </w:tc>
      </w:tr>
      <w:tr w14:paraId="4CB6D0C0">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44F4CB28">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B746C96">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24D6C60">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29CF45CE">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A526C32">
            <w:pPr>
              <w:spacing w:line="360" w:lineRule="auto"/>
              <w:ind w:firstLine="420"/>
              <w:jc w:val="center"/>
              <w:outlineLvl w:val="9"/>
              <w:rPr>
                <w:rFonts w:hint="eastAsia" w:ascii="仿宋" w:hAnsi="仿宋" w:eastAsia="仿宋" w:cs="仿宋"/>
                <w:color w:val="auto"/>
                <w:sz w:val="24"/>
                <w:szCs w:val="24"/>
                <w:highlight w:val="none"/>
              </w:rPr>
            </w:pPr>
          </w:p>
        </w:tc>
      </w:tr>
    </w:tbl>
    <w:p w14:paraId="6DA4F927">
      <w:pPr>
        <w:pStyle w:val="20"/>
        <w:ind w:left="0" w:leftChars="0" w:firstLine="0" w:firstLineChars="0"/>
        <w:jc w:val="both"/>
        <w:rPr>
          <w:rFonts w:hint="eastAsia" w:ascii="仿宋" w:hAnsi="仿宋" w:eastAsia="仿宋" w:cs="仿宋"/>
          <w:color w:val="auto"/>
          <w:sz w:val="28"/>
          <w:szCs w:val="28"/>
          <w:highlight w:val="none"/>
        </w:rPr>
      </w:pPr>
    </w:p>
    <w:bookmarkEnd w:id="184"/>
    <w:bookmarkEnd w:id="185"/>
    <w:bookmarkEnd w:id="186"/>
    <w:bookmarkEnd w:id="187"/>
    <w:p w14:paraId="4A60A5E5">
      <w:pPr>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须对第四章所有技术参数条款逐条列明是否响应，如有偏离，须一一列明。供应商所投产品必须提供国家权威部门出具的检验报告作为其技术指标的支持资料（国家无需检测的设备可以不提供检验报告）。对未提供技术支持资料的，或参数与其提供的技术支持资料不一致的，均视为偏离。）</w:t>
      </w:r>
    </w:p>
    <w:p w14:paraId="3F05978B">
      <w:pPr>
        <w:pStyle w:val="20"/>
        <w:rPr>
          <w:rFonts w:hint="eastAsia" w:ascii="仿宋" w:hAnsi="仿宋" w:eastAsia="仿宋" w:cs="仿宋"/>
          <w:color w:val="auto"/>
          <w:kern w:val="2"/>
          <w:sz w:val="24"/>
          <w:szCs w:val="22"/>
          <w:highlight w:val="none"/>
          <w:lang w:val="en-US" w:eastAsia="zh-CN" w:bidi="ar-SA"/>
        </w:rPr>
      </w:pPr>
      <w:bookmarkStart w:id="188" w:name="_Toc61184645"/>
      <w:bookmarkStart w:id="189" w:name="_Toc56170402"/>
      <w:bookmarkStart w:id="190" w:name="_Toc11172"/>
    </w:p>
    <w:p w14:paraId="250F412A">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57BD1905">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75BBF9F5">
      <w:pPr>
        <w:pStyle w:val="20"/>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3347D4A6">
      <w:pPr>
        <w:outlineLvl w:val="9"/>
        <w:rPr>
          <w:rFonts w:hint="eastAsia" w:ascii="仿宋" w:hAnsi="仿宋" w:eastAsia="仿宋" w:cs="仿宋"/>
          <w:color w:val="auto"/>
          <w:highlight w:val="none"/>
        </w:rPr>
      </w:pPr>
    </w:p>
    <w:p w14:paraId="659FAEA6">
      <w:pPr>
        <w:outlineLvl w:val="9"/>
        <w:rPr>
          <w:rFonts w:hint="eastAsia" w:ascii="仿宋" w:hAnsi="仿宋" w:eastAsia="仿宋" w:cs="仿宋"/>
          <w:color w:val="auto"/>
          <w:highlight w:val="none"/>
        </w:rPr>
      </w:pPr>
    </w:p>
    <w:p w14:paraId="2D7ED53B">
      <w:pPr>
        <w:outlineLvl w:val="9"/>
        <w:rPr>
          <w:rFonts w:hint="eastAsia" w:ascii="仿宋" w:hAnsi="仿宋" w:eastAsia="仿宋" w:cs="仿宋"/>
          <w:color w:val="auto"/>
          <w:highlight w:val="none"/>
        </w:rPr>
      </w:pPr>
    </w:p>
    <w:p w14:paraId="4DA5FB09">
      <w:pPr>
        <w:outlineLvl w:val="9"/>
        <w:rPr>
          <w:rFonts w:hint="eastAsia" w:ascii="仿宋" w:hAnsi="仿宋" w:eastAsia="仿宋" w:cs="仿宋"/>
          <w:color w:val="auto"/>
          <w:highlight w:val="none"/>
        </w:rPr>
      </w:pPr>
    </w:p>
    <w:p w14:paraId="53B51033">
      <w:pPr>
        <w:outlineLvl w:val="9"/>
        <w:rPr>
          <w:rFonts w:hint="eastAsia" w:ascii="仿宋" w:hAnsi="仿宋" w:eastAsia="仿宋" w:cs="仿宋"/>
          <w:color w:val="auto"/>
          <w:highlight w:val="none"/>
        </w:rPr>
      </w:pPr>
    </w:p>
    <w:p w14:paraId="11B196EF">
      <w:pPr>
        <w:outlineLvl w:val="9"/>
        <w:rPr>
          <w:rFonts w:hint="eastAsia" w:ascii="仿宋" w:hAnsi="仿宋" w:eastAsia="仿宋" w:cs="仿宋"/>
          <w:color w:val="auto"/>
          <w:highlight w:val="none"/>
        </w:rPr>
      </w:pPr>
    </w:p>
    <w:p w14:paraId="4D824E5D">
      <w:pPr>
        <w:jc w:val="center"/>
        <w:outlineLvl w:val="0"/>
        <w:rPr>
          <w:rFonts w:hint="eastAsia" w:ascii="仿宋" w:hAnsi="仿宋" w:eastAsia="仿宋" w:cs="仿宋"/>
          <w:color w:val="auto"/>
          <w:sz w:val="28"/>
          <w:szCs w:val="28"/>
          <w:highlight w:val="none"/>
        </w:rPr>
      </w:pPr>
      <w:bookmarkStart w:id="191" w:name="_Toc23133"/>
      <w:bookmarkStart w:id="192" w:name="_Toc7951"/>
      <w:r>
        <w:rPr>
          <w:rFonts w:hint="eastAsia" w:ascii="仿宋" w:hAnsi="仿宋" w:eastAsia="仿宋" w:cs="仿宋"/>
          <w:color w:val="auto"/>
          <w:sz w:val="28"/>
          <w:szCs w:val="28"/>
          <w:highlight w:val="none"/>
        </w:rPr>
        <w:t>附件十一、商务条款偏离表</w:t>
      </w:r>
      <w:bookmarkEnd w:id="188"/>
      <w:bookmarkEnd w:id="189"/>
      <w:bookmarkEnd w:id="190"/>
      <w:bookmarkEnd w:id="191"/>
      <w:bookmarkEnd w:id="192"/>
    </w:p>
    <w:p w14:paraId="20911140">
      <w:pPr>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 xml:space="preserve">               </w:t>
      </w:r>
    </w:p>
    <w:tbl>
      <w:tblPr>
        <w:tblStyle w:val="21"/>
        <w:tblW w:w="9614" w:type="dxa"/>
        <w:jc w:val="center"/>
        <w:tblLayout w:type="fixed"/>
        <w:tblCellMar>
          <w:top w:w="0" w:type="dxa"/>
          <w:left w:w="108" w:type="dxa"/>
          <w:bottom w:w="0" w:type="dxa"/>
          <w:right w:w="108" w:type="dxa"/>
        </w:tblCellMar>
      </w:tblPr>
      <w:tblGrid>
        <w:gridCol w:w="1316"/>
        <w:gridCol w:w="1975"/>
        <w:gridCol w:w="1722"/>
        <w:gridCol w:w="2030"/>
        <w:gridCol w:w="2571"/>
      </w:tblGrid>
      <w:tr w14:paraId="6D8D689F">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DBFED4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833A6E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条款序号</w:t>
            </w: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F24B6E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招标条款</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CCB805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投标条款</w:t>
            </w: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A54C4A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r>
      <w:tr w14:paraId="50C7A39C">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9F3BB8D">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2B0A7113">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17213EFD">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A991978">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572FA9B">
            <w:pPr>
              <w:spacing w:line="360" w:lineRule="auto"/>
              <w:ind w:firstLine="420"/>
              <w:jc w:val="center"/>
              <w:outlineLvl w:val="9"/>
              <w:rPr>
                <w:rFonts w:hint="eastAsia" w:ascii="仿宋" w:hAnsi="仿宋" w:eastAsia="仿宋" w:cs="仿宋"/>
                <w:color w:val="auto"/>
                <w:sz w:val="24"/>
                <w:szCs w:val="24"/>
                <w:highlight w:val="none"/>
              </w:rPr>
            </w:pPr>
          </w:p>
        </w:tc>
      </w:tr>
      <w:tr w14:paraId="49BEC596">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94B345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0BF775C1">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E6E17AC">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D29CB16">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353A8EEB">
            <w:pPr>
              <w:spacing w:line="360" w:lineRule="auto"/>
              <w:ind w:firstLine="420"/>
              <w:jc w:val="center"/>
              <w:outlineLvl w:val="9"/>
              <w:rPr>
                <w:rFonts w:hint="eastAsia" w:ascii="仿宋" w:hAnsi="仿宋" w:eastAsia="仿宋" w:cs="仿宋"/>
                <w:color w:val="auto"/>
                <w:sz w:val="24"/>
                <w:szCs w:val="24"/>
                <w:highlight w:val="none"/>
              </w:rPr>
            </w:pPr>
          </w:p>
        </w:tc>
      </w:tr>
      <w:tr w14:paraId="55E20CE8">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261B4E1E">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3C86883A">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001F7D0">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00C1D87">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44E6D0F">
            <w:pPr>
              <w:spacing w:line="360" w:lineRule="auto"/>
              <w:ind w:firstLine="420"/>
              <w:jc w:val="center"/>
              <w:outlineLvl w:val="9"/>
              <w:rPr>
                <w:rFonts w:hint="eastAsia" w:ascii="仿宋" w:hAnsi="仿宋" w:eastAsia="仿宋" w:cs="仿宋"/>
                <w:color w:val="auto"/>
                <w:sz w:val="24"/>
                <w:szCs w:val="24"/>
                <w:highlight w:val="none"/>
              </w:rPr>
            </w:pPr>
          </w:p>
        </w:tc>
      </w:tr>
      <w:tr w14:paraId="526522E5">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6F056FC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3025057C">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14706907">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F166AB4">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A65DC3E">
            <w:pPr>
              <w:spacing w:line="360" w:lineRule="auto"/>
              <w:ind w:firstLine="420"/>
              <w:jc w:val="center"/>
              <w:outlineLvl w:val="9"/>
              <w:rPr>
                <w:rFonts w:hint="eastAsia" w:ascii="仿宋" w:hAnsi="仿宋" w:eastAsia="仿宋" w:cs="仿宋"/>
                <w:color w:val="auto"/>
                <w:sz w:val="24"/>
                <w:szCs w:val="24"/>
                <w:highlight w:val="none"/>
              </w:rPr>
            </w:pPr>
          </w:p>
        </w:tc>
      </w:tr>
      <w:tr w14:paraId="5F90EBDF">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73B5AC4C">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138484E5">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70109B55">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8BCAA99">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A47350F">
            <w:pPr>
              <w:spacing w:line="360" w:lineRule="auto"/>
              <w:ind w:firstLine="420"/>
              <w:jc w:val="center"/>
              <w:outlineLvl w:val="9"/>
              <w:rPr>
                <w:rFonts w:hint="eastAsia" w:ascii="仿宋" w:hAnsi="仿宋" w:eastAsia="仿宋" w:cs="仿宋"/>
                <w:color w:val="auto"/>
                <w:sz w:val="24"/>
                <w:szCs w:val="24"/>
                <w:highlight w:val="none"/>
              </w:rPr>
            </w:pPr>
          </w:p>
        </w:tc>
      </w:tr>
      <w:tr w14:paraId="6CF95A02">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384973CB">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68DCA01">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6EFED4F9">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787AA8A">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0F6C88A">
            <w:pPr>
              <w:spacing w:line="360" w:lineRule="auto"/>
              <w:ind w:firstLine="420"/>
              <w:jc w:val="center"/>
              <w:outlineLvl w:val="9"/>
              <w:rPr>
                <w:rFonts w:hint="eastAsia" w:ascii="仿宋" w:hAnsi="仿宋" w:eastAsia="仿宋" w:cs="仿宋"/>
                <w:color w:val="auto"/>
                <w:sz w:val="24"/>
                <w:szCs w:val="24"/>
                <w:highlight w:val="none"/>
              </w:rPr>
            </w:pPr>
          </w:p>
        </w:tc>
      </w:tr>
      <w:tr w14:paraId="2EB7F4A1">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39C1062F">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50AD8CD">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92760CE">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88B8454">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C8B8DBA">
            <w:pPr>
              <w:spacing w:line="360" w:lineRule="auto"/>
              <w:ind w:firstLine="420"/>
              <w:jc w:val="center"/>
              <w:outlineLvl w:val="9"/>
              <w:rPr>
                <w:rFonts w:hint="eastAsia" w:ascii="仿宋" w:hAnsi="仿宋" w:eastAsia="仿宋" w:cs="仿宋"/>
                <w:color w:val="auto"/>
                <w:sz w:val="24"/>
                <w:szCs w:val="24"/>
                <w:highlight w:val="none"/>
              </w:rPr>
            </w:pPr>
          </w:p>
        </w:tc>
      </w:tr>
      <w:tr w14:paraId="432BED24">
        <w:tblPrEx>
          <w:tblCellMar>
            <w:top w:w="0" w:type="dxa"/>
            <w:left w:w="108" w:type="dxa"/>
            <w:bottom w:w="0" w:type="dxa"/>
            <w:right w:w="108" w:type="dxa"/>
          </w:tblCellMar>
        </w:tblPrEx>
        <w:trPr>
          <w:trHeight w:val="476"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C17816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E3109E7">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763330B6">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5964E4ED">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500BB456">
            <w:pPr>
              <w:spacing w:line="360" w:lineRule="auto"/>
              <w:ind w:firstLine="420"/>
              <w:jc w:val="center"/>
              <w:outlineLvl w:val="9"/>
              <w:rPr>
                <w:rFonts w:hint="eastAsia" w:ascii="仿宋" w:hAnsi="仿宋" w:eastAsia="仿宋" w:cs="仿宋"/>
                <w:color w:val="auto"/>
                <w:sz w:val="24"/>
                <w:szCs w:val="24"/>
                <w:highlight w:val="none"/>
              </w:rPr>
            </w:pPr>
          </w:p>
        </w:tc>
      </w:tr>
    </w:tbl>
    <w:p w14:paraId="5A17D266">
      <w:pPr>
        <w:spacing w:line="360" w:lineRule="auto"/>
        <w:outlineLvl w:val="9"/>
        <w:rPr>
          <w:rFonts w:hint="eastAsia" w:ascii="仿宋" w:hAnsi="仿宋" w:eastAsia="仿宋" w:cs="仿宋"/>
          <w:color w:val="auto"/>
          <w:sz w:val="28"/>
          <w:highlight w:val="none"/>
        </w:rPr>
      </w:pPr>
    </w:p>
    <w:p w14:paraId="51D1DE48">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558FB182">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5E558D28">
      <w:pPr>
        <w:pStyle w:val="20"/>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1D295F96">
      <w:pPr>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93" w:name="_Toc5354"/>
      <w:bookmarkStart w:id="194" w:name="_Toc14660"/>
      <w:bookmarkStart w:id="195" w:name="_Toc5469"/>
      <w:bookmarkStart w:id="196" w:name="_Toc61184646"/>
      <w:bookmarkStart w:id="197" w:name="_Toc56170403"/>
      <w:r>
        <w:rPr>
          <w:rFonts w:hint="eastAsia" w:ascii="仿宋" w:hAnsi="仿宋" w:eastAsia="仿宋" w:cs="仿宋"/>
          <w:color w:val="auto"/>
          <w:sz w:val="28"/>
          <w:szCs w:val="28"/>
          <w:highlight w:val="none"/>
        </w:rPr>
        <w:t>附件十二、投标产品近三年</w:t>
      </w:r>
      <w:r>
        <w:rPr>
          <w:rFonts w:hint="eastAsia" w:ascii="仿宋" w:hAnsi="仿宋" w:eastAsia="仿宋" w:cs="仿宋"/>
          <w:color w:val="auto"/>
          <w:sz w:val="28"/>
          <w:szCs w:val="28"/>
          <w:highlight w:val="none"/>
          <w:lang w:eastAsia="zh-CN"/>
        </w:rPr>
        <w:t>（从投标截至时间往前推算）</w:t>
      </w:r>
      <w:r>
        <w:rPr>
          <w:rFonts w:hint="eastAsia" w:ascii="仿宋" w:hAnsi="仿宋" w:eastAsia="仿宋" w:cs="仿宋"/>
          <w:color w:val="auto"/>
          <w:sz w:val="28"/>
          <w:szCs w:val="28"/>
          <w:highlight w:val="none"/>
        </w:rPr>
        <w:t>同类产品销售业绩表</w:t>
      </w:r>
      <w:bookmarkEnd w:id="193"/>
      <w:bookmarkEnd w:id="194"/>
      <w:bookmarkEnd w:id="195"/>
      <w:bookmarkEnd w:id="196"/>
      <w:bookmarkEnd w:id="197"/>
    </w:p>
    <w:tbl>
      <w:tblPr>
        <w:tblStyle w:val="21"/>
        <w:tblW w:w="9551" w:type="dxa"/>
        <w:jc w:val="center"/>
        <w:tblLayout w:type="fixed"/>
        <w:tblCellMar>
          <w:top w:w="0" w:type="dxa"/>
          <w:left w:w="108" w:type="dxa"/>
          <w:bottom w:w="0" w:type="dxa"/>
          <w:right w:w="108" w:type="dxa"/>
        </w:tblCellMar>
      </w:tblPr>
      <w:tblGrid>
        <w:gridCol w:w="2417"/>
        <w:gridCol w:w="2643"/>
        <w:gridCol w:w="1680"/>
        <w:gridCol w:w="1457"/>
        <w:gridCol w:w="1354"/>
      </w:tblGrid>
      <w:tr w14:paraId="0CB811E1">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2D32584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地区</w:t>
            </w:r>
          </w:p>
        </w:tc>
        <w:tc>
          <w:tcPr>
            <w:tcW w:w="2643" w:type="dxa"/>
            <w:tcBorders>
              <w:top w:val="single" w:color="auto" w:sz="6" w:space="0"/>
              <w:left w:val="single" w:color="auto" w:sz="6" w:space="0"/>
              <w:bottom w:val="single" w:color="auto" w:sz="6" w:space="0"/>
              <w:right w:val="single" w:color="auto" w:sz="6" w:space="0"/>
            </w:tcBorders>
            <w:noWrap w:val="0"/>
            <w:vAlign w:val="center"/>
          </w:tcPr>
          <w:p w14:paraId="5FEC6916">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35A2CB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中标内容</w:t>
            </w: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AC426B2">
            <w:pP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中标金额</w:t>
            </w:r>
          </w:p>
        </w:tc>
        <w:tc>
          <w:tcPr>
            <w:tcW w:w="1354" w:type="dxa"/>
            <w:tcBorders>
              <w:top w:val="single" w:color="auto" w:sz="6" w:space="0"/>
              <w:left w:val="single" w:color="auto" w:sz="6" w:space="0"/>
              <w:bottom w:val="single" w:color="auto" w:sz="6" w:space="0"/>
              <w:right w:val="single" w:color="auto" w:sz="6" w:space="0"/>
            </w:tcBorders>
            <w:noWrap w:val="0"/>
            <w:vAlign w:val="center"/>
          </w:tcPr>
          <w:p w14:paraId="2AC0122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39D63E27">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0464B1A8">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508BB37B">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E8E708A">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61A00F53">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74D11822">
            <w:pPr>
              <w:spacing w:line="360" w:lineRule="auto"/>
              <w:ind w:firstLine="420"/>
              <w:jc w:val="center"/>
              <w:outlineLvl w:val="9"/>
              <w:rPr>
                <w:rFonts w:hint="eastAsia" w:ascii="仿宋" w:hAnsi="仿宋" w:eastAsia="仿宋" w:cs="仿宋"/>
                <w:color w:val="auto"/>
                <w:sz w:val="24"/>
                <w:szCs w:val="24"/>
                <w:highlight w:val="none"/>
              </w:rPr>
            </w:pPr>
          </w:p>
        </w:tc>
      </w:tr>
      <w:tr w14:paraId="0175C0E0">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10DF1B46">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2D14B96C">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AA5C4D7">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FB60D51">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3104DCB9">
            <w:pPr>
              <w:spacing w:line="360" w:lineRule="auto"/>
              <w:ind w:firstLine="420"/>
              <w:jc w:val="center"/>
              <w:outlineLvl w:val="9"/>
              <w:rPr>
                <w:rFonts w:hint="eastAsia" w:ascii="仿宋" w:hAnsi="仿宋" w:eastAsia="仿宋" w:cs="仿宋"/>
                <w:color w:val="auto"/>
                <w:sz w:val="24"/>
                <w:szCs w:val="24"/>
                <w:highlight w:val="none"/>
              </w:rPr>
            </w:pPr>
          </w:p>
        </w:tc>
      </w:tr>
      <w:tr w14:paraId="40ED8793">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41FD530C">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257C48FA">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41E29D4">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6CA757A7">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53EE7B08">
            <w:pPr>
              <w:spacing w:line="360" w:lineRule="auto"/>
              <w:ind w:firstLine="420"/>
              <w:jc w:val="center"/>
              <w:outlineLvl w:val="9"/>
              <w:rPr>
                <w:rFonts w:hint="eastAsia" w:ascii="仿宋" w:hAnsi="仿宋" w:eastAsia="仿宋" w:cs="仿宋"/>
                <w:color w:val="auto"/>
                <w:sz w:val="24"/>
                <w:szCs w:val="24"/>
                <w:highlight w:val="none"/>
              </w:rPr>
            </w:pPr>
          </w:p>
        </w:tc>
      </w:tr>
      <w:tr w14:paraId="317CF62E">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5F8105F2">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8558163">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9427585">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4C36FBD4">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8854DF0">
            <w:pPr>
              <w:spacing w:line="360" w:lineRule="auto"/>
              <w:ind w:firstLine="420"/>
              <w:jc w:val="center"/>
              <w:outlineLvl w:val="9"/>
              <w:rPr>
                <w:rFonts w:hint="eastAsia" w:ascii="仿宋" w:hAnsi="仿宋" w:eastAsia="仿宋" w:cs="仿宋"/>
                <w:color w:val="auto"/>
                <w:sz w:val="24"/>
                <w:szCs w:val="24"/>
                <w:highlight w:val="none"/>
              </w:rPr>
            </w:pPr>
          </w:p>
        </w:tc>
      </w:tr>
      <w:tr w14:paraId="345F746E">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418BC14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0DA446B">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6D11669">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57A107C7">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454EAFA1">
            <w:pPr>
              <w:spacing w:line="360" w:lineRule="auto"/>
              <w:ind w:firstLine="420"/>
              <w:jc w:val="center"/>
              <w:outlineLvl w:val="9"/>
              <w:rPr>
                <w:rFonts w:hint="eastAsia" w:ascii="仿宋" w:hAnsi="仿宋" w:eastAsia="仿宋" w:cs="仿宋"/>
                <w:color w:val="auto"/>
                <w:sz w:val="24"/>
                <w:szCs w:val="24"/>
                <w:highlight w:val="none"/>
              </w:rPr>
            </w:pPr>
          </w:p>
        </w:tc>
      </w:tr>
      <w:tr w14:paraId="59C66001">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120BFD5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9E5383A">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E92C008">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5D1F87E">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3F7391CE">
            <w:pPr>
              <w:spacing w:line="360" w:lineRule="auto"/>
              <w:ind w:firstLine="420"/>
              <w:jc w:val="center"/>
              <w:outlineLvl w:val="9"/>
              <w:rPr>
                <w:rFonts w:hint="eastAsia" w:ascii="仿宋" w:hAnsi="仿宋" w:eastAsia="仿宋" w:cs="仿宋"/>
                <w:color w:val="auto"/>
                <w:sz w:val="24"/>
                <w:szCs w:val="24"/>
                <w:highlight w:val="none"/>
              </w:rPr>
            </w:pPr>
          </w:p>
        </w:tc>
      </w:tr>
      <w:tr w14:paraId="2BBA5811">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7889457">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4E7359F2">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A283EC7">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A854BA9">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A5D52DC">
            <w:pPr>
              <w:spacing w:line="360" w:lineRule="auto"/>
              <w:ind w:firstLine="420"/>
              <w:jc w:val="center"/>
              <w:outlineLvl w:val="9"/>
              <w:rPr>
                <w:rFonts w:hint="eastAsia" w:ascii="仿宋" w:hAnsi="仿宋" w:eastAsia="仿宋" w:cs="仿宋"/>
                <w:color w:val="auto"/>
                <w:sz w:val="24"/>
                <w:szCs w:val="24"/>
                <w:highlight w:val="none"/>
              </w:rPr>
            </w:pPr>
          </w:p>
        </w:tc>
      </w:tr>
      <w:tr w14:paraId="6DE2E28A">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1C0FF45">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1B68FF6D">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BB13F22">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093B4473">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FE96207">
            <w:pPr>
              <w:spacing w:line="360" w:lineRule="auto"/>
              <w:ind w:firstLine="420"/>
              <w:jc w:val="center"/>
              <w:outlineLvl w:val="9"/>
              <w:rPr>
                <w:rFonts w:hint="eastAsia" w:ascii="仿宋" w:hAnsi="仿宋" w:eastAsia="仿宋" w:cs="仿宋"/>
                <w:color w:val="auto"/>
                <w:sz w:val="24"/>
                <w:szCs w:val="24"/>
                <w:highlight w:val="none"/>
              </w:rPr>
            </w:pPr>
          </w:p>
        </w:tc>
      </w:tr>
    </w:tbl>
    <w:p w14:paraId="5FC9466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应随此表附上相关的业绩证明（以供应商提供的同业绩证明资料如合同或者</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通知书复印件为准）。</w:t>
      </w:r>
    </w:p>
    <w:p w14:paraId="15355068">
      <w:pPr>
        <w:pStyle w:val="20"/>
        <w:rPr>
          <w:rFonts w:hint="eastAsia" w:ascii="仿宋" w:hAnsi="仿宋" w:eastAsia="仿宋" w:cs="仿宋"/>
          <w:color w:val="auto"/>
          <w:kern w:val="2"/>
          <w:sz w:val="24"/>
          <w:szCs w:val="22"/>
          <w:highlight w:val="none"/>
          <w:lang w:val="en-US" w:eastAsia="zh-CN" w:bidi="ar-SA"/>
        </w:rPr>
      </w:pPr>
    </w:p>
    <w:p w14:paraId="107E87BC">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6ED81A3C">
      <w:pPr>
        <w:pStyle w:val="2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4625AE92">
      <w:pPr>
        <w:pStyle w:val="20"/>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633E0F9F">
      <w:pPr>
        <w:rPr>
          <w:rFonts w:hint="eastAsia"/>
          <w:sz w:val="20"/>
          <w:szCs w:val="18"/>
        </w:rPr>
      </w:pPr>
    </w:p>
    <w:p w14:paraId="7FEE5968">
      <w:pPr>
        <w:rPr>
          <w:rFonts w:hint="eastAsia"/>
          <w:sz w:val="20"/>
          <w:szCs w:val="18"/>
        </w:rPr>
      </w:pPr>
    </w:p>
    <w:p w14:paraId="042C41E0">
      <w:pPr>
        <w:rPr>
          <w:rFonts w:hint="eastAsia"/>
        </w:rPr>
      </w:pPr>
    </w:p>
    <w:p w14:paraId="03BC236D">
      <w:pPr>
        <w:rPr>
          <w:rFonts w:hint="eastAsia"/>
        </w:rPr>
      </w:pPr>
    </w:p>
    <w:p w14:paraId="7D6C3B2F">
      <w:pPr>
        <w:rPr>
          <w:rFonts w:hint="eastAsia"/>
        </w:rPr>
      </w:pPr>
    </w:p>
    <w:p w14:paraId="7A4CFF2A">
      <w:pPr>
        <w:rPr>
          <w:rFonts w:hint="eastAsia"/>
        </w:rPr>
      </w:pPr>
    </w:p>
    <w:p w14:paraId="61902D22">
      <w:pPr>
        <w:rPr>
          <w:rFonts w:hint="eastAsia"/>
        </w:rPr>
      </w:pPr>
    </w:p>
    <w:p w14:paraId="2F808187">
      <w:pPr>
        <w:rPr>
          <w:rFonts w:hint="eastAsia"/>
        </w:rPr>
      </w:pPr>
    </w:p>
    <w:p w14:paraId="2AA16F8F">
      <w:pPr>
        <w:rPr>
          <w:rFonts w:hint="eastAsia"/>
        </w:rPr>
      </w:pPr>
    </w:p>
    <w:p w14:paraId="25CC5A13">
      <w:pPr>
        <w:rPr>
          <w:rFonts w:hint="eastAsia"/>
        </w:rPr>
      </w:pPr>
    </w:p>
    <w:p w14:paraId="2AEF645B">
      <w:pPr>
        <w:rPr>
          <w:rFonts w:hint="eastAsia"/>
        </w:rPr>
      </w:pPr>
    </w:p>
    <w:p w14:paraId="2F087192">
      <w:pPr>
        <w:rPr>
          <w:rFonts w:hint="eastAsia"/>
        </w:rPr>
      </w:pPr>
    </w:p>
    <w:p w14:paraId="5BD2A2DA">
      <w:pPr>
        <w:rPr>
          <w:rFonts w:hint="eastAsia"/>
        </w:rPr>
      </w:pPr>
    </w:p>
    <w:p w14:paraId="4E4B599C">
      <w:pPr>
        <w:rPr>
          <w:rFonts w:hint="eastAsia"/>
        </w:rPr>
      </w:pPr>
    </w:p>
    <w:p w14:paraId="3FD6007F">
      <w:pPr>
        <w:rPr>
          <w:rFonts w:hint="eastAsia"/>
        </w:rPr>
      </w:pPr>
    </w:p>
    <w:p w14:paraId="7187E551">
      <w:pPr>
        <w:rPr>
          <w:rFonts w:hint="eastAsia"/>
        </w:rPr>
      </w:pPr>
    </w:p>
    <w:p w14:paraId="70A18BBE">
      <w:pPr>
        <w:rPr>
          <w:rFonts w:hint="eastAsia"/>
        </w:rPr>
      </w:pPr>
    </w:p>
    <w:p w14:paraId="5864BB1E">
      <w:pPr>
        <w:rPr>
          <w:rFonts w:hint="eastAsia" w:ascii="仿宋" w:hAnsi="仿宋" w:eastAsia="仿宋" w:cs="仿宋"/>
          <w:b/>
          <w:sz w:val="28"/>
          <w:szCs w:val="28"/>
          <w:highlight w:val="none"/>
        </w:rPr>
      </w:pPr>
      <w:bookmarkStart w:id="198" w:name="_Toc5331"/>
      <w:bookmarkStart w:id="199" w:name="_Toc15499"/>
      <w:r>
        <w:rPr>
          <w:rStyle w:val="37"/>
          <w:rFonts w:hint="eastAsia" w:ascii="仿宋" w:hAnsi="仿宋" w:eastAsia="仿宋" w:cs="仿宋"/>
        </w:rPr>
        <w:t>附表：退保证金的函</w:t>
      </w:r>
      <w:bookmarkEnd w:id="198"/>
      <w:bookmarkEnd w:id="199"/>
      <w:r>
        <w:rPr>
          <w:rFonts w:hint="eastAsia" w:ascii="仿宋" w:hAnsi="仿宋" w:eastAsia="仿宋" w:cs="仿宋"/>
          <w:b/>
          <w:sz w:val="28"/>
          <w:szCs w:val="28"/>
          <w:highlight w:val="none"/>
        </w:rPr>
        <w:t xml:space="preserve"> </w:t>
      </w:r>
    </w:p>
    <w:p w14:paraId="00C9C2DF">
      <w:pPr>
        <w:spacing w:line="360" w:lineRule="auto"/>
        <w:outlineLvl w:val="0"/>
        <w:rPr>
          <w:rFonts w:hint="eastAsia" w:ascii="仿宋" w:hAnsi="仿宋" w:eastAsia="仿宋" w:cs="仿宋"/>
          <w:color w:val="000000"/>
          <w:sz w:val="24"/>
          <w:szCs w:val="24"/>
          <w:highlight w:val="none"/>
          <w:u w:val="single"/>
          <w:lang w:eastAsia="zh-CN"/>
        </w:rPr>
      </w:pPr>
      <w:bookmarkStart w:id="200" w:name="_Toc9090"/>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u w:val="single"/>
          <w:lang w:eastAsia="zh-CN"/>
        </w:rPr>
        <w:t xml:space="preserve"> 新疆浩瑞兴建设工程项目管理咨询有限公司</w:t>
      </w:r>
      <w:bookmarkEnd w:id="200"/>
    </w:p>
    <w:p w14:paraId="533747FE">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none"/>
          <w:lang w:val="en-US" w:eastAsia="zh-CN"/>
        </w:rPr>
        <w:t>单位名称：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rPr>
        <w:t>参加贵方组织的，</w:t>
      </w:r>
      <w:r>
        <w:rPr>
          <w:rFonts w:hint="eastAsia" w:ascii="仿宋" w:hAnsi="仿宋" w:eastAsia="仿宋" w:cs="仿宋"/>
          <w:color w:val="000000"/>
          <w:sz w:val="24"/>
          <w:szCs w:val="24"/>
          <w:highlight w:val="none"/>
          <w:u w:val="none"/>
          <w:lang w:val="en-US" w:eastAsia="zh-CN"/>
        </w:rPr>
        <w:t>项目名称：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采购活动。按</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文件的规定，已通过</w:t>
      </w:r>
      <w:r>
        <w:rPr>
          <w:rFonts w:hint="eastAsia" w:ascii="仿宋" w:hAnsi="仿宋" w:eastAsia="仿宋" w:cs="仿宋"/>
          <w:color w:val="000000"/>
          <w:sz w:val="24"/>
          <w:szCs w:val="24"/>
          <w:highlight w:val="none"/>
          <w:u w:val="single"/>
        </w:rPr>
        <w:t>银行转帐/银行汇款</w:t>
      </w:r>
      <w:r>
        <w:rPr>
          <w:rFonts w:hint="eastAsia" w:ascii="仿宋" w:hAnsi="仿宋" w:eastAsia="仿宋" w:cs="仿宋"/>
          <w:color w:val="000000"/>
          <w:sz w:val="24"/>
          <w:szCs w:val="24"/>
          <w:highlight w:val="none"/>
        </w:rPr>
        <w:t>形式缴纳人民币</w:t>
      </w:r>
    </w:p>
    <w:p w14:paraId="58EC78E2">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大写</w:t>
      </w:r>
      <w:r>
        <w:rPr>
          <w:rFonts w:hint="eastAsia" w:ascii="仿宋" w:hAnsi="仿宋" w:eastAsia="仿宋" w:cs="仿宋"/>
          <w:color w:val="000000"/>
          <w:sz w:val="24"/>
          <w:szCs w:val="24"/>
          <w:highlight w:val="none"/>
        </w:rPr>
        <w:t>的保证金。</w:t>
      </w:r>
    </w:p>
    <w:p w14:paraId="05DB8203">
      <w:pPr>
        <w:autoSpaceDE w:val="0"/>
        <w:autoSpaceDN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退还保证金时请按以下内容划入我方帐户。若因内容不全、错误、字迹潦草模糊导致该项目保证金未能及时退还或退还过程中发生错误，我方将承担全部责任和损失。</w:t>
      </w:r>
    </w:p>
    <w:p w14:paraId="5682FB21">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 xml:space="preserve">名称： </w:t>
      </w:r>
    </w:p>
    <w:p w14:paraId="55A86439">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w:t>
      </w:r>
    </w:p>
    <w:p w14:paraId="76D60E55">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开户银行行号：</w:t>
      </w:r>
    </w:p>
    <w:p w14:paraId="5092A3C4">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投标人银行帐号：                         </w:t>
      </w:r>
    </w:p>
    <w:p w14:paraId="45285A0F">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投标人姓名：</w:t>
      </w:r>
    </w:p>
    <w:p w14:paraId="438D141A">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投标人电话：</w:t>
      </w:r>
    </w:p>
    <w:p w14:paraId="3651A62B">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法定代表人（或法定代表人授权代表）签字：</w:t>
      </w:r>
    </w:p>
    <w:p w14:paraId="6AED2A00">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名称（加盖公章）：</w:t>
      </w:r>
    </w:p>
    <w:p w14:paraId="13E6CC1E">
      <w:pPr>
        <w:adjustRightInd w:val="0"/>
        <w:snapToGrid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rPr>
        <w:t>日期：   年   月   日</w:t>
      </w:r>
    </w:p>
    <w:tbl>
      <w:tblPr>
        <w:tblStyle w:val="21"/>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6"/>
      </w:tblGrid>
      <w:tr w14:paraId="1D71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9596" w:type="dxa"/>
            <w:noWrap w:val="0"/>
            <w:vAlign w:val="center"/>
          </w:tcPr>
          <w:p w14:paraId="10413349">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（粘贴转帐或汇款的银行凭证复印件）</w:t>
            </w:r>
          </w:p>
        </w:tc>
      </w:tr>
    </w:tbl>
    <w:p w14:paraId="14150DAB">
      <w:pPr>
        <w:rPr>
          <w:rFonts w:hint="eastAsia" w:ascii="仿宋" w:hAnsi="仿宋" w:eastAsia="仿宋" w:cs="仿宋"/>
          <w:b/>
          <w:sz w:val="24"/>
          <w:szCs w:val="24"/>
          <w:highlight w:val="none"/>
        </w:rPr>
      </w:pPr>
      <w:bookmarkStart w:id="201" w:name="_Toc8922"/>
      <w:bookmarkStart w:id="202" w:name="_Toc30101"/>
      <w:r>
        <w:rPr>
          <w:rFonts w:hint="eastAsia" w:ascii="仿宋" w:hAnsi="仿宋" w:eastAsia="仿宋" w:cs="仿宋"/>
          <w:b/>
          <w:bCs/>
          <w:sz w:val="24"/>
          <w:szCs w:val="24"/>
          <w:highlight w:val="none"/>
          <w:lang w:val="en-US" w:eastAsia="zh-CN"/>
        </w:rPr>
        <w:t>注：1、</w:t>
      </w:r>
      <w:r>
        <w:rPr>
          <w:rFonts w:hint="eastAsia" w:ascii="仿宋" w:hAnsi="仿宋" w:eastAsia="仿宋" w:cs="仿宋"/>
          <w:b/>
          <w:sz w:val="24"/>
          <w:szCs w:val="24"/>
          <w:highlight w:val="none"/>
        </w:rPr>
        <w:t>为方便代理机构后续退款事宜，请</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认真填写此函信息，并后附转帐或汇款的银行凭证复印件。</w:t>
      </w:r>
    </w:p>
    <w:p w14:paraId="1218E75B">
      <w:pPr>
        <w:rPr>
          <w:rFonts w:hint="eastAsia"/>
        </w:rPr>
      </w:pPr>
      <w:r>
        <w:rPr>
          <w:rFonts w:hint="eastAsia" w:ascii="仿宋" w:hAnsi="仿宋" w:eastAsia="仿宋" w:cs="仿宋"/>
          <w:b/>
          <w:bCs/>
          <w:sz w:val="24"/>
          <w:szCs w:val="24"/>
          <w:highlight w:val="none"/>
          <w:lang w:val="en-US" w:eastAsia="zh-CN"/>
        </w:rPr>
        <w:t>2、此申请函无需在投标文件中提供，于开标结束后填写完整附上银行转账或汇款凭证并加盖企业公章，将扫描件发送至代理公司邮箱</w:t>
      </w:r>
      <w:bookmarkEnd w:id="201"/>
      <w:bookmarkEnd w:id="202"/>
      <w:r>
        <w:rPr>
          <w:rFonts w:hint="eastAsia" w:ascii="仿宋" w:hAnsi="仿宋" w:eastAsia="仿宋" w:cs="仿宋"/>
          <w:b/>
          <w:bCs/>
          <w:sz w:val="24"/>
          <w:szCs w:val="24"/>
          <w:highlight w:val="none"/>
          <w:lang w:val="en-US" w:eastAsia="zh-CN"/>
        </w:rPr>
        <w:t>chenxl9398@163.com</w:t>
      </w:r>
    </w:p>
    <w:p w14:paraId="59B8A8C8">
      <w:pPr>
        <w:rPr>
          <w:rFonts w:hint="eastAsia"/>
        </w:rPr>
      </w:pPr>
    </w:p>
    <w:p w14:paraId="2832EDB2">
      <w:pPr>
        <w:rPr>
          <w:rFonts w:hint="eastAsia"/>
        </w:rPr>
      </w:pPr>
    </w:p>
    <w:p w14:paraId="1212ECAF">
      <w:pPr>
        <w:rPr>
          <w:rFonts w:hint="eastAsia"/>
        </w:rPr>
      </w:pPr>
    </w:p>
    <w:p w14:paraId="0D390DE0">
      <w:pPr>
        <w:rPr>
          <w:rFonts w:hint="eastAsia"/>
        </w:rPr>
      </w:pPr>
    </w:p>
    <w:p w14:paraId="591BEE89"/>
    <w:sectPr>
      <w:headerReference r:id="rId10" w:type="default"/>
      <w:footerReference r:id="rId11" w:type="default"/>
      <w:pgSz w:w="11906" w:h="16838"/>
      <w:pgMar w:top="1440" w:right="1077" w:bottom="1440"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EDFA">
    <w:pPr>
      <w:pStyle w:val="12"/>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D5D91D1">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fill on="f" focussize="0,0"/>
              <v:stroke on="f" weight="1.25pt"/>
              <v:imagedata o:title=""/>
              <o:lock v:ext="edit" aspectratio="f"/>
              <v:textbox inset="0mm,0mm,0mm,0mm" style="mso-fit-shape-to-text:t;">
                <w:txbxContent>
                  <w:p w14:paraId="6D5D91D1">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FCAB">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604BD8">
                          <w:pPr>
                            <w:pStyle w:val="1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xKqbn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19SYllBgd+/vnj/OvP&#10;+fd3sixfXSe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8Sqm51AEAAKYDAAAOAAAAAAAAAAEAIAAA&#10;ACIBAABkcnMvZTJvRG9jLnhtbFBLBQYAAAAABgAGAFkBAABoBQAAAAA=&#10;">
              <v:fill on="f" focussize="0,0"/>
              <v:stroke on="f" weight="1.25pt"/>
              <v:imagedata o:title=""/>
              <o:lock v:ext="edit" aspectratio="f"/>
              <v:textbox inset="0mm,0mm,0mm,0mm" style="mso-fit-shape-to-text:t;">
                <w:txbxContent>
                  <w:p w14:paraId="1C604BD8">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D9B">
    <w:pPr>
      <w:pStyle w:val="12"/>
      <w:tabs>
        <w:tab w:val="center" w:pos="481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7C1087">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PnSAQAApgMAAA4AAABkcnMvZTJvRG9jLnhtbK1TTa7TMBDe&#10;I3EHy3uatKI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hLSiwzOPDLj++Xn78v&#10;v76RZbnOCvUeakx88Jgah7duwL1JyqV7wMtEfJDBpC9SIhhHfc9XfcUQCU+PqlVVlRjiGJsdxClu&#10;z32A+E44Q5LR0IADzLqy0weIY+qckqpZd6+0zkPUlvSIuq5er/OLawjRtcUit26TFYf9MFHYu/aM&#10;zHrcgoZaXHpK9HuLIqeFmY0wG/vZOPqgDl3eqNQK+DfHiO3kLlOFEXYqjOPLPKdVS/vxt5+zbr/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q2k+dIBAACmAwAADgAAAAAAAAABACAAAAAi&#10;AQAAZHJzL2Uyb0RvYy54bWxQSwUGAAAAAAYABgBZAQAAZgUAAAAA&#10;">
              <v:fill on="f" focussize="0,0"/>
              <v:stroke on="f" weight="1.25pt"/>
              <v:imagedata o:title=""/>
              <o:lock v:ext="edit" aspectratio="f"/>
              <v:textbox inset="0mm,0mm,0mm,0mm" style="mso-fit-shape-to-text:t;">
                <w:txbxContent>
                  <w:p w14:paraId="047C1087">
                    <w:pPr>
                      <w:pStyle w:val="12"/>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02A4B6">
                          <w:pPr>
                            <w:pStyle w:val="12"/>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mUDlg1wEAALIDAAAOAAAAAAAAAAEA&#10;IAAAACIBAABkcnMvZTJvRG9jLnhtbFBLBQYAAAAABgAGAFkBAABrBQAAAAA=&#10;">
              <v:fill on="f" focussize="0,0"/>
              <v:stroke on="f" weight="1.25pt"/>
              <v:imagedata o:title=""/>
              <o:lock v:ext="edit" aspectratio="f"/>
              <v:textbox inset="0mm,0mm,0mm,0mm" style="mso-fit-shape-to-text:t;">
                <w:txbxContent>
                  <w:p w14:paraId="5702A4B6">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F62">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BD3831">
                          <w:pPr>
                            <w:pStyle w:val="12"/>
                          </w:pPr>
                          <w:r>
                            <w:fldChar w:fldCharType="begin"/>
                          </w:r>
                          <w:r>
                            <w:instrText xml:space="preserve"> PAGE  \* MERGEFORMAT </w:instrText>
                          </w:r>
                          <w:r>
                            <w:fldChar w:fldCharType="separate"/>
                          </w:r>
                          <w:r>
                            <w:t>- 39 -</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QGOVbUAQAAp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izXy6RQ76HGxHuPqXF47wbcm/ke8DIRH2Qw6YuUCMZR3/NVXzFEwtOjalVVJYY4xmYH8YvH&#10;5z5A/CCcIcloaMABZl3Z6RPEMXVOSdWsu1Na5yFqS3pEXVfv1vnFNYTo2mKRxGLsNllx2A8Ttb1r&#10;z8isxy1oqMWlp0R/tChyWpjZCLOxn42jD+rQ5Y1KrYC/PUZsJ3eZKoywU2EcX+Y5rVraj3/9nPX4&#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0BjlW1AEAAKYDAAAOAAAAAAAAAAEAIAAA&#10;ACIBAABkcnMvZTJvRG9jLnhtbFBLBQYAAAAABgAGAFkBAABoBQAAAAA=&#10;">
              <v:fill on="f" focussize="0,0"/>
              <v:stroke on="f" weight="1.25pt"/>
              <v:imagedata o:title=""/>
              <o:lock v:ext="edit" aspectratio="f"/>
              <v:textbox inset="0mm,0mm,0mm,0mm" style="mso-fit-shape-to-text:t;">
                <w:txbxContent>
                  <w:p w14:paraId="6BBD3831">
                    <w:pPr>
                      <w:pStyle w:val="1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970C">
    <w:pPr>
      <w:pStyle w:val="12"/>
      <w:tabs>
        <w:tab w:val="center" w:pos="481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89B0A5">
                          <w:pPr>
                            <w:pStyle w:val="12"/>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ZHxBfUAQAApgMAAA4AAABkcnMvZTJvRG9jLnhtbK1TzY7TMBC+&#10;I/EOlu80aaWy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G0osMzjwy4/vl5+/&#10;L7++kWW5XiWFeg81Jj56TI3DvRtwb+Z7wMtEfJDBpC9SIhhHfc9XfcUQCU+PqlVVlRjiGJsdxC+e&#10;nvsA8Z1whiSjoQEHmHVlpw8Qx9Q5JVWz7kFpnYeoLekRdV3drPOLawjRtcUiicXYbbLisB8manvX&#10;npFZj1vQUItLT4l+b1HktDCzEWZjPxtHH9ShyxuVWgF/d4zYTu4yVRhhp8I4vsxzWrW0H3/7Oevp&#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WR8QX1AEAAKYDAAAOAAAAAAAAAAEAIAAA&#10;ACIBAABkcnMvZTJvRG9jLnhtbFBLBQYAAAAABgAGAFkBAABoBQAAAAA=&#10;">
              <v:fill on="f" focussize="0,0"/>
              <v:stroke on="f" weight="1.25pt"/>
              <v:imagedata o:title=""/>
              <o:lock v:ext="edit" aspectratio="f"/>
              <v:textbox inset="0mm,0mm,0mm,0mm" style="mso-fit-shape-to-text:t;">
                <w:txbxContent>
                  <w:p w14:paraId="5189B0A5">
                    <w:pPr>
                      <w:pStyle w:val="12"/>
                    </w:pPr>
                    <w:r>
                      <w:fldChar w:fldCharType="begin"/>
                    </w:r>
                    <w:r>
                      <w:instrText xml:space="preserve"> PAGE  \* MERGEFORMAT </w:instrText>
                    </w:r>
                    <w:r>
                      <w:fldChar w:fldCharType="separate"/>
                    </w:r>
                    <w:r>
                      <w:t>- 38 -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D820D5">
                          <w:pPr>
                            <w:pStyle w:val="12"/>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O5YB7XAQAAsg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tAiWUGL/z86+f599/z&#10;nx9ktUz69B5qLLv3WBiHj25ItVMcMJhoDzKY9EdCBPOo7umirhgi4elQtaqqElMcc7ODOMXjcR8g&#10;3glnSDIaGvD6sqrs+BniWDqXpG7W3SqtMc5qbUmPqNfV++t84pJCdG1ThcjbMOEkTuPsyYrDbpgI&#10;7Vx7Qp49bkRDLT4ASvQni4Kn5ZmNMBu72Tj4oPZd3q7UC/yHQ8Th8sypwwiLXJODV5lZT2uXduWp&#10;n6sen9rm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juWAe1wEAALIDAAAOAAAAAAAAAAEA&#10;IAAAACIBAABkcnMvZTJvRG9jLnhtbFBLBQYAAAAABgAGAFkBAABrBQAAAAA=&#10;">
              <v:fill on="f" focussize="0,0"/>
              <v:stroke on="f" weight="1.25pt"/>
              <v:imagedata o:title=""/>
              <o:lock v:ext="edit" aspectratio="f"/>
              <v:textbox inset="0mm,0mm,0mm,0mm" style="mso-fit-shape-to-text:t;">
                <w:txbxContent>
                  <w:p w14:paraId="39D820D5">
                    <w:pPr>
                      <w:pStyle w:val="12"/>
                    </w:pPr>
                  </w:p>
                </w:txbxContent>
              </v:textbox>
            </v:shape>
          </w:pict>
        </mc:Fallback>
      </mc:AlternateConten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4F70">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E2163C">
                          <w:pPr>
                            <w:pStyle w:val="12"/>
                          </w:pPr>
                          <w:r>
                            <w:fldChar w:fldCharType="begin"/>
                          </w:r>
                          <w:r>
                            <w:instrText xml:space="preserve"> PAGE  \* MERGEFORMAT </w:instrText>
                          </w:r>
                          <w:r>
                            <w:fldChar w:fldCharType="separate"/>
                          </w:r>
                          <w:r>
                            <w:t>- 59 -</w:t>
                          </w:r>
                          <w:r>
                            <w:fldChar w:fldCharType="end"/>
                          </w:r>
                        </w:p>
                      </w:txbxContent>
                    </wps:txbx>
                    <wps:bodyPr wrap="none" lIns="0" tIns="0" rIns="0" bIns="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oYPjT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3FsVtmcOCXnz8uv/5c&#10;fn8ny3L9OinUe6gx8d5jahzeuQH3Zr4HvEzEBxlM+iIlgnHU93zVVwyR8PSoWlVViSGOsdlB/OLh&#10;uQ8Q3wtnSDIaGnCAWVd2+ghxTJ1TUjXr7pTWeYjakh5R19XbdX5xDSG6tlgksRi7TVYc9sNEbe/a&#10;MzLrcQsaanHpKdEfLIqcFmY2wmzsZ+Pogzp0eaNSK+BvjxHbyV2mCiPsVBjHl3lOq5b2418/Zz38&#10;X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GoYPjTAQAApgMAAA4AAAAAAAAAAQAgAAAA&#10;IgEAAGRycy9lMm9Eb2MueG1sUEsFBgAAAAAGAAYAWQEAAGcFAAAAAA==&#10;">
              <v:fill on="f" focussize="0,0"/>
              <v:stroke on="f" weight="1.25pt"/>
              <v:imagedata o:title=""/>
              <o:lock v:ext="edit" aspectratio="f"/>
              <v:textbox inset="0mm,0mm,0mm,0mm" style="mso-fit-shape-to-text:t;">
                <w:txbxContent>
                  <w:p w14:paraId="0FE2163C">
                    <w:pPr>
                      <w:pStyle w:val="12"/>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EB38">
    <w:pPr>
      <w:widowControl/>
      <w:pBdr>
        <w:bottom w:val="single" w:color="auto" w:sz="4" w:space="0"/>
      </w:pBdr>
      <w:snapToGrid w:val="0"/>
      <w:jc w:val="both"/>
    </w:pPr>
    <w:r>
      <w:rPr>
        <w:rFonts w:hint="eastAsia" w:ascii="Calibri" w:hAnsi="Calibri" w:eastAsia="宋体"/>
        <w:sz w:val="18"/>
        <w:lang w:eastAsia="zh-CN"/>
      </w:rPr>
      <w:drawing>
        <wp:inline distT="0" distB="0" distL="114300" distR="114300">
          <wp:extent cx="218440" cy="266065"/>
          <wp:effectExtent l="0" t="0" r="10160" b="8255"/>
          <wp:docPr id="10" name="图片 2"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B0A8">
    <w:pPr>
      <w:widowControl/>
      <w:pBdr>
        <w:bottom w:val="single" w:color="auto" w:sz="4" w:space="0"/>
      </w:pBdr>
      <w:snapToGrid w:val="0"/>
      <w:jc w:val="both"/>
      <w:rPr>
        <w:rFonts w:hint="eastAsia" w:eastAsia="仿宋_GB2312"/>
        <w:lang w:eastAsia="zh-CN"/>
      </w:rPr>
    </w:pPr>
    <w:r>
      <w:rPr>
        <w:rFonts w:hint="eastAsia" w:ascii="Calibri" w:hAnsi="Calibri" w:eastAsia="宋体"/>
        <w:sz w:val="18"/>
        <w:lang w:eastAsia="zh-CN"/>
      </w:rPr>
      <w:drawing>
        <wp:inline distT="0" distB="0" distL="114300" distR="114300">
          <wp:extent cx="218440" cy="266065"/>
          <wp:effectExtent l="0" t="0" r="10160" b="8255"/>
          <wp:docPr id="9"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E1D3">
    <w:pPr>
      <w:widowControl/>
      <w:pBdr>
        <w:bottom w:val="single" w:color="auto" w:sz="4" w:space="0"/>
      </w:pBdr>
      <w:snapToGrid w:val="0"/>
      <w:jc w:val="both"/>
      <w:rPr>
        <w:rFonts w:ascii="仿宋_GB2312"/>
        <w:b/>
        <w:i/>
        <w:sz w:val="18"/>
        <w:szCs w:val="18"/>
      </w:rPr>
    </w:pPr>
    <w:r>
      <w:rPr>
        <w:rFonts w:hint="eastAsia" w:ascii="Calibri" w:hAnsi="Calibri" w:eastAsia="宋体"/>
        <w:sz w:val="18"/>
        <w:lang w:eastAsia="zh-CN"/>
      </w:rPr>
      <w:drawing>
        <wp:inline distT="0" distB="0" distL="114300" distR="114300">
          <wp:extent cx="218440" cy="266065"/>
          <wp:effectExtent l="0" t="0" r="10160" b="8255"/>
          <wp:docPr id="11" name="图片 3"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81EAD"/>
    <w:multiLevelType w:val="singleLevel"/>
    <w:tmpl w:val="AC081EAD"/>
    <w:lvl w:ilvl="0" w:tentative="0">
      <w:start w:val="7"/>
      <w:numFmt w:val="decimal"/>
      <w:suff w:val="nothing"/>
      <w:lvlText w:val="%1、"/>
      <w:lvlJc w:val="left"/>
    </w:lvl>
  </w:abstractNum>
  <w:abstractNum w:abstractNumId="1">
    <w:nsid w:val="B8B3F03C"/>
    <w:multiLevelType w:val="singleLevel"/>
    <w:tmpl w:val="B8B3F03C"/>
    <w:lvl w:ilvl="0" w:tentative="0">
      <w:start w:val="2"/>
      <w:numFmt w:val="chineseCounting"/>
      <w:suff w:val="nothing"/>
      <w:lvlText w:val="%1、"/>
      <w:lvlJc w:val="left"/>
      <w:rPr>
        <w:rFonts w:hint="eastAsia"/>
      </w:rPr>
    </w:lvl>
  </w:abstractNum>
  <w:abstractNum w:abstractNumId="2">
    <w:nsid w:val="C0687F8A"/>
    <w:multiLevelType w:val="singleLevel"/>
    <w:tmpl w:val="C0687F8A"/>
    <w:lvl w:ilvl="0" w:tentative="0">
      <w:start w:val="1"/>
      <w:numFmt w:val="decimal"/>
      <w:suff w:val="nothing"/>
      <w:lvlText w:val="%1．"/>
      <w:lvlJc w:val="left"/>
      <w:pPr>
        <w:ind w:left="0" w:firstLine="400"/>
      </w:pPr>
      <w:rPr>
        <w:rFonts w:hint="default"/>
      </w:rPr>
    </w:lvl>
  </w:abstractNum>
  <w:abstractNum w:abstractNumId="3">
    <w:nsid w:val="C36539EC"/>
    <w:multiLevelType w:val="singleLevel"/>
    <w:tmpl w:val="C36539EC"/>
    <w:lvl w:ilvl="0" w:tentative="0">
      <w:start w:val="2"/>
      <w:numFmt w:val="decimal"/>
      <w:suff w:val="nothing"/>
      <w:lvlText w:val="%1、"/>
      <w:lvlJc w:val="left"/>
    </w:lvl>
  </w:abstractNum>
  <w:abstractNum w:abstractNumId="4">
    <w:nsid w:val="CFC82053"/>
    <w:multiLevelType w:val="singleLevel"/>
    <w:tmpl w:val="CFC82053"/>
    <w:lvl w:ilvl="0" w:tentative="0">
      <w:start w:val="5"/>
      <w:numFmt w:val="chineseCounting"/>
      <w:suff w:val="space"/>
      <w:lvlText w:val="第%1章"/>
      <w:lvlJc w:val="left"/>
      <w:rPr>
        <w:rFonts w:hint="eastAsia"/>
      </w:rPr>
    </w:lvl>
  </w:abstractNum>
  <w:abstractNum w:abstractNumId="5">
    <w:nsid w:val="E147BD12"/>
    <w:multiLevelType w:val="singleLevel"/>
    <w:tmpl w:val="E147BD12"/>
    <w:lvl w:ilvl="0" w:tentative="0">
      <w:start w:val="1"/>
      <w:numFmt w:val="decimal"/>
      <w:suff w:val="nothing"/>
      <w:lvlText w:val="%1、"/>
      <w:lvlJc w:val="left"/>
    </w:lvl>
  </w:abstractNum>
  <w:abstractNum w:abstractNumId="6">
    <w:nsid w:val="E9916F97"/>
    <w:multiLevelType w:val="singleLevel"/>
    <w:tmpl w:val="E9916F97"/>
    <w:lvl w:ilvl="0" w:tentative="0">
      <w:start w:val="1"/>
      <w:numFmt w:val="chineseCounting"/>
      <w:suff w:val="nothing"/>
      <w:lvlText w:val="(%1）"/>
      <w:lvlJc w:val="left"/>
      <w:rPr>
        <w:rFonts w:hint="eastAsia"/>
      </w:rPr>
    </w:lvl>
  </w:abstractNum>
  <w:abstractNum w:abstractNumId="7">
    <w:nsid w:val="EAD92B6C"/>
    <w:multiLevelType w:val="singleLevel"/>
    <w:tmpl w:val="EAD92B6C"/>
    <w:lvl w:ilvl="0" w:tentative="0">
      <w:start w:val="1"/>
      <w:numFmt w:val="decimal"/>
      <w:lvlText w:val="%1."/>
      <w:lvlJc w:val="left"/>
      <w:pPr>
        <w:ind w:left="425" w:hanging="425"/>
      </w:pPr>
      <w:rPr>
        <w:rFonts w:hint="default"/>
      </w:rPr>
    </w:lvl>
  </w:abstractNum>
  <w:abstractNum w:abstractNumId="8">
    <w:nsid w:val="00000008"/>
    <w:multiLevelType w:val="multilevel"/>
    <w:tmpl w:val="00000008"/>
    <w:lvl w:ilvl="0" w:tentative="0">
      <w:start w:val="1"/>
      <w:numFmt w:val="decimal"/>
      <w:pStyle w:val="2"/>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9">
    <w:nsid w:val="00000017"/>
    <w:multiLevelType w:val="multilevel"/>
    <w:tmpl w:val="00000017"/>
    <w:lvl w:ilvl="0" w:tentative="0">
      <w:start w:val="1"/>
      <w:numFmt w:val="decimal"/>
      <w:lvlText w:val="%1)"/>
      <w:lvlJc w:val="left"/>
      <w:pPr>
        <w:ind w:left="1069" w:hanging="360"/>
      </w:pPr>
      <w:rPr>
        <w:color w:val="auto"/>
      </w:rPr>
    </w:lvl>
    <w:lvl w:ilvl="1" w:tentative="0">
      <w:start w:val="1"/>
      <w:numFmt w:val="lowerLetter"/>
      <w:lvlRestart w:val="0"/>
      <w:lvlText w:val="%2."/>
      <w:lvlJc w:val="left"/>
      <w:pPr>
        <w:ind w:left="1819" w:hanging="360"/>
      </w:pPr>
    </w:lvl>
    <w:lvl w:ilvl="2" w:tentative="0">
      <w:start w:val="1"/>
      <w:numFmt w:val="lowerRoman"/>
      <w:lvlRestart w:val="0"/>
      <w:lvlText w:val="%3."/>
      <w:lvlJc w:val="right"/>
      <w:pPr>
        <w:ind w:left="2539" w:hanging="180"/>
      </w:pPr>
    </w:lvl>
    <w:lvl w:ilvl="3" w:tentative="0">
      <w:start w:val="1"/>
      <w:numFmt w:val="decimal"/>
      <w:lvlRestart w:val="0"/>
      <w:lvlText w:val="%4."/>
      <w:lvlJc w:val="left"/>
      <w:pPr>
        <w:ind w:left="3259" w:hanging="360"/>
      </w:pPr>
    </w:lvl>
    <w:lvl w:ilvl="4" w:tentative="0">
      <w:start w:val="1"/>
      <w:numFmt w:val="lowerLetter"/>
      <w:lvlRestart w:val="0"/>
      <w:lvlText w:val="%5."/>
      <w:lvlJc w:val="left"/>
      <w:pPr>
        <w:ind w:left="3979" w:hanging="360"/>
      </w:pPr>
    </w:lvl>
    <w:lvl w:ilvl="5" w:tentative="0">
      <w:start w:val="1"/>
      <w:numFmt w:val="lowerRoman"/>
      <w:lvlRestart w:val="0"/>
      <w:lvlText w:val="%6."/>
      <w:lvlJc w:val="right"/>
      <w:pPr>
        <w:ind w:left="4699" w:hanging="180"/>
      </w:pPr>
    </w:lvl>
    <w:lvl w:ilvl="6" w:tentative="0">
      <w:start w:val="1"/>
      <w:numFmt w:val="decimal"/>
      <w:lvlRestart w:val="0"/>
      <w:lvlText w:val="%7."/>
      <w:lvlJc w:val="left"/>
      <w:pPr>
        <w:ind w:left="5419" w:hanging="360"/>
      </w:pPr>
    </w:lvl>
    <w:lvl w:ilvl="7" w:tentative="0">
      <w:start w:val="1"/>
      <w:numFmt w:val="lowerLetter"/>
      <w:lvlRestart w:val="0"/>
      <w:lvlText w:val="%8."/>
      <w:lvlJc w:val="left"/>
      <w:pPr>
        <w:ind w:left="6139" w:hanging="360"/>
      </w:pPr>
    </w:lvl>
    <w:lvl w:ilvl="8" w:tentative="0">
      <w:start w:val="1"/>
      <w:numFmt w:val="lowerRoman"/>
      <w:lvlRestart w:val="0"/>
      <w:lvlText w:val="%9."/>
      <w:lvlJc w:val="right"/>
      <w:pPr>
        <w:ind w:left="6859" w:hanging="180"/>
      </w:pPr>
    </w:lvl>
  </w:abstractNum>
  <w:abstractNum w:abstractNumId="10">
    <w:nsid w:val="032B2B0B"/>
    <w:multiLevelType w:val="multilevel"/>
    <w:tmpl w:val="032B2B0B"/>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4445796"/>
    <w:multiLevelType w:val="multilevel"/>
    <w:tmpl w:val="04445796"/>
    <w:lvl w:ilvl="0" w:tentative="0">
      <w:start w:val="6"/>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076601C0"/>
    <w:multiLevelType w:val="multilevel"/>
    <w:tmpl w:val="076601C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7CB2A63"/>
    <w:multiLevelType w:val="multilevel"/>
    <w:tmpl w:val="07CB2A6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D4A1096"/>
    <w:multiLevelType w:val="multilevel"/>
    <w:tmpl w:val="0D4A109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0664D6D"/>
    <w:multiLevelType w:val="multilevel"/>
    <w:tmpl w:val="10664D6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7">
    <w:nsid w:val="12C47A50"/>
    <w:multiLevelType w:val="singleLevel"/>
    <w:tmpl w:val="12C47A50"/>
    <w:lvl w:ilvl="0" w:tentative="0">
      <w:start w:val="12"/>
      <w:numFmt w:val="decimal"/>
      <w:suff w:val="nothing"/>
      <w:lvlText w:val="%1、"/>
      <w:lvlJc w:val="left"/>
    </w:lvl>
  </w:abstractNum>
  <w:abstractNum w:abstractNumId="18">
    <w:nsid w:val="15615B7D"/>
    <w:multiLevelType w:val="multilevel"/>
    <w:tmpl w:val="15615B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3DF6B20"/>
    <w:multiLevelType w:val="multilevel"/>
    <w:tmpl w:val="23DF6B2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57658B4"/>
    <w:multiLevelType w:val="multilevel"/>
    <w:tmpl w:val="257658B4"/>
    <w:lvl w:ilvl="0" w:tentative="0">
      <w:start w:val="1"/>
      <w:numFmt w:val="decimal"/>
      <w:suff w:val="nothing"/>
      <w:lvlText w:val="%1 "/>
      <w:lvlJc w:val="left"/>
      <w:pPr>
        <w:ind w:left="0" w:firstLine="0"/>
      </w:pPr>
      <w:rPr>
        <w:rFonts w:hint="default" w:ascii="宋体" w:hAnsi="宋体" w:eastAsia="宋体" w:cs="宋体"/>
        <w:b w:val="0"/>
        <w:bCs/>
        <w:sz w:val="21"/>
        <w:szCs w:val="21"/>
      </w:rPr>
    </w:lvl>
    <w:lvl w:ilvl="1" w:tentative="0">
      <w:start w:val="1"/>
      <w:numFmt w:val="decimal"/>
      <w:suff w:val="space"/>
      <w:lvlText w:val="%1.%2"/>
      <w:lvlJc w:val="left"/>
      <w:pPr>
        <w:ind w:left="0" w:firstLine="0"/>
      </w:pPr>
      <w:rPr>
        <w:rFonts w:hint="default" w:ascii="宋体" w:hAnsi="宋体" w:eastAsia="宋体"/>
        <w:b w:val="0"/>
        <w:bCs/>
        <w:i w:val="0"/>
        <w:color w:val="auto"/>
        <w:sz w:val="21"/>
        <w:szCs w:val="21"/>
      </w:rPr>
    </w:lvl>
    <w:lvl w:ilvl="2" w:tentative="0">
      <w:start w:val="1"/>
      <w:numFmt w:val="decimal"/>
      <w:lvlText w:val="%1.%2.%3"/>
      <w:lvlJc w:val="left"/>
      <w:pPr>
        <w:tabs>
          <w:tab w:val="left" w:pos="284"/>
        </w:tabs>
        <w:ind w:left="0" w:firstLine="0"/>
      </w:pPr>
      <w:rPr>
        <w:rFonts w:hint="default" w:ascii="宋体" w:hAnsi="宋体" w:eastAsia="宋体" w:cs="宋体"/>
        <w:b w:val="0"/>
        <w:bCs/>
        <w:sz w:val="21"/>
        <w:szCs w:val="21"/>
        <w:highlight w:val="no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30F90042"/>
    <w:multiLevelType w:val="multilevel"/>
    <w:tmpl w:val="30F90042"/>
    <w:lvl w:ilvl="0" w:tentative="0">
      <w:start w:val="3"/>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31622995"/>
    <w:multiLevelType w:val="multilevel"/>
    <w:tmpl w:val="3162299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3B81DA7"/>
    <w:multiLevelType w:val="singleLevel"/>
    <w:tmpl w:val="33B81DA7"/>
    <w:lvl w:ilvl="0" w:tentative="0">
      <w:start w:val="6"/>
      <w:numFmt w:val="decimal"/>
      <w:lvlText w:val="%1."/>
      <w:lvlJc w:val="left"/>
      <w:pPr>
        <w:tabs>
          <w:tab w:val="left" w:pos="312"/>
        </w:tabs>
      </w:pPr>
    </w:lvl>
  </w:abstractNum>
  <w:abstractNum w:abstractNumId="24">
    <w:nsid w:val="35AB1094"/>
    <w:multiLevelType w:val="multilevel"/>
    <w:tmpl w:val="35AB1094"/>
    <w:lvl w:ilvl="0" w:tentative="0">
      <w:start w:val="7"/>
      <w:numFmt w:val="decimal"/>
      <w:lvlText w:val="%1"/>
      <w:lvlJc w:val="left"/>
      <w:pPr>
        <w:ind w:left="360" w:hanging="360"/>
      </w:pPr>
      <w:rPr>
        <w:rFonts w:hint="default" w:cs="微软雅黑"/>
      </w:rPr>
    </w:lvl>
    <w:lvl w:ilvl="1" w:tentative="0">
      <w:start w:val="1"/>
      <w:numFmt w:val="decimal"/>
      <w:lvlText w:val="%1.%2"/>
      <w:lvlJc w:val="left"/>
      <w:pPr>
        <w:ind w:left="360" w:hanging="360"/>
      </w:pPr>
      <w:rPr>
        <w:rFonts w:hint="default" w:cs="微软雅黑"/>
      </w:rPr>
    </w:lvl>
    <w:lvl w:ilvl="2" w:tentative="0">
      <w:start w:val="1"/>
      <w:numFmt w:val="decimal"/>
      <w:lvlText w:val="%1.%2.%3"/>
      <w:lvlJc w:val="left"/>
      <w:pPr>
        <w:ind w:left="720" w:hanging="720"/>
      </w:pPr>
      <w:rPr>
        <w:rFonts w:hint="default" w:cs="微软雅黑"/>
      </w:rPr>
    </w:lvl>
    <w:lvl w:ilvl="3" w:tentative="0">
      <w:start w:val="1"/>
      <w:numFmt w:val="decimal"/>
      <w:lvlText w:val="%1.%2.%3.%4"/>
      <w:lvlJc w:val="left"/>
      <w:pPr>
        <w:ind w:left="1080" w:hanging="1080"/>
      </w:pPr>
      <w:rPr>
        <w:rFonts w:hint="default" w:cs="微软雅黑"/>
      </w:rPr>
    </w:lvl>
    <w:lvl w:ilvl="4" w:tentative="0">
      <w:start w:val="1"/>
      <w:numFmt w:val="decimal"/>
      <w:lvlText w:val="%1.%2.%3.%4.%5"/>
      <w:lvlJc w:val="left"/>
      <w:pPr>
        <w:ind w:left="1080" w:hanging="1080"/>
      </w:pPr>
      <w:rPr>
        <w:rFonts w:hint="default" w:cs="微软雅黑"/>
      </w:rPr>
    </w:lvl>
    <w:lvl w:ilvl="5" w:tentative="0">
      <w:start w:val="1"/>
      <w:numFmt w:val="decimal"/>
      <w:lvlText w:val="%1.%2.%3.%4.%5.%6"/>
      <w:lvlJc w:val="left"/>
      <w:pPr>
        <w:ind w:left="1440" w:hanging="1440"/>
      </w:pPr>
      <w:rPr>
        <w:rFonts w:hint="default" w:cs="微软雅黑"/>
      </w:rPr>
    </w:lvl>
    <w:lvl w:ilvl="6" w:tentative="0">
      <w:start w:val="1"/>
      <w:numFmt w:val="decimal"/>
      <w:lvlText w:val="%1.%2.%3.%4.%5.%6.%7"/>
      <w:lvlJc w:val="left"/>
      <w:pPr>
        <w:ind w:left="1800" w:hanging="1800"/>
      </w:pPr>
      <w:rPr>
        <w:rFonts w:hint="default" w:cs="微软雅黑"/>
      </w:rPr>
    </w:lvl>
    <w:lvl w:ilvl="7" w:tentative="0">
      <w:start w:val="1"/>
      <w:numFmt w:val="decimal"/>
      <w:lvlText w:val="%1.%2.%3.%4.%5.%6.%7.%8"/>
      <w:lvlJc w:val="left"/>
      <w:pPr>
        <w:ind w:left="1800" w:hanging="1800"/>
      </w:pPr>
      <w:rPr>
        <w:rFonts w:hint="default" w:cs="微软雅黑"/>
      </w:rPr>
    </w:lvl>
    <w:lvl w:ilvl="8" w:tentative="0">
      <w:start w:val="1"/>
      <w:numFmt w:val="decimal"/>
      <w:lvlText w:val="%1.%2.%3.%4.%5.%6.%7.%8.%9"/>
      <w:lvlJc w:val="left"/>
      <w:pPr>
        <w:ind w:left="2160" w:hanging="2160"/>
      </w:pPr>
      <w:rPr>
        <w:rFonts w:hint="default" w:cs="微软雅黑"/>
      </w:rPr>
    </w:lvl>
  </w:abstractNum>
  <w:abstractNum w:abstractNumId="25">
    <w:nsid w:val="3C133B21"/>
    <w:multiLevelType w:val="singleLevel"/>
    <w:tmpl w:val="3C133B21"/>
    <w:lvl w:ilvl="0" w:tentative="0">
      <w:start w:val="4"/>
      <w:numFmt w:val="chineseCounting"/>
      <w:suff w:val="space"/>
      <w:lvlText w:val="第%1章"/>
      <w:lvlJc w:val="left"/>
      <w:rPr>
        <w:rFonts w:hint="eastAsia"/>
      </w:rPr>
    </w:lvl>
  </w:abstractNum>
  <w:abstractNum w:abstractNumId="26">
    <w:nsid w:val="3C391B22"/>
    <w:multiLevelType w:val="multilevel"/>
    <w:tmpl w:val="3C391B2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E94E053"/>
    <w:multiLevelType w:val="singleLevel"/>
    <w:tmpl w:val="3E94E053"/>
    <w:lvl w:ilvl="0" w:tentative="0">
      <w:start w:val="2"/>
      <w:numFmt w:val="chineseCounting"/>
      <w:suff w:val="nothing"/>
      <w:lvlText w:val="%1、"/>
      <w:lvlJc w:val="left"/>
      <w:rPr>
        <w:rFonts w:hint="eastAsia"/>
      </w:rPr>
    </w:lvl>
  </w:abstractNum>
  <w:abstractNum w:abstractNumId="28">
    <w:nsid w:val="41210B6B"/>
    <w:multiLevelType w:val="singleLevel"/>
    <w:tmpl w:val="41210B6B"/>
    <w:lvl w:ilvl="0" w:tentative="0">
      <w:start w:val="1"/>
      <w:numFmt w:val="decimal"/>
      <w:suff w:val="nothing"/>
      <w:lvlText w:val="%1、"/>
      <w:lvlJc w:val="left"/>
    </w:lvl>
  </w:abstractNum>
  <w:abstractNum w:abstractNumId="29">
    <w:nsid w:val="43F67AFD"/>
    <w:multiLevelType w:val="multilevel"/>
    <w:tmpl w:val="43F67AF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88D093C"/>
    <w:multiLevelType w:val="multilevel"/>
    <w:tmpl w:val="488D093C"/>
    <w:lvl w:ilvl="0" w:tentative="0">
      <w:start w:val="1"/>
      <w:numFmt w:val="decimal"/>
      <w:lvlText w:val="%1."/>
      <w:lvlJc w:val="left"/>
      <w:pPr>
        <w:ind w:left="767" w:hanging="360"/>
      </w:pPr>
      <w:rPr>
        <w:rFonts w:hint="default"/>
      </w:rPr>
    </w:lvl>
    <w:lvl w:ilvl="1" w:tentative="0">
      <w:start w:val="1"/>
      <w:numFmt w:val="lowerLetter"/>
      <w:lvlText w:val="%2)"/>
      <w:lvlJc w:val="left"/>
      <w:pPr>
        <w:ind w:left="1247" w:hanging="420"/>
      </w:pPr>
    </w:lvl>
    <w:lvl w:ilvl="2" w:tentative="0">
      <w:start w:val="1"/>
      <w:numFmt w:val="lowerRoman"/>
      <w:lvlText w:val="%3."/>
      <w:lvlJc w:val="right"/>
      <w:pPr>
        <w:ind w:left="1667" w:hanging="420"/>
      </w:pPr>
    </w:lvl>
    <w:lvl w:ilvl="3" w:tentative="0">
      <w:start w:val="1"/>
      <w:numFmt w:val="decimal"/>
      <w:lvlText w:val="%4."/>
      <w:lvlJc w:val="left"/>
      <w:pPr>
        <w:ind w:left="2087" w:hanging="420"/>
      </w:pPr>
    </w:lvl>
    <w:lvl w:ilvl="4" w:tentative="0">
      <w:start w:val="1"/>
      <w:numFmt w:val="lowerLetter"/>
      <w:lvlText w:val="%5)"/>
      <w:lvlJc w:val="left"/>
      <w:pPr>
        <w:ind w:left="2507" w:hanging="420"/>
      </w:pPr>
    </w:lvl>
    <w:lvl w:ilvl="5" w:tentative="0">
      <w:start w:val="1"/>
      <w:numFmt w:val="lowerRoman"/>
      <w:lvlText w:val="%6."/>
      <w:lvlJc w:val="right"/>
      <w:pPr>
        <w:ind w:left="2927" w:hanging="420"/>
      </w:pPr>
    </w:lvl>
    <w:lvl w:ilvl="6" w:tentative="0">
      <w:start w:val="1"/>
      <w:numFmt w:val="decimal"/>
      <w:lvlText w:val="%7."/>
      <w:lvlJc w:val="left"/>
      <w:pPr>
        <w:ind w:left="3347" w:hanging="420"/>
      </w:pPr>
    </w:lvl>
    <w:lvl w:ilvl="7" w:tentative="0">
      <w:start w:val="1"/>
      <w:numFmt w:val="lowerLetter"/>
      <w:lvlText w:val="%8)"/>
      <w:lvlJc w:val="left"/>
      <w:pPr>
        <w:ind w:left="3767" w:hanging="420"/>
      </w:pPr>
    </w:lvl>
    <w:lvl w:ilvl="8" w:tentative="0">
      <w:start w:val="1"/>
      <w:numFmt w:val="lowerRoman"/>
      <w:lvlText w:val="%9."/>
      <w:lvlJc w:val="right"/>
      <w:pPr>
        <w:ind w:left="4187" w:hanging="420"/>
      </w:pPr>
    </w:lvl>
  </w:abstractNum>
  <w:abstractNum w:abstractNumId="31">
    <w:nsid w:val="5AA66606"/>
    <w:multiLevelType w:val="multilevel"/>
    <w:tmpl w:val="5AA6660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27"/>
  </w:num>
  <w:num w:numId="3">
    <w:abstractNumId w:val="16"/>
  </w:num>
  <w:num w:numId="4">
    <w:abstractNumId w:val="32"/>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 w:numId="10">
    <w:abstractNumId w:val="1"/>
  </w:num>
  <w:num w:numId="11">
    <w:abstractNumId w:val="30"/>
  </w:num>
  <w:num w:numId="12">
    <w:abstractNumId w:val="14"/>
  </w:num>
  <w:num w:numId="13">
    <w:abstractNumId w:val="26"/>
  </w:num>
  <w:num w:numId="14">
    <w:abstractNumId w:val="19"/>
  </w:num>
  <w:num w:numId="15">
    <w:abstractNumId w:val="10"/>
  </w:num>
  <w:num w:numId="16">
    <w:abstractNumId w:val="15"/>
  </w:num>
  <w:num w:numId="17">
    <w:abstractNumId w:val="29"/>
  </w:num>
  <w:num w:numId="18">
    <w:abstractNumId w:val="21"/>
  </w:num>
  <w:num w:numId="19">
    <w:abstractNumId w:val="20"/>
  </w:num>
  <w:num w:numId="20">
    <w:abstractNumId w:val="2"/>
  </w:num>
  <w:num w:numId="21">
    <w:abstractNumId w:val="7"/>
  </w:num>
  <w:num w:numId="22">
    <w:abstractNumId w:val="13"/>
  </w:num>
  <w:num w:numId="23">
    <w:abstractNumId w:val="22"/>
  </w:num>
  <w:num w:numId="24">
    <w:abstractNumId w:val="31"/>
  </w:num>
  <w:num w:numId="25">
    <w:abstractNumId w:val="12"/>
  </w:num>
  <w:num w:numId="26">
    <w:abstractNumId w:val="23"/>
  </w:num>
  <w:num w:numId="27">
    <w:abstractNumId w:val="24"/>
  </w:num>
  <w:num w:numId="28">
    <w:abstractNumId w:val="18"/>
  </w:num>
  <w:num w:numId="29">
    <w:abstractNumId w:val="17"/>
  </w:num>
  <w:num w:numId="30">
    <w:abstractNumId w:val="11"/>
  </w:num>
  <w:num w:numId="31">
    <w:abstractNumId w:val="28"/>
  </w:num>
  <w:num w:numId="32">
    <w:abstractNumId w:val="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NWMzMDk3YTE3YThhZmUwZGFjZWFkZGM2N2YwNzMifQ=="/>
  </w:docVars>
  <w:rsids>
    <w:rsidRoot w:val="19382203"/>
    <w:rsid w:val="005216AE"/>
    <w:rsid w:val="024D5037"/>
    <w:rsid w:val="02C24BF1"/>
    <w:rsid w:val="03980ED3"/>
    <w:rsid w:val="0735294E"/>
    <w:rsid w:val="0B1827A2"/>
    <w:rsid w:val="104A4BA3"/>
    <w:rsid w:val="11551A52"/>
    <w:rsid w:val="130F35AC"/>
    <w:rsid w:val="142930EA"/>
    <w:rsid w:val="152165B6"/>
    <w:rsid w:val="174F6D4E"/>
    <w:rsid w:val="19382203"/>
    <w:rsid w:val="22FF7A85"/>
    <w:rsid w:val="238639E1"/>
    <w:rsid w:val="252A663B"/>
    <w:rsid w:val="27DD2B2D"/>
    <w:rsid w:val="2855327C"/>
    <w:rsid w:val="28EA7927"/>
    <w:rsid w:val="2D146F20"/>
    <w:rsid w:val="2D3253FC"/>
    <w:rsid w:val="2E6966E5"/>
    <w:rsid w:val="2E8C5F2F"/>
    <w:rsid w:val="301C048A"/>
    <w:rsid w:val="31033C59"/>
    <w:rsid w:val="3535611B"/>
    <w:rsid w:val="363D0B7A"/>
    <w:rsid w:val="394D6873"/>
    <w:rsid w:val="3BDF1D94"/>
    <w:rsid w:val="3DFB5F3F"/>
    <w:rsid w:val="427A45C5"/>
    <w:rsid w:val="450D5CC4"/>
    <w:rsid w:val="46B1432D"/>
    <w:rsid w:val="485B09F4"/>
    <w:rsid w:val="4C294445"/>
    <w:rsid w:val="4CAE1A3B"/>
    <w:rsid w:val="4DA363F8"/>
    <w:rsid w:val="4FC9093A"/>
    <w:rsid w:val="5029093B"/>
    <w:rsid w:val="56CD05B6"/>
    <w:rsid w:val="587372B1"/>
    <w:rsid w:val="5B777C46"/>
    <w:rsid w:val="61626F00"/>
    <w:rsid w:val="65A423C7"/>
    <w:rsid w:val="65B643D5"/>
    <w:rsid w:val="68340BC9"/>
    <w:rsid w:val="692F37E2"/>
    <w:rsid w:val="6ADD6169"/>
    <w:rsid w:val="6E8403C4"/>
    <w:rsid w:val="6F8E5804"/>
    <w:rsid w:val="70C07E25"/>
    <w:rsid w:val="791B12DB"/>
    <w:rsid w:val="79A0138E"/>
    <w:rsid w:val="7B04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numPr>
        <w:ilvl w:val="0"/>
        <w:numId w:val="1"/>
      </w:numPr>
      <w:tabs>
        <w:tab w:val="left" w:pos="720"/>
      </w:tabs>
      <w:adjustRightInd w:val="0"/>
      <w:spacing w:before="340" w:after="330" w:line="578" w:lineRule="atLeast"/>
      <w:jc w:val="left"/>
      <w:textAlignment w:val="baseline"/>
      <w:outlineLvl w:val="0"/>
    </w:pPr>
    <w:rPr>
      <w:b/>
      <w:kern w:val="44"/>
      <w:sz w:val="30"/>
    </w:rPr>
  </w:style>
  <w:style w:type="paragraph" w:styleId="3">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kern w:val="0"/>
      <w:sz w:val="28"/>
    </w:rPr>
  </w:style>
  <w:style w:type="paragraph" w:styleId="4">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 w:val="24"/>
    </w:rPr>
  </w:style>
  <w:style w:type="paragraph" w:styleId="6">
    <w:name w:val="toa heading"/>
    <w:basedOn w:val="1"/>
    <w:next w:val="1"/>
    <w:qFormat/>
    <w:uiPriority w:val="0"/>
    <w:pPr>
      <w:spacing w:before="120"/>
    </w:pPr>
    <w:rPr>
      <w:rFonts w:ascii="Arial" w:hAnsi="Arial"/>
      <w:sz w:val="24"/>
    </w:rPr>
  </w:style>
  <w:style w:type="paragraph" w:styleId="7">
    <w:name w:val="index 6"/>
    <w:basedOn w:val="1"/>
    <w:next w:val="1"/>
    <w:qFormat/>
    <w:uiPriority w:val="0"/>
    <w:pPr>
      <w:ind w:left="2100"/>
    </w:pPr>
  </w:style>
  <w:style w:type="paragraph" w:styleId="8">
    <w:name w:val="Body Text"/>
    <w:basedOn w:val="1"/>
    <w:next w:val="9"/>
    <w:qFormat/>
    <w:uiPriority w:val="0"/>
    <w:rPr>
      <w:sz w:val="24"/>
      <w:szCs w:val="24"/>
    </w:rPr>
  </w:style>
  <w:style w:type="paragraph" w:styleId="9">
    <w:name w:val="Date"/>
    <w:basedOn w:val="1"/>
    <w:next w:val="1"/>
    <w:qFormat/>
    <w:uiPriority w:val="0"/>
    <w:rPr>
      <w:color w:val="000000"/>
      <w:kern w:val="0"/>
      <w:sz w:val="30"/>
    </w:rPr>
  </w:style>
  <w:style w:type="paragraph" w:styleId="10">
    <w:name w:val="Body Text Indent"/>
    <w:basedOn w:val="1"/>
    <w:next w:val="8"/>
    <w:qFormat/>
    <w:uiPriority w:val="0"/>
    <w:pPr>
      <w:spacing w:line="360" w:lineRule="auto"/>
      <w:ind w:firstLine="480" w:firstLineChars="200"/>
    </w:pPr>
    <w:rPr>
      <w:rFonts w:ascii="宋体" w:hAnsi="宋体"/>
      <w:sz w:val="24"/>
      <w:szCs w:val="24"/>
    </w:rPr>
  </w:style>
  <w:style w:type="paragraph" w:styleId="11">
    <w:name w:val="Plain Text"/>
    <w:basedOn w:val="1"/>
    <w:qFormat/>
    <w:uiPriority w:val="0"/>
    <w:rPr>
      <w:rFonts w:ascii="宋体" w:hAnsi="Courier New"/>
      <w:sz w:val="11"/>
    </w:rPr>
  </w:style>
  <w:style w:type="paragraph" w:styleId="12">
    <w:name w:val="footer"/>
    <w:basedOn w:val="1"/>
    <w:qFormat/>
    <w:uiPriority w:val="99"/>
    <w:pPr>
      <w:tabs>
        <w:tab w:val="center" w:pos="4153"/>
        <w:tab w:val="right" w:pos="8306"/>
      </w:tabs>
      <w:snapToGrid w:val="0"/>
      <w:jc w:val="left"/>
    </w:pPr>
    <w:rPr>
      <w:sz w:val="18"/>
    </w:rPr>
  </w:style>
  <w:style w:type="paragraph" w:styleId="13">
    <w:name w:val="toc 1"/>
    <w:basedOn w:val="1"/>
    <w:next w:val="1"/>
    <w:qFormat/>
    <w:uiPriority w:val="39"/>
    <w:pPr>
      <w:spacing w:before="120" w:after="120" w:line="360" w:lineRule="auto"/>
      <w:ind w:firstLine="200" w:firstLineChars="200"/>
      <w:jc w:val="left"/>
    </w:pPr>
    <w:rPr>
      <w:b/>
      <w:bCs/>
      <w:caps/>
      <w:sz w:val="20"/>
    </w:rPr>
  </w:style>
  <w:style w:type="paragraph" w:styleId="14">
    <w:name w:val="footnote text"/>
    <w:basedOn w:val="1"/>
    <w:unhideWhenUsed/>
    <w:qFormat/>
    <w:uiPriority w:val="99"/>
    <w:pPr>
      <w:snapToGrid w:val="0"/>
      <w:jc w:val="left"/>
    </w:pPr>
    <w:rPr>
      <w:sz w:val="18"/>
      <w:szCs w:val="18"/>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toc 2"/>
    <w:basedOn w:val="1"/>
    <w:next w:val="1"/>
    <w:qFormat/>
    <w:uiPriority w:val="0"/>
    <w:pPr>
      <w:ind w:left="100" w:leftChars="100"/>
      <w:jc w:val="left"/>
    </w:pPr>
    <w:rPr>
      <w:rFonts w:ascii="Arial" w:hAnsi="Arial"/>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qFormat/>
    <w:uiPriority w:val="0"/>
    <w:pPr>
      <w:spacing w:before="240" w:after="60"/>
      <w:ind w:left="425" w:hanging="425"/>
      <w:jc w:val="center"/>
      <w:outlineLvl w:val="0"/>
    </w:pPr>
    <w:rPr>
      <w:rFonts w:ascii="Arial" w:hAnsi="Arial" w:cs="Arial"/>
      <w:b/>
      <w:bCs/>
      <w:sz w:val="32"/>
      <w:szCs w:val="32"/>
    </w:rPr>
  </w:style>
  <w:style w:type="paragraph" w:styleId="20">
    <w:name w:val="Body Text First Indent"/>
    <w:basedOn w:val="8"/>
    <w:qFormat/>
    <w:uiPriority w:val="99"/>
    <w:pPr>
      <w:spacing w:after="120"/>
      <w:ind w:firstLine="420" w:firstLineChars="100"/>
      <w:jc w:val="both"/>
    </w:pPr>
    <w:rPr>
      <w:sz w:val="21"/>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3）三级标题 与下段同页"/>
    <w:basedOn w:val="1"/>
    <w:qFormat/>
    <w:uiPriority w:val="0"/>
    <w:pPr>
      <w:keepNext/>
      <w:spacing w:before="156" w:beforeLines="50" w:beforeAutospacing="0" w:after="156" w:afterLines="50" w:afterAutospacing="0"/>
      <w:jc w:val="center"/>
      <w:outlineLvl w:val="2"/>
    </w:pPr>
    <w:rPr>
      <w:rFonts w:ascii="仿宋_GB2312" w:eastAsia="仿宋_GB2312"/>
      <w:b/>
      <w:sz w:val="32"/>
    </w:rPr>
  </w:style>
  <w:style w:type="paragraph" w:customStyle="1" w:styleId="27">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9">
    <w:name w:val="Table Text"/>
    <w:basedOn w:val="1"/>
    <w:semiHidden/>
    <w:qFormat/>
    <w:uiPriority w:val="0"/>
    <w:rPr>
      <w:rFonts w:ascii="仿宋" w:hAnsi="仿宋" w:eastAsia="仿宋" w:cs="仿宋"/>
      <w:sz w:val="23"/>
      <w:szCs w:val="23"/>
      <w:lang w:val="en-US" w:eastAsia="en-US" w:bidi="ar-SA"/>
    </w:rPr>
  </w:style>
  <w:style w:type="paragraph" w:customStyle="1" w:styleId="30">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character" w:customStyle="1" w:styleId="31">
    <w:name w:val="font01"/>
    <w:basedOn w:val="23"/>
    <w:qFormat/>
    <w:uiPriority w:val="0"/>
    <w:rPr>
      <w:rFonts w:hint="eastAsia" w:ascii="宋体" w:hAnsi="宋体" w:eastAsia="宋体" w:cs="宋体"/>
      <w:color w:val="000000"/>
      <w:sz w:val="22"/>
      <w:szCs w:val="22"/>
      <w:u w:val="none"/>
    </w:rPr>
  </w:style>
  <w:style w:type="character" w:customStyle="1" w:styleId="32">
    <w:name w:val="font11"/>
    <w:basedOn w:val="23"/>
    <w:qFormat/>
    <w:uiPriority w:val="0"/>
    <w:rPr>
      <w:rFonts w:hint="default" w:ascii="Wingdings" w:hAnsi="Wingdings" w:cs="Wingdings"/>
      <w:color w:val="000000"/>
      <w:sz w:val="20"/>
      <w:szCs w:val="20"/>
    </w:rPr>
  </w:style>
  <w:style w:type="character" w:customStyle="1" w:styleId="33">
    <w:name w:val="font51"/>
    <w:basedOn w:val="23"/>
    <w:qFormat/>
    <w:uiPriority w:val="0"/>
    <w:rPr>
      <w:rFonts w:hint="default" w:ascii="仿宋_GB2312" w:eastAsia="仿宋_GB2312" w:cs="仿宋_GB2312"/>
      <w:color w:val="000000"/>
      <w:sz w:val="21"/>
      <w:szCs w:val="21"/>
      <w:u w:val="none"/>
    </w:rPr>
  </w:style>
  <w:style w:type="character" w:customStyle="1" w:styleId="34">
    <w:name w:val="font81"/>
    <w:basedOn w:val="23"/>
    <w:qFormat/>
    <w:uiPriority w:val="0"/>
    <w:rPr>
      <w:rFonts w:ascii="Symbol" w:hAnsi="Symbol" w:cs="Symbol"/>
      <w:color w:val="000000"/>
      <w:sz w:val="22"/>
      <w:szCs w:val="22"/>
      <w:u w:val="none"/>
    </w:rPr>
  </w:style>
  <w:style w:type="character" w:customStyle="1" w:styleId="35">
    <w:name w:val="font91"/>
    <w:basedOn w:val="23"/>
    <w:qFormat/>
    <w:uiPriority w:val="0"/>
    <w:rPr>
      <w:rFonts w:hint="default" w:ascii="Symbol" w:hAnsi="Symbol" w:cs="Symbol"/>
      <w:color w:val="000000"/>
      <w:sz w:val="22"/>
      <w:szCs w:val="22"/>
      <w:u w:val="none"/>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7">
    <w:name w:val="标题 1 Char"/>
    <w:link w:val="2"/>
    <w:qFormat/>
    <w:uiPriority w:val="9"/>
    <w:rPr>
      <w:b/>
      <w:kern w:val="44"/>
      <w:sz w:val="30"/>
    </w:rPr>
  </w:style>
  <w:style w:type="paragraph" w:customStyle="1" w:styleId="38">
    <w:name w:val="中等深浅网格 21"/>
    <w:qFormat/>
    <w:uiPriority w:val="0"/>
    <w:rPr>
      <w:rFonts w:ascii="Calibri" w:hAnsi="Calibri" w:eastAsia="宋体" w:cs="Times New Roman"/>
      <w:sz w:val="22"/>
      <w:szCs w:val="22"/>
      <w:lang w:val="en-US" w:eastAsia="zh-CN" w:bidi="ar-SA"/>
    </w:rPr>
  </w:style>
  <w:style w:type="paragraph" w:styleId="39">
    <w:name w:val="List Paragraph"/>
    <w:basedOn w:val="1"/>
    <w:qFormat/>
    <w:uiPriority w:val="99"/>
    <w:pPr>
      <w:ind w:firstLine="420" w:firstLineChars="200"/>
    </w:p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正文文本1"/>
    <w:basedOn w:val="1"/>
    <w:qFormat/>
    <w:uiPriority w:val="0"/>
    <w:pPr>
      <w:widowControl w:val="0"/>
      <w:shd w:val="clear" w:color="auto" w:fill="FFFFFF"/>
      <w:spacing w:line="391" w:lineRule="auto"/>
    </w:pPr>
    <w:rPr>
      <w:rFonts w:ascii="宋体" w:hAnsi="宋体" w:eastAsia="宋体" w:cs="宋体"/>
      <w:sz w:val="40"/>
      <w:szCs w:val="40"/>
      <w:u w:val="none"/>
      <w:lang w:val="zh-CN" w:eastAsia="zh-CN" w:bidi="zh-CN"/>
    </w:rPr>
  </w:style>
  <w:style w:type="paragraph" w:customStyle="1" w:styleId="42">
    <w:name w:val="paragraph"/>
    <w:basedOn w:val="1"/>
    <w:qFormat/>
    <w:uiPriority w:val="0"/>
    <w:pPr>
      <w:widowControl/>
      <w:snapToGrid/>
      <w:spacing w:before="100" w:beforeAutospacing="1" w:after="100" w:afterAutospacing="1" w:line="240" w:lineRule="auto"/>
    </w:pPr>
    <w:rPr>
      <w:rFonts w:ascii="宋体" w:hAnsi="宋体" w:eastAsia="宋体" w:cs="宋体"/>
      <w:color w:val="auto"/>
      <w:kern w:val="0"/>
      <w:sz w:val="24"/>
      <w:szCs w:val="24"/>
    </w:rPr>
  </w:style>
  <w:style w:type="paragraph" w:customStyle="1" w:styleId="43">
    <w:name w:val="Body text|1"/>
    <w:basedOn w:val="1"/>
    <w:qFormat/>
    <w:uiPriority w:val="0"/>
    <w:pPr>
      <w:widowControl w:val="0"/>
      <w:shd w:val="clear" w:color="auto" w:fill="auto"/>
      <w:spacing w:after="160"/>
    </w:pPr>
    <w:rPr>
      <w:rFonts w:ascii="宋体" w:hAnsi="宋体" w:eastAsia="宋体" w:cs="宋体"/>
      <w:u w:val="none"/>
      <w:shd w:val="clear" w:color="auto" w:fill="auto"/>
      <w:lang w:val="zh-TW" w:eastAsia="zh-TW" w:bidi="zh-TW"/>
    </w:rPr>
  </w:style>
  <w:style w:type="paragraph" w:customStyle="1" w:styleId="44">
    <w:name w:val="Body text|2"/>
    <w:basedOn w:val="1"/>
    <w:qFormat/>
    <w:uiPriority w:val="0"/>
    <w:pPr>
      <w:widowControl w:val="0"/>
      <w:shd w:val="clear" w:color="auto" w:fill="auto"/>
      <w:spacing w:after="160"/>
    </w:pPr>
    <w:rPr>
      <w:u w:val="none"/>
      <w:shd w:val="clear" w:color="auto" w:fill="auto"/>
      <w:lang w:val="zh-TW" w:eastAsia="zh-TW" w:bidi="zh-TW"/>
    </w:rPr>
  </w:style>
  <w:style w:type="character" w:customStyle="1" w:styleId="45">
    <w:name w:val="NormalCharacter"/>
    <w:qFormat/>
    <w:uiPriority w:val="0"/>
    <w:rPr>
      <w:rFonts w:ascii="Times New Roman" w:hAnsi="Times New Roman" w:eastAsia="宋体" w:cs="Times New Roman"/>
    </w:rPr>
  </w:style>
  <w:style w:type="paragraph" w:customStyle="1" w:styleId="46">
    <w:name w:val="UserStyle_0"/>
    <w:qFormat/>
    <w:uiPriority w:val="0"/>
    <w:pPr>
      <w:jc w:val="both"/>
      <w:textAlignment w:val="baseline"/>
    </w:pPr>
    <w:rPr>
      <w:rFonts w:ascii="宋体" w:hAnsi="宋体" w:eastAsia="宋体" w:cs="Times New Roman"/>
      <w:kern w:val="2"/>
      <w:sz w:val="21"/>
      <w:szCs w:val="21"/>
      <w:lang w:val="en-US" w:eastAsia="zh-CN" w:bidi="ar-SA"/>
    </w:rPr>
  </w:style>
  <w:style w:type="paragraph" w:customStyle="1" w:styleId="47">
    <w:name w:val="_Style 1"/>
    <w:basedOn w:val="1"/>
    <w:qFormat/>
    <w:uiPriority w:val="34"/>
    <w:pPr>
      <w:ind w:firstLine="420" w:firstLineChars="200"/>
    </w:p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63598</Words>
  <Characters>70050</Characters>
  <Lines>0</Lines>
  <Paragraphs>0</Paragraphs>
  <TotalTime>0</TotalTime>
  <ScaleCrop>false</ScaleCrop>
  <LinksUpToDate>false</LinksUpToDate>
  <CharactersWithSpaces>73712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2024-07-26T09:54:00Z</dcterms:created>
  <dc:creator>贺</dc:creator>
  <cp:lastModifiedBy>贺</cp:lastModifiedBy>
  <dcterms:modified xsi:type="dcterms:W3CDTF">2024-09-13T13:08:50Z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52861A3FDF864FDFB3A9D2D9137A8C4D_13</vt:lpwstr>
  </property>
</Properties>
</file>