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54781"/>
    <w:p w14:paraId="7DE67DBC">
      <w:pPr>
        <w:jc w:val="center"/>
        <w:rPr>
          <w:b/>
          <w:sz w:val="84"/>
          <w:szCs w:val="84"/>
        </w:rPr>
      </w:pPr>
    </w:p>
    <w:p w14:paraId="65C88F50">
      <w:pPr>
        <w:jc w:val="center"/>
        <w:rPr>
          <w:b/>
          <w:sz w:val="84"/>
          <w:szCs w:val="84"/>
        </w:rPr>
      </w:pPr>
    </w:p>
    <w:p w14:paraId="27E10D62">
      <w:pPr>
        <w:jc w:val="center"/>
        <w:rPr>
          <w:b/>
          <w:sz w:val="84"/>
          <w:szCs w:val="84"/>
        </w:rPr>
      </w:pPr>
    </w:p>
    <w:p w14:paraId="52211FF5">
      <w:pPr>
        <w:jc w:val="center"/>
        <w:rPr>
          <w:b/>
          <w:sz w:val="120"/>
          <w:szCs w:val="120"/>
        </w:rPr>
      </w:pPr>
      <w:r>
        <w:rPr>
          <w:rFonts w:hint="eastAsia"/>
          <w:b/>
          <w:sz w:val="120"/>
          <w:szCs w:val="120"/>
        </w:rPr>
        <w:t>政府采购</w:t>
      </w:r>
    </w:p>
    <w:p w14:paraId="0C4C0879">
      <w:pPr>
        <w:jc w:val="center"/>
        <w:rPr>
          <w:b/>
          <w:sz w:val="120"/>
          <w:szCs w:val="120"/>
        </w:rPr>
      </w:pPr>
      <w:r>
        <w:rPr>
          <w:rFonts w:hint="eastAsia"/>
          <w:b/>
          <w:sz w:val="120"/>
          <w:szCs w:val="120"/>
        </w:rPr>
        <w:t>招标文件</w:t>
      </w:r>
    </w:p>
    <w:p w14:paraId="6025C17D"/>
    <w:p w14:paraId="2B8509AF"/>
    <w:p w14:paraId="4B95D988"/>
    <w:p w14:paraId="6CD340FD"/>
    <w:p w14:paraId="7AA3D6CE"/>
    <w:p w14:paraId="479BA41D"/>
    <w:p w14:paraId="74CFD241"/>
    <w:p w14:paraId="11B184CE"/>
    <w:p w14:paraId="34399882"/>
    <w:p w14:paraId="6E1BEE01"/>
    <w:p w14:paraId="7047DB16"/>
    <w:p w14:paraId="6AF89A8A"/>
    <w:p w14:paraId="02E34BD0">
      <w:pPr>
        <w:jc w:val="center"/>
        <w:rPr>
          <w:rFonts w:hint="eastAsia" w:eastAsia="宋体"/>
          <w:b/>
          <w:sz w:val="44"/>
          <w:szCs w:val="44"/>
          <w:lang w:eastAsia="zh-CN"/>
        </w:rPr>
      </w:pPr>
      <w:r>
        <w:rPr>
          <w:rFonts w:hint="eastAsia" w:eastAsia="宋体"/>
          <w:b/>
          <w:sz w:val="44"/>
          <w:szCs w:val="44"/>
          <w:lang w:eastAsia="zh-CN"/>
        </w:rPr>
        <w:t>喀什市招投标中心</w:t>
      </w:r>
    </w:p>
    <w:p w14:paraId="580E9A4E">
      <w:pPr>
        <w:rPr>
          <w:rFonts w:ascii="宋体" w:hAnsi="宋体" w:eastAsia="黑体"/>
          <w:b/>
          <w:bCs/>
          <w:color w:val="0000FF"/>
          <w:kern w:val="44"/>
          <w:sz w:val="36"/>
          <w:szCs w:val="44"/>
        </w:rPr>
      </w:pPr>
      <w:r>
        <w:br w:type="page"/>
      </w:r>
    </w:p>
    <w:p w14:paraId="56BDF210">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3DBDCAC8">
      <w:pPr>
        <w:outlineLvl w:val="0"/>
        <w:rPr>
          <w:b/>
        </w:rPr>
      </w:pPr>
      <w:r>
        <w:rPr>
          <w:rFonts w:hint="eastAsia"/>
          <w:b/>
        </w:rPr>
        <w:t>第一册专用条款</w:t>
      </w:r>
    </w:p>
    <w:p w14:paraId="55E3BC76">
      <w:pPr>
        <w:rPr>
          <w:b/>
        </w:rPr>
      </w:pPr>
      <w:r>
        <w:rPr>
          <w:rFonts w:hint="eastAsia"/>
          <w:b/>
        </w:rPr>
        <w:tab/>
      </w:r>
      <w:r>
        <w:rPr>
          <w:rFonts w:hint="eastAsia"/>
          <w:b/>
        </w:rPr>
        <w:t>关键信息</w:t>
      </w:r>
    </w:p>
    <w:p w14:paraId="691E273B">
      <w:pPr>
        <w:ind w:left="720" w:leftChars="300" w:firstLine="470" w:firstLineChars="196"/>
        <w:rPr>
          <w:rFonts w:ascii="宋体" w:hAnsi="宋体"/>
          <w:szCs w:val="21"/>
        </w:rPr>
      </w:pPr>
      <w:r>
        <w:rPr>
          <w:rFonts w:hint="eastAsia" w:ascii="宋体" w:hAnsi="宋体"/>
          <w:szCs w:val="21"/>
        </w:rPr>
        <w:t>第一章  招标公告</w:t>
      </w:r>
    </w:p>
    <w:p w14:paraId="552B72D2">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1A7B4725">
      <w:pPr>
        <w:ind w:left="720" w:leftChars="300" w:firstLine="470" w:firstLineChars="196"/>
        <w:rPr>
          <w:rFonts w:ascii="宋体" w:hAnsi="宋体"/>
          <w:szCs w:val="21"/>
        </w:rPr>
      </w:pPr>
      <w:r>
        <w:rPr>
          <w:rFonts w:hint="eastAsia" w:ascii="宋体" w:hAnsi="宋体"/>
          <w:szCs w:val="21"/>
        </w:rPr>
        <w:t>第三章 用户需求书</w:t>
      </w:r>
    </w:p>
    <w:p w14:paraId="33F848CF">
      <w:pPr>
        <w:ind w:left="720" w:leftChars="300" w:firstLine="470" w:firstLineChars="196"/>
        <w:rPr>
          <w:rFonts w:ascii="宋体" w:hAnsi="宋体"/>
          <w:szCs w:val="21"/>
        </w:rPr>
      </w:pPr>
      <w:r>
        <w:rPr>
          <w:rFonts w:hint="eastAsia" w:ascii="宋体" w:hAnsi="宋体"/>
          <w:szCs w:val="21"/>
        </w:rPr>
        <w:t>第四章 投标文件组成要求及格式</w:t>
      </w:r>
    </w:p>
    <w:p w14:paraId="367348A0">
      <w:pPr>
        <w:ind w:left="720" w:leftChars="300" w:firstLine="470" w:firstLineChars="196"/>
        <w:rPr>
          <w:rFonts w:ascii="宋体" w:hAnsi="宋体"/>
          <w:szCs w:val="21"/>
        </w:rPr>
      </w:pPr>
      <w:r>
        <w:rPr>
          <w:rFonts w:hint="eastAsia" w:ascii="宋体" w:hAnsi="宋体"/>
          <w:szCs w:val="21"/>
        </w:rPr>
        <w:t>第五章  合同条款及格式</w:t>
      </w:r>
    </w:p>
    <w:p w14:paraId="54D1824C">
      <w:pPr>
        <w:rPr>
          <w:b/>
        </w:rPr>
      </w:pPr>
    </w:p>
    <w:p w14:paraId="39B20B20">
      <w:pPr>
        <w:outlineLvl w:val="0"/>
        <w:rPr>
          <w:b/>
        </w:rPr>
      </w:pPr>
      <w:r>
        <w:rPr>
          <w:rFonts w:hint="eastAsia"/>
          <w:b/>
        </w:rPr>
        <w:t>第二册通用条款</w:t>
      </w:r>
    </w:p>
    <w:p w14:paraId="6191533E">
      <w:pPr>
        <w:ind w:left="720" w:leftChars="300" w:firstLine="470" w:firstLineChars="196"/>
        <w:rPr>
          <w:rFonts w:ascii="宋体" w:hAnsi="宋体"/>
          <w:szCs w:val="21"/>
        </w:rPr>
      </w:pPr>
      <w:r>
        <w:rPr>
          <w:rFonts w:hint="eastAsia" w:ascii="宋体" w:hAnsi="宋体"/>
          <w:szCs w:val="21"/>
        </w:rPr>
        <w:t>第一章  总则</w:t>
      </w:r>
    </w:p>
    <w:p w14:paraId="0AC3CBCB">
      <w:pPr>
        <w:ind w:left="720" w:leftChars="300" w:firstLine="470" w:firstLineChars="196"/>
        <w:rPr>
          <w:rFonts w:ascii="宋体" w:hAnsi="宋体"/>
          <w:szCs w:val="21"/>
        </w:rPr>
      </w:pPr>
      <w:r>
        <w:rPr>
          <w:rFonts w:hint="eastAsia" w:ascii="宋体" w:hAnsi="宋体"/>
          <w:szCs w:val="21"/>
        </w:rPr>
        <w:t>第二章  招标文件</w:t>
      </w:r>
    </w:p>
    <w:p w14:paraId="1E920DB1">
      <w:pPr>
        <w:ind w:left="720" w:leftChars="300" w:firstLine="470" w:firstLineChars="196"/>
        <w:rPr>
          <w:rFonts w:ascii="宋体" w:hAnsi="宋体"/>
          <w:szCs w:val="21"/>
        </w:rPr>
      </w:pPr>
      <w:r>
        <w:rPr>
          <w:rFonts w:hint="eastAsia" w:ascii="宋体" w:hAnsi="宋体"/>
          <w:szCs w:val="21"/>
        </w:rPr>
        <w:t>第三章  投标文件的编制</w:t>
      </w:r>
    </w:p>
    <w:p w14:paraId="4F688848">
      <w:pPr>
        <w:ind w:left="720" w:leftChars="300" w:firstLine="470" w:firstLineChars="196"/>
        <w:rPr>
          <w:rFonts w:ascii="宋体" w:hAnsi="宋体"/>
          <w:szCs w:val="21"/>
        </w:rPr>
      </w:pPr>
      <w:r>
        <w:rPr>
          <w:rFonts w:hint="eastAsia" w:ascii="宋体" w:hAnsi="宋体"/>
          <w:szCs w:val="21"/>
        </w:rPr>
        <w:t>第四章  投标文件的递交</w:t>
      </w:r>
    </w:p>
    <w:p w14:paraId="413730CD">
      <w:pPr>
        <w:ind w:left="720" w:leftChars="300" w:firstLine="470" w:firstLineChars="196"/>
        <w:rPr>
          <w:rFonts w:ascii="宋体" w:hAnsi="宋体"/>
          <w:szCs w:val="21"/>
        </w:rPr>
      </w:pPr>
      <w:r>
        <w:rPr>
          <w:rFonts w:hint="eastAsia" w:ascii="宋体" w:hAnsi="宋体"/>
          <w:szCs w:val="21"/>
        </w:rPr>
        <w:t>第五章  开标</w:t>
      </w:r>
    </w:p>
    <w:p w14:paraId="25690288">
      <w:pPr>
        <w:ind w:left="720" w:leftChars="300" w:firstLine="470" w:firstLineChars="196"/>
        <w:rPr>
          <w:rFonts w:ascii="宋体" w:hAnsi="宋体"/>
          <w:szCs w:val="21"/>
        </w:rPr>
      </w:pPr>
      <w:r>
        <w:rPr>
          <w:rFonts w:hint="eastAsia" w:ascii="宋体" w:hAnsi="宋体"/>
          <w:szCs w:val="21"/>
        </w:rPr>
        <w:t>第六章  评审要求</w:t>
      </w:r>
    </w:p>
    <w:p w14:paraId="0E4DEB3D">
      <w:pPr>
        <w:ind w:left="720" w:leftChars="300" w:firstLine="470" w:firstLineChars="196"/>
        <w:rPr>
          <w:rFonts w:ascii="宋体" w:hAnsi="宋体"/>
          <w:szCs w:val="21"/>
        </w:rPr>
      </w:pPr>
      <w:r>
        <w:rPr>
          <w:rFonts w:hint="eastAsia" w:ascii="宋体" w:hAnsi="宋体"/>
          <w:szCs w:val="21"/>
        </w:rPr>
        <w:t>第七章  评审程序及评审方法</w:t>
      </w:r>
    </w:p>
    <w:p w14:paraId="6BA1C740">
      <w:pPr>
        <w:ind w:left="720" w:leftChars="300" w:firstLine="470" w:firstLineChars="196"/>
        <w:rPr>
          <w:rFonts w:ascii="宋体" w:hAnsi="宋体"/>
          <w:szCs w:val="21"/>
        </w:rPr>
      </w:pPr>
      <w:r>
        <w:rPr>
          <w:rFonts w:hint="eastAsia" w:ascii="宋体" w:hAnsi="宋体"/>
          <w:szCs w:val="21"/>
        </w:rPr>
        <w:t>第八章  定标及公示</w:t>
      </w:r>
    </w:p>
    <w:p w14:paraId="7B74B84E">
      <w:pPr>
        <w:ind w:left="720" w:leftChars="300" w:firstLine="470" w:firstLineChars="196"/>
        <w:rPr>
          <w:rFonts w:ascii="宋体" w:hAnsi="宋体"/>
          <w:szCs w:val="21"/>
        </w:rPr>
      </w:pPr>
      <w:r>
        <w:rPr>
          <w:rFonts w:hint="eastAsia" w:ascii="宋体" w:hAnsi="宋体"/>
          <w:szCs w:val="21"/>
        </w:rPr>
        <w:t>第九章  公开招标失败的后续处理</w:t>
      </w:r>
    </w:p>
    <w:p w14:paraId="7124B26B">
      <w:pPr>
        <w:ind w:left="720" w:leftChars="300" w:firstLine="470" w:firstLineChars="196"/>
        <w:rPr>
          <w:rFonts w:ascii="宋体" w:hAnsi="宋体"/>
          <w:szCs w:val="21"/>
        </w:rPr>
      </w:pPr>
      <w:r>
        <w:rPr>
          <w:rFonts w:hint="eastAsia" w:ascii="宋体" w:hAnsi="宋体"/>
          <w:szCs w:val="21"/>
        </w:rPr>
        <w:t>第十章  合同的授予与备案</w:t>
      </w:r>
    </w:p>
    <w:p w14:paraId="105AF314">
      <w:r>
        <w:rPr>
          <w:rFonts w:hint="eastAsia"/>
        </w:rPr>
        <w:t>第十一章质疑处理</w:t>
      </w:r>
    </w:p>
    <w:p w14:paraId="1B578871"/>
    <w:p w14:paraId="5249EB7F"/>
    <w:p w14:paraId="4BF11056">
      <w:r>
        <w:br w:type="page"/>
      </w:r>
    </w:p>
    <w:p w14:paraId="7FF2657A">
      <w:pPr>
        <w:pStyle w:val="28"/>
        <w:spacing w:after="60"/>
        <w:jc w:val="center"/>
        <w:rPr>
          <w:sz w:val="32"/>
          <w:szCs w:val="32"/>
        </w:rPr>
      </w:pPr>
      <w:r>
        <w:rPr>
          <w:rFonts w:hint="eastAsia"/>
          <w:sz w:val="32"/>
          <w:szCs w:val="32"/>
        </w:rPr>
        <w:t>第一册专用条款</w:t>
      </w:r>
    </w:p>
    <w:p w14:paraId="67878965">
      <w:pPr>
        <w:tabs>
          <w:tab w:val="left" w:pos="2790"/>
        </w:tabs>
        <w:snapToGrid w:val="0"/>
        <w:jc w:val="center"/>
        <w:rPr>
          <w:b/>
        </w:rPr>
      </w:pPr>
      <w:r>
        <w:rPr>
          <w:rFonts w:hint="eastAsia"/>
          <w:b/>
        </w:rPr>
        <w:t>关键信息</w:t>
      </w:r>
    </w:p>
    <w:p w14:paraId="309F8065">
      <w:pPr>
        <w:tabs>
          <w:tab w:val="left" w:pos="2790"/>
        </w:tabs>
        <w:snapToGrid w:val="0"/>
        <w:rPr>
          <w:rFonts w:hint="eastAsia" w:eastAsia="宋体"/>
          <w:lang w:eastAsia="zh-CN"/>
        </w:rPr>
      </w:pPr>
      <w:r>
        <w:t>项目编号：</w:t>
      </w:r>
      <w:r>
        <w:rPr>
          <w:rFonts w:hint="eastAsia" w:eastAsia="宋体"/>
          <w:lang w:eastAsia="zh-CN"/>
        </w:rPr>
        <w:t>KSS(GK)2024-054</w:t>
      </w:r>
    </w:p>
    <w:p w14:paraId="2955942F">
      <w:pPr>
        <w:tabs>
          <w:tab w:val="left" w:pos="2790"/>
        </w:tabs>
        <w:snapToGrid w:val="0"/>
        <w:rPr>
          <w:rFonts w:hint="eastAsia" w:eastAsia="宋体"/>
          <w:lang w:eastAsia="zh-CN"/>
        </w:rPr>
      </w:pPr>
      <w:r>
        <w:t>项目名称：</w:t>
      </w:r>
      <w:r>
        <w:rPr>
          <w:rFonts w:hint="eastAsia" w:ascii="宋体" w:hAnsi="宋体" w:eastAsia="宋体" w:cs="宋体"/>
          <w:lang w:eastAsia="zh-CN"/>
        </w:rPr>
        <w:t>喀什市公安局信息化装备采购项目</w:t>
      </w:r>
    </w:p>
    <w:p w14:paraId="78FD4ABD">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喀什市公安局</w:t>
      </w:r>
    </w:p>
    <w:p w14:paraId="79A25F71">
      <w:pPr>
        <w:tabs>
          <w:tab w:val="left" w:pos="2790"/>
        </w:tabs>
        <w:snapToGrid w:val="0"/>
      </w:pPr>
      <w:r>
        <w:rPr>
          <w:rFonts w:hint="eastAsia"/>
        </w:rPr>
        <w:t>项目类型：货物类</w:t>
      </w:r>
    </w:p>
    <w:p w14:paraId="124C8B28">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1098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50F0CAA2">
            <w:pPr>
              <w:jc w:val="center"/>
              <w:rPr>
                <w:rFonts w:ascii="Calibri" w:hAnsi="Calibri" w:eastAsia="宋体"/>
                <w:b/>
              </w:rPr>
            </w:pPr>
            <w:r>
              <w:rPr>
                <w:rFonts w:hint="eastAsia" w:ascii="Calibri" w:hAnsi="Calibri" w:eastAsia="宋体"/>
                <w:b/>
              </w:rPr>
              <w:t>资格性检查表</w:t>
            </w:r>
          </w:p>
        </w:tc>
      </w:tr>
      <w:tr w14:paraId="45F3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262BAD9">
            <w:pPr>
              <w:rPr>
                <w:rFonts w:ascii="Calibri" w:hAnsi="Calibri" w:eastAsia="宋体"/>
              </w:rPr>
            </w:pPr>
            <w:r>
              <w:rPr>
                <w:rFonts w:ascii="Calibri" w:hAnsi="Calibri" w:eastAsia="宋体"/>
              </w:rPr>
              <w:t>1</w:t>
            </w:r>
          </w:p>
        </w:tc>
        <w:tc>
          <w:tcPr>
            <w:tcW w:w="8229" w:type="dxa"/>
          </w:tcPr>
          <w:p w14:paraId="060BF6B8">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033F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41928AB">
            <w:pPr>
              <w:jc w:val="center"/>
              <w:rPr>
                <w:rFonts w:ascii="Calibri" w:hAnsi="Calibri" w:eastAsia="宋体"/>
                <w:b/>
              </w:rPr>
            </w:pPr>
            <w:r>
              <w:rPr>
                <w:rFonts w:hint="eastAsia" w:ascii="Calibri" w:hAnsi="Calibri" w:eastAsia="宋体"/>
                <w:b/>
              </w:rPr>
              <w:t>符合性检查表</w:t>
            </w:r>
          </w:p>
        </w:tc>
      </w:tr>
      <w:tr w14:paraId="6CA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4C392EC">
            <w:pPr>
              <w:rPr>
                <w:rFonts w:ascii="Calibri" w:hAnsi="Calibri" w:eastAsia="宋体"/>
              </w:rPr>
            </w:pPr>
            <w:r>
              <w:rPr>
                <w:rFonts w:ascii="Calibri" w:hAnsi="Calibri" w:eastAsia="宋体"/>
              </w:rPr>
              <w:t>1</w:t>
            </w:r>
          </w:p>
        </w:tc>
        <w:tc>
          <w:tcPr>
            <w:tcW w:w="8229" w:type="dxa"/>
          </w:tcPr>
          <w:p w14:paraId="2E8A8E34">
            <w:pPr>
              <w:rPr>
                <w:rFonts w:ascii="Calibri" w:hAnsi="Calibri" w:eastAsia="宋体"/>
              </w:rPr>
            </w:pPr>
            <w:r>
              <w:rPr>
                <w:rFonts w:ascii="Calibri" w:hAnsi="Calibri" w:eastAsia="宋体"/>
              </w:rPr>
              <w:t>按要求提供法定代表人证明书及法定代表人授权书。</w:t>
            </w:r>
          </w:p>
        </w:tc>
      </w:tr>
      <w:tr w14:paraId="22C9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8AC1B9C">
            <w:pPr>
              <w:rPr>
                <w:rFonts w:ascii="Calibri" w:hAnsi="Calibri" w:eastAsia="宋体"/>
              </w:rPr>
            </w:pPr>
            <w:r>
              <w:rPr>
                <w:rFonts w:ascii="Calibri" w:hAnsi="Calibri" w:eastAsia="宋体"/>
              </w:rPr>
              <w:t>2</w:t>
            </w:r>
          </w:p>
        </w:tc>
        <w:tc>
          <w:tcPr>
            <w:tcW w:w="8229" w:type="dxa"/>
          </w:tcPr>
          <w:p w14:paraId="3332D44A">
            <w:pPr>
              <w:rPr>
                <w:rFonts w:ascii="Calibri" w:hAnsi="Calibri" w:eastAsia="宋体"/>
              </w:rPr>
            </w:pPr>
            <w:r>
              <w:rPr>
                <w:rFonts w:hint="eastAsia" w:ascii="Calibri" w:hAnsi="Calibri" w:eastAsia="宋体"/>
                <w:lang w:eastAsia="zh-CN"/>
              </w:rPr>
              <w:t>按要求提供《投标函》和《平台对接承诺函》</w:t>
            </w:r>
            <w:r>
              <w:rPr>
                <w:rFonts w:ascii="Calibri" w:hAnsi="Calibri" w:eastAsia="宋体"/>
              </w:rPr>
              <w:t>。</w:t>
            </w:r>
          </w:p>
        </w:tc>
      </w:tr>
      <w:tr w14:paraId="7988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E09BB7E">
            <w:pPr>
              <w:rPr>
                <w:rFonts w:ascii="Calibri" w:hAnsi="Calibri" w:eastAsia="宋体"/>
              </w:rPr>
            </w:pPr>
            <w:r>
              <w:rPr>
                <w:rFonts w:ascii="Calibri" w:hAnsi="Calibri" w:eastAsia="宋体"/>
              </w:rPr>
              <w:t>3</w:t>
            </w:r>
          </w:p>
        </w:tc>
        <w:tc>
          <w:tcPr>
            <w:tcW w:w="8229" w:type="dxa"/>
          </w:tcPr>
          <w:p w14:paraId="07C8F26D">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97B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2105C4C">
            <w:pPr>
              <w:rPr>
                <w:rFonts w:ascii="Calibri" w:hAnsi="Calibri" w:eastAsia="宋体"/>
              </w:rPr>
            </w:pPr>
            <w:r>
              <w:rPr>
                <w:rFonts w:ascii="Calibri" w:hAnsi="Calibri" w:eastAsia="宋体"/>
              </w:rPr>
              <w:t>4</w:t>
            </w:r>
          </w:p>
        </w:tc>
        <w:tc>
          <w:tcPr>
            <w:tcW w:w="8229" w:type="dxa"/>
          </w:tcPr>
          <w:p w14:paraId="06E5C52E">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0C0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985E07">
            <w:pPr>
              <w:rPr>
                <w:rFonts w:ascii="Calibri" w:hAnsi="Calibri" w:eastAsia="宋体"/>
              </w:rPr>
            </w:pPr>
            <w:r>
              <w:rPr>
                <w:rFonts w:ascii="Calibri" w:hAnsi="Calibri" w:eastAsia="宋体"/>
              </w:rPr>
              <w:t>5</w:t>
            </w:r>
          </w:p>
        </w:tc>
        <w:tc>
          <w:tcPr>
            <w:tcW w:w="8229" w:type="dxa"/>
          </w:tcPr>
          <w:p w14:paraId="712B88A3">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7F24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F9D06">
            <w:pPr>
              <w:rPr>
                <w:rFonts w:ascii="Calibri" w:hAnsi="Calibri" w:eastAsia="宋体"/>
              </w:rPr>
            </w:pPr>
            <w:r>
              <w:rPr>
                <w:rFonts w:ascii="Calibri" w:hAnsi="Calibri" w:eastAsia="宋体"/>
              </w:rPr>
              <w:t>6</w:t>
            </w:r>
          </w:p>
        </w:tc>
        <w:tc>
          <w:tcPr>
            <w:tcW w:w="8229" w:type="dxa"/>
          </w:tcPr>
          <w:p w14:paraId="5C7A68C4">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0C1C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7772308">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1A0D0E67">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6498B0D5">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3E8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6AED87A">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370941A1">
            <w:pPr>
              <w:rPr>
                <w:rFonts w:ascii="Calibri" w:hAnsi="Calibri" w:eastAsia="宋体"/>
              </w:rPr>
            </w:pPr>
            <w:r>
              <w:rPr>
                <w:rFonts w:hint="eastAsia" w:ascii="Calibri" w:hAnsi="Calibri" w:eastAsia="宋体"/>
              </w:rPr>
              <w:t>投标文件电子文档不得携带病毒。</w:t>
            </w:r>
          </w:p>
        </w:tc>
      </w:tr>
      <w:tr w14:paraId="5DA1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1ACC4AE">
            <w:pPr>
              <w:rPr>
                <w:rFonts w:ascii="Calibri" w:hAnsi="Calibri" w:eastAsia="宋体"/>
              </w:rPr>
            </w:pPr>
            <w:r>
              <w:rPr>
                <w:rFonts w:ascii="Calibri" w:hAnsi="Calibri" w:eastAsia="宋体"/>
              </w:rPr>
              <w:t>9</w:t>
            </w:r>
          </w:p>
        </w:tc>
        <w:tc>
          <w:tcPr>
            <w:tcW w:w="8229" w:type="dxa"/>
          </w:tcPr>
          <w:p w14:paraId="018CC63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4391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74E14AAC">
            <w:pPr>
              <w:rPr>
                <w:rFonts w:ascii="Calibri" w:hAnsi="Calibri" w:eastAsia="宋体"/>
              </w:rPr>
            </w:pPr>
            <w:r>
              <w:rPr>
                <w:rFonts w:ascii="Calibri" w:hAnsi="Calibri" w:eastAsia="宋体"/>
              </w:rPr>
              <w:t>10</w:t>
            </w:r>
          </w:p>
        </w:tc>
        <w:tc>
          <w:tcPr>
            <w:tcW w:w="8229" w:type="dxa"/>
          </w:tcPr>
          <w:p w14:paraId="5A1E3066">
            <w:pPr>
              <w:rPr>
                <w:rFonts w:ascii="Calibri" w:hAnsi="Calibri" w:eastAsia="宋体"/>
              </w:rPr>
            </w:pPr>
            <w:r>
              <w:rPr>
                <w:rFonts w:ascii="Calibri" w:hAnsi="Calibri" w:eastAsia="宋体"/>
              </w:rPr>
              <w:t>无招标文件中列明导致投标无效的其他因素。</w:t>
            </w:r>
          </w:p>
        </w:tc>
      </w:tr>
      <w:tr w14:paraId="3ACB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70F01360">
            <w:pPr>
              <w:rPr>
                <w:rFonts w:ascii="Calibri" w:hAnsi="Calibri" w:eastAsia="宋体"/>
              </w:rPr>
            </w:pPr>
            <w:r>
              <w:rPr>
                <w:rFonts w:ascii="Calibri" w:hAnsi="Calibri" w:eastAsia="宋体"/>
              </w:rPr>
              <w:t>11</w:t>
            </w:r>
          </w:p>
        </w:tc>
        <w:tc>
          <w:tcPr>
            <w:tcW w:w="8229" w:type="dxa"/>
          </w:tcPr>
          <w:p w14:paraId="585678C4">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17F20459">
      <w:pPr>
        <w:jc w:val="center"/>
        <w:rPr>
          <w:b/>
        </w:rPr>
      </w:pPr>
      <w:r>
        <w:rPr>
          <w:rFonts w:hint="eastAsia"/>
          <w:b/>
        </w:rPr>
        <w:t>评标信息</w:t>
      </w:r>
    </w:p>
    <w:p w14:paraId="0705E014">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4F5C7B65">
      <w:pPr>
        <w:pStyle w:val="17"/>
        <w:snapToGrid w:val="0"/>
        <w:spacing w:before="0" w:beforeAutospacing="0" w:afterAutospacing="0"/>
        <w:ind w:firstLine="420"/>
        <w:rPr>
          <w:sz w:val="21"/>
          <w:szCs w:val="21"/>
        </w:rPr>
      </w:pPr>
      <w:r>
        <w:rPr>
          <w:sz w:val="21"/>
          <w:szCs w:val="21"/>
        </w:rPr>
        <w:t>价格分计算方法：</w:t>
      </w:r>
    </w:p>
    <w:p w14:paraId="45258F0D">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3A6F7D97">
      <w:pPr>
        <w:snapToGrid w:val="0"/>
        <w:rPr>
          <w:rFonts w:hint="eastAsia" w:eastAsia="宋体"/>
          <w:szCs w:val="21"/>
          <w:lang w:eastAsia="zh-CN"/>
        </w:rPr>
      </w:pPr>
      <w:r>
        <w:rPr>
          <w:szCs w:val="21"/>
        </w:rPr>
        <w:t xml:space="preserve">投标报价得分=(评标基准价／投标报价)×100 </w:t>
      </w:r>
    </w:p>
    <w:p w14:paraId="12E3AC36">
      <w:pPr>
        <w:snapToGrid w:val="0"/>
        <w:rPr>
          <w:rFonts w:hint="eastAsia" w:eastAsia="宋体"/>
          <w:szCs w:val="21"/>
          <w:lang w:eastAsia="zh-CN"/>
        </w:rPr>
      </w:pPr>
      <w:r>
        <w:rPr>
          <w:szCs w:val="21"/>
        </w:rPr>
        <w:t xml:space="preserve">评标总得分＝F1×A1＋F2×A2＋……＋Fn×An </w:t>
      </w:r>
    </w:p>
    <w:p w14:paraId="420231D5">
      <w:pPr>
        <w:snapToGrid w:val="0"/>
        <w:rPr>
          <w:rFonts w:hint="eastAsia" w:eastAsia="宋体"/>
          <w:szCs w:val="21"/>
          <w:lang w:eastAsia="zh-CN"/>
        </w:rPr>
      </w:pPr>
      <w:r>
        <w:rPr>
          <w:szCs w:val="21"/>
        </w:rPr>
        <w:t>F1、F2……Fn分别为各项评审因素的得分；</w:t>
      </w:r>
    </w:p>
    <w:p w14:paraId="1BB69852">
      <w:pPr>
        <w:snapToGrid w:val="0"/>
        <w:rPr>
          <w:rFonts w:hint="eastAsia" w:eastAsia="宋体"/>
          <w:szCs w:val="21"/>
          <w:lang w:eastAsia="zh-CN"/>
        </w:rPr>
      </w:pPr>
      <w:r>
        <w:rPr>
          <w:szCs w:val="21"/>
        </w:rPr>
        <w:t>A1、A2、……An 分别为各项评审因素所占的权重(A1＋A2＋……＋An＝1)。</w:t>
      </w:r>
    </w:p>
    <w:p w14:paraId="528F997E">
      <w:pPr>
        <w:snapToGrid w:val="0"/>
        <w:rPr>
          <w:rFonts w:hint="eastAsia" w:eastAsia="宋体"/>
          <w:szCs w:val="21"/>
          <w:lang w:eastAsia="zh-CN"/>
        </w:rPr>
      </w:pPr>
      <w:r>
        <w:rPr>
          <w:szCs w:val="21"/>
        </w:rPr>
        <w:t>评标过程中，不得去掉报价中的最高报价和最低报价。</w:t>
      </w:r>
    </w:p>
    <w:p w14:paraId="03E1B9A4">
      <w:pPr>
        <w:snapToGrid w:val="0"/>
      </w:pPr>
      <w:r>
        <w:rPr>
          <w:szCs w:val="21"/>
        </w:rPr>
        <w:t>此方法适用于货物类、服务类、工程类项目。</w:t>
      </w:r>
    </w:p>
    <w:p w14:paraId="521C6EB4">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tbl>
      <w:tblPr>
        <w:tblStyle w:val="20"/>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000"/>
        <w:gridCol w:w="6700"/>
        <w:gridCol w:w="1220"/>
      </w:tblGrid>
      <w:tr w14:paraId="4563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060" w:type="dxa"/>
            <w:gridSpan w:val="4"/>
            <w:shd w:val="clear" w:color="000000" w:fill="FFFF00"/>
            <w:noWrap/>
            <w:vAlign w:val="center"/>
          </w:tcPr>
          <w:p w14:paraId="39453B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评分建议</w:t>
            </w:r>
          </w:p>
        </w:tc>
      </w:tr>
      <w:tr w14:paraId="69B1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40" w:type="dxa"/>
            <w:gridSpan w:val="2"/>
            <w:shd w:val="clear" w:color="auto" w:fill="auto"/>
            <w:vAlign w:val="center"/>
          </w:tcPr>
          <w:p w14:paraId="585AB73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考核项目</w:t>
            </w:r>
          </w:p>
        </w:tc>
        <w:tc>
          <w:tcPr>
            <w:tcW w:w="6700" w:type="dxa"/>
            <w:shd w:val="clear" w:color="auto" w:fill="auto"/>
            <w:vAlign w:val="center"/>
          </w:tcPr>
          <w:p w14:paraId="541A1820">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评分标准</w:t>
            </w:r>
          </w:p>
        </w:tc>
        <w:tc>
          <w:tcPr>
            <w:tcW w:w="1220" w:type="dxa"/>
            <w:shd w:val="clear" w:color="auto" w:fill="auto"/>
            <w:vAlign w:val="center"/>
          </w:tcPr>
          <w:p w14:paraId="607195B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w:t>
            </w:r>
          </w:p>
        </w:tc>
      </w:tr>
      <w:tr w14:paraId="7E9B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40" w:type="dxa"/>
            <w:shd w:val="clear" w:color="auto" w:fill="auto"/>
            <w:vAlign w:val="center"/>
          </w:tcPr>
          <w:p w14:paraId="7648F5D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分（40 分）</w:t>
            </w:r>
          </w:p>
        </w:tc>
        <w:tc>
          <w:tcPr>
            <w:tcW w:w="7700" w:type="dxa"/>
            <w:gridSpan w:val="2"/>
            <w:shd w:val="clear" w:color="auto" w:fill="auto"/>
            <w:vAlign w:val="center"/>
          </w:tcPr>
          <w:p w14:paraId="2EBD03C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各供应商的价格得分的计算公式：采用低价优先法计算，即满足招标文件要求且投标价 格最低的投标报价为评标基准价，其价格分为满分。其他投标人的价格分统一按照下列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公式计算：投标报价得分=(评标基准价／投标报价)×价格权值×100；计算分数时四舍 五入取小数点后两位,分数最高不超过 40 分。由监标人员负责核准每个合格供应商的价 格得分。（备注：对满足价格扣除条件且在投标文件中提交了《投标人企业类型声明函》、《残疾人  福利性单位声明函》或省级以上监狱管理局、戒毒管理局（含新疆生产建设兵团）出具的属于监狱企业  的证明文件的投标人，其投标报价扣除  10  %后参与评审。对于同时属于小微企业、监狱企业或残疾人 福利性单位的，不重复进行投标报价扣除。）</w:t>
            </w:r>
          </w:p>
        </w:tc>
        <w:tc>
          <w:tcPr>
            <w:tcW w:w="1220" w:type="dxa"/>
            <w:shd w:val="clear" w:color="auto" w:fill="auto"/>
            <w:vAlign w:val="center"/>
          </w:tcPr>
          <w:p w14:paraId="718479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0D4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140" w:type="dxa"/>
            <w:shd w:val="clear" w:color="auto" w:fill="auto"/>
            <w:vAlign w:val="center"/>
          </w:tcPr>
          <w:p w14:paraId="5A1985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00" w:type="dxa"/>
            <w:shd w:val="clear" w:color="auto" w:fill="auto"/>
            <w:vAlign w:val="center"/>
          </w:tcPr>
          <w:p w14:paraId="330E76F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配置性能 指标（30分）</w:t>
            </w:r>
          </w:p>
        </w:tc>
        <w:tc>
          <w:tcPr>
            <w:tcW w:w="6700" w:type="dxa"/>
            <w:shd w:val="clear" w:color="auto" w:fill="auto"/>
            <w:vAlign w:val="center"/>
          </w:tcPr>
          <w:p w14:paraId="4792426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配置性能指标（30 分）投标人所投产品的技术参数完全满足招标文件要求的得 30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分，投标人所投产品的技术参数每有一项不满足或负偏离扣 1 分，扣完为止；所投产品带有▲的核心参数每缺少一个、产品检测报告或者产品说明书缺少一个扣 3 分，扣完为止。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备注:提供的检测报告或产品说明书等印证资料加盖生产厂家鲜章，并且是完整的，有缺页的视为无效印证资料。</w:t>
            </w:r>
          </w:p>
        </w:tc>
        <w:tc>
          <w:tcPr>
            <w:tcW w:w="1220" w:type="dxa"/>
            <w:shd w:val="clear" w:color="auto" w:fill="auto"/>
            <w:vAlign w:val="center"/>
          </w:tcPr>
          <w:p w14:paraId="3F95783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B0C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1140" w:type="dxa"/>
            <w:vMerge w:val="restart"/>
            <w:shd w:val="clear" w:color="auto" w:fill="auto"/>
            <w:vAlign w:val="center"/>
          </w:tcPr>
          <w:p w14:paraId="252599F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分（55 分）</w:t>
            </w:r>
          </w:p>
        </w:tc>
        <w:tc>
          <w:tcPr>
            <w:tcW w:w="1000" w:type="dxa"/>
            <w:shd w:val="clear" w:color="auto" w:fill="auto"/>
            <w:vAlign w:val="center"/>
          </w:tcPr>
          <w:p w14:paraId="128D825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项目服务 实施方案 （15分)</w:t>
            </w:r>
          </w:p>
        </w:tc>
        <w:tc>
          <w:tcPr>
            <w:tcW w:w="6700" w:type="dxa"/>
            <w:shd w:val="clear" w:color="auto" w:fill="auto"/>
            <w:vAlign w:val="center"/>
          </w:tcPr>
          <w:p w14:paraId="2923534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项目服务实施方案（15 分）：根据投标人对本项目实际情况，阐述内容须包括但不 限于以下内容：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①供应商项目实施准备计划完善，科学规范，必须提供详细施工布局图；</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②质量目标及保证措施；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③项目实施人员配置方案；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④产品包装运输方案；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⑤供货及安装调试方案；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评标委员会根据各投标人方案内容完整度及可行性进行评审，评审内容包含 5 项，项 目服务实施方案内容完整可行最多得 15 分，每有一项案描述不清晰或有缺失内容的  扣 3 分，扣完为止。</w:t>
            </w:r>
          </w:p>
        </w:tc>
        <w:tc>
          <w:tcPr>
            <w:tcW w:w="1220" w:type="dxa"/>
            <w:shd w:val="clear" w:color="auto" w:fill="auto"/>
            <w:vAlign w:val="center"/>
          </w:tcPr>
          <w:p w14:paraId="7E77172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7D4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1140" w:type="dxa"/>
            <w:vMerge w:val="continue"/>
            <w:vAlign w:val="center"/>
          </w:tcPr>
          <w:p w14:paraId="34690B9A">
            <w:pPr>
              <w:widowControl/>
              <w:jc w:val="left"/>
              <w:rPr>
                <w:rFonts w:hint="eastAsia" w:ascii="宋体" w:hAnsi="宋体" w:eastAsia="宋体" w:cs="宋体"/>
                <w:color w:val="000000"/>
                <w:kern w:val="0"/>
                <w:sz w:val="24"/>
                <w:szCs w:val="24"/>
              </w:rPr>
            </w:pPr>
          </w:p>
        </w:tc>
        <w:tc>
          <w:tcPr>
            <w:tcW w:w="1000" w:type="dxa"/>
            <w:shd w:val="clear" w:color="auto" w:fill="auto"/>
            <w:vAlign w:val="center"/>
          </w:tcPr>
          <w:p w14:paraId="154990E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售后服务要求（8分）</w:t>
            </w:r>
          </w:p>
        </w:tc>
        <w:tc>
          <w:tcPr>
            <w:tcW w:w="6700" w:type="dxa"/>
            <w:shd w:val="clear" w:color="auto" w:fill="auto"/>
            <w:vAlign w:val="center"/>
          </w:tcPr>
          <w:p w14:paraId="1A6B431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售后服务要求（8 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针对本项目制定的合理完善的售后服务方案（包括产品的  故障处理及响应时间、验收、服务方式、质保期外服务方式、有专门售后服务部门或团队(服务团队或服务部门能覆盖项目工程所在地）等。评审小组根据综合评比，售后服务方案完善且优于招标文件要求的得 8分，可行得 5 分；一般得 3分，较差 1 分，不提供不得分。</w:t>
            </w:r>
          </w:p>
        </w:tc>
        <w:tc>
          <w:tcPr>
            <w:tcW w:w="1220" w:type="dxa"/>
            <w:shd w:val="clear" w:color="auto" w:fill="auto"/>
            <w:vAlign w:val="center"/>
          </w:tcPr>
          <w:p w14:paraId="083089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29D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40" w:type="dxa"/>
            <w:vMerge w:val="continue"/>
            <w:vAlign w:val="center"/>
          </w:tcPr>
          <w:p w14:paraId="44F8B8A8">
            <w:pPr>
              <w:widowControl/>
              <w:jc w:val="left"/>
              <w:rPr>
                <w:rFonts w:hint="eastAsia" w:ascii="宋体" w:hAnsi="宋体" w:eastAsia="宋体" w:cs="宋体"/>
                <w:color w:val="000000"/>
                <w:kern w:val="0"/>
                <w:sz w:val="24"/>
                <w:szCs w:val="24"/>
              </w:rPr>
            </w:pPr>
          </w:p>
        </w:tc>
        <w:tc>
          <w:tcPr>
            <w:tcW w:w="1000" w:type="dxa"/>
            <w:shd w:val="clear" w:color="auto" w:fill="auto"/>
            <w:vAlign w:val="center"/>
          </w:tcPr>
          <w:p w14:paraId="7CFBE8D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交货期（2 分）</w:t>
            </w:r>
          </w:p>
        </w:tc>
        <w:tc>
          <w:tcPr>
            <w:tcW w:w="6700" w:type="dxa"/>
            <w:shd w:val="clear" w:color="auto" w:fill="auto"/>
            <w:vAlign w:val="center"/>
          </w:tcPr>
          <w:p w14:paraId="07F34E7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交货期（2 分）满足招标文件要求得 1 分，提供交货承诺书，承诺书中投标人承诺的 交货期，每优于招标文件要求 2 天得 1 分，最高加 2 分。</w:t>
            </w:r>
          </w:p>
        </w:tc>
        <w:tc>
          <w:tcPr>
            <w:tcW w:w="1220" w:type="dxa"/>
            <w:shd w:val="clear" w:color="auto" w:fill="auto"/>
            <w:vAlign w:val="center"/>
          </w:tcPr>
          <w:p w14:paraId="735C0DF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F4F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40" w:type="dxa"/>
            <w:vMerge w:val="restart"/>
            <w:shd w:val="clear" w:color="auto" w:fill="auto"/>
            <w:vAlign w:val="center"/>
          </w:tcPr>
          <w:p w14:paraId="4B37535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商务部 分（5 分）</w:t>
            </w:r>
          </w:p>
        </w:tc>
        <w:tc>
          <w:tcPr>
            <w:tcW w:w="1000" w:type="dxa"/>
            <w:shd w:val="clear" w:color="auto" w:fill="auto"/>
            <w:vAlign w:val="center"/>
          </w:tcPr>
          <w:p w14:paraId="58B110D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业绩（2 分）</w:t>
            </w:r>
          </w:p>
        </w:tc>
        <w:tc>
          <w:tcPr>
            <w:tcW w:w="6700" w:type="dxa"/>
            <w:shd w:val="clear" w:color="auto" w:fill="auto"/>
            <w:vAlign w:val="center"/>
          </w:tcPr>
          <w:p w14:paraId="0A001A2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同类案例证明（2 分）：制造厂商或投标人提供近三年有同类项目成功案例相关证明 1 个加 1 分，满分为 2  分。（业绩需提供：中标通知书或验收报告或合同等相关资料，以上提供任意一个均 可）</w:t>
            </w:r>
          </w:p>
        </w:tc>
        <w:tc>
          <w:tcPr>
            <w:tcW w:w="1220" w:type="dxa"/>
            <w:shd w:val="clear" w:color="auto" w:fill="auto"/>
            <w:vAlign w:val="center"/>
          </w:tcPr>
          <w:p w14:paraId="6193F6A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EE5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0" w:type="dxa"/>
            <w:vMerge w:val="continue"/>
            <w:vAlign w:val="center"/>
          </w:tcPr>
          <w:p w14:paraId="3B92174E">
            <w:pPr>
              <w:widowControl/>
              <w:jc w:val="left"/>
              <w:rPr>
                <w:rFonts w:hint="eastAsia" w:ascii="宋体" w:hAnsi="宋体" w:eastAsia="宋体" w:cs="宋体"/>
                <w:color w:val="000000"/>
                <w:kern w:val="0"/>
                <w:sz w:val="24"/>
                <w:szCs w:val="24"/>
              </w:rPr>
            </w:pPr>
          </w:p>
        </w:tc>
        <w:tc>
          <w:tcPr>
            <w:tcW w:w="1000" w:type="dxa"/>
            <w:shd w:val="clear" w:color="auto" w:fill="auto"/>
            <w:vAlign w:val="center"/>
          </w:tcPr>
          <w:p w14:paraId="5A79C6F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质保期（3 分)</w:t>
            </w:r>
          </w:p>
        </w:tc>
        <w:tc>
          <w:tcPr>
            <w:tcW w:w="6700" w:type="dxa"/>
            <w:shd w:val="clear" w:color="auto" w:fill="auto"/>
            <w:vAlign w:val="center"/>
          </w:tcPr>
          <w:p w14:paraId="4055D42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质保期（3 分）满足招标文件要求得 1 分，承诺书中投标人承诺的质保期每优于招 标文件一年得 1 分，最高加 2分。</w:t>
            </w:r>
          </w:p>
        </w:tc>
        <w:tc>
          <w:tcPr>
            <w:tcW w:w="1220" w:type="dxa"/>
            <w:shd w:val="clear" w:color="auto" w:fill="auto"/>
            <w:vAlign w:val="center"/>
          </w:tcPr>
          <w:p w14:paraId="0E900AE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AA9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840" w:type="dxa"/>
            <w:gridSpan w:val="3"/>
            <w:shd w:val="clear" w:color="auto" w:fill="auto"/>
            <w:vAlign w:val="center"/>
          </w:tcPr>
          <w:p w14:paraId="6A2A046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最后得分</w:t>
            </w:r>
          </w:p>
        </w:tc>
        <w:tc>
          <w:tcPr>
            <w:tcW w:w="1220" w:type="dxa"/>
            <w:shd w:val="clear" w:color="auto" w:fill="auto"/>
            <w:noWrap/>
            <w:vAlign w:val="center"/>
          </w:tcPr>
          <w:p w14:paraId="14B372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14:paraId="6EA10709">
      <w:pPr>
        <w:pStyle w:val="15"/>
        <w:rPr>
          <w:rFonts w:ascii="宋体" w:hAnsi="宋体"/>
          <w:color w:val="auto"/>
          <w:szCs w:val="21"/>
        </w:rPr>
      </w:pPr>
    </w:p>
    <w:p w14:paraId="2E13F9E5">
      <w:pPr>
        <w:pStyle w:val="15"/>
        <w:rPr>
          <w:rFonts w:ascii="宋体" w:hAnsi="宋体"/>
          <w:color w:val="auto"/>
          <w:szCs w:val="21"/>
        </w:rPr>
      </w:pPr>
    </w:p>
    <w:p w14:paraId="19498AD5">
      <w:pPr>
        <w:spacing w:line="360" w:lineRule="auto"/>
        <w:ind w:firstLine="480" w:firstLineChars="200"/>
        <w:rPr>
          <w:rFonts w:hint="eastAsia" w:ascii="宋体" w:hAnsi="宋体"/>
          <w:szCs w:val="21"/>
        </w:rPr>
      </w:pPr>
    </w:p>
    <w:p w14:paraId="6782AF05">
      <w:pPr>
        <w:spacing w:line="360" w:lineRule="auto"/>
        <w:ind w:firstLine="480" w:firstLineChars="200"/>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14:paraId="33C90F42">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szCs w:val="21"/>
          <w:lang w:val="en-US" w:eastAsia="zh-CN"/>
        </w:rPr>
        <w:t>6</w:t>
      </w:r>
      <w:r>
        <w:rPr>
          <w:rFonts w:ascii="宋体" w:hAnsi="宋体"/>
          <w:szCs w:val="21"/>
        </w:rPr>
        <w:t>0%</w:t>
      </w:r>
      <w:r>
        <w:rPr>
          <w:rFonts w:hint="eastAsia" w:ascii="宋体" w:hAnsi="宋体"/>
          <w:szCs w:val="21"/>
        </w:rPr>
        <w:t>；投标投标报价部分权重</w:t>
      </w:r>
      <w:r>
        <w:rPr>
          <w:rFonts w:hint="eastAsia" w:ascii="宋体" w:hAnsi="宋体"/>
          <w:szCs w:val="21"/>
          <w:lang w:val="en-US" w:eastAsia="zh-CN"/>
        </w:rPr>
        <w:t>4</w:t>
      </w:r>
      <w:r>
        <w:rPr>
          <w:rFonts w:ascii="宋体" w:hAnsi="宋体"/>
          <w:szCs w:val="21"/>
        </w:rPr>
        <w:t>0%</w:t>
      </w:r>
    </w:p>
    <w:p w14:paraId="55398C38">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14:paraId="55383C0D">
      <w:pPr>
        <w:pStyle w:val="8"/>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14:paraId="338823B4"/>
    <w:p w14:paraId="71D1CE43">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497C3387">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2304DABE">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3BEEAB5F">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50EC26E1">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64EDF470">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1387C5A5">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50C97726">
      <w:pPr>
        <w:snapToGrid w:val="0"/>
        <w:spacing w:line="300" w:lineRule="exact"/>
        <w:ind w:firstLine="465"/>
        <w:rPr>
          <w:rFonts w:hint="eastAsia"/>
          <w:bCs/>
          <w:highlight w:val="green"/>
        </w:rPr>
      </w:pPr>
      <w:r>
        <w:rPr>
          <w:rFonts w:hint="eastAsia"/>
          <w:bCs/>
          <w:highlight w:val="green"/>
        </w:rPr>
        <w:t>6）具有良好的商业信誉和健全的财务会计制度（会计事务所出具的</w:t>
      </w:r>
      <w:r>
        <w:rPr>
          <w:rFonts w:hint="eastAsia" w:eastAsia="宋体"/>
          <w:bCs/>
          <w:highlight w:val="green"/>
          <w:lang w:val="en-US" w:eastAsia="zh-CN"/>
        </w:rPr>
        <w:t>2020-2023年度任意一年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09F9A56F">
      <w:pPr>
        <w:snapToGrid w:val="0"/>
        <w:spacing w:line="300" w:lineRule="exact"/>
        <w:ind w:firstLine="465"/>
        <w:rPr>
          <w:bCs/>
          <w:highlight w:val="green"/>
        </w:rPr>
      </w:pPr>
      <w:r>
        <w:rPr>
          <w:rFonts w:hint="eastAsia"/>
          <w:bCs/>
          <w:highlight w:val="green"/>
        </w:rPr>
        <w:t>7）</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73DE54B7">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）投标保证金收据扫描件或银行转款证明扫描件</w:t>
      </w:r>
      <w:r>
        <w:rPr>
          <w:rFonts w:hint="eastAsia" w:eastAsia="宋体"/>
          <w:bCs/>
          <w:highlight w:val="green"/>
          <w:lang w:eastAsia="zh-CN"/>
        </w:rPr>
        <w:t>或支票</w:t>
      </w:r>
      <w:r>
        <w:rPr>
          <w:rFonts w:hint="eastAsia"/>
          <w:bCs/>
          <w:highlight w:val="green"/>
        </w:rPr>
        <w:t>扫描件</w:t>
      </w:r>
      <w:r>
        <w:rPr>
          <w:rFonts w:hint="eastAsia" w:eastAsia="宋体"/>
          <w:bCs/>
          <w:highlight w:val="green"/>
          <w:lang w:eastAsia="zh-CN"/>
        </w:rPr>
        <w:t>、汇票</w:t>
      </w:r>
      <w:r>
        <w:rPr>
          <w:rFonts w:hint="eastAsia"/>
          <w:bCs/>
          <w:highlight w:val="green"/>
        </w:rPr>
        <w:t>扫描件</w:t>
      </w:r>
      <w:r>
        <w:rPr>
          <w:rFonts w:hint="eastAsia" w:eastAsia="宋体"/>
          <w:bCs/>
          <w:highlight w:val="green"/>
          <w:lang w:eastAsia="zh-CN"/>
        </w:rPr>
        <w:t>、本票</w:t>
      </w:r>
      <w:r>
        <w:rPr>
          <w:rFonts w:hint="eastAsia"/>
          <w:bCs/>
          <w:highlight w:val="green"/>
        </w:rPr>
        <w:t>扫描件</w:t>
      </w:r>
      <w:r>
        <w:rPr>
          <w:rFonts w:hint="eastAsia" w:eastAsia="宋体"/>
          <w:bCs/>
          <w:highlight w:val="green"/>
          <w:lang w:eastAsia="zh-CN"/>
        </w:rPr>
        <w:t>或者金融机构、担保机构出具的保函</w:t>
      </w:r>
      <w:r>
        <w:rPr>
          <w:rFonts w:hint="eastAsia"/>
          <w:bCs/>
          <w:highlight w:val="green"/>
        </w:rPr>
        <w:t>扫描件；</w:t>
      </w:r>
    </w:p>
    <w:p w14:paraId="126D53E5">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本项目不接受联合体投标</w:t>
      </w:r>
      <w:r>
        <w:rPr>
          <w:rFonts w:hint="eastAsia"/>
          <w:b/>
          <w:bCs w:val="0"/>
          <w:highlight w:val="green"/>
        </w:rPr>
        <w:t>；</w:t>
      </w:r>
      <w:r>
        <w:rPr>
          <w:rFonts w:hint="eastAsia" w:eastAsia="宋体"/>
          <w:b/>
          <w:bCs w:val="0"/>
          <w:highlight w:val="green"/>
          <w:lang w:eastAsia="zh-CN"/>
        </w:rPr>
        <w:t>（提供非联合体投标承诺函，承诺函格式自拟）</w:t>
      </w:r>
    </w:p>
    <w:p w14:paraId="18EC305A">
      <w:pPr>
        <w:snapToGrid w:val="0"/>
        <w:spacing w:line="300" w:lineRule="exact"/>
        <w:ind w:firstLine="465"/>
        <w:rPr>
          <w:b/>
          <w:highlight w:val="gree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本项目不允许进口产品参与投标。</w:t>
      </w:r>
      <w:r>
        <w:rPr>
          <w:rFonts w:hint="eastAsia" w:eastAsia="宋体"/>
          <w:b/>
          <w:bCs w:val="0"/>
          <w:highlight w:val="green"/>
          <w:lang w:eastAsia="zh-CN"/>
        </w:rPr>
        <w:t>（提供非进口产品投标承诺函，承诺函格式自拟）</w:t>
      </w:r>
    </w:p>
    <w:p w14:paraId="1116B615">
      <w:pPr>
        <w:snapToGrid w:val="0"/>
        <w:spacing w:line="300" w:lineRule="exact"/>
        <w:ind w:firstLine="465"/>
        <w:rPr>
          <w:rFonts w:ascii="Arial" w:hAnsi="Arial" w:eastAsia="宋体"/>
        </w:rPr>
      </w:pPr>
    </w:p>
    <w:p w14:paraId="36B799F7">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7A179A1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7607F76">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32FC4DA4">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08E763B9">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CA352A7">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3E299C9">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47723A20">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0C96338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7137469C">
            <w:pPr>
              <w:jc w:val="center"/>
              <w:rPr>
                <w:rFonts w:hint="eastAsia" w:ascii="宋体" w:hAnsi="宋体"/>
                <w:bCs/>
              </w:rPr>
            </w:pPr>
            <w:r>
              <w:rPr>
                <w:rFonts w:hint="eastAsia" w:eastAsia="宋体"/>
                <w:lang w:eastAsia="zh-CN"/>
              </w:rPr>
              <w:t>KSS(GK)2024-054</w:t>
            </w:r>
          </w:p>
        </w:tc>
        <w:tc>
          <w:tcPr>
            <w:tcW w:w="2906" w:type="dxa"/>
            <w:tcBorders>
              <w:top w:val="single" w:color="auto" w:sz="4" w:space="0"/>
              <w:left w:val="single" w:color="000000" w:sz="4" w:space="0"/>
              <w:bottom w:val="single" w:color="auto" w:sz="4" w:space="0"/>
              <w:right w:val="single" w:color="000000" w:sz="4" w:space="0"/>
            </w:tcBorders>
            <w:vAlign w:val="center"/>
          </w:tcPr>
          <w:p w14:paraId="6564377D">
            <w:pPr>
              <w:jc w:val="center"/>
              <w:rPr>
                <w:b/>
                <w:bCs/>
              </w:rPr>
            </w:pPr>
            <w:r>
              <w:rPr>
                <w:rFonts w:hint="eastAsia" w:eastAsia="宋体" w:cs="Times New Roman"/>
                <w:lang w:eastAsia="zh-CN"/>
              </w:rPr>
              <w:t>喀什市公安局信息化装备采购项目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2D89D65E">
            <w:pPr>
              <w:jc w:val="center"/>
              <w:rPr>
                <w:rFonts w:hint="eastAsia" w:ascii="宋体" w:hAnsi="宋体" w:eastAsia="宋体"/>
                <w:bCs/>
                <w:lang w:eastAsia="zh-CN"/>
              </w:rPr>
            </w:pPr>
            <w:r>
              <w:rPr>
                <w:rFonts w:hint="eastAsia" w:ascii="宋体" w:hAnsi="宋体" w:eastAsia="宋体"/>
                <w:bCs/>
                <w:lang w:eastAsia="zh-CN"/>
              </w:rPr>
              <w:t>4556249.176元（肆佰伍拾伍万陆仟贰佰肆拾玖元壹角柒分陆厘元）</w:t>
            </w:r>
          </w:p>
        </w:tc>
        <w:tc>
          <w:tcPr>
            <w:tcW w:w="2622" w:type="dxa"/>
            <w:tcBorders>
              <w:top w:val="single" w:color="000000" w:sz="4" w:space="0"/>
              <w:left w:val="single" w:color="000000" w:sz="4" w:space="0"/>
              <w:bottom w:val="single" w:color="000000" w:sz="4" w:space="0"/>
              <w:right w:val="single" w:color="000000" w:sz="4" w:space="0"/>
            </w:tcBorders>
            <w:vAlign w:val="center"/>
          </w:tcPr>
          <w:p w14:paraId="33D1E68D">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284AE6E1">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11ACCEDE">
      <w:pPr>
        <w:pStyle w:val="27"/>
        <w:rPr>
          <w:rFonts w:hint="eastAsia"/>
          <w:lang w:eastAsia="zh-CN"/>
        </w:rPr>
      </w:pPr>
    </w:p>
    <w:p w14:paraId="00D0CC6E">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7C10E476">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2024年12月26日至2025年1月20日11:00:00</w:t>
      </w:r>
      <w:r>
        <w:rPr>
          <w:rFonts w:hint="eastAsia" w:ascii="仿宋" w:hAnsi="仿宋" w:eastAsia="仿宋"/>
          <w:color w:val="000000"/>
          <w:sz w:val="28"/>
          <w:szCs w:val="28"/>
        </w:rPr>
        <w:t>（法定节假日除外）</w:t>
      </w:r>
    </w:p>
    <w:p w14:paraId="61751BC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8CBA1E8">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54F31F71">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7977123D">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2025年1月20日11:00:00</w:t>
      </w:r>
    </w:p>
    <w:p w14:paraId="14D8B81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1CB27CE5">
      <w:pPr>
        <w:pStyle w:val="1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1D844608">
      <w:p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tbl>
      <w:tblPr>
        <w:tblStyle w:val="20"/>
        <w:tblW w:w="5376" w:type="pct"/>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1"/>
        <w:gridCol w:w="1864"/>
        <w:gridCol w:w="1378"/>
        <w:gridCol w:w="1921"/>
        <w:gridCol w:w="795"/>
        <w:gridCol w:w="1119"/>
        <w:gridCol w:w="1602"/>
      </w:tblGrid>
      <w:tr w14:paraId="7894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4" w:type="pct"/>
            <w:noWrap w:val="0"/>
            <w:tcMar>
              <w:top w:w="75" w:type="dxa"/>
              <w:left w:w="150" w:type="dxa"/>
              <w:bottom w:w="75" w:type="dxa"/>
              <w:right w:w="150" w:type="dxa"/>
            </w:tcMar>
            <w:vAlign w:val="center"/>
          </w:tcPr>
          <w:p w14:paraId="2F0FFC24">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序号</w:t>
            </w:r>
          </w:p>
        </w:tc>
        <w:tc>
          <w:tcPr>
            <w:tcW w:w="1007" w:type="pct"/>
            <w:noWrap w:val="0"/>
            <w:tcMar>
              <w:top w:w="75" w:type="dxa"/>
              <w:left w:w="150" w:type="dxa"/>
              <w:bottom w:w="75" w:type="dxa"/>
              <w:right w:w="150" w:type="dxa"/>
            </w:tcMar>
            <w:vAlign w:val="center"/>
          </w:tcPr>
          <w:p w14:paraId="5E9DAB21">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标项名称</w:t>
            </w:r>
          </w:p>
        </w:tc>
        <w:tc>
          <w:tcPr>
            <w:tcW w:w="744" w:type="pct"/>
            <w:noWrap w:val="0"/>
            <w:tcMar>
              <w:top w:w="75" w:type="dxa"/>
              <w:left w:w="150" w:type="dxa"/>
              <w:bottom w:w="75" w:type="dxa"/>
              <w:right w:w="150" w:type="dxa"/>
            </w:tcMar>
            <w:vAlign w:val="center"/>
          </w:tcPr>
          <w:p w14:paraId="2E368C52">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投标保证金金额（元）</w:t>
            </w:r>
          </w:p>
        </w:tc>
        <w:tc>
          <w:tcPr>
            <w:tcW w:w="1037" w:type="pct"/>
            <w:noWrap w:val="0"/>
            <w:tcMar>
              <w:top w:w="75" w:type="dxa"/>
              <w:left w:w="150" w:type="dxa"/>
              <w:bottom w:w="75" w:type="dxa"/>
              <w:right w:w="150" w:type="dxa"/>
            </w:tcMar>
            <w:vAlign w:val="center"/>
          </w:tcPr>
          <w:p w14:paraId="7E09856A">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开户银行</w:t>
            </w:r>
          </w:p>
        </w:tc>
        <w:tc>
          <w:tcPr>
            <w:tcW w:w="429" w:type="pct"/>
            <w:noWrap w:val="0"/>
            <w:tcMar>
              <w:top w:w="75" w:type="dxa"/>
              <w:left w:w="150" w:type="dxa"/>
              <w:bottom w:w="75" w:type="dxa"/>
              <w:right w:w="150" w:type="dxa"/>
            </w:tcMar>
            <w:vAlign w:val="center"/>
          </w:tcPr>
          <w:p w14:paraId="08C8D3FF">
            <w:pPr>
              <w:widowControl/>
              <w:wordWrap w:val="0"/>
              <w:jc w:val="center"/>
              <w:rPr>
                <w:rFonts w:hint="eastAsia" w:ascii="宋体" w:hAnsi="宋体" w:cs="宋体"/>
                <w:color w:val="000000"/>
                <w:kern w:val="0"/>
                <w:sz w:val="24"/>
                <w:lang w:bidi="ar"/>
              </w:rPr>
            </w:pPr>
            <w:r>
              <w:rPr>
                <w:rFonts w:hint="eastAsia" w:ascii="宋体" w:hAnsi="宋体" w:cs="宋体"/>
                <w:color w:val="000000"/>
                <w:kern w:val="0"/>
                <w:sz w:val="24"/>
                <w:lang w:bidi="ar"/>
              </w:rPr>
              <w:t>收款户名</w:t>
            </w:r>
          </w:p>
        </w:tc>
        <w:tc>
          <w:tcPr>
            <w:tcW w:w="604" w:type="pct"/>
            <w:noWrap w:val="0"/>
            <w:tcMar>
              <w:top w:w="75" w:type="dxa"/>
              <w:left w:w="150" w:type="dxa"/>
              <w:bottom w:w="75" w:type="dxa"/>
              <w:right w:w="150" w:type="dxa"/>
            </w:tcMar>
            <w:vAlign w:val="center"/>
          </w:tcPr>
          <w:p w14:paraId="3C2E7144">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收款账号</w:t>
            </w:r>
          </w:p>
        </w:tc>
        <w:tc>
          <w:tcPr>
            <w:tcW w:w="863" w:type="pct"/>
            <w:noWrap w:val="0"/>
            <w:tcMar>
              <w:top w:w="75" w:type="dxa"/>
              <w:left w:w="150" w:type="dxa"/>
              <w:bottom w:w="75" w:type="dxa"/>
              <w:right w:w="150" w:type="dxa"/>
            </w:tcMar>
            <w:vAlign w:val="center"/>
          </w:tcPr>
          <w:p w14:paraId="25EFCFFA">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交付方式</w:t>
            </w:r>
          </w:p>
        </w:tc>
      </w:tr>
      <w:tr w14:paraId="2766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4" w:type="pct"/>
            <w:noWrap w:val="0"/>
            <w:tcMar>
              <w:top w:w="75" w:type="dxa"/>
              <w:left w:w="150" w:type="dxa"/>
              <w:bottom w:w="75" w:type="dxa"/>
              <w:right w:w="150" w:type="dxa"/>
            </w:tcMar>
            <w:vAlign w:val="center"/>
          </w:tcPr>
          <w:p w14:paraId="447A83EF">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1</w:t>
            </w:r>
          </w:p>
        </w:tc>
        <w:tc>
          <w:tcPr>
            <w:tcW w:w="1007" w:type="pct"/>
            <w:noWrap w:val="0"/>
            <w:tcMar>
              <w:top w:w="75" w:type="dxa"/>
              <w:left w:w="150" w:type="dxa"/>
              <w:bottom w:w="75" w:type="dxa"/>
              <w:right w:w="150" w:type="dxa"/>
            </w:tcMar>
            <w:vAlign w:val="center"/>
          </w:tcPr>
          <w:p w14:paraId="0A7BDFA4">
            <w:pPr>
              <w:widowControl/>
              <w:wordWrap w:val="0"/>
              <w:jc w:val="center"/>
              <w:rPr>
                <w:rFonts w:hint="eastAsia" w:ascii="宋体" w:hAnsi="宋体" w:cs="宋体"/>
                <w:color w:val="000000"/>
                <w:sz w:val="24"/>
              </w:rPr>
            </w:pPr>
            <w:r>
              <w:rPr>
                <w:rFonts w:hint="eastAsia" w:eastAsia="宋体" w:cs="Times New Roman"/>
                <w:lang w:eastAsia="zh-CN"/>
              </w:rPr>
              <w:t>喀什市公安局信息化装备采购项目</w:t>
            </w:r>
          </w:p>
        </w:tc>
        <w:tc>
          <w:tcPr>
            <w:tcW w:w="744" w:type="pct"/>
            <w:noWrap w:val="0"/>
            <w:tcMar>
              <w:top w:w="75" w:type="dxa"/>
              <w:left w:w="150" w:type="dxa"/>
              <w:bottom w:w="75" w:type="dxa"/>
              <w:right w:w="150" w:type="dxa"/>
            </w:tcMar>
            <w:vAlign w:val="center"/>
          </w:tcPr>
          <w:p w14:paraId="2958C3F2">
            <w:pPr>
              <w:widowControl/>
              <w:wordWrap w:val="0"/>
              <w:jc w:val="center"/>
              <w:rPr>
                <w:rFonts w:hint="default" w:ascii="宋体" w:hAnsi="宋体" w:eastAsia="宋体" w:cs="宋体"/>
                <w:color w:val="FF0000"/>
                <w:sz w:val="24"/>
                <w:lang w:val="en-US" w:eastAsia="zh-CN"/>
              </w:rPr>
            </w:pPr>
            <w:r>
              <w:rPr>
                <w:rFonts w:hint="eastAsia" w:ascii="宋体" w:hAnsi="宋体" w:cs="宋体"/>
                <w:color w:val="FF0000"/>
                <w:kern w:val="0"/>
                <w:sz w:val="24"/>
                <w:lang w:val="en-US" w:eastAsia="zh-CN" w:bidi="ar"/>
              </w:rPr>
              <w:t>40000（肆万元整）</w:t>
            </w:r>
          </w:p>
        </w:tc>
        <w:tc>
          <w:tcPr>
            <w:tcW w:w="1921" w:type="dxa"/>
            <w:noWrap w:val="0"/>
            <w:tcMar>
              <w:top w:w="75" w:type="dxa"/>
              <w:left w:w="150" w:type="dxa"/>
              <w:bottom w:w="75" w:type="dxa"/>
              <w:right w:w="150" w:type="dxa"/>
            </w:tcMar>
            <w:vAlign w:val="center"/>
          </w:tcPr>
          <w:p w14:paraId="0A8A4D51">
            <w:pPr>
              <w:widowControl/>
              <w:wordWrap w:val="0"/>
              <w:jc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中国银行股份有限公司喀什地区分行</w:t>
            </w:r>
          </w:p>
        </w:tc>
        <w:tc>
          <w:tcPr>
            <w:tcW w:w="795" w:type="dxa"/>
            <w:noWrap w:val="0"/>
            <w:tcMar>
              <w:top w:w="75" w:type="dxa"/>
              <w:left w:w="150" w:type="dxa"/>
              <w:bottom w:w="75" w:type="dxa"/>
              <w:right w:w="150" w:type="dxa"/>
            </w:tcMar>
            <w:vAlign w:val="center"/>
          </w:tcPr>
          <w:p w14:paraId="49DC1E8A">
            <w:pPr>
              <w:widowControl/>
              <w:wordWrap w:val="0"/>
              <w:jc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喀什市公安局</w:t>
            </w:r>
          </w:p>
        </w:tc>
        <w:tc>
          <w:tcPr>
            <w:tcW w:w="1119" w:type="dxa"/>
            <w:noWrap w:val="0"/>
            <w:tcMar>
              <w:top w:w="75" w:type="dxa"/>
              <w:left w:w="150" w:type="dxa"/>
              <w:bottom w:w="75" w:type="dxa"/>
              <w:right w:w="150" w:type="dxa"/>
            </w:tcMar>
            <w:vAlign w:val="center"/>
          </w:tcPr>
          <w:p w14:paraId="5DFB426F">
            <w:pPr>
              <w:widowControl/>
              <w:wordWrap w:val="0"/>
              <w:jc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107605787922</w:t>
            </w:r>
          </w:p>
        </w:tc>
        <w:tc>
          <w:tcPr>
            <w:tcW w:w="863" w:type="pct"/>
            <w:noWrap w:val="0"/>
            <w:tcMar>
              <w:top w:w="75" w:type="dxa"/>
              <w:left w:w="150" w:type="dxa"/>
              <w:bottom w:w="75" w:type="dxa"/>
              <w:right w:w="150" w:type="dxa"/>
            </w:tcMar>
            <w:vAlign w:val="center"/>
          </w:tcPr>
          <w:p w14:paraId="47B87873">
            <w:pPr>
              <w:widowControl/>
              <w:wordWrap w:val="0"/>
              <w:jc w:val="left"/>
              <w:rPr>
                <w:rFonts w:hint="eastAsia" w:ascii="宋体" w:hAnsi="宋体" w:cs="宋体"/>
                <w:color w:val="000000"/>
                <w:sz w:val="24"/>
              </w:rPr>
            </w:pPr>
            <w:r>
              <w:rPr>
                <w:rFonts w:hint="eastAsia" w:ascii="宋体" w:hAnsi="宋体" w:cs="宋体"/>
                <w:color w:val="000000"/>
                <w:sz w:val="24"/>
              </w:rPr>
              <w:t>允许以电汇、</w:t>
            </w:r>
            <w:r>
              <w:rPr>
                <w:rFonts w:hint="eastAsia" w:ascii="宋体" w:hAnsi="宋体" w:eastAsia="宋体" w:cs="宋体"/>
                <w:color w:val="000000"/>
                <w:sz w:val="24"/>
                <w:lang w:eastAsia="zh-CN"/>
              </w:rPr>
              <w:t>网银</w:t>
            </w:r>
            <w:r>
              <w:rPr>
                <w:rFonts w:hint="eastAsia" w:ascii="宋体" w:hAnsi="宋体" w:cs="宋体"/>
                <w:color w:val="000000"/>
                <w:sz w:val="24"/>
              </w:rPr>
              <w:t>转账</w:t>
            </w:r>
            <w:r>
              <w:rPr>
                <w:rFonts w:hint="eastAsia" w:ascii="宋体" w:hAnsi="宋体" w:eastAsia="宋体" w:cs="宋体"/>
                <w:color w:val="000000"/>
                <w:sz w:val="24"/>
                <w:lang w:eastAsia="zh-CN"/>
              </w:rPr>
              <w:t>、</w:t>
            </w:r>
            <w:r>
              <w:rPr>
                <w:rFonts w:hint="eastAsia" w:ascii="宋体" w:hAnsi="宋体" w:cs="宋体"/>
                <w:color w:val="000000"/>
                <w:sz w:val="24"/>
              </w:rPr>
              <w:t>支票、汇票、本票或者金融机构、担保机构出具的保函等</w:t>
            </w:r>
          </w:p>
        </w:tc>
      </w:tr>
      <w:tr w14:paraId="4A7E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gridSpan w:val="7"/>
            <w:noWrap w:val="0"/>
            <w:tcMar>
              <w:top w:w="75" w:type="dxa"/>
              <w:left w:w="150" w:type="dxa"/>
              <w:bottom w:w="75" w:type="dxa"/>
              <w:right w:w="150" w:type="dxa"/>
            </w:tcMar>
            <w:vAlign w:val="center"/>
          </w:tcPr>
          <w:p w14:paraId="7C9A1CB7">
            <w:pPr>
              <w:widowControl/>
              <w:wordWrap w:val="0"/>
              <w:jc w:val="left"/>
              <w:rPr>
                <w:rFonts w:hint="eastAsia"/>
              </w:rPr>
            </w:pPr>
            <w:r>
              <w:rPr>
                <w:rFonts w:hint="eastAsia"/>
              </w:rPr>
              <w:t>备注</w:t>
            </w:r>
            <w:r>
              <w:rPr>
                <w:rFonts w:hint="eastAsia"/>
                <w:lang w:eastAsia="zh-CN"/>
              </w:rPr>
              <w:t>：建议</w:t>
            </w:r>
            <w:r>
              <w:rPr>
                <w:rFonts w:hint="eastAsia"/>
              </w:rPr>
              <w:t>注明</w:t>
            </w:r>
            <w:r>
              <w:rPr>
                <w:rFonts w:hint="eastAsia"/>
                <w:lang w:eastAsia="zh-CN"/>
              </w:rPr>
              <w:t>投标或响应</w:t>
            </w:r>
            <w:r>
              <w:rPr>
                <w:rFonts w:hint="eastAsia"/>
              </w:rPr>
              <w:t>保证金项目名称</w:t>
            </w:r>
            <w:r>
              <w:rPr>
                <w:rFonts w:hint="eastAsia"/>
                <w:lang w:eastAsia="zh-CN"/>
              </w:rPr>
              <w:t>，未注明</w:t>
            </w:r>
            <w:r>
              <w:rPr>
                <w:rFonts w:hint="eastAsia"/>
              </w:rPr>
              <w:t>项目名称</w:t>
            </w:r>
            <w:r>
              <w:rPr>
                <w:rFonts w:hint="eastAsia"/>
                <w:lang w:eastAsia="zh-CN"/>
              </w:rPr>
              <w:t>的不作废标处理。重新开展采购活动的项目，</w:t>
            </w:r>
            <w:bookmarkStart w:id="68" w:name="_GoBack"/>
            <w:bookmarkEnd w:id="68"/>
            <w:r>
              <w:rPr>
                <w:rFonts w:hint="eastAsia"/>
                <w:lang w:eastAsia="zh-CN"/>
              </w:rPr>
              <w:t>若供应商告知采购人再次进行投标或响应的，未退还的投标或响应</w:t>
            </w:r>
            <w:r>
              <w:rPr>
                <w:rFonts w:hint="eastAsia"/>
              </w:rPr>
              <w:t>保证金</w:t>
            </w:r>
            <w:r>
              <w:rPr>
                <w:rFonts w:hint="eastAsia"/>
                <w:lang w:eastAsia="zh-CN"/>
              </w:rPr>
              <w:t>则自动转为新项目的投标保证金</w:t>
            </w:r>
            <w:r>
              <w:rPr>
                <w:rFonts w:hint="eastAsia"/>
              </w:rPr>
              <w:t>。</w:t>
            </w:r>
          </w:p>
          <w:p w14:paraId="70424973">
            <w:pPr>
              <w:widowControl/>
              <w:wordWrap w:val="0"/>
              <w:jc w:val="left"/>
              <w:rPr>
                <w:rFonts w:hint="eastAsia" w:ascii="宋体" w:hAnsi="宋体" w:cs="宋体"/>
                <w:color w:val="000000"/>
                <w:sz w:val="24"/>
              </w:rPr>
            </w:pPr>
            <w:r>
              <w:rPr>
                <w:rFonts w:hint="eastAsia"/>
              </w:rPr>
              <w:t>备注</w:t>
            </w:r>
            <w:r>
              <w:rPr>
                <w:rFonts w:hint="eastAsia"/>
                <w:lang w:eastAsia="zh-CN"/>
              </w:rPr>
              <w:t>：若提供</w:t>
            </w:r>
            <w:r>
              <w:rPr>
                <w:rFonts w:hint="eastAsia" w:ascii="宋体" w:hAnsi="宋体" w:eastAsia="宋体" w:cs="宋体"/>
                <w:color w:val="000000"/>
                <w:sz w:val="24"/>
                <w:lang w:eastAsia="zh-CN"/>
              </w:rPr>
              <w:t>保函，保函的承保期限为（</w:t>
            </w:r>
            <w:r>
              <w:rPr>
                <w:rFonts w:hint="eastAsia" w:ascii="仿宋" w:hAnsi="仿宋" w:eastAsia="仿宋"/>
                <w:color w:val="000000"/>
                <w:sz w:val="28"/>
                <w:szCs w:val="28"/>
                <w:lang w:eastAsia="zh-CN"/>
              </w:rPr>
              <w:t>2025年1月20日11:00:00至202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年</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20</w:t>
            </w:r>
            <w:r>
              <w:rPr>
                <w:rFonts w:hint="eastAsia" w:ascii="仿宋" w:hAnsi="仿宋" w:eastAsia="仿宋"/>
                <w:color w:val="000000"/>
                <w:sz w:val="28"/>
                <w:szCs w:val="28"/>
                <w:lang w:eastAsia="zh-CN"/>
              </w:rPr>
              <w:t>日11:00:00</w:t>
            </w:r>
            <w:r>
              <w:rPr>
                <w:rFonts w:hint="eastAsia" w:ascii="宋体" w:hAnsi="宋体" w:eastAsia="宋体" w:cs="宋体"/>
                <w:color w:val="000000"/>
                <w:sz w:val="24"/>
                <w:lang w:val="en-US" w:eastAsia="zh-CN"/>
              </w:rPr>
              <w:t>）日期包含当日。</w:t>
            </w:r>
          </w:p>
        </w:tc>
      </w:tr>
    </w:tbl>
    <w:p w14:paraId="223A1D2B">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7382BF7A">
      <w:pPr>
        <w:pStyle w:val="16"/>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6651611C">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635CE27">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12D7E5B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2E235094">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w:t>
      </w:r>
      <w:r>
        <w:rPr>
          <w:rFonts w:hint="eastAsia" w:ascii="仿宋" w:hAnsi="仿宋" w:eastAsia="仿宋"/>
          <w:color w:val="auto"/>
          <w:sz w:val="28"/>
          <w:szCs w:val="28"/>
          <w:highlight w:val="none"/>
          <w:lang w:eastAsia="zh-CN"/>
        </w:rPr>
        <w:t>喀什市行政审批局一楼</w:t>
      </w:r>
      <w:r>
        <w:rPr>
          <w:rFonts w:hint="eastAsia" w:ascii="仿宋" w:hAnsi="仿宋" w:eastAsia="仿宋"/>
          <w:color w:val="000000"/>
          <w:sz w:val="28"/>
          <w:szCs w:val="28"/>
        </w:rPr>
        <w:t>，联系人：张文丽，咨询电话：15001465669。或潜在投标人自行登录新疆数字认证中心网站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7060148D">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4A35B8CB">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6FE61A9B">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5C7BB8EF">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2FA4392D">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喀什市公安局</w:t>
      </w:r>
    </w:p>
    <w:p w14:paraId="214120CA">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喀什市公安局</w:t>
      </w:r>
    </w:p>
    <w:p w14:paraId="700D3142">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孙文瑞</w:t>
      </w:r>
      <w:r>
        <w:rPr>
          <w:rFonts w:hint="eastAsia" w:ascii="仿宋" w:hAnsi="仿宋" w:eastAsia="仿宋"/>
          <w:color w:val="000000"/>
          <w:sz w:val="28"/>
          <w:szCs w:val="28"/>
        </w:rPr>
        <w:t>，</w:t>
      </w:r>
      <w:r>
        <w:rPr>
          <w:rFonts w:hint="eastAsia" w:ascii="仿宋" w:hAnsi="仿宋" w:eastAsia="仿宋"/>
          <w:color w:val="000000"/>
          <w:sz w:val="28"/>
          <w:szCs w:val="28"/>
          <w:lang w:eastAsia="zh-CN"/>
        </w:rPr>
        <w:t>17809980209</w:t>
      </w:r>
    </w:p>
    <w:p w14:paraId="0CE1D43E">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B0CC6A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35A3C85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0B57D582">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3198DA46">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58ECDB22">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104F9E5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2C850766">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3BB5EAB5">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7471353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孙文瑞</w:t>
      </w:r>
      <w:r>
        <w:rPr>
          <w:rFonts w:hint="eastAsia" w:ascii="仿宋" w:hAnsi="仿宋" w:eastAsia="仿宋"/>
          <w:color w:val="000000"/>
          <w:sz w:val="28"/>
          <w:szCs w:val="28"/>
        </w:rPr>
        <w:t>：</w:t>
      </w:r>
      <w:r>
        <w:rPr>
          <w:rFonts w:hint="eastAsia" w:ascii="仿宋" w:hAnsi="仿宋" w:eastAsia="仿宋"/>
          <w:color w:val="000000"/>
          <w:sz w:val="28"/>
          <w:szCs w:val="28"/>
          <w:lang w:eastAsia="zh-CN"/>
        </w:rPr>
        <w:t>17809980209</w:t>
      </w:r>
      <w:r>
        <w:rPr>
          <w:rFonts w:hint="eastAsia" w:ascii="仿宋" w:hAnsi="仿宋" w:eastAsia="仿宋"/>
          <w:color w:val="000000"/>
          <w:sz w:val="28"/>
          <w:szCs w:val="28"/>
        </w:rPr>
        <w:t>　</w:t>
      </w:r>
    </w:p>
    <w:p w14:paraId="6D82FAF9">
      <w:pPr>
        <w:pStyle w:val="6"/>
        <w:rPr>
          <w:rFonts w:hint="default"/>
          <w:lang w:val="en-US" w:eastAsia="zh-CN"/>
        </w:rPr>
      </w:pPr>
    </w:p>
    <w:p w14:paraId="1658E0AC">
      <w:pPr>
        <w:pStyle w:val="16"/>
        <w:spacing w:after="0" w:line="560" w:lineRule="exact"/>
        <w:rPr>
          <w:rFonts w:hint="eastAsia" w:ascii="仿宋" w:hAnsi="仿宋" w:eastAsia="仿宋"/>
          <w:color w:val="000000"/>
          <w:sz w:val="28"/>
          <w:szCs w:val="28"/>
        </w:rPr>
      </w:pPr>
    </w:p>
    <w:p w14:paraId="3A162B85">
      <w:pPr>
        <w:rPr>
          <w:rFonts w:ascii="Arial" w:hAnsi="Arial" w:eastAsia="宋体"/>
          <w:b/>
          <w:color w:val="FF0000"/>
          <w:sz w:val="32"/>
          <w:szCs w:val="32"/>
        </w:rPr>
      </w:pPr>
      <w:r>
        <w:br w:type="page"/>
      </w:r>
    </w:p>
    <w:p w14:paraId="363A7AA9">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E016C99">
      <w:pPr>
        <w:keepNext/>
        <w:keepLines/>
        <w:adjustRightInd w:val="0"/>
        <w:spacing w:before="120" w:beforeLines="50" w:after="120" w:afterLines="50"/>
        <w:jc w:val="center"/>
        <w:textAlignment w:val="baseline"/>
        <w:outlineLvl w:val="2"/>
        <w:rPr>
          <w:rFonts w:ascii="宋体" w:hAnsi="宋体" w:eastAsia="宋体"/>
          <w:b/>
          <w:bCs/>
        </w:rPr>
      </w:pPr>
      <w:bookmarkStart w:id="1" w:name="_Toc73517639"/>
      <w:bookmarkStart w:id="2" w:name="_Toc73521547"/>
      <w:bookmarkStart w:id="3" w:name="_Toc73518117"/>
      <w:bookmarkStart w:id="4" w:name="_Toc73521635"/>
      <w:bookmarkStart w:id="5" w:name="_Toc101074876"/>
      <w:bookmarkStart w:id="6" w:name="_Toc60560625"/>
      <w:bookmarkStart w:id="7" w:name="_Toc100052364"/>
      <w:bookmarkStart w:id="8" w:name="_Toc60631620"/>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5C3B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6D3988">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C795093">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08EF462B">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518A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18540E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605CEC41">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4437C935">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喀什市公安局</w:t>
            </w:r>
          </w:p>
        </w:tc>
      </w:tr>
      <w:tr w14:paraId="540D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2ADBD509">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54F7150D">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1EF40146">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702C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117F7B1">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74237D7B">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41771045">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4798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CFC8D77">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6133BC93">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4E072A1E">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14:paraId="085A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026839A">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44E2B479">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7E7D10FD">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4FED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C1F33D5">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2ED6DE75">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13AE66F9">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574488CA">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27AB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CB9C4E3">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1A17C505">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2DC229C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1E3E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3D2245">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2B68BCEB">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18C3119A">
            <w:pPr>
              <w:spacing w:line="240" w:lineRule="atLeast"/>
              <w:ind w:left="814" w:hanging="814" w:hangingChars="354"/>
              <w:rPr>
                <w:rFonts w:hint="eastAsia" w:ascii="宋体" w:hAnsi="宋体" w:cs="宋体"/>
                <w:b/>
                <w:bCs/>
                <w:color w:val="auto"/>
                <w:sz w:val="23"/>
                <w:szCs w:val="23"/>
                <w:u w:val="single"/>
                <w:shd w:val="clear" w:color="auto" w:fill="auto"/>
              </w:rPr>
            </w:pPr>
          </w:p>
          <w:p w14:paraId="2184B918">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1</w:t>
            </w:r>
            <w:r>
              <w:rPr>
                <w:rFonts w:hint="eastAsia" w:ascii="宋体" w:hAnsi="宋体" w:eastAsia="宋体"/>
                <w:szCs w:val="21"/>
              </w:rPr>
              <w:t>名，随机抽取专家</w:t>
            </w:r>
            <w:r>
              <w:rPr>
                <w:rFonts w:hint="eastAsia" w:ascii="宋体" w:hAnsi="宋体" w:eastAsia="宋体"/>
                <w:szCs w:val="21"/>
                <w:lang w:val="en-US" w:eastAsia="zh-CN"/>
              </w:rPr>
              <w:t>4</w:t>
            </w:r>
            <w:r>
              <w:rPr>
                <w:rFonts w:hint="eastAsia" w:ascii="宋体" w:hAnsi="宋体" w:eastAsia="宋体"/>
                <w:szCs w:val="21"/>
              </w:rPr>
              <w:t>名）</w:t>
            </w:r>
          </w:p>
          <w:p w14:paraId="6D6FA2C1">
            <w:pPr>
              <w:snapToGrid w:val="0"/>
              <w:jc w:val="center"/>
              <w:rPr>
                <w:rFonts w:hint="eastAsia" w:ascii="宋体" w:hAnsi="宋体" w:eastAsia="宋体" w:cs="Arial"/>
                <w:sz w:val="24"/>
                <w:szCs w:val="21"/>
              </w:rPr>
            </w:pPr>
          </w:p>
        </w:tc>
      </w:tr>
      <w:tr w14:paraId="6893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F523295">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160E587A">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49C7A38B">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履约保证金：无。</w:t>
            </w:r>
          </w:p>
          <w:p w14:paraId="7DFF1129">
            <w:pPr>
              <w:pStyle w:val="18"/>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提交履约保证金的时间：无</w:t>
            </w:r>
          </w:p>
        </w:tc>
      </w:tr>
    </w:tbl>
    <w:p w14:paraId="3A56640C">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5B8DAA83">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13253E7">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232EF20A">
      <w:pPr>
        <w:tabs>
          <w:tab w:val="left" w:pos="720"/>
        </w:tabs>
        <w:rPr>
          <w:rFonts w:ascii="黑体" w:hAnsi="宋体" w:eastAsia="黑体"/>
          <w:bCs/>
        </w:rPr>
      </w:pPr>
      <w:r>
        <w:rPr>
          <w:rFonts w:hint="eastAsia" w:ascii="黑体" w:hAnsi="宋体" w:eastAsia="黑体"/>
          <w:bCs/>
        </w:rPr>
        <w:t>1、关于标项的定义</w:t>
      </w:r>
    </w:p>
    <w:p w14:paraId="56F8351C">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6318C920">
      <w:pPr>
        <w:tabs>
          <w:tab w:val="left" w:pos="720"/>
        </w:tabs>
        <w:rPr>
          <w:rFonts w:ascii="黑体" w:hAnsi="宋体" w:eastAsia="黑体"/>
        </w:rPr>
      </w:pPr>
      <w:r>
        <w:rPr>
          <w:rFonts w:hint="eastAsia" w:ascii="黑体" w:hAnsi="宋体" w:eastAsia="黑体"/>
        </w:rPr>
        <w:t>（二）其他事项</w:t>
      </w:r>
    </w:p>
    <w:p w14:paraId="324530A7">
      <w:pPr>
        <w:tabs>
          <w:tab w:val="left" w:pos="720"/>
        </w:tabs>
        <w:rPr>
          <w:rFonts w:ascii="黑体" w:hAnsi="宋体" w:eastAsia="黑体"/>
        </w:rPr>
      </w:pPr>
      <w:r>
        <w:rPr>
          <w:rFonts w:hint="eastAsia" w:ascii="黑体" w:hAnsi="宋体" w:eastAsia="黑体"/>
        </w:rPr>
        <w:t>1、关于享受优惠政策的主体及价格扣除比例</w:t>
      </w:r>
    </w:p>
    <w:p w14:paraId="26C70D36">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4D16B14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758539CA">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11E837DF">
      <w:pPr>
        <w:tabs>
          <w:tab w:val="left" w:pos="720"/>
        </w:tabs>
        <w:rPr>
          <w:rFonts w:ascii="黑体" w:hAnsi="宋体" w:eastAsia="黑体"/>
        </w:rPr>
      </w:pPr>
    </w:p>
    <w:p w14:paraId="46A6F9F6">
      <w:pPr>
        <w:rPr>
          <w:rFonts w:ascii="宋体" w:hAnsi="宋体" w:eastAsia="黑体"/>
          <w:bCs/>
          <w:kern w:val="44"/>
          <w:sz w:val="28"/>
          <w:szCs w:val="44"/>
        </w:rPr>
      </w:pPr>
      <w:r>
        <w:br w:type="page"/>
      </w:r>
    </w:p>
    <w:p w14:paraId="0F5426B5">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2992CD8B">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E47081">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331946B">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3FCC0CBE">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344CC7E3">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5BE035B">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986CC89">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5F2F0C7">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29BCEDC5">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A217CE5">
            <w:pPr>
              <w:jc w:val="center"/>
              <w:rPr>
                <w:rFonts w:hint="eastAsia" w:ascii="宋体" w:hAnsi="宋体"/>
                <w:bCs/>
              </w:rPr>
            </w:pPr>
            <w:r>
              <w:rPr>
                <w:rFonts w:hint="eastAsia" w:eastAsia="宋体"/>
                <w:lang w:eastAsia="zh-CN"/>
              </w:rPr>
              <w:t>KSS(GK)2024-054</w:t>
            </w:r>
          </w:p>
        </w:tc>
        <w:tc>
          <w:tcPr>
            <w:tcW w:w="2906" w:type="dxa"/>
            <w:tcBorders>
              <w:top w:val="single" w:color="auto" w:sz="4" w:space="0"/>
              <w:left w:val="single" w:color="000000" w:sz="4" w:space="0"/>
              <w:bottom w:val="single" w:color="auto" w:sz="4" w:space="0"/>
              <w:right w:val="single" w:color="000000" w:sz="4" w:space="0"/>
            </w:tcBorders>
            <w:vAlign w:val="center"/>
          </w:tcPr>
          <w:p w14:paraId="259881B7">
            <w:pPr>
              <w:jc w:val="center"/>
              <w:rPr>
                <w:b/>
                <w:bCs/>
              </w:rPr>
            </w:pPr>
            <w:r>
              <w:rPr>
                <w:rFonts w:hint="eastAsia" w:eastAsia="宋体" w:cs="Times New Roman"/>
                <w:lang w:eastAsia="zh-CN"/>
              </w:rPr>
              <w:t>喀什市公安局信息化装备采购项目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5B0F1093">
            <w:pPr>
              <w:jc w:val="center"/>
              <w:rPr>
                <w:rFonts w:hint="eastAsia" w:ascii="宋体" w:hAnsi="宋体" w:eastAsia="宋体"/>
                <w:bCs/>
                <w:lang w:eastAsia="zh-CN"/>
              </w:rPr>
            </w:pPr>
            <w:r>
              <w:rPr>
                <w:rFonts w:hint="eastAsia" w:ascii="宋体" w:hAnsi="宋体" w:eastAsia="宋体"/>
                <w:bCs/>
                <w:lang w:eastAsia="zh-CN"/>
              </w:rPr>
              <w:t>4556249.176元（肆佰伍拾伍万陆仟贰佰肆拾玖元壹角柒分陆厘元）</w:t>
            </w:r>
          </w:p>
        </w:tc>
        <w:tc>
          <w:tcPr>
            <w:tcW w:w="2622" w:type="dxa"/>
            <w:tcBorders>
              <w:top w:val="single" w:color="000000" w:sz="4" w:space="0"/>
              <w:left w:val="single" w:color="000000" w:sz="4" w:space="0"/>
              <w:bottom w:val="single" w:color="000000" w:sz="4" w:space="0"/>
              <w:right w:val="single" w:color="000000" w:sz="4" w:space="0"/>
            </w:tcBorders>
            <w:vAlign w:val="center"/>
          </w:tcPr>
          <w:p w14:paraId="640720F2">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0674AEA">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4556249.176元（肆佰伍拾伍万陆仟贰佰肆拾玖元壹角柒分陆厘元）</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7DAE285E">
      <w:pPr>
        <w:pStyle w:val="27"/>
        <w:rPr>
          <w:rFonts w:hint="eastAsia" w:ascii="Arial" w:hAnsi="Arial" w:eastAsia="宋体"/>
          <w:b/>
          <w:sz w:val="32"/>
          <w:szCs w:val="32"/>
        </w:rPr>
      </w:pPr>
    </w:p>
    <w:p w14:paraId="38A17674">
      <w:pPr>
        <w:pStyle w:val="27"/>
        <w:rPr>
          <w:rFonts w:hint="eastAsia" w:ascii="Arial" w:hAnsi="Arial" w:eastAsia="宋体"/>
          <w:b/>
          <w:sz w:val="32"/>
          <w:szCs w:val="32"/>
        </w:rPr>
      </w:pPr>
    </w:p>
    <w:p w14:paraId="2502E9F2">
      <w:pPr>
        <w:pStyle w:val="27"/>
        <w:rPr>
          <w:rFonts w:hint="eastAsia" w:ascii="Arial" w:hAnsi="Arial" w:eastAsia="宋体"/>
          <w:b/>
          <w:sz w:val="32"/>
          <w:szCs w:val="32"/>
        </w:rPr>
      </w:pPr>
    </w:p>
    <w:p w14:paraId="623B9DF8">
      <w:pPr>
        <w:pStyle w:val="27"/>
        <w:rPr>
          <w:rFonts w:hint="eastAsia" w:ascii="Arial" w:hAnsi="Arial" w:eastAsia="宋体"/>
          <w:b/>
          <w:sz w:val="32"/>
          <w:szCs w:val="32"/>
        </w:rPr>
      </w:pPr>
    </w:p>
    <w:p w14:paraId="13F43882">
      <w:pPr>
        <w:pStyle w:val="27"/>
        <w:rPr>
          <w:rFonts w:hint="eastAsia" w:ascii="Arial" w:hAnsi="Arial" w:eastAsia="宋体"/>
          <w:b/>
          <w:sz w:val="32"/>
          <w:szCs w:val="32"/>
        </w:rPr>
      </w:pPr>
    </w:p>
    <w:p w14:paraId="72843705">
      <w:pPr>
        <w:pStyle w:val="27"/>
        <w:rPr>
          <w:rFonts w:hint="eastAsia" w:ascii="Arial" w:hAnsi="Arial" w:eastAsia="宋体"/>
          <w:b/>
          <w:sz w:val="32"/>
          <w:szCs w:val="32"/>
        </w:rPr>
      </w:pPr>
    </w:p>
    <w:p w14:paraId="35DAC558">
      <w:pPr>
        <w:pStyle w:val="27"/>
        <w:rPr>
          <w:rFonts w:hint="eastAsia" w:ascii="Arial" w:hAnsi="Arial" w:eastAsia="宋体"/>
          <w:b/>
          <w:sz w:val="32"/>
          <w:szCs w:val="32"/>
        </w:rPr>
      </w:pPr>
    </w:p>
    <w:p w14:paraId="5D275337">
      <w:pPr>
        <w:pStyle w:val="27"/>
        <w:rPr>
          <w:rFonts w:hint="eastAsia" w:ascii="Arial" w:hAnsi="Arial" w:eastAsia="宋体"/>
          <w:b/>
          <w:sz w:val="32"/>
          <w:szCs w:val="32"/>
        </w:rPr>
      </w:pPr>
    </w:p>
    <w:p w14:paraId="6C666B5C">
      <w:pPr>
        <w:pStyle w:val="27"/>
        <w:rPr>
          <w:rFonts w:hint="eastAsia" w:ascii="Arial" w:hAnsi="Arial" w:eastAsia="宋体"/>
          <w:b/>
          <w:sz w:val="32"/>
          <w:szCs w:val="32"/>
        </w:rPr>
      </w:pPr>
    </w:p>
    <w:p w14:paraId="0B5E3E7F">
      <w:pPr>
        <w:pStyle w:val="27"/>
        <w:rPr>
          <w:rFonts w:hint="eastAsia" w:ascii="Arial" w:hAnsi="Arial" w:eastAsia="宋体"/>
          <w:b/>
          <w:sz w:val="32"/>
          <w:szCs w:val="32"/>
        </w:rPr>
      </w:pPr>
    </w:p>
    <w:p w14:paraId="35400671">
      <w:pPr>
        <w:pStyle w:val="27"/>
        <w:rPr>
          <w:rFonts w:hint="eastAsia" w:ascii="Arial" w:hAnsi="Arial" w:eastAsia="宋体"/>
          <w:b/>
          <w:sz w:val="32"/>
          <w:szCs w:val="32"/>
        </w:rPr>
      </w:pPr>
    </w:p>
    <w:p w14:paraId="377BDA76">
      <w:pPr>
        <w:pStyle w:val="27"/>
        <w:rPr>
          <w:rFonts w:hint="eastAsia" w:ascii="Arial" w:hAnsi="Arial" w:eastAsia="宋体"/>
          <w:b/>
          <w:sz w:val="32"/>
          <w:szCs w:val="32"/>
        </w:rPr>
      </w:pPr>
    </w:p>
    <w:p w14:paraId="0E9A6661">
      <w:pPr>
        <w:pStyle w:val="27"/>
        <w:rPr>
          <w:rFonts w:hint="eastAsia" w:ascii="Arial" w:hAnsi="Arial" w:eastAsia="宋体"/>
          <w:b/>
          <w:sz w:val="32"/>
          <w:szCs w:val="32"/>
        </w:rPr>
      </w:pPr>
    </w:p>
    <w:p w14:paraId="49F815A0">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28E769F6">
      <w:pPr>
        <w:rPr>
          <w:rFonts w:hint="eastAsia" w:ascii="宋体" w:hAnsi="宋体" w:eastAsia="宋体"/>
          <w:b/>
          <w:sz w:val="32"/>
          <w:szCs w:val="32"/>
          <w:highlight w:val="green"/>
          <w:lang w:eastAsia="zh-CN"/>
        </w:rPr>
      </w:pPr>
      <w:r>
        <w:rPr>
          <w:rFonts w:hint="eastAsia" w:ascii="宋体" w:hAnsi="宋体"/>
          <w:b/>
          <w:color w:val="FF0000"/>
          <w:sz w:val="32"/>
          <w:szCs w:val="32"/>
        </w:rPr>
        <w:t>本项目核心产品为：数字音频矩阵</w:t>
      </w:r>
    </w:p>
    <w:p w14:paraId="34EABD70"/>
    <w:p w14:paraId="30BB42BF">
      <w:pPr>
        <w:rPr>
          <w:rFonts w:hint="eastAsia" w:eastAsia="宋体"/>
          <w:b/>
          <w:bCs/>
          <w:sz w:val="40"/>
          <w:szCs w:val="40"/>
          <w:lang w:eastAsia="zh-CN"/>
        </w:rPr>
      </w:pPr>
      <w:r>
        <w:rPr>
          <w:rFonts w:hint="eastAsia" w:eastAsia="宋体"/>
          <w:b/>
          <w:bCs/>
          <w:sz w:val="40"/>
          <w:szCs w:val="40"/>
          <w:lang w:eastAsia="zh-CN"/>
        </w:rPr>
        <w:t>货物需求明细：</w:t>
      </w:r>
    </w:p>
    <w:p w14:paraId="2325519F">
      <w:pPr>
        <w:rPr>
          <w:rFonts w:hint="default" w:eastAsia="宋体"/>
          <w:color w:val="FF0000"/>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1483"/>
        <w:gridCol w:w="833"/>
        <w:gridCol w:w="729"/>
        <w:gridCol w:w="10631"/>
      </w:tblGrid>
      <w:tr w14:paraId="3F87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E572D8">
            <w:pPr>
              <w:keepNext w:val="0"/>
              <w:keepLines w:val="0"/>
              <w:widowControl/>
              <w:suppressLineNumbers w:val="0"/>
              <w:jc w:val="center"/>
              <w:textAlignment w:val="center"/>
              <w:rPr>
                <w:rFonts w:ascii="等线" w:hAnsi="等线" w:eastAsia="等线" w:cs="等线"/>
                <w:b/>
                <w:bCs/>
                <w:i w:val="0"/>
                <w:iCs w:val="0"/>
                <w:color w:val="000000"/>
                <w:sz w:val="44"/>
                <w:szCs w:val="44"/>
                <w:u w:val="none"/>
              </w:rPr>
            </w:pPr>
            <w:r>
              <w:rPr>
                <w:rFonts w:hint="default" w:ascii="等线" w:hAnsi="等线" w:eastAsia="等线" w:cs="等线"/>
                <w:b/>
                <w:bCs/>
                <w:i w:val="0"/>
                <w:iCs w:val="0"/>
                <w:color w:val="000000"/>
                <w:kern w:val="0"/>
                <w:sz w:val="44"/>
                <w:szCs w:val="44"/>
                <w:u w:val="none"/>
                <w:lang w:val="en-US" w:eastAsia="zh-CN" w:bidi="ar"/>
              </w:rPr>
              <w:t>装备预算单</w:t>
            </w:r>
          </w:p>
        </w:tc>
      </w:tr>
      <w:tr w14:paraId="4476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C5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1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5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C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0B1C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D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14:paraId="617F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D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电子物证拍摄相机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4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1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E8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微单，2420万像素，无裁切4K 60P,最高40张/S高速连拍，多物体识别高精度追踪对焦，0.5秒预拍摄，支持机身5轴防抖，协同防抖最高8级效果，双SD卡槽 SD卡；SDHC卡；SDXC卡，采用的：HDMI微型端子，高速连拍+：最高约40张/秒（电子快门）、最高约12张/秒（机械快门/电子前帘快门） 高速连拍：最高约20张/秒（电子快门）、最高约7张/秒（电子前帘快门）、最高约5.5张/秒（机械快门） 低速连拍：最高约5张/秒（电子快门）、最高约3张/秒（机械快门/电子前帘快门），RF 24-105mm F4-7.1 STM镜头，电池充电器（含电源线）锂电池（1）相机背带，128G储存卡</w:t>
            </w:r>
          </w:p>
        </w:tc>
      </w:tr>
      <w:tr w14:paraId="1D4D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F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E407">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防火墙</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27FA">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0D72">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12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硬件配置要求（不低于以下参数）：网络处理能力10Gbps，并发连接≥180万，每秒新建连接10万/秒，1U机箱，冗余电源，标准配置板载8个10/100/1000M自适应电、2个SFP插槽和2个SFP+插槽,1个Console口，包含访问控制、地址转换、静态路由、动态路由、策略路由、流量控制、VPN等基础功能； 含25个IPsecVPN 并发隧道数和25个SSLVPN 并发用户数，含有2个扩展插槽。下一代防火墙系统软件；含应用控制、URL过滤、病毒防护、入侵防御、威胁情报检测、IPSec VPN、SSL VPN等功能。含1个防火墙系统管理USB KEY或SSL VPN功能远程USB KEY证书认证终端，3年病毒防护特征库升级服务，▲CPU为国产自研芯片，硬件3年质保。</w:t>
            </w:r>
          </w:p>
        </w:tc>
      </w:tr>
      <w:tr w14:paraId="361C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59AF">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企业级硬盘</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0CC2">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974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E6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16TB 256MB 7200转RPM 企业级黑盘 SATA接口</w:t>
            </w:r>
          </w:p>
        </w:tc>
      </w:tr>
      <w:tr w14:paraId="1AF95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D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4E59">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数字证书</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227A">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B1B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EBA8">
            <w:pPr>
              <w:keepNext w:val="0"/>
              <w:keepLines w:val="0"/>
              <w:widowControl/>
              <w:suppressLineNumbers w:val="0"/>
              <w:jc w:val="left"/>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民警证书 型号GUGH-20</w:t>
            </w:r>
          </w:p>
        </w:tc>
      </w:tr>
      <w:tr w14:paraId="26EA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E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2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E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C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机柜；42U机柜框架采用包边型材（单块钢板一次滚轧成型），前后门板、侧板材料为1.5mm冷轧薄钢板，静载荷承重≥1000Kg；配8块托板（≥100kg）、6块盲板、2块侧板；前后网孔门，通风面积不少于柜门面积的65%；侧门为脱卸式结构无网孔，顶板带风扇孔，无底板；机柜门采用快速拆卸铰链；19”安装角规必须可以调节安装深度，前后共4根；为便于安装，立柱上必须有U制标尺；3.设备本体安装调试及基础制作安装。</w:t>
            </w:r>
          </w:p>
        </w:tc>
      </w:tr>
      <w:tr w14:paraId="3807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C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E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12U壁挂机柜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B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F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750D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 宽×深×高：600×450×630mm；壁挂式机柜；机柜框架采用优质冷轧钢板0.8mm，（单块钢板一次滚轧成型），前后门板、侧板材料为1.0mm冷轧薄钢板，网格门,带物理锁。</w:t>
            </w:r>
          </w:p>
        </w:tc>
      </w:tr>
      <w:tr w14:paraId="1DDF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6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E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信息口配线架</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3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C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5F0B2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配线架24口 免打线含模块RJ45镀金 1U机架式六类千兆CAT6类非屏蔽网线网络跳线架</w:t>
            </w:r>
          </w:p>
        </w:tc>
      </w:tr>
      <w:tr w14:paraId="7023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A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9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理线器</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5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D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708334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1U理线器</w:t>
            </w:r>
          </w:p>
        </w:tc>
      </w:tr>
      <w:tr w14:paraId="42FD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2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0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UPS（20KVA）</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4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top"/>
          </w:tcPr>
          <w:p w14:paraId="654C84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1、电池电压（Vdc）：72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2、电压范围(Vac)：120～295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3、频率范围(Hz)：50/60±10% (自适应)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4、输入制式：L+N+PE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5、输入功率因数：＞0.99(线性满载)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6、输入电流谐波：＜5%(线性满载)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额定功率(VA/W)：20000/16000；8、输出功率因数：0.8（0.9可长期带载）；9、输出电压(Vac)：208/220/230/240±1%；10、输出频率(Hz)：市电模式：与电网同步；电池模式：50/60±0.2%；11、波形(THDv)：＜2%(线性负载)，＜5%(非线性负载)；12、切换时间(ms)：0；13、过载能力：115%-130% 过载：1min；130%-150% 过载：1s；150% 以上过载：200ms ；14、输出方式：国标插座 2 个；15、整机效率：最高可达95%；16、直流启动：具备；17、通信功能：标配RS232，EPO，可选配USB、内置式SNMP、干接点、RS485等；18、面板显示：蓝屏 LCD；19、音频噪音(dB)：＜55；20、报警功能：电池低压、市电异常、UPS故障、输出过载、输出短路；21、保护功能：电池欠压保护、过载保护、短路保护、过温保护、输入过压保护；22、工作温度(℃)：-5~40；23、环境湿度：0 ~ 95%，无冷凝</w:t>
            </w:r>
          </w:p>
        </w:tc>
      </w:tr>
      <w:tr w14:paraId="7C79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4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2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0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7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870F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1.额定电压：12V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2.额定容量：150Ah</w:t>
            </w:r>
          </w:p>
        </w:tc>
      </w:tr>
      <w:tr w14:paraId="282C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E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3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电池柜</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3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B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7161B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可放置12节12V150AH蓄电池，含电池之间连接线缆</w:t>
            </w:r>
          </w:p>
        </w:tc>
      </w:tr>
      <w:tr w14:paraId="229D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5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主输入电缆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6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1F38B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铜芯电缆电力电缆 YJV4*16+1*10平方</w:t>
            </w:r>
          </w:p>
        </w:tc>
      </w:tr>
      <w:tr w14:paraId="011D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3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F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接地系统</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7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B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3789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含汇流排、胯接地线、三相一、二级复合型电源防雷器、铜耳子、防雷器、拉地线、紫铜排或黄铜排、UPS及配电箱接地线及铜耳子、机柜接地线、降阻剂、接地模块、接地开挖等内容</w:t>
            </w:r>
          </w:p>
        </w:tc>
      </w:tr>
      <w:tr w14:paraId="5AFD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4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3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机房空调</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E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F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07E4B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3P立式恒温恒湿，含铜管、底座、空调主机电源等</w:t>
            </w:r>
          </w:p>
        </w:tc>
      </w:tr>
      <w:tr w14:paraId="70FF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9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E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机房空调</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9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9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9CCB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 壁挂式三级特效变频</w:t>
            </w:r>
          </w:p>
        </w:tc>
      </w:tr>
      <w:tr w14:paraId="2F80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8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8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拼接屏恒温设备</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0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7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B217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 壁挂式三级特效变频</w:t>
            </w:r>
          </w:p>
        </w:tc>
      </w:tr>
      <w:tr w14:paraId="4FCE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A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2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空调用铜管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E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80D0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420米，与空调配套</w:t>
            </w:r>
          </w:p>
        </w:tc>
      </w:tr>
      <w:tr w14:paraId="3F16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4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1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0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4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5DB4E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二氧化碳气体灭火器</w:t>
            </w:r>
          </w:p>
        </w:tc>
      </w:tr>
      <w:tr w14:paraId="6242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8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0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无边防静电地板</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1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8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FEBD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安装利旧</w:t>
            </w:r>
          </w:p>
        </w:tc>
      </w:tr>
      <w:tr w14:paraId="65C1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3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1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铜箔</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F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1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0988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4cm接地</w:t>
            </w:r>
          </w:p>
        </w:tc>
      </w:tr>
      <w:tr w14:paraId="3F8D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2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4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防尘漆</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5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8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77BBF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佛碳漆二遍</w:t>
            </w:r>
          </w:p>
        </w:tc>
      </w:tr>
      <w:tr w14:paraId="7008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9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B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机房防静电地胶</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D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9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78BB6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配电室/ups室绝缘胶垫 3mm 6KV</w:t>
            </w:r>
          </w:p>
        </w:tc>
      </w:tr>
      <w:tr w14:paraId="0F51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C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信息化设备配电箱</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2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F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AA30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定制，1个市电主控开，1个UPS电源主空开，3个空调3相电空开，8个32C/2P空开</w:t>
            </w:r>
          </w:p>
        </w:tc>
      </w:tr>
      <w:tr w14:paraId="1C67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4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C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8口千兆交换机（接入）</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3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B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041B6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1、交换容量≥330Gbps，包转发率≥25Mpps，以官网最小值为准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 个千兆电口，≥2 个千兆 SFP，无风扇，自然散热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 MAC 地址≥16K，支持4K个VLAN，支持Voice VLAN，基于端口的VLAN，基于MAC的VLAN，基于协议的VLAN支持Smart link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 RIP、RIPng、OSPF、OSPFv3 路由协议，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5、千兆单模光模块2个，▲CPU为国产自研芯片</w:t>
            </w:r>
          </w:p>
        </w:tc>
      </w:tr>
      <w:tr w14:paraId="72B5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2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D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16口三层千兆交换机（接入）</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1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1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03D9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1、交换容量≥670Gbps，包转发率≥110Mpps；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2、整机实配：16个千兆电口，4个千兆SFP；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3、支持二层和RIP、RIPng、OSPF、OSPFv3等三层特性，支持完善的以太 OAM（IEEE 802.3ah/802.1ag），用于快速检测链路故障；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4、支持SNMP v1/v2c/v3、CLI（命令行）、Web 网管、SSHv2.0 等多样化的管理和维护方式；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5、实配：千兆单模光模块2个，▲CPU为国产自研芯片，硬件3年质保。</w:t>
            </w:r>
          </w:p>
        </w:tc>
      </w:tr>
      <w:tr w14:paraId="74A9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0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8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24口三层千兆交换机（汇聚）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2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1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6EFD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1、交换容量≥670Gbps，包转发率≥120Mpps；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2、整机实配：千兆电口≥24个，千兆光口≥4个；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3、支持二层和RIP、RIPng、OSPF、OSPFv3等三层特性，支持完善的以太 OAM（IEEE 802.3ah/802.1ag），用于快速检测链路故障；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4、支持SNMP v1/v2c/v3、CLI（命令行）、Web 网管、SSHv2.0 等多样化的管理和维护方式；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5、实配：千兆单模光模块2个，▲CPU为国产自研芯片，硬件3年质保。</w:t>
            </w:r>
          </w:p>
        </w:tc>
      </w:tr>
      <w:tr w14:paraId="5C0A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D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B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48口三层千兆交换机（汇聚核心）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7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7932F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1、交换容量≥670Gbps，包转发率≥160Mpps，以官网最小值为准；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2、整机实配：千兆电口≥48个，千兆SFP≥4个；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3、支持二层和RIP、RIPng、OSPF、OSPFv3等三层特性，支持完善的以太 OAM（IEEE 802.3ah/802.1ag），用于快速检测链路故障；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4、支持SNMP v1/v2c/v3、CLI（命令行）、Web 网管、SSHv2.0 等多样化的管理和维护方式；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5、实配：千兆单模光模块4个，▲CPU为国产自研芯片，硬件3年质保。</w:t>
            </w:r>
          </w:p>
        </w:tc>
      </w:tr>
      <w:tr w14:paraId="2E9F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7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0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3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9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1E417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含尾纤、空开、电源插线板、防水胶带，绑扎线，机打标签，钢扎，保护套管、五金配件，水晶头等安装辅材</w:t>
            </w:r>
          </w:p>
        </w:tc>
      </w:tr>
      <w:tr w14:paraId="3D26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1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C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六类信息面板</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F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3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4CE4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六类双口信息面板，含模块和底盒</w:t>
            </w:r>
          </w:p>
        </w:tc>
      </w:tr>
      <w:tr w14:paraId="4F22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F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F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6类非屏蔽网线</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B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F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A82F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国标六类非屏蔽网线、305米一箱。无氧铜</w:t>
            </w:r>
          </w:p>
        </w:tc>
      </w:tr>
      <w:tr w14:paraId="237F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F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1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B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4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63AF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国标RVV2×1.5mm²，多股铜芯，终验合格之日起5年质保。</w:t>
            </w:r>
          </w:p>
        </w:tc>
      </w:tr>
      <w:tr w14:paraId="35D6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9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7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1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E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169BC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国标RVV2×2.5mm²，多股铜芯，终验合格之日起5年质保。</w:t>
            </w:r>
          </w:p>
        </w:tc>
      </w:tr>
      <w:tr w14:paraId="3ADB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F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6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D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19142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国标RVV2×4mm²，多股铜芯，终验合格之日起6年质保。</w:t>
            </w:r>
          </w:p>
        </w:tc>
      </w:tr>
      <w:tr w14:paraId="60F3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B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A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9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E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8A84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国标RVV3×4.0mm²，多股铜芯，终验合格之日起5年质保。</w:t>
            </w:r>
          </w:p>
        </w:tc>
      </w:tr>
      <w:tr w14:paraId="2CD0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9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A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8芯光缆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C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2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276E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电信级加铠8芯1、名称：8芯室外单模光纤2、规格：低水峰单模光缆符合 G.652D 要求1383 nm E 频段时提供最低损耗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支持传统单模设备和应用；增加了 60% 以上的可用波长；最大程度地支持成本最低的 CWDM 技术，为未来单模应用开辟了一条成本最低的道路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单模光纤光学特性：衰减(+20℃)@1310nm≤0.35dB/km；@1550nm≤0.195dB/km；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包层直径:125.0 ± 1 μm；纤芯/包层偏移:≤ 0.6 μm；涂层直径（未着色）:245 ± 10 μm；涂层直径（着色）:254 ± 7 μm；纤芯/包层最大同心误差:≤12.5 μm；包层不圆度:≤ 1%；截止波长:≤ 1260；零色散波长: 1,300-1,324 nm；零色散斜率: 0.092 ps/[km-nm-nm]；温度相关性:(-40°C 至 70°C): ≤ 0.015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拉伸附加衰减：长期拉力1000N，光纤附加衰减≤0.03；短期拉力3000N，光纤附加衰减≤0.1</w:t>
            </w:r>
          </w:p>
        </w:tc>
      </w:tr>
      <w:tr w14:paraId="414E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0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2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ODF架子框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E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B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51D95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12芯ODF光纤配线架子框单元体满配FC单模 机架式光缆终端盒 ZW-ODF12FC</w:t>
            </w:r>
          </w:p>
        </w:tc>
      </w:tr>
      <w:tr w14:paraId="4F31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2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C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终端盒</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C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0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7C880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8口8芯单模SC满配尾纤法兰盘 光缆熔接盒 光纤续接盘配线架SK-GXH8SM-SC</w:t>
            </w:r>
          </w:p>
        </w:tc>
      </w:tr>
      <w:tr w14:paraId="40D6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C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1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金属桥架</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8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2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64813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防火200×100×1.0（mm），含卡扣、直接连接加强条、转弯加强条、铝合金固线器等配套辅材</w:t>
            </w:r>
          </w:p>
        </w:tc>
      </w:tr>
      <w:tr w14:paraId="45DC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B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F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B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B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D558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Φ25，壁厚1.0mm</w:t>
            </w:r>
          </w:p>
        </w:tc>
      </w:tr>
      <w:tr w14:paraId="32E6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F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7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室外防水设备箱</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F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72FEF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300*400，含排插</w:t>
            </w:r>
          </w:p>
        </w:tc>
      </w:tr>
      <w:tr w14:paraId="67A4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F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C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墙面开槽及恢复</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4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C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8E1E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墙面开槽及恢复</w:t>
            </w:r>
          </w:p>
        </w:tc>
      </w:tr>
      <w:tr w14:paraId="7FE5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9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B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F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9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B239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含尾纤、空开、电源插线板、防水胶带，绑扎线，机打标签，钢扎，保护套管、五金配件，水晶头等安装辅材</w:t>
            </w:r>
          </w:p>
        </w:tc>
      </w:tr>
      <w:tr w14:paraId="08E4B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A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D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LCD显示单元</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E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F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0E7EE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 监控电视墙，对角线尺寸≥55英寸，物理分辨率≥1920×1080，响应时间≤8ms，≥1个HDMI输入接口、≥1个DVI输入接口。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 物理拼缝≤3.5mm，亮度≥500cd/㎡，对比度≥1000:1，水平、垂直视场角均≥178°。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3. 支持设置开机延时时间，设备开机时根据延时时间执行开机动作，延时时间不低于0-3000ms可调。（需提供首页具有CNAS标识的检测报告复印件并加盖制造商鲜章证明）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4. 设备支持节能模式，打开节能模式后，对应拼接单元上会依次显示实时百分比功率、实时功率、累计功率等项目。（需提供首页具有CNAS标识的检测报告复印件并加盖制造商鲜章证明）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5. 支持图像静止功能，可将某一帧图像持续显示，图像静止关闭时，恢复正常显示。（需提供首页具有CNAS标识的检测报告复印件并加盖制造商鲜章证明）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6. 设备具有不断电待机功能，待机功耗≤0.5W，当无任何信号输入时，设备在规定时内自动待机节能，当有信号接入时，设备能够快速开机显示。（需提供首页具有CNAS标识的检测报告复印件并加盖制造商鲜章证明）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7. 支持信源自动切换功能，当有新信号输入时，自动切到相应信源，当前显示信源断开后，自动切到下一个有信号的信源。（需提供首页具有CNAS标识的检测报告复印件并加盖制造商鲜章证明）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8. 内置智能系统，可快速读取显示屏信息，包括屏幕背光源、亮度、对比度、分辨率等，具有配套控制软件，可通过串口控制屏幕，不需要遥控器的接入，实现遥控器的所有功能。（需提供首页具有CNAS标识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9. 支持定制开机LOGO、不显示LOGO，定制开机LOGO下，无需升级软件可任意定制LOGO，支持LOGO自拼接，当拼接墙设置好拼接参数后开机，LOGO会根据行列位置进行自拼接显示。（需提供首页具有CNAS标识的检测报告复印件并加盖制造商鲜章证明）</w:t>
            </w:r>
          </w:p>
        </w:tc>
      </w:tr>
      <w:tr w14:paraId="4836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2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2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大屏支架及底座</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F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1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C950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55英寸3*3模块化支架及底座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产品配置：左右上封板；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前开门/前封板，后留空；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材质：优质冷轧钢板(SPCC)，材料厚度从T1.0-T5不等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备注说明：无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表面处理：静电喷塑，涂层厚度&gt;60微米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弧度：0°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适用规模：不宜超过3行；不超过5行；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可定制范围：颜色，离地高度，后封板/后开门，前封板/前开门，拉杆长度，LOGO，储物隔板</w:t>
            </w:r>
          </w:p>
        </w:tc>
      </w:tr>
      <w:tr w14:paraId="3EB8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C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B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集中式拼控器</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0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0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09B80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进12出拼控一体机硬件结构2U标准机架式设计，一体机设计机箱具备1个风扇，左右风道散热视频输入支持HDMI信号输入，支持复合音频输入图像采集及输出均支持RGB888，无损画质支持输入OSD叠加支持输入图像裁剪，能将输入图像黑边进行剪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出支持HDMI视频信号输出，支持复合音频输出；采用帧同步技术，保证所有输出口的图像完全同步，画面完整，播放流畅，无卡顿丢帧情况，无撕裂和拼缝现象电视墙功能；最大支持12个显示屏的任意大屏拼接支持开窗和漫游功能支持3张底图显示，单墙1张，分辨率为1080P支持多电视墙，支持3电视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128个预设场景，用户可以自定义每个场景电视墙布局最大支持128个预案轮巡组，每个预案可自定义设置点位、场景、时间支持分屏子窗口双击放大，双击缩小功能运维管理；支持WEB方式访问和操作，浏览器支持chrome 45及以上版本支持远程获取和配置参数，支持远程导出和导入参数支持远程获取系统运行状态、系统日志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远程重启、恢复默认设置、升级等日常维护支持手动校时或者NTP校时机箱高度：2U总线类型：高速总线信号采样质量：RGB888主控板槽位数：1业务板槽位数：6配置主控板数量：1配置业务板数量：5配置电源数量：1；整机拼接能力：12路；风扇：1个 串行接口：3个，1个调试串口 + 1个RS485（凤凰端子；波特率：115200；有效数据位：8位）+1个RS232（凤凰端子；波特率：115200；有效数据位：8位）；机箱屏幕：无 电源接口：AC100~240V，50/60Hz ；电视墙数量：3电视墙规模：12开窗数量：单接口2个窗；单口画面分割数：1/2输入源复制能力：（1）60Hz：2K输入板有6路上墙能力（2）30Hz：2K输入板有12路上墙能力单屏图层数：2个图层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图层数：24场景数量：128个场景切换延时：400ms预案数量：128个底图：一共3个，单墙1个，分辨率1080P；字幕数量：3个，单墙1个输入OSD叠加：支持输入图像裁剪：支持，上下左右各200个像素点本地源上墙延时：50ms ；工作温度：0℃--＋50℃工作湿度：10％--90％产品尺寸（宽×高×深）：442mm（宽）* 88.1mm（高）* 385mm（深）净重：7.51Kg毛重：10.24Kg；整机功耗：≤150W(满配)</w:t>
            </w:r>
          </w:p>
        </w:tc>
      </w:tr>
      <w:tr w14:paraId="425B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B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2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矩阵</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C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0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top"/>
          </w:tcPr>
          <w:p w14:paraId="3456E7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每个屏幕可以自定义与其他屏幕不同的输出分辨率。;输出接口同步拼接：采用帧同步技术，保证所有输出接口的输出图像完全同步，画面完整，播放流畅，无卡顿丢帧情况，无撕裂和拼缝现象。;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卡单接口配屏和跨卡多接口配屏。;支持对显示单元的拼接缝进行边缘补偿。;输入源台标管理：对输入源设置文字台标，方便输入源的识别。;支持输入源截取和截取源重命名：对输入源画面进行任意截取，形成一个新的输入源，不影响原输入源的使用。;支持输入源HDCP自动解码和小数帧频。;输入源分组：支持对输入源进行分组管理。;自定义用户场景：2000个用户自定义场景，支持场景无缝切换；场景切换响应速度＜60ms。;场景自动定时轮巡：可以选择每个场景是否参与自动轮巡，方便监控、展览展示领域应用。;采用Web端控制，操作实时响应，采用1000M/100M自适应网络接口，支持多用户同时访问。;Web端固件升级。;支持设备自检。;系统自动监测和告警：支持硬件监控，异常报警，包括风扇转速、各模块温度及电压、运行状态等设备监测。;机箱高度：1.5U ；电源：100–240V~,50/60 Hz, 2.6A；配件：1×电源线、1×RJ45网线、1×接地线,、1×HDMI线1×合格证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包装尺寸（长 X 厚 X 高）：550 mm × 175 mm × 400 mm；尺寸（宽*高*深）：72.4 mm × 250 mm × 482.6 mm ；净重：4.5kg；功耗：40W；毛重：6.6kg；存储温度：-10°C-60°C；存储湿度：0%RH～95%RH，无冷凝</w:t>
            </w:r>
          </w:p>
        </w:tc>
      </w:tr>
      <w:tr w14:paraId="462B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0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D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0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B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8B198F8">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采用双DSP设计，内置18段A、B双通道高精度数字陷波器，可精准找到啸叫的频率点而将其消除，同时兼具自动移相移频功能,啸叫抑制能力超强</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配备双12段参量均衡，高低通分频</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线路输入输出</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增益差：≤ 1 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失真限制的输出电压：≥ 3 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移频：4 ± 1 Hz</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总谐波失真：≤ 0.5 %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信噪比：≥ 105 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频率响应：80 Hz~15 kHz，± 2 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 串音：≥ 80 dB</w:t>
            </w:r>
          </w:p>
        </w:tc>
      </w:tr>
      <w:tr w14:paraId="56AE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0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F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音频调音台</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3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6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FEB9B08">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最大输入电平：≥ 16 dBu</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总谐波失真：20 Hz~20 kHz ≤ 0.01 %@ + 4 dBu</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信噪比：≥ 100 dB（A计权）</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频率响应：20 Hz~20 kHz（+ 1，- 3 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最大输出电平：≥ 10 dBu</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 串音：≤ - 50 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话筒增益：70 ± 2 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音频输入：≥8路，输出≥4路</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额定电源电压：AC 220 V，50/60 Hz</w:t>
            </w:r>
          </w:p>
        </w:tc>
      </w:tr>
      <w:tr w14:paraId="29E9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2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数字音频媒体矩阵 </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4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3124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设备参数：通道：4路平衡式话筒\线路输入，采用裸线接口端子；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4路平衡式输出，采用裸线接口端子；     带反馈抑制+回声消除+噪声消除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120db的 A/D与D/A转换， 最高可达96kHz/48K采样率；高速DSP处理芯片Ti 450MHz FLOPS DSP处理内核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输入源：输入方式可切换平衡话筒或线路，采用凤凰插接口；功能特点：通道拷贝、粘贴、联控功能；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DSP音频处理；输入每通道：前级放大、信号发生器、扩展器、压缩器、5段参量均衡、自动增益、AM自动混音功能；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输出每通道：音箱管理器（31段参量均衡器、延时器、分频器、高低通滤波器、限幅器）；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AEC回声消除、AFC自适应反馈消除、ANS噪音消除；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兼容多方平台控制管理，支持windows系统、iOS系统（iPAD、Iphone)以及Andriod系统；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Enternet多用途数据传输及控制端口，可以支持实时管理单台及多台设备；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观形象、简洁易懂的图形化软件控制界面，为客户带来快捷、实时的操作体验；设备无需光盘，自带安装软件，一台设备对于一个软件版本，解决因为安装光盘丢失以及多个软件版本混乱引起的烦恼；可扩展USB接口，不仅可以实现设备升级功能，还可以实现USB录音与播音的功能；全功能矩阵混音功能，不单单是混音和自动混音功能，还具备混音分量控制功能；内置自动摄像跟踪功能；配置双向RS232接口、RS485接口、标准以太网控制接口、8通道可编程GPIO控制接口（可自定义输入输出）；支持平板界面操作控制；支持8~100组场景预设功能；直观、图形化软件控制界面，可工作在XP/Windows7、8、10等系统环境下。  ▲ 能够跟单位现有音频管理平台关联使用，</w:t>
            </w:r>
          </w:p>
        </w:tc>
      </w:tr>
      <w:tr w14:paraId="6573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3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A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8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C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C4D7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电源：48 V幻象供电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连接方式：音频线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功率消耗：2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指向特性：全指向性、心型指向性、超心型指向性、锐心型指向性、8字型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传声器类型：心型电容式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总谐波失真：&lt; 1%@1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频率响应：50 Hz~13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灵敏度：-26 Db ± 3 dB(平衡，0 dB=1  V/pa@1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装箱清单：有线方管话筒 × 1；音频线 × 1；说明书（含合格证、保修卡） × 1</w:t>
            </w:r>
          </w:p>
        </w:tc>
      </w:tr>
      <w:tr w14:paraId="06E2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B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0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功率放大器（功放）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A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96C4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分离度：≥70dB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保护方式：过流保护、直流保护、短路保护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阻尼系数：≥200@ 8 ohms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 0.1 %（1 kHz@10 % PO）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 96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频率响应：20 Hz~20 kHz（± 1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输出功率：立体声：2 × 100 W/8 Ω；2 × 150 W/4 Ω；桥接：1 × 300W/8 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输入灵敏度：1.4 V/1 V/0.775 V（± 10 %）可选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输入连接座：XLR卡侬接口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电压增益：32dB(@1KHz)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输入阻抗：平衡20 kΩ，非平衡10 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指示灯：电源 、保护、失真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电源电压：AC 220 V，50/60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冷却方式：风扇冷却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最大功耗：300W</w:t>
            </w:r>
          </w:p>
        </w:tc>
      </w:tr>
      <w:tr w14:paraId="2846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F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D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A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D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25B34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峰值功率：320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高音扬声器：HF:1 ×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覆盖角度：60°× 40°（H×V）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额定功率：80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灵敏度：91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中低音扬声器：LF:1 × 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额定阻抗：8 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连续声压级：110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额定频率范围：75 Hz~20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最大声压级：116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安装方式：壁挂安装，自带支架</w:t>
            </w:r>
          </w:p>
        </w:tc>
      </w:tr>
      <w:tr w14:paraId="7D89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2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0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大屏封堵墙</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E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15851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大屏包边及根据现场情况定制吸音板封堵墙和暗门，便于后期对大屏开展维护。</w:t>
            </w:r>
          </w:p>
        </w:tc>
      </w:tr>
      <w:tr w14:paraId="3AD3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1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DC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1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3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731A5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木地板修复主席台修复隐形门修复(材质:澳松板、不锈钢、结构胶等)长6.6M，宽2.05M，高12CM</w:t>
            </w:r>
          </w:p>
        </w:tc>
      </w:tr>
      <w:tr w14:paraId="565C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6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大屏显示及扩声系统辅材</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F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E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53F87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含HDMI电缆，音频线缆、电源线缆，及防水胶带，绑扎线，机打标签，保护套管、五金配件，水晶头等安装辅材</w:t>
            </w:r>
          </w:p>
        </w:tc>
      </w:tr>
      <w:tr w14:paraId="1363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3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8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室内半球摄像机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8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9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629A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 全彩枪型网络摄像机，传感器靶面尺寸≥1/1.9英寸，视频分辨率和帧率≥2560x1440、25帧/秒，视频压缩标准支持H.265、H.264，镜头光圈≥F1.0（即F值≤1.0）；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 最低照度需满足彩色≤0.0005 lx，在彩色模式下，当照度降低至一定值时，可自动开启白光灯补光，在白天、夜晚均可输出彩色视频图像；（需提供公安部所属检验机构出具的检测报告复印件并加盖制造商鲜章证明）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 支持记录系统操作、配置操作、数据操作、事件操作、异常状态、用户管理、清空日志等不少于八种类型的日志信息。可按照主类型、次类型、开始时间、结束时间搜索日志，主类型有全部类型、报警、异常、操作、信息等不少于五种类型；次类型可在主类型限定范围内按功能细分搜索的日志范围；（需提供公安部所属检验机构出具的检测报告复印件并加盖制造商鲜章证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 字符叠加(OSD)功能支持在视频图像上叠加不少于28行字符，字符可选择项至少包括通道名称、时间、日期等，字体、颜色、位置、闪烁、滚动效果可设置；（需提供公安部所属检验机构出具的检测报告复印件并加盖制造商鲜章证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内置≥1个麦克风，≥2颗暖色白光补光灯，白光补光距离≥30米，防护等级IP66或以上。</w:t>
            </w:r>
          </w:p>
        </w:tc>
      </w:tr>
      <w:tr w14:paraId="396B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A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室内（外）智能枪机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B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A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0F7E0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 高清半球摄像机，视频分辨率和帧率≥2560x1440、25帧/秒，支持水平、垂直、旋转三轴调节，视频压缩标准支持H.265和H.264；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不少于1/1.8英寸图像传感器，光圈≥F1.0（即F值≤1.0），彩色最低照度≤0.0005 lx，支持≥120 dB宽动态；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 支持记录系统操作、配置操作、数据操作、事件操作、异常状态、用户管理、清空日志等不少于八种类型的日志信息。可按照主类型、次类型、开始时间、结束时间搜索日志，主类型有全部类型、报警、异常、操作、信息等不少于五种类型；次类型可在主类型限定范围内按功能细分搜索的日志范围；（需提供公安部所属检验机构出具的检测报告复印件并加盖制造商鲜章证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 字符叠加(OSD)功能支持在视频图像上叠加不少于28行字符，字符可选择项至少包括通道名称、时间、日期等，字体、颜色、位置、闪烁、滚动效果可设置；（需提供公安部所属检验机构出具的检测报告复印件并加盖制造商鲜章证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具有≥1个网口，≥1个麦克风，内置白光补光灯，白光补光距离需≥30米，防护等级IP66或以上。</w:t>
            </w:r>
          </w:p>
        </w:tc>
      </w:tr>
      <w:tr w14:paraId="6A05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7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E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CC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CA4D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壁装支架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 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适用范围 适合枪型、筒型、一体型摄像机壁装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 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调整角度 水平：360°，垂直：-45°~45°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 70×97.1×173.4mm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201g</w:t>
            </w:r>
          </w:p>
        </w:tc>
      </w:tr>
      <w:tr w14:paraId="7601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6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F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高速智能球机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B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1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1C444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网络高清智能球机，最大分辨率和帧率≥2560×1440@25fps，支持H.265、H.264编码，支持≥22倍光学变倍，最大焦距≥135mm，最低照度彩色≤0.005lx，黑白≤0.001lx；支持水平及垂直电动旋转，支持水平360°连续旋转，垂直旋转范围≥90°，支持自动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支持深度学习算法，支持人车分类侦测、报警、联动跟踪，支持区域入侵侦测、越界侦测、进入区域侦测和离开区域侦等智能侦测并联动跟踪；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人脸抓拍，至少支持最佳抓拍和快速抓拍模式，支持监控画面中≥30张人脸进行检测、框选、跟踪及抓拍，抓拍图片模式至少包括人脸照、半身照、全身照、自定义；应支持智能分析抗干扰功能，当篮球、小狗、树叶等非人或车辆目标经过检测区域时，不会触发报警；（提供公安部所属检验机构出具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静电放电抗扰度不低于GB/T 17626.2-2018中试验等级4级的规定，工频磁场抗扰度不低于GB/T 17626.8-2006中等级5级规定，阻尼振荡磁场抗扰度不低于GB/T 17626.10-2017中等级5级规定，电压暂降抗扰度不低于GB/T 17626.11-2008中3类的规定，短时中断抗扰度不低于GB/T 17626.11-2008中3类的规定；（提供公安部所属检验机构出具的检测报告复印件并加盖制造商鲜章证明）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内置≥1个网口、≥1个存储卡接口、≥1对音频输入/输出接口、≥1对报警输入输出接口，内置补光灯，红外补光距离≥150m，白光补光距离≥30m，防护等级不低于IP66。</w:t>
            </w:r>
          </w:p>
        </w:tc>
      </w:tr>
      <w:tr w14:paraId="684D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A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E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高速智能球机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5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2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0A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网络高清智能球机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智能网络球机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支持1/2.8" 400万23倍光学变焦镜头，采用高效补光阵列，低功耗，红外补光100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支持区域入侵侦测、越界侦测、进入区域侦测和离开区域侦等智能侦测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适用于交通道路，广场、公园、出入口、园区周界等场景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支持深度学习算法，提供精准的人车分类侦测、报警、联动球机镜头进行快速查看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支持切换为人脸抓拍模式，最大同时抓拍5张人脸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内置加热玻璃，有效除雾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支持最大2660 × 1440 @30 fps高清画面输出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支持超低照度，0.005 Lux @F1.6（彩色），0.001 Lux @F1.6（黑白），0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支持23倍光学变倍，16倍数字变倍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支持海康SDK，视图库，OTAP，ONVIF，ISAPI，GB/T28181，ISUP，萤石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支持一进一出音频、最大支持512G microSD卡存储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IP66，符合GB/T17626.2/3/4/5/6四级标准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传感器类型：1/2.8＂ progressive scan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最低照度：彩色：0.005Lux @ (F1.6，AGC ON)；黑白：0.001Lux @(F1.6，AGC ON) ；0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宽动态：支持真宽动态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焦距：4.8 mm~110 mm，23倍光学变倍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视场角：水平视场角：55°~2.7°（广角~望远）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垂直视场角：33°~1.5°（广角~望远）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对角视场角：61.5°~3.1°（广角~望远）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补光灯类型：红外补光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补光灯距离：100 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水平范围：360°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垂直范围：-15°-90°(自动翻转)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水平速度：水平键控速度：0.1°-80°/s,速度可设;水平预置点速度：80°/s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垂直速度：垂直键控速度：0.1°-80°/s,速度可设;垂直预置点速度：80°/s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主码流帧率分辨率：50 Hz：25 fps（2560 × 1440，1920 × 1080，1280 × 960，1280 × 720）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 Hz：30 fps（2560 × 1440，1920 × 1080，1280 × 960，1280 × 720）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视频压缩标准：H.265;H.264;MJPEG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网络接口：RJ45网口，自适应10M/100M网络数据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SD卡扩展：内置Micro SD卡插槽，支持Micro SD/Micro SDHC/Micro SDXC卡（最大支持512GB）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音频输入：1路音频输入，音频峰值：2-2.4V[p-p]，输入阻抗：1 kΩ±10%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音频输出：1路音频输出，线性电平，阻抗:600Ω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供电方式：DC12V;PoE+(802.3at)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电流及功耗：最大功耗：18 W（其中除雾加热1.6 W，补光灯9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工作温湿度：-30℃-65℃;湿度小于90%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恢复出厂设置：支持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除雾：加热玻璃除雾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尺寸：Ø164.5 × 290 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重量：2 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防护：IP66; 6000V 防雷、防浪涌、防突波，符合GB/T17626.2/3/4/5/6四级标准 </w:t>
            </w:r>
          </w:p>
        </w:tc>
      </w:tr>
      <w:tr w14:paraId="3CA9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2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B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网络硬盘录像机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1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0512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3U机架式16盘位嵌入式网络硬盘录像机，采用短机箱设计，搭载高性能ATX电源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存储接口：16个SATA接口，可满配8TB硬盘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视频接口：2×HDMI，2×VGA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网络接口：2×RJ45 10/100/1000Mbps自适应以太网口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报警接口：16路报警输入，9路报警输出（其中第9路支持CTRL 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反向供电：1路DC12V 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串行接口：1路RS-232接口，1路半双工RS-485接口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USB接口：2×USB 2.0，2×USB 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输入带宽：320Mbps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输出带宽：256Mbps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接入能力：64路H.264、H.265格式高清码流接入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解码能力：最大支持12×1080P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显示能力：最大支持4K+1080P异源输出</w:t>
            </w:r>
          </w:p>
        </w:tc>
      </w:tr>
      <w:tr w14:paraId="37DC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6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82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9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04529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 HDD,8TB,7200RPM, 256MB, SATA 6Gb/s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高转速：7200RPM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支持硬盘健康管理功能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MTBF(平均故障间隔时间)：不小于200万小时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年写入负载：不小于360TB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支持5年有限质保服务</w:t>
            </w:r>
          </w:p>
        </w:tc>
      </w:tr>
      <w:tr w14:paraId="76ED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E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E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21寸显示器</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6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D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4E02F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显示尺寸： 21寸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屏幕可视区域：698.4 (H) mm × 392.285 (V)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物理分辨率：1920 × 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背光源类型：E-LED 背光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像素间距：0.36375 (H) mm × 0.36375(V)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亮度：300 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可视角：178°(H) / 178° (V)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色深度：8 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对比度：3000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响应时间：8 ms (typ)（G to G）OD 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刷新率：60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雾度：Haze 25%, 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连续使用时间：7 × 24H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色域：72% NTSC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音视频输入接口：VGA × 1，HDMI 2.0 × 1，DP 1.4 × 1，AUDIO IN (3.5mm)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音视频输出接口：AUDIO OUT (3.5mm) × 1, Speaker(6Ω 2W) ×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数据传输接口：无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控制接口：无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电源：100~240 VAC,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功耗：≤ 40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待机功耗：≤ 0.5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工作温度：0 °C ~ 40 °C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工作湿度：10% ~ 85% RH (无冷凝水)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存储温度：-20 °C ~ 60 °C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存储湿度：5% ~ 95% RH (无冷凝水)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外壳材料：塑胶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安装孔距：100 mm × 100 mm（4 - M4 × 10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边框宽度：2 mm (上/左/右), 21.87 mm (下)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标配带底座。</w:t>
            </w:r>
          </w:p>
        </w:tc>
      </w:tr>
      <w:tr w14:paraId="5E1A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1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C3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人员通道（左闸）</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5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4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vMerge w:val="restart"/>
            <w:tcBorders>
              <w:top w:val="single" w:color="000000" w:sz="4" w:space="0"/>
              <w:left w:val="single" w:color="000000" w:sz="4" w:space="0"/>
              <w:bottom w:val="single" w:color="000000" w:sz="4" w:space="0"/>
              <w:right w:val="nil"/>
            </w:tcBorders>
            <w:shd w:val="clear" w:color="auto" w:fill="auto"/>
            <w:vAlign w:val="top"/>
          </w:tcPr>
          <w:p w14:paraId="09463BC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 翼闸型闸机通道，通道宽度不低于550mm，门翼采用亚克力材质，门翼厚度不低于8mm，外壳采用不锈钢材质，箱体长≥1200mm，高≥1000mm；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箱体材质不低于SUS304拉丝不锈钢，板材厚度≥1.0mm，≥4对红外对射；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外壳防护等级不低于IP54，设备机身外壳的人员通行检测部分、指示部分不低于IK07的要求，其他表面不低于IK08的要求；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4. 支持尾随报警功能，在通道中同时通行人数超过允许通行的人数时会有报警提示（一起通过的前后两人之间的距离≥15mm时应可以检测出尾随行为），至少支持语音播报、指示灯、IO信号联动，同时上传对应的报警事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5. 支持翻越报警、滞留报警、反向闯入报警、通行超时报警等功能，至少支持语音播报、指示灯、IO信号联动，同时上传对应的报警事件；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6. 支持开闸通行模式配置，至少支持常开、常闭、感应通行、授权认证通行、无障碍通行模式，进、出方向可分别设置通行模式，至少支持进受控出受控、进受控出感应开门、进受控出禁止、进感应开门出禁止、进禁止出受控、进禁止出感应开门、进禁止出禁止通行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7. 支持应急放行功能，设备在断电或者发生故障后能处于无拦挡状态，设备标配储能装置（蓄电池或电容或其他储能装置等），实现断电自动开门功能，储能装置支持自动充电功能；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8. 具备防水浸功能，通道在底部积水情况下可正常运行，最大水浸高度≥200mm；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9. 支持门翼开门速度和关门速度单独设置，门翼开/关门速度不低于0.6s~1.5s可调，调节范围不低于10档；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10. 支持单通道反潜回（防跟随）、多通道跨主机反潜回的功能，当检测到任意一种反潜回报警时会有报警提示（包括语音播报、指示灯、IO信号联动输出），同时上传报警事件，有效防止非授权人员非法入侵；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11. 支持不少于20万卡片管理和20万事件记录存储，支持ID卡、M1卡、CPU卡、NFC等读卡器识读设备、二维码扫描仪、面部识别组件、指纹模块、身份证阅读器等设备集成，实现多种认证方式组合应用；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12. 工作瞬间最大噪声声压≤80dB(A)，持续噪声声压≤60dB(A)。                                                                                                                                                   ▲ 13、设备需能够接入现有的单位内保管理平台</w:t>
            </w:r>
          </w:p>
        </w:tc>
      </w:tr>
      <w:tr w14:paraId="6563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3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4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人员通道（右闸）</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3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6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vMerge w:val="continue"/>
            <w:tcBorders>
              <w:top w:val="single" w:color="000000" w:sz="4" w:space="0"/>
              <w:left w:val="single" w:color="000000" w:sz="4" w:space="0"/>
              <w:bottom w:val="single" w:color="000000" w:sz="4" w:space="0"/>
              <w:right w:val="nil"/>
            </w:tcBorders>
            <w:shd w:val="clear" w:color="auto" w:fill="auto"/>
            <w:vAlign w:val="top"/>
          </w:tcPr>
          <w:p w14:paraId="70C29A5E">
            <w:pPr>
              <w:jc w:val="left"/>
              <w:rPr>
                <w:rFonts w:hint="eastAsia" w:ascii="宋体" w:hAnsi="宋体" w:eastAsia="宋体" w:cs="宋体"/>
                <w:i w:val="0"/>
                <w:iCs w:val="0"/>
                <w:color w:val="000000"/>
                <w:sz w:val="22"/>
                <w:szCs w:val="22"/>
                <w:u w:val="none"/>
              </w:rPr>
            </w:pPr>
          </w:p>
        </w:tc>
      </w:tr>
      <w:tr w14:paraId="254F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B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F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人员通道（中间闸）</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3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vMerge w:val="continue"/>
            <w:tcBorders>
              <w:top w:val="single" w:color="000000" w:sz="4" w:space="0"/>
              <w:left w:val="single" w:color="000000" w:sz="4" w:space="0"/>
              <w:bottom w:val="single" w:color="000000" w:sz="4" w:space="0"/>
              <w:right w:val="nil"/>
            </w:tcBorders>
            <w:shd w:val="clear" w:color="auto" w:fill="auto"/>
            <w:vAlign w:val="top"/>
          </w:tcPr>
          <w:p w14:paraId="37D6E9A8">
            <w:pPr>
              <w:jc w:val="left"/>
              <w:rPr>
                <w:rFonts w:hint="eastAsia" w:ascii="宋体" w:hAnsi="宋体" w:eastAsia="宋体" w:cs="宋体"/>
                <w:i w:val="0"/>
                <w:iCs w:val="0"/>
                <w:color w:val="000000"/>
                <w:sz w:val="22"/>
                <w:szCs w:val="22"/>
                <w:u w:val="none"/>
              </w:rPr>
            </w:pPr>
          </w:p>
        </w:tc>
      </w:tr>
      <w:tr w14:paraId="34B9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9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4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身份信息识别产品</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4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5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BEBD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系统：嵌入式Linux操作系统；屏幕参数：≥7英寸LCD触摸显示屏，屏幕比例9:16，屏幕分辨率600*1024；摄像头参数：采用宽动态200万双目摄像头；认证方式：支持人脸、密码、二维码（通过摄像头识别）认证方式，可通过 485 接口外接读卡器，也通过 USB 接口外接身份证，实现人证比对功能；人脸识别：采用深度学习算法，支持照片、视频防假；1:N人脸识别速度≤0.2s，人脸验证准确率≥99%；存储容量：本地支持50000张人脸、50000张卡（外接读卡器），100000条事件记录；硬件接口：LAN*1、RS485*1、韦根*1（双向 26/34）、USB*1、电锁*1、门磁*1、报警输入*2、报警输出*1、开门按钮*1；通信方式：有线网络、WiFi；使用环境：IP65，室内外环境（室外使用必须搭配遮阳罩）；安装方式：配合人员通道安装；工作电压： DC 12V/2A；</w:t>
            </w:r>
            <w:r>
              <w:rPr>
                <w:rStyle w:val="52"/>
                <w:lang w:val="en-US" w:eastAsia="zh-CN" w:bidi="ar"/>
              </w:rPr>
              <w:t>产品功能：</w:t>
            </w:r>
            <w:r>
              <w:rPr>
                <w:rFonts w:hint="eastAsia" w:ascii="宋体" w:hAnsi="宋体" w:eastAsia="宋体" w:cs="宋体"/>
                <w:i w:val="0"/>
                <w:iCs w:val="0"/>
                <w:color w:val="000000"/>
                <w:kern w:val="0"/>
                <w:sz w:val="22"/>
                <w:szCs w:val="22"/>
                <w:u w:val="none"/>
                <w:lang w:val="en-US" w:eastAsia="zh-CN" w:bidi="ar"/>
              </w:rPr>
              <w:t>可视对讲：支持和云平台、客户端、室内机、管理机进行可视对讲；支持配置一键呼叫室内机或管理机；支持副门口机或围墙机模式；视频预览：支持管理中心远程视频预览，支持接入NVR设备，实现视频监控录像，编码格式H.264；口罩检测：支持口罩检测模式，可配置提醒戴口罩模式、强制戴口罩模式，关联门禁控制；安全帽检测：支持工地安全帽检测功能，可配置提醒安全帽模式、强制戴安全帽模式，关联门禁控制；识别界面可配：识别主界面的“呼叫”、“二维码”、“密码”的按键图标可分别配置是否显示；认证结果显示可配：支持认证成功界面的“照片”、“姓名”、“工号”信息可配置是否显示；认证结果语音自定义：集成文字转语音（TTS）和语音合成技术，认证成功和认证失败的语音可以分别配置4个时间段进行自定义播报，同时认证成功的语音可叠加播报姓名；外接安全模块：支持通过RS485接入门控安全模块，防止主机被恶意破坏的情况下，门锁不被打开；外接读卡器：支持通过RS485或韦根（W26/W34）接口外接1个读卡器，同时可实现单门反潜回功能；读卡器模式：支持通过RS485或韦根（W26/W34）接入门禁控制器，作为读卡器模式使用；门禁计划模板：支持255组计划模板管理，128个周计划，1024个假日计划；支持常开、常闭时段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组合认证：刷卡+密码、刷卡+人脸、人脸+密码等组合认证方式；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多重认证：支持多个人员认证（人脸、刷卡等）通过后才开门（外接读卡器后可实现含刷卡多重认证）；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黑名单核验：支持中心下发黑名单人员信息，实现本地黑名单核验；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报警功能：设备支持防拆报警、门被外力开起报警、胁迫卡和胁迫密码报警、黑名单报警等；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事件上传：在线状态下将设备认证结果及联动抓拍照片实时上传给平台，支持断网续传功能，设备离线状态下产生事件在与平台连接后会重新上传；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单机使用：设备可进行本地管理，支持本地注册人脸、查询、设置、管理设备参数等；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WEB管理：支持Web端管理，可进行人员管理、参数配置、事件查询、系统维护等操作。</w:t>
            </w:r>
          </w:p>
        </w:tc>
      </w:tr>
      <w:tr w14:paraId="77D2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C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3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读卡器</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7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6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F61D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可读取居民身份证、港澳台居民居住证、外国人永久居留身份证的信息；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兼容ISO 14443-A标准，可识别IC卡和CPU卡序列号；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通信接口：RS232；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工作电压：DC 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工作电流：0.3A（Max）。</w:t>
            </w:r>
          </w:p>
        </w:tc>
      </w:tr>
      <w:tr w14:paraId="180F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D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6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身份信息识别产品</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D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0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2174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1、≥3.97英寸触摸显示屏，屏幕分辨率≥800*480；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2、采用200万双目摄像头，有照片视频防假功能；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3、支持人脸采集、指纹采集、卡片录入（IC/普通CPU/国密CPU卡/二三代身份证序列号）、身份证采集；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4、支持有线网络、无线WiFi、USB口通信；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5、支持在线采集，通过网络协议或USB口对接到平台，平台进行在线采集，采集信息实时上传；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6、工作电压：DC12V/1.5A (自带电源适配器）。</w:t>
            </w:r>
          </w:p>
        </w:tc>
      </w:tr>
      <w:tr w14:paraId="78FB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2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E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访客自助产品</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F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B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86E1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▲1.支持单屏以及双屏型号，屏幕尺寸为10.1寸或15.6寸可选；10.1寸屏分辨率不小于1280*800，15.6寸屏分辨率不小于1920*1080；屏幕最大亮度应≥100cd/㎡；屏幕（含镜头）支持上下旋转，旋转角度45°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▲2.设备应配有指示打，具有如下接口：LAN、WIFI双网络；RJ45*1；RS485*1；RS232*1；USB Type A*3；IO输入*1；门锁输出*1；内置扬声器*1；TF卡槽*1；开关机键*1；HDMI*1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系统及各主要组成部分应有表明其工作正常的自检功能；有指示灯提示设备工作状态；UI界面有网络连接状态及布防状态提示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平台进行访客预约；预约访客信息包括：姓名、性别、手机号码、证件类型、证件号码、车牌号、访客单位、来访事由、来访时间、离开时间、来访区域、被访人、备注等信息；访客信息支持自定义项，自定义项可由用户更改名称；可配置各信息项是否显示、是否必选；支持预约访客登记，可通过输入预约码、手机号（后4位）或刷身份证来启动登记；预约访客登记时可自动填充已预约的信息；对于刷身份证的访客，可获取身份证信息自动填充到登记信息中；之前登记过的访客，再次来访登记时，可获取历史信息自动填充到登记信息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支持人脸识别功能，现场抓拍人脸照片与本地人脸库照片或身份证内照片进行比对，进行人员身份核验；应支持联网与后端平台对接，实现人脸比对功能；支持在0.0011ux低照度无补光环境下正常实现人脸识别，适应强光、逆光、暗光等条件的人脸识别；应支持侧脸，遮挡，模糊，表情，戴眼睛等实际场景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打开或关闭知情确认功能；知情确认功能开启时，用户进行身份核验时在设备屏幕展示关于收集个人信息的知情同意书，需要用户同意才能进行核验；知情同意书可由web或平台下发；6.支持通过屏幕按键选择同意，也支持屏幕上手写签名留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刷卡时设备有蜂鸣器提示；支持比对结果语音提示；支持TTS文字转语音功能来自定义认证结果播报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7.应支持设备本地比对结果用户信息脱敏显示功能开启/关闭，即隐藏姓名及身份证信息。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8.支持外接打印机来打印访客凭条；打印内容可配置（可选：二维码、访客图像、访客姓名、证件号、来访事由、访问区域、来访时间、预计离开时间、接待部门、接待人员、注意事项等）。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9.应支持防假体攻击功能，对视频、电子照片、打印照片应能防伪，活体检测准确率应≥99.5%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10.支持非预约访客登记；支持未带身份证的访客登记；可在人证比对过程中由工作人员跳过自动核验，改为人工核验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11.当与平台连接中断时，应能进行离线登记和签离；与平台连接后应能上传离线事件。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▲12.设备支持静态二维码识别；二维码识读装置应能对由512个字符生成的二维码进行识读；采用独立二维码识别模块；扫码距离&gt;5cm</w:t>
            </w:r>
          </w:p>
        </w:tc>
      </w:tr>
      <w:tr w14:paraId="0285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8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7C80">
            <w:pPr>
              <w:keepNext w:val="0"/>
              <w:keepLines w:val="0"/>
              <w:widowControl/>
              <w:suppressLineNumbers w:val="0"/>
              <w:jc w:val="center"/>
              <w:textAlignment w:val="center"/>
              <w:rPr>
                <w:rFonts w:hint="default" w:ascii="等线" w:hAnsi="等线" w:eastAsia="等线" w:cs="等线"/>
                <w:i w:val="0"/>
                <w:iCs w:val="0"/>
                <w:color w:val="000000"/>
                <w:sz w:val="28"/>
                <w:szCs w:val="28"/>
                <w:u w:val="none"/>
              </w:rPr>
            </w:pPr>
            <w:r>
              <w:rPr>
                <w:rFonts w:hint="default" w:ascii="等线" w:hAnsi="等线" w:eastAsia="等线" w:cs="等线"/>
                <w:i w:val="0"/>
                <w:iCs w:val="0"/>
                <w:color w:val="000000"/>
                <w:kern w:val="0"/>
                <w:sz w:val="28"/>
                <w:szCs w:val="28"/>
                <w:u w:val="none"/>
                <w:lang w:val="en-US" w:eastAsia="zh-CN" w:bidi="ar"/>
              </w:rPr>
              <w:t>施工费+维保</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60EF">
            <w:pPr>
              <w:keepNext w:val="0"/>
              <w:keepLines w:val="0"/>
              <w:widowControl/>
              <w:suppressLineNumbers w:val="0"/>
              <w:jc w:val="center"/>
              <w:textAlignment w:val="center"/>
              <w:rPr>
                <w:rFonts w:hint="default" w:ascii="等线" w:hAnsi="等线" w:eastAsia="等线" w:cs="等线"/>
                <w:i w:val="0"/>
                <w:iCs w:val="0"/>
                <w:color w:val="000000"/>
                <w:sz w:val="28"/>
                <w:szCs w:val="28"/>
                <w:u w:val="none"/>
              </w:rPr>
            </w:pPr>
            <w:r>
              <w:rPr>
                <w:rFonts w:hint="default" w:ascii="等线" w:hAnsi="等线" w:eastAsia="等线" w:cs="等线"/>
                <w:i w:val="0"/>
                <w:iCs w:val="0"/>
                <w:color w:val="000000"/>
                <w:kern w:val="0"/>
                <w:sz w:val="28"/>
                <w:szCs w:val="28"/>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D68">
            <w:pPr>
              <w:keepNext w:val="0"/>
              <w:keepLines w:val="0"/>
              <w:widowControl/>
              <w:suppressLineNumbers w:val="0"/>
              <w:jc w:val="center"/>
              <w:textAlignment w:val="center"/>
              <w:rPr>
                <w:rFonts w:hint="default" w:ascii="等线" w:hAnsi="等线" w:eastAsia="等线" w:cs="等线"/>
                <w:i w:val="0"/>
                <w:iCs w:val="0"/>
                <w:color w:val="000000"/>
                <w:sz w:val="28"/>
                <w:szCs w:val="28"/>
                <w:u w:val="none"/>
              </w:rPr>
            </w:pPr>
            <w:r>
              <w:rPr>
                <w:rFonts w:hint="default" w:ascii="等线" w:hAnsi="等线" w:eastAsia="等线" w:cs="等线"/>
                <w:i w:val="0"/>
                <w:iCs w:val="0"/>
                <w:color w:val="000000"/>
                <w:kern w:val="0"/>
                <w:sz w:val="28"/>
                <w:szCs w:val="28"/>
                <w:u w:val="none"/>
                <w:lang w:val="en-US" w:eastAsia="zh-CN" w:bidi="ar"/>
              </w:rPr>
              <w:t>项</w:t>
            </w:r>
          </w:p>
        </w:tc>
        <w:tc>
          <w:tcPr>
            <w:tcW w:w="3747" w:type="pct"/>
            <w:tcBorders>
              <w:top w:val="single" w:color="000000" w:sz="4" w:space="0"/>
              <w:left w:val="single" w:color="000000" w:sz="4" w:space="0"/>
              <w:bottom w:val="single" w:color="000000" w:sz="4" w:space="0"/>
              <w:right w:val="nil"/>
            </w:tcBorders>
            <w:shd w:val="clear" w:color="auto" w:fill="auto"/>
            <w:vAlign w:val="center"/>
          </w:tcPr>
          <w:p w14:paraId="3D832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含机房静电地板铺设,防雷接地系统安装、电气系统、不间断电源(ups)安装、空调与通风系统、线缆、光纤配线架信息插座安装、会议扩声系统安装、监控系统人员通道人脸识别门禁系统等以上施工;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软硬件系统集成含大屏显示系统,硬件系统集成、网络设备集成、安防监控硬件集成、数据库系统集成等</w:t>
            </w:r>
          </w:p>
        </w:tc>
      </w:tr>
      <w:tr w14:paraId="1EA8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A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D9DEA">
            <w:pPr>
              <w:keepNext w:val="0"/>
              <w:keepLines w:val="0"/>
              <w:widowControl/>
              <w:suppressLineNumbers w:val="0"/>
              <w:jc w:val="center"/>
              <w:textAlignment w:val="center"/>
              <w:rPr>
                <w:rFonts w:hint="default" w:ascii="等线" w:hAnsi="等线" w:eastAsia="等线" w:cs="等线"/>
                <w:i w:val="0"/>
                <w:iCs w:val="0"/>
                <w:color w:val="000000"/>
                <w:sz w:val="28"/>
                <w:szCs w:val="28"/>
                <w:u w:val="none"/>
              </w:rPr>
            </w:pPr>
            <w:r>
              <w:rPr>
                <w:rFonts w:hint="default" w:ascii="等线" w:hAnsi="等线" w:eastAsia="等线" w:cs="等线"/>
                <w:i w:val="0"/>
                <w:iCs w:val="0"/>
                <w:color w:val="000000"/>
                <w:kern w:val="0"/>
                <w:sz w:val="28"/>
                <w:szCs w:val="28"/>
                <w:u w:val="none"/>
                <w:lang w:val="en-US" w:eastAsia="zh-CN" w:bidi="ar"/>
              </w:rPr>
              <w:t>车辆管理模块</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0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C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E3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1、新增警保自有修理厂配件入库界面，包含名称、规格、单价等属性。点击按钮进行入库处理，支持多行批量入库，保存入库记录。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在申请车辆维保过程中，新增选择警保自有修理厂配件项，显示库存数据、单价、合计金额，根据选择数量计入预算扣除，此项金额自申请后不可修改。验车后预算扣除金额为配件费用与实际维修费用合计金额。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3、车辆验收后不对警保自有修理厂配件进行回收，外部修理厂配件回收仍按原流程处理。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4、新增警保自有修理厂配件出库统计记录，记录入库配件的出库信息，包含使用部门、使用时间、出库数量。并且支持出库记录导出。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5、修改车辆维保单打印模版，新增警保自有修理厂配件项、驾驶员名称、维修原因修改为检测问题。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6、新增汇总模块，通过车牌号或车架号等信息搜索筛选出截至某段时间内该车辆详细信息、车辆油料费、车辆保险、车辆年检、车辆维修保养等记录，车辆维修保养要具体到配件明细。涉及金额的部分要合计到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7、在《维保管理》里面的《全局维保记录页面》，每辆车明细后面新增一条该车辆还剩多少维修预算（审批流程结束后再显示）                                          ▲8、能够对接原有平台</w:t>
            </w:r>
          </w:p>
        </w:tc>
      </w:tr>
      <w:tr w14:paraId="070A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3336">
            <w:pPr>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C69A">
            <w:pPr>
              <w:jc w:val="center"/>
              <w:rPr>
                <w:rFonts w:hint="default" w:ascii="等线" w:hAnsi="等线" w:eastAsia="等线" w:cs="等线"/>
                <w:i w:val="0"/>
                <w:iCs w:val="0"/>
                <w:color w:val="000000"/>
                <w:sz w:val="28"/>
                <w:szCs w:val="28"/>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B497">
            <w:pPr>
              <w:jc w:val="center"/>
              <w:rPr>
                <w:rFonts w:hint="eastAsia" w:ascii="宋体" w:hAnsi="宋体" w:eastAsia="宋体" w:cs="宋体"/>
                <w:i w:val="0"/>
                <w:iCs w:val="0"/>
                <w:color w:val="000000"/>
                <w:sz w:val="20"/>
                <w:szCs w:val="20"/>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D8B7">
            <w:pPr>
              <w:jc w:val="center"/>
              <w:rPr>
                <w:rFonts w:hint="eastAsia" w:ascii="宋体" w:hAnsi="宋体" w:eastAsia="宋体" w:cs="宋体"/>
                <w:i w:val="0"/>
                <w:iCs w:val="0"/>
                <w:color w:val="000000"/>
                <w:sz w:val="22"/>
                <w:szCs w:val="22"/>
                <w:u w:val="none"/>
              </w:rPr>
            </w:pPr>
          </w:p>
        </w:tc>
        <w:tc>
          <w:tcPr>
            <w:tcW w:w="3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6F224">
            <w:pPr>
              <w:jc w:val="left"/>
              <w:rPr>
                <w:rFonts w:hint="eastAsia" w:ascii="宋体" w:hAnsi="宋体" w:eastAsia="宋体" w:cs="宋体"/>
                <w:i w:val="0"/>
                <w:iCs w:val="0"/>
                <w:color w:val="000000"/>
                <w:sz w:val="22"/>
                <w:szCs w:val="22"/>
                <w:u w:val="none"/>
              </w:rPr>
            </w:pPr>
          </w:p>
        </w:tc>
      </w:tr>
      <w:tr w14:paraId="735B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4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55B12">
            <w:pPr>
              <w:keepNext w:val="0"/>
              <w:keepLines w:val="0"/>
              <w:widowControl/>
              <w:suppressLineNumbers w:val="0"/>
              <w:jc w:val="center"/>
              <w:textAlignment w:val="center"/>
              <w:rPr>
                <w:rFonts w:hint="default" w:ascii="等线" w:hAnsi="等线" w:eastAsia="等线" w:cs="等线"/>
                <w:i w:val="0"/>
                <w:iCs w:val="0"/>
                <w:color w:val="000000"/>
                <w:sz w:val="28"/>
                <w:szCs w:val="28"/>
                <w:u w:val="none"/>
              </w:rPr>
            </w:pPr>
            <w:r>
              <w:rPr>
                <w:rFonts w:hint="default" w:ascii="等线" w:hAnsi="等线" w:eastAsia="等线" w:cs="等线"/>
                <w:i w:val="0"/>
                <w:iCs w:val="0"/>
                <w:color w:val="000000"/>
                <w:kern w:val="0"/>
                <w:sz w:val="28"/>
                <w:szCs w:val="28"/>
                <w:u w:val="none"/>
                <w:lang w:val="en-US" w:eastAsia="zh-CN" w:bidi="ar"/>
              </w:rPr>
              <w:t>财务管理模块</w:t>
            </w:r>
          </w:p>
        </w:tc>
        <w:tc>
          <w:tcPr>
            <w:tcW w:w="294" w:type="pct"/>
            <w:vMerge w:val="restart"/>
            <w:tcBorders>
              <w:top w:val="single" w:color="000000" w:sz="4" w:space="0"/>
              <w:left w:val="single" w:color="000000" w:sz="4" w:space="0"/>
              <w:bottom w:val="nil"/>
              <w:right w:val="single" w:color="000000" w:sz="4" w:space="0"/>
            </w:tcBorders>
            <w:shd w:val="clear" w:color="auto" w:fill="auto"/>
            <w:noWrap/>
            <w:vAlign w:val="center"/>
          </w:tcPr>
          <w:p w14:paraId="0CDB9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7" w:type="pct"/>
            <w:vMerge w:val="restart"/>
            <w:tcBorders>
              <w:top w:val="single" w:color="000000" w:sz="4" w:space="0"/>
              <w:left w:val="single" w:color="000000" w:sz="4" w:space="0"/>
              <w:bottom w:val="nil"/>
              <w:right w:val="single" w:color="000000" w:sz="4" w:space="0"/>
            </w:tcBorders>
            <w:shd w:val="clear" w:color="auto" w:fill="auto"/>
            <w:noWrap/>
            <w:vAlign w:val="center"/>
          </w:tcPr>
          <w:p w14:paraId="45422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79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1、预算年度界面为每个部门的每个办公用品设置数量，部门报销时，只能报销可报销数量内的办公用品，提交申请后，系统判断是否在限制范围内，并且保存记录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2、在《预算管理》模块里面新增预算编制、预算修改的操作记录页面，用户每一次的预算修改都要详细记录，改动时间、改动账号、改动的预算类目等   ▲3、能够对接原有平台</w:t>
            </w:r>
          </w:p>
        </w:tc>
      </w:tr>
      <w:tr w14:paraId="0293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5F19">
            <w:pPr>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B7A5F">
            <w:pPr>
              <w:jc w:val="center"/>
              <w:rPr>
                <w:rFonts w:hint="default" w:ascii="等线" w:hAnsi="等线" w:eastAsia="等线" w:cs="等线"/>
                <w:i w:val="0"/>
                <w:iCs w:val="0"/>
                <w:color w:val="000000"/>
                <w:sz w:val="28"/>
                <w:szCs w:val="28"/>
                <w:u w:val="none"/>
              </w:rPr>
            </w:pPr>
          </w:p>
        </w:tc>
        <w:tc>
          <w:tcPr>
            <w:tcW w:w="29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F010C5B">
            <w:pPr>
              <w:jc w:val="center"/>
              <w:rPr>
                <w:rFonts w:hint="eastAsia" w:ascii="宋体" w:hAnsi="宋体" w:eastAsia="宋体" w:cs="宋体"/>
                <w:i w:val="0"/>
                <w:iCs w:val="0"/>
                <w:color w:val="000000"/>
                <w:sz w:val="20"/>
                <w:szCs w:val="20"/>
                <w:u w:val="none"/>
              </w:rPr>
            </w:pPr>
          </w:p>
        </w:tc>
        <w:tc>
          <w:tcPr>
            <w:tcW w:w="25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318BD70">
            <w:pPr>
              <w:jc w:val="center"/>
              <w:rPr>
                <w:rFonts w:hint="eastAsia" w:ascii="宋体" w:hAnsi="宋体" w:eastAsia="宋体" w:cs="宋体"/>
                <w:i w:val="0"/>
                <w:iCs w:val="0"/>
                <w:color w:val="000000"/>
                <w:sz w:val="20"/>
                <w:szCs w:val="20"/>
                <w:u w:val="none"/>
              </w:rPr>
            </w:pPr>
          </w:p>
        </w:tc>
        <w:tc>
          <w:tcPr>
            <w:tcW w:w="3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09670">
            <w:pPr>
              <w:jc w:val="left"/>
              <w:rPr>
                <w:rFonts w:hint="eastAsia" w:ascii="宋体" w:hAnsi="宋体" w:eastAsia="宋体" w:cs="宋体"/>
                <w:i w:val="0"/>
                <w:iCs w:val="0"/>
                <w:color w:val="000000"/>
                <w:sz w:val="22"/>
                <w:szCs w:val="22"/>
                <w:u w:val="none"/>
              </w:rPr>
            </w:pPr>
          </w:p>
        </w:tc>
      </w:tr>
      <w:tr w14:paraId="77DF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9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4CE27">
            <w:pPr>
              <w:keepNext w:val="0"/>
              <w:keepLines w:val="0"/>
              <w:widowControl/>
              <w:suppressLineNumbers w:val="0"/>
              <w:jc w:val="center"/>
              <w:textAlignment w:val="center"/>
              <w:rPr>
                <w:rFonts w:hint="default" w:ascii="等线" w:hAnsi="等线" w:eastAsia="等线" w:cs="等线"/>
                <w:i w:val="0"/>
                <w:iCs w:val="0"/>
                <w:color w:val="000000"/>
                <w:sz w:val="28"/>
                <w:szCs w:val="28"/>
                <w:u w:val="none"/>
              </w:rPr>
            </w:pPr>
            <w:r>
              <w:rPr>
                <w:rFonts w:hint="default" w:ascii="等线" w:hAnsi="等线" w:eastAsia="等线" w:cs="等线"/>
                <w:i w:val="0"/>
                <w:iCs w:val="0"/>
                <w:color w:val="000000"/>
                <w:kern w:val="0"/>
                <w:sz w:val="28"/>
                <w:szCs w:val="28"/>
                <w:u w:val="none"/>
                <w:lang w:val="en-US" w:eastAsia="zh-CN" w:bidi="ar"/>
              </w:rPr>
              <w:t>资产生命卡片</w:t>
            </w:r>
          </w:p>
        </w:tc>
        <w:tc>
          <w:tcPr>
            <w:tcW w:w="294" w:type="pct"/>
            <w:vMerge w:val="restart"/>
            <w:tcBorders>
              <w:top w:val="single" w:color="000000" w:sz="4" w:space="0"/>
              <w:left w:val="single" w:color="000000" w:sz="4" w:space="0"/>
              <w:bottom w:val="nil"/>
              <w:right w:val="single" w:color="000000" w:sz="4" w:space="0"/>
            </w:tcBorders>
            <w:shd w:val="clear" w:color="auto" w:fill="auto"/>
            <w:noWrap/>
            <w:vAlign w:val="center"/>
          </w:tcPr>
          <w:p w14:paraId="538FF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7" w:type="pct"/>
            <w:vMerge w:val="restart"/>
            <w:tcBorders>
              <w:top w:val="single" w:color="000000" w:sz="4" w:space="0"/>
              <w:left w:val="single" w:color="000000" w:sz="4" w:space="0"/>
              <w:bottom w:val="nil"/>
              <w:right w:val="single" w:color="000000" w:sz="4" w:space="0"/>
            </w:tcBorders>
            <w:shd w:val="clear" w:color="auto" w:fill="auto"/>
            <w:noWrap/>
            <w:vAlign w:val="center"/>
          </w:tcPr>
          <w:p w14:paraId="669E8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D7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且详细地追踪特定资产在其整个生命周期内所经历的各类操作流程。为用户提供清晰地查看该资产从最初创建之时起，历经了哪些调拨行为，包括调拨的时间、调出与调入的部门或地点等详细信息的同时，明确在其使用过程中是否发生过移交情况，例如移交的原因、移交的对象以及移交时资产的状态等关键细节；直至最终资产报废，涵盖报废的审批流程、报废的方式以及报废时所做的资产处置记录等内容，从而完整地呈现出该资产从创建到报废这一全过程中所涉及的每一项操作步骤及其相关信息，以便为资产的精细化管理以及后续的审计工作提供准确的数据支持.</w:t>
            </w:r>
          </w:p>
        </w:tc>
      </w:tr>
      <w:tr w14:paraId="737B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ED81">
            <w:pPr>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640A">
            <w:pPr>
              <w:jc w:val="center"/>
              <w:rPr>
                <w:rFonts w:hint="default" w:ascii="等线" w:hAnsi="等线" w:eastAsia="等线" w:cs="等线"/>
                <w:i w:val="0"/>
                <w:iCs w:val="0"/>
                <w:color w:val="000000"/>
                <w:sz w:val="28"/>
                <w:szCs w:val="28"/>
                <w:u w:val="none"/>
              </w:rPr>
            </w:pPr>
          </w:p>
        </w:tc>
        <w:tc>
          <w:tcPr>
            <w:tcW w:w="29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486607B">
            <w:pPr>
              <w:jc w:val="center"/>
              <w:rPr>
                <w:rFonts w:hint="eastAsia" w:ascii="宋体" w:hAnsi="宋体" w:eastAsia="宋体" w:cs="宋体"/>
                <w:i w:val="0"/>
                <w:iCs w:val="0"/>
                <w:color w:val="000000"/>
                <w:sz w:val="20"/>
                <w:szCs w:val="20"/>
                <w:u w:val="none"/>
              </w:rPr>
            </w:pPr>
          </w:p>
        </w:tc>
        <w:tc>
          <w:tcPr>
            <w:tcW w:w="257"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ADD6C97">
            <w:pPr>
              <w:jc w:val="center"/>
              <w:rPr>
                <w:rFonts w:hint="eastAsia" w:ascii="宋体" w:hAnsi="宋体" w:eastAsia="宋体" w:cs="宋体"/>
                <w:i w:val="0"/>
                <w:iCs w:val="0"/>
                <w:color w:val="000000"/>
                <w:sz w:val="20"/>
                <w:szCs w:val="20"/>
                <w:u w:val="none"/>
              </w:rPr>
            </w:pPr>
          </w:p>
        </w:tc>
        <w:tc>
          <w:tcPr>
            <w:tcW w:w="3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EB293">
            <w:pPr>
              <w:jc w:val="left"/>
              <w:rPr>
                <w:rFonts w:hint="eastAsia" w:ascii="宋体" w:hAnsi="宋体" w:eastAsia="宋体" w:cs="宋体"/>
                <w:i w:val="0"/>
                <w:iCs w:val="0"/>
                <w:color w:val="000000"/>
                <w:sz w:val="22"/>
                <w:szCs w:val="22"/>
                <w:u w:val="none"/>
              </w:rPr>
            </w:pPr>
          </w:p>
        </w:tc>
      </w:tr>
      <w:tr w14:paraId="0A7C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2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1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GMV EM系列直流变频多联室外机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3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F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F3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制冷量40kW,制热量45kW,制冷输入功率10.15.kW,制热输入功率10.56kw,最大输入功率15.25kw,,噪音61dB(A),外机风童13500m3/h,外形尺寸(宽×深×高)340x775x1690,净重( 主体 )275kg</w:t>
            </w:r>
          </w:p>
        </w:tc>
      </w:tr>
      <w:tr w14:paraId="1FC2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0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8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SDC系列高效静音型风管室内机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3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7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1D7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制冷量2.20kW,制热量2.50kW,制冷输入功率28.00W,制热输入功率25.00,电辅加热0.7w,循环风量(H/M/L)450/350/200m3/h ,噪音28/25/22dB(A),标准静压15Pa,外形尺寸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(宽×深×高)710×450×200mm,净重( 主体 )17.5kg</w:t>
            </w:r>
          </w:p>
        </w:tc>
      </w:tr>
      <w:tr w14:paraId="69CD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D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5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SDC系列高效静音型风管室内机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3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0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32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制冷量3.20kW,制热量3.60kW,制冷输入功率37.00W,制热输入功率30.00,电辅加热0.85w,循环风量(H/M/L)550/400/300m3/h ,噪音31/27/25dB(A),标准静压15Pa,外形尺寸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(宽×深×高)710×450×200mm,净重( 主体 )18kg</w:t>
            </w:r>
          </w:p>
        </w:tc>
      </w:tr>
      <w:tr w14:paraId="71D7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1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5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SDC系列高效静音型风管室内机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5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A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DB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制冷量3.60kW,制热量4.0kW,制冷输入功率37.00W,制热输入功率30.00,电辅加热0.85w,循环风量(H/M/L)550/400/300m3/h ,噪音31/27/25dB(A),标准静压15Pa,外形尺寸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(宽×深×高)710×450×200mm,净重( 主体 )18kg</w:t>
            </w:r>
          </w:p>
        </w:tc>
      </w:tr>
      <w:tr w14:paraId="769D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C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4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SDC系列高效静音型风管室内机</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8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A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56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制冷量2.80kW,制热量3.20kW,制冷输入功率28.00W,制热输入功率25.00,电辅加热0.7w,循环风量(H/M/L)450/350/200m3/h ,噪音28/25/22dB(A),标准静压15Pa,外形尺寸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(宽×深×高)710×450×200mm,净重( 主体 )17.5kg</w:t>
            </w:r>
          </w:p>
        </w:tc>
      </w:tr>
      <w:tr w14:paraId="5FA4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7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9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吊装式全热新风</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C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9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4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全热交换机，有室外机，适用面积：30＜X≤50㎡，功能：换气</w:t>
            </w:r>
          </w:p>
        </w:tc>
      </w:tr>
    </w:tbl>
    <w:p w14:paraId="4B423277">
      <w:pPr>
        <w:pStyle w:val="25"/>
        <w:rPr>
          <w:rFonts w:hint="default"/>
          <w:lang w:val="en-US" w:eastAsia="zh-CN"/>
        </w:rPr>
        <w:sectPr>
          <w:pgSz w:w="16838" w:h="11906" w:orient="landscape"/>
          <w:pgMar w:top="1797" w:right="1440" w:bottom="1797" w:left="1440" w:header="851" w:footer="992" w:gutter="0"/>
          <w:pgNumType w:fmt="decimal" w:start="1"/>
          <w:cols w:space="720" w:num="1"/>
          <w:titlePg/>
          <w:docGrid w:type="linesAndChars" w:linePitch="312" w:charSpace="0"/>
        </w:sectPr>
      </w:pPr>
    </w:p>
    <w:p w14:paraId="6AC3DE86">
      <w:pPr>
        <w:pStyle w:val="26"/>
        <w:rPr>
          <w:rFonts w:hint="default"/>
          <w:lang w:val="en-US" w:eastAsia="zh-CN"/>
        </w:rPr>
      </w:pPr>
    </w:p>
    <w:p w14:paraId="1B395993">
      <w:pPr>
        <w:rPr>
          <w:rFonts w:hint="eastAsia"/>
          <w:color w:val="FF0000"/>
        </w:rPr>
      </w:pPr>
    </w:p>
    <w:p w14:paraId="1A4E15C9">
      <w:pPr>
        <w:rPr>
          <w:color w:val="FF0000"/>
        </w:rPr>
      </w:pPr>
      <w:r>
        <w:rPr>
          <w:rFonts w:hint="eastAsia"/>
          <w:color w:val="FF0000"/>
        </w:rPr>
        <w:t>备注：</w:t>
      </w:r>
    </w:p>
    <w:p w14:paraId="39C5280E">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6BF38BCE">
      <w:pPr>
        <w:ind w:firstLine="480" w:firstLineChars="200"/>
        <w:rPr>
          <w:color w:val="FF0000"/>
        </w:rPr>
      </w:pPr>
      <w:r>
        <w:rPr>
          <w:rFonts w:hint="eastAsia"/>
          <w:color w:val="FF0000"/>
        </w:rPr>
        <w:t>2、如注明有单价控制金额的产品，投标人对该产品的报价不得超过控制金额，否则将作投标无效处理。</w:t>
      </w:r>
    </w:p>
    <w:p w14:paraId="0A912E62">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3580191F">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5E07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34EB0F98">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7AAFE99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w:t>
            </w:r>
            <w:r>
              <w:rPr>
                <w:rFonts w:hint="eastAsia" w:ascii="宋体" w:hAnsi="宋体" w:eastAsia="宋体" w:cs="仿宋_GB2312"/>
                <w:sz w:val="22"/>
                <w:szCs w:val="28"/>
                <w:lang w:eastAsia="zh-CN"/>
              </w:rPr>
              <w:t>、安装辅材费</w:t>
            </w:r>
            <w:r>
              <w:rPr>
                <w:rFonts w:hint="eastAsia" w:ascii="宋体" w:hAnsi="宋体" w:eastAsia="宋体" w:cs="仿宋_GB2312"/>
                <w:sz w:val="22"/>
                <w:szCs w:val="28"/>
              </w:rPr>
              <w:t>、调试费、检测费、国家规定的各项税费等。</w:t>
            </w:r>
          </w:p>
        </w:tc>
      </w:tr>
      <w:tr w14:paraId="29A4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4" w:type="dxa"/>
            <w:tcBorders>
              <w:top w:val="single" w:color="auto" w:sz="4" w:space="0"/>
              <w:left w:val="single" w:color="auto" w:sz="4" w:space="0"/>
              <w:bottom w:val="single" w:color="auto" w:sz="4" w:space="0"/>
              <w:right w:val="single" w:color="auto" w:sz="4" w:space="0"/>
            </w:tcBorders>
            <w:vAlign w:val="center"/>
          </w:tcPr>
          <w:p w14:paraId="15A6F64F">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7200E659">
            <w:pPr>
              <w:spacing w:after="60" w:afterLines="25" w:line="360" w:lineRule="exact"/>
              <w:rPr>
                <w:rFonts w:ascii="宋体" w:hAnsi="宋体" w:eastAsia="宋体" w:cs="宋体"/>
                <w:sz w:val="22"/>
                <w:szCs w:val="21"/>
              </w:rPr>
            </w:pPr>
            <w:r>
              <w:rPr>
                <w:rFonts w:hint="eastAsia" w:ascii="宋体" w:hAnsi="宋体" w:eastAsia="宋体"/>
                <w:sz w:val="22"/>
                <w:szCs w:val="28"/>
              </w:rPr>
              <w:t>采购人指定地点</w:t>
            </w:r>
          </w:p>
        </w:tc>
      </w:tr>
      <w:tr w14:paraId="2751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14:paraId="4864C773">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3F301E99">
            <w:pPr>
              <w:spacing w:after="60" w:afterLines="25" w:line="360" w:lineRule="exact"/>
              <w:rPr>
                <w:rFonts w:hint="eastAsia" w:ascii="宋体" w:hAnsi="宋体" w:eastAsia="微软雅黑" w:cs="宋体"/>
                <w:sz w:val="22"/>
                <w:szCs w:val="21"/>
                <w:lang w:eastAsia="zh-CN"/>
              </w:rPr>
            </w:pPr>
            <w:r>
              <w:rPr>
                <w:rFonts w:hint="eastAsia" w:ascii="微软雅黑" w:hAnsi="微软雅黑" w:eastAsia="微软雅黑" w:cs="微软雅黑"/>
                <w:i w:val="0"/>
                <w:iCs w:val="0"/>
                <w:caps w:val="0"/>
                <w:color w:val="333333"/>
                <w:spacing w:val="0"/>
                <w:sz w:val="21"/>
                <w:szCs w:val="21"/>
                <w:highlight w:val="red"/>
                <w:shd w:val="clear" w:fill="FFFFFF"/>
              </w:rPr>
              <w:t>签订合同日起</w:t>
            </w:r>
            <w:r>
              <w:rPr>
                <w:rFonts w:hint="eastAsia" w:ascii="微软雅黑" w:hAnsi="微软雅黑" w:eastAsia="微软雅黑" w:cs="微软雅黑"/>
                <w:i w:val="0"/>
                <w:iCs w:val="0"/>
                <w:caps w:val="0"/>
                <w:color w:val="333333"/>
                <w:spacing w:val="0"/>
                <w:sz w:val="21"/>
                <w:szCs w:val="21"/>
                <w:highlight w:val="red"/>
                <w:shd w:val="clear" w:fill="FFFFFF"/>
                <w:lang w:val="en-US" w:eastAsia="zh-CN"/>
              </w:rPr>
              <w:t>15</w:t>
            </w:r>
            <w:r>
              <w:rPr>
                <w:rFonts w:hint="eastAsia" w:ascii="微软雅黑" w:hAnsi="微软雅黑" w:eastAsia="微软雅黑" w:cs="微软雅黑"/>
                <w:i w:val="0"/>
                <w:iCs w:val="0"/>
                <w:caps w:val="0"/>
                <w:color w:val="333333"/>
                <w:spacing w:val="0"/>
                <w:sz w:val="21"/>
                <w:szCs w:val="21"/>
                <w:highlight w:val="red"/>
                <w:shd w:val="clear" w:fill="FFFFFF"/>
              </w:rPr>
              <w:t>天</w:t>
            </w:r>
            <w:r>
              <w:rPr>
                <w:rFonts w:hint="eastAsia" w:ascii="微软雅黑" w:hAnsi="微软雅黑" w:eastAsia="微软雅黑" w:cs="微软雅黑"/>
                <w:i w:val="0"/>
                <w:iCs w:val="0"/>
                <w:caps w:val="0"/>
                <w:color w:val="333333"/>
                <w:spacing w:val="0"/>
                <w:sz w:val="21"/>
                <w:szCs w:val="21"/>
                <w:highlight w:val="red"/>
                <w:shd w:val="clear" w:fill="FFFFFF"/>
                <w:lang w:eastAsia="zh-CN"/>
              </w:rPr>
              <w:t>内。</w:t>
            </w:r>
          </w:p>
        </w:tc>
      </w:tr>
      <w:tr w14:paraId="488C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0C44E968">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7AC4E846">
            <w:pPr>
              <w:spacing w:after="60" w:afterLines="25" w:line="360" w:lineRule="exact"/>
              <w:rPr>
                <w:rFonts w:ascii="宋体" w:hAnsi="宋体" w:eastAsia="宋体"/>
                <w:sz w:val="22"/>
                <w:szCs w:val="21"/>
              </w:rPr>
            </w:pPr>
            <w:r>
              <w:rPr>
                <w:rFonts w:hint="eastAsia" w:ascii="宋体" w:hAnsi="宋体" w:eastAsia="宋体"/>
                <w:sz w:val="22"/>
                <w:szCs w:val="21"/>
              </w:rPr>
              <w:t>合同签订后配套设施设备安装 调试完成且项目验收合格后完成支付合同总价款的</w:t>
            </w:r>
            <w:r>
              <w:rPr>
                <w:rFonts w:hint="eastAsia" w:ascii="宋体" w:hAnsi="宋体" w:eastAsia="宋体"/>
                <w:sz w:val="22"/>
                <w:szCs w:val="21"/>
                <w:highlight w:val="red"/>
              </w:rPr>
              <w:t xml:space="preserve"> </w:t>
            </w:r>
            <w:r>
              <w:rPr>
                <w:rFonts w:hint="eastAsia" w:ascii="宋体" w:hAnsi="宋体" w:eastAsia="宋体"/>
                <w:sz w:val="22"/>
                <w:szCs w:val="21"/>
                <w:highlight w:val="red"/>
                <w:lang w:val="en-US" w:eastAsia="zh-CN"/>
              </w:rPr>
              <w:t>100%</w:t>
            </w:r>
            <w:r>
              <w:rPr>
                <w:rFonts w:hint="eastAsia" w:ascii="宋体" w:hAnsi="宋体" w:eastAsia="宋体"/>
                <w:sz w:val="22"/>
                <w:szCs w:val="21"/>
              </w:rPr>
              <w:t>。</w:t>
            </w:r>
          </w:p>
        </w:tc>
      </w:tr>
      <w:tr w14:paraId="08C7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099093">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0C598291">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喀什市公安局</w:t>
            </w:r>
            <w:r>
              <w:rPr>
                <w:rFonts w:hint="eastAsia" w:ascii="宋体" w:hAnsi="宋体" w:eastAsia="宋体" w:cs="仿宋_GB2312"/>
                <w:sz w:val="22"/>
                <w:szCs w:val="28"/>
              </w:rPr>
              <w:t>组织验收。</w:t>
            </w:r>
          </w:p>
        </w:tc>
      </w:tr>
      <w:tr w14:paraId="6D7D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7F6ECF8">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34D0F35F">
            <w:pPr>
              <w:pStyle w:val="8"/>
              <w:spacing w:before="153" w:line="268" w:lineRule="auto"/>
              <w:ind w:firstLine="490"/>
              <w:rPr>
                <w:rFonts w:hint="eastAsia" w:ascii="宋体" w:hAnsi="宋体" w:eastAsia="宋体" w:cs="Arial"/>
                <w:sz w:val="22"/>
                <w:szCs w:val="21"/>
                <w:highlight w:val="red"/>
                <w:lang w:eastAsia="zh-CN"/>
              </w:rPr>
            </w:pPr>
            <w:r>
              <w:rPr>
                <w:rFonts w:hint="eastAsia" w:ascii="宋体" w:hAnsi="宋体" w:eastAsia="宋体" w:cs="Arial"/>
                <w:sz w:val="22"/>
                <w:szCs w:val="21"/>
                <w:highlight w:val="red"/>
              </w:rPr>
              <w:t>质保期 3 年</w:t>
            </w:r>
            <w:r>
              <w:rPr>
                <w:rFonts w:hint="eastAsia" w:ascii="宋体" w:hAnsi="宋体" w:eastAsia="宋体" w:cs="Arial"/>
                <w:sz w:val="22"/>
                <w:szCs w:val="21"/>
                <w:highlight w:val="red"/>
                <w:lang w:eastAsia="zh-CN"/>
              </w:rPr>
              <w:t>。</w:t>
            </w:r>
          </w:p>
          <w:p w14:paraId="34941AD9">
            <w:pPr>
              <w:pStyle w:val="8"/>
              <w:spacing w:before="153" w:line="268" w:lineRule="auto"/>
              <w:rPr>
                <w:spacing w:val="-2"/>
                <w:sz w:val="24"/>
                <w:szCs w:val="24"/>
              </w:rPr>
            </w:pPr>
            <w:r>
              <w:rPr>
                <w:sz w:val="24"/>
                <w:szCs w:val="24"/>
              </w:rPr>
              <w:t>1.供应商须提供详细的售后服务实施方案，包括服务承诺的可行性（供货安装等服务</w:t>
            </w:r>
            <w:r>
              <w:rPr>
                <w:spacing w:val="14"/>
                <w:sz w:val="24"/>
                <w:szCs w:val="24"/>
              </w:rPr>
              <w:t xml:space="preserve"> </w:t>
            </w:r>
            <w:r>
              <w:rPr>
                <w:sz w:val="24"/>
                <w:szCs w:val="24"/>
              </w:rPr>
              <w:t>承诺</w:t>
            </w:r>
            <w:r>
              <w:rPr>
                <w:spacing w:val="-1"/>
                <w:sz w:val="24"/>
                <w:szCs w:val="24"/>
              </w:rPr>
              <w:t>），</w:t>
            </w:r>
            <w:r>
              <w:rPr>
                <w:sz w:val="24"/>
                <w:szCs w:val="24"/>
              </w:rPr>
              <w:t>完整性及服务承诺落实的保障措施，后续</w:t>
            </w:r>
            <w:r>
              <w:rPr>
                <w:spacing w:val="-1"/>
                <w:sz w:val="24"/>
                <w:szCs w:val="24"/>
              </w:rPr>
              <w:t>技术支持等情况（在质保其内出现损</w:t>
            </w:r>
            <w:r>
              <w:rPr>
                <w:sz w:val="24"/>
                <w:szCs w:val="24"/>
              </w:rPr>
              <w:t>坏、断裂免费维修、维护，定期巡检，维修所需的</w:t>
            </w:r>
            <w:r>
              <w:rPr>
                <w:spacing w:val="-1"/>
                <w:sz w:val="24"/>
                <w:szCs w:val="24"/>
              </w:rPr>
              <w:t>各种材料由中标企业自行解决，中标企</w:t>
            </w:r>
            <w:r>
              <w:rPr>
                <w:spacing w:val="-2"/>
                <w:sz w:val="24"/>
                <w:szCs w:val="24"/>
              </w:rPr>
              <w:t>业给采购单位提供各种维修备件，方便采购单位及时更换维修）。</w:t>
            </w:r>
          </w:p>
          <w:p w14:paraId="74ADD9E7">
            <w:pPr>
              <w:spacing w:after="60" w:afterLines="25" w:line="360" w:lineRule="exact"/>
              <w:ind w:left="-86" w:leftChars="-36"/>
              <w:rPr>
                <w:color w:val="FF0000"/>
                <w:spacing w:val="-6"/>
                <w:sz w:val="24"/>
                <w:szCs w:val="24"/>
              </w:rPr>
            </w:pPr>
            <w:r>
              <w:rPr>
                <w:spacing w:val="-1"/>
                <w:sz w:val="24"/>
                <w:szCs w:val="24"/>
              </w:rPr>
              <w:t>2.供应商在质保期内，定期对产品进行维护，随叫随到，上门服务。质保期</w:t>
            </w:r>
            <w:r>
              <w:rPr>
                <w:spacing w:val="16"/>
                <w:sz w:val="24"/>
                <w:szCs w:val="24"/>
              </w:rPr>
              <w:t xml:space="preserve"> </w:t>
            </w:r>
            <w:r>
              <w:rPr>
                <w:spacing w:val="-3"/>
                <w:sz w:val="24"/>
                <w:szCs w:val="24"/>
              </w:rPr>
              <w:t>内发生故障，</w:t>
            </w:r>
            <w:r>
              <w:rPr>
                <w:color w:val="FF0000"/>
                <w:spacing w:val="-3"/>
                <w:sz w:val="24"/>
                <w:szCs w:val="24"/>
              </w:rPr>
              <w:t>供应商在接到采购方通知后 1 小时内到位维修进行处理，并在到位检修后 24</w:t>
            </w:r>
            <w:r>
              <w:rPr>
                <w:color w:val="FF0000"/>
                <w:spacing w:val="16"/>
                <w:sz w:val="24"/>
                <w:szCs w:val="24"/>
              </w:rPr>
              <w:t xml:space="preserve"> </w:t>
            </w:r>
            <w:r>
              <w:rPr>
                <w:color w:val="FF0000"/>
                <w:spacing w:val="-6"/>
                <w:sz w:val="24"/>
                <w:szCs w:val="24"/>
              </w:rPr>
              <w:t>小时内处理完毕。</w:t>
            </w:r>
          </w:p>
          <w:p w14:paraId="528D4E60">
            <w:pPr>
              <w:spacing w:after="60" w:afterLines="25" w:line="360" w:lineRule="exact"/>
              <w:ind w:left="-86" w:leftChars="-36"/>
              <w:rPr>
                <w:rFonts w:hint="default" w:eastAsia="宋体"/>
                <w:color w:val="FF0000"/>
                <w:spacing w:val="-6"/>
                <w:sz w:val="24"/>
                <w:szCs w:val="24"/>
                <w:lang w:val="en-US" w:eastAsia="zh-CN"/>
              </w:rPr>
            </w:pPr>
            <w:r>
              <w:rPr>
                <w:rFonts w:hint="eastAsia" w:eastAsia="宋体"/>
                <w:color w:val="FF0000"/>
                <w:spacing w:val="-6"/>
                <w:sz w:val="24"/>
                <w:szCs w:val="24"/>
                <w:lang w:val="en-US" w:eastAsia="zh-CN"/>
              </w:rPr>
              <w:t>3.供应商需给喀什市公安局提供人员培训。</w:t>
            </w:r>
          </w:p>
        </w:tc>
      </w:tr>
    </w:tbl>
    <w:p w14:paraId="1D667F53">
      <w:pPr>
        <w:pStyle w:val="10"/>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7C2D4BA6">
      <w:pPr>
        <w:tabs>
          <w:tab w:val="left" w:pos="7016"/>
        </w:tabs>
        <w:rPr>
          <w:rFonts w:ascii="Arial" w:hAnsi="Arial" w:eastAsia="宋体"/>
        </w:rPr>
      </w:pPr>
      <w:r>
        <w:rPr>
          <w:rFonts w:ascii="Arial" w:hAnsi="Arial" w:eastAsia="宋体"/>
        </w:rPr>
        <w:tab/>
      </w:r>
    </w:p>
    <w:p w14:paraId="383FE048">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162E7CC">
      <w:pPr>
        <w:rPr>
          <w:rFonts w:ascii="宋体" w:hAnsi="宋体" w:eastAsia="黑体"/>
          <w:bCs/>
          <w:kern w:val="44"/>
          <w:sz w:val="28"/>
          <w:szCs w:val="44"/>
        </w:rPr>
      </w:pPr>
      <w:r>
        <w:rPr>
          <w:rFonts w:hint="eastAsia" w:eastAsia="宋体"/>
          <w:lang w:eastAsia="zh-CN"/>
        </w:rPr>
        <w:t>详见二、货物需求明细</w:t>
      </w:r>
      <w:r>
        <w:br w:type="page"/>
      </w:r>
    </w:p>
    <w:p w14:paraId="37F999C5">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55B98244">
      <w:pPr>
        <w:jc w:val="center"/>
        <w:rPr>
          <w:rFonts w:ascii="黑体" w:eastAsia="黑体"/>
          <w:b/>
          <w:bCs/>
          <w:color w:val="FF0000"/>
          <w:sz w:val="28"/>
        </w:rPr>
      </w:pPr>
    </w:p>
    <w:p w14:paraId="427C7AA6">
      <w:pPr>
        <w:rPr>
          <w:rFonts w:ascii="宋体" w:hAnsi="宋体" w:eastAsia="黑体"/>
          <w:bCs/>
          <w:kern w:val="44"/>
          <w:sz w:val="32"/>
          <w:szCs w:val="32"/>
        </w:rPr>
      </w:pPr>
      <w:r>
        <w:rPr>
          <w:rFonts w:hint="eastAsia" w:ascii="宋体" w:hAnsi="宋体" w:eastAsia="黑体"/>
          <w:bCs/>
          <w:kern w:val="44"/>
          <w:sz w:val="32"/>
          <w:szCs w:val="32"/>
        </w:rPr>
        <w:t>投标文件组成：</w:t>
      </w:r>
    </w:p>
    <w:p w14:paraId="605A0FA0">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1BC3A227">
      <w:pPr>
        <w:numPr>
          <w:ilvl w:val="0"/>
          <w:numId w:val="3"/>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3075C30C">
      <w:pPr>
        <w:numPr>
          <w:ilvl w:val="0"/>
          <w:numId w:val="3"/>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51633484">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5F100B28">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会计事务所出具的2020-2023年度任意一年的年度财务审计报告书扫描件或影印件；（新办企业（营业执照所标注的成立日期距本项目开标日期一年内为新办企业）提供银行资信证明扫描件或影印件）；</w:t>
      </w:r>
    </w:p>
    <w:p w14:paraId="19C27A7E">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3E515E31">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w:t>
      </w:r>
    </w:p>
    <w:p w14:paraId="0B1A5279">
      <w:pPr>
        <w:numPr>
          <w:ilvl w:val="0"/>
          <w:numId w:val="3"/>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14:paraId="48D87BB1">
      <w:pPr>
        <w:numPr>
          <w:ilvl w:val="0"/>
          <w:numId w:val="3"/>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14:paraId="0E5F391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39B2A9B9">
      <w:pPr>
        <w:numPr>
          <w:ilvl w:val="0"/>
          <w:numId w:val="3"/>
        </w:numPr>
        <w:snapToGrid w:val="0"/>
        <w:spacing w:after="60" w:afterLines="25"/>
        <w:rPr>
          <w:rFonts w:hint="eastAsia"/>
          <w:lang w:eastAsia="zh-CN"/>
        </w:rPr>
      </w:pPr>
      <w:r>
        <w:rPr>
          <w:rFonts w:hint="eastAsia" w:ascii="宋体" w:hAnsi="宋体" w:eastAsia="宋体"/>
          <w:sz w:val="30"/>
          <w:szCs w:val="30"/>
        </w:rPr>
        <w:t>投标函；</w:t>
      </w:r>
    </w:p>
    <w:p w14:paraId="71615389">
      <w:pPr>
        <w:numPr>
          <w:ilvl w:val="0"/>
          <w:numId w:val="3"/>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6CA5A2E4">
      <w:pPr>
        <w:numPr>
          <w:ilvl w:val="0"/>
          <w:numId w:val="3"/>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0DC2883E">
      <w:pPr>
        <w:numPr>
          <w:ilvl w:val="0"/>
          <w:numId w:val="3"/>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4C337CE2">
      <w:pPr>
        <w:numPr>
          <w:ilvl w:val="0"/>
          <w:numId w:val="3"/>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38E73225">
      <w:pPr>
        <w:numPr>
          <w:ilvl w:val="0"/>
          <w:numId w:val="3"/>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3580886B">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F3E693C">
      <w:pPr>
        <w:numPr>
          <w:ilvl w:val="0"/>
          <w:numId w:val="3"/>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5028158F">
      <w:pPr>
        <w:numPr>
          <w:ilvl w:val="0"/>
          <w:numId w:val="3"/>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182D5F79">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2ADBB126">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5DFA54CE">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6731E04">
      <w:pPr>
        <w:numPr>
          <w:ilvl w:val="0"/>
          <w:numId w:val="3"/>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70C57604">
      <w:pPr>
        <w:numPr>
          <w:ilvl w:val="0"/>
          <w:numId w:val="3"/>
        </w:numPr>
        <w:snapToGrid w:val="0"/>
        <w:spacing w:after="60" w:afterLines="25"/>
        <w:ind w:left="1456"/>
        <w:rPr>
          <w:rFonts w:hint="eastAsia" w:ascii="宋体" w:hAnsi="宋体" w:eastAsia="宋体"/>
          <w:kern w:val="2"/>
          <w:sz w:val="30"/>
          <w:szCs w:val="30"/>
        </w:rPr>
      </w:pPr>
      <w:r>
        <w:rPr>
          <w:rFonts w:hint="eastAsia" w:ascii="Calibri" w:hAnsi="Calibri" w:eastAsia="宋体"/>
          <w:lang w:eastAsia="zh-CN"/>
        </w:rPr>
        <w:t>《平台对接承诺函》</w:t>
      </w:r>
    </w:p>
    <w:p w14:paraId="4E2B1B1F">
      <w:pPr>
        <w:pStyle w:val="15"/>
        <w:rPr>
          <w:rFonts w:hint="eastAsia"/>
        </w:rPr>
      </w:pPr>
    </w:p>
    <w:p w14:paraId="4B090287">
      <w:pPr>
        <w:snapToGrid w:val="0"/>
        <w:spacing w:after="60" w:afterLines="25"/>
        <w:rPr>
          <w:rFonts w:ascii="宋体" w:hAnsi="宋体" w:eastAsia="宋体" w:cs="宋体"/>
          <w:b/>
          <w:color w:val="FF0000"/>
          <w:sz w:val="32"/>
          <w:szCs w:val="32"/>
        </w:rPr>
      </w:pPr>
      <w:r>
        <w:br w:type="page"/>
      </w:r>
    </w:p>
    <w:p w14:paraId="65C4B289">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3F5EFE29">
      <w:pPr>
        <w:spacing w:line="440" w:lineRule="exact"/>
        <w:rPr>
          <w:rFonts w:hint="eastAsia" w:asciiTheme="minorEastAsia" w:hAnsiTheme="minorEastAsia" w:eastAsiaTheme="minorEastAsia" w:cstheme="minorEastAsia"/>
          <w:b w:val="0"/>
          <w:bCs w:val="0"/>
          <w:szCs w:val="21"/>
        </w:rPr>
      </w:pPr>
    </w:p>
    <w:p w14:paraId="28FDFE92">
      <w:pPr>
        <w:spacing w:line="440" w:lineRule="exact"/>
        <w:rPr>
          <w:rFonts w:hint="eastAsia" w:asciiTheme="minorEastAsia" w:hAnsiTheme="minorEastAsia" w:eastAsiaTheme="minorEastAsia" w:cstheme="minorEastAsia"/>
          <w:b w:val="0"/>
          <w:bCs w:val="0"/>
          <w:szCs w:val="21"/>
        </w:rPr>
      </w:pPr>
    </w:p>
    <w:p w14:paraId="106A28CD">
      <w:pPr>
        <w:spacing w:line="440" w:lineRule="exact"/>
        <w:rPr>
          <w:rFonts w:hint="eastAsia" w:asciiTheme="minorEastAsia" w:hAnsiTheme="minorEastAsia" w:eastAsiaTheme="minorEastAsia" w:cstheme="minorEastAsia"/>
          <w:b w:val="0"/>
          <w:bCs w:val="0"/>
          <w:szCs w:val="21"/>
        </w:rPr>
      </w:pPr>
    </w:p>
    <w:p w14:paraId="3411DD8C">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14:paraId="01C4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322C6028">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25460F07">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934C71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c>
          <w:tcPr>
            <w:tcW w:w="1913" w:type="dxa"/>
            <w:noWrap w:val="0"/>
            <w:vAlign w:val="center"/>
          </w:tcPr>
          <w:p w14:paraId="49721283">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交货/完工</w:t>
            </w:r>
          </w:p>
          <w:p w14:paraId="52264924">
            <w:pPr>
              <w:spacing w:line="440" w:lineRule="exact"/>
              <w:jc w:val="center"/>
              <w:rPr>
                <w:rFonts w:hint="eastAsia"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z w:val="24"/>
                <w:szCs w:val="28"/>
              </w:rPr>
              <w:t>日期</w:t>
            </w:r>
          </w:p>
        </w:tc>
      </w:tr>
      <w:tr w14:paraId="764A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0EEE6B5B">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19F289D7">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324644F8">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199F0384">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c>
          <w:tcPr>
            <w:tcW w:w="1913" w:type="dxa"/>
            <w:noWrap w:val="0"/>
            <w:vAlign w:val="center"/>
          </w:tcPr>
          <w:p w14:paraId="73901BD5">
            <w:pPr>
              <w:spacing w:line="440" w:lineRule="exact"/>
              <w:jc w:val="center"/>
              <w:rPr>
                <w:rFonts w:hint="eastAsia" w:asciiTheme="minorEastAsia" w:hAnsiTheme="minorEastAsia" w:eastAsiaTheme="minorEastAsia" w:cstheme="minorEastAsia"/>
                <w:b w:val="0"/>
                <w:bCs w:val="0"/>
                <w:sz w:val="24"/>
                <w:szCs w:val="28"/>
              </w:rPr>
            </w:pPr>
          </w:p>
        </w:tc>
      </w:tr>
    </w:tbl>
    <w:p w14:paraId="232BC0CD">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42DCD485">
      <w:pPr>
        <w:pStyle w:val="18"/>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6068898F">
      <w:pPr>
        <w:spacing w:line="600" w:lineRule="exact"/>
        <w:ind w:firstLine="560" w:firstLineChars="200"/>
        <w:rPr>
          <w:rFonts w:hint="eastAsia" w:asciiTheme="minorEastAsia" w:hAnsiTheme="minorEastAsia" w:eastAsiaTheme="minorEastAsia" w:cstheme="minorEastAsia"/>
          <w:sz w:val="28"/>
          <w:szCs w:val="28"/>
        </w:rPr>
      </w:pPr>
    </w:p>
    <w:p w14:paraId="7A86A117">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51D69314">
      <w:pPr>
        <w:pStyle w:val="19"/>
        <w:rPr>
          <w:rFonts w:hint="eastAsia" w:asciiTheme="minorEastAsia" w:hAnsiTheme="minorEastAsia" w:eastAsiaTheme="minorEastAsia" w:cstheme="minorEastAsia"/>
        </w:rPr>
      </w:pPr>
    </w:p>
    <w:p w14:paraId="4F777A8F">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410BE202">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1ACDF7DC">
      <w:pPr>
        <w:pStyle w:val="16"/>
        <w:rPr>
          <w:rFonts w:hint="eastAsia" w:ascii="仿宋" w:hAnsi="仿宋" w:eastAsia="仿宋"/>
          <w:sz w:val="28"/>
          <w:szCs w:val="28"/>
        </w:rPr>
      </w:pPr>
    </w:p>
    <w:p w14:paraId="0FCE9A17">
      <w:pPr>
        <w:pStyle w:val="16"/>
        <w:rPr>
          <w:rFonts w:hint="eastAsia" w:ascii="仿宋" w:hAnsi="仿宋" w:eastAsia="仿宋"/>
          <w:sz w:val="28"/>
          <w:szCs w:val="28"/>
        </w:rPr>
      </w:pPr>
    </w:p>
    <w:p w14:paraId="7A83405A">
      <w:pPr>
        <w:pStyle w:val="16"/>
        <w:rPr>
          <w:rFonts w:hint="eastAsia" w:ascii="仿宋" w:hAnsi="仿宋" w:eastAsia="仿宋"/>
          <w:sz w:val="28"/>
          <w:szCs w:val="28"/>
        </w:rPr>
      </w:pPr>
    </w:p>
    <w:p w14:paraId="6F3D4E53">
      <w:pPr>
        <w:pStyle w:val="16"/>
        <w:rPr>
          <w:rFonts w:hint="eastAsia" w:ascii="仿宋" w:hAnsi="仿宋" w:eastAsia="仿宋"/>
          <w:sz w:val="28"/>
          <w:szCs w:val="28"/>
        </w:rPr>
      </w:pPr>
    </w:p>
    <w:p w14:paraId="595E5012">
      <w:pPr>
        <w:spacing w:after="60" w:afterLines="25" w:line="300" w:lineRule="auto"/>
      </w:pPr>
    </w:p>
    <w:p w14:paraId="6BD59A59">
      <w:pPr>
        <w:spacing w:after="60" w:afterLines="25" w:line="300" w:lineRule="auto"/>
      </w:pPr>
    </w:p>
    <w:p w14:paraId="30A78982">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7993BDC4">
      <w:pPr>
        <w:snapToGrid w:val="0"/>
        <w:spacing w:line="360" w:lineRule="auto"/>
        <w:rPr>
          <w:rFonts w:ascii="Arial" w:hAnsi="Arial" w:eastAsia="宋体"/>
        </w:rPr>
      </w:pPr>
    </w:p>
    <w:p w14:paraId="5DE479D0">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喀什市公安局</w:t>
      </w:r>
    </w:p>
    <w:p w14:paraId="2D5081DD">
      <w:pPr>
        <w:ind w:right="-815" w:firstLine="480" w:firstLineChars="200"/>
        <w:rPr>
          <w:rFonts w:ascii="宋体" w:hAnsi="宋体"/>
          <w:szCs w:val="21"/>
        </w:rPr>
      </w:pPr>
      <w:r>
        <w:rPr>
          <w:rFonts w:hint="eastAsia" w:ascii="宋体" w:hAnsi="宋体"/>
          <w:szCs w:val="21"/>
        </w:rPr>
        <w:t>我单位承诺：</w:t>
      </w:r>
    </w:p>
    <w:p w14:paraId="28CCDD98">
      <w:pPr>
        <w:ind w:firstLine="480" w:firstLineChars="200"/>
        <w:rPr>
          <w:rFonts w:ascii="宋体" w:hAnsi="宋体"/>
          <w:szCs w:val="21"/>
        </w:rPr>
      </w:pPr>
      <w:r>
        <w:rPr>
          <w:rFonts w:hint="eastAsia" w:ascii="宋体" w:hAnsi="宋体"/>
          <w:szCs w:val="21"/>
        </w:rPr>
        <w:t>1.我单位本招标项目所提供的货物或服务未侵犯知识产权。</w:t>
      </w:r>
    </w:p>
    <w:p w14:paraId="1B4CAEBD">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3ED10F55">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67DFDA8B">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C6F1A0B">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0705D6ED">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9C00E65">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B99968B">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F00E417">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6A81AF5">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675C2F3F">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E1BD63E">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F9135CC">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5DB85EE">
      <w:pPr>
        <w:snapToGrid w:val="0"/>
        <w:ind w:firstLine="480" w:firstLineChars="200"/>
        <w:rPr>
          <w:rFonts w:ascii="宋体" w:hAnsi="宋体" w:eastAsia="宋体"/>
        </w:rPr>
      </w:pPr>
    </w:p>
    <w:p w14:paraId="10E45E67">
      <w:pPr>
        <w:snapToGrid w:val="0"/>
        <w:ind w:firstLine="480" w:firstLineChars="200"/>
        <w:rPr>
          <w:rFonts w:ascii="宋体" w:hAnsi="宋体" w:eastAsia="宋体"/>
        </w:rPr>
      </w:pPr>
    </w:p>
    <w:p w14:paraId="21ED731A">
      <w:pPr>
        <w:snapToGrid w:val="0"/>
        <w:ind w:right="420"/>
        <w:rPr>
          <w:rFonts w:ascii="宋体" w:hAnsi="宋体" w:eastAsia="宋体"/>
        </w:rPr>
      </w:pPr>
      <w:r>
        <w:rPr>
          <w:rFonts w:hint="eastAsia" w:ascii="宋体" w:hAnsi="宋体" w:eastAsia="宋体"/>
        </w:rPr>
        <w:t xml:space="preserve">                        投标单位（投标人）名称：</w:t>
      </w:r>
    </w:p>
    <w:p w14:paraId="72A504A7">
      <w:pPr>
        <w:snapToGrid w:val="0"/>
        <w:ind w:right="450" w:firstLine="480" w:firstLineChars="200"/>
        <w:jc w:val="right"/>
        <w:rPr>
          <w:rFonts w:ascii="宋体" w:hAnsi="宋体" w:eastAsia="宋体"/>
        </w:rPr>
      </w:pPr>
      <w:r>
        <w:rPr>
          <w:rFonts w:hint="eastAsia" w:ascii="宋体" w:hAnsi="宋体" w:eastAsia="宋体"/>
        </w:rPr>
        <w:t>年月日</w:t>
      </w:r>
    </w:p>
    <w:p w14:paraId="2D527A98">
      <w:pPr>
        <w:snapToGrid w:val="0"/>
        <w:spacing w:line="360" w:lineRule="auto"/>
        <w:ind w:right="450" w:firstLine="480" w:firstLineChars="200"/>
        <w:jc w:val="right"/>
        <w:rPr>
          <w:rFonts w:ascii="仿宋" w:hAnsi="仿宋" w:eastAsia="仿宋"/>
        </w:rPr>
      </w:pPr>
    </w:p>
    <w:p w14:paraId="7FBD0120">
      <w:pPr>
        <w:snapToGrid w:val="0"/>
        <w:spacing w:line="360" w:lineRule="auto"/>
        <w:ind w:right="450" w:firstLine="480" w:firstLineChars="200"/>
        <w:jc w:val="right"/>
        <w:rPr>
          <w:rFonts w:ascii="仿宋" w:hAnsi="仿宋" w:eastAsia="仿宋"/>
        </w:rPr>
      </w:pPr>
    </w:p>
    <w:p w14:paraId="10A7729A">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50502A80">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18EE5A7E">
      <w:pPr>
        <w:rPr>
          <w:rFonts w:hint="eastAsia"/>
        </w:rPr>
      </w:pPr>
    </w:p>
    <w:p w14:paraId="70A77EA0">
      <w:pPr>
        <w:rPr>
          <w:rFonts w:hint="eastAsia"/>
        </w:rPr>
      </w:pPr>
    </w:p>
    <w:p w14:paraId="413A2B74">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5DCF626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0A5D2208">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1AD7E128">
      <w:pPr>
        <w:pStyle w:val="18"/>
        <w:rPr>
          <w:rFonts w:hint="eastAsia"/>
        </w:rPr>
      </w:pPr>
    </w:p>
    <w:p w14:paraId="0979D7BA">
      <w:pPr>
        <w:rPr>
          <w:rFonts w:hint="eastAsia"/>
        </w:rPr>
      </w:pPr>
    </w:p>
    <w:p w14:paraId="50E343B3">
      <w:pPr>
        <w:pStyle w:val="18"/>
        <w:rPr>
          <w:rFonts w:hint="eastAsia"/>
        </w:rPr>
      </w:pPr>
    </w:p>
    <w:p w14:paraId="26B60B48">
      <w:pPr>
        <w:rPr>
          <w:rFonts w:hint="eastAsia"/>
        </w:rPr>
      </w:pPr>
    </w:p>
    <w:p w14:paraId="2F8B50A8">
      <w:pPr>
        <w:pStyle w:val="18"/>
        <w:rPr>
          <w:rFonts w:hint="eastAsia"/>
        </w:rPr>
      </w:pPr>
    </w:p>
    <w:p w14:paraId="181C5F88">
      <w:pPr>
        <w:rPr>
          <w:rFonts w:hint="eastAsia"/>
        </w:rPr>
      </w:pPr>
    </w:p>
    <w:p w14:paraId="440D5E4B">
      <w:pPr>
        <w:pStyle w:val="18"/>
        <w:rPr>
          <w:rFonts w:hint="eastAsia"/>
        </w:rPr>
      </w:pPr>
    </w:p>
    <w:p w14:paraId="3C618BF4">
      <w:pPr>
        <w:rPr>
          <w:rFonts w:hint="eastAsia"/>
        </w:rPr>
      </w:pPr>
    </w:p>
    <w:p w14:paraId="78C2192C">
      <w:pPr>
        <w:pStyle w:val="18"/>
        <w:rPr>
          <w:rFonts w:hint="eastAsia"/>
        </w:rPr>
      </w:pPr>
    </w:p>
    <w:p w14:paraId="10D86990">
      <w:pPr>
        <w:rPr>
          <w:rFonts w:hint="eastAsia"/>
        </w:rPr>
      </w:pPr>
    </w:p>
    <w:p w14:paraId="7F4E03F1">
      <w:pPr>
        <w:pStyle w:val="18"/>
        <w:rPr>
          <w:rFonts w:hint="eastAsia"/>
        </w:rPr>
      </w:pPr>
    </w:p>
    <w:p w14:paraId="5C349758">
      <w:pPr>
        <w:rPr>
          <w:rFonts w:hint="eastAsia"/>
        </w:rPr>
      </w:pPr>
    </w:p>
    <w:p w14:paraId="66043FE2">
      <w:pPr>
        <w:pStyle w:val="18"/>
        <w:rPr>
          <w:rFonts w:hint="eastAsia"/>
        </w:rPr>
      </w:pPr>
    </w:p>
    <w:p w14:paraId="35FF8FBC">
      <w:pPr>
        <w:rPr>
          <w:rFonts w:hint="eastAsia"/>
        </w:rPr>
      </w:pPr>
    </w:p>
    <w:p w14:paraId="3A0728E3">
      <w:pPr>
        <w:pStyle w:val="18"/>
        <w:rPr>
          <w:rFonts w:hint="eastAsia"/>
        </w:rPr>
      </w:pPr>
    </w:p>
    <w:p w14:paraId="0D6B7F7F">
      <w:pPr>
        <w:rPr>
          <w:rFonts w:hint="eastAsia"/>
        </w:rPr>
      </w:pPr>
    </w:p>
    <w:p w14:paraId="334E6C6D">
      <w:pPr>
        <w:pStyle w:val="18"/>
        <w:rPr>
          <w:rFonts w:hint="eastAsia"/>
        </w:rPr>
      </w:pPr>
    </w:p>
    <w:p w14:paraId="3CB5774C">
      <w:pPr>
        <w:rPr>
          <w:rFonts w:hint="eastAsia"/>
        </w:rPr>
      </w:pPr>
    </w:p>
    <w:p w14:paraId="44D371BE">
      <w:pPr>
        <w:pStyle w:val="18"/>
        <w:rPr>
          <w:rFonts w:hint="eastAsia"/>
        </w:rPr>
      </w:pPr>
    </w:p>
    <w:p w14:paraId="33534039">
      <w:pPr>
        <w:rPr>
          <w:rFonts w:hint="eastAsia"/>
        </w:rPr>
      </w:pPr>
    </w:p>
    <w:p w14:paraId="103D4C06">
      <w:pPr>
        <w:pStyle w:val="18"/>
        <w:rPr>
          <w:rFonts w:hint="eastAsia"/>
        </w:rPr>
      </w:pPr>
    </w:p>
    <w:p w14:paraId="0E36B64D">
      <w:pPr>
        <w:rPr>
          <w:rFonts w:hint="eastAsia"/>
        </w:rPr>
      </w:pPr>
    </w:p>
    <w:p w14:paraId="01BF5333">
      <w:pPr>
        <w:pStyle w:val="18"/>
        <w:rPr>
          <w:rFonts w:hint="eastAsia"/>
        </w:rPr>
      </w:pPr>
    </w:p>
    <w:p w14:paraId="5D0349D7">
      <w:pPr>
        <w:rPr>
          <w:rFonts w:hint="eastAsia"/>
        </w:rPr>
      </w:pPr>
    </w:p>
    <w:p w14:paraId="455F6AEA">
      <w:pPr>
        <w:pStyle w:val="18"/>
        <w:rPr>
          <w:rFonts w:hint="eastAsia"/>
        </w:rPr>
      </w:pPr>
    </w:p>
    <w:p w14:paraId="5905B53D">
      <w:pPr>
        <w:rPr>
          <w:rFonts w:hint="eastAsia"/>
        </w:rPr>
      </w:pPr>
    </w:p>
    <w:p w14:paraId="5F47B8BC">
      <w:pPr>
        <w:pStyle w:val="18"/>
        <w:rPr>
          <w:rFonts w:hint="eastAsia"/>
        </w:rPr>
      </w:pPr>
    </w:p>
    <w:p w14:paraId="69DDD3F1">
      <w:pPr>
        <w:pStyle w:val="18"/>
        <w:ind w:left="0" w:leftChars="0" w:firstLine="0" w:firstLineChars="0"/>
        <w:rPr>
          <w:rFonts w:hint="eastAsia"/>
        </w:rPr>
      </w:pPr>
    </w:p>
    <w:p w14:paraId="01E938E4">
      <w:pPr>
        <w:rPr>
          <w:rFonts w:hint="eastAsia"/>
        </w:rPr>
      </w:pPr>
    </w:p>
    <w:p w14:paraId="588D9446">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0FE5E2ED">
      <w:pPr>
        <w:tabs>
          <w:tab w:val="left" w:pos="5580"/>
        </w:tabs>
        <w:spacing w:line="240" w:lineRule="atLeast"/>
        <w:ind w:left="1156" w:leftChars="257" w:hanging="540"/>
        <w:rPr>
          <w:rFonts w:hint="eastAsia" w:ascii="仿宋_GB2312" w:eastAsia="仿宋_GB2312"/>
          <w:sz w:val="24"/>
        </w:rPr>
      </w:pPr>
    </w:p>
    <w:p w14:paraId="706EE3A1">
      <w:pPr>
        <w:pStyle w:val="30"/>
        <w:numPr>
          <w:ilvl w:val="0"/>
          <w:numId w:val="0"/>
        </w:numPr>
        <w:ind w:left="900" w:leftChars="0"/>
        <w:jc w:val="both"/>
        <w:rPr>
          <w:rFonts w:hint="eastAsia" w:eastAsia="宋体"/>
          <w:lang w:eastAsia="zh-CN"/>
        </w:rPr>
      </w:pPr>
      <w:r>
        <w:rPr>
          <w:rFonts w:hint="eastAsia" w:eastAsia="宋体"/>
          <w:lang w:eastAsia="zh-CN"/>
        </w:rPr>
        <w:t>说明：</w:t>
      </w:r>
    </w:p>
    <w:p w14:paraId="31E8DCF1">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2020-2023年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3A32C8CD">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020ED69C">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453321C4">
      <w:pPr>
        <w:jc w:val="center"/>
        <w:rPr>
          <w:rFonts w:hint="eastAsia" w:asciiTheme="majorEastAsia" w:hAnsiTheme="majorEastAsia" w:eastAsiaTheme="majorEastAsia" w:cstheme="majorEastAsia"/>
          <w:b/>
          <w:bCs/>
          <w:szCs w:val="20"/>
          <w:lang w:val="en-US" w:eastAsia="zh-CN"/>
        </w:rPr>
      </w:pPr>
    </w:p>
    <w:p w14:paraId="6C229ECC">
      <w:pPr>
        <w:jc w:val="center"/>
        <w:rPr>
          <w:rFonts w:hint="eastAsia" w:asciiTheme="majorEastAsia" w:hAnsiTheme="majorEastAsia" w:eastAsiaTheme="majorEastAsia" w:cstheme="majorEastAsia"/>
          <w:b/>
          <w:bCs/>
          <w:szCs w:val="20"/>
          <w:lang w:val="en-US" w:eastAsia="zh-CN"/>
        </w:rPr>
      </w:pPr>
    </w:p>
    <w:p w14:paraId="7C01E969">
      <w:pPr>
        <w:pStyle w:val="18"/>
        <w:rPr>
          <w:rFonts w:hint="eastAsia" w:asciiTheme="majorEastAsia" w:hAnsiTheme="majorEastAsia" w:eastAsiaTheme="majorEastAsia" w:cstheme="majorEastAsia"/>
          <w:b/>
          <w:bCs/>
          <w:szCs w:val="20"/>
          <w:lang w:val="en-US" w:eastAsia="zh-CN"/>
        </w:rPr>
      </w:pPr>
    </w:p>
    <w:p w14:paraId="6283FB67">
      <w:pPr>
        <w:rPr>
          <w:rFonts w:hint="eastAsia" w:asciiTheme="majorEastAsia" w:hAnsiTheme="majorEastAsia" w:eastAsiaTheme="majorEastAsia" w:cstheme="majorEastAsia"/>
          <w:b/>
          <w:bCs/>
          <w:szCs w:val="20"/>
          <w:lang w:val="en-US" w:eastAsia="zh-CN"/>
        </w:rPr>
      </w:pPr>
    </w:p>
    <w:p w14:paraId="20B11E83">
      <w:pPr>
        <w:pStyle w:val="18"/>
        <w:rPr>
          <w:rFonts w:hint="eastAsia" w:asciiTheme="majorEastAsia" w:hAnsiTheme="majorEastAsia" w:eastAsiaTheme="majorEastAsia" w:cstheme="majorEastAsia"/>
          <w:b/>
          <w:bCs/>
          <w:szCs w:val="20"/>
          <w:lang w:val="en-US" w:eastAsia="zh-CN"/>
        </w:rPr>
      </w:pPr>
    </w:p>
    <w:p w14:paraId="6C78B712">
      <w:pPr>
        <w:rPr>
          <w:rFonts w:hint="eastAsia" w:asciiTheme="majorEastAsia" w:hAnsiTheme="majorEastAsia" w:eastAsiaTheme="majorEastAsia" w:cstheme="majorEastAsia"/>
          <w:b/>
          <w:bCs/>
          <w:szCs w:val="20"/>
          <w:lang w:val="en-US" w:eastAsia="zh-CN"/>
        </w:rPr>
      </w:pPr>
    </w:p>
    <w:p w14:paraId="7791F691">
      <w:pPr>
        <w:pStyle w:val="18"/>
        <w:rPr>
          <w:rFonts w:hint="eastAsia" w:asciiTheme="majorEastAsia" w:hAnsiTheme="majorEastAsia" w:eastAsiaTheme="majorEastAsia" w:cstheme="majorEastAsia"/>
          <w:b/>
          <w:bCs/>
          <w:szCs w:val="20"/>
          <w:lang w:val="en-US" w:eastAsia="zh-CN"/>
        </w:rPr>
      </w:pPr>
    </w:p>
    <w:p w14:paraId="28998BDF">
      <w:pPr>
        <w:rPr>
          <w:rFonts w:hint="eastAsia" w:asciiTheme="majorEastAsia" w:hAnsiTheme="majorEastAsia" w:eastAsiaTheme="majorEastAsia" w:cstheme="majorEastAsia"/>
          <w:b/>
          <w:bCs/>
          <w:szCs w:val="20"/>
          <w:lang w:val="en-US" w:eastAsia="zh-CN"/>
        </w:rPr>
      </w:pPr>
    </w:p>
    <w:p w14:paraId="28A87826">
      <w:pPr>
        <w:pStyle w:val="18"/>
        <w:rPr>
          <w:rFonts w:hint="eastAsia" w:asciiTheme="majorEastAsia" w:hAnsiTheme="majorEastAsia" w:eastAsiaTheme="majorEastAsia" w:cstheme="majorEastAsia"/>
          <w:b/>
          <w:bCs/>
          <w:szCs w:val="20"/>
          <w:lang w:val="en-US" w:eastAsia="zh-CN"/>
        </w:rPr>
      </w:pPr>
    </w:p>
    <w:p w14:paraId="2C3967A2">
      <w:pPr>
        <w:rPr>
          <w:rFonts w:hint="eastAsia" w:asciiTheme="majorEastAsia" w:hAnsiTheme="majorEastAsia" w:eastAsiaTheme="majorEastAsia" w:cstheme="majorEastAsia"/>
          <w:b/>
          <w:bCs/>
          <w:szCs w:val="20"/>
          <w:lang w:val="en-US" w:eastAsia="zh-CN"/>
        </w:rPr>
      </w:pPr>
    </w:p>
    <w:p w14:paraId="34AA4F39">
      <w:pPr>
        <w:pStyle w:val="18"/>
        <w:rPr>
          <w:rFonts w:hint="eastAsia" w:asciiTheme="majorEastAsia" w:hAnsiTheme="majorEastAsia" w:eastAsiaTheme="majorEastAsia" w:cstheme="majorEastAsia"/>
          <w:b/>
          <w:bCs/>
          <w:szCs w:val="20"/>
          <w:lang w:val="en-US" w:eastAsia="zh-CN"/>
        </w:rPr>
      </w:pPr>
    </w:p>
    <w:p w14:paraId="23C0D0F5">
      <w:pPr>
        <w:rPr>
          <w:rFonts w:hint="eastAsia" w:asciiTheme="majorEastAsia" w:hAnsiTheme="majorEastAsia" w:eastAsiaTheme="majorEastAsia" w:cstheme="majorEastAsia"/>
          <w:b/>
          <w:bCs/>
          <w:szCs w:val="20"/>
          <w:lang w:val="en-US" w:eastAsia="zh-CN"/>
        </w:rPr>
      </w:pPr>
    </w:p>
    <w:p w14:paraId="1B58B770">
      <w:pPr>
        <w:pStyle w:val="18"/>
        <w:rPr>
          <w:rFonts w:hint="eastAsia" w:asciiTheme="majorEastAsia" w:hAnsiTheme="majorEastAsia" w:eastAsiaTheme="majorEastAsia" w:cstheme="majorEastAsia"/>
          <w:b/>
          <w:bCs/>
          <w:szCs w:val="20"/>
          <w:lang w:val="en-US" w:eastAsia="zh-CN"/>
        </w:rPr>
      </w:pPr>
    </w:p>
    <w:p w14:paraId="64A1C263">
      <w:pPr>
        <w:rPr>
          <w:rFonts w:hint="eastAsia" w:asciiTheme="majorEastAsia" w:hAnsiTheme="majorEastAsia" w:eastAsiaTheme="majorEastAsia" w:cstheme="majorEastAsia"/>
          <w:b/>
          <w:bCs/>
          <w:szCs w:val="20"/>
          <w:lang w:val="en-US" w:eastAsia="zh-CN"/>
        </w:rPr>
      </w:pPr>
    </w:p>
    <w:p w14:paraId="02C5C114">
      <w:pPr>
        <w:pStyle w:val="18"/>
        <w:rPr>
          <w:rFonts w:hint="eastAsia" w:asciiTheme="majorEastAsia" w:hAnsiTheme="majorEastAsia" w:eastAsiaTheme="majorEastAsia" w:cstheme="majorEastAsia"/>
          <w:b/>
          <w:bCs/>
          <w:szCs w:val="20"/>
          <w:lang w:val="en-US" w:eastAsia="zh-CN"/>
        </w:rPr>
      </w:pPr>
    </w:p>
    <w:p w14:paraId="3F4D5C77">
      <w:pPr>
        <w:rPr>
          <w:rFonts w:hint="eastAsia" w:asciiTheme="majorEastAsia" w:hAnsiTheme="majorEastAsia" w:eastAsiaTheme="majorEastAsia" w:cstheme="majorEastAsia"/>
          <w:b/>
          <w:bCs/>
          <w:szCs w:val="20"/>
          <w:lang w:val="en-US" w:eastAsia="zh-CN"/>
        </w:rPr>
      </w:pPr>
    </w:p>
    <w:p w14:paraId="7B0497E6">
      <w:pPr>
        <w:pStyle w:val="18"/>
        <w:rPr>
          <w:rFonts w:hint="eastAsia" w:asciiTheme="majorEastAsia" w:hAnsiTheme="majorEastAsia" w:eastAsiaTheme="majorEastAsia" w:cstheme="majorEastAsia"/>
          <w:b/>
          <w:bCs/>
          <w:szCs w:val="20"/>
          <w:lang w:val="en-US" w:eastAsia="zh-CN"/>
        </w:rPr>
      </w:pPr>
    </w:p>
    <w:p w14:paraId="2BD95B64">
      <w:pPr>
        <w:rPr>
          <w:rFonts w:hint="eastAsia" w:asciiTheme="majorEastAsia" w:hAnsiTheme="majorEastAsia" w:eastAsiaTheme="majorEastAsia" w:cstheme="majorEastAsia"/>
          <w:b/>
          <w:bCs/>
          <w:szCs w:val="20"/>
          <w:lang w:val="en-US" w:eastAsia="zh-CN"/>
        </w:rPr>
      </w:pPr>
    </w:p>
    <w:p w14:paraId="05637767">
      <w:pPr>
        <w:pStyle w:val="18"/>
        <w:rPr>
          <w:rFonts w:hint="eastAsia" w:asciiTheme="majorEastAsia" w:hAnsiTheme="majorEastAsia" w:eastAsiaTheme="majorEastAsia" w:cstheme="majorEastAsia"/>
          <w:b/>
          <w:bCs/>
          <w:szCs w:val="20"/>
          <w:lang w:val="en-US" w:eastAsia="zh-CN"/>
        </w:rPr>
      </w:pPr>
    </w:p>
    <w:p w14:paraId="57038E8C">
      <w:pPr>
        <w:rPr>
          <w:rFonts w:hint="eastAsia" w:asciiTheme="majorEastAsia" w:hAnsiTheme="majorEastAsia" w:eastAsiaTheme="majorEastAsia" w:cstheme="majorEastAsia"/>
          <w:b/>
          <w:bCs/>
          <w:szCs w:val="20"/>
          <w:lang w:val="en-US" w:eastAsia="zh-CN"/>
        </w:rPr>
      </w:pPr>
    </w:p>
    <w:p w14:paraId="3D259FB9">
      <w:pPr>
        <w:pStyle w:val="18"/>
        <w:rPr>
          <w:rFonts w:hint="eastAsia" w:asciiTheme="majorEastAsia" w:hAnsiTheme="majorEastAsia" w:eastAsiaTheme="majorEastAsia" w:cstheme="majorEastAsia"/>
          <w:b/>
          <w:bCs/>
          <w:szCs w:val="20"/>
          <w:lang w:val="en-US" w:eastAsia="zh-CN"/>
        </w:rPr>
      </w:pPr>
    </w:p>
    <w:p w14:paraId="732B1656">
      <w:pPr>
        <w:rPr>
          <w:rFonts w:hint="eastAsia" w:asciiTheme="majorEastAsia" w:hAnsiTheme="majorEastAsia" w:eastAsiaTheme="majorEastAsia" w:cstheme="majorEastAsia"/>
          <w:b/>
          <w:bCs/>
          <w:szCs w:val="20"/>
          <w:lang w:val="en-US" w:eastAsia="zh-CN"/>
        </w:rPr>
      </w:pPr>
    </w:p>
    <w:p w14:paraId="6547C832">
      <w:pPr>
        <w:pStyle w:val="18"/>
        <w:rPr>
          <w:rFonts w:hint="eastAsia" w:asciiTheme="majorEastAsia" w:hAnsiTheme="majorEastAsia" w:eastAsiaTheme="majorEastAsia" w:cstheme="majorEastAsia"/>
          <w:b/>
          <w:bCs/>
          <w:szCs w:val="20"/>
          <w:lang w:val="en-US" w:eastAsia="zh-CN"/>
        </w:rPr>
      </w:pPr>
    </w:p>
    <w:p w14:paraId="62738605">
      <w:pPr>
        <w:rPr>
          <w:rFonts w:hint="eastAsia" w:asciiTheme="majorEastAsia" w:hAnsiTheme="majorEastAsia" w:eastAsiaTheme="majorEastAsia" w:cstheme="majorEastAsia"/>
          <w:b/>
          <w:bCs/>
          <w:szCs w:val="20"/>
          <w:lang w:val="en-US" w:eastAsia="zh-CN"/>
        </w:rPr>
      </w:pPr>
    </w:p>
    <w:p w14:paraId="44C052D4">
      <w:pPr>
        <w:pStyle w:val="18"/>
        <w:ind w:left="0" w:leftChars="0" w:firstLine="0" w:firstLineChars="0"/>
        <w:rPr>
          <w:rFonts w:hint="eastAsia"/>
          <w:lang w:val="en-US" w:eastAsia="zh-CN"/>
        </w:rPr>
      </w:pPr>
    </w:p>
    <w:p w14:paraId="3829EFAF">
      <w:pPr>
        <w:rPr>
          <w:rFonts w:hint="eastAsia"/>
          <w:lang w:val="en-US" w:eastAsia="zh-CN"/>
        </w:rPr>
      </w:pPr>
    </w:p>
    <w:p w14:paraId="1F574BBC">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38082006">
      <w:pPr>
        <w:tabs>
          <w:tab w:val="left" w:pos="5580"/>
        </w:tabs>
        <w:spacing w:line="240" w:lineRule="atLeast"/>
        <w:ind w:left="540"/>
        <w:rPr>
          <w:rFonts w:hint="eastAsia" w:ascii="仿宋_GB2312" w:eastAsia="仿宋_GB2312"/>
          <w:sz w:val="24"/>
          <w:lang w:val="en-US" w:eastAsia="zh-CN"/>
        </w:rPr>
      </w:pPr>
    </w:p>
    <w:p w14:paraId="2486AAD4">
      <w:pPr>
        <w:tabs>
          <w:tab w:val="left" w:pos="5580"/>
        </w:tabs>
        <w:spacing w:line="240" w:lineRule="atLeast"/>
        <w:ind w:left="540"/>
        <w:rPr>
          <w:rFonts w:hint="eastAsia" w:ascii="仿宋_GB2312" w:eastAsia="仿宋_GB2312"/>
          <w:sz w:val="24"/>
          <w:lang w:val="en-US" w:eastAsia="zh-CN"/>
        </w:rPr>
      </w:pPr>
    </w:p>
    <w:p w14:paraId="40769898">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6F90C09E">
      <w:pPr>
        <w:numPr>
          <w:ilvl w:val="0"/>
          <w:numId w:val="4"/>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19205778">
      <w:pPr>
        <w:pStyle w:val="18"/>
        <w:numPr>
          <w:ilvl w:val="0"/>
          <w:numId w:val="0"/>
        </w:numPr>
        <w:rPr>
          <w:rFonts w:hint="eastAsia"/>
          <w:lang w:val="en-US" w:eastAsia="zh-CN"/>
        </w:rPr>
      </w:pPr>
    </w:p>
    <w:p w14:paraId="27199B39">
      <w:pPr>
        <w:rPr>
          <w:rFonts w:hint="eastAsia"/>
          <w:lang w:val="en-US" w:eastAsia="zh-CN"/>
        </w:rPr>
      </w:pPr>
    </w:p>
    <w:p w14:paraId="27338145">
      <w:pPr>
        <w:pStyle w:val="18"/>
        <w:rPr>
          <w:rFonts w:hint="eastAsia"/>
          <w:lang w:val="en-US" w:eastAsia="zh-CN"/>
        </w:rPr>
      </w:pPr>
    </w:p>
    <w:p w14:paraId="705FD2A4">
      <w:pPr>
        <w:rPr>
          <w:rFonts w:hint="eastAsia"/>
          <w:lang w:val="en-US" w:eastAsia="zh-CN"/>
        </w:rPr>
      </w:pPr>
    </w:p>
    <w:p w14:paraId="1748C4EC">
      <w:pPr>
        <w:pStyle w:val="18"/>
        <w:rPr>
          <w:rFonts w:hint="eastAsia"/>
          <w:lang w:val="en-US" w:eastAsia="zh-CN"/>
        </w:rPr>
      </w:pPr>
    </w:p>
    <w:p w14:paraId="4E142B5F">
      <w:pPr>
        <w:rPr>
          <w:rFonts w:hint="eastAsia"/>
          <w:lang w:val="en-US" w:eastAsia="zh-CN"/>
        </w:rPr>
      </w:pPr>
    </w:p>
    <w:p w14:paraId="25101422">
      <w:pPr>
        <w:pStyle w:val="18"/>
        <w:rPr>
          <w:rFonts w:hint="eastAsia"/>
          <w:lang w:val="en-US" w:eastAsia="zh-CN"/>
        </w:rPr>
      </w:pPr>
    </w:p>
    <w:p w14:paraId="65A1B694">
      <w:pPr>
        <w:rPr>
          <w:rFonts w:hint="eastAsia"/>
          <w:lang w:val="en-US" w:eastAsia="zh-CN"/>
        </w:rPr>
      </w:pPr>
    </w:p>
    <w:p w14:paraId="01A933D0">
      <w:pPr>
        <w:pStyle w:val="18"/>
        <w:rPr>
          <w:rFonts w:hint="eastAsia"/>
          <w:lang w:val="en-US" w:eastAsia="zh-CN"/>
        </w:rPr>
      </w:pPr>
    </w:p>
    <w:p w14:paraId="23297CDE">
      <w:pPr>
        <w:rPr>
          <w:rFonts w:hint="eastAsia"/>
          <w:lang w:val="en-US" w:eastAsia="zh-CN"/>
        </w:rPr>
      </w:pPr>
    </w:p>
    <w:p w14:paraId="758C2B81">
      <w:pPr>
        <w:pStyle w:val="18"/>
        <w:rPr>
          <w:rFonts w:hint="eastAsia"/>
          <w:lang w:val="en-US" w:eastAsia="zh-CN"/>
        </w:rPr>
      </w:pPr>
    </w:p>
    <w:p w14:paraId="678823C9">
      <w:pPr>
        <w:rPr>
          <w:rFonts w:hint="eastAsia"/>
          <w:lang w:val="en-US" w:eastAsia="zh-CN"/>
        </w:rPr>
      </w:pPr>
    </w:p>
    <w:p w14:paraId="0D0AFBBA">
      <w:pPr>
        <w:rPr>
          <w:rFonts w:hint="eastAsia"/>
          <w:lang w:val="en-US" w:eastAsia="zh-CN"/>
        </w:rPr>
      </w:pPr>
    </w:p>
    <w:p w14:paraId="281AD52B">
      <w:pPr>
        <w:pStyle w:val="18"/>
        <w:rPr>
          <w:rFonts w:hint="eastAsia"/>
          <w:lang w:val="en-US" w:eastAsia="zh-CN"/>
        </w:rPr>
      </w:pPr>
    </w:p>
    <w:p w14:paraId="09ABC4B2">
      <w:pPr>
        <w:rPr>
          <w:rFonts w:hint="eastAsia"/>
          <w:lang w:val="en-US" w:eastAsia="zh-CN"/>
        </w:rPr>
      </w:pPr>
    </w:p>
    <w:p w14:paraId="03D70AB3">
      <w:pPr>
        <w:pStyle w:val="18"/>
        <w:rPr>
          <w:rFonts w:hint="eastAsia"/>
          <w:lang w:val="en-US" w:eastAsia="zh-CN"/>
        </w:rPr>
      </w:pPr>
    </w:p>
    <w:p w14:paraId="70ECE835">
      <w:pPr>
        <w:rPr>
          <w:rFonts w:hint="eastAsia"/>
          <w:lang w:val="en-US" w:eastAsia="zh-CN"/>
        </w:rPr>
      </w:pPr>
    </w:p>
    <w:p w14:paraId="2DF490ED">
      <w:pPr>
        <w:pStyle w:val="18"/>
        <w:rPr>
          <w:rFonts w:hint="eastAsia"/>
          <w:lang w:val="en-US" w:eastAsia="zh-CN"/>
        </w:rPr>
      </w:pPr>
    </w:p>
    <w:p w14:paraId="0D4BF7C6">
      <w:pPr>
        <w:rPr>
          <w:rFonts w:hint="eastAsia"/>
          <w:lang w:val="en-US" w:eastAsia="zh-CN"/>
        </w:rPr>
      </w:pPr>
    </w:p>
    <w:p w14:paraId="087CE4BB">
      <w:pPr>
        <w:pStyle w:val="18"/>
        <w:rPr>
          <w:rFonts w:hint="eastAsia"/>
          <w:lang w:val="en-US" w:eastAsia="zh-CN"/>
        </w:rPr>
      </w:pPr>
    </w:p>
    <w:p w14:paraId="72B5AC67">
      <w:pPr>
        <w:rPr>
          <w:rFonts w:hint="eastAsia"/>
          <w:lang w:val="en-US" w:eastAsia="zh-CN"/>
        </w:rPr>
      </w:pPr>
    </w:p>
    <w:p w14:paraId="6016E7C1">
      <w:pPr>
        <w:pStyle w:val="18"/>
        <w:rPr>
          <w:rFonts w:hint="eastAsia"/>
          <w:lang w:val="en-US" w:eastAsia="zh-CN"/>
        </w:rPr>
      </w:pPr>
    </w:p>
    <w:p w14:paraId="33920857">
      <w:pPr>
        <w:rPr>
          <w:rFonts w:hint="eastAsia"/>
          <w:lang w:val="en-US" w:eastAsia="zh-CN"/>
        </w:rPr>
      </w:pPr>
    </w:p>
    <w:p w14:paraId="0F120AF2">
      <w:pPr>
        <w:pStyle w:val="18"/>
        <w:rPr>
          <w:rFonts w:hint="eastAsia"/>
          <w:lang w:val="en-US" w:eastAsia="zh-CN"/>
        </w:rPr>
      </w:pPr>
    </w:p>
    <w:p w14:paraId="19B55CBB">
      <w:pPr>
        <w:rPr>
          <w:rFonts w:hint="eastAsia"/>
          <w:lang w:val="en-US" w:eastAsia="zh-CN"/>
        </w:rPr>
      </w:pPr>
    </w:p>
    <w:p w14:paraId="72ED733C">
      <w:pPr>
        <w:pStyle w:val="18"/>
        <w:ind w:left="0" w:leftChars="0" w:firstLine="0" w:firstLineChars="0"/>
        <w:rPr>
          <w:rFonts w:hint="eastAsia"/>
          <w:lang w:val="en-US" w:eastAsia="zh-CN"/>
        </w:rPr>
      </w:pPr>
    </w:p>
    <w:p w14:paraId="4C024C67">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6.投标保证金收据扫描件或银行转款证明扫描件或支票扫描件、汇票扫描件、本票扫描件或者金融机构、担保机构出具的保函扫描件；</w:t>
      </w:r>
    </w:p>
    <w:p w14:paraId="00015491">
      <w:pPr>
        <w:jc w:val="center"/>
        <w:rPr>
          <w:rFonts w:hint="eastAsia" w:ascii="仿宋" w:hAnsi="仿宋" w:eastAsia="仿宋"/>
          <w:sz w:val="28"/>
          <w:szCs w:val="28"/>
        </w:rPr>
      </w:pPr>
    </w:p>
    <w:p w14:paraId="4D752714">
      <w:pPr>
        <w:pStyle w:val="10"/>
        <w:tabs>
          <w:tab w:val="left" w:pos="5580"/>
        </w:tabs>
        <w:spacing w:line="240" w:lineRule="atLeast"/>
        <w:ind w:left="1156" w:leftChars="257" w:hanging="540"/>
        <w:rPr>
          <w:rFonts w:hint="eastAsia" w:ascii="仿宋_GB2312" w:hAnsi="宋体" w:eastAsia="仿宋_GB2312"/>
          <w:b w:val="0"/>
          <w:bCs/>
          <w:sz w:val="24"/>
          <w:lang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w:t>
      </w:r>
      <w:r>
        <w:rPr>
          <w:rFonts w:hint="eastAsia" w:ascii="仿宋_GB2312" w:hAnsi="宋体" w:eastAsia="仿宋_GB2312"/>
          <w:b w:val="0"/>
          <w:bCs/>
          <w:sz w:val="24"/>
          <w:lang w:eastAsia="zh-CN"/>
        </w:rPr>
        <w:t>建议注明投标或响应保证金项目名称，未注明项目名称的不作废标处理。重新开展采购活动的项目，若供应商告知采购人再次进行投标或响应的，未退还的投标或响应保证金则自动转为新项目的投标保证金。</w:t>
      </w:r>
    </w:p>
    <w:p w14:paraId="73DF2A5F">
      <w:pPr>
        <w:pStyle w:val="18"/>
        <w:ind w:left="0" w:leftChars="0" w:firstLine="0" w:firstLineChars="0"/>
        <w:rPr>
          <w:rFonts w:hint="eastAsia"/>
        </w:rPr>
      </w:pPr>
    </w:p>
    <w:p w14:paraId="0ABCBAE2">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14:paraId="3F9ADD10">
      <w:pPr>
        <w:ind w:firstLine="7680" w:firstLineChars="3200"/>
        <w:rPr>
          <w:rFonts w:hint="eastAsia" w:ascii="仿宋" w:hAnsi="仿宋" w:eastAsia="仿宋"/>
        </w:rPr>
      </w:pPr>
      <w:r>
        <w:rPr>
          <w:rFonts w:hint="eastAsia" w:ascii="仿宋" w:hAnsi="仿宋" w:eastAsia="仿宋"/>
        </w:rPr>
        <w:t>编号：</w:t>
      </w:r>
    </w:p>
    <w:p w14:paraId="360E3960">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14:paraId="5BDB86E2">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FC9BA85">
      <w:pPr>
        <w:ind w:firstLine="480" w:firstLineChars="200"/>
        <w:rPr>
          <w:rFonts w:hint="eastAsia" w:ascii="仿宋" w:hAnsi="仿宋" w:eastAsia="仿宋"/>
        </w:rPr>
      </w:pPr>
      <w:r>
        <w:rPr>
          <w:rFonts w:hint="eastAsia" w:ascii="仿宋" w:hAnsi="仿宋" w:eastAsia="仿宋"/>
        </w:rPr>
        <w:t>一、保证责任的情形及保证金额</w:t>
      </w:r>
    </w:p>
    <w:p w14:paraId="79D90527">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14:paraId="0E1078D3">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648790DD">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14:paraId="70959CE8">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14:paraId="6F688558">
      <w:pPr>
        <w:ind w:firstLine="480" w:firstLineChars="200"/>
        <w:rPr>
          <w:rFonts w:hint="eastAsia" w:ascii="仿宋" w:hAnsi="仿宋" w:eastAsia="仿宋"/>
        </w:rPr>
      </w:pPr>
      <w:r>
        <w:rPr>
          <w:rFonts w:hint="eastAsia" w:ascii="仿宋" w:hAnsi="仿宋" w:eastAsia="仿宋"/>
        </w:rPr>
        <w:t>二、保证的方式及保证期间</w:t>
      </w:r>
    </w:p>
    <w:p w14:paraId="01E36A54">
      <w:pPr>
        <w:ind w:firstLine="480" w:firstLineChars="200"/>
        <w:rPr>
          <w:rFonts w:hint="eastAsia" w:ascii="仿宋" w:hAnsi="仿宋" w:eastAsia="仿宋"/>
        </w:rPr>
      </w:pPr>
      <w:r>
        <w:rPr>
          <w:rFonts w:hint="eastAsia" w:ascii="仿宋" w:hAnsi="仿宋" w:eastAsia="仿宋"/>
        </w:rPr>
        <w:t>我方保证的方式为：连带责任保证。</w:t>
      </w:r>
    </w:p>
    <w:p w14:paraId="62BE3247">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2DE64CFF">
      <w:pPr>
        <w:ind w:firstLine="480" w:firstLineChars="200"/>
        <w:rPr>
          <w:rFonts w:hint="eastAsia" w:ascii="仿宋" w:hAnsi="仿宋" w:eastAsia="仿宋"/>
        </w:rPr>
      </w:pPr>
      <w:r>
        <w:rPr>
          <w:rFonts w:hint="eastAsia" w:ascii="仿宋" w:hAnsi="仿宋" w:eastAsia="仿宋"/>
        </w:rPr>
        <w:t>三、承担保证责任的程序</w:t>
      </w:r>
    </w:p>
    <w:p w14:paraId="71F6AF4D">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24B7073">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06DEA6BE">
      <w:pPr>
        <w:ind w:firstLine="480" w:firstLineChars="200"/>
        <w:rPr>
          <w:rFonts w:hint="eastAsia" w:ascii="仿宋" w:hAnsi="仿宋" w:eastAsia="仿宋"/>
        </w:rPr>
      </w:pPr>
      <w:r>
        <w:rPr>
          <w:rFonts w:hint="eastAsia" w:ascii="仿宋" w:hAnsi="仿宋" w:eastAsia="仿宋"/>
        </w:rPr>
        <w:t>四、保证责任的终止</w:t>
      </w:r>
    </w:p>
    <w:p w14:paraId="61B78EF6">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49C99D10">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3A92A6A4">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7446C164">
      <w:pPr>
        <w:ind w:firstLine="480" w:firstLineChars="200"/>
        <w:rPr>
          <w:rFonts w:hint="eastAsia" w:ascii="仿宋" w:hAnsi="仿宋" w:eastAsia="仿宋"/>
        </w:rPr>
      </w:pPr>
      <w:r>
        <w:rPr>
          <w:rFonts w:hint="eastAsia" w:ascii="仿宋" w:hAnsi="仿宋" w:eastAsia="仿宋"/>
        </w:rPr>
        <w:t>五、免责条款</w:t>
      </w:r>
    </w:p>
    <w:p w14:paraId="6DD96EB0">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591D36CE">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5772CDD6">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25B273F9">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61D2A178">
      <w:pPr>
        <w:ind w:firstLine="480" w:firstLineChars="200"/>
        <w:rPr>
          <w:rFonts w:hint="eastAsia" w:ascii="仿宋" w:hAnsi="仿宋" w:eastAsia="仿宋"/>
        </w:rPr>
      </w:pPr>
      <w:r>
        <w:rPr>
          <w:rFonts w:hint="eastAsia" w:ascii="仿宋" w:hAnsi="仿宋" w:eastAsia="仿宋"/>
        </w:rPr>
        <w:t>六、争议的解决</w:t>
      </w:r>
    </w:p>
    <w:p w14:paraId="60E574CC">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473E3AB5">
      <w:pPr>
        <w:ind w:firstLine="480" w:firstLineChars="200"/>
        <w:rPr>
          <w:rFonts w:hint="eastAsia" w:ascii="仿宋" w:hAnsi="仿宋" w:eastAsia="仿宋"/>
        </w:rPr>
      </w:pPr>
      <w:r>
        <w:rPr>
          <w:rFonts w:hint="eastAsia" w:ascii="仿宋" w:hAnsi="仿宋" w:eastAsia="仿宋"/>
        </w:rPr>
        <w:t>七、保函的生效</w:t>
      </w:r>
    </w:p>
    <w:p w14:paraId="207A7349">
      <w:pPr>
        <w:ind w:firstLine="480" w:firstLineChars="200"/>
        <w:rPr>
          <w:rFonts w:ascii="仿宋" w:hAnsi="仿宋" w:eastAsia="仿宋"/>
        </w:rPr>
      </w:pPr>
      <w:r>
        <w:rPr>
          <w:rFonts w:hint="eastAsia" w:ascii="仿宋" w:hAnsi="仿宋" w:eastAsia="仿宋"/>
        </w:rPr>
        <w:t>本保函自我方加盖公章之日起生效。</w:t>
      </w:r>
    </w:p>
    <w:p w14:paraId="40C83564">
      <w:pPr>
        <w:ind w:firstLine="6360" w:firstLineChars="2650"/>
        <w:rPr>
          <w:rFonts w:hint="eastAsia" w:ascii="仿宋" w:hAnsi="仿宋" w:eastAsia="仿宋"/>
        </w:rPr>
      </w:pPr>
      <w:r>
        <w:rPr>
          <w:rFonts w:hint="eastAsia" w:ascii="仿宋" w:hAnsi="仿宋" w:eastAsia="仿宋"/>
        </w:rPr>
        <w:t>保证人：（公章）</w:t>
      </w:r>
    </w:p>
    <w:p w14:paraId="2607EC95">
      <w:pPr>
        <w:rPr>
          <w:rFonts w:ascii="仿宋" w:hAnsi="仿宋" w:eastAsia="仿宋"/>
        </w:rPr>
      </w:pPr>
      <w:r>
        <w:rPr>
          <w:rFonts w:ascii="仿宋" w:hAnsi="仿宋" w:eastAsia="仿宋"/>
        </w:rPr>
        <w:t xml:space="preserve">                               </w:t>
      </w:r>
    </w:p>
    <w:p w14:paraId="314326D0">
      <w:pPr>
        <w:jc w:val="right"/>
        <w:rPr>
          <w:rFonts w:hint="eastAsia" w:ascii="仿宋" w:hAnsi="仿宋" w:eastAsia="仿宋"/>
        </w:rPr>
      </w:pPr>
      <w:r>
        <w:rPr>
          <w:rFonts w:hint="eastAsia" w:ascii="仿宋" w:hAnsi="仿宋" w:eastAsia="仿宋"/>
        </w:rPr>
        <w:t>年     月      日</w:t>
      </w:r>
    </w:p>
    <w:p w14:paraId="42061DAD">
      <w:pPr>
        <w:numPr>
          <w:ilvl w:val="0"/>
          <w:numId w:val="5"/>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非联合体投标承诺函（承诺函格式自拟）</w:t>
      </w:r>
    </w:p>
    <w:p w14:paraId="4552125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F628BC6">
      <w:pPr>
        <w:pStyle w:val="15"/>
        <w:numPr>
          <w:ilvl w:val="0"/>
          <w:numId w:val="0"/>
        </w:numPr>
        <w:rPr>
          <w:rFonts w:hint="eastAsia"/>
          <w:lang w:val="en-US" w:eastAsia="zh-CN"/>
        </w:rPr>
      </w:pPr>
    </w:p>
    <w:p w14:paraId="393FAF62">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8.非进口产品投标承诺函（承诺函格式自拟）</w:t>
      </w:r>
    </w:p>
    <w:p w14:paraId="5B6590CC">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AEAD9A2">
      <w:pPr>
        <w:pStyle w:val="18"/>
        <w:rPr>
          <w:rFonts w:hint="default" w:eastAsia="宋体"/>
          <w:lang w:val="en-US" w:eastAsia="zh-CN"/>
        </w:rPr>
      </w:pPr>
    </w:p>
    <w:p w14:paraId="1AB1CC44"/>
    <w:p w14:paraId="2B0507B6">
      <w:pPr>
        <w:pStyle w:val="18"/>
      </w:pPr>
    </w:p>
    <w:p w14:paraId="337E4B9C"/>
    <w:p w14:paraId="5B882E9D">
      <w:pPr>
        <w:pStyle w:val="18"/>
      </w:pPr>
    </w:p>
    <w:p w14:paraId="2EA47661"/>
    <w:p w14:paraId="6A852CBF">
      <w:pPr>
        <w:pStyle w:val="18"/>
      </w:pPr>
    </w:p>
    <w:p w14:paraId="43D58CD2"/>
    <w:p w14:paraId="34CFB96C">
      <w:pPr>
        <w:pStyle w:val="18"/>
      </w:pPr>
    </w:p>
    <w:p w14:paraId="665C77F3"/>
    <w:p w14:paraId="3D47CFAF">
      <w:pPr>
        <w:pStyle w:val="18"/>
      </w:pPr>
    </w:p>
    <w:p w14:paraId="73F989C5"/>
    <w:p w14:paraId="111C5C62">
      <w:pPr>
        <w:pStyle w:val="18"/>
      </w:pPr>
    </w:p>
    <w:p w14:paraId="0AF36C45"/>
    <w:p w14:paraId="051E9A49">
      <w:pPr>
        <w:pStyle w:val="18"/>
      </w:pPr>
    </w:p>
    <w:p w14:paraId="6B3A0E86"/>
    <w:p w14:paraId="5972DA33">
      <w:pPr>
        <w:pStyle w:val="18"/>
      </w:pPr>
    </w:p>
    <w:p w14:paraId="30AE5BA2"/>
    <w:p w14:paraId="6A75EA76">
      <w:pPr>
        <w:pStyle w:val="18"/>
      </w:pPr>
    </w:p>
    <w:p w14:paraId="7577EF73"/>
    <w:p w14:paraId="7CB78E8B">
      <w:pPr>
        <w:pStyle w:val="18"/>
      </w:pPr>
    </w:p>
    <w:p w14:paraId="6078559F"/>
    <w:p w14:paraId="7DFA9666">
      <w:pPr>
        <w:pStyle w:val="18"/>
      </w:pPr>
    </w:p>
    <w:p w14:paraId="0AD4385F"/>
    <w:p w14:paraId="607610C5">
      <w:pPr>
        <w:pStyle w:val="18"/>
      </w:pPr>
    </w:p>
    <w:p w14:paraId="5794258C"/>
    <w:p w14:paraId="03441185">
      <w:pPr>
        <w:pStyle w:val="18"/>
      </w:pPr>
    </w:p>
    <w:p w14:paraId="459A00DA"/>
    <w:p w14:paraId="2AB5F745">
      <w:pPr>
        <w:pStyle w:val="18"/>
      </w:pPr>
    </w:p>
    <w:p w14:paraId="37AA7CF6"/>
    <w:p w14:paraId="2607445F">
      <w:pPr>
        <w:pStyle w:val="18"/>
        <w:numPr>
          <w:ilvl w:val="0"/>
          <w:numId w:val="0"/>
        </w:numPr>
      </w:pPr>
    </w:p>
    <w:p w14:paraId="5319A639">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9</w:t>
      </w:r>
      <w:r>
        <w:rPr>
          <w:rFonts w:ascii="宋体" w:hAnsi="宋体" w:eastAsia="宋体"/>
          <w:b/>
          <w:bCs/>
          <w:szCs w:val="20"/>
        </w:rPr>
        <w:t>.投标</w:t>
      </w:r>
      <w:r>
        <w:rPr>
          <w:rFonts w:hint="eastAsia" w:ascii="宋体" w:hAnsi="宋体" w:eastAsia="宋体"/>
          <w:b/>
          <w:bCs/>
          <w:szCs w:val="20"/>
        </w:rPr>
        <w:t>函</w:t>
      </w:r>
    </w:p>
    <w:p w14:paraId="39258BF4">
      <w:pPr>
        <w:snapToGrid w:val="0"/>
        <w:spacing w:line="360" w:lineRule="auto"/>
        <w:rPr>
          <w:rFonts w:ascii="Arial" w:hAnsi="Arial" w:eastAsia="宋体"/>
        </w:rPr>
      </w:pPr>
    </w:p>
    <w:p w14:paraId="5ED09171">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喀什市公安局</w:t>
      </w:r>
    </w:p>
    <w:p w14:paraId="158F474F">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KSS(GK)2024-054</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喀什市公安局信息化装备采购项目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76ABA238">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5B826D72">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4EE607D4">
      <w:pPr>
        <w:numPr>
          <w:ilvl w:val="0"/>
          <w:numId w:val="6"/>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5A0BE927">
      <w:pPr>
        <w:numPr>
          <w:ilvl w:val="0"/>
          <w:numId w:val="6"/>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58517953">
      <w:pPr>
        <w:snapToGrid w:val="0"/>
        <w:spacing w:line="360" w:lineRule="auto"/>
        <w:ind w:firstLine="560"/>
        <w:rPr>
          <w:rFonts w:ascii="Arial" w:hAnsi="Arial" w:eastAsia="宋体" w:cs="Arial"/>
        </w:rPr>
      </w:pPr>
    </w:p>
    <w:p w14:paraId="0CAD45D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4541372E">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014565BD">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31F35382">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50794BA3">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107AB766">
      <w:pPr>
        <w:snapToGrid w:val="0"/>
        <w:spacing w:line="360" w:lineRule="auto"/>
        <w:ind w:firstLine="560"/>
        <w:rPr>
          <w:rFonts w:ascii="Arial" w:hAnsi="Arial" w:eastAsia="宋体" w:cs="Arial"/>
        </w:rPr>
      </w:pPr>
    </w:p>
    <w:p w14:paraId="2FE1F26A">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18214386">
      <w:pPr>
        <w:snapToGrid w:val="0"/>
        <w:spacing w:line="360" w:lineRule="auto"/>
        <w:rPr>
          <w:rFonts w:ascii="Arial" w:hAnsi="Arial" w:eastAsia="宋体" w:cs="Arial"/>
        </w:rPr>
      </w:pPr>
      <w:r>
        <w:rPr>
          <w:rFonts w:hint="eastAsia" w:ascii="Arial" w:hAnsi="Arial" w:eastAsia="宋体" w:cs="Arial"/>
        </w:rPr>
        <w:t>联系电话：</w:t>
      </w:r>
    </w:p>
    <w:p w14:paraId="187EDDA0">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6E4EF7B5">
      <w:pPr>
        <w:snapToGrid w:val="0"/>
        <w:spacing w:line="360" w:lineRule="auto"/>
        <w:rPr>
          <w:rFonts w:ascii="Arial" w:hAnsi="Arial" w:eastAsia="宋体"/>
        </w:rPr>
      </w:pPr>
    </w:p>
    <w:p w14:paraId="549325B2">
      <w:pPr>
        <w:spacing w:after="60" w:afterLines="25" w:line="300" w:lineRule="auto"/>
      </w:pPr>
    </w:p>
    <w:p w14:paraId="3D2F4A11">
      <w:pPr>
        <w:pStyle w:val="18"/>
      </w:pPr>
    </w:p>
    <w:p w14:paraId="59E84630"/>
    <w:p w14:paraId="58C9D0DA">
      <w:pPr>
        <w:spacing w:after="60" w:afterLines="25" w:line="300" w:lineRule="auto"/>
      </w:pPr>
    </w:p>
    <w:p w14:paraId="733917F1">
      <w:pPr>
        <w:spacing w:after="60" w:afterLines="25" w:line="300" w:lineRule="auto"/>
      </w:pPr>
    </w:p>
    <w:p w14:paraId="458F61D1">
      <w:pPr>
        <w:pStyle w:val="27"/>
      </w:pPr>
    </w:p>
    <w:p w14:paraId="155DF0D6">
      <w:pPr>
        <w:pStyle w:val="27"/>
      </w:pPr>
    </w:p>
    <w:p w14:paraId="085192DA">
      <w:pPr>
        <w:pStyle w:val="27"/>
      </w:pPr>
    </w:p>
    <w:p w14:paraId="769FA201">
      <w:pPr>
        <w:spacing w:after="60" w:afterLines="25" w:line="300" w:lineRule="auto"/>
      </w:pPr>
    </w:p>
    <w:p w14:paraId="30170B81">
      <w:pPr>
        <w:spacing w:after="60" w:afterLines="25" w:line="300" w:lineRule="auto"/>
      </w:pPr>
    </w:p>
    <w:p w14:paraId="51698779">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10.法定代表人证明书（附有效身份证正反面扫描件）</w:t>
      </w:r>
    </w:p>
    <w:p w14:paraId="03789208">
      <w:pPr>
        <w:spacing w:line="300" w:lineRule="auto"/>
        <w:ind w:left="140"/>
        <w:jc w:val="center"/>
        <w:rPr>
          <w:rFonts w:hint="eastAsia" w:ascii="Arial" w:hAnsi="Arial" w:eastAsia="宋体" w:cs="Arial"/>
          <w:b/>
        </w:rPr>
      </w:pPr>
    </w:p>
    <w:p w14:paraId="12975960">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723B4031">
      <w:pPr>
        <w:spacing w:line="480" w:lineRule="atLeast"/>
        <w:ind w:firstLine="480" w:firstLineChars="200"/>
        <w:rPr>
          <w:rFonts w:ascii="Arial" w:hAnsi="Arial" w:eastAsia="仿宋_GB2312"/>
        </w:rPr>
      </w:pPr>
    </w:p>
    <w:p w14:paraId="3161BB26">
      <w:pPr>
        <w:spacing w:line="300" w:lineRule="auto"/>
        <w:rPr>
          <w:rFonts w:ascii="Arial" w:hAnsi="Arial" w:eastAsia="宋体"/>
          <w:szCs w:val="21"/>
          <w:u w:val="single"/>
        </w:rPr>
      </w:pPr>
      <w:r>
        <w:rPr>
          <w:rFonts w:hint="eastAsia" w:ascii="Arial" w:hAnsi="Arial" w:eastAsia="宋体"/>
          <w:szCs w:val="21"/>
        </w:rPr>
        <w:t>单位名称：</w:t>
      </w:r>
    </w:p>
    <w:p w14:paraId="6512DCAC">
      <w:pPr>
        <w:spacing w:line="300" w:lineRule="auto"/>
        <w:rPr>
          <w:rFonts w:ascii="Arial" w:hAnsi="Arial" w:eastAsia="宋体"/>
          <w:szCs w:val="21"/>
          <w:u w:val="single"/>
        </w:rPr>
      </w:pPr>
      <w:r>
        <w:rPr>
          <w:rFonts w:hint="eastAsia" w:ascii="Arial" w:hAnsi="Arial" w:eastAsia="宋体"/>
          <w:szCs w:val="21"/>
        </w:rPr>
        <w:t>地址：</w:t>
      </w:r>
    </w:p>
    <w:p w14:paraId="61B1A09D">
      <w:pPr>
        <w:spacing w:line="300" w:lineRule="auto"/>
        <w:rPr>
          <w:rFonts w:ascii="Arial" w:hAnsi="Arial" w:eastAsia="宋体"/>
          <w:szCs w:val="21"/>
          <w:u w:val="single"/>
        </w:rPr>
      </w:pPr>
      <w:r>
        <w:rPr>
          <w:rFonts w:hint="eastAsia" w:ascii="Arial" w:hAnsi="Arial" w:eastAsia="宋体"/>
          <w:szCs w:val="21"/>
        </w:rPr>
        <w:t>姓名：性别：年龄：职务：</w:t>
      </w:r>
    </w:p>
    <w:p w14:paraId="33D726B1">
      <w:pPr>
        <w:spacing w:line="300" w:lineRule="auto"/>
        <w:rPr>
          <w:rFonts w:ascii="Arial" w:hAnsi="Arial" w:eastAsia="宋体"/>
          <w:szCs w:val="21"/>
        </w:rPr>
      </w:pPr>
      <w:r>
        <w:rPr>
          <w:rFonts w:hint="eastAsia" w:ascii="Arial" w:hAnsi="Arial" w:eastAsia="宋体"/>
          <w:szCs w:val="21"/>
        </w:rPr>
        <w:t>系的法定代表人。</w:t>
      </w:r>
    </w:p>
    <w:p w14:paraId="1A637ABB">
      <w:pPr>
        <w:spacing w:line="300" w:lineRule="auto"/>
        <w:rPr>
          <w:rFonts w:ascii="Arial" w:hAnsi="Arial" w:eastAsia="宋体"/>
          <w:szCs w:val="21"/>
        </w:rPr>
      </w:pPr>
      <w:r>
        <w:rPr>
          <w:rFonts w:hint="eastAsia" w:ascii="Arial" w:hAnsi="Arial" w:eastAsia="宋体"/>
          <w:szCs w:val="21"/>
        </w:rPr>
        <w:t>特此证明</w:t>
      </w:r>
    </w:p>
    <w:p w14:paraId="0A30B7CF">
      <w:pPr>
        <w:spacing w:line="300" w:lineRule="auto"/>
        <w:rPr>
          <w:rFonts w:ascii="Arial" w:hAnsi="Arial" w:eastAsia="宋体"/>
          <w:szCs w:val="21"/>
        </w:rPr>
      </w:pPr>
    </w:p>
    <w:p w14:paraId="403D5148">
      <w:pPr>
        <w:spacing w:line="300" w:lineRule="auto"/>
        <w:rPr>
          <w:rFonts w:ascii="Arial" w:hAnsi="Arial" w:eastAsia="宋体"/>
          <w:szCs w:val="21"/>
        </w:rPr>
      </w:pPr>
      <w:r>
        <w:rPr>
          <w:rFonts w:hint="eastAsia" w:ascii="Arial" w:hAnsi="Arial" w:eastAsia="宋体"/>
          <w:szCs w:val="21"/>
        </w:rPr>
        <w:t>投标人（投标单位）：</w:t>
      </w:r>
    </w:p>
    <w:p w14:paraId="1B775FFF">
      <w:pPr>
        <w:spacing w:line="300" w:lineRule="auto"/>
        <w:rPr>
          <w:rFonts w:ascii="Arial" w:hAnsi="Arial" w:eastAsia="宋体"/>
          <w:szCs w:val="21"/>
        </w:rPr>
      </w:pPr>
      <w:r>
        <w:rPr>
          <w:rFonts w:hint="eastAsia" w:ascii="Arial" w:hAnsi="Arial" w:eastAsia="宋体"/>
          <w:szCs w:val="21"/>
        </w:rPr>
        <w:t>日期：年月日</w:t>
      </w:r>
    </w:p>
    <w:p w14:paraId="76D4E853">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6BC8636E">
      <w:pPr>
        <w:spacing w:line="500" w:lineRule="exact"/>
        <w:ind w:firstLine="480" w:firstLineChars="200"/>
        <w:rPr>
          <w:rFonts w:ascii="Arial" w:hAnsi="Arial" w:eastAsia="宋体"/>
        </w:rPr>
      </w:pPr>
    </w:p>
    <w:p w14:paraId="66962DEB">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66AD9794">
      <w:pPr>
        <w:spacing w:line="500" w:lineRule="exact"/>
        <w:rPr>
          <w:rFonts w:ascii="宋体" w:hAnsi="宋体" w:eastAsia="宋体"/>
          <w:b/>
          <w:color w:val="FF0000"/>
          <w:sz w:val="32"/>
          <w:szCs w:val="32"/>
        </w:rPr>
      </w:pPr>
    </w:p>
    <w:p w14:paraId="5A64884F">
      <w:pPr>
        <w:snapToGrid w:val="0"/>
        <w:rPr>
          <w:rFonts w:ascii="宋体" w:hAnsi="宋体" w:eastAsia="宋体"/>
          <w:color w:val="FF0000"/>
          <w:sz w:val="28"/>
          <w:szCs w:val="28"/>
        </w:rPr>
      </w:pPr>
      <w:r>
        <w:rPr>
          <w:rFonts w:hint="eastAsia" w:ascii="宋体" w:hAnsi="宋体" w:eastAsia="宋体"/>
          <w:color w:val="FF0000"/>
          <w:sz w:val="28"/>
          <w:szCs w:val="28"/>
        </w:rPr>
        <w:t>备注：</w:t>
      </w:r>
    </w:p>
    <w:p w14:paraId="3E01E79A">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23097B97">
      <w:pPr>
        <w:spacing w:line="500" w:lineRule="exact"/>
        <w:ind w:firstLine="480" w:firstLineChars="200"/>
        <w:rPr>
          <w:rFonts w:ascii="Arial" w:hAnsi="Arial" w:eastAsia="宋体"/>
        </w:rPr>
      </w:pPr>
    </w:p>
    <w:p w14:paraId="1C35831F">
      <w:pPr>
        <w:pStyle w:val="18"/>
        <w:rPr>
          <w:rFonts w:hint="eastAsia"/>
          <w:lang w:val="en-US" w:eastAsia="zh-CN"/>
        </w:rPr>
      </w:pPr>
    </w:p>
    <w:p w14:paraId="560FEA49">
      <w:pPr>
        <w:rPr>
          <w:rFonts w:hint="eastAsia"/>
          <w:lang w:val="en-US" w:eastAsia="zh-CN"/>
        </w:rPr>
      </w:pPr>
    </w:p>
    <w:p w14:paraId="446DFAF6">
      <w:pPr>
        <w:pStyle w:val="18"/>
        <w:rPr>
          <w:rFonts w:hint="eastAsia"/>
          <w:lang w:val="en-US" w:eastAsia="zh-CN"/>
        </w:rPr>
      </w:pPr>
    </w:p>
    <w:p w14:paraId="6C471CC9">
      <w:pPr>
        <w:rPr>
          <w:rFonts w:hint="eastAsia"/>
          <w:lang w:val="en-US" w:eastAsia="zh-CN"/>
        </w:rPr>
      </w:pPr>
    </w:p>
    <w:p w14:paraId="17B5E34F">
      <w:pPr>
        <w:pStyle w:val="18"/>
        <w:rPr>
          <w:rFonts w:hint="eastAsia"/>
          <w:lang w:val="en-US" w:eastAsia="zh-CN"/>
        </w:rPr>
      </w:pPr>
    </w:p>
    <w:p w14:paraId="7824F43E">
      <w:pPr>
        <w:rPr>
          <w:rFonts w:hint="eastAsia"/>
          <w:lang w:val="en-US" w:eastAsia="zh-CN"/>
        </w:rPr>
      </w:pPr>
    </w:p>
    <w:p w14:paraId="274E676E">
      <w:pPr>
        <w:pStyle w:val="18"/>
        <w:rPr>
          <w:rFonts w:hint="eastAsia"/>
          <w:lang w:val="en-US" w:eastAsia="zh-CN"/>
        </w:rPr>
      </w:pPr>
    </w:p>
    <w:p w14:paraId="42A8CE3C">
      <w:pPr>
        <w:rPr>
          <w:rFonts w:hint="eastAsia"/>
          <w:lang w:val="en-US" w:eastAsia="zh-CN"/>
        </w:rPr>
      </w:pPr>
    </w:p>
    <w:p w14:paraId="1F92AA3F">
      <w:pPr>
        <w:pStyle w:val="27"/>
        <w:rPr>
          <w:rFonts w:hint="eastAsia"/>
          <w:lang w:val="en-US" w:eastAsia="zh-CN"/>
        </w:rPr>
      </w:pPr>
    </w:p>
    <w:p w14:paraId="1CF84C91">
      <w:pPr>
        <w:pStyle w:val="27"/>
        <w:rPr>
          <w:rFonts w:hint="eastAsia"/>
          <w:lang w:val="en-US" w:eastAsia="zh-CN"/>
        </w:rPr>
      </w:pPr>
    </w:p>
    <w:p w14:paraId="18C639B3">
      <w:pPr>
        <w:pStyle w:val="27"/>
        <w:rPr>
          <w:rFonts w:hint="eastAsia"/>
          <w:lang w:val="en-US" w:eastAsia="zh-CN"/>
        </w:rPr>
      </w:pPr>
    </w:p>
    <w:p w14:paraId="21F1E4A1">
      <w:pPr>
        <w:rPr>
          <w:rFonts w:hint="eastAsia"/>
          <w:lang w:val="en-US" w:eastAsia="zh-CN"/>
        </w:rPr>
      </w:pPr>
    </w:p>
    <w:p w14:paraId="6960AC59">
      <w:pPr>
        <w:pStyle w:val="18"/>
        <w:ind w:left="0" w:leftChars="0" w:firstLine="0" w:firstLineChars="0"/>
        <w:rPr>
          <w:rFonts w:hint="eastAsia"/>
          <w:lang w:val="en-US" w:eastAsia="zh-CN"/>
        </w:rPr>
      </w:pPr>
    </w:p>
    <w:p w14:paraId="5E673A67">
      <w:pPr>
        <w:rPr>
          <w:rFonts w:hint="eastAsia"/>
          <w:lang w:val="en-US" w:eastAsia="zh-CN"/>
        </w:rPr>
      </w:pPr>
    </w:p>
    <w:p w14:paraId="4E98142E">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11.法定代表人授权书（附有效身份证正反面扫描件）</w:t>
      </w:r>
    </w:p>
    <w:p w14:paraId="26E7219E">
      <w:pPr>
        <w:spacing w:line="300" w:lineRule="auto"/>
        <w:ind w:left="140"/>
        <w:jc w:val="center"/>
        <w:rPr>
          <w:rFonts w:hint="eastAsia" w:ascii="Arial" w:hAnsi="Arial" w:eastAsia="宋体" w:cs="Arial"/>
          <w:b/>
        </w:rPr>
      </w:pPr>
    </w:p>
    <w:p w14:paraId="23DD1AAC">
      <w:pPr>
        <w:spacing w:line="300" w:lineRule="auto"/>
        <w:ind w:left="140"/>
        <w:jc w:val="center"/>
        <w:rPr>
          <w:rFonts w:hint="eastAsia" w:ascii="Arial" w:hAnsi="Arial" w:eastAsia="宋体" w:cs="Arial"/>
          <w:b/>
        </w:rPr>
      </w:pPr>
    </w:p>
    <w:p w14:paraId="178FA2DF">
      <w:pPr>
        <w:spacing w:line="300" w:lineRule="auto"/>
        <w:ind w:left="140"/>
        <w:jc w:val="center"/>
        <w:rPr>
          <w:rFonts w:ascii="Arial" w:hAnsi="Arial" w:eastAsia="宋体" w:cs="Arial"/>
          <w:b/>
        </w:rPr>
      </w:pPr>
      <w:r>
        <w:rPr>
          <w:rFonts w:hint="eastAsia" w:ascii="Arial" w:hAnsi="Arial" w:eastAsia="宋体" w:cs="Arial"/>
          <w:b/>
        </w:rPr>
        <w:t>法定代表人授权书</w:t>
      </w:r>
    </w:p>
    <w:p w14:paraId="328CF5DB">
      <w:pPr>
        <w:spacing w:line="360" w:lineRule="auto"/>
        <w:ind w:firstLine="480" w:firstLineChars="200"/>
        <w:rPr>
          <w:rFonts w:ascii="Arial" w:hAnsi="Arial" w:eastAsia="宋体"/>
          <w:szCs w:val="21"/>
        </w:rPr>
      </w:pPr>
    </w:p>
    <w:p w14:paraId="74281364">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0A720A1A">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55F95E8A">
      <w:pPr>
        <w:spacing w:line="300" w:lineRule="auto"/>
        <w:rPr>
          <w:rFonts w:ascii="Arial" w:hAnsi="Arial" w:eastAsia="宋体"/>
          <w:szCs w:val="21"/>
        </w:rPr>
      </w:pPr>
    </w:p>
    <w:p w14:paraId="360A3F56">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5FC81974">
      <w:pPr>
        <w:spacing w:line="360" w:lineRule="auto"/>
        <w:ind w:left="3840" w:leftChars="1600"/>
        <w:rPr>
          <w:rFonts w:ascii="Arial" w:hAnsi="Arial" w:eastAsia="宋体"/>
          <w:szCs w:val="21"/>
        </w:rPr>
      </w:pPr>
      <w:r>
        <w:rPr>
          <w:rFonts w:hint="eastAsia" w:ascii="Arial" w:hAnsi="Arial" w:eastAsia="宋体"/>
          <w:szCs w:val="21"/>
        </w:rPr>
        <w:t>联系电话：手机：</w:t>
      </w:r>
    </w:p>
    <w:p w14:paraId="1C55E559">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6AC1CFE6">
      <w:pPr>
        <w:spacing w:line="360" w:lineRule="auto"/>
        <w:ind w:left="3840" w:leftChars="1600"/>
        <w:rPr>
          <w:rFonts w:ascii="Arial" w:hAnsi="Arial" w:eastAsia="宋体"/>
          <w:szCs w:val="21"/>
        </w:rPr>
      </w:pPr>
      <w:r>
        <w:rPr>
          <w:rFonts w:hint="eastAsia" w:ascii="Arial" w:hAnsi="Arial" w:eastAsia="宋体"/>
          <w:szCs w:val="21"/>
        </w:rPr>
        <w:t>投标人（投标单位）：</w:t>
      </w:r>
    </w:p>
    <w:p w14:paraId="37222173">
      <w:pPr>
        <w:spacing w:line="360" w:lineRule="auto"/>
        <w:ind w:left="3840" w:leftChars="1600"/>
        <w:rPr>
          <w:rFonts w:ascii="Arial" w:hAnsi="Arial" w:eastAsia="宋体"/>
          <w:szCs w:val="21"/>
        </w:rPr>
      </w:pPr>
      <w:r>
        <w:rPr>
          <w:rFonts w:hint="eastAsia" w:ascii="Arial" w:hAnsi="Arial" w:eastAsia="宋体"/>
          <w:szCs w:val="21"/>
        </w:rPr>
        <w:t>法定代表人：</w:t>
      </w:r>
    </w:p>
    <w:p w14:paraId="2335C027">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0FF99238">
      <w:pPr>
        <w:spacing w:line="500" w:lineRule="exact"/>
        <w:ind w:firstLine="480" w:firstLineChars="200"/>
        <w:rPr>
          <w:rFonts w:ascii="Arial" w:hAnsi="Arial" w:eastAsia="宋体"/>
        </w:rPr>
      </w:pPr>
    </w:p>
    <w:p w14:paraId="53276CCB">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0F580BED">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D241706">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38C75CB4">
      <w:pPr>
        <w:rPr>
          <w:rFonts w:hint="eastAsia"/>
          <w:lang w:val="en-US" w:eastAsia="zh-CN"/>
        </w:rPr>
      </w:pPr>
    </w:p>
    <w:p w14:paraId="70D6963F">
      <w:pPr>
        <w:pStyle w:val="16"/>
        <w:rPr>
          <w:rFonts w:hint="eastAsia"/>
          <w:lang w:val="en-US" w:eastAsia="zh-CN"/>
        </w:rPr>
      </w:pPr>
    </w:p>
    <w:p w14:paraId="5158A682">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12</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37CB1CA">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3C9815AB">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070C5D3B">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2DAD7F0B">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3FEF0B58">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193C633A">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2AAA2903">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04574361">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522C61B6">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45D598F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中小企业声明函（货物）</w:t>
      </w:r>
    </w:p>
    <w:p w14:paraId="205905CA">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286A4DD8">
      <w:pPr>
        <w:rPr>
          <w:rFonts w:ascii="宋体" w:hAnsi="宋体" w:eastAsia="宋体"/>
          <w:b/>
        </w:rPr>
      </w:pPr>
      <w:r>
        <w:br w:type="page"/>
      </w:r>
    </w:p>
    <w:p w14:paraId="0B6B8A31">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61FF6B88">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1F4A8881">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529FB52B">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4E732A94">
      <w:pPr>
        <w:spacing w:after="60" w:afterLines="25" w:line="300" w:lineRule="auto"/>
        <w:ind w:firstLine="480" w:firstLineChars="200"/>
        <w:rPr>
          <w:rFonts w:ascii="宋体" w:hAnsi="宋体"/>
          <w:szCs w:val="21"/>
        </w:rPr>
      </w:pPr>
      <w:r>
        <w:rPr>
          <w:rFonts w:ascii="宋体" w:hAnsi="宋体"/>
          <w:szCs w:val="21"/>
        </w:rPr>
        <w:t xml:space="preserve">…… </w:t>
      </w:r>
    </w:p>
    <w:p w14:paraId="59325D3D">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330EB9F7">
      <w:pPr>
        <w:spacing w:after="60" w:afterLines="25" w:line="300" w:lineRule="auto"/>
        <w:jc w:val="right"/>
        <w:rPr>
          <w:rFonts w:ascii="宋体" w:hAnsi="宋体"/>
          <w:szCs w:val="21"/>
        </w:rPr>
      </w:pPr>
    </w:p>
    <w:p w14:paraId="67D768D5">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0F776BC6">
      <w:pPr>
        <w:spacing w:after="60" w:afterLines="25" w:line="300" w:lineRule="auto"/>
        <w:ind w:right="420" w:firstLine="6600" w:firstLineChars="2750"/>
        <w:rPr>
          <w:rFonts w:ascii="宋体" w:hAnsi="宋体"/>
          <w:szCs w:val="21"/>
        </w:rPr>
      </w:pPr>
      <w:r>
        <w:rPr>
          <w:rFonts w:hint="eastAsia" w:ascii="宋体" w:hAnsi="宋体"/>
          <w:szCs w:val="21"/>
        </w:rPr>
        <w:t>日期：</w:t>
      </w:r>
    </w:p>
    <w:p w14:paraId="442550B9">
      <w:pPr>
        <w:spacing w:after="60" w:afterLines="25" w:line="300" w:lineRule="auto"/>
        <w:jc w:val="right"/>
        <w:rPr>
          <w:rFonts w:ascii="宋体" w:hAnsi="宋体"/>
          <w:b/>
          <w:color w:val="FF0000"/>
          <w:sz w:val="28"/>
          <w:szCs w:val="28"/>
        </w:rPr>
      </w:pPr>
    </w:p>
    <w:p w14:paraId="78CE33F2">
      <w:pPr>
        <w:spacing w:after="60" w:afterLines="25" w:line="300" w:lineRule="auto"/>
        <w:jc w:val="right"/>
        <w:rPr>
          <w:rFonts w:ascii="Arial" w:hAnsi="Arial" w:eastAsia="宋体"/>
          <w:b/>
          <w:color w:val="FF0000"/>
          <w:sz w:val="28"/>
          <w:szCs w:val="28"/>
        </w:rPr>
      </w:pPr>
    </w:p>
    <w:p w14:paraId="70E78C20">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60F833B9">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7F35CF46">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0005FB76">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03ED0E34">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5B8A4514">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224D72">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86704BC">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174A6ECF">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332137D1">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6A0905AA">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56A031BD">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3D7715D2">
      <w:pPr>
        <w:spacing w:after="60" w:afterLines="25" w:line="300" w:lineRule="auto"/>
        <w:ind w:firstLine="482" w:firstLineChars="200"/>
        <w:rPr>
          <w:rFonts w:ascii="Arial" w:hAnsi="Arial" w:eastAsia="宋体"/>
          <w:b/>
          <w:color w:val="FF0000"/>
          <w:szCs w:val="21"/>
        </w:rPr>
      </w:pPr>
    </w:p>
    <w:p w14:paraId="5A38F161">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60EAA4A6">
      <w:pPr>
        <w:spacing w:after="60" w:afterLines="25" w:line="300" w:lineRule="auto"/>
        <w:ind w:firstLine="482" w:firstLineChars="200"/>
        <w:rPr>
          <w:rFonts w:ascii="Arial" w:hAnsi="Arial" w:eastAsia="宋体"/>
          <w:b/>
          <w:color w:val="FF0000"/>
          <w:szCs w:val="21"/>
        </w:rPr>
      </w:pPr>
    </w:p>
    <w:p w14:paraId="1C8E3902">
      <w:pPr>
        <w:spacing w:after="60" w:afterLines="25" w:line="300" w:lineRule="auto"/>
        <w:ind w:firstLine="482" w:firstLineChars="200"/>
        <w:rPr>
          <w:rFonts w:ascii="Arial" w:hAnsi="Arial" w:eastAsia="宋体"/>
          <w:b/>
          <w:color w:val="FF0000"/>
          <w:szCs w:val="21"/>
        </w:rPr>
      </w:pPr>
    </w:p>
    <w:p w14:paraId="2A314903">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53BF0EC0">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0D250CF">
      <w:pPr>
        <w:rPr>
          <w:rFonts w:ascii="宋体" w:hAnsi="宋体" w:eastAsia="宋体"/>
          <w:b/>
        </w:rPr>
      </w:pPr>
      <w:r>
        <w:br w:type="page"/>
      </w:r>
    </w:p>
    <w:p w14:paraId="5658E8C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295F7579">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14055FF2">
      <w:pPr>
        <w:snapToGrid w:val="0"/>
        <w:spacing w:after="60" w:afterLines="25" w:line="300" w:lineRule="auto"/>
        <w:ind w:firstLine="480" w:firstLineChars="200"/>
        <w:jc w:val="center"/>
      </w:pPr>
      <w:r>
        <w:br w:type="page"/>
      </w:r>
    </w:p>
    <w:p w14:paraId="59FBCB44">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13</w:t>
      </w:r>
      <w:r>
        <w:rPr>
          <w:rFonts w:ascii="宋体" w:hAnsi="宋体" w:eastAsia="宋体"/>
          <w:b/>
          <w:bCs/>
          <w:szCs w:val="20"/>
        </w:rPr>
        <w:t>.</w:t>
      </w:r>
      <w:r>
        <w:rPr>
          <w:rFonts w:hint="eastAsia" w:ascii="宋体" w:hAnsi="宋体" w:eastAsia="宋体"/>
          <w:b/>
          <w:bCs/>
          <w:szCs w:val="20"/>
        </w:rPr>
        <w:t>分项报价清单</w:t>
      </w:r>
    </w:p>
    <w:p w14:paraId="6674D548">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62FA0439">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D90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3675ADE1">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3B7DD205">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67EDAB7C">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37133D36">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96698BC">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1947A0F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08900404">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5F556DEF">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2A2EFA6C">
            <w:pPr>
              <w:spacing w:after="60" w:afterLines="25" w:line="300" w:lineRule="auto"/>
              <w:jc w:val="center"/>
              <w:rPr>
                <w:rFonts w:ascii="Arial" w:hAnsi="Arial" w:eastAsia="宋体"/>
              </w:rPr>
            </w:pPr>
            <w:r>
              <w:rPr>
                <w:rFonts w:hint="eastAsia" w:ascii="Arial" w:hAnsi="Arial" w:eastAsia="宋体"/>
              </w:rPr>
              <w:t>合价(元)</w:t>
            </w:r>
          </w:p>
        </w:tc>
      </w:tr>
      <w:tr w14:paraId="3B76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5974BC9B">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731D6EAA">
            <w:pPr>
              <w:spacing w:after="60" w:afterLines="25" w:line="300" w:lineRule="auto"/>
              <w:rPr>
                <w:rFonts w:ascii="Arial" w:hAnsi="Arial" w:eastAsia="宋体"/>
                <w:b/>
              </w:rPr>
            </w:pPr>
          </w:p>
        </w:tc>
        <w:tc>
          <w:tcPr>
            <w:tcW w:w="1417" w:type="dxa"/>
          </w:tcPr>
          <w:p w14:paraId="38837BE0">
            <w:pPr>
              <w:spacing w:after="60" w:afterLines="25" w:line="300" w:lineRule="auto"/>
              <w:rPr>
                <w:rFonts w:ascii="Arial" w:hAnsi="Arial" w:eastAsia="宋体"/>
              </w:rPr>
            </w:pPr>
          </w:p>
        </w:tc>
        <w:tc>
          <w:tcPr>
            <w:tcW w:w="993" w:type="dxa"/>
          </w:tcPr>
          <w:p w14:paraId="39DC800E">
            <w:pPr>
              <w:spacing w:after="60" w:afterLines="25" w:line="300" w:lineRule="auto"/>
              <w:rPr>
                <w:rFonts w:ascii="Arial" w:hAnsi="Arial" w:eastAsia="宋体"/>
              </w:rPr>
            </w:pPr>
          </w:p>
        </w:tc>
        <w:tc>
          <w:tcPr>
            <w:tcW w:w="992" w:type="dxa"/>
          </w:tcPr>
          <w:p w14:paraId="7C66C4C8">
            <w:pPr>
              <w:spacing w:after="60" w:afterLines="25" w:line="300" w:lineRule="auto"/>
              <w:rPr>
                <w:rFonts w:ascii="Arial" w:hAnsi="Arial" w:eastAsia="宋体"/>
              </w:rPr>
            </w:pPr>
          </w:p>
        </w:tc>
        <w:tc>
          <w:tcPr>
            <w:tcW w:w="709" w:type="dxa"/>
          </w:tcPr>
          <w:p w14:paraId="162E6631">
            <w:pPr>
              <w:spacing w:after="60" w:afterLines="25" w:line="300" w:lineRule="auto"/>
              <w:rPr>
                <w:rFonts w:ascii="Arial" w:hAnsi="Arial" w:eastAsia="宋体"/>
              </w:rPr>
            </w:pPr>
          </w:p>
        </w:tc>
        <w:tc>
          <w:tcPr>
            <w:tcW w:w="708" w:type="dxa"/>
          </w:tcPr>
          <w:p w14:paraId="44E483F7">
            <w:pPr>
              <w:spacing w:after="60" w:afterLines="25" w:line="300" w:lineRule="auto"/>
              <w:rPr>
                <w:rFonts w:ascii="Arial" w:hAnsi="Arial" w:eastAsia="宋体"/>
              </w:rPr>
            </w:pPr>
          </w:p>
        </w:tc>
        <w:tc>
          <w:tcPr>
            <w:tcW w:w="993" w:type="dxa"/>
          </w:tcPr>
          <w:p w14:paraId="32925862">
            <w:pPr>
              <w:spacing w:after="60" w:afterLines="25" w:line="300" w:lineRule="auto"/>
              <w:rPr>
                <w:rFonts w:ascii="Arial" w:hAnsi="Arial" w:eastAsia="宋体"/>
              </w:rPr>
            </w:pPr>
          </w:p>
        </w:tc>
        <w:tc>
          <w:tcPr>
            <w:tcW w:w="1322" w:type="dxa"/>
          </w:tcPr>
          <w:p w14:paraId="012D6AC0">
            <w:pPr>
              <w:spacing w:after="60" w:afterLines="25" w:line="300" w:lineRule="auto"/>
              <w:rPr>
                <w:rFonts w:ascii="Arial" w:hAnsi="Arial" w:eastAsia="宋体"/>
              </w:rPr>
            </w:pPr>
          </w:p>
        </w:tc>
      </w:tr>
      <w:tr w14:paraId="5F28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4EE0FFD4">
            <w:pPr>
              <w:spacing w:after="60" w:afterLines="25" w:line="300" w:lineRule="auto"/>
              <w:jc w:val="center"/>
              <w:rPr>
                <w:rFonts w:ascii="Arial" w:hAnsi="Arial" w:eastAsia="宋体"/>
              </w:rPr>
            </w:pPr>
            <w:r>
              <w:rPr>
                <w:rFonts w:hint="eastAsia" w:ascii="Arial" w:hAnsi="Arial" w:eastAsia="宋体"/>
              </w:rPr>
              <w:t>2</w:t>
            </w:r>
          </w:p>
        </w:tc>
        <w:tc>
          <w:tcPr>
            <w:tcW w:w="2127" w:type="dxa"/>
          </w:tcPr>
          <w:p w14:paraId="7CB127E3">
            <w:pPr>
              <w:spacing w:after="60" w:afterLines="25" w:line="300" w:lineRule="auto"/>
              <w:rPr>
                <w:rFonts w:ascii="Arial" w:hAnsi="Arial" w:eastAsia="宋体"/>
                <w:b/>
              </w:rPr>
            </w:pPr>
          </w:p>
        </w:tc>
        <w:tc>
          <w:tcPr>
            <w:tcW w:w="1417" w:type="dxa"/>
          </w:tcPr>
          <w:p w14:paraId="22C7CF4A">
            <w:pPr>
              <w:spacing w:after="60" w:afterLines="25" w:line="300" w:lineRule="auto"/>
              <w:rPr>
                <w:rFonts w:ascii="Arial" w:hAnsi="Arial" w:eastAsia="宋体"/>
              </w:rPr>
            </w:pPr>
          </w:p>
        </w:tc>
        <w:tc>
          <w:tcPr>
            <w:tcW w:w="993" w:type="dxa"/>
          </w:tcPr>
          <w:p w14:paraId="4C6D9CF4">
            <w:pPr>
              <w:spacing w:after="60" w:afterLines="25" w:line="300" w:lineRule="auto"/>
              <w:rPr>
                <w:rFonts w:ascii="Arial" w:hAnsi="Arial" w:eastAsia="宋体"/>
              </w:rPr>
            </w:pPr>
          </w:p>
        </w:tc>
        <w:tc>
          <w:tcPr>
            <w:tcW w:w="992" w:type="dxa"/>
          </w:tcPr>
          <w:p w14:paraId="43E69FDB">
            <w:pPr>
              <w:spacing w:after="60" w:afterLines="25" w:line="300" w:lineRule="auto"/>
              <w:rPr>
                <w:rFonts w:ascii="Arial" w:hAnsi="Arial" w:eastAsia="宋体"/>
              </w:rPr>
            </w:pPr>
          </w:p>
        </w:tc>
        <w:tc>
          <w:tcPr>
            <w:tcW w:w="709" w:type="dxa"/>
          </w:tcPr>
          <w:p w14:paraId="4F497902">
            <w:pPr>
              <w:spacing w:after="60" w:afterLines="25" w:line="300" w:lineRule="auto"/>
              <w:rPr>
                <w:rFonts w:ascii="Arial" w:hAnsi="Arial" w:eastAsia="宋体"/>
              </w:rPr>
            </w:pPr>
          </w:p>
        </w:tc>
        <w:tc>
          <w:tcPr>
            <w:tcW w:w="708" w:type="dxa"/>
          </w:tcPr>
          <w:p w14:paraId="4EBB969F">
            <w:pPr>
              <w:spacing w:after="60" w:afterLines="25" w:line="300" w:lineRule="auto"/>
              <w:rPr>
                <w:rFonts w:ascii="Arial" w:hAnsi="Arial" w:eastAsia="宋体"/>
              </w:rPr>
            </w:pPr>
          </w:p>
        </w:tc>
        <w:tc>
          <w:tcPr>
            <w:tcW w:w="993" w:type="dxa"/>
          </w:tcPr>
          <w:p w14:paraId="2818DA5C">
            <w:pPr>
              <w:spacing w:after="60" w:afterLines="25" w:line="300" w:lineRule="auto"/>
              <w:rPr>
                <w:rFonts w:ascii="Arial" w:hAnsi="Arial" w:eastAsia="宋体"/>
              </w:rPr>
            </w:pPr>
          </w:p>
        </w:tc>
        <w:tc>
          <w:tcPr>
            <w:tcW w:w="1322" w:type="dxa"/>
          </w:tcPr>
          <w:p w14:paraId="05575B7A">
            <w:pPr>
              <w:spacing w:after="60" w:afterLines="25" w:line="300" w:lineRule="auto"/>
              <w:rPr>
                <w:rFonts w:ascii="Arial" w:hAnsi="Arial" w:eastAsia="宋体"/>
              </w:rPr>
            </w:pPr>
          </w:p>
        </w:tc>
      </w:tr>
      <w:tr w14:paraId="7CE9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4D0D90D4">
            <w:pPr>
              <w:spacing w:after="60" w:afterLines="25" w:line="300" w:lineRule="auto"/>
              <w:jc w:val="center"/>
              <w:rPr>
                <w:rFonts w:ascii="Arial" w:hAnsi="Arial" w:eastAsia="宋体"/>
              </w:rPr>
            </w:pPr>
            <w:r>
              <w:rPr>
                <w:rFonts w:hint="eastAsia" w:ascii="Arial" w:hAnsi="Arial" w:eastAsia="宋体"/>
              </w:rPr>
              <w:t>3</w:t>
            </w:r>
          </w:p>
        </w:tc>
        <w:tc>
          <w:tcPr>
            <w:tcW w:w="2127" w:type="dxa"/>
          </w:tcPr>
          <w:p w14:paraId="7905AE6D">
            <w:pPr>
              <w:spacing w:after="60" w:afterLines="25" w:line="300" w:lineRule="auto"/>
              <w:rPr>
                <w:rFonts w:ascii="Arial" w:hAnsi="Arial" w:eastAsia="宋体"/>
                <w:b/>
              </w:rPr>
            </w:pPr>
          </w:p>
        </w:tc>
        <w:tc>
          <w:tcPr>
            <w:tcW w:w="1417" w:type="dxa"/>
          </w:tcPr>
          <w:p w14:paraId="1F0B4CA9">
            <w:pPr>
              <w:spacing w:after="60" w:afterLines="25" w:line="300" w:lineRule="auto"/>
              <w:rPr>
                <w:rFonts w:ascii="Arial" w:hAnsi="Arial" w:eastAsia="宋体"/>
              </w:rPr>
            </w:pPr>
          </w:p>
        </w:tc>
        <w:tc>
          <w:tcPr>
            <w:tcW w:w="993" w:type="dxa"/>
          </w:tcPr>
          <w:p w14:paraId="2E93CE63">
            <w:pPr>
              <w:spacing w:after="60" w:afterLines="25" w:line="300" w:lineRule="auto"/>
              <w:rPr>
                <w:rFonts w:ascii="Arial" w:hAnsi="Arial" w:eastAsia="宋体"/>
              </w:rPr>
            </w:pPr>
          </w:p>
        </w:tc>
        <w:tc>
          <w:tcPr>
            <w:tcW w:w="992" w:type="dxa"/>
          </w:tcPr>
          <w:p w14:paraId="6EA07177">
            <w:pPr>
              <w:spacing w:after="60" w:afterLines="25" w:line="300" w:lineRule="auto"/>
              <w:rPr>
                <w:rFonts w:ascii="Arial" w:hAnsi="Arial" w:eastAsia="宋体"/>
              </w:rPr>
            </w:pPr>
          </w:p>
        </w:tc>
        <w:tc>
          <w:tcPr>
            <w:tcW w:w="709" w:type="dxa"/>
          </w:tcPr>
          <w:p w14:paraId="4ECADFFB">
            <w:pPr>
              <w:spacing w:after="60" w:afterLines="25" w:line="300" w:lineRule="auto"/>
              <w:rPr>
                <w:rFonts w:ascii="Arial" w:hAnsi="Arial" w:eastAsia="宋体"/>
              </w:rPr>
            </w:pPr>
          </w:p>
        </w:tc>
        <w:tc>
          <w:tcPr>
            <w:tcW w:w="708" w:type="dxa"/>
          </w:tcPr>
          <w:p w14:paraId="7C7E342E">
            <w:pPr>
              <w:spacing w:after="60" w:afterLines="25" w:line="300" w:lineRule="auto"/>
              <w:rPr>
                <w:rFonts w:ascii="Arial" w:hAnsi="Arial" w:eastAsia="宋体"/>
              </w:rPr>
            </w:pPr>
          </w:p>
        </w:tc>
        <w:tc>
          <w:tcPr>
            <w:tcW w:w="993" w:type="dxa"/>
          </w:tcPr>
          <w:p w14:paraId="3B29ABF0">
            <w:pPr>
              <w:spacing w:after="60" w:afterLines="25" w:line="300" w:lineRule="auto"/>
              <w:rPr>
                <w:rFonts w:ascii="Arial" w:hAnsi="Arial" w:eastAsia="宋体"/>
              </w:rPr>
            </w:pPr>
          </w:p>
        </w:tc>
        <w:tc>
          <w:tcPr>
            <w:tcW w:w="1322" w:type="dxa"/>
          </w:tcPr>
          <w:p w14:paraId="3C1B6C70">
            <w:pPr>
              <w:spacing w:after="60" w:afterLines="25" w:line="300" w:lineRule="auto"/>
              <w:rPr>
                <w:rFonts w:ascii="Arial" w:hAnsi="Arial" w:eastAsia="宋体"/>
              </w:rPr>
            </w:pPr>
          </w:p>
        </w:tc>
      </w:tr>
      <w:tr w14:paraId="76B1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608456E5">
            <w:pPr>
              <w:spacing w:after="60" w:afterLines="25" w:line="300" w:lineRule="auto"/>
              <w:jc w:val="center"/>
              <w:rPr>
                <w:rFonts w:ascii="Arial" w:hAnsi="Arial" w:eastAsia="宋体"/>
              </w:rPr>
            </w:pPr>
            <w:r>
              <w:rPr>
                <w:rFonts w:hint="eastAsia" w:ascii="Arial" w:hAnsi="Arial" w:eastAsia="宋体"/>
              </w:rPr>
              <w:t>……</w:t>
            </w:r>
          </w:p>
        </w:tc>
        <w:tc>
          <w:tcPr>
            <w:tcW w:w="2127" w:type="dxa"/>
          </w:tcPr>
          <w:p w14:paraId="3A1AC31D">
            <w:pPr>
              <w:spacing w:after="60" w:afterLines="25" w:line="300" w:lineRule="auto"/>
              <w:rPr>
                <w:rFonts w:ascii="Arial" w:hAnsi="Arial" w:eastAsia="宋体"/>
                <w:b/>
              </w:rPr>
            </w:pPr>
          </w:p>
        </w:tc>
        <w:tc>
          <w:tcPr>
            <w:tcW w:w="1417" w:type="dxa"/>
          </w:tcPr>
          <w:p w14:paraId="32A2A8FF">
            <w:pPr>
              <w:spacing w:after="60" w:afterLines="25" w:line="300" w:lineRule="auto"/>
              <w:rPr>
                <w:rFonts w:ascii="Arial" w:hAnsi="Arial" w:eastAsia="宋体"/>
              </w:rPr>
            </w:pPr>
          </w:p>
        </w:tc>
        <w:tc>
          <w:tcPr>
            <w:tcW w:w="993" w:type="dxa"/>
          </w:tcPr>
          <w:p w14:paraId="0BEADAED">
            <w:pPr>
              <w:spacing w:after="60" w:afterLines="25" w:line="300" w:lineRule="auto"/>
              <w:rPr>
                <w:rFonts w:ascii="Arial" w:hAnsi="Arial" w:eastAsia="宋体"/>
              </w:rPr>
            </w:pPr>
          </w:p>
        </w:tc>
        <w:tc>
          <w:tcPr>
            <w:tcW w:w="992" w:type="dxa"/>
          </w:tcPr>
          <w:p w14:paraId="222652B4">
            <w:pPr>
              <w:spacing w:after="60" w:afterLines="25" w:line="300" w:lineRule="auto"/>
              <w:rPr>
                <w:rFonts w:ascii="Arial" w:hAnsi="Arial" w:eastAsia="宋体"/>
              </w:rPr>
            </w:pPr>
          </w:p>
        </w:tc>
        <w:tc>
          <w:tcPr>
            <w:tcW w:w="709" w:type="dxa"/>
          </w:tcPr>
          <w:p w14:paraId="5BD6883C">
            <w:pPr>
              <w:spacing w:after="60" w:afterLines="25" w:line="300" w:lineRule="auto"/>
              <w:rPr>
                <w:rFonts w:ascii="Arial" w:hAnsi="Arial" w:eastAsia="宋体"/>
              </w:rPr>
            </w:pPr>
          </w:p>
        </w:tc>
        <w:tc>
          <w:tcPr>
            <w:tcW w:w="708" w:type="dxa"/>
          </w:tcPr>
          <w:p w14:paraId="3D1FF690">
            <w:pPr>
              <w:spacing w:after="60" w:afterLines="25" w:line="300" w:lineRule="auto"/>
              <w:rPr>
                <w:rFonts w:ascii="Arial" w:hAnsi="Arial" w:eastAsia="宋体"/>
              </w:rPr>
            </w:pPr>
          </w:p>
        </w:tc>
        <w:tc>
          <w:tcPr>
            <w:tcW w:w="993" w:type="dxa"/>
          </w:tcPr>
          <w:p w14:paraId="40072D9D">
            <w:pPr>
              <w:spacing w:after="60" w:afterLines="25" w:line="300" w:lineRule="auto"/>
              <w:rPr>
                <w:rFonts w:ascii="Arial" w:hAnsi="Arial" w:eastAsia="宋体"/>
              </w:rPr>
            </w:pPr>
          </w:p>
        </w:tc>
        <w:tc>
          <w:tcPr>
            <w:tcW w:w="1322" w:type="dxa"/>
          </w:tcPr>
          <w:p w14:paraId="07A7CE33">
            <w:pPr>
              <w:spacing w:after="60" w:afterLines="25" w:line="300" w:lineRule="auto"/>
              <w:rPr>
                <w:rFonts w:ascii="Arial" w:hAnsi="Arial" w:eastAsia="宋体"/>
              </w:rPr>
            </w:pPr>
          </w:p>
        </w:tc>
      </w:tr>
      <w:tr w14:paraId="116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EF7B4FE">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31D1257D">
            <w:pPr>
              <w:spacing w:after="60" w:afterLines="25" w:line="300" w:lineRule="auto"/>
              <w:rPr>
                <w:rFonts w:ascii="Arial" w:hAnsi="Arial" w:eastAsia="宋体"/>
              </w:rPr>
            </w:pPr>
          </w:p>
        </w:tc>
      </w:tr>
    </w:tbl>
    <w:p w14:paraId="20497958">
      <w:pPr>
        <w:tabs>
          <w:tab w:val="left" w:pos="720"/>
        </w:tabs>
        <w:rPr>
          <w:rFonts w:eastAsia="宋体"/>
          <w:b/>
        </w:rPr>
      </w:pPr>
    </w:p>
    <w:p w14:paraId="13FF69F5">
      <w:pPr>
        <w:tabs>
          <w:tab w:val="left" w:pos="720"/>
        </w:tabs>
        <w:rPr>
          <w:rFonts w:eastAsia="宋体"/>
          <w:b/>
          <w:color w:val="FF0000"/>
        </w:rPr>
      </w:pPr>
      <w:r>
        <w:rPr>
          <w:rFonts w:hint="eastAsia" w:eastAsia="宋体"/>
          <w:b/>
          <w:color w:val="FF0000"/>
        </w:rPr>
        <w:t>（二）核心产品品牌</w:t>
      </w:r>
    </w:p>
    <w:p w14:paraId="698B4B36">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259A6670">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179D204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265ECD54">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2370B59E">
      <w:pPr>
        <w:spacing w:after="60" w:afterLines="25" w:line="300" w:lineRule="auto"/>
        <w:rPr>
          <w:rFonts w:ascii="Arial" w:hAnsi="Arial" w:eastAsia="宋体"/>
        </w:rPr>
      </w:pPr>
    </w:p>
    <w:p w14:paraId="4FB004D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4490A765">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5102D0D">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73D8BD44">
      <w:pPr>
        <w:snapToGrid w:val="0"/>
        <w:rPr>
          <w:rFonts w:ascii="宋体" w:hAnsi="宋体"/>
          <w:b/>
        </w:rPr>
      </w:pPr>
    </w:p>
    <w:p w14:paraId="1150BC78">
      <w:pPr>
        <w:snapToGrid w:val="0"/>
        <w:rPr>
          <w:rFonts w:ascii="宋体" w:hAnsi="宋体"/>
          <w:b/>
        </w:rPr>
      </w:pPr>
      <w:r>
        <w:rPr>
          <w:rFonts w:hint="eastAsia" w:ascii="宋体" w:hAnsi="宋体"/>
          <w:b/>
        </w:rPr>
        <w:t>填写说明：</w:t>
      </w:r>
    </w:p>
    <w:p w14:paraId="6F96CD78">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6A04D9EC">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3E75EEFB">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7F8B694B">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02E04303">
      <w:pPr>
        <w:snapToGrid w:val="0"/>
        <w:rPr>
          <w:rFonts w:ascii="宋体" w:hAnsi="宋体"/>
        </w:rPr>
      </w:pPr>
    </w:p>
    <w:p w14:paraId="5CF3CFD3">
      <w:pPr>
        <w:tabs>
          <w:tab w:val="left" w:pos="651"/>
        </w:tabs>
        <w:snapToGrid w:val="0"/>
        <w:rPr>
          <w:rFonts w:ascii="宋体" w:hAnsi="宋体" w:eastAsia="宋体"/>
          <w:color w:val="FF0000"/>
          <w:sz w:val="28"/>
          <w:szCs w:val="28"/>
        </w:rPr>
      </w:pPr>
    </w:p>
    <w:p w14:paraId="0AC206F4">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商务（服务）条款偏离表</w:t>
      </w:r>
    </w:p>
    <w:p w14:paraId="5612B270">
      <w:pPr>
        <w:snapToGrid w:val="0"/>
        <w:rPr>
          <w:rFonts w:ascii="Arial" w:hAnsi="Arial" w:eastAsia="宋体" w:cs="Arial"/>
        </w:rPr>
      </w:pPr>
      <w:r>
        <w:rPr>
          <w:rFonts w:hint="eastAsia" w:ascii="Arial" w:hAnsi="Arial" w:eastAsia="宋体" w:cs="Arial"/>
          <w:color w:val="000000"/>
        </w:rPr>
        <w:t>投标单位（投标人）名称：</w:t>
      </w:r>
    </w:p>
    <w:p w14:paraId="460CF550">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65E666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6042D80D">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049EB39A">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118F9D48">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6E9511D0">
            <w:pPr>
              <w:jc w:val="center"/>
              <w:rPr>
                <w:rFonts w:ascii="宋体" w:hAnsi="宋体" w:eastAsia="宋体" w:cs="Arial"/>
                <w:b/>
                <w:szCs w:val="21"/>
              </w:rPr>
            </w:pPr>
            <w:r>
              <w:rPr>
                <w:rFonts w:hint="eastAsia" w:ascii="宋体" w:hAnsi="宋体" w:eastAsia="宋体" w:cs="Arial"/>
                <w:b/>
                <w:szCs w:val="21"/>
              </w:rPr>
              <w:t>说明</w:t>
            </w:r>
          </w:p>
        </w:tc>
      </w:tr>
      <w:tr w14:paraId="65FC036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18674E76">
            <w:pPr>
              <w:spacing w:line="300" w:lineRule="auto"/>
              <w:jc w:val="center"/>
              <w:rPr>
                <w:rFonts w:ascii="Arial" w:hAnsi="Arial" w:eastAsia="宋体"/>
              </w:rPr>
            </w:pPr>
            <w:r>
              <w:rPr>
                <w:rFonts w:hint="eastAsia" w:ascii="Arial" w:hAnsi="Arial" w:eastAsia="宋体"/>
              </w:rPr>
              <w:t>1</w:t>
            </w:r>
          </w:p>
        </w:tc>
        <w:tc>
          <w:tcPr>
            <w:tcW w:w="3901" w:type="dxa"/>
            <w:vAlign w:val="center"/>
          </w:tcPr>
          <w:p w14:paraId="31133FB4">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349BC72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59F9BEE1">
            <w:pPr>
              <w:rPr>
                <w:rFonts w:ascii="宋体" w:hAnsi="宋体" w:eastAsia="宋体" w:cs="Arial"/>
                <w:szCs w:val="21"/>
              </w:rPr>
            </w:pPr>
            <w:r>
              <w:rPr>
                <w:rFonts w:hint="eastAsia" w:ascii="宋体" w:hAnsi="宋体" w:eastAsia="宋体" w:cs="Arial"/>
                <w:szCs w:val="21"/>
              </w:rPr>
              <w:t>无偏离</w:t>
            </w:r>
          </w:p>
        </w:tc>
      </w:tr>
    </w:tbl>
    <w:p w14:paraId="525496E1">
      <w:pPr>
        <w:snapToGrid w:val="0"/>
        <w:rPr>
          <w:rFonts w:ascii="宋体" w:hAnsi="宋体"/>
        </w:rPr>
      </w:pPr>
    </w:p>
    <w:p w14:paraId="2B4C83C1">
      <w:pPr>
        <w:snapToGrid w:val="0"/>
        <w:rPr>
          <w:rFonts w:ascii="宋体" w:hAnsi="宋体"/>
          <w:b/>
        </w:rPr>
      </w:pPr>
      <w:r>
        <w:rPr>
          <w:rFonts w:hint="eastAsia" w:ascii="宋体" w:hAnsi="宋体" w:eastAsia="宋体"/>
          <w:b/>
        </w:rPr>
        <w:t>填写说明：</w:t>
      </w:r>
    </w:p>
    <w:p w14:paraId="550B78EE">
      <w:pPr>
        <w:numPr>
          <w:ilvl w:val="0"/>
          <w:numId w:val="7"/>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48383DB7">
      <w:pPr>
        <w:numPr>
          <w:ilvl w:val="0"/>
          <w:numId w:val="7"/>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2D45163">
      <w:pPr>
        <w:numPr>
          <w:ilvl w:val="0"/>
          <w:numId w:val="7"/>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7142AFEA">
      <w:pPr>
        <w:rPr>
          <w:rFonts w:ascii="宋体" w:hAnsi="宋体" w:eastAsia="宋体"/>
          <w:color w:val="FF0000"/>
          <w:sz w:val="32"/>
          <w:szCs w:val="32"/>
        </w:rPr>
      </w:pPr>
    </w:p>
    <w:p w14:paraId="07FFB121">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hint="eastAsia" w:ascii="宋体" w:hAnsi="宋体" w:eastAsia="宋体"/>
          <w:b/>
          <w:bCs/>
          <w:szCs w:val="20"/>
        </w:rPr>
        <w:t>.技术规格偏离表</w:t>
      </w:r>
    </w:p>
    <w:p w14:paraId="54AAD257">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4BEF24DA">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5345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6DA604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5E8E0592">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142BFE23">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1BDCEF24">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0D072A82">
            <w:pPr>
              <w:snapToGrid w:val="0"/>
              <w:jc w:val="center"/>
              <w:rPr>
                <w:rFonts w:ascii="宋体" w:hAnsi="宋体"/>
                <w:b/>
              </w:rPr>
            </w:pPr>
            <w:r>
              <w:rPr>
                <w:rFonts w:hint="eastAsia" w:ascii="宋体" w:hAnsi="宋体"/>
                <w:b/>
              </w:rPr>
              <w:t>说明</w:t>
            </w:r>
          </w:p>
        </w:tc>
      </w:tr>
      <w:tr w14:paraId="7409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A9DF0F8">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65ED20E6">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3ECDD3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DEBFF3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475E1096">
            <w:pPr>
              <w:snapToGrid w:val="0"/>
              <w:rPr>
                <w:rFonts w:ascii="宋体" w:hAnsi="宋体"/>
              </w:rPr>
            </w:pPr>
          </w:p>
        </w:tc>
      </w:tr>
      <w:tr w14:paraId="436D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E010D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02EA4EC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46A0340">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C523AF9">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1B592358">
            <w:pPr>
              <w:snapToGrid w:val="0"/>
              <w:rPr>
                <w:rFonts w:ascii="宋体" w:hAnsi="宋体"/>
              </w:rPr>
            </w:pPr>
          </w:p>
        </w:tc>
      </w:tr>
      <w:tr w14:paraId="21E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61D43CB9">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7B57B34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3BF020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CF05E7">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3D6F200C">
            <w:pPr>
              <w:snapToGrid w:val="0"/>
              <w:rPr>
                <w:rFonts w:ascii="宋体" w:hAnsi="宋体"/>
              </w:rPr>
            </w:pPr>
          </w:p>
        </w:tc>
      </w:tr>
    </w:tbl>
    <w:p w14:paraId="6B277644">
      <w:pPr>
        <w:snapToGrid w:val="0"/>
        <w:rPr>
          <w:rFonts w:ascii="宋体" w:hAnsi="宋体"/>
        </w:rPr>
      </w:pPr>
      <w:r>
        <w:rPr>
          <w:rFonts w:hint="eastAsia" w:ascii="宋体" w:hAnsi="宋体"/>
        </w:rPr>
        <w:t>此表可延长。</w:t>
      </w:r>
    </w:p>
    <w:p w14:paraId="21AD27F1">
      <w:pPr>
        <w:snapToGrid w:val="0"/>
        <w:rPr>
          <w:rFonts w:ascii="宋体" w:hAnsi="宋体"/>
        </w:rPr>
      </w:pPr>
    </w:p>
    <w:p w14:paraId="3FBBBE29">
      <w:pPr>
        <w:snapToGrid w:val="0"/>
        <w:rPr>
          <w:rFonts w:ascii="宋体" w:hAnsi="宋体"/>
          <w:b/>
        </w:rPr>
      </w:pPr>
      <w:r>
        <w:rPr>
          <w:rFonts w:hint="eastAsia" w:ascii="宋体" w:hAnsi="宋体"/>
          <w:b/>
        </w:rPr>
        <w:t>填写说明：</w:t>
      </w:r>
    </w:p>
    <w:p w14:paraId="7AAFDEE7">
      <w:pPr>
        <w:numPr>
          <w:ilvl w:val="0"/>
          <w:numId w:val="8"/>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1CD24F3D">
      <w:pPr>
        <w:numPr>
          <w:ilvl w:val="0"/>
          <w:numId w:val="8"/>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1D98A835">
      <w:pPr>
        <w:numPr>
          <w:ilvl w:val="0"/>
          <w:numId w:val="8"/>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9A60434">
      <w:pPr>
        <w:rPr>
          <w:rFonts w:ascii="宋体" w:hAnsi="宋体" w:eastAsia="宋体"/>
          <w:color w:val="FF0000"/>
          <w:sz w:val="32"/>
          <w:szCs w:val="32"/>
        </w:rPr>
      </w:pPr>
      <w:r>
        <w:br w:type="page"/>
      </w:r>
    </w:p>
    <w:p w14:paraId="3D151C22">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33C47AAA">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114012A">
      <w:pPr>
        <w:pStyle w:val="18"/>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14:paraId="59C731B8">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73BC881">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14:paraId="6197F6F3">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A4D662C">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14:paraId="04403767">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04EBA681">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14:paraId="7AFC1954">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F553B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21.其他招标文件要求或投标人认为需要补充的内容(如有)</w:t>
      </w:r>
    </w:p>
    <w:p w14:paraId="5F5EA4F7">
      <w:pPr>
        <w:pStyle w:val="18"/>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07D051BE">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22.《平台对接承诺函》</w:t>
      </w:r>
    </w:p>
    <w:p w14:paraId="1708AFE2">
      <w:pPr>
        <w:pStyle w:val="18"/>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1.自行填写，无参考格式。</w:t>
      </w:r>
    </w:p>
    <w:p w14:paraId="1B063F1C">
      <w:pPr>
        <w:ind w:firstLine="210" w:firstLineChars="100"/>
        <w:rPr>
          <w:rFonts w:hint="default"/>
          <w:lang w:val="en-US" w:eastAsia="zh-CN"/>
        </w:rPr>
      </w:pPr>
      <w:r>
        <w:rPr>
          <w:rFonts w:hint="eastAsia" w:ascii="宋体" w:hAnsi="宋体" w:eastAsia="宋体" w:cs="Times New Roman"/>
          <w:b w:val="0"/>
          <w:bCs w:val="0"/>
          <w:sz w:val="21"/>
          <w:szCs w:val="20"/>
          <w:lang w:val="en-US" w:eastAsia="zh-CN"/>
        </w:rPr>
        <w:t>2.投标商需承诺本次投标产品能接入现有平台统一管理</w:t>
      </w:r>
    </w:p>
    <w:p w14:paraId="1AD33C4F">
      <w:pPr>
        <w:rPr>
          <w:rFonts w:hint="eastAsia"/>
          <w:lang w:val="en-US" w:eastAsia="zh-CN"/>
        </w:rPr>
      </w:pPr>
    </w:p>
    <w:p w14:paraId="376E36EC">
      <w:pPr>
        <w:rPr>
          <w:rFonts w:hint="eastAsia"/>
        </w:rPr>
      </w:pPr>
    </w:p>
    <w:p w14:paraId="18DCD75C"/>
    <w:p w14:paraId="3819A982">
      <w:pPr>
        <w:spacing w:after="60" w:afterLines="25" w:line="300" w:lineRule="auto"/>
        <w:rPr>
          <w:rFonts w:ascii="宋体" w:hAnsi="宋体" w:eastAsia="宋体"/>
          <w:color w:val="FF0000"/>
          <w:sz w:val="32"/>
          <w:szCs w:val="32"/>
        </w:rPr>
      </w:pPr>
      <w:r>
        <w:br w:type="page"/>
      </w:r>
    </w:p>
    <w:p w14:paraId="3835B305">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0DBF721">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648778D6">
      <w:pPr>
        <w:snapToGrid w:val="0"/>
        <w:spacing w:line="300" w:lineRule="auto"/>
        <w:jc w:val="center"/>
        <w:rPr>
          <w:rFonts w:ascii="仿宋" w:hAnsi="仿宋" w:eastAsia="仿宋"/>
          <w:sz w:val="28"/>
          <w:szCs w:val="28"/>
        </w:rPr>
      </w:pPr>
    </w:p>
    <w:p w14:paraId="3AE6BC2D">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3CBC3682">
      <w:pPr>
        <w:pStyle w:val="15"/>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6A25348D">
      <w:pPr>
        <w:adjustRightInd w:val="0"/>
        <w:snapToGrid w:val="0"/>
        <w:spacing w:line="700" w:lineRule="exact"/>
        <w:rPr>
          <w:rFonts w:ascii="仿宋_GB2312" w:hAnsi="仿宋_GB2312" w:eastAsia="仿宋_GB2312" w:cs="仿宋_GB2312"/>
          <w:sz w:val="32"/>
          <w:szCs w:val="32"/>
        </w:rPr>
      </w:pPr>
    </w:p>
    <w:p w14:paraId="5BB6A6BD">
      <w:pPr>
        <w:adjustRightInd w:val="0"/>
        <w:snapToGrid w:val="0"/>
        <w:spacing w:line="700" w:lineRule="exact"/>
        <w:rPr>
          <w:rFonts w:ascii="宋体" w:hAnsi="宋体"/>
          <w:sz w:val="20"/>
          <w:szCs w:val="20"/>
        </w:rPr>
      </w:pPr>
    </w:p>
    <w:p w14:paraId="1D7865E1">
      <w:pPr>
        <w:adjustRightInd w:val="0"/>
        <w:snapToGrid w:val="0"/>
        <w:spacing w:line="700" w:lineRule="exact"/>
        <w:jc w:val="center"/>
        <w:rPr>
          <w:rFonts w:ascii="宋体" w:hAnsi="宋体"/>
          <w:sz w:val="20"/>
          <w:szCs w:val="20"/>
        </w:rPr>
      </w:pPr>
    </w:p>
    <w:p w14:paraId="7AD5856E">
      <w:pPr>
        <w:pStyle w:val="10"/>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27AEFA63">
      <w:pPr>
        <w:adjustRightInd w:val="0"/>
        <w:snapToGrid w:val="0"/>
        <w:spacing w:line="700" w:lineRule="exact"/>
        <w:jc w:val="center"/>
        <w:rPr>
          <w:rFonts w:ascii="宋体" w:hAnsi="宋体"/>
          <w:sz w:val="20"/>
          <w:szCs w:val="20"/>
        </w:rPr>
      </w:pPr>
    </w:p>
    <w:p w14:paraId="444C0DCE">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537F8129">
      <w:pPr>
        <w:adjustRightInd w:val="0"/>
        <w:snapToGrid w:val="0"/>
        <w:spacing w:line="700" w:lineRule="exact"/>
        <w:jc w:val="center"/>
        <w:rPr>
          <w:rFonts w:hint="default" w:ascii="宋体" w:hAnsi="宋体"/>
          <w:b/>
          <w:bCs/>
          <w:sz w:val="36"/>
          <w:szCs w:val="36"/>
          <w:lang w:val="en-US" w:eastAsia="zh-CN"/>
        </w:rPr>
      </w:pPr>
    </w:p>
    <w:p w14:paraId="0FC96EB8">
      <w:pPr>
        <w:pStyle w:val="15"/>
        <w:rPr>
          <w:rFonts w:ascii="宋体" w:hAnsi="宋体"/>
          <w:b/>
          <w:sz w:val="36"/>
          <w:szCs w:val="36"/>
        </w:rPr>
      </w:pPr>
    </w:p>
    <w:p w14:paraId="0654841F">
      <w:pPr>
        <w:pStyle w:val="15"/>
        <w:rPr>
          <w:rFonts w:ascii="宋体" w:hAnsi="宋体"/>
          <w:b/>
          <w:sz w:val="36"/>
          <w:szCs w:val="36"/>
        </w:rPr>
      </w:pPr>
    </w:p>
    <w:p w14:paraId="2C9730F7">
      <w:pPr>
        <w:adjustRightInd w:val="0"/>
        <w:snapToGrid w:val="0"/>
        <w:spacing w:line="500" w:lineRule="exact"/>
        <w:rPr>
          <w:rFonts w:ascii="宋体" w:hAnsi="宋体"/>
          <w:b/>
          <w:sz w:val="36"/>
          <w:szCs w:val="36"/>
        </w:rPr>
      </w:pPr>
    </w:p>
    <w:p w14:paraId="05268053">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42B97867">
      <w:pPr>
        <w:adjustRightInd w:val="0"/>
        <w:snapToGrid w:val="0"/>
        <w:spacing w:line="500" w:lineRule="exact"/>
        <w:rPr>
          <w:rFonts w:ascii="宋体" w:hAnsi="宋体"/>
          <w:b/>
          <w:sz w:val="28"/>
          <w:szCs w:val="36"/>
        </w:rPr>
      </w:pPr>
    </w:p>
    <w:p w14:paraId="27EEA983">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49D498EB">
      <w:pPr>
        <w:adjustRightInd w:val="0"/>
        <w:snapToGrid w:val="0"/>
        <w:spacing w:line="500" w:lineRule="exact"/>
        <w:ind w:firstLine="1120" w:firstLineChars="400"/>
        <w:rPr>
          <w:rFonts w:ascii="宋体" w:hAnsi="宋体"/>
          <w:sz w:val="28"/>
          <w:szCs w:val="28"/>
          <w:u w:val="single"/>
        </w:rPr>
      </w:pPr>
    </w:p>
    <w:p w14:paraId="2784C211">
      <w:pPr>
        <w:adjustRightInd w:val="0"/>
        <w:snapToGrid w:val="0"/>
        <w:spacing w:line="500" w:lineRule="exact"/>
        <w:rPr>
          <w:rFonts w:ascii="宋体" w:hAnsi="宋体"/>
          <w:sz w:val="28"/>
          <w:szCs w:val="28"/>
          <w:u w:val="single"/>
        </w:rPr>
      </w:pPr>
    </w:p>
    <w:p w14:paraId="7948D573">
      <w:pPr>
        <w:pStyle w:val="15"/>
      </w:pPr>
    </w:p>
    <w:p w14:paraId="2B5BE571">
      <w:pPr>
        <w:adjustRightInd w:val="0"/>
        <w:snapToGrid w:val="0"/>
        <w:spacing w:line="500" w:lineRule="exact"/>
        <w:jc w:val="center"/>
        <w:rPr>
          <w:rFonts w:hint="eastAsia" w:ascii="宋体" w:hAnsi="宋体"/>
          <w:b/>
          <w:sz w:val="28"/>
          <w:szCs w:val="36"/>
        </w:rPr>
      </w:pPr>
    </w:p>
    <w:p w14:paraId="68CF864C">
      <w:pPr>
        <w:adjustRightInd w:val="0"/>
        <w:snapToGrid w:val="0"/>
        <w:spacing w:line="500" w:lineRule="exact"/>
        <w:jc w:val="center"/>
        <w:rPr>
          <w:rFonts w:hint="eastAsia" w:ascii="宋体" w:hAnsi="宋体"/>
          <w:b/>
          <w:sz w:val="28"/>
          <w:szCs w:val="36"/>
        </w:rPr>
      </w:pPr>
    </w:p>
    <w:p w14:paraId="6E7F8A8C">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0F902DDF">
      <w:pPr>
        <w:pStyle w:val="8"/>
        <w:adjustRightInd w:val="0"/>
        <w:snapToGrid w:val="0"/>
        <w:spacing w:line="480" w:lineRule="exact"/>
        <w:jc w:val="center"/>
        <w:rPr>
          <w:rFonts w:ascii="黑体" w:hAnsi="黑体" w:eastAsia="黑体" w:cs="黑体"/>
          <w:b/>
          <w:bCs/>
          <w:snapToGrid w:val="0"/>
          <w:color w:val="auto"/>
          <w:sz w:val="44"/>
          <w:szCs w:val="44"/>
        </w:rPr>
        <w:sectPr>
          <w:pgSz w:w="11906" w:h="16838"/>
          <w:pgMar w:top="720" w:right="720" w:bottom="720" w:left="720" w:header="851" w:footer="992" w:gutter="0"/>
          <w:cols w:space="425" w:num="1"/>
          <w:docGrid w:type="lines" w:linePitch="312" w:charSpace="0"/>
        </w:sectPr>
      </w:pPr>
    </w:p>
    <w:p w14:paraId="3CBA21D0">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29643F01">
      <w:pPr>
        <w:pStyle w:val="8"/>
        <w:tabs>
          <w:tab w:val="left" w:pos="1565"/>
          <w:tab w:val="left" w:pos="4085"/>
        </w:tabs>
        <w:adjustRightInd w:val="0"/>
        <w:snapToGrid w:val="0"/>
        <w:spacing w:line="480" w:lineRule="exact"/>
        <w:rPr>
          <w:sz w:val="28"/>
          <w:szCs w:val="28"/>
        </w:rPr>
      </w:pPr>
    </w:p>
    <w:p w14:paraId="3D0D9CE0">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118E589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61096917">
      <w:pPr>
        <w:pStyle w:val="15"/>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6E34B093">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554C3E1F">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E12D73D">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68300D63">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53A9E33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247EB5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5EE892B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16F51258">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39369047">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C06D460">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2C0F8979">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6566E04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35B25A91">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775297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2A428DBF">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32B54716">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2C9D0E99">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7F224006">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01BE6D3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95BD9F2">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5CDE73C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665BE8E9">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79FDF994">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33D6D147">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3BAF56F7">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138D8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683A1E7F">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57A4ACD2">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7FFE9867">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5ED2F4DD">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3C6FBBC5">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0D4C243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06C4E6C0">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4B56FDCB">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55660954">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0864163F">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4F403A12">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2674C8C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6E9414F3">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537A0A9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2272064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2EDF09A4">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38091F71">
      <w:pPr>
        <w:pStyle w:val="15"/>
        <w:keepNext w:val="0"/>
        <w:keepLines w:val="0"/>
        <w:pageBreakBefore w:val="0"/>
        <w:widowControl w:val="0"/>
        <w:kinsoku/>
        <w:wordWrap/>
        <w:overflowPunct/>
        <w:topLinePunct w:val="0"/>
        <w:autoSpaceDE/>
        <w:autoSpaceDN/>
        <w:bidi w:val="0"/>
        <w:spacing w:line="520" w:lineRule="exact"/>
      </w:pPr>
    </w:p>
    <w:p w14:paraId="7C7889F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喀什市公安局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3A588F31">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57B7D4B6">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405EA7E0">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335E68D3">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7270FFB2">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572A1C82">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06B2C96F">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51540701">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98363B6">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44A16EC9">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3CCC33FB">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7" w:type="default"/>
          <w:pgSz w:w="11906" w:h="16838"/>
          <w:pgMar w:top="1440" w:right="1800" w:bottom="1440" w:left="1800" w:header="851" w:footer="992" w:gutter="0"/>
          <w:pgNumType w:start="1"/>
          <w:cols w:space="425" w:num="1"/>
          <w:docGrid w:type="lines" w:linePitch="312" w:charSpace="0"/>
        </w:sectPr>
      </w:pPr>
    </w:p>
    <w:p w14:paraId="746D482B">
      <w:pPr>
        <w:rPr>
          <w:rFonts w:ascii="宋体" w:hAnsi="宋体" w:eastAsia="黑体"/>
          <w:b/>
          <w:bCs/>
          <w:color w:val="0000FF"/>
          <w:kern w:val="44"/>
          <w:sz w:val="36"/>
          <w:szCs w:val="44"/>
        </w:rPr>
      </w:pPr>
    </w:p>
    <w:p w14:paraId="6300CD4F">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31BE3A5B">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7D4449E0">
      <w:pPr>
        <w:outlineLvl w:val="1"/>
        <w:rPr>
          <w:rFonts w:ascii="黑体" w:hAnsi="宋体" w:eastAsia="黑体"/>
        </w:rPr>
      </w:pPr>
      <w:r>
        <w:rPr>
          <w:rFonts w:hint="eastAsia" w:ascii="黑体" w:hAnsi="宋体" w:eastAsia="黑体"/>
        </w:rPr>
        <w:t>1. 通用条款说明</w:t>
      </w:r>
    </w:p>
    <w:p w14:paraId="42797260">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06A56A8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567AB5AC">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3CD0C649">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3074EFC3">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1904E199">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35534444">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7E093A0F">
      <w:pPr>
        <w:outlineLvl w:val="1"/>
        <w:rPr>
          <w:rFonts w:ascii="黑体" w:hAnsi="宋体" w:eastAsia="黑体"/>
        </w:rPr>
      </w:pPr>
      <w:r>
        <w:rPr>
          <w:rFonts w:hint="eastAsia" w:ascii="黑体" w:hAnsi="宋体" w:eastAsia="黑体"/>
        </w:rPr>
        <w:t>3．定义</w:t>
      </w:r>
    </w:p>
    <w:p w14:paraId="2F3193EF">
      <w:pPr>
        <w:ind w:firstLine="480" w:firstLineChars="200"/>
        <w:rPr>
          <w:rFonts w:ascii="宋体" w:hAnsi="宋体" w:eastAsia="宋体"/>
          <w:szCs w:val="21"/>
        </w:rPr>
      </w:pPr>
      <w:r>
        <w:rPr>
          <w:rFonts w:ascii="宋体" w:hAnsi="宋体" w:eastAsia="宋体"/>
          <w:szCs w:val="21"/>
        </w:rPr>
        <w:t>招标文件中下列术语应解释为：</w:t>
      </w:r>
    </w:p>
    <w:p w14:paraId="34C21F7D">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0DF48448">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498F32F5">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0A33ADA">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B81810">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4298674D">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07FEC836">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2D4ADDB4">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79EB73F5">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598C2D3D">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23CB056E">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4E62FD99">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7A870879">
      <w:pPr>
        <w:outlineLvl w:val="1"/>
        <w:rPr>
          <w:rFonts w:ascii="黑体" w:hAnsi="宋体" w:eastAsia="黑体"/>
        </w:rPr>
      </w:pPr>
      <w:r>
        <w:rPr>
          <w:rFonts w:hint="eastAsia" w:ascii="黑体" w:hAnsi="宋体" w:eastAsia="黑体"/>
        </w:rPr>
        <w:t>5．投标人参加政府采购的条件</w:t>
      </w:r>
    </w:p>
    <w:p w14:paraId="2417C185">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67D8B9EC">
      <w:pPr>
        <w:ind w:firstLine="470" w:firstLineChars="196"/>
        <w:rPr>
          <w:rFonts w:ascii="宋体" w:hAnsi="宋体" w:eastAsia="宋体"/>
          <w:szCs w:val="21"/>
        </w:rPr>
      </w:pPr>
      <w:r>
        <w:rPr>
          <w:rFonts w:hint="eastAsia" w:ascii="宋体" w:hAnsi="宋体" w:eastAsia="宋体"/>
          <w:szCs w:val="21"/>
        </w:rPr>
        <w:t>5.2投标人资格要求</w:t>
      </w:r>
    </w:p>
    <w:p w14:paraId="266E6B77">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66AA48B6">
      <w:pPr>
        <w:ind w:firstLine="470" w:firstLineChars="196"/>
        <w:rPr>
          <w:rFonts w:ascii="宋体" w:hAnsi="宋体" w:eastAsia="宋体"/>
          <w:szCs w:val="21"/>
        </w:rPr>
      </w:pPr>
      <w:r>
        <w:rPr>
          <w:rFonts w:hint="eastAsia" w:ascii="宋体" w:hAnsi="宋体" w:eastAsia="宋体"/>
          <w:szCs w:val="21"/>
        </w:rPr>
        <w:t>5.3联合体投标</w:t>
      </w:r>
    </w:p>
    <w:p w14:paraId="4313E41C">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3B9BBC92">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4EB0BC43">
      <w:pPr>
        <w:ind w:firstLine="470" w:firstLineChars="196"/>
        <w:rPr>
          <w:rFonts w:ascii="宋体" w:hAnsi="宋体" w:eastAsia="宋体"/>
        </w:rPr>
      </w:pPr>
      <w:r>
        <w:rPr>
          <w:rFonts w:hint="eastAsia" w:ascii="宋体" w:hAnsi="宋体" w:eastAsia="宋体"/>
        </w:rPr>
        <w:t>（1）投标联合体各方参加政府采购活动应当具备下列条件：</w:t>
      </w:r>
    </w:p>
    <w:p w14:paraId="692EDE86">
      <w:pPr>
        <w:ind w:left="480" w:leftChars="200" w:firstLine="470" w:firstLineChars="196"/>
        <w:rPr>
          <w:rFonts w:ascii="宋体" w:hAnsi="宋体" w:eastAsia="宋体"/>
        </w:rPr>
      </w:pPr>
      <w:r>
        <w:rPr>
          <w:rFonts w:hint="eastAsia" w:ascii="宋体" w:hAnsi="宋体" w:eastAsia="宋体"/>
        </w:rPr>
        <w:t>1、具有独立承担民事责任的能力；</w:t>
      </w:r>
    </w:p>
    <w:p w14:paraId="46548456">
      <w:pPr>
        <w:ind w:left="420" w:firstLine="470" w:firstLineChars="196"/>
        <w:rPr>
          <w:rFonts w:ascii="宋体" w:hAnsi="宋体" w:eastAsia="宋体"/>
        </w:rPr>
      </w:pPr>
      <w:r>
        <w:rPr>
          <w:rFonts w:hint="eastAsia" w:ascii="宋体" w:hAnsi="宋体" w:eastAsia="宋体"/>
        </w:rPr>
        <w:t>2、有良好的商业信誉和健全的财务会计制度；</w:t>
      </w:r>
    </w:p>
    <w:p w14:paraId="1FFBAC43">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6E049D3C">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345358EF">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415F8C67">
      <w:pPr>
        <w:ind w:left="480" w:leftChars="200" w:firstLine="470" w:firstLineChars="196"/>
        <w:rPr>
          <w:rFonts w:ascii="宋体" w:hAnsi="宋体" w:eastAsia="宋体"/>
        </w:rPr>
      </w:pPr>
      <w:r>
        <w:rPr>
          <w:rFonts w:hint="eastAsia" w:ascii="宋体" w:hAnsi="宋体" w:eastAsia="宋体"/>
        </w:rPr>
        <w:t>6、法律、行政法规规定的其他条件。</w:t>
      </w:r>
    </w:p>
    <w:p w14:paraId="66695AC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2B3676B5">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1FCAD7B1">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5D2F07FD">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37A17F6D">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145CB933">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16001456">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11635AD">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157F5DC1">
      <w:pPr>
        <w:outlineLvl w:val="1"/>
        <w:rPr>
          <w:rFonts w:ascii="黑体" w:hAnsi="宋体" w:eastAsia="黑体"/>
        </w:rPr>
      </w:pPr>
      <w:r>
        <w:rPr>
          <w:rFonts w:hint="eastAsia" w:ascii="黑体" w:hAnsi="宋体" w:eastAsia="黑体"/>
        </w:rPr>
        <w:t>6．政策导向</w:t>
      </w:r>
    </w:p>
    <w:p w14:paraId="170563C7">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14:paraId="29F7D866">
      <w:pPr>
        <w:ind w:firstLine="405"/>
        <w:rPr>
          <w:rFonts w:eastAsia="宋体"/>
          <w:shd w:val="clear" w:color="auto" w:fill="FFFFFF"/>
        </w:rPr>
      </w:pPr>
      <w:r>
        <w:rPr>
          <w:rFonts w:hint="eastAsia" w:ascii="宋体" w:hAnsi="宋体" w:eastAsia="宋体"/>
        </w:rPr>
        <w:t>6.2本项目落实政府采购供应商诚信管理政策要求。</w:t>
      </w:r>
    </w:p>
    <w:p w14:paraId="0C7BF8ED">
      <w:pPr>
        <w:outlineLvl w:val="1"/>
        <w:rPr>
          <w:rFonts w:ascii="黑体" w:hAnsi="宋体" w:eastAsia="黑体"/>
        </w:rPr>
      </w:pPr>
      <w:r>
        <w:rPr>
          <w:rFonts w:hint="eastAsia" w:ascii="黑体" w:hAnsi="宋体" w:eastAsia="黑体"/>
        </w:rPr>
        <w:t>7. 本项目若涉及采购货物，则合格的货物及相应服务应满足以下要求：</w:t>
      </w:r>
    </w:p>
    <w:p w14:paraId="12ECC7E0">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05F93D5B">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385C2E3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4B5609A">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2901E918">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ADF39CF">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7CEBAA57">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4EAA8DB2">
      <w:pPr>
        <w:outlineLvl w:val="1"/>
        <w:rPr>
          <w:rFonts w:ascii="黑体" w:hAnsi="宋体" w:eastAsia="黑体"/>
        </w:rPr>
      </w:pPr>
      <w:r>
        <w:rPr>
          <w:rFonts w:hint="eastAsia" w:ascii="黑体" w:hAnsi="宋体" w:eastAsia="黑体"/>
        </w:rPr>
        <w:t>8．投标费用</w:t>
      </w:r>
    </w:p>
    <w:p w14:paraId="39D5D271">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2D318033">
      <w:pPr>
        <w:outlineLvl w:val="1"/>
        <w:rPr>
          <w:rFonts w:ascii="黑体" w:hAnsi="宋体" w:eastAsia="黑体"/>
        </w:rPr>
      </w:pPr>
      <w:r>
        <w:rPr>
          <w:rFonts w:hint="eastAsia" w:ascii="黑体" w:hAnsi="宋体" w:eastAsia="黑体"/>
        </w:rPr>
        <w:t>9．踏勘现场</w:t>
      </w:r>
    </w:p>
    <w:p w14:paraId="63733385">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93C5EF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50B65FD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3DB0086F">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76E47582">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1EC78ED">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32A9906F">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32FB7E3C">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52113AE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4B046A5C">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553DC689">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4A44478F">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63E42655">
      <w:pPr>
        <w:ind w:firstLine="470" w:firstLineChars="196"/>
        <w:rPr>
          <w:rFonts w:ascii="宋体" w:hAnsi="宋体" w:eastAsia="宋体"/>
          <w:szCs w:val="21"/>
        </w:rPr>
      </w:pPr>
      <w:r>
        <w:rPr>
          <w:rFonts w:hint="eastAsia" w:ascii="宋体" w:hAnsi="宋体" w:eastAsia="宋体"/>
          <w:szCs w:val="21"/>
        </w:rPr>
        <w:t>招标文件包括下列内容：</w:t>
      </w:r>
    </w:p>
    <w:p w14:paraId="0979388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001F7EF9">
      <w:pPr>
        <w:ind w:left="1234" w:leftChars="514"/>
        <w:rPr>
          <w:rFonts w:ascii="宋体" w:hAnsi="宋体" w:eastAsia="宋体"/>
          <w:b/>
          <w:szCs w:val="21"/>
        </w:rPr>
      </w:pPr>
      <w:r>
        <w:rPr>
          <w:rFonts w:hint="eastAsia" w:ascii="宋体" w:hAnsi="宋体" w:eastAsia="宋体"/>
          <w:b/>
          <w:szCs w:val="21"/>
        </w:rPr>
        <w:t>关键信息</w:t>
      </w:r>
    </w:p>
    <w:p w14:paraId="3C721DB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1170534C">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642C47E">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1CD2316C">
      <w:pPr>
        <w:ind w:left="720" w:leftChars="300" w:firstLine="470" w:firstLineChars="196"/>
        <w:rPr>
          <w:rFonts w:ascii="宋体" w:hAnsi="宋体" w:eastAsia="宋体"/>
          <w:szCs w:val="21"/>
        </w:rPr>
      </w:pPr>
      <w:r>
        <w:rPr>
          <w:rFonts w:hint="eastAsia" w:eastAsia="宋体"/>
        </w:rPr>
        <w:t>第四章投标文件格式及附件</w:t>
      </w:r>
    </w:p>
    <w:p w14:paraId="6A22FDFA">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75E65010">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50B89185">
      <w:pPr>
        <w:ind w:left="720" w:leftChars="300" w:firstLine="470" w:firstLineChars="196"/>
        <w:rPr>
          <w:rFonts w:ascii="宋体" w:hAnsi="宋体" w:eastAsia="宋体"/>
          <w:szCs w:val="21"/>
        </w:rPr>
      </w:pPr>
      <w:r>
        <w:rPr>
          <w:rFonts w:hint="eastAsia" w:ascii="宋体" w:hAnsi="宋体" w:eastAsia="宋体"/>
          <w:szCs w:val="21"/>
        </w:rPr>
        <w:t>第一章  总则</w:t>
      </w:r>
    </w:p>
    <w:p w14:paraId="754F10BC">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5B65F9FF">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531966F1">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503B65BA">
      <w:pPr>
        <w:ind w:left="720" w:leftChars="300" w:firstLine="470" w:firstLineChars="196"/>
        <w:rPr>
          <w:rFonts w:ascii="宋体" w:hAnsi="宋体" w:eastAsia="宋体"/>
          <w:szCs w:val="21"/>
        </w:rPr>
      </w:pPr>
      <w:r>
        <w:rPr>
          <w:rFonts w:hint="eastAsia" w:ascii="宋体" w:hAnsi="宋体" w:eastAsia="宋体"/>
          <w:szCs w:val="21"/>
        </w:rPr>
        <w:t>第五章  开标</w:t>
      </w:r>
    </w:p>
    <w:p w14:paraId="11329DCF">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BE0C7C1">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6956E12F">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51834BA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42579B23">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2C565850">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71C53C2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D857F75">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78762D2A">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6A087CC9">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08ACFEE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0B386CE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3491B354">
      <w:pPr>
        <w:rPr>
          <w:rFonts w:ascii="黑体" w:hAnsi="宋体" w:eastAsia="黑体"/>
        </w:rPr>
      </w:pPr>
      <w:r>
        <w:rPr>
          <w:rFonts w:ascii="黑体" w:hAnsi="宋体" w:eastAsia="黑体"/>
        </w:rPr>
        <w:t>1</w:t>
      </w:r>
      <w:r>
        <w:rPr>
          <w:rFonts w:hint="eastAsia" w:ascii="黑体" w:hAnsi="宋体" w:eastAsia="黑体"/>
        </w:rPr>
        <w:t>3．招标文件的修改</w:t>
      </w:r>
    </w:p>
    <w:p w14:paraId="2E62A240">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B90422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447A7A70">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4695DFC8">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3FBB6021">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1ABB069E">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09F04D38">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A34A64A">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60B271F0">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25DC2DF9">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7123E627">
      <w:pPr>
        <w:rPr>
          <w:rFonts w:ascii="黑体" w:hAnsi="宋体" w:eastAsia="黑体"/>
        </w:rPr>
      </w:pPr>
      <w:r>
        <w:rPr>
          <w:rFonts w:ascii="黑体" w:hAnsi="宋体" w:eastAsia="黑体"/>
        </w:rPr>
        <w:t>16．投标文件格式</w:t>
      </w:r>
    </w:p>
    <w:p w14:paraId="7F9DC60E">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D14EA66">
      <w:pPr>
        <w:rPr>
          <w:rFonts w:ascii="黑体" w:hAnsi="宋体" w:eastAsia="黑体"/>
        </w:rPr>
      </w:pPr>
      <w:r>
        <w:rPr>
          <w:rFonts w:hint="eastAsia" w:ascii="黑体" w:hAnsi="宋体" w:eastAsia="黑体"/>
        </w:rPr>
        <w:t>17．投标货币</w:t>
      </w:r>
    </w:p>
    <w:p w14:paraId="31EE60D1">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6047D4C">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522E6932">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680FF100">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D7ACC08">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6296C98A">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42148E87">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9E8EC06">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1A5BECD0">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42827278">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79C3AE1">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781E02BF">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F26CF5B">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0B0280DA">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459193D3">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91AA84E">
      <w:pPr>
        <w:rPr>
          <w:rFonts w:ascii="黑体" w:hAnsi="宋体" w:eastAsia="黑体"/>
        </w:rPr>
      </w:pPr>
      <w:r>
        <w:rPr>
          <w:rFonts w:hint="eastAsia" w:ascii="黑体" w:hAnsi="宋体" w:eastAsia="黑体"/>
        </w:rPr>
        <w:t>20．投标有效期</w:t>
      </w:r>
    </w:p>
    <w:bookmarkEnd w:id="24"/>
    <w:p w14:paraId="1950C0BC">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6178EED5">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0615EE7">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71181EB8">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3CCF660">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B47B071">
      <w:pPr>
        <w:rPr>
          <w:rFonts w:ascii="黑体" w:hAnsi="宋体" w:eastAsia="黑体"/>
        </w:rPr>
      </w:pPr>
      <w:r>
        <w:rPr>
          <w:rFonts w:hint="eastAsia" w:ascii="黑体" w:hAnsi="宋体" w:eastAsia="黑体"/>
        </w:rPr>
        <w:t>22．投标人的替代方案</w:t>
      </w:r>
    </w:p>
    <w:p w14:paraId="07B6AD92">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0B8A7DD">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5464879">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4DE0345C">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14892793">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520E8065">
      <w:pPr>
        <w:ind w:firstLine="470" w:firstLineChars="196"/>
        <w:rPr>
          <w:rFonts w:ascii="宋体" w:hAnsi="宋体" w:eastAsia="宋体"/>
        </w:rPr>
      </w:pPr>
      <w:r>
        <w:rPr>
          <w:rFonts w:hint="eastAsia" w:ascii="宋体" w:hAnsi="宋体" w:eastAsia="宋体"/>
        </w:rPr>
        <w:t>23.3电报、电话、传真形式的投标概不接受。</w:t>
      </w:r>
    </w:p>
    <w:p w14:paraId="42F61E95">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35EEBB31">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441A36D1">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475F8573">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39AE3BB7">
      <w:pPr>
        <w:jc w:val="center"/>
        <w:rPr>
          <w:rFonts w:eastAsia="宋体"/>
        </w:rPr>
      </w:pPr>
    </w:p>
    <w:bookmarkEnd w:id="29"/>
    <w:p w14:paraId="408921E5">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6ECE66FE">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371D16B2">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4A88D447">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626F1C4E">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3C43E2AA">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6B76E932">
      <w:pPr>
        <w:rPr>
          <w:rFonts w:ascii="黑体" w:hAnsi="宋体" w:eastAsia="黑体"/>
        </w:rPr>
      </w:pPr>
      <w:r>
        <w:rPr>
          <w:rFonts w:hint="eastAsia" w:ascii="黑体" w:hAnsi="宋体" w:eastAsia="黑体"/>
        </w:rPr>
        <w:t>28．开标</w:t>
      </w:r>
    </w:p>
    <w:p w14:paraId="2F016FE7">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72A0C1BF">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BDC9F3E">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7CAFD4F8">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37E412F0">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4A3A5135">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426B59C7">
      <w:pPr>
        <w:rPr>
          <w:rFonts w:ascii="黑体" w:hAnsi="宋体" w:eastAsia="黑体"/>
          <w:color w:val="auto"/>
        </w:rPr>
      </w:pPr>
      <w:r>
        <w:rPr>
          <w:rFonts w:hint="eastAsia" w:ascii="黑体" w:hAnsi="宋体" w:eastAsia="黑体"/>
          <w:color w:val="auto"/>
        </w:rPr>
        <w:t>29．评审委员会组成</w:t>
      </w:r>
    </w:p>
    <w:p w14:paraId="387CD46E">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367C03EE">
      <w:pPr>
        <w:ind w:firstLine="470" w:firstLineChars="196"/>
        <w:rPr>
          <w:rFonts w:ascii="宋体" w:hAnsi="宋体" w:eastAsia="宋体"/>
        </w:rPr>
      </w:pPr>
      <w:r>
        <w:rPr>
          <w:rFonts w:hint="eastAsia" w:ascii="宋体" w:hAnsi="宋体" w:eastAsia="宋体"/>
        </w:rPr>
        <w:t>29.2评审定标应当遵循公平、公正、科学、择优的原则。</w:t>
      </w:r>
    </w:p>
    <w:p w14:paraId="02206E67">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3296A1FE">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75E9136E">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5C41D2E7">
      <w:pPr>
        <w:rPr>
          <w:rFonts w:ascii="黑体" w:hAnsi="宋体" w:eastAsia="黑体"/>
        </w:rPr>
      </w:pPr>
      <w:r>
        <w:rPr>
          <w:rFonts w:hint="eastAsia" w:ascii="黑体" w:hAnsi="宋体" w:eastAsia="黑体"/>
        </w:rPr>
        <w:t>30．向评审委员会提供的资料</w:t>
      </w:r>
    </w:p>
    <w:p w14:paraId="235E5FE7">
      <w:pPr>
        <w:ind w:firstLine="470" w:firstLineChars="196"/>
        <w:rPr>
          <w:rFonts w:ascii="宋体" w:hAnsi="宋体" w:eastAsia="宋体"/>
        </w:rPr>
      </w:pPr>
      <w:r>
        <w:rPr>
          <w:rFonts w:hint="eastAsia" w:ascii="宋体" w:hAnsi="宋体" w:eastAsia="宋体"/>
        </w:rPr>
        <w:t>30.1公开发布的招标文件，包括图纸、服务清单、答疑文件等；</w:t>
      </w:r>
    </w:p>
    <w:p w14:paraId="219F4C40">
      <w:pPr>
        <w:ind w:firstLine="470" w:firstLineChars="196"/>
        <w:rPr>
          <w:rFonts w:ascii="宋体" w:hAnsi="宋体" w:eastAsia="宋体"/>
        </w:rPr>
      </w:pPr>
      <w:r>
        <w:rPr>
          <w:rFonts w:hint="eastAsia" w:ascii="宋体" w:hAnsi="宋体" w:eastAsia="宋体"/>
        </w:rPr>
        <w:t>30.2其他评标必须的资料。</w:t>
      </w:r>
    </w:p>
    <w:p w14:paraId="73C7FE24">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68572939">
      <w:pPr>
        <w:ind w:firstLine="470" w:firstLineChars="196"/>
        <w:rPr>
          <w:rFonts w:ascii="宋体" w:hAnsi="宋体" w:eastAsia="宋体"/>
        </w:rPr>
      </w:pPr>
      <w:r>
        <w:rPr>
          <w:rFonts w:hint="eastAsia" w:ascii="宋体" w:hAnsi="宋体" w:eastAsia="宋体"/>
        </w:rPr>
        <w:t>（1）招标的目的；</w:t>
      </w:r>
    </w:p>
    <w:p w14:paraId="4AB8206D">
      <w:pPr>
        <w:ind w:firstLine="470" w:firstLineChars="196"/>
        <w:rPr>
          <w:rFonts w:ascii="宋体" w:hAnsi="宋体" w:eastAsia="宋体"/>
        </w:rPr>
      </w:pPr>
      <w:r>
        <w:rPr>
          <w:rFonts w:hint="eastAsia" w:ascii="宋体" w:hAnsi="宋体" w:eastAsia="宋体"/>
        </w:rPr>
        <w:t>（2）招标项目需求的范围和性质；</w:t>
      </w:r>
    </w:p>
    <w:p w14:paraId="01F89D2A">
      <w:pPr>
        <w:ind w:firstLine="470" w:firstLineChars="196"/>
        <w:rPr>
          <w:rFonts w:ascii="宋体" w:hAnsi="宋体" w:eastAsia="宋体"/>
        </w:rPr>
      </w:pPr>
      <w:r>
        <w:rPr>
          <w:rFonts w:hint="eastAsia" w:ascii="宋体" w:hAnsi="宋体" w:eastAsia="宋体"/>
        </w:rPr>
        <w:t>（3）招标文件规定的投标人的资格、财政预算限额、商务条款；</w:t>
      </w:r>
    </w:p>
    <w:p w14:paraId="55421B77">
      <w:pPr>
        <w:ind w:firstLine="470" w:firstLineChars="196"/>
        <w:rPr>
          <w:rFonts w:ascii="宋体" w:hAnsi="宋体" w:eastAsia="宋体"/>
        </w:rPr>
      </w:pPr>
      <w:r>
        <w:rPr>
          <w:rFonts w:hint="eastAsia" w:ascii="宋体" w:hAnsi="宋体" w:eastAsia="宋体"/>
        </w:rPr>
        <w:t>（4）招标文件规定的评标程序、评标方法和评标因素；</w:t>
      </w:r>
    </w:p>
    <w:p w14:paraId="120DE062">
      <w:pPr>
        <w:ind w:firstLine="470" w:firstLineChars="196"/>
        <w:rPr>
          <w:rFonts w:ascii="宋体" w:hAnsi="宋体" w:eastAsia="宋体"/>
        </w:rPr>
      </w:pPr>
      <w:r>
        <w:rPr>
          <w:rFonts w:hint="eastAsia" w:ascii="宋体" w:hAnsi="宋体" w:eastAsia="宋体"/>
        </w:rPr>
        <w:t>（5）招标文件所列示的资格性审查表及符合性审查表。</w:t>
      </w:r>
    </w:p>
    <w:p w14:paraId="00D2CBA4">
      <w:pPr>
        <w:rPr>
          <w:rFonts w:ascii="黑体" w:hAnsi="宋体" w:eastAsia="黑体"/>
        </w:rPr>
      </w:pPr>
      <w:r>
        <w:rPr>
          <w:rFonts w:hint="eastAsia" w:ascii="黑体" w:hAnsi="宋体" w:eastAsia="黑体"/>
        </w:rPr>
        <w:t>31．独立评审</w:t>
      </w:r>
    </w:p>
    <w:p w14:paraId="3806408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7D004575">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72AB26E9">
      <w:pPr>
        <w:rPr>
          <w:rFonts w:ascii="黑体" w:hAnsi="宋体" w:eastAsia="黑体"/>
        </w:rPr>
      </w:pPr>
      <w:r>
        <w:rPr>
          <w:rFonts w:hint="eastAsia" w:ascii="黑体" w:hAnsi="宋体" w:eastAsia="黑体"/>
        </w:rPr>
        <w:t>32．投标文件初审</w:t>
      </w:r>
    </w:p>
    <w:p w14:paraId="767E6E1F">
      <w:pPr>
        <w:ind w:firstLine="470" w:firstLineChars="196"/>
        <w:rPr>
          <w:rFonts w:ascii="宋体" w:hAnsi="宋体" w:eastAsia="宋体"/>
        </w:rPr>
      </w:pPr>
      <w:r>
        <w:rPr>
          <w:rFonts w:hint="eastAsia" w:ascii="宋体" w:hAnsi="宋体" w:eastAsia="宋体"/>
        </w:rPr>
        <w:t>32.1投标文件初审包括资格性审查和符合性审查。</w:t>
      </w:r>
    </w:p>
    <w:p w14:paraId="4B87A110">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4D2F2BE8">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2EA00C30">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6CCFE256">
      <w:pPr>
        <w:ind w:firstLine="470" w:firstLineChars="196"/>
        <w:rPr>
          <w:rFonts w:ascii="宋体" w:hAnsi="宋体" w:eastAsia="宋体"/>
          <w:bCs/>
        </w:rPr>
      </w:pPr>
      <w:r>
        <w:rPr>
          <w:rFonts w:hint="eastAsia" w:ascii="宋体" w:hAnsi="宋体" w:eastAsia="宋体"/>
          <w:bCs/>
        </w:rPr>
        <w:t>32.3 投标文件初审中关于供应商家数的计算:</w:t>
      </w:r>
    </w:p>
    <w:p w14:paraId="3868E120">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225EB1B">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7A898226">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59F24A86">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1BFA5C90">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1C84D986">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335537EC">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0011B46D">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00209CDB">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030AF5DE">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4E9BD30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6883A293">
      <w:pPr>
        <w:ind w:firstLine="470" w:firstLineChars="196"/>
        <w:rPr>
          <w:rFonts w:ascii="宋体" w:hAnsi="宋体" w:eastAsia="宋体"/>
        </w:rPr>
      </w:pPr>
      <w:r>
        <w:rPr>
          <w:rFonts w:hint="eastAsia" w:ascii="宋体" w:hAnsi="宋体" w:eastAsia="宋体"/>
        </w:rPr>
        <w:t>32.4.8不同投标供应商的投标文件内容存在非正常一致；</w:t>
      </w:r>
    </w:p>
    <w:p w14:paraId="3615A85F">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0D6458C9">
      <w:pPr>
        <w:ind w:firstLine="470" w:firstLineChars="196"/>
        <w:rPr>
          <w:rFonts w:ascii="宋体" w:hAnsi="宋体" w:eastAsia="宋体"/>
        </w:rPr>
      </w:pPr>
      <w:r>
        <w:rPr>
          <w:rFonts w:hint="eastAsia" w:ascii="宋体" w:hAnsi="宋体" w:eastAsia="宋体"/>
        </w:rPr>
        <w:t>32.4.10主管部门依照法律、法规认定的其他情形。</w:t>
      </w:r>
    </w:p>
    <w:p w14:paraId="1AF6EB4E">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279A5991">
      <w:pPr>
        <w:rPr>
          <w:rFonts w:ascii="黑体" w:hAnsi="宋体" w:eastAsia="黑体"/>
        </w:rPr>
      </w:pPr>
      <w:r>
        <w:rPr>
          <w:rFonts w:hint="eastAsia" w:ascii="黑体" w:hAnsi="宋体" w:eastAsia="黑体"/>
        </w:rPr>
        <w:t>33．澄清有关问题</w:t>
      </w:r>
    </w:p>
    <w:p w14:paraId="7E5AB3FE">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43D72D09">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7510D03D">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2FC954B6">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A0DC5B6">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1716042D">
      <w:pPr>
        <w:rPr>
          <w:rFonts w:ascii="黑体" w:hAnsi="宋体" w:eastAsia="黑体"/>
        </w:rPr>
      </w:pPr>
      <w:bookmarkStart w:id="33" w:name="_Toc73518151"/>
      <w:bookmarkStart w:id="34" w:name="_Toc100052400"/>
      <w:bookmarkStart w:id="35" w:name="_Toc73521669"/>
      <w:bookmarkStart w:id="36" w:name="_Toc73517673"/>
      <w:bookmarkStart w:id="37" w:name="_Toc73521581"/>
      <w:r>
        <w:rPr>
          <w:rFonts w:hint="eastAsia" w:ascii="黑体" w:hAnsi="宋体" w:eastAsia="黑体"/>
        </w:rPr>
        <w:t>34．错误的修正</w:t>
      </w:r>
      <w:bookmarkEnd w:id="33"/>
      <w:bookmarkEnd w:id="34"/>
      <w:bookmarkEnd w:id="35"/>
      <w:bookmarkEnd w:id="36"/>
      <w:bookmarkEnd w:id="37"/>
    </w:p>
    <w:p w14:paraId="17058837">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6CCA46BB">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350EEE79">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52AC64FA">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1DEC7C2F">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2762C5E7">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88E1C2B">
      <w:pPr>
        <w:rPr>
          <w:rFonts w:ascii="黑体" w:hAnsi="宋体" w:eastAsia="黑体"/>
        </w:rPr>
      </w:pPr>
      <w:r>
        <w:rPr>
          <w:rFonts w:hint="eastAsia" w:ascii="黑体" w:hAnsi="宋体" w:eastAsia="黑体"/>
        </w:rPr>
        <w:t>35．投标文件的比较与评价</w:t>
      </w:r>
    </w:p>
    <w:p w14:paraId="7592203E">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9B7ABDF">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32647305">
      <w:pPr>
        <w:rPr>
          <w:rFonts w:ascii="黑体" w:hAnsi="宋体" w:eastAsia="黑体"/>
        </w:rPr>
      </w:pPr>
      <w:r>
        <w:rPr>
          <w:rFonts w:hint="eastAsia" w:ascii="黑体" w:hAnsi="宋体" w:eastAsia="黑体"/>
        </w:rPr>
        <w:t>36. 实地考察或资料查验</w:t>
      </w:r>
    </w:p>
    <w:p w14:paraId="2CF4B7A8">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2594E23C">
      <w:pPr>
        <w:rPr>
          <w:rFonts w:ascii="黑体" w:hAnsi="宋体" w:eastAsia="黑体"/>
        </w:rPr>
      </w:pPr>
      <w:r>
        <w:rPr>
          <w:rFonts w:hint="eastAsia" w:ascii="黑体" w:hAnsi="宋体" w:eastAsia="黑体"/>
        </w:rPr>
        <w:t>37．评审方法</w:t>
      </w:r>
    </w:p>
    <w:p w14:paraId="3EF63468">
      <w:pPr>
        <w:ind w:firstLine="472" w:firstLineChars="196"/>
        <w:rPr>
          <w:rFonts w:ascii="宋体" w:hAnsi="宋体" w:eastAsia="宋体"/>
          <w:b/>
          <w:bCs/>
          <w:szCs w:val="21"/>
        </w:rPr>
      </w:pPr>
      <w:r>
        <w:rPr>
          <w:rFonts w:hint="eastAsia" w:ascii="宋体" w:hAnsi="宋体" w:eastAsia="宋体"/>
          <w:b/>
          <w:bCs/>
          <w:szCs w:val="21"/>
        </w:rPr>
        <w:t>37.1.1最低价法</w:t>
      </w:r>
    </w:p>
    <w:p w14:paraId="0DF5079E">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2829BE29">
      <w:pPr>
        <w:ind w:firstLine="472" w:firstLineChars="196"/>
        <w:rPr>
          <w:rFonts w:ascii="宋体" w:hAnsi="宋体" w:eastAsia="宋体"/>
          <w:b/>
          <w:bCs/>
          <w:szCs w:val="21"/>
        </w:rPr>
      </w:pPr>
      <w:r>
        <w:rPr>
          <w:rFonts w:hint="eastAsia" w:ascii="宋体" w:hAnsi="宋体" w:eastAsia="宋体"/>
          <w:b/>
          <w:bCs/>
          <w:szCs w:val="21"/>
        </w:rPr>
        <w:t>37.1.2综合评分法</w:t>
      </w:r>
    </w:p>
    <w:p w14:paraId="130F4005">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6DCEDB66">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30E9594D">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5C76BE3E">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6C8AD407">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D5BB249">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33DA087E">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13B658DC">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2AEE9FC5">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FCA87A6">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79A41F8D">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2043B334">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8557B21">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084861BC">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12845761">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4C8F48F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6BFC4E94">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79DB2E02">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4BE692A4">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71E604">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0754670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1AE8DA78">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8092D72">
      <w:pPr>
        <w:rPr>
          <w:rFonts w:ascii="黑体" w:hAnsi="宋体" w:eastAsia="黑体"/>
        </w:rPr>
      </w:pPr>
      <w:r>
        <w:rPr>
          <w:rFonts w:hint="eastAsia" w:ascii="黑体" w:hAnsi="宋体" w:eastAsia="黑体"/>
        </w:rPr>
        <w:t>39．编写评审报告</w:t>
      </w:r>
    </w:p>
    <w:p w14:paraId="49CE8AEC">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49F8043">
      <w:pPr>
        <w:rPr>
          <w:rFonts w:ascii="黑体" w:hAnsi="宋体" w:eastAsia="黑体"/>
        </w:rPr>
      </w:pPr>
      <w:r>
        <w:rPr>
          <w:rFonts w:hint="eastAsia" w:ascii="黑体" w:hAnsi="宋体" w:eastAsia="黑体"/>
        </w:rPr>
        <w:t>40．中标公告</w:t>
      </w:r>
    </w:p>
    <w:p w14:paraId="64AECA85">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4D2EB588">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072EBE4B">
      <w:pPr>
        <w:rPr>
          <w:rFonts w:ascii="黑体" w:hAnsi="宋体" w:eastAsia="黑体"/>
        </w:rPr>
      </w:pPr>
      <w:r>
        <w:rPr>
          <w:rFonts w:hint="eastAsia" w:ascii="黑体" w:hAnsi="宋体" w:eastAsia="黑体"/>
        </w:rPr>
        <w:t>41．中标通知书</w:t>
      </w:r>
    </w:p>
    <w:p w14:paraId="3B4D9C46">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21B4BD65">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09F1E757">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4EE1FD5">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510ED36E">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22B8E6CA">
      <w:pPr>
        <w:rPr>
          <w:rFonts w:ascii="黑体" w:hAnsi="宋体" w:eastAsia="黑体"/>
        </w:rPr>
      </w:pPr>
      <w:r>
        <w:rPr>
          <w:rFonts w:hint="eastAsia" w:ascii="黑体" w:hAnsi="宋体" w:eastAsia="黑体"/>
        </w:rPr>
        <w:t>42．公开招标失败的处理</w:t>
      </w:r>
    </w:p>
    <w:p w14:paraId="459A38B5">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60540A29">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BE0854C">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318E3EFC">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65390BF1">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78D1F8C8">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585F115B">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18E811A4">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3393AC44">
      <w:pPr>
        <w:rPr>
          <w:rFonts w:ascii="黑体" w:hAnsi="宋体" w:eastAsia="黑体"/>
        </w:rPr>
      </w:pPr>
      <w:bookmarkStart w:id="45" w:name="_Toc73521674"/>
      <w:bookmarkStart w:id="46" w:name="_Toc73517679"/>
      <w:bookmarkStart w:id="47" w:name="_Toc73518157"/>
      <w:bookmarkStart w:id="48" w:name="_Toc100052408"/>
      <w:bookmarkStart w:id="49" w:name="_Toc73521586"/>
      <w:bookmarkStart w:id="50" w:name="_Hlk72439088"/>
      <w:r>
        <w:rPr>
          <w:rFonts w:hint="eastAsia" w:ascii="黑体" w:hAnsi="宋体" w:eastAsia="黑体"/>
        </w:rPr>
        <w:t>43．合同授予标准</w:t>
      </w:r>
      <w:bookmarkEnd w:id="45"/>
      <w:bookmarkEnd w:id="46"/>
      <w:bookmarkEnd w:id="47"/>
      <w:bookmarkEnd w:id="48"/>
      <w:bookmarkEnd w:id="49"/>
    </w:p>
    <w:p w14:paraId="0D5BB61D">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1E8988F9">
      <w:pPr>
        <w:rPr>
          <w:rFonts w:ascii="黑体" w:hAnsi="宋体" w:eastAsia="黑体"/>
        </w:rPr>
      </w:pPr>
      <w:bookmarkStart w:id="51" w:name="_Toc100052409"/>
      <w:bookmarkStart w:id="52" w:name="_Toc73517680"/>
      <w:bookmarkStart w:id="53" w:name="_Toc73521587"/>
      <w:bookmarkStart w:id="54" w:name="_Toc73518158"/>
      <w:bookmarkStart w:id="55" w:name="_Toc73521675"/>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77EB5B17">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AD64527">
      <w:pPr>
        <w:rPr>
          <w:rFonts w:ascii="黑体" w:hAnsi="宋体" w:eastAsia="黑体"/>
        </w:rPr>
      </w:pPr>
      <w:bookmarkStart w:id="56" w:name="_Toc100052410"/>
      <w:bookmarkStart w:id="57" w:name="_Toc73521589"/>
      <w:bookmarkStart w:id="58" w:name="_Toc73517682"/>
      <w:bookmarkStart w:id="59" w:name="_Toc73521677"/>
      <w:bookmarkStart w:id="60" w:name="_Toc73518160"/>
      <w:r>
        <w:rPr>
          <w:rFonts w:hint="eastAsia" w:ascii="黑体" w:hAnsi="宋体" w:eastAsia="黑体"/>
        </w:rPr>
        <w:t>45．合同的签订</w:t>
      </w:r>
      <w:bookmarkEnd w:id="56"/>
      <w:bookmarkEnd w:id="57"/>
      <w:bookmarkEnd w:id="58"/>
      <w:bookmarkEnd w:id="59"/>
      <w:bookmarkEnd w:id="60"/>
    </w:p>
    <w:p w14:paraId="53E67392">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1E9F7B59">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525428AF">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147EC941">
      <w:pPr>
        <w:rPr>
          <w:rFonts w:ascii="黑体" w:hAnsi="宋体" w:eastAsia="黑体"/>
        </w:rPr>
      </w:pPr>
      <w:bookmarkStart w:id="61" w:name="_Toc73521590"/>
      <w:bookmarkStart w:id="62" w:name="_Toc100052411"/>
      <w:bookmarkStart w:id="63" w:name="_Toc73521678"/>
      <w:bookmarkStart w:id="64" w:name="_Toc73518161"/>
      <w:bookmarkStart w:id="65" w:name="_Toc73517683"/>
      <w:r>
        <w:rPr>
          <w:rFonts w:hint="eastAsia" w:ascii="黑体" w:hAnsi="宋体" w:eastAsia="黑体"/>
        </w:rPr>
        <w:t>46．履约担保</w:t>
      </w:r>
      <w:bookmarkEnd w:id="61"/>
      <w:bookmarkEnd w:id="62"/>
      <w:bookmarkEnd w:id="63"/>
      <w:bookmarkEnd w:id="64"/>
      <w:bookmarkEnd w:id="65"/>
    </w:p>
    <w:p w14:paraId="2D1A2B69">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770605C3">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740C00F5">
      <w:pPr>
        <w:rPr>
          <w:rFonts w:ascii="黑体" w:hAnsi="宋体" w:eastAsia="黑体"/>
        </w:rPr>
      </w:pPr>
      <w:r>
        <w:rPr>
          <w:rFonts w:hint="eastAsia" w:ascii="黑体" w:hAnsi="宋体" w:eastAsia="黑体"/>
        </w:rPr>
        <w:t>47. 合同备案</w:t>
      </w:r>
    </w:p>
    <w:p w14:paraId="65E8D052">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59897379">
      <w:pPr>
        <w:rPr>
          <w:rFonts w:ascii="黑体" w:hAnsi="宋体" w:eastAsia="黑体"/>
        </w:rPr>
      </w:pPr>
      <w:r>
        <w:rPr>
          <w:rFonts w:hint="eastAsia" w:ascii="黑体" w:hAnsi="宋体" w:eastAsia="黑体"/>
        </w:rPr>
        <w:t>48. 合同变更</w:t>
      </w:r>
    </w:p>
    <w:p w14:paraId="5E1D8AE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5DB2ABE5">
      <w:pPr>
        <w:rPr>
          <w:rFonts w:ascii="黑体" w:hAnsi="宋体" w:eastAsia="黑体"/>
        </w:rPr>
      </w:pPr>
      <w:r>
        <w:rPr>
          <w:rFonts w:hint="eastAsia" w:ascii="黑体" w:hAnsi="宋体" w:eastAsia="黑体"/>
        </w:rPr>
        <w:t>49. 项目验收</w:t>
      </w:r>
    </w:p>
    <w:p w14:paraId="4A09F69D">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34DFE196">
      <w:pPr>
        <w:rPr>
          <w:rFonts w:ascii="黑体" w:hAnsi="宋体" w:eastAsia="黑体"/>
        </w:rPr>
      </w:pPr>
      <w:r>
        <w:rPr>
          <w:rFonts w:hint="eastAsia" w:ascii="黑体" w:hAnsi="宋体" w:eastAsia="黑体"/>
        </w:rPr>
        <w:t>50. 宣传</w:t>
      </w:r>
    </w:p>
    <w:p w14:paraId="472948F2">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79A87605">
      <w:pPr>
        <w:ind w:left="240" w:leftChars="100" w:firstLine="470" w:firstLineChars="196"/>
        <w:rPr>
          <w:rFonts w:ascii="宋体" w:hAnsi="宋体" w:eastAsia="宋体"/>
        </w:rPr>
      </w:pPr>
      <w:r>
        <w:rPr>
          <w:rFonts w:ascii="宋体" w:hAnsi="宋体" w:eastAsia="宋体"/>
        </w:rPr>
        <w:t>a.名片、宣传册、广告标语等；</w:t>
      </w:r>
    </w:p>
    <w:p w14:paraId="6B346BA5">
      <w:pPr>
        <w:ind w:left="240" w:leftChars="100" w:firstLine="470" w:firstLineChars="196"/>
        <w:rPr>
          <w:rFonts w:ascii="宋体" w:hAnsi="宋体" w:eastAsia="宋体"/>
        </w:rPr>
      </w:pPr>
      <w:r>
        <w:rPr>
          <w:rFonts w:ascii="宋体" w:hAnsi="宋体" w:eastAsia="宋体"/>
        </w:rPr>
        <w:t>b.案例介绍、推广等；</w:t>
      </w:r>
    </w:p>
    <w:p w14:paraId="2FFF67E0">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6BE6A628">
      <w:pPr>
        <w:keepNext/>
        <w:keepLines/>
        <w:numPr>
          <w:ilvl w:val="0"/>
          <w:numId w:val="9"/>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5924672A">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33A48E6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32564413">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05A74508">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74633C49">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26D4F415">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5C6EDB4E">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488EF3DB">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7C70330">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7A843CA1">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0A747C2D">
      <w:pPr>
        <w:ind w:firstLine="480" w:firstLineChars="200"/>
        <w:rPr>
          <w:rFonts w:ascii="宋体" w:hAnsi="宋体" w:eastAsia="宋体"/>
          <w:szCs w:val="21"/>
        </w:rPr>
      </w:pPr>
      <w:r>
        <w:rPr>
          <w:rFonts w:hint="eastAsia" w:ascii="宋体" w:hAnsi="宋体" w:eastAsia="宋体"/>
          <w:szCs w:val="21"/>
        </w:rPr>
        <w:t>（2）质疑项目的名称、编号；</w:t>
      </w:r>
    </w:p>
    <w:p w14:paraId="3A8A1F9B">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3D7E1BCF">
      <w:pPr>
        <w:ind w:firstLine="480" w:firstLineChars="200"/>
        <w:rPr>
          <w:rFonts w:ascii="宋体" w:hAnsi="宋体" w:eastAsia="宋体"/>
          <w:szCs w:val="21"/>
        </w:rPr>
      </w:pPr>
      <w:r>
        <w:rPr>
          <w:rFonts w:hint="eastAsia" w:ascii="宋体" w:hAnsi="宋体" w:eastAsia="宋体"/>
          <w:szCs w:val="21"/>
        </w:rPr>
        <w:t>（4）因质疑事项而受损害的权益；</w:t>
      </w:r>
    </w:p>
    <w:p w14:paraId="6EFC00AC">
      <w:pPr>
        <w:ind w:firstLine="480" w:firstLineChars="200"/>
        <w:rPr>
          <w:rFonts w:ascii="宋体" w:hAnsi="宋体" w:eastAsia="宋体"/>
          <w:szCs w:val="21"/>
        </w:rPr>
      </w:pPr>
      <w:r>
        <w:rPr>
          <w:rFonts w:hint="eastAsia" w:ascii="宋体" w:hAnsi="宋体" w:eastAsia="宋体"/>
          <w:szCs w:val="21"/>
        </w:rPr>
        <w:t>（5）事实依据；</w:t>
      </w:r>
    </w:p>
    <w:p w14:paraId="2FEACA69">
      <w:pPr>
        <w:ind w:firstLine="480" w:firstLineChars="200"/>
        <w:rPr>
          <w:rFonts w:ascii="宋体" w:hAnsi="宋体" w:eastAsia="宋体"/>
          <w:szCs w:val="21"/>
        </w:rPr>
      </w:pPr>
      <w:r>
        <w:rPr>
          <w:rFonts w:hint="eastAsia" w:ascii="宋体" w:hAnsi="宋体" w:eastAsia="宋体"/>
          <w:szCs w:val="21"/>
        </w:rPr>
        <w:t>（6）必要的法律依据；</w:t>
      </w:r>
    </w:p>
    <w:p w14:paraId="245EEAB2">
      <w:pPr>
        <w:ind w:firstLine="480" w:firstLineChars="200"/>
        <w:rPr>
          <w:rFonts w:ascii="宋体" w:hAnsi="宋体" w:eastAsia="宋体"/>
          <w:szCs w:val="21"/>
        </w:rPr>
      </w:pPr>
      <w:r>
        <w:rPr>
          <w:rFonts w:hint="eastAsia" w:ascii="宋体" w:hAnsi="宋体" w:eastAsia="宋体"/>
          <w:szCs w:val="21"/>
        </w:rPr>
        <w:t>（7）提出质疑的日期。</w:t>
      </w:r>
    </w:p>
    <w:p w14:paraId="0211C1A6">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418D4F6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30345C74">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5E52DD7">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EE2B2A3">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2C0C5686">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喀什市公安局</w:t>
      </w:r>
      <w:r>
        <w:rPr>
          <w:rFonts w:hint="eastAsia" w:ascii="宋体" w:hAnsi="宋体" w:eastAsia="宋体"/>
          <w:b/>
          <w:bCs/>
          <w:szCs w:val="21"/>
        </w:rPr>
        <w:t>（</w:t>
      </w:r>
      <w:r>
        <w:rPr>
          <w:rFonts w:hint="eastAsia" w:ascii="宋体" w:hAnsi="宋体" w:eastAsia="宋体"/>
          <w:b/>
          <w:bCs/>
          <w:szCs w:val="21"/>
          <w:lang w:eastAsia="zh-CN"/>
        </w:rPr>
        <w:t>喀什市公安局</w:t>
      </w:r>
      <w:r>
        <w:rPr>
          <w:rFonts w:hint="eastAsia" w:ascii="宋体" w:hAnsi="宋体" w:eastAsia="宋体"/>
          <w:b/>
          <w:bCs/>
          <w:szCs w:val="21"/>
        </w:rPr>
        <w:t>），质疑咨询电话：</w:t>
      </w:r>
      <w:r>
        <w:rPr>
          <w:rFonts w:hint="eastAsia" w:ascii="宋体" w:hAnsi="宋体" w:eastAsia="宋体"/>
          <w:b/>
          <w:bCs/>
          <w:szCs w:val="21"/>
          <w:lang w:eastAsia="zh-CN"/>
        </w:rPr>
        <w:t>孙文瑞</w:t>
      </w:r>
      <w:r>
        <w:rPr>
          <w:rFonts w:hint="eastAsia" w:ascii="宋体" w:hAnsi="宋体" w:eastAsia="宋体"/>
          <w:b/>
          <w:bCs/>
          <w:szCs w:val="21"/>
        </w:rPr>
        <w:t>，</w:t>
      </w:r>
      <w:r>
        <w:rPr>
          <w:rFonts w:hint="eastAsia" w:ascii="宋体" w:hAnsi="宋体" w:eastAsia="宋体"/>
          <w:b/>
          <w:bCs/>
          <w:szCs w:val="21"/>
          <w:lang w:eastAsia="zh-CN"/>
        </w:rPr>
        <w:t>17809980209</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喀什市公安局</w:t>
      </w:r>
      <w:r>
        <w:rPr>
          <w:rFonts w:hint="eastAsia" w:ascii="宋体" w:hAnsi="宋体" w:eastAsia="宋体"/>
          <w:b/>
          <w:bCs/>
          <w:szCs w:val="21"/>
        </w:rPr>
        <w:t>，未提前电联</w:t>
      </w:r>
      <w:r>
        <w:rPr>
          <w:rFonts w:hint="eastAsia" w:ascii="宋体" w:hAnsi="宋体" w:eastAsia="宋体"/>
          <w:b/>
          <w:bCs/>
          <w:szCs w:val="21"/>
          <w:lang w:eastAsia="zh-CN"/>
        </w:rPr>
        <w:t>喀什市公安局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0D6CC19F">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774A36B9">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4844F53E">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64EED341">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08AE7DB3">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368724D2">
      <w:pPr>
        <w:ind w:firstLine="480" w:firstLineChars="200"/>
        <w:rPr>
          <w:rFonts w:ascii="宋体" w:hAnsi="宋体" w:eastAsia="宋体"/>
          <w:szCs w:val="21"/>
        </w:rPr>
      </w:pPr>
      <w:r>
        <w:rPr>
          <w:rFonts w:hint="eastAsia" w:ascii="宋体" w:hAnsi="宋体" w:eastAsia="宋体"/>
          <w:szCs w:val="21"/>
        </w:rPr>
        <w:t>（1）质疑主体不满足要求的；</w:t>
      </w:r>
    </w:p>
    <w:p w14:paraId="2F8A81B8">
      <w:pPr>
        <w:ind w:firstLine="480" w:firstLineChars="200"/>
        <w:rPr>
          <w:rFonts w:ascii="宋体" w:hAnsi="宋体" w:eastAsia="宋体"/>
          <w:szCs w:val="21"/>
        </w:rPr>
      </w:pPr>
      <w:r>
        <w:rPr>
          <w:rFonts w:hint="eastAsia" w:ascii="宋体" w:hAnsi="宋体" w:eastAsia="宋体"/>
          <w:szCs w:val="21"/>
        </w:rPr>
        <w:t>（2）供应商自身权益未受到损害的；</w:t>
      </w:r>
    </w:p>
    <w:p w14:paraId="34A00612">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11126BEF">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187F8D92">
      <w:pPr>
        <w:ind w:firstLine="480" w:firstLineChars="200"/>
        <w:rPr>
          <w:rFonts w:ascii="宋体" w:hAnsi="宋体" w:eastAsia="宋体"/>
          <w:szCs w:val="21"/>
        </w:rPr>
      </w:pPr>
      <w:r>
        <w:rPr>
          <w:rFonts w:hint="eastAsia" w:ascii="宋体" w:hAnsi="宋体" w:eastAsia="宋体"/>
          <w:szCs w:val="21"/>
        </w:rPr>
        <w:t>（5）其他不符合受理条件情形的。</w:t>
      </w:r>
    </w:p>
    <w:p w14:paraId="315ED79D">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36258BD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51949EB1">
      <w:pPr>
        <w:rPr>
          <w:rFonts w:ascii="宋体" w:hAnsi="宋体" w:eastAsia="宋体"/>
          <w:szCs w:val="21"/>
        </w:rPr>
      </w:pPr>
      <w:r>
        <w:rPr>
          <w:rFonts w:hint="eastAsia" w:ascii="宋体" w:hAnsi="宋体" w:eastAsia="宋体"/>
          <w:szCs w:val="21"/>
        </w:rPr>
        <w:t xml:space="preserve">    自收文之日起七个工作日内。</w:t>
      </w:r>
    </w:p>
    <w:p w14:paraId="5161DBE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3E57D97F">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7FC0CF74">
      <w:pPr>
        <w:rPr>
          <w:rFonts w:ascii="黑体" w:hAnsi="宋体" w:eastAsia="黑体"/>
        </w:rPr>
      </w:pPr>
      <w:r>
        <w:rPr>
          <w:rFonts w:hint="eastAsia" w:ascii="黑体" w:hAnsi="宋体" w:eastAsia="黑体"/>
        </w:rPr>
        <w:t>53. 质疑后续处理</w:t>
      </w:r>
    </w:p>
    <w:p w14:paraId="34331411">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60679797">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831664A">
      <w:pPr>
        <w:jc w:val="center"/>
        <w:rPr>
          <w:rFonts w:eastAsia="宋体"/>
        </w:rPr>
      </w:pPr>
      <w:r>
        <w:rPr>
          <w:rFonts w:eastAsia="宋体"/>
        </w:rPr>
        <w:t>---- END ----</w:t>
      </w:r>
      <w:bookmarkEnd w:id="66"/>
    </w:p>
    <w:p w14:paraId="785F31DA">
      <w:pPr>
        <w:rPr>
          <w:rFonts w:ascii="宋体" w:hAnsi="宋体" w:eastAsia="黑体"/>
          <w:b/>
          <w:bCs/>
          <w:color w:val="0000FF"/>
          <w:kern w:val="44"/>
          <w:sz w:val="36"/>
          <w:szCs w:val="44"/>
        </w:rPr>
      </w:pPr>
    </w:p>
    <w:p w14:paraId="71DE95E0"/>
    <w:p w14:paraId="36D5ED2B"/>
    <w:sectPr>
      <w:headerReference r:id="rId8" w:type="default"/>
      <w:footerReference r:id="rId9"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FFA6">
    <w:pPr>
      <w:pStyle w:val="12"/>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0F7380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BB9B">
    <w:pPr>
      <w:pStyle w:val="12"/>
      <w:rPr>
        <w:rStyle w:val="2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CE11B8D">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3708E559">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3AC1">
    <w:pPr>
      <w:pStyle w:val="12"/>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1CECB0B">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4B52">
    <w:pPr>
      <w:pStyle w:val="12"/>
      <w:rPr>
        <w:rStyle w:val="22"/>
      </w:rPr>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567CB4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920A536">
    <w:pPr>
      <w:pStyle w:val="1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122B">
    <w:pPr>
      <w:pStyle w:val="12"/>
    </w:pPr>
    <w:r>
      <w:pict>
        <v:shape id="文本框 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50AE8FB7">
                <w:pPr>
                  <w:pStyle w:val="12"/>
                </w:pPr>
                <w:r>
                  <w:fldChar w:fldCharType="begin"/>
                </w:r>
                <w:r>
                  <w:instrText xml:space="preserve"> PAGE  \* MERGEFORMAT </w:instrText>
                </w:r>
                <w:r>
                  <w:fldChar w:fldCharType="separate"/>
                </w:r>
                <w:r>
                  <w:t>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13A0">
    <w:pPr>
      <w:pStyle w:val="12"/>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59E5511">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79F3">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F3B2FA0F"/>
    <w:multiLevelType w:val="singleLevel"/>
    <w:tmpl w:val="F3B2FA0F"/>
    <w:lvl w:ilvl="0" w:tentative="0">
      <w:start w:val="7"/>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8"/>
  </w:num>
  <w:num w:numId="2">
    <w:abstractNumId w:val="7"/>
  </w:num>
  <w:num w:numId="3">
    <w:abstractNumId w:val="2"/>
  </w:num>
  <w:num w:numId="4">
    <w:abstractNumId w:val="0"/>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QzZDJkMTcwMGI3ODk5Y2RkZTJmNjEzOTc4ZDYzNmQifQ=="/>
  </w:docVars>
  <w:rsids>
    <w:rsidRoot w:val="00000000"/>
    <w:rsid w:val="00706E70"/>
    <w:rsid w:val="00B50F6D"/>
    <w:rsid w:val="00B63402"/>
    <w:rsid w:val="00C75AB3"/>
    <w:rsid w:val="01D50540"/>
    <w:rsid w:val="01F675D4"/>
    <w:rsid w:val="02194A67"/>
    <w:rsid w:val="030750A8"/>
    <w:rsid w:val="038251E4"/>
    <w:rsid w:val="041167A0"/>
    <w:rsid w:val="04A15E29"/>
    <w:rsid w:val="04AE174B"/>
    <w:rsid w:val="04CB5735"/>
    <w:rsid w:val="051B4E0A"/>
    <w:rsid w:val="062F16E4"/>
    <w:rsid w:val="064E24D1"/>
    <w:rsid w:val="06796EB7"/>
    <w:rsid w:val="06B4789B"/>
    <w:rsid w:val="07172AC5"/>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F255064"/>
    <w:rsid w:val="10425CC2"/>
    <w:rsid w:val="10666311"/>
    <w:rsid w:val="116F18EF"/>
    <w:rsid w:val="1192589F"/>
    <w:rsid w:val="12545C6B"/>
    <w:rsid w:val="139B589E"/>
    <w:rsid w:val="14524673"/>
    <w:rsid w:val="1459306E"/>
    <w:rsid w:val="161336C9"/>
    <w:rsid w:val="16C77479"/>
    <w:rsid w:val="16CE79D0"/>
    <w:rsid w:val="170C3143"/>
    <w:rsid w:val="17342A38"/>
    <w:rsid w:val="17AA1C54"/>
    <w:rsid w:val="17CA22F9"/>
    <w:rsid w:val="18AB0BAE"/>
    <w:rsid w:val="18EB58CD"/>
    <w:rsid w:val="19F06DBC"/>
    <w:rsid w:val="1A731EBA"/>
    <w:rsid w:val="1A740C56"/>
    <w:rsid w:val="1AEE53F8"/>
    <w:rsid w:val="1B0A5CD0"/>
    <w:rsid w:val="1BC6570B"/>
    <w:rsid w:val="1C413FB1"/>
    <w:rsid w:val="1CF5533A"/>
    <w:rsid w:val="1EA26DA7"/>
    <w:rsid w:val="1F126F1D"/>
    <w:rsid w:val="1F8D54FC"/>
    <w:rsid w:val="1FC748BA"/>
    <w:rsid w:val="1FD7365B"/>
    <w:rsid w:val="20596F74"/>
    <w:rsid w:val="21C4062D"/>
    <w:rsid w:val="21E611DE"/>
    <w:rsid w:val="224220C0"/>
    <w:rsid w:val="22E605A9"/>
    <w:rsid w:val="24F700FC"/>
    <w:rsid w:val="256646C4"/>
    <w:rsid w:val="258E40CB"/>
    <w:rsid w:val="25AF0B4D"/>
    <w:rsid w:val="267A507C"/>
    <w:rsid w:val="278A541F"/>
    <w:rsid w:val="296C066D"/>
    <w:rsid w:val="2A4F66B0"/>
    <w:rsid w:val="2A5155A0"/>
    <w:rsid w:val="2AF754D0"/>
    <w:rsid w:val="2B803D16"/>
    <w:rsid w:val="2BA0389E"/>
    <w:rsid w:val="2C366F69"/>
    <w:rsid w:val="2CE70D80"/>
    <w:rsid w:val="2D03704E"/>
    <w:rsid w:val="2D847558"/>
    <w:rsid w:val="2DB373C0"/>
    <w:rsid w:val="2DCC5D49"/>
    <w:rsid w:val="2E232C4C"/>
    <w:rsid w:val="2E6F5D78"/>
    <w:rsid w:val="2EC22BE8"/>
    <w:rsid w:val="2EFA653D"/>
    <w:rsid w:val="2F54082D"/>
    <w:rsid w:val="308B7B00"/>
    <w:rsid w:val="309D762D"/>
    <w:rsid w:val="30C932CB"/>
    <w:rsid w:val="311C3541"/>
    <w:rsid w:val="3137687A"/>
    <w:rsid w:val="32265D43"/>
    <w:rsid w:val="323C629C"/>
    <w:rsid w:val="32670E0E"/>
    <w:rsid w:val="32C060FB"/>
    <w:rsid w:val="333B6030"/>
    <w:rsid w:val="33524AF4"/>
    <w:rsid w:val="337C7542"/>
    <w:rsid w:val="35143E54"/>
    <w:rsid w:val="358E30D3"/>
    <w:rsid w:val="36A73E8D"/>
    <w:rsid w:val="38DA1714"/>
    <w:rsid w:val="3B01799A"/>
    <w:rsid w:val="3C795F8F"/>
    <w:rsid w:val="3CB971DE"/>
    <w:rsid w:val="3D224849"/>
    <w:rsid w:val="3D863DAC"/>
    <w:rsid w:val="3D9E261B"/>
    <w:rsid w:val="3DA7568D"/>
    <w:rsid w:val="3DCE79EC"/>
    <w:rsid w:val="3E457CCA"/>
    <w:rsid w:val="3E9A489A"/>
    <w:rsid w:val="3EF93097"/>
    <w:rsid w:val="3FBA7223"/>
    <w:rsid w:val="403C7B9C"/>
    <w:rsid w:val="40831298"/>
    <w:rsid w:val="40A317DF"/>
    <w:rsid w:val="41C7263B"/>
    <w:rsid w:val="429750D7"/>
    <w:rsid w:val="43951802"/>
    <w:rsid w:val="43FF0431"/>
    <w:rsid w:val="441F4958"/>
    <w:rsid w:val="4422077D"/>
    <w:rsid w:val="459310B3"/>
    <w:rsid w:val="49A322FA"/>
    <w:rsid w:val="4A29520E"/>
    <w:rsid w:val="4B2D0A8B"/>
    <w:rsid w:val="4B3176DC"/>
    <w:rsid w:val="4B8E7058"/>
    <w:rsid w:val="4BEC2AF5"/>
    <w:rsid w:val="4D2C2FDF"/>
    <w:rsid w:val="4D6B7D2D"/>
    <w:rsid w:val="4DF43159"/>
    <w:rsid w:val="4ED24C7F"/>
    <w:rsid w:val="4F19287C"/>
    <w:rsid w:val="4F501050"/>
    <w:rsid w:val="5043767F"/>
    <w:rsid w:val="50666AAF"/>
    <w:rsid w:val="50EB470D"/>
    <w:rsid w:val="51680854"/>
    <w:rsid w:val="51B44C64"/>
    <w:rsid w:val="51F0678B"/>
    <w:rsid w:val="52222C20"/>
    <w:rsid w:val="53367546"/>
    <w:rsid w:val="53B933D7"/>
    <w:rsid w:val="546B5413"/>
    <w:rsid w:val="55A933BA"/>
    <w:rsid w:val="56606BE9"/>
    <w:rsid w:val="56A70E94"/>
    <w:rsid w:val="56AC329E"/>
    <w:rsid w:val="56EB5A6D"/>
    <w:rsid w:val="57B8283C"/>
    <w:rsid w:val="59C818E0"/>
    <w:rsid w:val="59D2767F"/>
    <w:rsid w:val="5B005FB6"/>
    <w:rsid w:val="5B466A7D"/>
    <w:rsid w:val="5B4E180B"/>
    <w:rsid w:val="5C317BC6"/>
    <w:rsid w:val="5C5A72CB"/>
    <w:rsid w:val="5C707BAC"/>
    <w:rsid w:val="5C911386"/>
    <w:rsid w:val="5DE1267B"/>
    <w:rsid w:val="5E722706"/>
    <w:rsid w:val="5EFE6F1B"/>
    <w:rsid w:val="5F6D4019"/>
    <w:rsid w:val="604E7BD7"/>
    <w:rsid w:val="6112642F"/>
    <w:rsid w:val="62003A97"/>
    <w:rsid w:val="634940F0"/>
    <w:rsid w:val="63BE0BF0"/>
    <w:rsid w:val="643D1580"/>
    <w:rsid w:val="643E619F"/>
    <w:rsid w:val="64763454"/>
    <w:rsid w:val="65173D2C"/>
    <w:rsid w:val="652B4692"/>
    <w:rsid w:val="653B3E1C"/>
    <w:rsid w:val="6594282D"/>
    <w:rsid w:val="659922CD"/>
    <w:rsid w:val="667E116E"/>
    <w:rsid w:val="66A46A20"/>
    <w:rsid w:val="66EA4DB3"/>
    <w:rsid w:val="67283F04"/>
    <w:rsid w:val="673F14F0"/>
    <w:rsid w:val="677A03A2"/>
    <w:rsid w:val="677F7E04"/>
    <w:rsid w:val="68653FE4"/>
    <w:rsid w:val="68A76B92"/>
    <w:rsid w:val="68DC1286"/>
    <w:rsid w:val="69A725C4"/>
    <w:rsid w:val="6A032432"/>
    <w:rsid w:val="6AA16C7F"/>
    <w:rsid w:val="6BF502A5"/>
    <w:rsid w:val="6F421E56"/>
    <w:rsid w:val="705F4544"/>
    <w:rsid w:val="70633668"/>
    <w:rsid w:val="706C7AA2"/>
    <w:rsid w:val="707873B4"/>
    <w:rsid w:val="708B1138"/>
    <w:rsid w:val="709E5C3E"/>
    <w:rsid w:val="720A7EAD"/>
    <w:rsid w:val="72476B05"/>
    <w:rsid w:val="74421070"/>
    <w:rsid w:val="7464773E"/>
    <w:rsid w:val="74EE29CE"/>
    <w:rsid w:val="74F51ED1"/>
    <w:rsid w:val="752776A3"/>
    <w:rsid w:val="762C4BB0"/>
    <w:rsid w:val="76B87EA5"/>
    <w:rsid w:val="779C18C8"/>
    <w:rsid w:val="781669EC"/>
    <w:rsid w:val="79D35B29"/>
    <w:rsid w:val="7A551BD0"/>
    <w:rsid w:val="7AC54225"/>
    <w:rsid w:val="7CBF6D37"/>
    <w:rsid w:val="7DAC456F"/>
    <w:rsid w:val="7E24403B"/>
    <w:rsid w:val="7E511B88"/>
    <w:rsid w:val="7EA56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jc w:val="left"/>
    </w:pPr>
    <w:rPr>
      <w:sz w:val="18"/>
    </w:r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9">
    <w:name w:val="Body Text First Indent 2"/>
    <w:basedOn w:val="9"/>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autoRedefine/>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autoRedefine/>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autoRedefine/>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112"/>
    <w:basedOn w:val="21"/>
    <w:qFormat/>
    <w:uiPriority w:val="0"/>
    <w:rPr>
      <w:rFonts w:hint="eastAsia" w:ascii="宋体" w:hAnsi="宋体" w:eastAsia="宋体" w:cs="宋体"/>
      <w:b/>
      <w:bCs/>
      <w:color w:val="000000"/>
      <w:sz w:val="22"/>
      <w:szCs w:val="22"/>
      <w:u w:val="none"/>
    </w:rPr>
  </w:style>
  <w:style w:type="character" w:customStyle="1" w:styleId="52">
    <w:name w:val="font122"/>
    <w:basedOn w:val="21"/>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1" textRotate="1"/>
    <customShpInfo spid="_x0000_s4100" textRotate="1"/>
    <customShpInfo spid="_x0000_s4098" textRotate="1"/>
    <customShpInfo spid="_x0000_s4097"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82</Pages>
  <Words>6341</Words>
  <Characters>6782</Characters>
  <Lines>1</Lines>
  <Paragraphs>1</Paragraphs>
  <TotalTime>43</TotalTime>
  <ScaleCrop>false</ScaleCrop>
  <LinksUpToDate>false</LinksUpToDate>
  <CharactersWithSpaces>6930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Administrator</cp:lastModifiedBy>
  <cp:lastPrinted>2022-06-01T04:47:00Z</cp:lastPrinted>
  <dcterms:modified xsi:type="dcterms:W3CDTF">2025-01-03T03:06:54Z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935660C978D94C32BF724DB1FCB36441_12</vt:lpwstr>
  </property>
  <property fmtid="{D5CDD505-2E9C-101B-9397-08002B2CF9AE}" pid="4" name="KSOTemplateDocerSaveRecord">
    <vt:lpwstr>eyJoZGlkIjoiYWQzZDJkMTcwMGI3ODk5Y2RkZTJmNjEzOTc4ZDYzNmQifQ==</vt:lpwstr>
  </property>
</Properties>
</file>