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DBA5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rPr>
      </w:pPr>
      <w:r>
        <w:rPr>
          <w:rFonts w:hint="eastAsia"/>
          <w:b/>
          <w:sz w:val="28"/>
        </w:rPr>
        <w:t>招标工程量清单编制说明</w:t>
      </w:r>
    </w:p>
    <w:p w14:paraId="7B7B9AB8">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（一）工程概况：</w:t>
      </w:r>
    </w:p>
    <w:p w14:paraId="6183DB2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1、工程名称：伽师县江巴孜乡萨热依塔木（5）村产业配套项目（二次）</w:t>
      </w:r>
    </w:p>
    <w:p w14:paraId="61AFE3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2、工程地点：江巴孜乡萨热依塔木 ( 5 ) 村</w:t>
      </w:r>
    </w:p>
    <w:p w14:paraId="1F8F1B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lang w:val="en-US" w:eastAsia="zh-CN"/>
        </w:rPr>
      </w:pPr>
      <w:r>
        <w:rPr>
          <w:rFonts w:hint="eastAsia" w:asciiTheme="minorEastAsia" w:hAnsiTheme="minorEastAsia"/>
          <w:sz w:val="24"/>
          <w:szCs w:val="24"/>
        </w:rPr>
        <w:t>3、建设</w:t>
      </w:r>
      <w:r>
        <w:rPr>
          <w:rFonts w:hint="eastAsia" w:asciiTheme="minorEastAsia" w:hAnsiTheme="minorEastAsia"/>
          <w:sz w:val="24"/>
          <w:szCs w:val="24"/>
          <w:lang w:val="en-US" w:eastAsia="zh-CN"/>
        </w:rPr>
        <w:t>单位：伽师县江巴孜乡人民政府</w:t>
      </w:r>
    </w:p>
    <w:p w14:paraId="354E92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lang w:val="en-US" w:eastAsia="zh-CN"/>
        </w:rPr>
      </w:pPr>
      <w:r>
        <w:rPr>
          <w:rFonts w:hint="eastAsia" w:asciiTheme="minorEastAsia" w:hAnsiTheme="minorEastAsia"/>
          <w:sz w:val="24"/>
          <w:szCs w:val="24"/>
        </w:rPr>
        <w:t>4、</w:t>
      </w:r>
      <w:r>
        <w:rPr>
          <w:rFonts w:hint="eastAsia" w:asciiTheme="minorEastAsia" w:hAnsiTheme="minorEastAsia"/>
          <w:sz w:val="24"/>
          <w:szCs w:val="24"/>
          <w:lang w:val="en-US" w:eastAsia="zh-CN"/>
        </w:rPr>
        <w:t>设计单位：新疆苏齐农业节水规划设计研究院有限公司</w:t>
      </w:r>
    </w:p>
    <w:p w14:paraId="1F2AE5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5、主要招标内容：工程规模 V等为小(2)型，渠道级别应为5级， 主要建筑物级别为5级 ，次要建筑物级别为5级，设计流量 0.5m³/s-0.3m³/s。 新建防渗渠道5.01 公里及渠系建 筑物 44座等附属配套设施，渠道采用装配式矩形断面，全断面采用 5C35F250W6预制钢筋砼矩形槽。</w:t>
      </w:r>
    </w:p>
    <w:p w14:paraId="67B364BD">
      <w:pPr>
        <w:pStyle w:val="6"/>
        <w:keepNext w:val="0"/>
        <w:keepLines w:val="0"/>
        <w:widowControl/>
        <w:suppressLineNumbers w:val="0"/>
        <w:wordWrap w:val="0"/>
        <w:spacing w:before="60" w:beforeAutospacing="0" w:after="0" w:afterAutospacing="0" w:line="240" w:lineRule="auto"/>
        <w:ind w:right="0"/>
        <w:jc w:val="left"/>
        <w:rPr>
          <w:rFonts w:hint="eastAsia"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（二）、编制依据</w:t>
      </w:r>
      <w:bookmarkStart w:id="0" w:name="_GoBack"/>
      <w:bookmarkEnd w:id="0"/>
    </w:p>
    <w:p w14:paraId="0AEF08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1.建设单位提供的</w:t>
      </w:r>
      <w:r>
        <w:rPr>
          <w:rFonts w:hint="eastAsia" w:asciiTheme="minorEastAsia" w:hAnsiTheme="minorEastAsia"/>
          <w:sz w:val="24"/>
          <w:szCs w:val="24"/>
          <w:lang w:val="en-US" w:eastAsia="zh-CN"/>
        </w:rPr>
        <w:t>伽师县江巴孜乡萨热依塔木（5）村产业配套项目</w:t>
      </w:r>
      <w:r>
        <w:rPr>
          <w:rFonts w:hint="eastAsia" w:asciiTheme="minorEastAsia" w:hAnsiTheme="minorEastAsia"/>
          <w:sz w:val="24"/>
          <w:szCs w:val="24"/>
        </w:rPr>
        <w:t>设计文件。</w:t>
      </w:r>
    </w:p>
    <w:p w14:paraId="5FF149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2.国家、行业和地方政府的法律、法规及有关规定。</w:t>
      </w:r>
    </w:p>
    <w:p w14:paraId="3F7145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3.现行国家标准《水利工程工程量清单计价规范》（GB50501-2007）。</w:t>
      </w:r>
    </w:p>
    <w:p w14:paraId="60515E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lang w:eastAsia="zh-CN"/>
        </w:rPr>
      </w:pPr>
      <w:r>
        <w:rPr>
          <w:rFonts w:hint="eastAsia" w:asciiTheme="minorEastAsia" w:hAnsiTheme="minorEastAsia"/>
          <w:sz w:val="24"/>
          <w:szCs w:val="24"/>
        </w:rPr>
        <w:t>4.国家、行业和地方建设主管部门颁发的计价定额和计价办法</w:t>
      </w:r>
      <w:r>
        <w:rPr>
          <w:rFonts w:hint="eastAsia" w:asciiTheme="minorEastAsia" w:hAnsiTheme="minorEastAsia"/>
          <w:sz w:val="24"/>
          <w:szCs w:val="24"/>
          <w:lang w:eastAsia="zh-CN"/>
        </w:rPr>
        <w:t>。</w:t>
      </w:r>
    </w:p>
    <w:p w14:paraId="382DDB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5.工程规模依据设计划分为</w:t>
      </w:r>
      <w:r>
        <w:rPr>
          <w:rFonts w:hint="eastAsia" w:asciiTheme="minorEastAsia" w:hAnsiTheme="minorEastAsia"/>
          <w:sz w:val="24"/>
          <w:szCs w:val="24"/>
          <w:lang w:eastAsia="zh-CN"/>
        </w:rPr>
        <w:t>河道</w:t>
      </w:r>
      <w:r>
        <w:rPr>
          <w:rFonts w:hint="eastAsia" w:asciiTheme="minorEastAsia" w:hAnsiTheme="minorEastAsia"/>
          <w:sz w:val="24"/>
          <w:szCs w:val="24"/>
        </w:rPr>
        <w:t>工程。</w:t>
      </w:r>
    </w:p>
    <w:p w14:paraId="088B8C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6.本工程依据水总[2014]429号文《水利工程设计概（估）算编制规定》、《水利建筑工程预算定额》、《新疆水利水电工程补充预算定额》、《水利工程施工机械台时费定额》、及办水总[2016]132号文水利部办公厅关于印发《水利工程营业税改征增值税计价依据调整办法》</w:t>
      </w:r>
      <w:r>
        <w:rPr>
          <w:rFonts w:hint="eastAsia" w:asciiTheme="minorEastAsia" w:hAnsiTheme="minorEastAsia"/>
          <w:sz w:val="24"/>
          <w:szCs w:val="24"/>
          <w:lang w:eastAsia="zh-CN"/>
        </w:rPr>
        <w:t>。</w:t>
      </w:r>
    </w:p>
    <w:p w14:paraId="17E84D3B">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7.运杂费、装卸费执行新交造价[2008]2号《关于发布新疆公路估算概算预算编制补充规定的通知》</w:t>
      </w:r>
      <w:r>
        <w:rPr>
          <w:rFonts w:hint="eastAsia" w:asciiTheme="minorEastAsia" w:hAnsiTheme="minorEastAsia"/>
          <w:sz w:val="24"/>
          <w:szCs w:val="24"/>
          <w:lang w:eastAsia="zh-CN"/>
        </w:rPr>
        <w:t>。</w:t>
      </w:r>
      <w:r>
        <w:rPr>
          <w:rFonts w:asciiTheme="minorEastAsia" w:hAnsiTheme="minorEastAsia"/>
          <w:sz w:val="24"/>
          <w:szCs w:val="24"/>
        </w:rPr>
        <w:t xml:space="preserve"> </w:t>
      </w:r>
    </w:p>
    <w:p w14:paraId="168711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8.机械台班费执行水利部水总[2002]116号文颁《水利工程施工机械台时费定额》</w:t>
      </w:r>
      <w:r>
        <w:rPr>
          <w:rFonts w:hint="eastAsia" w:asciiTheme="minorEastAsia" w:hAnsiTheme="minorEastAsia"/>
          <w:sz w:val="24"/>
          <w:szCs w:val="24"/>
          <w:lang w:eastAsia="zh-CN"/>
        </w:rPr>
        <w:t>。</w:t>
      </w:r>
      <w:r>
        <w:rPr>
          <w:rFonts w:hint="eastAsia" w:asciiTheme="minorEastAsia" w:hAnsiTheme="minorEastAsia"/>
          <w:sz w:val="24"/>
          <w:szCs w:val="24"/>
        </w:rPr>
        <w:t xml:space="preserve">                </w:t>
      </w:r>
    </w:p>
    <w:p w14:paraId="3CDD1020">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9.根据水利办公厅办财务函【2019】448号文调整费率及税率</w:t>
      </w:r>
      <w:r>
        <w:rPr>
          <w:rFonts w:hint="eastAsia" w:asciiTheme="minorEastAsia" w:hAnsiTheme="minorEastAsia"/>
          <w:sz w:val="24"/>
          <w:szCs w:val="24"/>
          <w:lang w:eastAsia="zh-CN"/>
        </w:rPr>
        <w:t>。</w:t>
      </w:r>
      <w:r>
        <w:rPr>
          <w:rFonts w:hint="eastAsia" w:asciiTheme="minorEastAsia" w:hAnsiTheme="minorEastAsia"/>
          <w:sz w:val="24"/>
          <w:szCs w:val="24"/>
        </w:rPr>
        <w:t xml:space="preserve"> </w:t>
      </w:r>
    </w:p>
    <w:p w14:paraId="3A00D665">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（三）、其他说明事项</w:t>
      </w:r>
    </w:p>
    <w:p w14:paraId="76248953">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1、一般说明</w:t>
      </w:r>
    </w:p>
    <w:p w14:paraId="45AEEEB5">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（1）、施工现场情况：以现场踏勘情况为准。</w:t>
      </w:r>
    </w:p>
    <w:p w14:paraId="7DE052F9">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（2）、交通运输情况：以现场踏勘情况为准。</w:t>
      </w:r>
    </w:p>
    <w:p w14:paraId="5978BD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（3）、自然地理条件：</w:t>
      </w:r>
      <w:r>
        <w:rPr>
          <w:rFonts w:hint="eastAsia" w:asciiTheme="minorEastAsia" w:hAnsiTheme="minorEastAsia"/>
          <w:sz w:val="24"/>
          <w:szCs w:val="24"/>
          <w:lang w:val="en-US" w:eastAsia="zh-CN"/>
        </w:rPr>
        <w:t>项目区位于江巴孜乡境内，江巴孜乡位于伽师县西南部，东与塔克拉玛干戈壁相接，南与克孜勒博依乡相连，西与夏普吐勒镇毗邻，北与巴仁镇和英买里乡接壤，距伽师县城6km，区域总面积262.43k㎡。项目区至县城中心平均距离12km，距离喀什市70km，工程沿线均有乡村柏油路，乡村与乡、县之间有柏油路相通，对外交通良好。</w:t>
      </w:r>
    </w:p>
    <w:p w14:paraId="76B503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（4）、环境保护要求：满足省、市及当地政府对环境保护的相关要求和规定。</w:t>
      </w:r>
    </w:p>
    <w:p w14:paraId="4D593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5</w:t>
      </w:r>
      <w:r>
        <w:rPr>
          <w:rFonts w:hint="eastAsia" w:asciiTheme="minorEastAsia" w:hAnsiTheme="minorEastAsia"/>
          <w:sz w:val="24"/>
          <w:szCs w:val="24"/>
          <w:lang w:eastAsia="zh-CN"/>
        </w:rPr>
        <w:t>）、材料基价：柴油</w:t>
      </w:r>
      <w:r>
        <w:rPr>
          <w:rFonts w:hint="eastAsia" w:asciiTheme="minorEastAsia" w:hAnsiTheme="minorEastAsia"/>
          <w:sz w:val="24"/>
          <w:szCs w:val="24"/>
          <w:lang w:val="en-US" w:eastAsia="zh-CN"/>
        </w:rPr>
        <w:t>2990元/t，汽油3075元/t，钢筋：2560元/t，水泥255元/t，砂石骨料70元/m3。</w:t>
      </w:r>
    </w:p>
    <w:p w14:paraId="7F55B6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rPr>
      </w:pPr>
      <w:r>
        <w:rPr>
          <w:rFonts w:hint="eastAsia" w:asciiTheme="minorEastAsia" w:hAnsiTheme="minorEastAsia"/>
          <w:sz w:val="24"/>
          <w:szCs w:val="24"/>
        </w:rPr>
        <w:t>2、特殊说明</w:t>
      </w:r>
    </w:p>
    <w:p w14:paraId="08D805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lang w:eastAsia="zh-CN"/>
        </w:rPr>
      </w:pPr>
      <w:r>
        <w:rPr>
          <w:rFonts w:hint="eastAsia" w:asciiTheme="minorEastAsia" w:hAnsiTheme="minorEastAsia"/>
          <w:sz w:val="24"/>
          <w:szCs w:val="24"/>
        </w:rPr>
        <w:t>（1）、工程量清单应与招标文件中的投标人须知、通用合同条款、专用合同条款、技术标准和要求（合同技术条款）、图纸及《水利工程工程量清单计价规范》（GB50501-2007）等一起阅读和理解</w:t>
      </w:r>
      <w:r>
        <w:rPr>
          <w:rFonts w:hint="eastAsia" w:asciiTheme="minorEastAsia" w:hAnsiTheme="minorEastAsia"/>
          <w:sz w:val="24"/>
          <w:szCs w:val="24"/>
          <w:lang w:eastAsia="zh-CN"/>
        </w:rPr>
        <w:t>。</w:t>
      </w:r>
    </w:p>
    <w:p w14:paraId="4D2CC6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（2）工程量清单仅是投标人投标报价的共同基础。除另有约定外，工程量清单中的工程量是根据招标设计图纸按《水利工程工程量清单计价规范》（GB50501-20</w:t>
      </w:r>
      <w:r>
        <w:rPr>
          <w:rFonts w:hint="eastAsia" w:asciiTheme="minorEastAsia" w:hAnsiTheme="minorEastAsia"/>
          <w:sz w:val="24"/>
          <w:szCs w:val="24"/>
          <w:lang w:val="en-US" w:eastAsia="zh-CN"/>
        </w:rPr>
        <w:t>0</w:t>
      </w:r>
      <w:r>
        <w:rPr>
          <w:rFonts w:hint="eastAsia" w:asciiTheme="minorEastAsia" w:hAnsiTheme="minorEastAsia"/>
          <w:sz w:val="24"/>
          <w:szCs w:val="24"/>
        </w:rPr>
        <w:t>7）计算规则计算的用于投标报价的估算工程量，不作为最终结算工程量。最终结算工程量是承包人实际完成并符合技术标准和要求（合同技术条款）和《水利工程工程量清单计价规范》（GB50501-20</w:t>
      </w:r>
      <w:r>
        <w:rPr>
          <w:rFonts w:hint="eastAsia" w:asciiTheme="minorEastAsia" w:hAnsiTheme="minorEastAsia"/>
          <w:sz w:val="24"/>
          <w:szCs w:val="24"/>
          <w:lang w:val="en-US" w:eastAsia="zh-CN"/>
        </w:rPr>
        <w:t>0</w:t>
      </w:r>
      <w:r>
        <w:rPr>
          <w:rFonts w:hint="eastAsia" w:asciiTheme="minorEastAsia" w:hAnsiTheme="minorEastAsia"/>
          <w:sz w:val="24"/>
          <w:szCs w:val="24"/>
        </w:rPr>
        <w:t>7）计算规则等规定，按施工图纸计算的有效工程量</w:t>
      </w:r>
      <w:r>
        <w:rPr>
          <w:rFonts w:hint="eastAsia" w:asciiTheme="minorEastAsia" w:hAnsiTheme="minorEastAsia"/>
          <w:sz w:val="24"/>
          <w:szCs w:val="24"/>
          <w:lang w:eastAsia="zh-CN"/>
        </w:rPr>
        <w:t>。</w:t>
      </w:r>
    </w:p>
    <w:p w14:paraId="6C4416E2">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sz w:val="24"/>
          <w:szCs w:val="24"/>
        </w:rPr>
      </w:pPr>
      <w:r>
        <w:rPr>
          <w:rFonts w:hint="eastAsia" w:asciiTheme="minorEastAsia" w:hAnsiTheme="minorEastAsia"/>
          <w:sz w:val="24"/>
          <w:szCs w:val="24"/>
        </w:rPr>
        <w:t>（3）工程量清单中各项目的工作内容和要求应符合相关技术标准和要求（合同技术条款）以及《水利工程工程量清单计价规范》（GB50501-20</w:t>
      </w:r>
      <w:r>
        <w:rPr>
          <w:rFonts w:hint="eastAsia" w:asciiTheme="minorEastAsia" w:hAnsiTheme="minorEastAsia"/>
          <w:sz w:val="24"/>
          <w:szCs w:val="24"/>
          <w:lang w:val="en-US" w:eastAsia="zh-CN"/>
        </w:rPr>
        <w:t>0</w:t>
      </w:r>
      <w:r>
        <w:rPr>
          <w:rFonts w:hint="eastAsia" w:asciiTheme="minorEastAsia" w:hAnsiTheme="minorEastAsia"/>
          <w:sz w:val="24"/>
          <w:szCs w:val="24"/>
        </w:rPr>
        <w:t>7）的规定；</w:t>
      </w:r>
    </w:p>
    <w:p w14:paraId="19CD22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4）工程量清单与计价表中列明的所有项目必须填写单价和合价，未填写单价和合价的项目，视为此项费用已包含在已标价工程量清单中其他项目的单价和合价之中。对于各单项工程中相同的清单子目，投标人均应填写且只允许有一个报价，竣工结算时，如有差异，按最低一个报价进行结算</w:t>
      </w:r>
      <w:r>
        <w:rPr>
          <w:rFonts w:hint="eastAsia" w:asciiTheme="minorEastAsia" w:hAnsiTheme="minorEastAsia"/>
          <w:sz w:val="24"/>
          <w:szCs w:val="24"/>
          <w:lang w:eastAsia="zh-CN"/>
        </w:rPr>
        <w:t>。</w:t>
      </w:r>
    </w:p>
    <w:p w14:paraId="562BB0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sz w:val="24"/>
          <w:szCs w:val="24"/>
          <w:lang w:eastAsia="zh-CN"/>
        </w:rPr>
      </w:pPr>
      <w:r>
        <w:rPr>
          <w:rFonts w:hint="eastAsia" w:asciiTheme="minorEastAsia" w:hAnsiTheme="minorEastAsia"/>
          <w:sz w:val="24"/>
          <w:szCs w:val="24"/>
        </w:rPr>
        <w:t>（5）、工程量清单及其计价格式中的任何内容不得随意删除或涂改，若有错误，在招标答疑时提出，以“补遗”资料为准</w:t>
      </w:r>
      <w:r>
        <w:rPr>
          <w:rFonts w:hint="eastAsia" w:asciiTheme="minorEastAsia" w:hAnsiTheme="minorEastAsia"/>
          <w:sz w:val="24"/>
          <w:szCs w:val="24"/>
          <w:lang w:eastAsia="zh-CN"/>
        </w:rPr>
        <w:t>。</w:t>
      </w:r>
    </w:p>
    <w:p w14:paraId="440CE4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6）、分部分项工程量清单中对工程项目的项目特征及具体做法只重点描述，详细情况见施工图设计、技术说明、地方政策法规及相关标准图集。组价时投标人应结合实际及现场勘查情况包括完成所有工序，工作内容并满足相关验收的全部费用</w:t>
      </w:r>
      <w:r>
        <w:rPr>
          <w:rFonts w:hint="eastAsia" w:asciiTheme="minorEastAsia" w:hAnsiTheme="minorEastAsia"/>
          <w:sz w:val="24"/>
          <w:szCs w:val="24"/>
          <w:lang w:eastAsia="zh-CN"/>
        </w:rPr>
        <w:t>。</w:t>
      </w:r>
    </w:p>
    <w:p w14:paraId="377770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（7）、</w:t>
      </w:r>
      <w:r>
        <w:rPr>
          <w:rFonts w:hint="eastAsia" w:asciiTheme="minorEastAsia" w:hAnsiTheme="minorEastAsia"/>
          <w:color w:val="000000" w:themeColor="text1"/>
          <w:sz w:val="24"/>
          <w:szCs w:val="24"/>
          <w:lang w:val="en-US" w:eastAsia="zh-CN"/>
          <w14:textFill>
            <w14:solidFill>
              <w14:schemeClr w14:val="tx1"/>
            </w14:solidFill>
          </w14:textFill>
        </w:rPr>
        <w:t>本工程按海拔2000m以下考虑，</w:t>
      </w:r>
      <w:r>
        <w:rPr>
          <w:rFonts w:hint="eastAsia" w:asciiTheme="minorEastAsia" w:hAnsiTheme="minorEastAsia"/>
          <w:color w:val="000000" w:themeColor="text1"/>
          <w:sz w:val="24"/>
          <w:szCs w:val="24"/>
          <w14:textFill>
            <w14:solidFill>
              <w14:schemeClr w14:val="tx1"/>
            </w14:solidFill>
          </w14:textFill>
        </w:rPr>
        <w:t>投标人应充分考虑施工现场周边的实际情况对施工影响，编制施工方案，并做出报价</w:t>
      </w:r>
      <w:r>
        <w:rPr>
          <w:rFonts w:hint="eastAsia" w:asciiTheme="minorEastAsia" w:hAnsiTheme="minorEastAsia"/>
          <w:color w:val="000000" w:themeColor="text1"/>
          <w:sz w:val="24"/>
          <w:szCs w:val="24"/>
          <w:lang w:eastAsia="zh-CN"/>
          <w14:textFill>
            <w14:solidFill>
              <w14:schemeClr w14:val="tx1"/>
            </w14:solidFill>
          </w14:textFill>
        </w:rPr>
        <w:t>。</w:t>
      </w:r>
    </w:p>
    <w:p w14:paraId="0AE59B4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color w:val="000000" w:themeColor="text1"/>
          <w:sz w:val="24"/>
          <w:szCs w:val="24"/>
          <w:lang w:val="en-US"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（8）、招标人提出的措施项目清单是根据一般情况确定的，</w:t>
      </w:r>
      <w:r>
        <w:rPr>
          <w:rFonts w:hint="eastAsia" w:asciiTheme="minorEastAsia" w:hAnsiTheme="minorEastAsia"/>
          <w:color w:val="000000" w:themeColor="text1"/>
          <w:sz w:val="24"/>
          <w:szCs w:val="24"/>
          <w:lang w:val="en-US" w:eastAsia="zh-CN"/>
          <w14:textFill>
            <w14:solidFill>
              <w14:schemeClr w14:val="tx1"/>
            </w14:solidFill>
          </w14:textFill>
        </w:rPr>
        <w:t>除安全生产措施费外，其余措施项按实际发生结算。</w:t>
      </w:r>
    </w:p>
    <w:p w14:paraId="39EF29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9</w:t>
      </w:r>
      <w:r>
        <w:rPr>
          <w:rFonts w:hint="eastAsia" w:asciiTheme="minorEastAsia" w:hAnsiTheme="minorEastAsia"/>
          <w:color w:val="000000" w:themeColor="text1"/>
          <w:sz w:val="24"/>
          <w:szCs w:val="24"/>
          <w14:textFill>
            <w14:solidFill>
              <w14:schemeClr w14:val="tx1"/>
            </w14:solidFill>
          </w14:textFill>
        </w:rPr>
        <w:t>）、本工程</w:t>
      </w:r>
      <w:r>
        <w:rPr>
          <w:rFonts w:hint="eastAsia" w:asciiTheme="minorEastAsia" w:hAnsiTheme="minorEastAsia"/>
          <w:color w:val="000000" w:themeColor="text1"/>
          <w:sz w:val="24"/>
          <w:szCs w:val="24"/>
          <w:lang w:eastAsia="zh-CN"/>
          <w14:textFill>
            <w14:solidFill>
              <w14:schemeClr w14:val="tx1"/>
            </w14:solidFill>
          </w14:textFill>
        </w:rPr>
        <w:t>预留</w:t>
      </w:r>
      <w:r>
        <w:rPr>
          <w:rFonts w:hint="eastAsia" w:asciiTheme="minorEastAsia" w:hAnsiTheme="minorEastAsia"/>
          <w:color w:val="000000" w:themeColor="text1"/>
          <w:sz w:val="24"/>
          <w:szCs w:val="24"/>
          <w14:textFill>
            <w14:solidFill>
              <w14:schemeClr w14:val="tx1"/>
            </w14:solidFill>
          </w14:textFill>
        </w:rPr>
        <w:t>金</w:t>
      </w:r>
      <w:r>
        <w:rPr>
          <w:rFonts w:hint="eastAsia" w:asciiTheme="minorEastAsia" w:hAnsiTheme="minorEastAsia"/>
          <w:color w:val="000000" w:themeColor="text1"/>
          <w:sz w:val="24"/>
          <w:szCs w:val="24"/>
          <w:lang w:val="en-US" w:eastAsia="zh-CN"/>
          <w14:textFill>
            <w14:solidFill>
              <w14:schemeClr w14:val="tx1"/>
            </w14:solidFill>
          </w14:textFill>
        </w:rPr>
        <w:t xml:space="preserve"> 100000</w:t>
      </w:r>
      <w:r>
        <w:rPr>
          <w:rFonts w:hint="eastAsia" w:asciiTheme="minorEastAsia" w:hAnsiTheme="minorEastAsia"/>
          <w:color w:val="000000" w:themeColor="text1"/>
          <w:sz w:val="24"/>
          <w:szCs w:val="24"/>
          <w14:textFill>
            <w14:solidFill>
              <w14:schemeClr w14:val="tx1"/>
            </w14:solidFill>
          </w14:textFill>
        </w:rPr>
        <w:t>元</w:t>
      </w:r>
      <w:r>
        <w:rPr>
          <w:rFonts w:hint="eastAsia" w:asciiTheme="minorEastAsia" w:hAnsiTheme="minorEastAsia"/>
          <w:color w:val="000000" w:themeColor="text1"/>
          <w:sz w:val="24"/>
          <w:szCs w:val="24"/>
          <w:lang w:eastAsia="zh-CN"/>
          <w14:textFill>
            <w14:solidFill>
              <w14:schemeClr w14:val="tx1"/>
            </w14:solidFill>
          </w14:textFill>
        </w:rPr>
        <w:t>（大写：</w:t>
      </w:r>
      <w:r>
        <w:rPr>
          <w:rFonts w:hint="eastAsia" w:asciiTheme="minorEastAsia" w:hAnsiTheme="minorEastAsia"/>
          <w:color w:val="000000" w:themeColor="text1"/>
          <w:sz w:val="24"/>
          <w:szCs w:val="24"/>
          <w:lang w:val="en-US" w:eastAsia="zh-CN"/>
          <w14:textFill>
            <w14:solidFill>
              <w14:schemeClr w14:val="tx1"/>
            </w14:solidFill>
          </w14:textFill>
        </w:rPr>
        <w:t>壹拾万</w:t>
      </w:r>
      <w:r>
        <w:rPr>
          <w:rFonts w:hint="eastAsia" w:asciiTheme="minorEastAsia" w:hAnsiTheme="minorEastAsia"/>
          <w:color w:val="000000" w:themeColor="text1"/>
          <w:sz w:val="24"/>
          <w:szCs w:val="24"/>
          <w:lang w:eastAsia="zh-CN"/>
          <w14:textFill>
            <w14:solidFill>
              <w14:schemeClr w14:val="tx1"/>
            </w14:solidFill>
          </w14:textFill>
        </w:rPr>
        <w:t>整）</w:t>
      </w:r>
      <w:r>
        <w:rPr>
          <w:rFonts w:hint="eastAsia"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lang w:eastAsia="zh-CN"/>
          <w14:textFill>
            <w14:solidFill>
              <w14:schemeClr w14:val="tx1"/>
            </w14:solidFill>
          </w14:textFill>
        </w:rPr>
        <w:t>预留</w:t>
      </w:r>
      <w:r>
        <w:rPr>
          <w:rFonts w:hint="eastAsia" w:asciiTheme="minorEastAsia" w:hAnsiTheme="minorEastAsia"/>
          <w:color w:val="000000" w:themeColor="text1"/>
          <w:sz w:val="24"/>
          <w:szCs w:val="24"/>
          <w14:textFill>
            <w14:solidFill>
              <w14:schemeClr w14:val="tx1"/>
            </w14:solidFill>
          </w14:textFill>
        </w:rPr>
        <w:t>金为业主方的备用金，用于施工合同签订时尚未确定或者不可预见的所需材料、设备、服务的采购，施工中可能发生的工程变更、合同约定调整因素出现时的工程价款调整以及发生的索赔、现场签证确认等费用。</w:t>
      </w:r>
    </w:p>
    <w:p w14:paraId="5DFDE8D9">
      <w:pPr>
        <w:rPr>
          <w:rFonts w:hint="eastAsia" w:asciiTheme="minorEastAsia" w:hAnsiTheme="minorEastAsia"/>
          <w:sz w:val="24"/>
          <w:szCs w:val="24"/>
        </w:rPr>
      </w:pPr>
    </w:p>
    <w:p w14:paraId="6275A4D4">
      <w:pPr>
        <w:rPr>
          <w:rFonts w:hint="eastAsia" w:asciiTheme="minorEastAsia" w:hAnsiTheme="minorEastAsia"/>
          <w:sz w:val="24"/>
          <w:szCs w:val="24"/>
        </w:rPr>
      </w:pPr>
    </w:p>
    <w:p w14:paraId="3BB1B82C">
      <w:pPr>
        <w:rPr>
          <w:rFonts w:hint="eastAsia" w:asciiTheme="minorEastAsia" w:hAnsiTheme="minorEastAsia"/>
          <w:sz w:val="24"/>
          <w:szCs w:val="24"/>
        </w:rPr>
      </w:pPr>
    </w:p>
    <w:p w14:paraId="2F80D208">
      <w:pPr>
        <w:rPr>
          <w:rFonts w:asciiTheme="minorEastAsia" w:hAnsiTheme="minorEastAsia"/>
          <w:sz w:val="24"/>
          <w:szCs w:val="24"/>
        </w:rPr>
      </w:pPr>
    </w:p>
    <w:p w14:paraId="28324A83">
      <w:pPr>
        <w:ind w:firstLine="4560" w:firstLineChars="1900"/>
        <w:rPr>
          <w:rFonts w:hint="eastAsia" w:asciiTheme="minorEastAsia" w:hAnsiTheme="minorEastAsia"/>
          <w:sz w:val="24"/>
          <w:szCs w:val="24"/>
        </w:rPr>
      </w:pPr>
      <w:r>
        <w:rPr>
          <w:rFonts w:asciiTheme="minorEastAsia" w:hAnsiTheme="minorEastAsia"/>
          <w:sz w:val="24"/>
          <w:szCs w:val="24"/>
        </w:rPr>
        <w:t xml:space="preserve">                                     </w:t>
      </w:r>
    </w:p>
    <w:p w14:paraId="1C450FE6">
      <w:pPr>
        <w:ind w:firstLine="4560" w:firstLineChars="1900"/>
        <w:rPr>
          <w:rFonts w:hint="eastAsia" w:asciiTheme="minorEastAsia" w:hAnsiTheme="minorEastAsia"/>
          <w:sz w:val="24"/>
          <w:szCs w:val="24"/>
        </w:rPr>
      </w:pPr>
    </w:p>
    <w:p w14:paraId="41B0904A">
      <w:pPr>
        <w:rPr>
          <w:rFonts w:asciiTheme="minorEastAsia" w:hAnsiTheme="minorEastAsia"/>
          <w:sz w:val="24"/>
          <w:szCs w:val="24"/>
        </w:rPr>
      </w:pPr>
      <w:r>
        <w:rPr>
          <w:rFonts w:hint="eastAsia" w:asciiTheme="minorEastAsia" w:hAnsiTheme="minorEastAsia"/>
          <w:sz w:val="24"/>
          <w:szCs w:val="24"/>
        </w:rPr>
        <w:t xml:space="preserve">                                              20</w:t>
      </w:r>
      <w:r>
        <w:rPr>
          <w:rFonts w:hint="eastAsia" w:asciiTheme="minorEastAsia" w:hAnsiTheme="minorEastAsia"/>
          <w:sz w:val="24"/>
          <w:szCs w:val="24"/>
          <w:lang w:val="en-US" w:eastAsia="zh-CN"/>
        </w:rPr>
        <w:t>25</w:t>
      </w:r>
      <w:r>
        <w:rPr>
          <w:rFonts w:hint="eastAsia" w:asciiTheme="minorEastAsia" w:hAnsiTheme="minorEastAsia"/>
          <w:sz w:val="24"/>
          <w:szCs w:val="24"/>
        </w:rPr>
        <w:t>年</w:t>
      </w:r>
      <w:r>
        <w:rPr>
          <w:rFonts w:hint="eastAsia" w:asciiTheme="minorEastAsia" w:hAnsiTheme="minorEastAsia"/>
          <w:sz w:val="24"/>
          <w:szCs w:val="24"/>
          <w:lang w:val="en-US" w:eastAsia="zh-CN"/>
        </w:rPr>
        <w:t>1</w:t>
      </w:r>
      <w:r>
        <w:rPr>
          <w:rFonts w:hint="eastAsia" w:asciiTheme="minorEastAsia" w:hAnsiTheme="minorEastAsia"/>
          <w:sz w:val="24"/>
          <w:szCs w:val="24"/>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KSHTVKQOLG0_31_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3MzBlYjRlNWQwNmQ5MzdhNDgwZjBlZDE4YTYyOWIifQ=="/>
  </w:docVars>
  <w:rsids>
    <w:rsidRoot w:val="00A73ED1"/>
    <w:rsid w:val="000A4637"/>
    <w:rsid w:val="000B0151"/>
    <w:rsid w:val="0072250F"/>
    <w:rsid w:val="00A73ED1"/>
    <w:rsid w:val="00C7241E"/>
    <w:rsid w:val="00D50964"/>
    <w:rsid w:val="00DF4BA1"/>
    <w:rsid w:val="00F15C98"/>
    <w:rsid w:val="00F51249"/>
    <w:rsid w:val="01AE5E2C"/>
    <w:rsid w:val="01DA1EC9"/>
    <w:rsid w:val="032C58F4"/>
    <w:rsid w:val="05527349"/>
    <w:rsid w:val="05D11B2B"/>
    <w:rsid w:val="078B5265"/>
    <w:rsid w:val="08EE6BA9"/>
    <w:rsid w:val="0963629F"/>
    <w:rsid w:val="0A13781F"/>
    <w:rsid w:val="0E277F3E"/>
    <w:rsid w:val="10271E38"/>
    <w:rsid w:val="119C0DDB"/>
    <w:rsid w:val="13175F4F"/>
    <w:rsid w:val="14BC584B"/>
    <w:rsid w:val="159B0F15"/>
    <w:rsid w:val="15DB42D5"/>
    <w:rsid w:val="194754CA"/>
    <w:rsid w:val="19917FEB"/>
    <w:rsid w:val="1ED8788A"/>
    <w:rsid w:val="21555C58"/>
    <w:rsid w:val="249D21C8"/>
    <w:rsid w:val="24E23846"/>
    <w:rsid w:val="257D703A"/>
    <w:rsid w:val="2AEF60E3"/>
    <w:rsid w:val="2B2F504C"/>
    <w:rsid w:val="2F7D3320"/>
    <w:rsid w:val="322024D3"/>
    <w:rsid w:val="32582B7C"/>
    <w:rsid w:val="35C5166F"/>
    <w:rsid w:val="3B665FCC"/>
    <w:rsid w:val="3B885F0C"/>
    <w:rsid w:val="42D37FF5"/>
    <w:rsid w:val="45242D07"/>
    <w:rsid w:val="49A32312"/>
    <w:rsid w:val="4AE32EEC"/>
    <w:rsid w:val="4B9762D3"/>
    <w:rsid w:val="53EC7552"/>
    <w:rsid w:val="54AE40D0"/>
    <w:rsid w:val="55F2787A"/>
    <w:rsid w:val="566C3A31"/>
    <w:rsid w:val="57094DC9"/>
    <w:rsid w:val="58AA3144"/>
    <w:rsid w:val="5AFA51E5"/>
    <w:rsid w:val="5D342048"/>
    <w:rsid w:val="5F4968A3"/>
    <w:rsid w:val="651D5AEB"/>
    <w:rsid w:val="6B154FB6"/>
    <w:rsid w:val="6B564512"/>
    <w:rsid w:val="6C397ABF"/>
    <w:rsid w:val="6F6649A4"/>
    <w:rsid w:val="70932B50"/>
    <w:rsid w:val="72BB43B4"/>
    <w:rsid w:val="78846B15"/>
    <w:rsid w:val="7A290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paragraph" w:styleId="3">
    <w:name w:val="Date"/>
    <w:basedOn w:val="1"/>
    <w:next w:val="1"/>
    <w:link w:val="11"/>
    <w:semiHidden/>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pBdr>
        <w:left w:val="none" w:color="auto" w:sz="0" w:space="0"/>
        <w:right w:val="none" w:color="auto" w:sz="0" w:space="0"/>
      </w:pBdr>
      <w:spacing w:before="0" w:beforeAutospacing="0" w:after="100" w:afterAutospacing="1"/>
      <w:ind w:left="0" w:right="0"/>
      <w:jc w:val="left"/>
    </w:pPr>
    <w:rPr>
      <w:kern w:val="0"/>
      <w:sz w:val="24"/>
      <w:lang w:val="en-US" w:eastAsia="zh-CN" w:bidi="ar"/>
    </w:rPr>
  </w:style>
  <w:style w:type="character" w:customStyle="1" w:styleId="9">
    <w:name w:val="页眉 Char"/>
    <w:basedOn w:val="8"/>
    <w:link w:val="5"/>
    <w:qFormat/>
    <w:uiPriority w:val="99"/>
    <w:rPr>
      <w:sz w:val="18"/>
      <w:szCs w:val="18"/>
    </w:rPr>
  </w:style>
  <w:style w:type="character" w:customStyle="1" w:styleId="10">
    <w:name w:val="页脚 Char"/>
    <w:basedOn w:val="8"/>
    <w:link w:val="4"/>
    <w:autoRedefine/>
    <w:qFormat/>
    <w:uiPriority w:val="99"/>
    <w:rPr>
      <w:sz w:val="18"/>
      <w:szCs w:val="18"/>
    </w:rPr>
  </w:style>
  <w:style w:type="character" w:customStyle="1" w:styleId="11">
    <w:name w:val="日期 Char"/>
    <w:basedOn w:val="8"/>
    <w:link w:val="3"/>
    <w:semiHidden/>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1702</Words>
  <Characters>1861</Characters>
  <Lines>13</Lines>
  <Paragraphs>3</Paragraphs>
  <TotalTime>0</TotalTime>
  <ScaleCrop>false</ScaleCrop>
  <LinksUpToDate>false</LinksUpToDate>
  <CharactersWithSpaces>1976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2019-07-15T13:30:00Z</dcterms:created>
  <dc:creator>lenovo</dc:creator>
  <cp:lastModifiedBy>August。</cp:lastModifiedBy>
  <cp:lastPrinted>2019-10-23T03:42:00Z</cp:lastPrinted>
  <dcterms:modified xsi:type="dcterms:W3CDTF">2025-02-13T10:23:30Z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A2DB1F667B9F4D1099C03ACAA63A063B_13</vt:lpwstr>
  </property>
  <property fmtid="{D5CDD505-2E9C-101B-9397-08002B2CF9AE}" pid="4" name="KSOTemplateDocerSaveRecord">
    <vt:lpwstr>eyJoZGlkIjoiODkyODcxZDhmZDE3NDg5OWVkYTkyMjBiNjkxNzdmZWMiLCJ1c2VySWQiOiI0ODI2NjE1MTYifQ==</vt:lpwstr>
  </property>
</Properties>
</file>