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E25E55">
      <w:pPr>
        <w:spacing w:line="360" w:lineRule="auto"/>
        <w:ind w:firstLine="300" w:firstLineChars="50"/>
        <w:rPr>
          <w:sz w:val="60"/>
          <w:szCs w:val="60"/>
        </w:rPr>
      </w:pPr>
    </w:p>
    <w:p w14:paraId="69400CDC">
      <w:pPr>
        <w:jc w:val="center"/>
        <w:rPr>
          <w:rFonts w:hint="eastAsia" w:ascii="宋体" w:hAnsi="宋体" w:cs="宋体"/>
          <w:b/>
          <w:bCs/>
          <w:sz w:val="56"/>
          <w:szCs w:val="56"/>
          <w:lang w:eastAsia="zh-CN"/>
        </w:rPr>
      </w:pPr>
      <w:r>
        <w:rPr>
          <w:rFonts w:hint="eastAsia" w:ascii="宋体" w:hAnsi="宋体" w:cs="宋体"/>
          <w:b/>
          <w:bCs/>
          <w:sz w:val="56"/>
          <w:szCs w:val="56"/>
          <w:lang w:eastAsia="zh-CN"/>
        </w:rPr>
        <w:t>柯坪县工人文化宫整体搬迁设备</w:t>
      </w:r>
    </w:p>
    <w:p w14:paraId="2E7F07A8">
      <w:pPr>
        <w:jc w:val="center"/>
        <w:rPr>
          <w:b/>
          <w:bCs/>
          <w:sz w:val="60"/>
          <w:szCs w:val="60"/>
        </w:rPr>
      </w:pPr>
      <w:r>
        <w:rPr>
          <w:rFonts w:hint="eastAsia" w:ascii="宋体" w:hAnsi="宋体" w:cs="宋体"/>
          <w:b/>
          <w:bCs/>
          <w:sz w:val="56"/>
          <w:szCs w:val="56"/>
          <w:lang w:eastAsia="zh-CN"/>
        </w:rPr>
        <w:t>采购安装项目</w:t>
      </w:r>
    </w:p>
    <w:p w14:paraId="088D9606">
      <w:pPr>
        <w:jc w:val="center"/>
        <w:rPr>
          <w:b/>
          <w:bCs/>
          <w:sz w:val="60"/>
          <w:szCs w:val="60"/>
        </w:rPr>
      </w:pPr>
    </w:p>
    <w:p w14:paraId="60EC4154">
      <w:pPr>
        <w:jc w:val="center"/>
        <w:rPr>
          <w:b/>
          <w:bCs/>
          <w:sz w:val="60"/>
          <w:szCs w:val="60"/>
        </w:rPr>
      </w:pPr>
    </w:p>
    <w:p w14:paraId="2DF40C94">
      <w:pPr>
        <w:spacing w:line="360" w:lineRule="auto"/>
        <w:jc w:val="center"/>
        <w:rPr>
          <w:rFonts w:hint="eastAsia" w:eastAsia="宋体"/>
          <w:b/>
          <w:bCs/>
          <w:sz w:val="60"/>
          <w:szCs w:val="60"/>
          <w:lang w:val="en-US" w:eastAsia="zh-CN"/>
        </w:rPr>
      </w:pPr>
      <w:r>
        <w:rPr>
          <w:rFonts w:hint="eastAsia"/>
          <w:b/>
          <w:bCs/>
          <w:sz w:val="60"/>
          <w:szCs w:val="60"/>
          <w:lang w:val="en-US" w:eastAsia="zh-CN"/>
        </w:rPr>
        <w:t>公开招标文件</w:t>
      </w:r>
    </w:p>
    <w:p w14:paraId="57415027">
      <w:pPr>
        <w:tabs>
          <w:tab w:val="left" w:pos="3240"/>
          <w:tab w:val="left" w:pos="3420"/>
        </w:tabs>
        <w:spacing w:line="360" w:lineRule="auto"/>
        <w:ind w:left="2832" w:leftChars="444" w:hanging="1900" w:hangingChars="528"/>
        <w:jc w:val="left"/>
        <w:rPr>
          <w:bCs/>
          <w:sz w:val="36"/>
          <w:szCs w:val="36"/>
        </w:rPr>
      </w:pPr>
    </w:p>
    <w:p w14:paraId="156E4621">
      <w:pPr>
        <w:tabs>
          <w:tab w:val="left" w:pos="3240"/>
          <w:tab w:val="left" w:pos="3420"/>
        </w:tabs>
        <w:spacing w:line="360" w:lineRule="auto"/>
        <w:ind w:left="2832" w:leftChars="444" w:hanging="1900" w:hangingChars="528"/>
        <w:jc w:val="left"/>
        <w:rPr>
          <w:bCs/>
          <w:sz w:val="36"/>
          <w:szCs w:val="36"/>
        </w:rPr>
      </w:pPr>
    </w:p>
    <w:p w14:paraId="2B20BC87">
      <w:pPr>
        <w:tabs>
          <w:tab w:val="left" w:pos="3240"/>
          <w:tab w:val="left" w:pos="3420"/>
        </w:tabs>
        <w:spacing w:line="240" w:lineRule="auto"/>
        <w:jc w:val="left"/>
        <w:rPr>
          <w:rFonts w:hint="eastAsia"/>
          <w:bCs/>
          <w:spacing w:val="-11"/>
          <w:sz w:val="36"/>
          <w:szCs w:val="36"/>
          <w:lang w:eastAsia="zh-CN"/>
        </w:rPr>
      </w:pPr>
      <w:r>
        <w:rPr>
          <w:bCs/>
          <w:sz w:val="36"/>
          <w:szCs w:val="36"/>
        </w:rPr>
        <w:t>项目名称：</w:t>
      </w:r>
      <w:r>
        <w:rPr>
          <w:rFonts w:hint="eastAsia"/>
          <w:bCs/>
          <w:spacing w:val="-11"/>
          <w:sz w:val="36"/>
          <w:szCs w:val="36"/>
          <w:lang w:eastAsia="zh-CN"/>
        </w:rPr>
        <w:t>柯坪县工人文化宫整体搬迁设备采购安装项目</w:t>
      </w:r>
    </w:p>
    <w:p w14:paraId="1503B78E">
      <w:pPr>
        <w:pStyle w:val="3"/>
      </w:pPr>
    </w:p>
    <w:p w14:paraId="0D52BE69">
      <w:pPr>
        <w:tabs>
          <w:tab w:val="left" w:pos="3240"/>
          <w:tab w:val="left" w:pos="3420"/>
        </w:tabs>
        <w:spacing w:line="240" w:lineRule="auto"/>
        <w:jc w:val="left"/>
        <w:rPr>
          <w:rFonts w:hint="default" w:eastAsia="宋体"/>
          <w:bCs/>
          <w:sz w:val="36"/>
          <w:szCs w:val="36"/>
          <w:lang w:val="en-US" w:eastAsia="zh-CN"/>
        </w:rPr>
      </w:pPr>
      <w:r>
        <w:rPr>
          <w:bCs/>
          <w:sz w:val="36"/>
          <w:szCs w:val="36"/>
        </w:rPr>
        <w:t>项目编号：</w:t>
      </w:r>
      <w:r>
        <w:rPr>
          <w:rFonts w:hint="eastAsia"/>
          <w:bCs/>
          <w:sz w:val="36"/>
          <w:szCs w:val="36"/>
          <w:lang w:val="en-US" w:eastAsia="zh-CN"/>
        </w:rPr>
        <w:t>分KPXZCY2024-003</w:t>
      </w:r>
    </w:p>
    <w:p w14:paraId="472D6BC5">
      <w:pPr>
        <w:pStyle w:val="3"/>
        <w:jc w:val="both"/>
      </w:pPr>
    </w:p>
    <w:p w14:paraId="3969C372">
      <w:pPr>
        <w:tabs>
          <w:tab w:val="left" w:pos="3240"/>
          <w:tab w:val="left" w:pos="3420"/>
        </w:tabs>
        <w:spacing w:line="240" w:lineRule="auto"/>
        <w:jc w:val="left"/>
        <w:rPr>
          <w:rFonts w:hint="eastAsia"/>
          <w:bCs/>
          <w:sz w:val="36"/>
          <w:szCs w:val="36"/>
          <w:lang w:eastAsia="zh-CN"/>
        </w:rPr>
      </w:pPr>
      <w:r>
        <w:rPr>
          <w:bCs/>
          <w:sz w:val="36"/>
          <w:szCs w:val="36"/>
        </w:rPr>
        <w:t>采 购 人：</w:t>
      </w:r>
      <w:r>
        <w:rPr>
          <w:rFonts w:hint="eastAsia"/>
          <w:bCs/>
          <w:sz w:val="36"/>
          <w:szCs w:val="36"/>
          <w:lang w:eastAsia="zh-CN"/>
        </w:rPr>
        <w:t>柯坪县工人文化宫</w:t>
      </w:r>
    </w:p>
    <w:p w14:paraId="0550AE87">
      <w:pPr>
        <w:rPr>
          <w:rFonts w:hint="eastAsia"/>
          <w:lang w:eastAsia="zh-CN"/>
        </w:rPr>
      </w:pPr>
    </w:p>
    <w:p w14:paraId="2AEF297B">
      <w:pPr>
        <w:tabs>
          <w:tab w:val="left" w:pos="3240"/>
          <w:tab w:val="left" w:pos="3420"/>
        </w:tabs>
        <w:spacing w:line="240" w:lineRule="auto"/>
        <w:jc w:val="left"/>
        <w:rPr>
          <w:rFonts w:hint="eastAsia"/>
          <w:bCs/>
          <w:sz w:val="36"/>
          <w:szCs w:val="36"/>
        </w:rPr>
      </w:pPr>
    </w:p>
    <w:p w14:paraId="3E8F0421">
      <w:pPr>
        <w:tabs>
          <w:tab w:val="left" w:pos="3240"/>
          <w:tab w:val="left" w:pos="3420"/>
        </w:tabs>
        <w:spacing w:line="240" w:lineRule="auto"/>
        <w:jc w:val="left"/>
        <w:rPr>
          <w:bCs/>
          <w:sz w:val="36"/>
          <w:szCs w:val="36"/>
        </w:rPr>
      </w:pPr>
      <w:r>
        <w:rPr>
          <w:rFonts w:hint="eastAsia"/>
          <w:bCs/>
          <w:sz w:val="36"/>
          <w:szCs w:val="36"/>
          <w:lang w:eastAsia="zh-CN"/>
        </w:rPr>
        <w:t>招标代理机构</w:t>
      </w:r>
      <w:r>
        <w:rPr>
          <w:bCs/>
          <w:sz w:val="36"/>
          <w:szCs w:val="36"/>
        </w:rPr>
        <w:t>：</w:t>
      </w:r>
      <w:r>
        <w:rPr>
          <w:rFonts w:hint="eastAsia"/>
          <w:bCs/>
          <w:sz w:val="36"/>
          <w:szCs w:val="36"/>
          <w:lang w:eastAsia="zh-CN"/>
        </w:rPr>
        <w:t>柯坪县弘智项目管理有限公司</w:t>
      </w:r>
      <w:r>
        <w:rPr>
          <w:bCs/>
          <w:sz w:val="36"/>
          <w:szCs w:val="36"/>
        </w:rPr>
        <w:t xml:space="preserve"> </w:t>
      </w:r>
    </w:p>
    <w:p w14:paraId="106792E0">
      <w:pPr>
        <w:tabs>
          <w:tab w:val="left" w:pos="2305"/>
          <w:tab w:val="center" w:pos="4213"/>
        </w:tabs>
        <w:spacing w:before="312" w:beforeLines="100"/>
        <w:jc w:val="center"/>
        <w:rPr>
          <w:rFonts w:hint="eastAsia" w:ascii="宋体" w:hAnsi="宋体" w:cs="宋体"/>
          <w:sz w:val="16"/>
          <w:szCs w:val="20"/>
        </w:rPr>
      </w:pPr>
      <w:r>
        <w:rPr>
          <w:b/>
          <w:bCs/>
          <w:sz w:val="44"/>
        </w:rPr>
        <w:br w:type="page"/>
      </w:r>
      <w:r>
        <w:rPr>
          <w:rFonts w:hint="eastAsia" w:ascii="宋体" w:hAnsi="宋体" w:cs="宋体"/>
          <w:b/>
          <w:sz w:val="72"/>
          <w:szCs w:val="72"/>
          <w:lang w:eastAsia="zh-CN"/>
        </w:rPr>
        <w:t>公开招标</w:t>
      </w:r>
      <w:r>
        <w:rPr>
          <w:rFonts w:hint="eastAsia" w:ascii="宋体" w:hAnsi="宋体" w:cs="宋体"/>
          <w:b/>
          <w:sz w:val="72"/>
          <w:szCs w:val="72"/>
        </w:rPr>
        <w:t>文件</w:t>
      </w:r>
    </w:p>
    <w:p w14:paraId="408BA909">
      <w:pPr>
        <w:rPr>
          <w:rFonts w:hint="eastAsia" w:ascii="宋体" w:hAnsi="宋体" w:cs="宋体"/>
        </w:rPr>
      </w:pPr>
    </w:p>
    <w:p w14:paraId="3E46661B">
      <w:pPr>
        <w:rPr>
          <w:rFonts w:hint="eastAsia" w:ascii="宋体" w:hAnsi="宋体" w:cs="宋体"/>
        </w:rPr>
      </w:pPr>
    </w:p>
    <w:p w14:paraId="6A35DFBD">
      <w:pPr>
        <w:pStyle w:val="3"/>
        <w:rPr>
          <w:rFonts w:hint="eastAsia"/>
        </w:rPr>
      </w:pPr>
    </w:p>
    <w:p w14:paraId="1519E059">
      <w:pPr>
        <w:spacing w:line="360" w:lineRule="auto"/>
        <w:rPr>
          <w:rFonts w:hint="eastAsia" w:ascii="宋体" w:hAnsi="宋体" w:cs="宋体"/>
          <w:b w:val="0"/>
          <w:bCs w:val="0"/>
          <w:sz w:val="32"/>
          <w:szCs w:val="32"/>
          <w:lang w:eastAsia="zh-CN"/>
        </w:rPr>
      </w:pPr>
      <w:bookmarkStart w:id="0" w:name="_Toc17566"/>
      <w:bookmarkStart w:id="1" w:name="_Toc14149"/>
      <w:bookmarkStart w:id="2" w:name="_Toc13528"/>
      <w:r>
        <w:rPr>
          <w:rFonts w:hint="eastAsia" w:ascii="宋体" w:hAnsi="宋体" w:cs="宋体"/>
          <w:b w:val="0"/>
          <w:bCs w:val="0"/>
          <w:sz w:val="32"/>
          <w:szCs w:val="32"/>
        </w:rPr>
        <w:t>项 目 名 称</w:t>
      </w:r>
      <w:bookmarkEnd w:id="0"/>
      <w:bookmarkEnd w:id="1"/>
      <w:bookmarkEnd w:id="2"/>
      <w:r>
        <w:rPr>
          <w:rFonts w:hint="eastAsia" w:ascii="宋体" w:hAnsi="宋体" w:cs="宋体"/>
          <w:b w:val="0"/>
          <w:bCs w:val="0"/>
          <w:sz w:val="32"/>
          <w:szCs w:val="32"/>
          <w:lang w:eastAsia="zh-CN"/>
        </w:rPr>
        <w:t>：</w:t>
      </w:r>
      <w:bookmarkStart w:id="3" w:name="_Toc14369"/>
      <w:bookmarkStart w:id="4" w:name="_Toc30978"/>
      <w:bookmarkStart w:id="5" w:name="_Toc14410"/>
      <w:r>
        <w:rPr>
          <w:rFonts w:hint="eastAsia" w:ascii="宋体" w:hAnsi="宋体" w:cs="宋体"/>
          <w:b w:val="0"/>
          <w:bCs w:val="0"/>
          <w:sz w:val="32"/>
          <w:szCs w:val="32"/>
          <w:lang w:eastAsia="zh-CN"/>
        </w:rPr>
        <w:t>柯坪县工人文化宫整体搬迁设备采购安装项目</w:t>
      </w:r>
    </w:p>
    <w:p w14:paraId="36816CEC">
      <w:pPr>
        <w:spacing w:line="360" w:lineRule="auto"/>
        <w:rPr>
          <w:rFonts w:hint="eastAsia" w:ascii="宋体" w:hAnsi="宋体" w:cs="宋体"/>
          <w:b w:val="0"/>
          <w:bCs w:val="0"/>
          <w:sz w:val="32"/>
          <w:szCs w:val="32"/>
        </w:rPr>
      </w:pPr>
      <w:r>
        <w:rPr>
          <w:rFonts w:hint="eastAsia" w:ascii="宋体" w:hAnsi="宋体" w:cs="宋体"/>
          <w:b w:val="0"/>
          <w:bCs w:val="0"/>
          <w:sz w:val="32"/>
          <w:szCs w:val="32"/>
          <w:lang w:eastAsia="zh-CN"/>
        </w:rPr>
        <w:t>招标人</w:t>
      </w:r>
      <w:r>
        <w:rPr>
          <w:rFonts w:hint="eastAsia" w:ascii="宋体" w:hAnsi="宋体" w:cs="宋体"/>
          <w:b w:val="0"/>
          <w:bCs w:val="0"/>
          <w:sz w:val="32"/>
          <w:szCs w:val="32"/>
        </w:rPr>
        <w:t>（公章）</w:t>
      </w:r>
      <w:bookmarkEnd w:id="3"/>
      <w:bookmarkEnd w:id="4"/>
      <w:bookmarkEnd w:id="5"/>
      <w:r>
        <w:rPr>
          <w:rFonts w:hint="eastAsia" w:ascii="宋体" w:hAnsi="宋体" w:cs="宋体"/>
          <w:b w:val="0"/>
          <w:bCs w:val="0"/>
          <w:sz w:val="32"/>
          <w:szCs w:val="32"/>
          <w:lang w:eastAsia="zh-CN"/>
        </w:rPr>
        <w:t>：柯坪县工人文化宫</w:t>
      </w:r>
      <w:r>
        <w:rPr>
          <w:rFonts w:hint="eastAsia" w:ascii="宋体" w:hAnsi="宋体" w:cs="宋体"/>
          <w:b w:val="0"/>
          <w:bCs w:val="0"/>
          <w:sz w:val="32"/>
          <w:szCs w:val="32"/>
        </w:rPr>
        <w:t xml:space="preserve">      </w:t>
      </w:r>
    </w:p>
    <w:p w14:paraId="73A812A7">
      <w:pPr>
        <w:spacing w:line="360" w:lineRule="auto"/>
        <w:rPr>
          <w:rFonts w:hint="eastAsia" w:ascii="宋体" w:hAnsi="宋体" w:cs="宋体"/>
          <w:b w:val="0"/>
          <w:bCs w:val="0"/>
          <w:sz w:val="32"/>
          <w:szCs w:val="32"/>
        </w:rPr>
      </w:pPr>
      <w:bookmarkStart w:id="6" w:name="_Toc30917"/>
      <w:bookmarkStart w:id="7" w:name="_Toc1185"/>
      <w:bookmarkStart w:id="8" w:name="_Toc28801"/>
      <w:r>
        <w:rPr>
          <w:rFonts w:hint="eastAsia" w:ascii="宋体" w:hAnsi="宋体" w:cs="宋体"/>
          <w:b w:val="0"/>
          <w:bCs w:val="0"/>
          <w:sz w:val="32"/>
          <w:szCs w:val="32"/>
        </w:rPr>
        <w:t>法定代表人（签字或盖章）</w:t>
      </w:r>
      <w:bookmarkEnd w:id="6"/>
      <w:bookmarkEnd w:id="7"/>
      <w:bookmarkEnd w:id="8"/>
      <w:r>
        <w:rPr>
          <w:rFonts w:hint="eastAsia" w:ascii="宋体" w:hAnsi="宋体" w:cs="宋体"/>
          <w:b w:val="0"/>
          <w:bCs w:val="0"/>
          <w:sz w:val="32"/>
          <w:szCs w:val="32"/>
          <w:lang w:eastAsia="zh-CN"/>
        </w:rPr>
        <w:t>：</w:t>
      </w:r>
      <w:r>
        <w:rPr>
          <w:rFonts w:hint="eastAsia" w:ascii="宋体" w:hAnsi="宋体" w:cs="宋体"/>
          <w:b w:val="0"/>
          <w:bCs w:val="0"/>
          <w:sz w:val="32"/>
          <w:szCs w:val="32"/>
        </w:rPr>
        <w:t xml:space="preserve"> </w:t>
      </w:r>
    </w:p>
    <w:p w14:paraId="4BE02B5D">
      <w:pPr>
        <w:spacing w:line="360" w:lineRule="auto"/>
        <w:rPr>
          <w:rFonts w:hint="eastAsia" w:ascii="宋体" w:hAnsi="宋体" w:cs="宋体"/>
          <w:b w:val="0"/>
          <w:bCs w:val="0"/>
          <w:sz w:val="32"/>
          <w:szCs w:val="32"/>
        </w:rPr>
      </w:pPr>
      <w:bookmarkStart w:id="9" w:name="_Toc7105"/>
      <w:bookmarkStart w:id="10" w:name="_Toc16191"/>
      <w:bookmarkStart w:id="11" w:name="_Toc30869"/>
      <w:r>
        <w:rPr>
          <w:rFonts w:hint="eastAsia" w:ascii="宋体" w:hAnsi="宋体" w:cs="宋体"/>
          <w:b w:val="0"/>
          <w:bCs w:val="0"/>
          <w:sz w:val="32"/>
          <w:szCs w:val="32"/>
        </w:rPr>
        <w:t>联  系  人</w:t>
      </w:r>
      <w:bookmarkEnd w:id="9"/>
      <w:bookmarkEnd w:id="10"/>
      <w:bookmarkEnd w:id="11"/>
      <w:bookmarkStart w:id="12" w:name="_Toc31810"/>
      <w:bookmarkStart w:id="13" w:name="_Toc1230"/>
      <w:bookmarkStart w:id="14" w:name="_Toc3002"/>
      <w:r>
        <w:rPr>
          <w:rFonts w:hint="eastAsia" w:ascii="宋体" w:hAnsi="宋体" w:cs="宋体"/>
          <w:b w:val="0"/>
          <w:bCs w:val="0"/>
          <w:sz w:val="32"/>
          <w:szCs w:val="32"/>
          <w:lang w:eastAsia="zh-CN"/>
        </w:rPr>
        <w:t>：巴哈尔古丽</w:t>
      </w:r>
      <w:r>
        <w:rPr>
          <w:rFonts w:hint="eastAsia" w:ascii="宋体" w:hAnsi="宋体" w:cs="宋体"/>
          <w:b w:val="0"/>
          <w:bCs w:val="0"/>
          <w:sz w:val="32"/>
          <w:szCs w:val="32"/>
        </w:rPr>
        <w:t xml:space="preserve"> </w:t>
      </w:r>
    </w:p>
    <w:p w14:paraId="4A9D6C82">
      <w:pPr>
        <w:spacing w:line="360" w:lineRule="auto"/>
        <w:rPr>
          <w:rFonts w:hint="eastAsia" w:ascii="宋体" w:hAnsi="宋体" w:eastAsia="宋体" w:cs="宋体"/>
          <w:b w:val="0"/>
          <w:bCs w:val="0"/>
          <w:sz w:val="32"/>
          <w:szCs w:val="32"/>
          <w:lang w:eastAsia="zh-CN"/>
        </w:rPr>
      </w:pPr>
      <w:r>
        <w:rPr>
          <w:rFonts w:hint="eastAsia" w:ascii="宋体" w:hAnsi="宋体" w:cs="宋体"/>
          <w:b w:val="0"/>
          <w:bCs w:val="0"/>
          <w:sz w:val="32"/>
          <w:szCs w:val="32"/>
        </w:rPr>
        <w:t>电      话</w:t>
      </w:r>
      <w:bookmarkEnd w:id="12"/>
      <w:bookmarkEnd w:id="13"/>
      <w:bookmarkEnd w:id="14"/>
      <w:r>
        <w:rPr>
          <w:rFonts w:hint="eastAsia" w:ascii="宋体" w:hAnsi="宋体" w:cs="宋体"/>
          <w:b w:val="0"/>
          <w:bCs w:val="0"/>
          <w:sz w:val="32"/>
          <w:szCs w:val="32"/>
          <w:lang w:eastAsia="zh-CN"/>
        </w:rPr>
        <w:t>：17609970228</w:t>
      </w:r>
    </w:p>
    <w:p w14:paraId="4FE16EF0">
      <w:pPr>
        <w:spacing w:line="500" w:lineRule="exact"/>
        <w:rPr>
          <w:rFonts w:hint="eastAsia" w:ascii="宋体" w:hAnsi="宋体" w:cs="宋体"/>
          <w:b/>
          <w:bCs/>
          <w:sz w:val="28"/>
          <w:szCs w:val="28"/>
        </w:rPr>
      </w:pPr>
      <w:r>
        <w:rPr>
          <w:rFonts w:hint="eastAsia" w:ascii="宋体" w:hAnsi="宋体" w:cs="宋体"/>
          <w:b/>
          <w:bCs/>
          <w:color w:val="333333"/>
          <w:szCs w:val="21"/>
          <w:shd w:val="clear" w:color="auto" w:fill="FFFFFF"/>
        </w:rPr>
        <w:t xml:space="preserve"> </w:t>
      </w:r>
    </w:p>
    <w:p w14:paraId="568409FF">
      <w:pPr>
        <w:rPr>
          <w:rFonts w:hint="eastAsia"/>
        </w:rPr>
      </w:pPr>
    </w:p>
    <w:p w14:paraId="6BFCCDBD">
      <w:pPr>
        <w:pStyle w:val="3"/>
        <w:rPr>
          <w:rFonts w:hint="eastAsia"/>
        </w:rPr>
      </w:pPr>
    </w:p>
    <w:p w14:paraId="0E41333D">
      <w:pPr>
        <w:rPr>
          <w:rFonts w:hint="eastAsia"/>
        </w:rPr>
      </w:pPr>
    </w:p>
    <w:p w14:paraId="08950CF6">
      <w:pPr>
        <w:spacing w:line="360" w:lineRule="auto"/>
        <w:rPr>
          <w:rFonts w:hint="eastAsia" w:ascii="宋体" w:hAnsi="宋体" w:cs="宋体"/>
          <w:b/>
          <w:bCs/>
          <w:sz w:val="28"/>
          <w:szCs w:val="28"/>
        </w:rPr>
      </w:pPr>
      <w:bookmarkStart w:id="15" w:name="_Toc21328"/>
      <w:bookmarkStart w:id="16" w:name="_Toc12757"/>
      <w:bookmarkStart w:id="17" w:name="_Toc4765"/>
    </w:p>
    <w:p w14:paraId="7D0D6DA2">
      <w:pPr>
        <w:spacing w:line="360" w:lineRule="auto"/>
        <w:rPr>
          <w:rFonts w:hint="eastAsia" w:ascii="宋体" w:hAnsi="宋体" w:eastAsia="宋体" w:cs="宋体"/>
          <w:b w:val="0"/>
          <w:bCs w:val="0"/>
          <w:sz w:val="32"/>
          <w:szCs w:val="32"/>
          <w:lang w:eastAsia="zh-CN"/>
        </w:rPr>
      </w:pPr>
      <w:r>
        <w:rPr>
          <w:rFonts w:hint="eastAsia" w:ascii="宋体" w:hAnsi="宋体" w:cs="宋体"/>
          <w:b w:val="0"/>
          <w:bCs w:val="0"/>
          <w:sz w:val="32"/>
          <w:szCs w:val="32"/>
          <w:lang w:eastAsia="zh-CN"/>
        </w:rPr>
        <w:t>招标代理机构</w:t>
      </w:r>
      <w:r>
        <w:rPr>
          <w:rFonts w:hint="eastAsia" w:ascii="宋体" w:hAnsi="宋体" w:cs="宋体"/>
          <w:b w:val="0"/>
          <w:bCs w:val="0"/>
          <w:sz w:val="32"/>
          <w:szCs w:val="32"/>
        </w:rPr>
        <w:t>（公章）：</w:t>
      </w:r>
      <w:bookmarkEnd w:id="15"/>
      <w:bookmarkEnd w:id="16"/>
      <w:bookmarkEnd w:id="17"/>
      <w:r>
        <w:rPr>
          <w:rFonts w:hint="eastAsia" w:ascii="宋体" w:hAnsi="宋体" w:cs="宋体"/>
          <w:b w:val="0"/>
          <w:bCs w:val="0"/>
          <w:sz w:val="32"/>
          <w:szCs w:val="32"/>
          <w:lang w:eastAsia="zh-CN"/>
        </w:rPr>
        <w:t>柯坪县弘智项目管理有限公司</w:t>
      </w:r>
    </w:p>
    <w:p w14:paraId="03B81C23">
      <w:pPr>
        <w:tabs>
          <w:tab w:val="center" w:pos="4153"/>
        </w:tabs>
        <w:spacing w:line="360" w:lineRule="auto"/>
        <w:rPr>
          <w:rFonts w:hint="eastAsia" w:ascii="宋体" w:hAnsi="宋体" w:cs="宋体"/>
          <w:b w:val="0"/>
          <w:bCs w:val="0"/>
          <w:sz w:val="32"/>
          <w:szCs w:val="32"/>
        </w:rPr>
      </w:pPr>
      <w:bookmarkStart w:id="18" w:name="_Toc4456"/>
      <w:bookmarkStart w:id="19" w:name="_Toc26067"/>
      <w:bookmarkStart w:id="20" w:name="_Toc15333"/>
      <w:r>
        <w:rPr>
          <w:rFonts w:hint="eastAsia" w:ascii="宋体" w:hAnsi="宋体" w:cs="宋体"/>
          <w:b w:val="0"/>
          <w:bCs w:val="0"/>
          <w:sz w:val="32"/>
          <w:szCs w:val="32"/>
        </w:rPr>
        <w:t>法定代表人（签字或盖章）：</w:t>
      </w:r>
      <w:bookmarkEnd w:id="18"/>
      <w:bookmarkEnd w:id="19"/>
      <w:bookmarkEnd w:id="20"/>
      <w:r>
        <w:rPr>
          <w:rFonts w:hint="eastAsia" w:ascii="宋体" w:hAnsi="宋体" w:cs="宋体"/>
          <w:b w:val="0"/>
          <w:bCs w:val="0"/>
          <w:sz w:val="32"/>
          <w:szCs w:val="32"/>
        </w:rPr>
        <w:tab/>
      </w:r>
    </w:p>
    <w:p w14:paraId="0E9AA55B">
      <w:pPr>
        <w:spacing w:line="360" w:lineRule="auto"/>
        <w:rPr>
          <w:rFonts w:hint="eastAsia" w:ascii="宋体" w:hAnsi="宋体" w:eastAsia="宋体" w:cs="宋体"/>
          <w:b w:val="0"/>
          <w:bCs w:val="0"/>
          <w:sz w:val="32"/>
          <w:szCs w:val="32"/>
          <w:lang w:eastAsia="zh-CN"/>
        </w:rPr>
      </w:pPr>
      <w:bookmarkStart w:id="21" w:name="_Toc28022"/>
      <w:bookmarkStart w:id="22" w:name="_Toc4431"/>
      <w:bookmarkStart w:id="23" w:name="_Toc19775"/>
      <w:r>
        <w:rPr>
          <w:rFonts w:hint="eastAsia" w:ascii="宋体" w:hAnsi="宋体" w:cs="宋体"/>
          <w:b w:val="0"/>
          <w:bCs w:val="0"/>
          <w:sz w:val="32"/>
          <w:szCs w:val="32"/>
        </w:rPr>
        <w:t>联  系  人：</w:t>
      </w:r>
      <w:bookmarkEnd w:id="21"/>
      <w:bookmarkEnd w:id="22"/>
      <w:bookmarkEnd w:id="23"/>
      <w:r>
        <w:rPr>
          <w:rFonts w:hint="eastAsia" w:ascii="宋体" w:hAnsi="宋体" w:cs="宋体"/>
          <w:b w:val="0"/>
          <w:bCs w:val="0"/>
          <w:sz w:val="32"/>
          <w:szCs w:val="32"/>
          <w:lang w:eastAsia="zh-CN"/>
        </w:rPr>
        <w:t>王成永</w:t>
      </w:r>
    </w:p>
    <w:p w14:paraId="59AB76E2">
      <w:pPr>
        <w:spacing w:line="360" w:lineRule="auto"/>
        <w:rPr>
          <w:rFonts w:hint="eastAsia" w:ascii="宋体" w:hAnsi="宋体" w:cs="宋体"/>
          <w:b/>
          <w:bCs/>
          <w:sz w:val="28"/>
          <w:szCs w:val="28"/>
        </w:rPr>
      </w:pPr>
      <w:bookmarkStart w:id="24" w:name="_Toc23678"/>
      <w:bookmarkStart w:id="25" w:name="_Toc32246"/>
      <w:bookmarkStart w:id="26" w:name="_Toc18040"/>
      <w:r>
        <w:rPr>
          <w:rFonts w:hint="eastAsia" w:ascii="宋体" w:hAnsi="宋体" w:cs="宋体"/>
          <w:b w:val="0"/>
          <w:bCs w:val="0"/>
          <w:sz w:val="32"/>
          <w:szCs w:val="32"/>
        </w:rPr>
        <w:t>电      话：</w:t>
      </w:r>
      <w:bookmarkEnd w:id="24"/>
      <w:bookmarkEnd w:id="25"/>
      <w:bookmarkEnd w:id="26"/>
      <w:r>
        <w:rPr>
          <w:rFonts w:hint="eastAsia" w:ascii="宋体" w:hAnsi="宋体" w:cs="宋体"/>
          <w:b w:val="0"/>
          <w:bCs w:val="0"/>
          <w:sz w:val="32"/>
          <w:szCs w:val="32"/>
        </w:rPr>
        <w:t xml:space="preserve">13031264289  </w:t>
      </w:r>
      <w:r>
        <w:rPr>
          <w:rFonts w:hint="eastAsia" w:ascii="宋体" w:hAnsi="宋体" w:cs="宋体"/>
          <w:b/>
          <w:bCs/>
          <w:sz w:val="32"/>
          <w:szCs w:val="32"/>
        </w:rPr>
        <w:t xml:space="preserve">   </w:t>
      </w:r>
      <w:r>
        <w:rPr>
          <w:rFonts w:hint="eastAsia" w:ascii="宋体" w:hAnsi="宋体" w:cs="宋体"/>
          <w:b/>
          <w:bCs/>
          <w:sz w:val="28"/>
          <w:szCs w:val="28"/>
        </w:rPr>
        <w:t xml:space="preserve"> </w:t>
      </w:r>
    </w:p>
    <w:p w14:paraId="4EFD2315">
      <w:pPr>
        <w:pStyle w:val="179"/>
        <w:spacing w:line="360" w:lineRule="auto"/>
        <w:rPr>
          <w:rFonts w:hint="eastAsia" w:ascii="宋体" w:hAnsi="宋体" w:cs="宋体"/>
          <w:b/>
          <w:bCs/>
          <w:sz w:val="28"/>
          <w:szCs w:val="28"/>
        </w:rPr>
      </w:pPr>
      <w:bookmarkStart w:id="27" w:name="_Toc28092"/>
      <w:bookmarkStart w:id="28" w:name="_Toc16325"/>
      <w:bookmarkStart w:id="29" w:name="_Toc6136"/>
    </w:p>
    <w:p w14:paraId="19B97E7B">
      <w:pPr>
        <w:pStyle w:val="179"/>
        <w:spacing w:line="360" w:lineRule="auto"/>
        <w:rPr>
          <w:rFonts w:hint="eastAsia" w:ascii="宋体" w:hAnsi="宋体" w:cs="宋体"/>
          <w:b/>
          <w:bCs/>
          <w:sz w:val="28"/>
          <w:szCs w:val="28"/>
        </w:rPr>
      </w:pPr>
    </w:p>
    <w:p w14:paraId="2902A81C">
      <w:pPr>
        <w:pStyle w:val="179"/>
        <w:spacing w:line="360" w:lineRule="auto"/>
        <w:rPr>
          <w:rFonts w:hint="eastAsia" w:ascii="宋体" w:hAnsi="宋体" w:cs="宋体"/>
          <w:b/>
          <w:bCs/>
          <w:sz w:val="28"/>
          <w:szCs w:val="28"/>
        </w:rPr>
      </w:pPr>
    </w:p>
    <w:bookmarkEnd w:id="27"/>
    <w:bookmarkEnd w:id="28"/>
    <w:bookmarkEnd w:id="29"/>
    <w:p w14:paraId="311EDFAC">
      <w:pPr>
        <w:keepNext w:val="0"/>
        <w:keepLines w:val="0"/>
        <w:pageBreakBefore w:val="0"/>
        <w:widowControl w:val="0"/>
        <w:tabs>
          <w:tab w:val="left" w:pos="3240"/>
          <w:tab w:val="left" w:pos="3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Cs/>
          <w:sz w:val="36"/>
          <w:szCs w:val="36"/>
          <w:lang w:eastAsia="zh-CN"/>
        </w:rPr>
      </w:pPr>
      <w:r>
        <w:rPr>
          <w:rFonts w:hint="eastAsia" w:ascii="Times New Roman" w:hAnsi="Times New Roman" w:eastAsia="宋体" w:cs="Times New Roman"/>
          <w:bCs/>
          <w:sz w:val="36"/>
          <w:szCs w:val="36"/>
          <w:lang w:eastAsia="zh-CN"/>
        </w:rPr>
        <w:t>202</w:t>
      </w:r>
      <w:r>
        <w:rPr>
          <w:rFonts w:hint="eastAsia" w:ascii="Times New Roman" w:hAnsi="Times New Roman" w:eastAsia="宋体" w:cs="Times New Roman"/>
          <w:bCs/>
          <w:sz w:val="36"/>
          <w:szCs w:val="36"/>
          <w:lang w:val="en-US" w:eastAsia="zh-CN"/>
        </w:rPr>
        <w:t>4</w:t>
      </w:r>
      <w:r>
        <w:rPr>
          <w:rFonts w:hint="eastAsia" w:ascii="Times New Roman" w:hAnsi="Times New Roman" w:eastAsia="宋体" w:cs="Times New Roman"/>
          <w:bCs/>
          <w:sz w:val="36"/>
          <w:szCs w:val="36"/>
          <w:lang w:eastAsia="zh-CN"/>
        </w:rPr>
        <w:t>年</w:t>
      </w:r>
      <w:r>
        <w:rPr>
          <w:rFonts w:hint="eastAsia" w:cs="Times New Roman"/>
          <w:bCs/>
          <w:sz w:val="36"/>
          <w:szCs w:val="36"/>
          <w:lang w:val="en-US" w:eastAsia="zh-CN"/>
        </w:rPr>
        <w:t>11</w:t>
      </w:r>
      <w:r>
        <w:rPr>
          <w:rFonts w:hint="eastAsia" w:ascii="Times New Roman" w:hAnsi="Times New Roman" w:eastAsia="宋体" w:cs="Times New Roman"/>
          <w:bCs/>
          <w:sz w:val="36"/>
          <w:szCs w:val="36"/>
          <w:lang w:eastAsia="zh-CN"/>
        </w:rPr>
        <w:t>月</w:t>
      </w:r>
    </w:p>
    <w:p w14:paraId="3BAE4BA8">
      <w:pPr>
        <w:spacing w:line="360" w:lineRule="auto"/>
        <w:rPr>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1701" w:footer="1701" w:gutter="0"/>
          <w:pgNumType w:start="1"/>
          <w:cols w:space="720" w:num="1"/>
          <w:titlePg/>
          <w:docGrid w:linePitch="462" w:charSpace="0"/>
        </w:sectPr>
      </w:pPr>
    </w:p>
    <w:p w14:paraId="317F39C4">
      <w:pPr>
        <w:spacing w:line="360" w:lineRule="auto"/>
        <w:jc w:val="center"/>
        <w:outlineLvl w:val="0"/>
        <w:rPr>
          <w:b/>
          <w:sz w:val="36"/>
          <w:szCs w:val="36"/>
        </w:rPr>
      </w:pPr>
      <w:bookmarkStart w:id="30" w:name="_Toc99301418"/>
      <w:bookmarkStart w:id="31" w:name="_Toc18518"/>
      <w:r>
        <w:rPr>
          <w:b/>
          <w:sz w:val="36"/>
          <w:szCs w:val="36"/>
        </w:rPr>
        <w:t>目      录</w:t>
      </w:r>
      <w:bookmarkEnd w:id="30"/>
      <w:bookmarkEnd w:id="31"/>
    </w:p>
    <w:p w14:paraId="66E7B5FB"/>
    <w:p w14:paraId="24B70F6F"/>
    <w:p w14:paraId="3A9617BE">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_Toc8886 </w:instrText>
      </w:r>
      <w:r>
        <w:rPr>
          <w:rFonts w:ascii="Times New Roman" w:hAnsi="Times New Roman"/>
        </w:rPr>
        <w:fldChar w:fldCharType="separate"/>
      </w:r>
      <w:r>
        <w:rPr>
          <w:szCs w:val="36"/>
        </w:rPr>
        <w:t xml:space="preserve">第一章   </w:t>
      </w:r>
      <w:r>
        <w:rPr>
          <w:rFonts w:hint="eastAsia"/>
          <w:szCs w:val="36"/>
          <w:lang w:val="en-US" w:eastAsia="zh-CN"/>
        </w:rPr>
        <w:t>招标公告</w:t>
      </w:r>
      <w:r>
        <w:tab/>
      </w:r>
      <w:r>
        <w:fldChar w:fldCharType="begin"/>
      </w:r>
      <w:r>
        <w:instrText xml:space="preserve"> PAGEREF _Toc8886 \h </w:instrText>
      </w:r>
      <w:r>
        <w:fldChar w:fldCharType="separate"/>
      </w:r>
      <w:r>
        <w:t>1</w:t>
      </w:r>
      <w:r>
        <w:fldChar w:fldCharType="end"/>
      </w:r>
      <w:r>
        <w:rPr>
          <w:rFonts w:ascii="Times New Roman" w:hAnsi="Times New Roman"/>
        </w:rPr>
        <w:fldChar w:fldCharType="end"/>
      </w:r>
    </w:p>
    <w:p w14:paraId="41984D8C">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_Toc19098 </w:instrText>
      </w:r>
      <w:r>
        <w:rPr>
          <w:rFonts w:ascii="Times New Roman" w:hAnsi="Times New Roman"/>
        </w:rPr>
        <w:fldChar w:fldCharType="separate"/>
      </w:r>
      <w:r>
        <w:rPr>
          <w:szCs w:val="36"/>
        </w:rPr>
        <w:t>第二章   投标人须知</w:t>
      </w:r>
      <w:r>
        <w:tab/>
      </w:r>
      <w:r>
        <w:fldChar w:fldCharType="begin"/>
      </w:r>
      <w:r>
        <w:instrText xml:space="preserve"> PAGEREF _Toc19098 \h </w:instrText>
      </w:r>
      <w:r>
        <w:fldChar w:fldCharType="separate"/>
      </w:r>
      <w:r>
        <w:t>5</w:t>
      </w:r>
      <w:r>
        <w:fldChar w:fldCharType="end"/>
      </w:r>
      <w:r>
        <w:rPr>
          <w:rFonts w:ascii="Times New Roman" w:hAnsi="Times New Roman"/>
        </w:rPr>
        <w:fldChar w:fldCharType="end"/>
      </w:r>
    </w:p>
    <w:p w14:paraId="6F47D8E6">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_Toc31892 </w:instrText>
      </w:r>
      <w:r>
        <w:rPr>
          <w:rFonts w:ascii="Times New Roman" w:hAnsi="Times New Roman"/>
        </w:rPr>
        <w:fldChar w:fldCharType="separate"/>
      </w:r>
      <w:r>
        <w:rPr>
          <w:szCs w:val="36"/>
        </w:rPr>
        <w:t>第三章   资格审查</w:t>
      </w:r>
      <w:r>
        <w:tab/>
      </w:r>
      <w:r>
        <w:fldChar w:fldCharType="begin"/>
      </w:r>
      <w:r>
        <w:instrText xml:space="preserve"> PAGEREF _Toc31892 \h </w:instrText>
      </w:r>
      <w:r>
        <w:fldChar w:fldCharType="separate"/>
      </w:r>
      <w:r>
        <w:t>20</w:t>
      </w:r>
      <w:r>
        <w:fldChar w:fldCharType="end"/>
      </w:r>
      <w:r>
        <w:rPr>
          <w:rFonts w:ascii="Times New Roman" w:hAnsi="Times New Roman"/>
        </w:rPr>
        <w:fldChar w:fldCharType="end"/>
      </w:r>
    </w:p>
    <w:p w14:paraId="127D4A0E">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_Toc15784 </w:instrText>
      </w:r>
      <w:r>
        <w:rPr>
          <w:rFonts w:ascii="Times New Roman" w:hAnsi="Times New Roman"/>
        </w:rPr>
        <w:fldChar w:fldCharType="separate"/>
      </w:r>
      <w:r>
        <w:rPr>
          <w:szCs w:val="36"/>
        </w:rPr>
        <w:t>第四章   评标程序、评标方法和评标标准</w:t>
      </w:r>
      <w:r>
        <w:tab/>
      </w:r>
      <w:r>
        <w:fldChar w:fldCharType="begin"/>
      </w:r>
      <w:r>
        <w:instrText xml:space="preserve"> PAGEREF _Toc15784 \h </w:instrText>
      </w:r>
      <w:r>
        <w:fldChar w:fldCharType="separate"/>
      </w:r>
      <w:r>
        <w:rPr>
          <w:rFonts w:hint="eastAsia"/>
          <w:lang w:val="en-US" w:eastAsia="zh-CN"/>
        </w:rPr>
        <w:t>21</w:t>
      </w:r>
      <w:r>
        <w:fldChar w:fldCharType="end"/>
      </w:r>
      <w:r>
        <w:rPr>
          <w:rFonts w:ascii="Times New Roman" w:hAnsi="Times New Roman"/>
        </w:rPr>
        <w:fldChar w:fldCharType="end"/>
      </w:r>
    </w:p>
    <w:p w14:paraId="4E48D33F">
      <w:pPr>
        <w:pStyle w:val="30"/>
        <w:tabs>
          <w:tab w:val="right" w:leader="dot" w:pos="9072"/>
          <w:tab w:val="clear" w:pos="1050"/>
          <w:tab w:val="clear" w:pos="8937"/>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_Toc14738 </w:instrText>
      </w:r>
      <w:r>
        <w:rPr>
          <w:rFonts w:ascii="Times New Roman" w:hAnsi="Times New Roman"/>
        </w:rPr>
        <w:fldChar w:fldCharType="separate"/>
      </w:r>
      <w:r>
        <w:rPr>
          <w:szCs w:val="36"/>
        </w:rPr>
        <w:t>第五章   采购需求</w:t>
      </w:r>
      <w:r>
        <w:tab/>
      </w:r>
      <w:r>
        <w:fldChar w:fldCharType="begin"/>
      </w:r>
      <w:r>
        <w:instrText xml:space="preserve"> PAGEREF _Toc14738 \h </w:instrText>
      </w:r>
      <w:r>
        <w:fldChar w:fldCharType="separate"/>
      </w:r>
      <w:r>
        <w:t>2</w:t>
      </w:r>
      <w:r>
        <w:rPr>
          <w:rFonts w:hint="eastAsia"/>
          <w:lang w:val="en-US" w:eastAsia="zh-CN"/>
        </w:rPr>
        <w:t>6</w:t>
      </w:r>
      <w:r>
        <w:fldChar w:fldCharType="end"/>
      </w:r>
      <w:r>
        <w:rPr>
          <w:rFonts w:ascii="Times New Roman" w:hAnsi="Times New Roman"/>
        </w:rPr>
        <w:fldChar w:fldCharType="end"/>
      </w:r>
    </w:p>
    <w:p w14:paraId="7356E15E">
      <w:pPr>
        <w:pStyle w:val="30"/>
        <w:tabs>
          <w:tab w:val="right" w:leader="dot" w:pos="9072"/>
          <w:tab w:val="clear" w:pos="1050"/>
          <w:tab w:val="clear" w:pos="8937"/>
        </w:tabs>
        <w:rPr>
          <w:rFonts w:hint="default" w:eastAsia="宋体"/>
          <w:lang w:val="en-US" w:eastAsia="zh-CN"/>
        </w:rPr>
      </w:pPr>
      <w:r>
        <w:rPr>
          <w:rFonts w:ascii="宋体" w:hAnsi="宋体" w:eastAsia="宋体" w:cs="Times New Roman"/>
        </w:rPr>
        <w:fldChar w:fldCharType="begin"/>
      </w:r>
      <w:r>
        <w:rPr>
          <w:rFonts w:ascii="宋体" w:hAnsi="宋体" w:eastAsia="宋体" w:cs="Times New Roman"/>
        </w:rPr>
        <w:instrText xml:space="preserve"> HYPERLINK \l _Toc31697 </w:instrText>
      </w:r>
      <w:r>
        <w:rPr>
          <w:rFonts w:ascii="宋体" w:hAnsi="宋体" w:eastAsia="宋体" w:cs="Times New Roman"/>
        </w:rPr>
        <w:fldChar w:fldCharType="separate"/>
      </w:r>
      <w:r>
        <w:rPr>
          <w:rFonts w:ascii="宋体" w:hAnsi="宋体" w:eastAsia="宋体" w:cs="Times New Roman"/>
        </w:rPr>
        <w:t>第</w:t>
      </w:r>
      <w:r>
        <w:rPr>
          <w:rFonts w:hint="eastAsia" w:ascii="宋体" w:hAnsi="宋体" w:eastAsia="宋体" w:cs="Times New Roman"/>
          <w:lang w:eastAsia="zh-CN"/>
        </w:rPr>
        <w:t>六</w:t>
      </w:r>
      <w:r>
        <w:rPr>
          <w:rFonts w:ascii="宋体" w:hAnsi="宋体" w:eastAsia="宋体" w:cs="Times New Roman"/>
        </w:rPr>
        <w:t>章   拟签订的合同文本</w:t>
      </w:r>
      <w:r>
        <w:rPr>
          <w:rFonts w:ascii="宋体" w:hAnsi="宋体" w:eastAsia="宋体" w:cs="Times New Roman"/>
        </w:rPr>
        <w:tab/>
      </w:r>
      <w:r>
        <w:rPr>
          <w:rFonts w:hint="eastAsia" w:ascii="宋体" w:hAnsi="宋体" w:eastAsia="宋体" w:cs="Times New Roman"/>
          <w:lang w:val="en-US" w:eastAsia="zh-CN"/>
        </w:rPr>
        <w:t>1</w:t>
      </w:r>
      <w:r>
        <w:rPr>
          <w:rFonts w:ascii="宋体" w:hAnsi="宋体" w:eastAsia="宋体" w:cs="Times New Roman"/>
        </w:rPr>
        <w:fldChar w:fldCharType="end"/>
      </w:r>
      <w:r>
        <w:rPr>
          <w:rFonts w:hint="eastAsia" w:ascii="宋体" w:hAnsi="宋体" w:eastAsia="宋体" w:cs="Times New Roman"/>
          <w:lang w:val="en-US" w:eastAsia="zh-CN"/>
        </w:rPr>
        <w:t>07</w:t>
      </w:r>
    </w:p>
    <w:p w14:paraId="1B82EC94">
      <w:pPr>
        <w:pStyle w:val="30"/>
        <w:tabs>
          <w:tab w:val="right" w:leader="dot" w:pos="9072"/>
          <w:tab w:val="clear" w:pos="1050"/>
          <w:tab w:val="clear" w:pos="8937"/>
        </w:tabs>
        <w:rPr>
          <w:rFonts w:hint="default" w:eastAsia="宋体"/>
          <w:lang w:val="en-US" w:eastAsia="zh-CN"/>
        </w:rPr>
      </w:pPr>
      <w:r>
        <w:rPr>
          <w:rFonts w:ascii="宋体" w:hAnsi="宋体" w:eastAsia="宋体" w:cs="Times New Roman"/>
        </w:rPr>
        <w:fldChar w:fldCharType="begin"/>
      </w:r>
      <w:r>
        <w:rPr>
          <w:rFonts w:ascii="宋体" w:hAnsi="宋体" w:eastAsia="宋体" w:cs="Times New Roman"/>
        </w:rPr>
        <w:instrText xml:space="preserve"> HYPERLINK \l _Toc31697 </w:instrText>
      </w:r>
      <w:r>
        <w:rPr>
          <w:rFonts w:ascii="宋体" w:hAnsi="宋体" w:eastAsia="宋体" w:cs="Times New Roman"/>
        </w:rPr>
        <w:fldChar w:fldCharType="separate"/>
      </w:r>
      <w:r>
        <w:rPr>
          <w:rFonts w:ascii="宋体" w:hAnsi="宋体" w:eastAsia="宋体" w:cs="Times New Roman"/>
        </w:rPr>
        <w:t>第</w:t>
      </w:r>
      <w:r>
        <w:rPr>
          <w:rFonts w:hint="eastAsia" w:ascii="宋体" w:hAnsi="宋体" w:eastAsia="宋体" w:cs="Times New Roman"/>
          <w:lang w:eastAsia="zh-CN"/>
        </w:rPr>
        <w:t>七</w:t>
      </w:r>
      <w:r>
        <w:rPr>
          <w:rFonts w:ascii="宋体" w:hAnsi="宋体" w:eastAsia="宋体" w:cs="Times New Roman"/>
        </w:rPr>
        <w:t>章   投标文件格式</w:t>
      </w:r>
      <w:r>
        <w:rPr>
          <w:rFonts w:ascii="宋体" w:hAnsi="宋体" w:eastAsia="宋体" w:cs="Times New Roman"/>
        </w:rPr>
        <w:tab/>
      </w:r>
      <w:r>
        <w:rPr>
          <w:rFonts w:hint="eastAsia" w:ascii="宋体" w:hAnsi="宋体" w:eastAsia="宋体" w:cs="Times New Roman"/>
          <w:lang w:val="en-US" w:eastAsia="zh-CN"/>
        </w:rPr>
        <w:t>1</w:t>
      </w:r>
      <w:r>
        <w:rPr>
          <w:rFonts w:ascii="宋体" w:hAnsi="宋体" w:eastAsia="宋体" w:cs="Times New Roman"/>
        </w:rPr>
        <w:fldChar w:fldCharType="end"/>
      </w:r>
      <w:r>
        <w:rPr>
          <w:rFonts w:hint="eastAsia" w:ascii="宋体" w:hAnsi="宋体" w:eastAsia="宋体" w:cs="Times New Roman"/>
          <w:lang w:val="en-US" w:eastAsia="zh-CN"/>
        </w:rPr>
        <w:t>16</w:t>
      </w:r>
    </w:p>
    <w:p w14:paraId="3A0DBB61">
      <w:pPr>
        <w:pStyle w:val="30"/>
        <w:spacing w:line="360" w:lineRule="auto"/>
        <w:rPr>
          <w:rFonts w:ascii="Times New Roman" w:hAnsi="Times New Roman"/>
          <w:b w:val="0"/>
        </w:rPr>
      </w:pPr>
      <w:r>
        <w:rPr>
          <w:rFonts w:ascii="Times New Roman" w:hAnsi="Times New Roman"/>
        </w:rPr>
        <w:fldChar w:fldCharType="end"/>
      </w:r>
    </w:p>
    <w:p w14:paraId="02E112A4">
      <w:pPr>
        <w:spacing w:line="360" w:lineRule="auto"/>
        <w:jc w:val="center"/>
        <w:outlineLvl w:val="0"/>
        <w:rPr>
          <w:sz w:val="24"/>
        </w:rPr>
      </w:pPr>
      <w:r>
        <w:rPr>
          <w:sz w:val="24"/>
        </w:rPr>
        <w:br w:type="page"/>
      </w:r>
      <w:bookmarkStart w:id="32" w:name="_Toc8886"/>
    </w:p>
    <w:p w14:paraId="57429779">
      <w:pPr>
        <w:spacing w:line="360" w:lineRule="auto"/>
        <w:ind w:firstLine="2891" w:firstLineChars="800"/>
        <w:jc w:val="both"/>
        <w:outlineLvl w:val="0"/>
        <w:rPr>
          <w:rFonts w:hint="default" w:eastAsia="宋体"/>
          <w:b/>
          <w:sz w:val="36"/>
          <w:szCs w:val="36"/>
          <w:lang w:val="en-US" w:eastAsia="zh-CN"/>
        </w:rPr>
      </w:pPr>
      <w:r>
        <w:rPr>
          <w:b/>
          <w:sz w:val="36"/>
          <w:szCs w:val="36"/>
        </w:rPr>
        <w:t xml:space="preserve">第一章   </w:t>
      </w:r>
      <w:bookmarkEnd w:id="32"/>
      <w:r>
        <w:rPr>
          <w:rFonts w:hint="eastAsia"/>
          <w:b/>
          <w:sz w:val="36"/>
          <w:szCs w:val="36"/>
          <w:lang w:val="en-US" w:eastAsia="zh-CN"/>
        </w:rPr>
        <w:t>招标公告</w:t>
      </w:r>
    </w:p>
    <w:p w14:paraId="065F8F2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tLeas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14:paraId="3067661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tLeast"/>
        <w:ind w:firstLine="560" w:firstLineChars="200"/>
        <w:textAlignment w:val="auto"/>
        <w:rPr>
          <w:rFonts w:hint="eastAsia" w:ascii="黑体" w:hAnsi="黑体" w:cs="宋体"/>
          <w:b w:val="0"/>
          <w:spacing w:val="0"/>
          <w:sz w:val="28"/>
          <w:szCs w:val="28"/>
        </w:rPr>
      </w:pPr>
      <w:r>
        <w:rPr>
          <w:rFonts w:hint="eastAsia" w:ascii="仿宋" w:hAnsi="仿宋" w:eastAsia="仿宋"/>
          <w:sz w:val="28"/>
          <w:szCs w:val="28"/>
          <w:u w:val="none"/>
        </w:rPr>
        <w:t xml:space="preserve"> </w:t>
      </w:r>
      <w:r>
        <w:rPr>
          <w:rFonts w:hint="eastAsia" w:ascii="仿宋" w:hAnsi="仿宋" w:eastAsia="仿宋"/>
          <w:sz w:val="28"/>
          <w:szCs w:val="28"/>
          <w:u w:val="none"/>
          <w:lang w:eastAsia="zh-CN"/>
        </w:rPr>
        <w:t>柯坪县工人文化宫整体搬迁设备采购安装项目</w:t>
      </w:r>
      <w:r>
        <w:rPr>
          <w:rFonts w:hint="eastAsia" w:ascii="仿宋" w:hAnsi="仿宋" w:eastAsia="仿宋"/>
          <w:sz w:val="28"/>
          <w:szCs w:val="28"/>
          <w:u w:val="none"/>
        </w:rPr>
        <w:t xml:space="preserve"> </w:t>
      </w:r>
      <w:r>
        <w:rPr>
          <w:rFonts w:hint="eastAsia" w:ascii="仿宋" w:hAnsi="仿宋" w:eastAsia="仿宋"/>
          <w:sz w:val="28"/>
          <w:szCs w:val="28"/>
        </w:rPr>
        <w:t>招标项目的潜在投标人应在</w:t>
      </w:r>
      <w:r>
        <w:rPr>
          <w:rFonts w:hint="eastAsia" w:ascii="仿宋" w:hAnsi="仿宋" w:eastAsia="仿宋"/>
          <w:sz w:val="28"/>
          <w:szCs w:val="28"/>
          <w:u w:val="none"/>
        </w:rPr>
        <w:t>政采云平台线上</w:t>
      </w:r>
      <w:r>
        <w:rPr>
          <w:rFonts w:hint="eastAsia" w:ascii="仿宋" w:hAnsi="仿宋" w:eastAsia="仿宋"/>
          <w:sz w:val="28"/>
          <w:szCs w:val="28"/>
        </w:rPr>
        <w:t>获取招标文件，并于</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w:t>
      </w:r>
      <w:r>
        <w:rPr>
          <w:rFonts w:hint="eastAsia" w:ascii="仿宋" w:hAnsi="仿宋" w:eastAsia="仿宋"/>
          <w:sz w:val="28"/>
          <w:szCs w:val="28"/>
          <w:lang w:val="en-US" w:eastAsia="zh-CN"/>
        </w:rPr>
        <w:t>11</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w:t>
      </w:r>
      <w:r>
        <w:rPr>
          <w:rFonts w:hint="eastAsia" w:ascii="仿宋" w:hAnsi="仿宋" w:eastAsia="仿宋"/>
          <w:bCs/>
          <w:sz w:val="28"/>
          <w:szCs w:val="28"/>
        </w:rPr>
        <w:t>前递交投标</w:t>
      </w:r>
      <w:r>
        <w:rPr>
          <w:rFonts w:ascii="仿宋" w:hAnsi="仿宋" w:eastAsia="仿宋"/>
          <w:bCs/>
          <w:sz w:val="28"/>
          <w:szCs w:val="28"/>
        </w:rPr>
        <w:t>文件</w:t>
      </w:r>
      <w:r>
        <w:rPr>
          <w:rFonts w:hint="eastAsia" w:ascii="仿宋" w:hAnsi="仿宋" w:eastAsia="仿宋"/>
          <w:sz w:val="28"/>
          <w:szCs w:val="28"/>
        </w:rPr>
        <w:t>。</w:t>
      </w:r>
      <w:bookmarkStart w:id="33" w:name="_Toc35393790"/>
      <w:bookmarkStart w:id="34" w:name="_Toc28359002"/>
      <w:bookmarkStart w:id="35" w:name="_Toc28359079"/>
      <w:bookmarkStart w:id="36" w:name="_Hlk24379207"/>
      <w:bookmarkStart w:id="37" w:name="_Toc35393621"/>
    </w:p>
    <w:bookmarkEnd w:id="33"/>
    <w:bookmarkEnd w:id="34"/>
    <w:bookmarkEnd w:id="35"/>
    <w:bookmarkEnd w:id="36"/>
    <w:bookmarkEnd w:id="37"/>
    <w:p w14:paraId="024468AF">
      <w:pPr>
        <w:pStyle w:val="3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6"/>
          <w:rFonts w:ascii="黑体" w:hAnsi="宋体" w:eastAsia="黑体" w:cs="黑体"/>
          <w:i w:val="0"/>
          <w:iCs w:val="0"/>
          <w:caps w:val="0"/>
          <w:color w:val="000000"/>
          <w:spacing w:val="0"/>
          <w:sz w:val="27"/>
          <w:szCs w:val="27"/>
        </w:rPr>
        <w:t>一、项目基本情况</w:t>
      </w:r>
    </w:p>
    <w:p w14:paraId="238CE424">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lang w:val="en-US" w:eastAsia="zh-CN"/>
        </w:rPr>
        <w:t>分KPXZCY2024-003</w:t>
      </w:r>
    </w:p>
    <w:p w14:paraId="28B4EC5A">
      <w:pPr>
        <w:pStyle w:val="37"/>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柯坪县工人文化宫整体搬迁设备采购安装项目</w:t>
      </w:r>
    </w:p>
    <w:p w14:paraId="32D740D1">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14:paraId="70F0A8C2">
      <w:pPr>
        <w:pStyle w:val="37"/>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500万元</w:t>
      </w:r>
    </w:p>
    <w:p w14:paraId="550E0597">
      <w:pPr>
        <w:pStyle w:val="37"/>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450</w:t>
      </w:r>
      <w:r>
        <w:rPr>
          <w:rFonts w:hint="eastAsia" w:ascii="仿宋" w:hAnsi="仿宋" w:eastAsia="仿宋" w:cs="仿宋"/>
          <w:i w:val="0"/>
          <w:iCs w:val="0"/>
          <w:caps w:val="0"/>
          <w:color w:val="000000"/>
          <w:spacing w:val="0"/>
          <w:sz w:val="27"/>
          <w:szCs w:val="27"/>
          <w:lang w:eastAsia="zh-CN"/>
        </w:rPr>
        <w:t>万元</w:t>
      </w:r>
    </w:p>
    <w:p w14:paraId="4911D88F">
      <w:pPr>
        <w:pStyle w:val="3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w:t>
      </w:r>
      <w:r>
        <w:rPr>
          <w:rFonts w:hint="eastAsia" w:ascii="仿宋" w:hAnsi="仿宋" w:eastAsia="仿宋" w:cs="仿宋"/>
          <w:i w:val="0"/>
          <w:iCs w:val="0"/>
          <w:caps w:val="0"/>
          <w:color w:val="000000"/>
          <w:spacing w:val="0"/>
          <w:sz w:val="27"/>
          <w:szCs w:val="27"/>
          <w:lang w:eastAsia="zh-CN"/>
        </w:rPr>
        <w:t>：详见清单</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标项名称:</w:t>
      </w:r>
      <w:r>
        <w:rPr>
          <w:rFonts w:hint="eastAsia" w:ascii="仿宋" w:hAnsi="仿宋" w:eastAsia="仿宋" w:cs="仿宋"/>
          <w:i w:val="0"/>
          <w:iCs w:val="0"/>
          <w:caps w:val="0"/>
          <w:color w:val="000000"/>
          <w:spacing w:val="0"/>
          <w:sz w:val="27"/>
          <w:szCs w:val="27"/>
          <w:lang w:eastAsia="zh-CN"/>
        </w:rPr>
        <w:t>柯坪县工人文化宫整体搬迁设备采购安装项目</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数量:1</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val="en-US" w:eastAsia="zh-CN"/>
        </w:rPr>
        <w:t>500</w:t>
      </w:r>
      <w:r>
        <w:rPr>
          <w:rFonts w:hint="eastAsia" w:ascii="仿宋" w:hAnsi="仿宋" w:eastAsia="仿宋" w:cs="仿宋"/>
          <w:i w:val="0"/>
          <w:iCs w:val="0"/>
          <w:caps w:val="0"/>
          <w:color w:val="000000"/>
          <w:spacing w:val="0"/>
          <w:sz w:val="27"/>
          <w:szCs w:val="27"/>
          <w:lang w:eastAsia="zh-CN"/>
        </w:rPr>
        <w:t>万元</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简要规格描述或项目基本概况介绍、用途：</w:t>
      </w:r>
      <w:r>
        <w:rPr>
          <w:rFonts w:hint="eastAsia" w:ascii="仿宋" w:hAnsi="仿宋" w:eastAsia="仿宋" w:cs="仿宋"/>
          <w:i w:val="0"/>
          <w:iCs w:val="0"/>
          <w:caps w:val="0"/>
          <w:color w:val="000000"/>
          <w:spacing w:val="0"/>
          <w:sz w:val="27"/>
          <w:szCs w:val="27"/>
          <w:lang w:eastAsia="zh-CN"/>
        </w:rPr>
        <w:t>整体搬迁设备采购安装</w:t>
      </w:r>
      <w:r>
        <w:rPr>
          <w:rFonts w:hint="eastAsia" w:ascii="仿宋" w:hAnsi="仿宋" w:eastAsia="仿宋" w:cs="仿宋"/>
          <w:i w:val="0"/>
          <w:iCs w:val="0"/>
          <w:caps w:val="0"/>
          <w:color w:val="000000"/>
          <w:spacing w:val="0"/>
          <w:sz w:val="27"/>
          <w:szCs w:val="27"/>
        </w:rPr>
        <w:t>（详见采购需求）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备注：</w:t>
      </w:r>
    </w:p>
    <w:p w14:paraId="327576F1">
      <w:pPr>
        <w:pStyle w:val="37"/>
        <w:keepNext w:val="0"/>
        <w:keepLines w:val="0"/>
        <w:widowControl/>
        <w:suppressLineNumbers w:val="0"/>
        <w:spacing w:before="75" w:beforeAutospacing="0" w:after="75" w:afterAutospacing="0" w:line="300" w:lineRule="atLeast"/>
        <w:ind w:left="0" w:right="0" w:firstLine="420"/>
        <w:rPr>
          <w:rFonts w:hint="default"/>
          <w:lang w:val="en-US"/>
        </w:rPr>
      </w:pPr>
      <w:r>
        <w:rPr>
          <w:rFonts w:hint="eastAsia" w:ascii="仿宋" w:hAnsi="仿宋" w:eastAsia="仿宋" w:cs="仿宋"/>
          <w:i w:val="0"/>
          <w:iCs w:val="0"/>
          <w:caps w:val="0"/>
          <w:color w:val="000000"/>
          <w:spacing w:val="0"/>
          <w:sz w:val="27"/>
          <w:szCs w:val="27"/>
        </w:rPr>
        <w:t>合同履约期限：</w:t>
      </w:r>
      <w:r>
        <w:rPr>
          <w:rFonts w:hint="eastAsia" w:ascii="仿宋" w:hAnsi="仿宋" w:eastAsia="仿宋" w:cs="仿宋"/>
          <w:i w:val="0"/>
          <w:iCs w:val="0"/>
          <w:caps w:val="0"/>
          <w:color w:val="000000"/>
          <w:spacing w:val="0"/>
          <w:sz w:val="27"/>
          <w:szCs w:val="27"/>
          <w:lang w:val="en-US" w:eastAsia="zh-CN"/>
        </w:rPr>
        <w:t>甲乙双方签订</w:t>
      </w:r>
      <w:r>
        <w:rPr>
          <w:rFonts w:hint="eastAsia" w:ascii="仿宋" w:hAnsi="仿宋" w:eastAsia="仿宋" w:cs="仿宋"/>
          <w:i w:val="0"/>
          <w:iCs w:val="0"/>
          <w:caps w:val="0"/>
          <w:color w:val="000000"/>
          <w:spacing w:val="0"/>
          <w:sz w:val="27"/>
          <w:szCs w:val="27"/>
        </w:rPr>
        <w:t>合同</w:t>
      </w:r>
      <w:r>
        <w:rPr>
          <w:rFonts w:hint="eastAsia" w:ascii="仿宋" w:hAnsi="仿宋" w:eastAsia="仿宋" w:cs="仿宋"/>
          <w:i w:val="0"/>
          <w:iCs w:val="0"/>
          <w:caps w:val="0"/>
          <w:color w:val="000000"/>
          <w:spacing w:val="0"/>
          <w:sz w:val="27"/>
          <w:szCs w:val="27"/>
          <w:lang w:val="en-US" w:eastAsia="zh-CN"/>
        </w:rPr>
        <w:t>时商议。</w:t>
      </w:r>
    </w:p>
    <w:p w14:paraId="50F13087">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14:paraId="42C742A1">
      <w:pPr>
        <w:pStyle w:val="37"/>
        <w:keepNext w:val="0"/>
        <w:keepLines w:val="0"/>
        <w:widowControl/>
        <w:suppressLineNumbers w:val="0"/>
        <w:spacing w:before="75" w:beforeAutospacing="0" w:after="75" w:afterAutospacing="0" w:line="300" w:lineRule="atLeast"/>
        <w:ind w:left="0" w:right="0"/>
      </w:pPr>
    </w:p>
    <w:p w14:paraId="555FA716">
      <w:pPr>
        <w:pStyle w:val="37"/>
        <w:keepNext w:val="0"/>
        <w:keepLines w:val="0"/>
        <w:widowControl/>
        <w:suppressLineNumbers w:val="0"/>
        <w:spacing w:before="75" w:beforeAutospacing="0" w:after="75" w:afterAutospacing="0" w:line="300" w:lineRule="atLeast"/>
        <w:ind w:left="0" w:right="0"/>
      </w:pPr>
      <w:r>
        <w:rPr>
          <w:rStyle w:val="46"/>
          <w:rFonts w:ascii="黑体" w:hAnsi="宋体" w:eastAsia="黑体" w:cs="黑体"/>
          <w:i w:val="0"/>
          <w:iCs w:val="0"/>
          <w:caps w:val="0"/>
          <w:color w:val="000000"/>
          <w:spacing w:val="0"/>
          <w:sz w:val="27"/>
          <w:szCs w:val="27"/>
        </w:rPr>
        <w:t>二、申请人的资格要求：</w:t>
      </w:r>
    </w:p>
    <w:p w14:paraId="1DC79EC9">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14:paraId="29636F6E">
      <w:pPr>
        <w:pStyle w:val="3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2.落实政府采购政策需满足的资格要求：标项1：</w:t>
      </w:r>
      <w:r>
        <w:rPr>
          <w:rFonts w:hint="eastAsia" w:ascii="仿宋" w:hAnsi="仿宋" w:eastAsia="仿宋" w:cs="仿宋"/>
          <w:i w:val="0"/>
          <w:iCs w:val="0"/>
          <w:caps w:val="0"/>
          <w:color w:val="000000"/>
          <w:spacing w:val="0"/>
          <w:sz w:val="27"/>
          <w:szCs w:val="27"/>
          <w:lang w:eastAsia="zh-CN"/>
        </w:rPr>
        <w:t>本项目不专门面向中小微企业。</w:t>
      </w:r>
    </w:p>
    <w:p w14:paraId="490C06D1">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3.本项目的特定资格要求：无</w:t>
      </w:r>
    </w:p>
    <w:p w14:paraId="6BED1AF4">
      <w:pPr>
        <w:pStyle w:val="3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6"/>
          <w:rFonts w:ascii="黑体" w:hAnsi="宋体" w:eastAsia="黑体" w:cs="黑体"/>
          <w:i w:val="0"/>
          <w:iCs w:val="0"/>
          <w:caps w:val="0"/>
          <w:color w:val="000000"/>
          <w:spacing w:val="0"/>
          <w:sz w:val="27"/>
          <w:szCs w:val="27"/>
        </w:rPr>
        <w:t>三、获取招标文件</w:t>
      </w:r>
    </w:p>
    <w:p w14:paraId="0F1B833C">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时间：2024年</w:t>
      </w:r>
      <w:r>
        <w:rPr>
          <w:rFonts w:hint="eastAsia" w:ascii="仿宋" w:hAnsi="仿宋" w:eastAsia="仿宋" w:cs="仿宋"/>
          <w:i w:val="0"/>
          <w:iCs w:val="0"/>
          <w:caps w:val="0"/>
          <w:color w:val="000000"/>
          <w:spacing w:val="0"/>
          <w:sz w:val="27"/>
          <w:szCs w:val="27"/>
          <w:lang w:val="en-US" w:eastAsia="zh-CN"/>
        </w:rPr>
        <w:t>11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27</w:t>
      </w:r>
      <w:r>
        <w:rPr>
          <w:rFonts w:hint="eastAsia" w:ascii="仿宋" w:hAnsi="仿宋" w:eastAsia="仿宋" w:cs="仿宋"/>
          <w:i w:val="0"/>
          <w:iCs w:val="0"/>
          <w:caps w:val="0"/>
          <w:color w:val="000000"/>
          <w:spacing w:val="0"/>
          <w:sz w:val="27"/>
          <w:szCs w:val="27"/>
        </w:rPr>
        <w:t>日至2024年</w:t>
      </w:r>
      <w:r>
        <w:rPr>
          <w:rFonts w:hint="eastAsia" w:ascii="仿宋" w:hAnsi="仿宋" w:eastAsia="仿宋" w:cs="仿宋"/>
          <w:i w:val="0"/>
          <w:iCs w:val="0"/>
          <w:caps w:val="0"/>
          <w:color w:val="000000"/>
          <w:spacing w:val="0"/>
          <w:sz w:val="27"/>
          <w:szCs w:val="27"/>
          <w:lang w:val="en-US" w:eastAsia="zh-CN"/>
        </w:rPr>
        <w:t>12</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04</w:t>
      </w:r>
      <w:r>
        <w:rPr>
          <w:rFonts w:hint="eastAsia" w:ascii="仿宋" w:hAnsi="仿宋" w:eastAsia="仿宋" w:cs="仿宋"/>
          <w:i w:val="0"/>
          <w:iCs w:val="0"/>
          <w:caps w:val="0"/>
          <w:color w:val="000000"/>
          <w:spacing w:val="0"/>
          <w:sz w:val="27"/>
          <w:szCs w:val="27"/>
        </w:rPr>
        <w:t>日，每天上午10:00至14:00，下午</w:t>
      </w:r>
      <w:r>
        <w:rPr>
          <w:rFonts w:hint="eastAsia" w:ascii="仿宋" w:hAnsi="仿宋" w:eastAsia="仿宋" w:cs="仿宋"/>
          <w:i w:val="0"/>
          <w:iCs w:val="0"/>
          <w:caps w:val="0"/>
          <w:color w:val="000000"/>
          <w:spacing w:val="0"/>
          <w:sz w:val="27"/>
          <w:szCs w:val="27"/>
          <w:lang w:val="en-US" w:eastAsia="zh-CN"/>
        </w:rPr>
        <w:t>15</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0至</w:t>
      </w:r>
      <w:r>
        <w:rPr>
          <w:rFonts w:hint="eastAsia" w:ascii="仿宋" w:hAnsi="仿宋" w:eastAsia="仿宋" w:cs="仿宋"/>
          <w:i w:val="0"/>
          <w:iCs w:val="0"/>
          <w:caps w:val="0"/>
          <w:color w:val="000000"/>
          <w:spacing w:val="0"/>
          <w:sz w:val="27"/>
          <w:szCs w:val="27"/>
          <w:lang w:val="en-US" w:eastAsia="zh-CN"/>
        </w:rPr>
        <w:t>19</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0（北京时间，法定节假日除外）</w:t>
      </w:r>
    </w:p>
    <w:p w14:paraId="7EED0CBB">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地点：政采云平台线上</w:t>
      </w:r>
    </w:p>
    <w:p w14:paraId="20ABF044">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方式：</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登录政采云平台https://www.zcygov.cn/在线申请获取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（进入“项目采购”应用，在获取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菜单中选择项目，申请获取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），或者点击采购公告底部潜在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”，页面跳转后登陆，直接获取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w:t>
      </w:r>
    </w:p>
    <w:p w14:paraId="0B12FC0C">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售价（元）：0</w:t>
      </w:r>
    </w:p>
    <w:p w14:paraId="567F0B00">
      <w:pPr>
        <w:pStyle w:val="3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6"/>
          <w:rFonts w:ascii="黑体" w:hAnsi="宋体" w:eastAsia="黑体" w:cs="黑体"/>
          <w:i w:val="0"/>
          <w:iCs w:val="0"/>
          <w:caps w:val="0"/>
          <w:color w:val="000000"/>
          <w:spacing w:val="0"/>
          <w:sz w:val="27"/>
          <w:szCs w:val="27"/>
        </w:rPr>
        <w:t>四、提交投标文件截止时间、开标时间和地点</w:t>
      </w:r>
    </w:p>
    <w:p w14:paraId="2D4E608F">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提交投标文件截止时间：2024年</w:t>
      </w:r>
      <w:r>
        <w:rPr>
          <w:rFonts w:hint="eastAsia" w:ascii="仿宋" w:hAnsi="仿宋" w:eastAsia="仿宋" w:cs="仿宋"/>
          <w:i w:val="0"/>
          <w:iCs w:val="0"/>
          <w:caps w:val="0"/>
          <w:color w:val="000000"/>
          <w:spacing w:val="0"/>
          <w:sz w:val="27"/>
          <w:szCs w:val="27"/>
          <w:lang w:val="en-US" w:eastAsia="zh-CN"/>
        </w:rPr>
        <w:t>12</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23</w:t>
      </w:r>
      <w:r>
        <w:rPr>
          <w:rFonts w:hint="eastAsia" w:ascii="仿宋" w:hAnsi="仿宋" w:eastAsia="仿宋" w:cs="仿宋"/>
          <w:i w:val="0"/>
          <w:iCs w:val="0"/>
          <w:caps w:val="0"/>
          <w:color w:val="000000"/>
          <w:spacing w:val="0"/>
          <w:sz w:val="27"/>
          <w:szCs w:val="27"/>
        </w:rPr>
        <w:t>日 11:</w:t>
      </w:r>
      <w:r>
        <w:rPr>
          <w:rFonts w:hint="eastAsia" w:ascii="仿宋" w:hAnsi="仿宋" w:eastAsia="仿宋" w:cs="仿宋"/>
          <w:i w:val="0"/>
          <w:iCs w:val="0"/>
          <w:caps w:val="0"/>
          <w:color w:val="000000"/>
          <w:spacing w:val="0"/>
          <w:sz w:val="27"/>
          <w:szCs w:val="27"/>
          <w:lang w:val="en-US" w:eastAsia="zh-CN"/>
        </w:rPr>
        <w:t>30</w:t>
      </w:r>
      <w:r>
        <w:rPr>
          <w:rFonts w:hint="eastAsia" w:ascii="仿宋" w:hAnsi="仿宋" w:eastAsia="仿宋" w:cs="仿宋"/>
          <w:i w:val="0"/>
          <w:iCs w:val="0"/>
          <w:caps w:val="0"/>
          <w:color w:val="000000"/>
          <w:spacing w:val="0"/>
          <w:sz w:val="27"/>
          <w:szCs w:val="27"/>
        </w:rPr>
        <w:t>（北京时间）</w:t>
      </w:r>
    </w:p>
    <w:p w14:paraId="5BDFD020">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投标地点：请登录政采云投标客户端投标</w:t>
      </w:r>
    </w:p>
    <w:p w14:paraId="3D25782A">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开标时间：2024年</w:t>
      </w:r>
      <w:r>
        <w:rPr>
          <w:rFonts w:hint="eastAsia" w:ascii="仿宋" w:hAnsi="仿宋" w:eastAsia="仿宋" w:cs="仿宋"/>
          <w:i w:val="0"/>
          <w:iCs w:val="0"/>
          <w:caps w:val="0"/>
          <w:color w:val="000000"/>
          <w:spacing w:val="0"/>
          <w:sz w:val="27"/>
          <w:szCs w:val="27"/>
          <w:lang w:val="en-US" w:eastAsia="zh-CN"/>
        </w:rPr>
        <w:t>12</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23</w:t>
      </w:r>
      <w:r>
        <w:rPr>
          <w:rFonts w:hint="eastAsia" w:ascii="仿宋" w:hAnsi="仿宋" w:eastAsia="仿宋" w:cs="仿宋"/>
          <w:i w:val="0"/>
          <w:iCs w:val="0"/>
          <w:caps w:val="0"/>
          <w:color w:val="000000"/>
          <w:spacing w:val="0"/>
          <w:sz w:val="27"/>
          <w:szCs w:val="27"/>
        </w:rPr>
        <w:t>日 11:</w:t>
      </w:r>
      <w:r>
        <w:rPr>
          <w:rFonts w:hint="eastAsia" w:ascii="仿宋" w:hAnsi="仿宋" w:eastAsia="仿宋" w:cs="仿宋"/>
          <w:i w:val="0"/>
          <w:iCs w:val="0"/>
          <w:caps w:val="0"/>
          <w:color w:val="000000"/>
          <w:spacing w:val="0"/>
          <w:sz w:val="27"/>
          <w:szCs w:val="27"/>
          <w:lang w:val="en-US" w:eastAsia="zh-CN"/>
        </w:rPr>
        <w:t>30</w:t>
      </w:r>
      <w:r>
        <w:rPr>
          <w:rFonts w:hint="eastAsia" w:ascii="仿宋" w:hAnsi="仿宋" w:eastAsia="仿宋" w:cs="仿宋"/>
          <w:i w:val="0"/>
          <w:iCs w:val="0"/>
          <w:caps w:val="0"/>
          <w:color w:val="000000"/>
          <w:spacing w:val="0"/>
          <w:sz w:val="27"/>
          <w:szCs w:val="27"/>
        </w:rPr>
        <w:t>（北京时间）</w:t>
      </w:r>
    </w:p>
    <w:p w14:paraId="64D8B432">
      <w:pPr>
        <w:pStyle w:val="3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开标地点：投标人登录政采云平台https://www.zcygov.cn/，进入“项目采购-开标评标-右边选择对应项目点击“进入项目”进入开标大厅。</w:t>
      </w:r>
    </w:p>
    <w:p w14:paraId="1A559E6C">
      <w:pPr>
        <w:pStyle w:val="37"/>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46"/>
          <w:rFonts w:ascii="黑体" w:hAnsi="宋体" w:eastAsia="黑体" w:cs="黑体"/>
          <w:i w:val="0"/>
          <w:iCs w:val="0"/>
          <w:caps w:val="0"/>
          <w:color w:val="000000"/>
          <w:spacing w:val="0"/>
          <w:sz w:val="27"/>
          <w:szCs w:val="27"/>
        </w:rPr>
        <w:t>五、公告期限</w:t>
      </w:r>
    </w:p>
    <w:p w14:paraId="067ED72E">
      <w:pPr>
        <w:pStyle w:val="37"/>
        <w:keepNext w:val="0"/>
        <w:keepLines w:val="0"/>
        <w:widowControl/>
        <w:suppressLineNumbers w:val="0"/>
        <w:spacing w:before="75" w:beforeAutospacing="0" w:after="75" w:afterAutospacing="0"/>
        <w:ind w:left="0" w:right="0" w:firstLine="420"/>
      </w:pPr>
      <w:r>
        <w:rPr>
          <w:rFonts w:hint="eastAsia" w:ascii="仿宋" w:hAnsi="仿宋" w:eastAsia="仿宋" w:cs="仿宋"/>
          <w:i w:val="0"/>
          <w:iCs w:val="0"/>
          <w:caps w:val="0"/>
          <w:color w:val="000000"/>
          <w:spacing w:val="0"/>
          <w:sz w:val="27"/>
          <w:szCs w:val="27"/>
        </w:rPr>
        <w:t>自本公告发布之日起5个工作日。</w:t>
      </w:r>
    </w:p>
    <w:p w14:paraId="1A4CB0A4">
      <w:pPr>
        <w:pStyle w:val="3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6"/>
          <w:rFonts w:ascii="黑体" w:hAnsi="宋体" w:eastAsia="黑体" w:cs="黑体"/>
          <w:i w:val="0"/>
          <w:iCs w:val="0"/>
          <w:caps w:val="0"/>
          <w:color w:val="000000"/>
          <w:spacing w:val="0"/>
          <w:sz w:val="27"/>
          <w:szCs w:val="27"/>
        </w:rPr>
        <w:t>六、其他补充事宜</w:t>
      </w:r>
    </w:p>
    <w:p w14:paraId="33D928A1">
      <w:pPr>
        <w:pStyle w:val="37"/>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1、本项目实行电子招投标，</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须登录政府采购云平台申请获取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，并需要使用CA锁，在新疆政府采购网--下载专区下载--</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客户端制作投标文件，并生成JMBS格式加密文件，在投标截止前上传至政府采购云平台。若</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参与投标,自行承担与投标有关的一切费用。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2、各</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应在开标前确保是新疆维吾尔自治区政府采购网正式注册入库的</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，并完成CA数字证书申领。因未注册入库、未办理CA数字证书等原因造成无法投标或投标失败等后果的由</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在开标时须携带制作加密电子投标文件所使用的CA锁，电脑须提前配置好浏览器（建议使用360浏览器或谷歌浏览器），以便开标时在线解密。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5、投标</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应当在投标截止时间前，将生成的“JMBS格式电子加密投标文件”上传递交至“政府采购云平台”，投标截止时间以后上传递交的投标文件将被“政府采购云平台”拒收。</w:t>
      </w:r>
    </w:p>
    <w:p w14:paraId="181A1304">
      <w:pPr>
        <w:pStyle w:val="37"/>
        <w:keepNext w:val="0"/>
        <w:keepLines w:val="0"/>
        <w:widowControl/>
        <w:suppressLineNumbers w:val="0"/>
        <w:spacing w:before="75" w:beforeAutospacing="0" w:after="75" w:afterAutospacing="0"/>
        <w:ind w:left="0" w:right="0"/>
      </w:pPr>
      <w:r>
        <w:rPr>
          <w:rFonts w:hint="eastAsia" w:ascii="微软雅黑" w:hAnsi="微软雅黑" w:eastAsia="微软雅黑" w:cs="微软雅黑"/>
          <w:i w:val="0"/>
          <w:iCs w:val="0"/>
          <w:caps w:val="0"/>
          <w:color w:val="000000"/>
          <w:spacing w:val="0"/>
          <w:sz w:val="27"/>
          <w:szCs w:val="27"/>
        </w:rPr>
        <w:t>特别提示：</w:t>
      </w:r>
    </w:p>
    <w:p w14:paraId="464D42CF">
      <w:pPr>
        <w:pStyle w:val="37"/>
        <w:keepNext w:val="0"/>
        <w:keepLines w:val="0"/>
        <w:widowControl/>
        <w:suppressLineNumbers w:val="0"/>
        <w:spacing w:before="75" w:beforeAutospacing="0" w:after="75" w:afterAutospacing="0"/>
        <w:ind w:left="0" w:right="0"/>
      </w:pPr>
      <w:r>
        <w:rPr>
          <w:rFonts w:hint="eastAsia" w:ascii="微软雅黑" w:hAnsi="微软雅黑" w:eastAsia="微软雅黑" w:cs="微软雅黑"/>
          <w:i w:val="0"/>
          <w:iCs w:val="0"/>
          <w:caps w:val="0"/>
          <w:color w:val="000000"/>
          <w:spacing w:val="0"/>
          <w:sz w:val="27"/>
          <w:szCs w:val="27"/>
        </w:rPr>
        <w:t>1、采购限额标准以上，200万元以下的货物和服务采购项目、400万元以下的工程采购项目，适宜由中小企业提供的，采购人应当专门面向中小企业采购。</w:t>
      </w:r>
    </w:p>
    <w:p w14:paraId="02869986">
      <w:pPr>
        <w:pStyle w:val="37"/>
        <w:keepNext w:val="0"/>
        <w:keepLines w:val="0"/>
        <w:widowControl/>
        <w:suppressLineNumbers w:val="0"/>
        <w:spacing w:before="75" w:beforeAutospacing="0" w:after="75" w:afterAutospacing="0"/>
        <w:ind w:left="0" w:right="0"/>
      </w:pPr>
      <w:r>
        <w:rPr>
          <w:rFonts w:hint="eastAsia" w:ascii="微软雅黑" w:hAnsi="微软雅黑" w:eastAsia="微软雅黑" w:cs="微软雅黑"/>
          <w:i w:val="0"/>
          <w:iCs w:val="0"/>
          <w:caps w:val="0"/>
          <w:color w:val="000000"/>
          <w:spacing w:val="0"/>
          <w:sz w:val="27"/>
          <w:szCs w:val="27"/>
        </w:rPr>
        <w:t>2、超过200万元的货物和服务采购项目，预留该部分采购项目预算总额的30%以上专门面向中小企业采购，其中预留给小微企业的比例不低于60%。</w:t>
      </w:r>
    </w:p>
    <w:p w14:paraId="320030C9">
      <w:pPr>
        <w:pStyle w:val="37"/>
        <w:keepNext w:val="0"/>
        <w:keepLines w:val="0"/>
        <w:widowControl/>
        <w:suppressLineNumbers w:val="0"/>
        <w:spacing w:before="75" w:beforeAutospacing="0" w:after="75" w:afterAutospacing="0"/>
        <w:ind w:left="0" w:right="0"/>
      </w:pPr>
      <w:r>
        <w:rPr>
          <w:rFonts w:hint="eastAsia" w:ascii="微软雅黑" w:hAnsi="微软雅黑" w:eastAsia="微软雅黑" w:cs="微软雅黑"/>
          <w:i w:val="0"/>
          <w:iCs w:val="0"/>
          <w:caps w:val="0"/>
          <w:color w:val="000000"/>
          <w:spacing w:val="0"/>
          <w:sz w:val="27"/>
          <w:szCs w:val="27"/>
        </w:rPr>
        <w:t>3、超过400万元的工程采购项目中适宜由中小企业提供的，预留该部分采购项目预算总额的40%以上专门面向中小企业采购，其中预留给小微企业的比例不低于60%。</w:t>
      </w:r>
    </w:p>
    <w:p w14:paraId="2CBDB0BE">
      <w:pPr>
        <w:pStyle w:val="37"/>
        <w:keepNext w:val="0"/>
        <w:keepLines w:val="0"/>
        <w:widowControl/>
        <w:suppressLineNumbers w:val="0"/>
        <w:spacing w:before="75" w:beforeAutospacing="0" w:after="75" w:afterAutospacing="0"/>
        <w:ind w:left="0" w:right="0"/>
      </w:pPr>
      <w:r>
        <w:rPr>
          <w:rFonts w:hint="eastAsia" w:ascii="微软雅黑" w:hAnsi="微软雅黑" w:eastAsia="微软雅黑" w:cs="微软雅黑"/>
          <w:i w:val="0"/>
          <w:iCs w:val="0"/>
          <w:caps w:val="0"/>
          <w:color w:val="000000"/>
          <w:spacing w:val="0"/>
          <w:sz w:val="27"/>
          <w:szCs w:val="27"/>
        </w:rPr>
        <w:t>4、对于未预留份额专门面向中小企业的采购项目，以及预留份额项目中的非预留部分采购包，采购人、</w:t>
      </w:r>
      <w:r>
        <w:rPr>
          <w:rFonts w:hint="eastAsia" w:ascii="微软雅黑" w:hAnsi="微软雅黑" w:eastAsia="微软雅黑" w:cs="微软雅黑"/>
          <w:i w:val="0"/>
          <w:iCs w:val="0"/>
          <w:caps w:val="0"/>
          <w:color w:val="000000"/>
          <w:spacing w:val="0"/>
          <w:sz w:val="27"/>
          <w:szCs w:val="27"/>
          <w:lang w:eastAsia="zh-CN"/>
        </w:rPr>
        <w:t>招标代理机构</w:t>
      </w:r>
      <w:r>
        <w:rPr>
          <w:rFonts w:hint="eastAsia" w:ascii="微软雅黑" w:hAnsi="微软雅黑" w:eastAsia="微软雅黑" w:cs="微软雅黑"/>
          <w:i w:val="0"/>
          <w:iCs w:val="0"/>
          <w:caps w:val="0"/>
          <w:color w:val="000000"/>
          <w:spacing w:val="0"/>
          <w:sz w:val="27"/>
          <w:szCs w:val="27"/>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775063">
      <w:pPr>
        <w:pStyle w:val="37"/>
        <w:keepNext w:val="0"/>
        <w:keepLines w:val="0"/>
        <w:widowControl/>
        <w:suppressLineNumbers w:val="0"/>
        <w:spacing w:before="75" w:beforeAutospacing="0" w:after="75" w:afterAutospacing="0"/>
        <w:ind w:left="0" w:right="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w:t>
      </w:r>
      <w:r>
        <w:rPr>
          <w:rFonts w:hint="eastAsia" w:ascii="微软雅黑" w:hAnsi="微软雅黑" w:eastAsia="微软雅黑" w:cs="微软雅黑"/>
          <w:i w:val="0"/>
          <w:iCs w:val="0"/>
          <w:caps w:val="0"/>
          <w:color w:val="000000"/>
          <w:spacing w:val="0"/>
          <w:sz w:val="27"/>
          <w:szCs w:val="27"/>
          <w:lang w:eastAsia="zh-CN"/>
        </w:rPr>
        <w:t>招标代理机构</w:t>
      </w:r>
      <w:r>
        <w:rPr>
          <w:rFonts w:hint="eastAsia" w:ascii="微软雅黑" w:hAnsi="微软雅黑" w:eastAsia="微软雅黑" w:cs="微软雅黑"/>
          <w:i w:val="0"/>
          <w:iCs w:val="0"/>
          <w:caps w:val="0"/>
          <w:color w:val="000000"/>
          <w:spacing w:val="0"/>
          <w:sz w:val="27"/>
          <w:szCs w:val="27"/>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8C5F965">
      <w:pPr>
        <w:pStyle w:val="3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6"/>
          <w:rFonts w:ascii="黑体" w:hAnsi="宋体" w:eastAsia="黑体" w:cs="黑体"/>
          <w:i w:val="0"/>
          <w:iCs w:val="0"/>
          <w:caps w:val="0"/>
          <w:color w:val="000000"/>
          <w:spacing w:val="0"/>
          <w:sz w:val="27"/>
          <w:szCs w:val="27"/>
        </w:rPr>
        <w:t>七、对本次采购提出询问，请按以下方式联系</w:t>
      </w:r>
    </w:p>
    <w:p w14:paraId="4729FD36">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1.</w:t>
      </w:r>
      <w:r>
        <w:rPr>
          <w:rFonts w:hint="eastAsia" w:ascii="仿宋" w:hAnsi="仿宋" w:eastAsia="仿宋" w:cs="仿宋"/>
          <w:i w:val="0"/>
          <w:iCs w:val="0"/>
          <w:caps w:val="0"/>
          <w:color w:val="000000"/>
          <w:spacing w:val="0"/>
          <w:sz w:val="27"/>
          <w:szCs w:val="27"/>
          <w:lang w:eastAsia="zh-CN"/>
        </w:rPr>
        <w:t>招标人</w:t>
      </w:r>
      <w:r>
        <w:rPr>
          <w:rFonts w:hint="eastAsia" w:ascii="仿宋" w:hAnsi="仿宋" w:eastAsia="仿宋" w:cs="仿宋"/>
          <w:i w:val="0"/>
          <w:iCs w:val="0"/>
          <w:caps w:val="0"/>
          <w:color w:val="000000"/>
          <w:spacing w:val="0"/>
          <w:sz w:val="27"/>
          <w:szCs w:val="27"/>
        </w:rPr>
        <w:t>信息</w:t>
      </w:r>
    </w:p>
    <w:p w14:paraId="3164158B">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柯坪县工人文化宫</w:t>
      </w:r>
    </w:p>
    <w:p w14:paraId="19F8CA08">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地 址：柯坪县柯坪镇柯坪镇亚尔巴格居委会团结路</w:t>
      </w:r>
    </w:p>
    <w:p w14:paraId="6139AD48">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17609970228</w:t>
      </w:r>
    </w:p>
    <w:p w14:paraId="702D391C">
      <w:pPr>
        <w:pStyle w:val="37"/>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7"/>
          <w:szCs w:val="27"/>
          <w:lang w:val="en-US" w:eastAsia="zh-CN"/>
        </w:rPr>
      </w:pPr>
    </w:p>
    <w:p w14:paraId="3D5F728B">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2.</w:t>
      </w:r>
      <w:r>
        <w:rPr>
          <w:rFonts w:hint="eastAsia" w:ascii="仿宋" w:hAnsi="仿宋" w:eastAsia="仿宋" w:cs="仿宋"/>
          <w:i w:val="0"/>
          <w:iCs w:val="0"/>
          <w:caps w:val="0"/>
          <w:color w:val="000000"/>
          <w:spacing w:val="0"/>
          <w:sz w:val="27"/>
          <w:szCs w:val="27"/>
          <w:lang w:eastAsia="zh-CN"/>
        </w:rPr>
        <w:t>招标代理机构</w:t>
      </w:r>
      <w:r>
        <w:rPr>
          <w:rFonts w:hint="eastAsia" w:ascii="仿宋" w:hAnsi="仿宋" w:eastAsia="仿宋" w:cs="仿宋"/>
          <w:i w:val="0"/>
          <w:iCs w:val="0"/>
          <w:caps w:val="0"/>
          <w:color w:val="000000"/>
          <w:spacing w:val="0"/>
          <w:sz w:val="27"/>
          <w:szCs w:val="27"/>
        </w:rPr>
        <w:t>信息</w:t>
      </w:r>
    </w:p>
    <w:p w14:paraId="7890790C">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柯坪县弘智项目管理有限公司</w:t>
      </w:r>
    </w:p>
    <w:p w14:paraId="1C661593">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eastAsia="zh-CN"/>
        </w:rPr>
        <w:t>柯坪县柯坪镇杏园小区4-4门面</w:t>
      </w:r>
    </w:p>
    <w:p w14:paraId="4919147B">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13031264289</w:t>
      </w:r>
    </w:p>
    <w:p w14:paraId="0258CA37">
      <w:pPr>
        <w:pStyle w:val="37"/>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7"/>
          <w:szCs w:val="27"/>
          <w:lang w:val="en-US" w:eastAsia="zh-CN"/>
        </w:rPr>
      </w:pPr>
    </w:p>
    <w:p w14:paraId="404A133A">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3.项目联系方式</w:t>
      </w:r>
    </w:p>
    <w:p w14:paraId="67C3680F">
      <w:pPr>
        <w:pStyle w:val="37"/>
        <w:keepNext w:val="0"/>
        <w:keepLines w:val="0"/>
        <w:widowControl/>
        <w:suppressLineNumbers w:val="0"/>
        <w:spacing w:before="75" w:beforeAutospacing="0" w:after="75" w:afterAutospacing="0" w:line="240" w:lineRule="auto"/>
        <w:ind w:right="0"/>
        <w:rPr>
          <w:rFonts w:hint="eastAsia" w:ascii="仿宋" w:hAnsi="仿宋" w:eastAsia="仿宋" w:cs="仿宋"/>
        </w:rPr>
      </w:pPr>
      <w:r>
        <w:rPr>
          <w:rFonts w:hint="eastAsia" w:ascii="仿宋" w:hAnsi="仿宋" w:eastAsia="仿宋" w:cs="仿宋"/>
          <w:i w:val="0"/>
          <w:iCs w:val="0"/>
          <w:caps w:val="0"/>
          <w:color w:val="000000"/>
          <w:spacing w:val="0"/>
          <w:sz w:val="27"/>
          <w:szCs w:val="27"/>
        </w:rPr>
        <w:t>项目联系人：</w:t>
      </w:r>
      <w:r>
        <w:rPr>
          <w:rFonts w:hint="eastAsia" w:ascii="仿宋" w:hAnsi="仿宋" w:eastAsia="仿宋" w:cs="仿宋"/>
          <w:i w:val="0"/>
          <w:iCs w:val="0"/>
          <w:caps w:val="0"/>
          <w:color w:val="000000"/>
          <w:spacing w:val="0"/>
          <w:sz w:val="27"/>
          <w:szCs w:val="27"/>
          <w:lang w:eastAsia="zh-CN"/>
        </w:rPr>
        <w:t>王成永</w:t>
      </w:r>
      <w:r>
        <w:rPr>
          <w:rFonts w:hint="eastAsia" w:ascii="仿宋" w:hAnsi="仿宋" w:eastAsia="仿宋" w:cs="仿宋"/>
          <w:i w:val="0"/>
          <w:iCs w:val="0"/>
          <w:caps w:val="0"/>
          <w:color w:val="000000"/>
          <w:spacing w:val="0"/>
          <w:sz w:val="27"/>
          <w:szCs w:val="27"/>
          <w:lang w:val="en-US" w:eastAsia="zh-CN"/>
        </w:rPr>
        <w:t xml:space="preserve">  </w:t>
      </w:r>
    </w:p>
    <w:p w14:paraId="0CDE76F4">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13031264289</w:t>
      </w:r>
    </w:p>
    <w:p w14:paraId="7CFBA3AC">
      <w:pPr>
        <w:pStyle w:val="37"/>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7"/>
          <w:szCs w:val="27"/>
          <w:lang w:val="en-US" w:eastAsia="zh-CN"/>
        </w:rPr>
      </w:pPr>
    </w:p>
    <w:p w14:paraId="1D116ACD">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4、财政局监督管理部门</w:t>
      </w:r>
    </w:p>
    <w:p w14:paraId="22A08722">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eastAsia="zh-CN"/>
        </w:rPr>
        <w:t>柯坪</w:t>
      </w:r>
      <w:r>
        <w:rPr>
          <w:rFonts w:hint="eastAsia" w:ascii="仿宋" w:hAnsi="仿宋" w:eastAsia="仿宋" w:cs="仿宋"/>
          <w:i w:val="0"/>
          <w:iCs w:val="0"/>
          <w:caps w:val="0"/>
          <w:color w:val="000000"/>
          <w:spacing w:val="0"/>
          <w:sz w:val="27"/>
          <w:szCs w:val="27"/>
        </w:rPr>
        <w:t>县政府采购管理办公室  </w:t>
      </w:r>
    </w:p>
    <w:p w14:paraId="47504554">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联系人：</w:t>
      </w:r>
      <w:r>
        <w:rPr>
          <w:rFonts w:hint="eastAsia" w:ascii="仿宋" w:hAnsi="仿宋" w:eastAsia="仿宋" w:cs="仿宋"/>
          <w:i w:val="0"/>
          <w:iCs w:val="0"/>
          <w:caps w:val="0"/>
          <w:color w:val="000000"/>
          <w:spacing w:val="0"/>
          <w:sz w:val="27"/>
          <w:szCs w:val="27"/>
          <w:lang w:eastAsia="zh-CN"/>
        </w:rPr>
        <w:t>布沙热木</w:t>
      </w:r>
    </w:p>
    <w:p w14:paraId="5126C47C">
      <w:pPr>
        <w:pStyle w:val="37"/>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监督投诉电话：0997-</w:t>
      </w:r>
      <w:r>
        <w:rPr>
          <w:rFonts w:hint="eastAsia" w:ascii="仿宋" w:hAnsi="仿宋" w:eastAsia="仿宋" w:cs="仿宋"/>
          <w:i w:val="0"/>
          <w:iCs w:val="0"/>
          <w:caps w:val="0"/>
          <w:color w:val="000000"/>
          <w:spacing w:val="0"/>
          <w:sz w:val="27"/>
          <w:szCs w:val="27"/>
          <w:lang w:val="en-US" w:eastAsia="zh-CN"/>
        </w:rPr>
        <w:t>5822243</w:t>
      </w:r>
      <w:r>
        <w:rPr>
          <w:rFonts w:hint="eastAsia" w:ascii="仿宋" w:hAnsi="仿宋" w:eastAsia="仿宋" w:cs="仿宋"/>
          <w:i w:val="0"/>
          <w:iCs w:val="0"/>
          <w:caps w:val="0"/>
          <w:color w:val="000000"/>
          <w:spacing w:val="0"/>
          <w:sz w:val="27"/>
          <w:szCs w:val="27"/>
        </w:rPr>
        <w:tab/>
      </w:r>
    </w:p>
    <w:p w14:paraId="74133B2D">
      <w:pPr>
        <w:pStyle w:val="23"/>
        <w:spacing w:line="360" w:lineRule="auto"/>
        <w:rPr>
          <w:rFonts w:hint="default" w:ascii="Times New Roman" w:hAnsi="Times New Roman"/>
          <w:sz w:val="24"/>
          <w:szCs w:val="24"/>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eastAsia="zh-CN"/>
        </w:rPr>
        <w:t>柯坪</w:t>
      </w:r>
      <w:r>
        <w:rPr>
          <w:rFonts w:hint="eastAsia" w:ascii="仿宋" w:hAnsi="仿宋" w:eastAsia="仿宋" w:cs="仿宋"/>
          <w:i w:val="0"/>
          <w:iCs w:val="0"/>
          <w:caps w:val="0"/>
          <w:color w:val="000000"/>
          <w:spacing w:val="0"/>
          <w:sz w:val="27"/>
          <w:szCs w:val="27"/>
        </w:rPr>
        <w:t>县财政局</w:t>
      </w:r>
      <w:r>
        <w:rPr>
          <w:rFonts w:hint="eastAsia" w:ascii="仿宋" w:hAnsi="仿宋" w:eastAsia="仿宋" w:cs="仿宋"/>
          <w:i w:val="0"/>
          <w:iCs w:val="0"/>
          <w:caps w:val="0"/>
          <w:color w:val="000000"/>
          <w:spacing w:val="0"/>
          <w:sz w:val="27"/>
          <w:szCs w:val="27"/>
          <w:lang w:eastAsia="zh-CN"/>
        </w:rPr>
        <w:t>采购办</w:t>
      </w:r>
    </w:p>
    <w:p w14:paraId="212B68A4">
      <w:pPr>
        <w:spacing w:line="360" w:lineRule="auto"/>
        <w:jc w:val="center"/>
        <w:outlineLvl w:val="0"/>
        <w:rPr>
          <w:b/>
          <w:sz w:val="32"/>
          <w:szCs w:val="32"/>
        </w:rPr>
      </w:pPr>
      <w:r>
        <w:rPr>
          <w:sz w:val="24"/>
        </w:rPr>
        <w:br w:type="page"/>
      </w:r>
      <w:bookmarkStart w:id="38" w:name="_Toc353873938"/>
      <w:bookmarkStart w:id="39" w:name="_Toc226965856"/>
      <w:bookmarkStart w:id="40" w:name="_Toc127161488"/>
      <w:bookmarkStart w:id="41" w:name="_Toc512937850"/>
      <w:bookmarkStart w:id="42" w:name="_Toc353825548"/>
      <w:bookmarkStart w:id="43" w:name="_Toc305158928"/>
      <w:bookmarkStart w:id="44" w:name="_Toc305158854"/>
      <w:bookmarkStart w:id="45" w:name="_Toc150774783"/>
      <w:bookmarkStart w:id="46" w:name="_Toc195842950"/>
      <w:bookmarkStart w:id="47" w:name="_Toc127151777"/>
      <w:bookmarkStart w:id="48" w:name="_Toc265228423"/>
      <w:bookmarkStart w:id="49" w:name="_Toc264969275"/>
      <w:bookmarkStart w:id="50" w:name="_Toc19098"/>
      <w:r>
        <w:rPr>
          <w:b/>
          <w:sz w:val="36"/>
          <w:szCs w:val="36"/>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tbl>
      <w:tblPr>
        <w:tblStyle w:val="42"/>
        <w:tblpPr w:leftFromText="180" w:rightFromText="180" w:vertAnchor="text" w:horzAnchor="page" w:tblpX="1915" w:tblpY="309"/>
        <w:tblOverlap w:val="never"/>
        <w:tblW w:w="8881" w:type="dxa"/>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35"/>
        <w:gridCol w:w="6846"/>
      </w:tblGrid>
      <w:tr w14:paraId="4A845F9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00" w:type="dxa"/>
            <w:noWrap w:val="0"/>
            <w:vAlign w:val="center"/>
          </w:tcPr>
          <w:p w14:paraId="61D5685A">
            <w:pPr>
              <w:spacing w:line="276" w:lineRule="auto"/>
              <w:jc w:val="center"/>
              <w:rPr>
                <w:rFonts w:hint="eastAsia" w:ascii="宋体" w:hAnsi="宋体" w:cs="宋体"/>
                <w:b/>
                <w:sz w:val="24"/>
              </w:rPr>
            </w:pPr>
            <w:bookmarkStart w:id="51" w:name="_Toc149720812"/>
            <w:bookmarkStart w:id="52" w:name="_Toc127151720"/>
            <w:bookmarkStart w:id="53" w:name="_Toc226965792"/>
            <w:bookmarkStart w:id="54" w:name="_Toc226965709"/>
            <w:bookmarkStart w:id="55" w:name="_Toc226337215"/>
            <w:bookmarkStart w:id="56" w:name="_Toc226309763"/>
            <w:bookmarkStart w:id="57" w:name="_Toc150480757"/>
            <w:bookmarkStart w:id="58" w:name="_Toc164608633"/>
            <w:bookmarkStart w:id="59" w:name="_Toc151193617"/>
            <w:bookmarkStart w:id="60" w:name="_Toc127151519"/>
            <w:bookmarkStart w:id="61" w:name="_Toc164229214"/>
            <w:bookmarkStart w:id="62" w:name="_Toc151193907"/>
            <w:bookmarkStart w:id="63" w:name="_Toc151193833"/>
            <w:bookmarkStart w:id="64" w:name="_Toc195842884"/>
            <w:bookmarkStart w:id="65" w:name="_Toc150774724"/>
            <w:bookmarkStart w:id="66" w:name="_Toc150509270"/>
            <w:bookmarkStart w:id="67" w:name="_Toc150774619"/>
            <w:bookmarkStart w:id="68" w:name="_Toc142311021"/>
            <w:bookmarkStart w:id="69" w:name="_Toc164608788"/>
            <w:bookmarkStart w:id="70" w:name="_Toc520356144"/>
            <w:bookmarkStart w:id="71" w:name="_Toc164351613"/>
            <w:bookmarkStart w:id="72" w:name="_Toc127161433"/>
            <w:bookmarkStart w:id="73" w:name="_Toc151193761"/>
            <w:bookmarkStart w:id="74" w:name="_Toc164229360"/>
            <w:bookmarkStart w:id="75" w:name="_Toc151190146"/>
            <w:bookmarkStart w:id="76" w:name="_Toc151193689"/>
            <w:r>
              <w:rPr>
                <w:rFonts w:hint="eastAsia" w:ascii="宋体" w:hAnsi="宋体" w:cs="宋体"/>
                <w:b/>
                <w:sz w:val="24"/>
              </w:rPr>
              <w:t>序号</w:t>
            </w:r>
          </w:p>
        </w:tc>
        <w:tc>
          <w:tcPr>
            <w:tcW w:w="1535" w:type="dxa"/>
            <w:noWrap w:val="0"/>
            <w:vAlign w:val="center"/>
          </w:tcPr>
          <w:p w14:paraId="4045070B">
            <w:pPr>
              <w:spacing w:line="276" w:lineRule="auto"/>
              <w:jc w:val="center"/>
              <w:rPr>
                <w:rFonts w:hint="eastAsia" w:ascii="宋体" w:hAnsi="宋体" w:cs="宋体"/>
                <w:b/>
                <w:sz w:val="24"/>
              </w:rPr>
            </w:pPr>
            <w:r>
              <w:rPr>
                <w:rFonts w:hint="eastAsia" w:ascii="宋体" w:hAnsi="宋体" w:cs="宋体"/>
                <w:b/>
                <w:sz w:val="24"/>
              </w:rPr>
              <w:t>条款名称</w:t>
            </w:r>
          </w:p>
        </w:tc>
        <w:tc>
          <w:tcPr>
            <w:tcW w:w="6846" w:type="dxa"/>
            <w:noWrap w:val="0"/>
            <w:vAlign w:val="center"/>
          </w:tcPr>
          <w:p w14:paraId="5D839271">
            <w:pPr>
              <w:spacing w:line="276" w:lineRule="auto"/>
              <w:ind w:firstLine="482" w:firstLineChars="200"/>
              <w:jc w:val="center"/>
              <w:rPr>
                <w:rFonts w:hint="eastAsia" w:ascii="宋体" w:hAnsi="宋体" w:cs="宋体"/>
                <w:b/>
                <w:sz w:val="24"/>
              </w:rPr>
            </w:pPr>
            <w:r>
              <w:rPr>
                <w:rFonts w:hint="eastAsia" w:ascii="宋体" w:hAnsi="宋体" w:cs="宋体"/>
                <w:b/>
                <w:sz w:val="24"/>
              </w:rPr>
              <w:t>内   容   规   定</w:t>
            </w:r>
          </w:p>
        </w:tc>
      </w:tr>
      <w:tr w14:paraId="40E1181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0" w:type="dxa"/>
            <w:noWrap w:val="0"/>
            <w:vAlign w:val="center"/>
          </w:tcPr>
          <w:p w14:paraId="075C1A38">
            <w:pPr>
              <w:spacing w:line="276" w:lineRule="auto"/>
              <w:jc w:val="center"/>
              <w:textAlignment w:val="baseline"/>
              <w:rPr>
                <w:rFonts w:hint="eastAsia" w:ascii="宋体" w:hAnsi="宋体" w:cs="宋体"/>
                <w:sz w:val="24"/>
              </w:rPr>
            </w:pPr>
            <w:r>
              <w:rPr>
                <w:rFonts w:hint="eastAsia" w:ascii="宋体" w:hAnsi="宋体" w:cs="宋体"/>
                <w:sz w:val="24"/>
              </w:rPr>
              <w:t>1</w:t>
            </w:r>
          </w:p>
        </w:tc>
        <w:tc>
          <w:tcPr>
            <w:tcW w:w="1535" w:type="dxa"/>
            <w:noWrap w:val="0"/>
            <w:vAlign w:val="center"/>
          </w:tcPr>
          <w:p w14:paraId="47B416EA">
            <w:pPr>
              <w:spacing w:line="276" w:lineRule="auto"/>
              <w:jc w:val="center"/>
              <w:rPr>
                <w:rFonts w:hint="eastAsia" w:ascii="宋体" w:hAnsi="宋体" w:cs="宋体"/>
                <w:sz w:val="24"/>
              </w:rPr>
            </w:pPr>
            <w:r>
              <w:rPr>
                <w:rFonts w:hint="eastAsia" w:ascii="宋体" w:hAnsi="宋体" w:cs="宋体"/>
                <w:b/>
                <w:sz w:val="24"/>
              </w:rPr>
              <w:t>项目名称</w:t>
            </w:r>
          </w:p>
        </w:tc>
        <w:tc>
          <w:tcPr>
            <w:tcW w:w="6846" w:type="dxa"/>
            <w:noWrap w:val="0"/>
            <w:vAlign w:val="center"/>
          </w:tcPr>
          <w:p w14:paraId="1F41A1CF">
            <w:pPr>
              <w:spacing w:line="276" w:lineRule="auto"/>
              <w:jc w:val="left"/>
              <w:rPr>
                <w:rFonts w:hint="eastAsia" w:ascii="宋体" w:hAnsi="宋体" w:eastAsia="宋体" w:cs="宋体"/>
                <w:color w:val="0000FF"/>
                <w:sz w:val="24"/>
                <w:lang w:eastAsia="zh-CN"/>
              </w:rPr>
            </w:pPr>
            <w:r>
              <w:rPr>
                <w:rFonts w:hint="eastAsia" w:ascii="宋体" w:hAnsi="宋体" w:cs="宋体"/>
                <w:color w:val="000000"/>
                <w:sz w:val="24"/>
                <w:lang w:eastAsia="zh-CN"/>
              </w:rPr>
              <w:t>柯坪县工人文化宫整体搬迁设备采购安装项目</w:t>
            </w:r>
          </w:p>
        </w:tc>
      </w:tr>
      <w:tr w14:paraId="013FD11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 w:type="dxa"/>
            <w:noWrap w:val="0"/>
            <w:vAlign w:val="center"/>
          </w:tcPr>
          <w:p w14:paraId="4BAE6780">
            <w:pPr>
              <w:spacing w:line="276" w:lineRule="auto"/>
              <w:jc w:val="center"/>
              <w:textAlignment w:val="baseline"/>
              <w:rPr>
                <w:rFonts w:hint="eastAsia" w:ascii="宋体" w:hAnsi="宋体" w:cs="宋体"/>
                <w:sz w:val="24"/>
              </w:rPr>
            </w:pPr>
            <w:r>
              <w:rPr>
                <w:rFonts w:hint="eastAsia" w:ascii="宋体" w:hAnsi="宋体" w:cs="宋体"/>
                <w:sz w:val="24"/>
              </w:rPr>
              <w:t>2</w:t>
            </w:r>
          </w:p>
        </w:tc>
        <w:tc>
          <w:tcPr>
            <w:tcW w:w="1535" w:type="dxa"/>
            <w:noWrap w:val="0"/>
            <w:vAlign w:val="center"/>
          </w:tcPr>
          <w:p w14:paraId="734F2523">
            <w:pPr>
              <w:pStyle w:val="95"/>
              <w:spacing w:line="276" w:lineRule="auto"/>
              <w:ind w:firstLine="0" w:firstLineChars="0"/>
              <w:jc w:val="center"/>
              <w:rPr>
                <w:rFonts w:hint="eastAsia" w:ascii="宋体" w:hAnsi="宋体" w:cs="宋体"/>
                <w:b/>
                <w:color w:val="000000"/>
                <w:sz w:val="24"/>
              </w:rPr>
            </w:pPr>
            <w:r>
              <w:rPr>
                <w:rFonts w:hint="eastAsia" w:ascii="宋体" w:hAnsi="宋体" w:cs="宋体"/>
                <w:b/>
                <w:color w:val="000000"/>
                <w:sz w:val="24"/>
              </w:rPr>
              <w:t>项目编号</w:t>
            </w:r>
          </w:p>
        </w:tc>
        <w:tc>
          <w:tcPr>
            <w:tcW w:w="6846" w:type="dxa"/>
            <w:noWrap w:val="0"/>
            <w:vAlign w:val="center"/>
          </w:tcPr>
          <w:p w14:paraId="76C1AEAF">
            <w:pPr>
              <w:rPr>
                <w:rFonts w:hint="default" w:ascii="宋体" w:hAnsi="宋体" w:eastAsia="宋体" w:cs="宋体"/>
                <w:color w:val="000000"/>
                <w:lang w:val="en-US" w:eastAsia="zh-CN"/>
              </w:rPr>
            </w:pPr>
            <w:r>
              <w:rPr>
                <w:rFonts w:hint="eastAsia" w:ascii="宋体" w:hAnsi="宋体" w:cs="宋体"/>
                <w:color w:val="000000"/>
                <w:sz w:val="24"/>
                <w:szCs w:val="32"/>
                <w:lang w:eastAsia="zh-CN"/>
              </w:rPr>
              <w:t>分KPXZCY2024-003</w:t>
            </w:r>
          </w:p>
        </w:tc>
      </w:tr>
      <w:tr w14:paraId="39A1C6A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00" w:type="dxa"/>
            <w:noWrap w:val="0"/>
            <w:vAlign w:val="center"/>
          </w:tcPr>
          <w:p w14:paraId="39C690F0">
            <w:pPr>
              <w:spacing w:line="276" w:lineRule="auto"/>
              <w:jc w:val="center"/>
              <w:textAlignment w:val="baseline"/>
              <w:rPr>
                <w:rFonts w:hint="eastAsia" w:ascii="宋体" w:hAnsi="宋体" w:cs="宋体"/>
                <w:sz w:val="24"/>
              </w:rPr>
            </w:pPr>
            <w:r>
              <w:rPr>
                <w:rFonts w:hint="eastAsia" w:ascii="宋体" w:hAnsi="宋体" w:cs="宋体"/>
                <w:sz w:val="24"/>
              </w:rPr>
              <w:t>3</w:t>
            </w:r>
          </w:p>
        </w:tc>
        <w:tc>
          <w:tcPr>
            <w:tcW w:w="1535" w:type="dxa"/>
            <w:noWrap w:val="0"/>
            <w:vAlign w:val="center"/>
          </w:tcPr>
          <w:p w14:paraId="564304A4">
            <w:pPr>
              <w:spacing w:line="276" w:lineRule="auto"/>
              <w:jc w:val="center"/>
              <w:rPr>
                <w:rFonts w:hint="eastAsia" w:ascii="宋体" w:hAnsi="宋体" w:eastAsia="宋体" w:cs="宋体"/>
                <w:sz w:val="24"/>
                <w:lang w:eastAsia="zh-CN"/>
              </w:rPr>
            </w:pPr>
            <w:r>
              <w:rPr>
                <w:rFonts w:hint="eastAsia" w:ascii="宋体" w:hAnsi="宋体" w:cs="宋体"/>
                <w:b/>
                <w:sz w:val="24"/>
                <w:lang w:eastAsia="zh-CN"/>
              </w:rPr>
              <w:t>招标人</w:t>
            </w:r>
          </w:p>
        </w:tc>
        <w:tc>
          <w:tcPr>
            <w:tcW w:w="6846" w:type="dxa"/>
            <w:noWrap w:val="0"/>
            <w:vAlign w:val="center"/>
          </w:tcPr>
          <w:p w14:paraId="00E69ED1">
            <w:pPr>
              <w:spacing w:line="276" w:lineRule="auto"/>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柯坪县工人文化宫</w:t>
            </w:r>
          </w:p>
          <w:p w14:paraId="2ADA5B17">
            <w:pPr>
              <w:spacing w:line="276" w:lineRule="auto"/>
              <w:jc w:val="left"/>
              <w:rPr>
                <w:rFonts w:ascii="宋体" w:hAnsi="宋体" w:cs="宋体"/>
                <w:sz w:val="24"/>
              </w:rPr>
            </w:pPr>
            <w:r>
              <w:rPr>
                <w:rFonts w:hint="eastAsia" w:ascii="宋体" w:hAnsi="宋体" w:cs="宋体"/>
                <w:sz w:val="24"/>
              </w:rPr>
              <w:t>地 址：柯坪县柯坪镇柯坪镇亚尔巴格居委会团结路</w:t>
            </w:r>
          </w:p>
          <w:p w14:paraId="33316EE4">
            <w:pPr>
              <w:spacing w:line="276" w:lineRule="auto"/>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巴哈尔古丽</w:t>
            </w:r>
          </w:p>
          <w:p w14:paraId="65295FC9">
            <w:pPr>
              <w:spacing w:line="276" w:lineRule="auto"/>
              <w:jc w:val="left"/>
              <w:rPr>
                <w:rFonts w:hint="eastAsia" w:ascii="宋体" w:hAnsi="宋体" w:eastAsia="宋体" w:cs="宋体"/>
                <w:sz w:val="24"/>
                <w:lang w:eastAsia="zh-CN"/>
              </w:rPr>
            </w:pPr>
            <w:r>
              <w:rPr>
                <w:rFonts w:hint="eastAsia" w:ascii="宋体" w:hAnsi="宋体" w:cs="宋体"/>
                <w:sz w:val="24"/>
                <w:lang w:eastAsia="zh-CN"/>
              </w:rPr>
              <w:t>联系</w:t>
            </w:r>
            <w:r>
              <w:rPr>
                <w:rFonts w:hint="eastAsia" w:ascii="宋体" w:hAnsi="宋体" w:cs="宋体"/>
                <w:sz w:val="24"/>
              </w:rPr>
              <w:t>电话：</w:t>
            </w:r>
            <w:r>
              <w:rPr>
                <w:rFonts w:hint="eastAsia" w:ascii="宋体" w:hAnsi="宋体" w:cs="宋体"/>
                <w:sz w:val="24"/>
                <w:lang w:eastAsia="zh-CN"/>
              </w:rPr>
              <w:t>17609970228</w:t>
            </w:r>
          </w:p>
        </w:tc>
      </w:tr>
      <w:tr w14:paraId="254F072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00" w:type="dxa"/>
            <w:noWrap w:val="0"/>
            <w:vAlign w:val="center"/>
          </w:tcPr>
          <w:p w14:paraId="1DEE4D0A">
            <w:pPr>
              <w:spacing w:line="276" w:lineRule="auto"/>
              <w:jc w:val="center"/>
              <w:textAlignment w:val="baseline"/>
              <w:rPr>
                <w:rFonts w:hint="eastAsia" w:ascii="宋体" w:hAnsi="宋体" w:cs="宋体"/>
                <w:sz w:val="24"/>
              </w:rPr>
            </w:pPr>
            <w:r>
              <w:rPr>
                <w:rFonts w:hint="eastAsia" w:ascii="宋体" w:hAnsi="宋体" w:cs="宋体"/>
                <w:sz w:val="24"/>
              </w:rPr>
              <w:t>4</w:t>
            </w:r>
          </w:p>
        </w:tc>
        <w:tc>
          <w:tcPr>
            <w:tcW w:w="1535" w:type="dxa"/>
            <w:noWrap w:val="0"/>
            <w:vAlign w:val="center"/>
          </w:tcPr>
          <w:p w14:paraId="2C946192">
            <w:pPr>
              <w:spacing w:line="276" w:lineRule="auto"/>
              <w:jc w:val="center"/>
              <w:textAlignment w:val="baseline"/>
              <w:rPr>
                <w:rFonts w:hint="eastAsia" w:ascii="宋体" w:hAnsi="宋体" w:cs="宋体"/>
                <w:sz w:val="24"/>
              </w:rPr>
            </w:pPr>
            <w:r>
              <w:rPr>
                <w:rFonts w:hint="eastAsia" w:ascii="宋体" w:hAnsi="宋体" w:cs="宋体"/>
                <w:b/>
                <w:sz w:val="24"/>
              </w:rPr>
              <w:t>代理机构</w:t>
            </w:r>
          </w:p>
        </w:tc>
        <w:tc>
          <w:tcPr>
            <w:tcW w:w="6846" w:type="dxa"/>
            <w:noWrap w:val="0"/>
            <w:vAlign w:val="center"/>
          </w:tcPr>
          <w:p w14:paraId="7DCB38D3">
            <w:pPr>
              <w:spacing w:line="276" w:lineRule="auto"/>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柯坪县弘智项目管理有限公司</w:t>
            </w:r>
          </w:p>
          <w:p w14:paraId="15A91341">
            <w:pPr>
              <w:spacing w:line="276" w:lineRule="auto"/>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柯坪县柯坪镇杏园小区4-4门面</w:t>
            </w:r>
          </w:p>
          <w:p w14:paraId="7C08825D">
            <w:pPr>
              <w:spacing w:line="276" w:lineRule="auto"/>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王成永</w:t>
            </w:r>
          </w:p>
          <w:p w14:paraId="04497134">
            <w:pPr>
              <w:spacing w:line="276" w:lineRule="auto"/>
              <w:jc w:val="left"/>
              <w:rPr>
                <w:rFonts w:ascii="宋体" w:hAnsi="宋体" w:cs="宋体"/>
                <w:sz w:val="24"/>
              </w:rPr>
            </w:pPr>
            <w:r>
              <w:rPr>
                <w:rFonts w:hint="eastAsia" w:ascii="宋体" w:hAnsi="宋体" w:cs="宋体"/>
                <w:sz w:val="24"/>
              </w:rPr>
              <w:t>联系电话：13031264289</w:t>
            </w:r>
          </w:p>
        </w:tc>
      </w:tr>
      <w:tr w14:paraId="3F013C3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0" w:type="dxa"/>
            <w:noWrap w:val="0"/>
            <w:vAlign w:val="center"/>
          </w:tcPr>
          <w:p w14:paraId="6DBA5335">
            <w:pPr>
              <w:spacing w:line="276" w:lineRule="auto"/>
              <w:jc w:val="center"/>
              <w:textAlignment w:val="baseline"/>
              <w:rPr>
                <w:rFonts w:hint="eastAsia" w:ascii="宋体" w:hAnsi="宋体" w:cs="宋体"/>
                <w:sz w:val="24"/>
              </w:rPr>
            </w:pPr>
            <w:r>
              <w:rPr>
                <w:rFonts w:hint="eastAsia" w:ascii="宋体" w:hAnsi="宋体" w:cs="宋体"/>
                <w:sz w:val="24"/>
              </w:rPr>
              <w:t>5</w:t>
            </w:r>
          </w:p>
        </w:tc>
        <w:tc>
          <w:tcPr>
            <w:tcW w:w="1535" w:type="dxa"/>
            <w:noWrap w:val="0"/>
            <w:vAlign w:val="center"/>
          </w:tcPr>
          <w:p w14:paraId="754C2610">
            <w:pPr>
              <w:spacing w:line="276" w:lineRule="auto"/>
              <w:jc w:val="center"/>
              <w:textAlignment w:val="baseline"/>
              <w:rPr>
                <w:rFonts w:hint="eastAsia" w:ascii="宋体" w:hAnsi="宋体" w:cs="宋体"/>
                <w:color w:val="000000"/>
              </w:rPr>
            </w:pPr>
            <w:r>
              <w:rPr>
                <w:rFonts w:hint="eastAsia" w:ascii="宋体" w:hAnsi="宋体" w:cs="宋体"/>
                <w:b/>
                <w:color w:val="000000"/>
                <w:sz w:val="24"/>
              </w:rPr>
              <w:t>采购内容</w:t>
            </w:r>
          </w:p>
        </w:tc>
        <w:tc>
          <w:tcPr>
            <w:tcW w:w="6846" w:type="dxa"/>
            <w:noWrap w:val="0"/>
            <w:vAlign w:val="center"/>
          </w:tcPr>
          <w:p w14:paraId="725FAAD9">
            <w:pPr>
              <w:spacing w:line="276" w:lineRule="auto"/>
              <w:jc w:val="left"/>
              <w:textAlignment w:val="baseline"/>
              <w:rPr>
                <w:rFonts w:hint="eastAsia" w:ascii="宋体" w:hAnsi="宋体" w:eastAsia="宋体" w:cs="宋体"/>
                <w:color w:val="000000"/>
                <w:sz w:val="24"/>
                <w:lang w:eastAsia="zh-CN"/>
              </w:rPr>
            </w:pPr>
            <w:r>
              <w:rPr>
                <w:rFonts w:hint="eastAsia" w:ascii="宋体" w:hAnsi="宋体" w:cs="宋体"/>
                <w:color w:val="000000"/>
                <w:sz w:val="24"/>
                <w:lang w:eastAsia="zh-CN"/>
              </w:rPr>
              <w:t>整体搬迁设备采购安装</w:t>
            </w:r>
          </w:p>
        </w:tc>
      </w:tr>
      <w:tr w14:paraId="2FFE8FC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0" w:type="dxa"/>
            <w:noWrap w:val="0"/>
            <w:vAlign w:val="center"/>
          </w:tcPr>
          <w:p w14:paraId="0632007F">
            <w:pPr>
              <w:spacing w:line="276" w:lineRule="auto"/>
              <w:jc w:val="center"/>
              <w:textAlignment w:val="baseline"/>
              <w:rPr>
                <w:rFonts w:hint="eastAsia" w:ascii="宋体" w:hAnsi="宋体" w:cs="宋体"/>
                <w:sz w:val="24"/>
              </w:rPr>
            </w:pPr>
            <w:r>
              <w:rPr>
                <w:rFonts w:hint="eastAsia" w:ascii="宋体" w:hAnsi="宋体" w:cs="宋体"/>
                <w:sz w:val="24"/>
              </w:rPr>
              <w:t>6</w:t>
            </w:r>
          </w:p>
        </w:tc>
        <w:tc>
          <w:tcPr>
            <w:tcW w:w="1535" w:type="dxa"/>
            <w:noWrap w:val="0"/>
            <w:vAlign w:val="center"/>
          </w:tcPr>
          <w:p w14:paraId="3B8470FA">
            <w:pPr>
              <w:spacing w:line="276" w:lineRule="auto"/>
              <w:jc w:val="center"/>
              <w:textAlignment w:val="baseline"/>
              <w:rPr>
                <w:rFonts w:hint="eastAsia" w:ascii="宋体" w:hAnsi="宋体" w:cs="宋体"/>
                <w:b/>
                <w:sz w:val="24"/>
                <w:lang w:val="en-US" w:eastAsia="zh-CN"/>
              </w:rPr>
            </w:pPr>
            <w:r>
              <w:rPr>
                <w:rFonts w:hint="eastAsia" w:ascii="宋体" w:hAnsi="宋体" w:cs="宋体"/>
                <w:b/>
                <w:sz w:val="24"/>
                <w:lang w:val="en-US" w:eastAsia="zh-CN"/>
              </w:rPr>
              <w:t>合同履行</w:t>
            </w:r>
          </w:p>
          <w:p w14:paraId="1FBB3FB2">
            <w:pPr>
              <w:spacing w:line="276" w:lineRule="auto"/>
              <w:jc w:val="center"/>
              <w:textAlignment w:val="baseline"/>
              <w:rPr>
                <w:rFonts w:hint="default" w:ascii="宋体" w:hAnsi="宋体" w:eastAsia="宋体" w:cs="宋体"/>
                <w:b/>
                <w:sz w:val="24"/>
                <w:lang w:val="en-US" w:eastAsia="zh-CN"/>
              </w:rPr>
            </w:pPr>
            <w:r>
              <w:rPr>
                <w:rFonts w:hint="eastAsia" w:ascii="宋体" w:hAnsi="宋体" w:cs="宋体"/>
                <w:b/>
                <w:sz w:val="24"/>
                <w:lang w:val="en-US" w:eastAsia="zh-CN"/>
              </w:rPr>
              <w:t>期限</w:t>
            </w:r>
          </w:p>
        </w:tc>
        <w:tc>
          <w:tcPr>
            <w:tcW w:w="6846" w:type="dxa"/>
            <w:noWrap w:val="0"/>
            <w:vAlign w:val="center"/>
          </w:tcPr>
          <w:p w14:paraId="037792C9">
            <w:pPr>
              <w:pStyle w:val="247"/>
              <w:kinsoku w:val="0"/>
              <w:overflowPunct w:val="0"/>
              <w:spacing w:before="16"/>
              <w:jc w:val="both"/>
              <w:rPr>
                <w:rFonts w:hint="default" w:ascii="宋体" w:hAnsi="宋体" w:cs="宋体"/>
                <w:kern w:val="2"/>
                <w:lang w:val="en-US"/>
              </w:rPr>
            </w:pPr>
            <w:r>
              <w:rPr>
                <w:rFonts w:hint="eastAsia" w:ascii="宋体" w:hAnsi="宋体" w:eastAsia="宋体" w:cs="宋体"/>
                <w:kern w:val="2"/>
                <w:sz w:val="24"/>
                <w:szCs w:val="24"/>
                <w:lang w:val="en-US" w:eastAsia="zh-CN" w:bidi="ar-SA"/>
              </w:rPr>
              <w:t>甲乙双方签订合同时商议</w:t>
            </w:r>
          </w:p>
        </w:tc>
      </w:tr>
      <w:tr w14:paraId="57969D2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00" w:type="dxa"/>
            <w:noWrap w:val="0"/>
            <w:vAlign w:val="center"/>
          </w:tcPr>
          <w:p w14:paraId="0B7E51C9">
            <w:pPr>
              <w:spacing w:line="276" w:lineRule="auto"/>
              <w:jc w:val="center"/>
              <w:textAlignment w:val="baseline"/>
              <w:rPr>
                <w:rFonts w:hint="eastAsia" w:ascii="宋体" w:hAnsi="宋体" w:cs="宋体"/>
                <w:sz w:val="24"/>
              </w:rPr>
            </w:pPr>
            <w:r>
              <w:rPr>
                <w:rFonts w:hint="eastAsia" w:ascii="宋体" w:hAnsi="宋体" w:cs="宋体"/>
                <w:sz w:val="24"/>
              </w:rPr>
              <w:t>7</w:t>
            </w:r>
          </w:p>
        </w:tc>
        <w:tc>
          <w:tcPr>
            <w:tcW w:w="1535" w:type="dxa"/>
            <w:noWrap w:val="0"/>
            <w:vAlign w:val="center"/>
          </w:tcPr>
          <w:p w14:paraId="3B0923CA">
            <w:pPr>
              <w:adjustRightInd w:val="0"/>
              <w:snapToGrid w:val="0"/>
              <w:spacing w:line="276"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最高限价</w:t>
            </w:r>
          </w:p>
        </w:tc>
        <w:tc>
          <w:tcPr>
            <w:tcW w:w="6846" w:type="dxa"/>
            <w:noWrap w:val="0"/>
            <w:vAlign w:val="center"/>
          </w:tcPr>
          <w:p w14:paraId="2F05436A">
            <w:pPr>
              <w:spacing w:line="276"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4500000元，投标报价不得高于最高限价，否则视为无效投标。</w:t>
            </w:r>
          </w:p>
        </w:tc>
      </w:tr>
      <w:tr w14:paraId="38AB282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31773FEA">
            <w:pPr>
              <w:spacing w:line="276" w:lineRule="auto"/>
              <w:jc w:val="center"/>
              <w:textAlignment w:val="baseline"/>
              <w:rPr>
                <w:rFonts w:hint="eastAsia" w:ascii="宋体" w:hAnsi="宋体" w:cs="宋体"/>
                <w:sz w:val="24"/>
              </w:rPr>
            </w:pPr>
            <w:r>
              <w:rPr>
                <w:rFonts w:hint="eastAsia" w:ascii="宋体" w:hAnsi="宋体" w:cs="宋体"/>
                <w:sz w:val="24"/>
              </w:rPr>
              <w:t>8</w:t>
            </w:r>
          </w:p>
        </w:tc>
        <w:tc>
          <w:tcPr>
            <w:tcW w:w="1535" w:type="dxa"/>
            <w:noWrap w:val="0"/>
            <w:vAlign w:val="center"/>
          </w:tcPr>
          <w:p w14:paraId="5E5AC918">
            <w:pPr>
              <w:spacing w:line="276" w:lineRule="auto"/>
              <w:jc w:val="center"/>
              <w:textAlignment w:val="baseline"/>
              <w:rPr>
                <w:rFonts w:hint="eastAsia" w:ascii="宋体" w:hAnsi="宋体" w:cs="宋体"/>
                <w:b/>
                <w:sz w:val="24"/>
              </w:rPr>
            </w:pPr>
            <w:r>
              <w:rPr>
                <w:rFonts w:hint="eastAsia" w:ascii="宋体" w:hAnsi="宋体" w:cs="宋体"/>
                <w:b/>
                <w:sz w:val="24"/>
                <w:lang w:eastAsia="zh-CN"/>
              </w:rPr>
              <w:t>投标人</w:t>
            </w:r>
            <w:r>
              <w:rPr>
                <w:rFonts w:hint="eastAsia" w:ascii="宋体" w:hAnsi="宋体" w:cs="宋体"/>
                <w:b/>
                <w:sz w:val="24"/>
              </w:rPr>
              <w:t>资格</w:t>
            </w:r>
            <w:r>
              <w:rPr>
                <w:rFonts w:hint="eastAsia" w:ascii="宋体" w:hAnsi="宋体" w:cs="宋体"/>
                <w:b/>
                <w:kern w:val="0"/>
                <w:sz w:val="24"/>
              </w:rPr>
              <w:t>、能力、信誉及其它</w:t>
            </w:r>
            <w:r>
              <w:rPr>
                <w:rFonts w:hint="eastAsia" w:ascii="宋体" w:hAnsi="宋体" w:cs="宋体"/>
                <w:b/>
                <w:sz w:val="24"/>
              </w:rPr>
              <w:t>要求</w:t>
            </w:r>
          </w:p>
          <w:p w14:paraId="123A5D58">
            <w:pPr>
              <w:spacing w:line="276" w:lineRule="auto"/>
              <w:jc w:val="center"/>
              <w:textAlignment w:val="baseline"/>
              <w:rPr>
                <w:rFonts w:hint="eastAsia" w:ascii="宋体" w:hAnsi="宋体" w:cs="宋体"/>
                <w:b/>
                <w:sz w:val="24"/>
              </w:rPr>
            </w:pPr>
          </w:p>
        </w:tc>
        <w:tc>
          <w:tcPr>
            <w:tcW w:w="6846" w:type="dxa"/>
            <w:noWrap w:val="0"/>
            <w:vAlign w:val="center"/>
          </w:tcPr>
          <w:p w14:paraId="25374469">
            <w:pPr>
              <w:spacing w:line="276" w:lineRule="auto"/>
              <w:jc w:val="left"/>
              <w:textAlignment w:val="baseline"/>
              <w:rPr>
                <w:rFonts w:hint="eastAsia" w:ascii="宋体" w:hAnsi="宋体" w:cs="宋体"/>
                <w:sz w:val="24"/>
              </w:rPr>
            </w:pPr>
            <w:r>
              <w:rPr>
                <w:rFonts w:hint="eastAsia" w:ascii="宋体" w:hAnsi="宋体" w:cs="宋体"/>
                <w:sz w:val="24"/>
              </w:rPr>
              <w:t>1.满足《中华人民共和国政府采购法》第二十二条规定；</w:t>
            </w:r>
          </w:p>
          <w:p w14:paraId="194FBCFE">
            <w:pPr>
              <w:spacing w:line="276" w:lineRule="auto"/>
              <w:jc w:val="left"/>
              <w:textAlignment w:val="baseline"/>
              <w:rPr>
                <w:rFonts w:hint="eastAsia" w:ascii="宋体" w:hAnsi="宋体" w:eastAsia="宋体" w:cs="宋体"/>
                <w:sz w:val="24"/>
                <w:lang w:eastAsia="zh-CN"/>
              </w:rPr>
            </w:pPr>
            <w:r>
              <w:rPr>
                <w:rFonts w:hint="eastAsia" w:ascii="宋体" w:hAnsi="宋体" w:cs="宋体"/>
                <w:sz w:val="24"/>
              </w:rPr>
              <w:t>2.落实政府采购政策需满足的资格要求：</w:t>
            </w:r>
            <w:r>
              <w:rPr>
                <w:rFonts w:hint="eastAsia" w:ascii="宋体" w:hAnsi="宋体" w:eastAsia="宋体" w:cs="宋体"/>
                <w:sz w:val="24"/>
              </w:rPr>
              <w:t>标项1：本项目</w:t>
            </w:r>
            <w:r>
              <w:rPr>
                <w:rFonts w:hint="eastAsia" w:ascii="宋体" w:hAnsi="宋体" w:eastAsia="宋体" w:cs="宋体"/>
                <w:sz w:val="24"/>
                <w:lang w:val="en-US" w:eastAsia="zh-CN"/>
              </w:rPr>
              <w:t>不</w:t>
            </w:r>
            <w:r>
              <w:rPr>
                <w:rFonts w:hint="eastAsia" w:ascii="宋体" w:hAnsi="宋体" w:eastAsia="宋体" w:cs="宋体"/>
                <w:sz w:val="24"/>
              </w:rPr>
              <w:t>专门面向</w:t>
            </w:r>
            <w:r>
              <w:rPr>
                <w:rFonts w:hint="eastAsia" w:ascii="宋体" w:hAnsi="宋体" w:eastAsia="宋体" w:cs="宋体"/>
                <w:sz w:val="24"/>
                <w:lang w:val="en-US" w:eastAsia="zh-CN"/>
              </w:rPr>
              <w:t>中</w:t>
            </w:r>
            <w:r>
              <w:rPr>
                <w:rFonts w:hint="eastAsia" w:ascii="宋体" w:hAnsi="宋体" w:eastAsia="宋体" w:cs="宋体"/>
                <w:sz w:val="24"/>
              </w:rPr>
              <w:t>小微企业</w:t>
            </w:r>
            <w:r>
              <w:rPr>
                <w:rFonts w:hint="eastAsia" w:ascii="宋体" w:hAnsi="宋体" w:eastAsia="宋体" w:cs="宋体"/>
                <w:sz w:val="24"/>
                <w:lang w:eastAsia="zh-CN"/>
              </w:rPr>
              <w:t>。</w:t>
            </w:r>
          </w:p>
          <w:p w14:paraId="5F17D1CB">
            <w:pPr>
              <w:spacing w:line="276" w:lineRule="auto"/>
              <w:jc w:val="left"/>
              <w:textAlignment w:val="baseline"/>
              <w:rPr>
                <w:rFonts w:hint="eastAsia" w:ascii="宋体" w:hAnsi="宋体" w:cs="宋体"/>
                <w:sz w:val="24"/>
              </w:rPr>
            </w:pPr>
            <w:r>
              <w:rPr>
                <w:rFonts w:hint="eastAsia" w:ascii="宋体" w:hAnsi="宋体" w:cs="宋体"/>
                <w:sz w:val="24"/>
              </w:rPr>
              <w:t>3.本项目的特定资格要求：无</w:t>
            </w:r>
          </w:p>
          <w:p w14:paraId="637F6269">
            <w:pPr>
              <w:spacing w:line="276" w:lineRule="auto"/>
              <w:jc w:val="left"/>
              <w:textAlignment w:val="baseline"/>
              <w:rPr>
                <w:rFonts w:hint="eastAsia" w:ascii="宋体" w:hAnsi="宋体" w:cs="宋体"/>
                <w:sz w:val="24"/>
              </w:rPr>
            </w:pPr>
            <w:r>
              <w:rPr>
                <w:rFonts w:hint="eastAsia" w:ascii="宋体" w:hAnsi="宋体" w:cs="宋体"/>
                <w:sz w:val="24"/>
              </w:rPr>
              <w:t>4.本项目不接受联合体参加。</w:t>
            </w:r>
          </w:p>
          <w:p w14:paraId="14CD76F6">
            <w:pPr>
              <w:spacing w:line="276" w:lineRule="auto"/>
              <w:jc w:val="left"/>
              <w:textAlignment w:val="baseline"/>
              <w:rPr>
                <w:rFonts w:hint="eastAsia" w:ascii="宋体" w:hAnsi="宋体" w:cs="宋体"/>
                <w:sz w:val="24"/>
                <w:szCs w:val="21"/>
              </w:rPr>
            </w:pPr>
            <w:r>
              <w:rPr>
                <w:rFonts w:hint="eastAsia" w:ascii="宋体" w:hAnsi="宋体" w:cs="宋体"/>
                <w:sz w:val="24"/>
                <w:szCs w:val="21"/>
              </w:rPr>
              <w:t>注：</w:t>
            </w:r>
            <w:r>
              <w:rPr>
                <w:rFonts w:hint="eastAsia" w:ascii="宋体" w:hAnsi="宋体" w:cs="宋体"/>
                <w:sz w:val="24"/>
                <w:szCs w:val="21"/>
                <w:lang w:eastAsia="zh-CN"/>
              </w:rPr>
              <w:t>投标人</w:t>
            </w:r>
            <w:r>
              <w:rPr>
                <w:rFonts w:hint="eastAsia" w:ascii="宋体" w:hAnsi="宋体" w:cs="宋体"/>
                <w:sz w:val="24"/>
                <w:szCs w:val="21"/>
              </w:rPr>
              <w:t>提交的所有证明文件及材料必须清晰、准确、真实。</w:t>
            </w:r>
          </w:p>
        </w:tc>
      </w:tr>
      <w:tr w14:paraId="4DD320D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00" w:type="dxa"/>
            <w:noWrap w:val="0"/>
            <w:vAlign w:val="center"/>
          </w:tcPr>
          <w:p w14:paraId="0799DBD7">
            <w:pPr>
              <w:spacing w:line="276" w:lineRule="auto"/>
              <w:jc w:val="center"/>
              <w:textAlignment w:val="baseline"/>
              <w:rPr>
                <w:rFonts w:hint="eastAsia" w:ascii="宋体" w:hAnsi="宋体" w:cs="宋体"/>
                <w:sz w:val="24"/>
              </w:rPr>
            </w:pPr>
            <w:r>
              <w:rPr>
                <w:rFonts w:hint="eastAsia" w:ascii="宋体" w:hAnsi="宋体" w:cs="宋体"/>
                <w:sz w:val="24"/>
              </w:rPr>
              <w:t>9</w:t>
            </w:r>
          </w:p>
        </w:tc>
        <w:tc>
          <w:tcPr>
            <w:tcW w:w="1535" w:type="dxa"/>
            <w:noWrap w:val="0"/>
            <w:vAlign w:val="center"/>
          </w:tcPr>
          <w:p w14:paraId="2AD8416E">
            <w:pPr>
              <w:spacing w:line="276" w:lineRule="auto"/>
              <w:jc w:val="center"/>
              <w:rPr>
                <w:rFonts w:hint="eastAsia" w:ascii="宋体" w:hAnsi="宋体" w:cs="宋体"/>
                <w:b/>
                <w:bCs/>
                <w:sz w:val="24"/>
              </w:rPr>
            </w:pPr>
            <w:r>
              <w:rPr>
                <w:rFonts w:hint="eastAsia" w:ascii="宋体" w:hAnsi="宋体" w:cs="宋体"/>
                <w:b/>
                <w:bCs/>
                <w:sz w:val="24"/>
              </w:rPr>
              <w:t>资格审查</w:t>
            </w:r>
          </w:p>
          <w:p w14:paraId="152F6413">
            <w:pPr>
              <w:spacing w:line="276" w:lineRule="auto"/>
              <w:jc w:val="center"/>
              <w:rPr>
                <w:rFonts w:hint="eastAsia" w:ascii="宋体" w:hAnsi="宋体" w:cs="宋体"/>
                <w:sz w:val="24"/>
              </w:rPr>
            </w:pPr>
            <w:r>
              <w:rPr>
                <w:rFonts w:hint="eastAsia" w:ascii="宋体" w:hAnsi="宋体" w:cs="宋体"/>
                <w:b/>
                <w:bCs/>
                <w:sz w:val="24"/>
              </w:rPr>
              <w:t>方式</w:t>
            </w:r>
          </w:p>
        </w:tc>
        <w:tc>
          <w:tcPr>
            <w:tcW w:w="6846" w:type="dxa"/>
            <w:noWrap w:val="0"/>
            <w:vAlign w:val="center"/>
          </w:tcPr>
          <w:p w14:paraId="7810A7FC">
            <w:pPr>
              <w:spacing w:line="276" w:lineRule="auto"/>
              <w:jc w:val="left"/>
              <w:rPr>
                <w:rFonts w:hint="eastAsia" w:ascii="宋体" w:hAnsi="宋体" w:cs="宋体"/>
                <w:sz w:val="24"/>
              </w:rPr>
            </w:pPr>
            <w:r>
              <w:rPr>
                <w:rFonts w:hint="eastAsia" w:ascii="宋体" w:hAnsi="宋体" w:cs="宋体"/>
                <w:sz w:val="24"/>
              </w:rPr>
              <w:t>资格后审</w:t>
            </w:r>
          </w:p>
        </w:tc>
      </w:tr>
      <w:tr w14:paraId="1D7E5DF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 w:type="dxa"/>
            <w:noWrap w:val="0"/>
            <w:vAlign w:val="center"/>
          </w:tcPr>
          <w:p w14:paraId="2D8AC5C2">
            <w:pPr>
              <w:spacing w:line="276" w:lineRule="auto"/>
              <w:jc w:val="center"/>
              <w:textAlignment w:val="baseline"/>
              <w:rPr>
                <w:rFonts w:hint="eastAsia" w:ascii="宋体" w:hAnsi="宋体" w:cs="宋体"/>
                <w:sz w:val="24"/>
              </w:rPr>
            </w:pPr>
            <w:r>
              <w:rPr>
                <w:rFonts w:hint="eastAsia" w:ascii="宋体" w:hAnsi="宋体" w:cs="宋体"/>
                <w:sz w:val="24"/>
              </w:rPr>
              <w:t>10</w:t>
            </w:r>
          </w:p>
        </w:tc>
        <w:tc>
          <w:tcPr>
            <w:tcW w:w="1535" w:type="dxa"/>
            <w:noWrap w:val="0"/>
            <w:vAlign w:val="center"/>
          </w:tcPr>
          <w:p w14:paraId="7DB19C8B">
            <w:pPr>
              <w:spacing w:line="276" w:lineRule="auto"/>
              <w:jc w:val="center"/>
              <w:rPr>
                <w:rFonts w:hint="eastAsia" w:ascii="宋体" w:hAnsi="宋体" w:cs="宋体"/>
                <w:sz w:val="24"/>
              </w:rPr>
            </w:pPr>
            <w:r>
              <w:rPr>
                <w:rFonts w:hint="eastAsia" w:ascii="宋体" w:hAnsi="宋体" w:cs="宋体"/>
                <w:b/>
                <w:sz w:val="24"/>
              </w:rPr>
              <w:t>投标语言</w:t>
            </w:r>
          </w:p>
        </w:tc>
        <w:tc>
          <w:tcPr>
            <w:tcW w:w="6846" w:type="dxa"/>
            <w:noWrap w:val="0"/>
            <w:vAlign w:val="center"/>
          </w:tcPr>
          <w:p w14:paraId="12C2D9FA">
            <w:pPr>
              <w:spacing w:line="276" w:lineRule="auto"/>
              <w:jc w:val="left"/>
              <w:rPr>
                <w:rFonts w:hint="eastAsia" w:ascii="宋体" w:hAnsi="宋体" w:cs="宋体"/>
                <w:sz w:val="24"/>
              </w:rPr>
            </w:pPr>
            <w:r>
              <w:rPr>
                <w:rFonts w:hint="eastAsia" w:ascii="宋体" w:hAnsi="宋体" w:cs="宋体"/>
                <w:sz w:val="24"/>
              </w:rPr>
              <w:t>中文</w:t>
            </w:r>
          </w:p>
        </w:tc>
      </w:tr>
      <w:tr w14:paraId="4809437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0" w:type="dxa"/>
            <w:noWrap w:val="0"/>
            <w:vAlign w:val="center"/>
          </w:tcPr>
          <w:p w14:paraId="12667630">
            <w:pPr>
              <w:spacing w:line="276" w:lineRule="auto"/>
              <w:jc w:val="center"/>
              <w:textAlignment w:val="baseline"/>
              <w:rPr>
                <w:rFonts w:hint="eastAsia" w:ascii="宋体" w:hAnsi="宋体" w:cs="宋体"/>
                <w:sz w:val="24"/>
              </w:rPr>
            </w:pPr>
            <w:r>
              <w:rPr>
                <w:rFonts w:hint="eastAsia" w:ascii="宋体" w:hAnsi="宋体" w:cs="宋体"/>
                <w:sz w:val="24"/>
              </w:rPr>
              <w:t>11</w:t>
            </w:r>
          </w:p>
        </w:tc>
        <w:tc>
          <w:tcPr>
            <w:tcW w:w="1535" w:type="dxa"/>
            <w:noWrap w:val="0"/>
            <w:vAlign w:val="center"/>
          </w:tcPr>
          <w:p w14:paraId="1577069C">
            <w:pPr>
              <w:spacing w:line="276" w:lineRule="auto"/>
              <w:jc w:val="center"/>
              <w:textAlignment w:val="baseline"/>
              <w:rPr>
                <w:rFonts w:hint="eastAsia" w:ascii="宋体" w:hAnsi="宋体" w:cs="宋体"/>
                <w:b/>
                <w:sz w:val="24"/>
              </w:rPr>
            </w:pPr>
            <w:r>
              <w:rPr>
                <w:rFonts w:hint="eastAsia" w:ascii="宋体" w:hAnsi="宋体" w:cs="宋体"/>
                <w:b/>
                <w:sz w:val="24"/>
              </w:rPr>
              <w:t>投标有效期</w:t>
            </w:r>
          </w:p>
        </w:tc>
        <w:tc>
          <w:tcPr>
            <w:tcW w:w="6846" w:type="dxa"/>
            <w:noWrap w:val="0"/>
            <w:vAlign w:val="center"/>
          </w:tcPr>
          <w:p w14:paraId="627415ED">
            <w:pPr>
              <w:spacing w:line="276" w:lineRule="auto"/>
              <w:jc w:val="left"/>
              <w:textAlignment w:val="baseline"/>
              <w:rPr>
                <w:rFonts w:hint="eastAsia" w:ascii="宋体" w:hAnsi="宋体" w:cs="宋体"/>
                <w:sz w:val="24"/>
              </w:rPr>
            </w:pPr>
            <w:r>
              <w:rPr>
                <w:rFonts w:hint="eastAsia" w:ascii="宋体" w:hAnsi="宋体" w:cs="宋体"/>
                <w:sz w:val="24"/>
              </w:rPr>
              <w:t>60日历天；（从投标截止之日算起）</w:t>
            </w:r>
          </w:p>
        </w:tc>
      </w:tr>
      <w:tr w14:paraId="031F332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0"/>
            <w:vAlign w:val="center"/>
          </w:tcPr>
          <w:p w14:paraId="32DE88DC">
            <w:pPr>
              <w:spacing w:line="276" w:lineRule="auto"/>
              <w:jc w:val="center"/>
              <w:textAlignment w:val="baseline"/>
              <w:rPr>
                <w:rFonts w:hint="eastAsia" w:ascii="宋体" w:hAnsi="宋体" w:cs="宋体"/>
                <w:sz w:val="24"/>
              </w:rPr>
            </w:pPr>
            <w:r>
              <w:rPr>
                <w:rFonts w:hint="eastAsia" w:ascii="宋体" w:hAnsi="宋体" w:cs="宋体"/>
                <w:sz w:val="24"/>
              </w:rPr>
              <w:t>12</w:t>
            </w:r>
          </w:p>
        </w:tc>
        <w:tc>
          <w:tcPr>
            <w:tcW w:w="1535" w:type="dxa"/>
            <w:noWrap w:val="0"/>
            <w:vAlign w:val="center"/>
          </w:tcPr>
          <w:p w14:paraId="27D767CD">
            <w:pPr>
              <w:tabs>
                <w:tab w:val="left" w:pos="7665"/>
              </w:tabs>
              <w:spacing w:line="276" w:lineRule="auto"/>
              <w:jc w:val="center"/>
              <w:rPr>
                <w:rFonts w:hint="eastAsia" w:ascii="宋体" w:hAnsi="宋体" w:cs="宋体"/>
                <w:b/>
                <w:kern w:val="0"/>
                <w:sz w:val="24"/>
              </w:rPr>
            </w:pPr>
            <w:r>
              <w:rPr>
                <w:rFonts w:hint="eastAsia" w:ascii="宋体" w:hAnsi="宋体" w:cs="宋体"/>
                <w:b/>
                <w:kern w:val="0"/>
                <w:sz w:val="24"/>
              </w:rPr>
              <w:t>采购方式</w:t>
            </w:r>
          </w:p>
        </w:tc>
        <w:tc>
          <w:tcPr>
            <w:tcW w:w="6846" w:type="dxa"/>
            <w:noWrap w:val="0"/>
            <w:vAlign w:val="center"/>
          </w:tcPr>
          <w:p w14:paraId="73E66CF4">
            <w:pPr>
              <w:tabs>
                <w:tab w:val="left" w:pos="7665"/>
              </w:tabs>
              <w:spacing w:line="276" w:lineRule="auto"/>
              <w:jc w:val="left"/>
              <w:rPr>
                <w:rFonts w:hint="eastAsia" w:ascii="宋体" w:hAnsi="宋体" w:eastAsia="宋体" w:cs="宋体"/>
                <w:kern w:val="0"/>
                <w:sz w:val="24"/>
                <w:lang w:eastAsia="zh-CN"/>
              </w:rPr>
            </w:pPr>
            <w:r>
              <w:rPr>
                <w:rFonts w:hint="eastAsia" w:ascii="宋体" w:hAnsi="宋体" w:cs="宋体"/>
                <w:kern w:val="0"/>
                <w:sz w:val="24"/>
                <w:lang w:eastAsia="zh-CN"/>
              </w:rPr>
              <w:t>公开招标</w:t>
            </w:r>
          </w:p>
        </w:tc>
      </w:tr>
      <w:tr w14:paraId="5EA9627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00" w:type="dxa"/>
            <w:noWrap w:val="0"/>
            <w:vAlign w:val="center"/>
          </w:tcPr>
          <w:p w14:paraId="0F548760">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13</w:t>
            </w:r>
          </w:p>
        </w:tc>
        <w:tc>
          <w:tcPr>
            <w:tcW w:w="1535" w:type="dxa"/>
            <w:noWrap w:val="0"/>
            <w:vAlign w:val="center"/>
          </w:tcPr>
          <w:p w14:paraId="27D4E4A6">
            <w:pPr>
              <w:tabs>
                <w:tab w:val="left" w:pos="7665"/>
              </w:tabs>
              <w:spacing w:line="276" w:lineRule="auto"/>
              <w:jc w:val="center"/>
              <w:rPr>
                <w:rFonts w:hint="eastAsia" w:ascii="宋体" w:hAnsi="宋体" w:cs="宋体"/>
                <w:b/>
                <w:sz w:val="24"/>
              </w:rPr>
            </w:pPr>
            <w:r>
              <w:rPr>
                <w:rFonts w:hint="eastAsia" w:ascii="宋体" w:hAnsi="宋体" w:cs="宋体"/>
                <w:b/>
                <w:kern w:val="0"/>
                <w:sz w:val="24"/>
              </w:rPr>
              <w:t>评标办法</w:t>
            </w:r>
          </w:p>
        </w:tc>
        <w:tc>
          <w:tcPr>
            <w:tcW w:w="6846" w:type="dxa"/>
            <w:noWrap w:val="0"/>
            <w:vAlign w:val="center"/>
          </w:tcPr>
          <w:p w14:paraId="32123B64">
            <w:pPr>
              <w:spacing w:line="276" w:lineRule="auto"/>
              <w:ind w:left="2117" w:hanging="2116" w:hangingChars="882"/>
              <w:jc w:val="left"/>
              <w:textAlignment w:val="baseline"/>
              <w:rPr>
                <w:rFonts w:hint="eastAsia" w:ascii="宋体" w:hAnsi="宋体" w:cs="宋体"/>
                <w:kern w:val="0"/>
                <w:sz w:val="24"/>
              </w:rPr>
            </w:pPr>
            <w:r>
              <w:rPr>
                <w:rFonts w:hint="eastAsia" w:ascii="宋体" w:hAnsi="宋体" w:cs="宋体"/>
                <w:sz w:val="24"/>
              </w:rPr>
              <w:t>综合评分法</w:t>
            </w:r>
          </w:p>
        </w:tc>
      </w:tr>
      <w:tr w14:paraId="2B360A9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50885094">
            <w:pPr>
              <w:adjustRightInd w:val="0"/>
              <w:snapToGrid w:val="0"/>
              <w:spacing w:line="276" w:lineRule="auto"/>
              <w:jc w:val="center"/>
              <w:textAlignment w:val="baseline"/>
              <w:rPr>
                <w:rFonts w:hint="eastAsia" w:ascii="宋体" w:hAnsi="宋体" w:eastAsia="宋体" w:cs="宋体"/>
                <w:sz w:val="24"/>
              </w:rPr>
            </w:pPr>
            <w:r>
              <w:rPr>
                <w:rFonts w:hint="eastAsia" w:ascii="宋体" w:hAnsi="宋体" w:eastAsia="宋体" w:cs="宋体"/>
                <w:sz w:val="24"/>
              </w:rPr>
              <w:t>14</w:t>
            </w:r>
          </w:p>
        </w:tc>
        <w:tc>
          <w:tcPr>
            <w:tcW w:w="1535" w:type="dxa"/>
            <w:noWrap w:val="0"/>
            <w:vAlign w:val="center"/>
          </w:tcPr>
          <w:p w14:paraId="727000C4">
            <w:pPr>
              <w:adjustRightInd w:val="0"/>
              <w:snapToGrid w:val="0"/>
              <w:spacing w:line="276" w:lineRule="auto"/>
              <w:jc w:val="center"/>
              <w:textAlignment w:val="baseline"/>
              <w:rPr>
                <w:rFonts w:hint="eastAsia" w:ascii="宋体" w:hAnsi="宋体" w:eastAsia="宋体" w:cs="宋体"/>
                <w:sz w:val="24"/>
                <w:lang w:eastAsia="zh-CN"/>
              </w:rPr>
            </w:pPr>
            <w:r>
              <w:rPr>
                <w:rFonts w:hint="eastAsia" w:ascii="宋体" w:hAnsi="宋体" w:eastAsia="宋体" w:cs="宋体"/>
                <w:b/>
                <w:kern w:val="0"/>
                <w:sz w:val="24"/>
                <w:lang w:eastAsia="zh-CN"/>
              </w:rPr>
              <w:t>评审委员会的构成</w:t>
            </w:r>
          </w:p>
        </w:tc>
        <w:tc>
          <w:tcPr>
            <w:tcW w:w="6846" w:type="dxa"/>
            <w:noWrap w:val="0"/>
            <w:vAlign w:val="center"/>
          </w:tcPr>
          <w:p w14:paraId="3C5CDA78">
            <w:pPr>
              <w:spacing w:line="276" w:lineRule="auto"/>
              <w:ind w:left="2117" w:hanging="2116" w:hangingChars="882"/>
              <w:jc w:val="both"/>
              <w:textAlignment w:val="baseline"/>
              <w:rPr>
                <w:rFonts w:hint="eastAsia" w:ascii="宋体" w:hAnsi="宋体" w:cs="宋体"/>
                <w:kern w:val="0"/>
                <w:sz w:val="24"/>
              </w:rPr>
            </w:pPr>
            <w:r>
              <w:rPr>
                <w:rFonts w:hint="eastAsia" w:ascii="宋体" w:hAnsi="宋体" w:cs="宋体"/>
                <w:kern w:val="0"/>
                <w:sz w:val="24"/>
                <w:lang w:eastAsia="zh-CN"/>
              </w:rPr>
              <w:t>评标委员会的</w:t>
            </w:r>
            <w:r>
              <w:rPr>
                <w:rFonts w:hint="eastAsia" w:ascii="宋体" w:hAnsi="宋体" w:cs="宋体"/>
                <w:kern w:val="0"/>
                <w:sz w:val="24"/>
              </w:rPr>
              <w:t>构成：</w:t>
            </w:r>
          </w:p>
          <w:p w14:paraId="16F76E34">
            <w:pPr>
              <w:spacing w:line="276" w:lineRule="auto"/>
              <w:ind w:left="2117" w:hanging="2116" w:hangingChars="882"/>
              <w:jc w:val="both"/>
              <w:textAlignment w:val="baseline"/>
              <w:rPr>
                <w:rFonts w:hint="eastAsia" w:ascii="宋体" w:hAnsi="宋体" w:cs="宋体"/>
                <w:kern w:val="0"/>
                <w:sz w:val="24"/>
              </w:rPr>
            </w:pPr>
            <w:r>
              <w:rPr>
                <w:rFonts w:hint="eastAsia" w:ascii="宋体" w:hAnsi="宋体" w:cs="宋体"/>
                <w:kern w:val="0"/>
                <w:sz w:val="24"/>
                <w:lang w:eastAsia="zh-CN"/>
              </w:rPr>
              <w:t>评标委员会</w:t>
            </w:r>
            <w:r>
              <w:rPr>
                <w:rFonts w:hint="eastAsia" w:ascii="宋体" w:hAnsi="宋体" w:cs="宋体"/>
                <w:kern w:val="0"/>
                <w:sz w:val="24"/>
              </w:rPr>
              <w:t>由</w:t>
            </w:r>
            <w:r>
              <w:rPr>
                <w:rFonts w:hint="eastAsia" w:ascii="宋体" w:hAnsi="宋体" w:cs="宋体"/>
                <w:kern w:val="0"/>
                <w:sz w:val="24"/>
                <w:lang w:val="en-US" w:eastAsia="zh-CN"/>
              </w:rPr>
              <w:t>招标人代表1人、</w:t>
            </w:r>
            <w:r>
              <w:rPr>
                <w:rFonts w:hint="eastAsia" w:ascii="宋体" w:hAnsi="宋体" w:cs="宋体"/>
                <w:kern w:val="0"/>
                <w:sz w:val="24"/>
              </w:rPr>
              <w:t>评审专家</w:t>
            </w:r>
            <w:r>
              <w:rPr>
                <w:rFonts w:hint="eastAsia" w:ascii="宋体" w:hAnsi="宋体" w:cs="宋体"/>
                <w:kern w:val="0"/>
                <w:sz w:val="24"/>
                <w:lang w:val="en-US" w:eastAsia="zh-CN"/>
              </w:rPr>
              <w:t>4人，</w:t>
            </w:r>
            <w:r>
              <w:rPr>
                <w:rFonts w:hint="eastAsia" w:ascii="宋体" w:hAnsi="宋体" w:cs="宋体"/>
                <w:kern w:val="0"/>
                <w:sz w:val="24"/>
              </w:rPr>
              <w:t>共</w:t>
            </w:r>
            <w:r>
              <w:rPr>
                <w:rFonts w:hint="eastAsia" w:ascii="宋体" w:hAnsi="宋体" w:cs="宋体"/>
                <w:kern w:val="0"/>
                <w:sz w:val="24"/>
                <w:lang w:val="en-US" w:eastAsia="zh-CN"/>
              </w:rPr>
              <w:t>5</w:t>
            </w:r>
            <w:r>
              <w:rPr>
                <w:rFonts w:hint="eastAsia" w:ascii="宋体" w:hAnsi="宋体" w:cs="宋体"/>
                <w:kern w:val="0"/>
                <w:sz w:val="24"/>
              </w:rPr>
              <w:t>人以上单数组成。</w:t>
            </w:r>
          </w:p>
          <w:p w14:paraId="22B089AC">
            <w:pPr>
              <w:rPr>
                <w:rFonts w:hint="eastAsia"/>
              </w:rPr>
            </w:pPr>
            <w:r>
              <w:rPr>
                <w:rFonts w:hint="eastAsia" w:ascii="宋体" w:hAnsi="宋体" w:cs="宋体"/>
                <w:kern w:val="0"/>
                <w:sz w:val="24"/>
              </w:rPr>
              <w:t>评标专家确定方式：政采云专家库中随机抽取</w:t>
            </w:r>
          </w:p>
        </w:tc>
      </w:tr>
      <w:tr w14:paraId="69D3CB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0" w:type="dxa"/>
            <w:noWrap w:val="0"/>
            <w:vAlign w:val="center"/>
          </w:tcPr>
          <w:p w14:paraId="0197D5A7">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15</w:t>
            </w:r>
          </w:p>
        </w:tc>
        <w:tc>
          <w:tcPr>
            <w:tcW w:w="1535" w:type="dxa"/>
            <w:noWrap w:val="0"/>
            <w:vAlign w:val="center"/>
          </w:tcPr>
          <w:p w14:paraId="44BDF63B">
            <w:pPr>
              <w:tabs>
                <w:tab w:val="left" w:pos="7665"/>
              </w:tabs>
              <w:spacing w:line="276" w:lineRule="auto"/>
              <w:jc w:val="center"/>
              <w:rPr>
                <w:rFonts w:hint="eastAsia" w:ascii="宋体" w:hAnsi="宋体" w:eastAsia="宋体" w:cs="宋体"/>
                <w:b/>
                <w:kern w:val="0"/>
                <w:sz w:val="24"/>
                <w:lang w:eastAsia="zh-CN"/>
              </w:rPr>
            </w:pPr>
            <w:r>
              <w:rPr>
                <w:rFonts w:hint="eastAsia" w:ascii="宋体" w:hAnsi="宋体" w:cs="宋体"/>
                <w:b/>
                <w:kern w:val="0"/>
                <w:sz w:val="24"/>
              </w:rPr>
              <w:t>是否授权</w:t>
            </w:r>
            <w:r>
              <w:rPr>
                <w:rFonts w:hint="eastAsia" w:ascii="宋体" w:hAnsi="宋体" w:cs="宋体"/>
                <w:b/>
                <w:kern w:val="0"/>
                <w:sz w:val="24"/>
                <w:lang w:eastAsia="zh-CN"/>
              </w:rPr>
              <w:t>评审会</w:t>
            </w:r>
            <w:r>
              <w:rPr>
                <w:rFonts w:hint="eastAsia" w:ascii="宋体" w:hAnsi="宋体" w:cs="宋体"/>
                <w:b/>
                <w:kern w:val="0"/>
                <w:sz w:val="24"/>
              </w:rPr>
              <w:t>小组确定成交</w:t>
            </w:r>
            <w:r>
              <w:rPr>
                <w:rFonts w:hint="eastAsia" w:ascii="宋体" w:hAnsi="宋体" w:cs="宋体"/>
                <w:b/>
                <w:kern w:val="0"/>
                <w:sz w:val="24"/>
                <w:lang w:eastAsia="zh-CN"/>
              </w:rPr>
              <w:t>投标人</w:t>
            </w:r>
          </w:p>
        </w:tc>
        <w:tc>
          <w:tcPr>
            <w:tcW w:w="6846" w:type="dxa"/>
            <w:noWrap w:val="0"/>
            <w:vAlign w:val="center"/>
          </w:tcPr>
          <w:p w14:paraId="61D60C4A">
            <w:pPr>
              <w:spacing w:line="276" w:lineRule="auto"/>
              <w:jc w:val="left"/>
              <w:textAlignment w:val="baseline"/>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是</w:t>
            </w:r>
          </w:p>
          <w:p w14:paraId="2AB1A964">
            <w:pPr>
              <w:tabs>
                <w:tab w:val="left" w:pos="7665"/>
              </w:tabs>
              <w:spacing w:line="276" w:lineRule="auto"/>
              <w:jc w:val="left"/>
              <w:rPr>
                <w:rFonts w:hint="eastAsia" w:ascii="宋体" w:hAnsi="宋体" w:cs="宋体"/>
                <w:kern w:val="0"/>
                <w:sz w:val="24"/>
                <w:lang w:val="zh-CN"/>
              </w:rPr>
            </w:pPr>
            <w:r>
              <w:rPr>
                <w:rFonts w:hint="eastAsia" w:ascii="宋体" w:hAnsi="宋体" w:cs="宋体"/>
                <w:kern w:val="0"/>
                <w:sz w:val="24"/>
              </w:rPr>
              <w:t>☑否，推荐的成交候选人数：3 人</w:t>
            </w:r>
          </w:p>
        </w:tc>
      </w:tr>
      <w:tr w14:paraId="0FCA1B2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0" w:type="dxa"/>
            <w:noWrap w:val="0"/>
            <w:vAlign w:val="center"/>
          </w:tcPr>
          <w:p w14:paraId="15858483">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16</w:t>
            </w:r>
          </w:p>
        </w:tc>
        <w:tc>
          <w:tcPr>
            <w:tcW w:w="1535" w:type="dxa"/>
            <w:noWrap w:val="0"/>
            <w:vAlign w:val="center"/>
          </w:tcPr>
          <w:p w14:paraId="2691FA4B">
            <w:pPr>
              <w:tabs>
                <w:tab w:val="left" w:pos="7665"/>
              </w:tabs>
              <w:spacing w:line="276" w:lineRule="auto"/>
              <w:jc w:val="center"/>
              <w:rPr>
                <w:rFonts w:hint="eastAsia" w:ascii="宋体" w:hAnsi="宋体" w:cs="宋体"/>
                <w:b/>
                <w:kern w:val="0"/>
                <w:sz w:val="24"/>
              </w:rPr>
            </w:pPr>
            <w:r>
              <w:rPr>
                <w:rFonts w:hint="eastAsia" w:ascii="宋体" w:hAnsi="宋体" w:cs="宋体"/>
                <w:b/>
                <w:sz w:val="24"/>
                <w:lang w:val="zh-CN"/>
              </w:rPr>
              <w:t>考察现场、标前答疑会</w:t>
            </w:r>
          </w:p>
        </w:tc>
        <w:tc>
          <w:tcPr>
            <w:tcW w:w="6846" w:type="dxa"/>
            <w:noWrap w:val="0"/>
            <w:vAlign w:val="center"/>
          </w:tcPr>
          <w:p w14:paraId="357E0037">
            <w:pPr>
              <w:tabs>
                <w:tab w:val="left" w:pos="7665"/>
              </w:tabs>
              <w:spacing w:line="276" w:lineRule="auto"/>
              <w:jc w:val="left"/>
              <w:rPr>
                <w:rFonts w:hint="eastAsia" w:ascii="宋体" w:hAnsi="宋体" w:cs="宋体"/>
                <w:sz w:val="24"/>
                <w:lang w:val="zh-CN"/>
              </w:rPr>
            </w:pPr>
            <w:r>
              <w:rPr>
                <w:rFonts w:hint="eastAsia" w:ascii="宋体" w:hAnsi="宋体" w:cs="宋体"/>
                <w:sz w:val="24"/>
                <w:lang w:val="zh-CN"/>
              </w:rPr>
              <w:t>招标采购单位认为有必要，另行通知。</w:t>
            </w:r>
          </w:p>
        </w:tc>
      </w:tr>
      <w:tr w14:paraId="1FDEFBF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 w:type="dxa"/>
            <w:noWrap w:val="0"/>
            <w:vAlign w:val="center"/>
          </w:tcPr>
          <w:p w14:paraId="42C11FC4">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17</w:t>
            </w:r>
          </w:p>
        </w:tc>
        <w:tc>
          <w:tcPr>
            <w:tcW w:w="1535" w:type="dxa"/>
            <w:noWrap w:val="0"/>
            <w:vAlign w:val="center"/>
          </w:tcPr>
          <w:p w14:paraId="73887057">
            <w:pPr>
              <w:tabs>
                <w:tab w:val="left" w:pos="7665"/>
              </w:tabs>
              <w:spacing w:line="276" w:lineRule="auto"/>
              <w:jc w:val="center"/>
              <w:rPr>
                <w:rFonts w:hint="eastAsia" w:ascii="宋体" w:hAnsi="宋体" w:eastAsia="宋体" w:cs="宋体"/>
                <w:b/>
                <w:sz w:val="24"/>
                <w:lang w:val="zh-CN"/>
              </w:rPr>
            </w:pPr>
            <w:r>
              <w:rPr>
                <w:rFonts w:hint="eastAsia" w:ascii="宋体" w:hAnsi="宋体" w:eastAsia="宋体" w:cs="宋体"/>
                <w:b/>
                <w:sz w:val="24"/>
                <w:lang w:val="en-US" w:eastAsia="zh-CN"/>
              </w:rPr>
              <w:t xml:space="preserve">投标人提出问题、招标人书面澄清 </w:t>
            </w:r>
          </w:p>
          <w:p w14:paraId="4EEFD0B2">
            <w:pPr>
              <w:tabs>
                <w:tab w:val="left" w:pos="7665"/>
              </w:tabs>
              <w:spacing w:line="276" w:lineRule="auto"/>
              <w:jc w:val="center"/>
              <w:rPr>
                <w:rFonts w:hint="eastAsia" w:ascii="宋体" w:hAnsi="宋体" w:cs="宋体"/>
                <w:b/>
                <w:color w:val="FF0000"/>
                <w:kern w:val="0"/>
                <w:sz w:val="24"/>
              </w:rPr>
            </w:pPr>
            <w:r>
              <w:rPr>
                <w:rFonts w:hint="eastAsia" w:ascii="宋体" w:hAnsi="宋体" w:eastAsia="宋体" w:cs="宋体"/>
                <w:b/>
                <w:sz w:val="24"/>
                <w:lang w:val="en-US" w:eastAsia="zh-CN"/>
              </w:rPr>
              <w:t>的时间</w:t>
            </w:r>
          </w:p>
        </w:tc>
        <w:tc>
          <w:tcPr>
            <w:tcW w:w="6846" w:type="dxa"/>
            <w:noWrap w:val="0"/>
            <w:vAlign w:val="center"/>
          </w:tcPr>
          <w:p w14:paraId="69369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投标人提出问题的截止时间：投标截止日期前 10 日； </w:t>
            </w:r>
          </w:p>
          <w:p w14:paraId="5CA02BB3">
            <w:pPr>
              <w:keepNext w:val="0"/>
              <w:keepLines w:val="0"/>
              <w:widowControl/>
              <w:suppressLineNumbers w:val="0"/>
              <w:jc w:val="left"/>
              <w:rPr>
                <w:rFonts w:hint="eastAsia" w:ascii="宋体" w:hAnsi="宋体" w:eastAsia="宋体" w:cs="宋体"/>
                <w:color w:val="auto"/>
                <w:kern w:val="0"/>
                <w:sz w:val="24"/>
                <w:lang w:val="zh-CN" w:eastAsia="zh-CN"/>
              </w:rPr>
            </w:pPr>
            <w:r>
              <w:rPr>
                <w:rFonts w:hint="eastAsia" w:ascii="宋体" w:hAnsi="宋体" w:eastAsia="宋体" w:cs="宋体"/>
                <w:color w:val="000000"/>
                <w:kern w:val="0"/>
                <w:sz w:val="24"/>
                <w:szCs w:val="24"/>
                <w:lang w:val="en-US" w:eastAsia="zh-CN" w:bidi="ar"/>
              </w:rPr>
              <w:t>招标人书面澄清的截止时间：投标截止日期前 15 日。</w:t>
            </w:r>
          </w:p>
        </w:tc>
      </w:tr>
      <w:tr w14:paraId="549ED11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00" w:type="dxa"/>
            <w:noWrap w:val="0"/>
            <w:vAlign w:val="center"/>
          </w:tcPr>
          <w:p w14:paraId="3B4F3B0C">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18</w:t>
            </w:r>
          </w:p>
        </w:tc>
        <w:tc>
          <w:tcPr>
            <w:tcW w:w="1535" w:type="dxa"/>
            <w:noWrap w:val="0"/>
            <w:vAlign w:val="center"/>
          </w:tcPr>
          <w:p w14:paraId="5BCB497D">
            <w:pPr>
              <w:tabs>
                <w:tab w:val="left" w:pos="7665"/>
              </w:tabs>
              <w:spacing w:line="276" w:lineRule="auto"/>
              <w:jc w:val="center"/>
              <w:rPr>
                <w:rFonts w:hint="eastAsia" w:ascii="宋体" w:hAnsi="宋体" w:cs="宋体"/>
                <w:b/>
                <w:kern w:val="0"/>
                <w:sz w:val="24"/>
              </w:rPr>
            </w:pPr>
            <w:r>
              <w:rPr>
                <w:rFonts w:hint="eastAsia" w:ascii="宋体" w:hAnsi="宋体" w:cs="宋体"/>
                <w:b/>
                <w:kern w:val="0"/>
                <w:sz w:val="24"/>
              </w:rPr>
              <w:t>构成</w:t>
            </w:r>
            <w:r>
              <w:rPr>
                <w:rFonts w:hint="eastAsia" w:ascii="宋体" w:hAnsi="宋体" w:cs="宋体"/>
                <w:b/>
                <w:kern w:val="0"/>
                <w:sz w:val="24"/>
                <w:lang w:eastAsia="zh-CN"/>
              </w:rPr>
              <w:t>招标</w:t>
            </w:r>
            <w:r>
              <w:rPr>
                <w:rFonts w:hint="eastAsia" w:ascii="宋体" w:hAnsi="宋体" w:cs="宋体"/>
                <w:b/>
                <w:kern w:val="0"/>
                <w:sz w:val="24"/>
              </w:rPr>
              <w:t>文件的其他文件</w:t>
            </w:r>
          </w:p>
        </w:tc>
        <w:tc>
          <w:tcPr>
            <w:tcW w:w="6846" w:type="dxa"/>
            <w:noWrap w:val="0"/>
            <w:vAlign w:val="center"/>
          </w:tcPr>
          <w:p w14:paraId="745E8BA4">
            <w:pPr>
              <w:tabs>
                <w:tab w:val="left" w:pos="7665"/>
              </w:tabs>
              <w:spacing w:line="276" w:lineRule="auto"/>
              <w:jc w:val="left"/>
              <w:rPr>
                <w:rFonts w:hint="eastAsia" w:ascii="宋体" w:hAnsi="宋体" w:cs="宋体"/>
                <w:kern w:val="0"/>
                <w:sz w:val="24"/>
                <w:lang w:val="zh-CN"/>
              </w:rPr>
            </w:pPr>
            <w:r>
              <w:rPr>
                <w:rFonts w:hint="eastAsia" w:ascii="宋体" w:hAnsi="宋体" w:cs="宋体"/>
                <w:sz w:val="24"/>
                <w:lang w:val="zh-CN"/>
              </w:rPr>
              <w:t>招标文件的澄清</w:t>
            </w:r>
            <w:r>
              <w:rPr>
                <w:rFonts w:hint="eastAsia" w:ascii="宋体" w:hAnsi="宋体" w:cs="宋体"/>
                <w:sz w:val="24"/>
              </w:rPr>
              <w:t>、修改书及有关补充通知为</w:t>
            </w:r>
            <w:r>
              <w:rPr>
                <w:rFonts w:hint="eastAsia" w:ascii="宋体" w:hAnsi="宋体" w:cs="宋体"/>
                <w:sz w:val="24"/>
                <w:lang w:val="zh-CN"/>
              </w:rPr>
              <w:t>招标文件</w:t>
            </w:r>
            <w:r>
              <w:rPr>
                <w:rFonts w:hint="eastAsia" w:ascii="宋体" w:hAnsi="宋体" w:cs="宋体"/>
                <w:sz w:val="24"/>
              </w:rPr>
              <w:t>的有效组成部分。</w:t>
            </w:r>
          </w:p>
        </w:tc>
      </w:tr>
      <w:tr w14:paraId="582548C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0" w:type="dxa"/>
            <w:noWrap w:val="0"/>
            <w:vAlign w:val="center"/>
          </w:tcPr>
          <w:p w14:paraId="64F4BCBC">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19</w:t>
            </w:r>
          </w:p>
        </w:tc>
        <w:tc>
          <w:tcPr>
            <w:tcW w:w="1535" w:type="dxa"/>
            <w:noWrap w:val="0"/>
            <w:vAlign w:val="center"/>
          </w:tcPr>
          <w:p w14:paraId="4AC560EC">
            <w:pPr>
              <w:tabs>
                <w:tab w:val="left" w:pos="7665"/>
              </w:tabs>
              <w:spacing w:line="276" w:lineRule="auto"/>
              <w:jc w:val="center"/>
              <w:rPr>
                <w:rFonts w:hint="eastAsia" w:ascii="宋体" w:hAnsi="宋体" w:cs="宋体"/>
                <w:b/>
                <w:sz w:val="24"/>
              </w:rPr>
            </w:pPr>
            <w:r>
              <w:rPr>
                <w:rFonts w:hint="eastAsia" w:ascii="宋体" w:hAnsi="宋体" w:cs="宋体"/>
                <w:b/>
                <w:sz w:val="24"/>
              </w:rPr>
              <w:t>分包（转让）</w:t>
            </w:r>
          </w:p>
        </w:tc>
        <w:tc>
          <w:tcPr>
            <w:tcW w:w="6846" w:type="dxa"/>
            <w:noWrap w:val="0"/>
            <w:vAlign w:val="center"/>
          </w:tcPr>
          <w:p w14:paraId="32DA80A6">
            <w:pPr>
              <w:tabs>
                <w:tab w:val="left" w:pos="7665"/>
              </w:tabs>
              <w:spacing w:line="276" w:lineRule="auto"/>
              <w:jc w:val="left"/>
              <w:rPr>
                <w:rFonts w:hint="eastAsia" w:ascii="宋体" w:hAnsi="宋体" w:cs="宋体"/>
                <w:sz w:val="24"/>
              </w:rPr>
            </w:pPr>
            <w:r>
              <w:rPr>
                <w:rFonts w:hint="eastAsia" w:ascii="宋体" w:hAnsi="宋体" w:cs="宋体"/>
                <w:sz w:val="24"/>
              </w:rPr>
              <w:t>不允许。</w:t>
            </w:r>
          </w:p>
        </w:tc>
      </w:tr>
      <w:tr w14:paraId="52CB3C3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00" w:type="dxa"/>
            <w:noWrap w:val="0"/>
            <w:vAlign w:val="center"/>
          </w:tcPr>
          <w:p w14:paraId="511331A1">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20</w:t>
            </w:r>
          </w:p>
        </w:tc>
        <w:tc>
          <w:tcPr>
            <w:tcW w:w="1535" w:type="dxa"/>
            <w:noWrap w:val="0"/>
            <w:vAlign w:val="center"/>
          </w:tcPr>
          <w:p w14:paraId="38D5039D">
            <w:pPr>
              <w:tabs>
                <w:tab w:val="left" w:pos="7665"/>
              </w:tabs>
              <w:spacing w:line="276" w:lineRule="auto"/>
              <w:jc w:val="center"/>
              <w:rPr>
                <w:rFonts w:hint="eastAsia" w:ascii="宋体" w:hAnsi="宋体" w:cs="宋体"/>
                <w:b/>
                <w:sz w:val="24"/>
              </w:rPr>
            </w:pPr>
            <w:r>
              <w:rPr>
                <w:rFonts w:hint="eastAsia" w:ascii="宋体" w:hAnsi="宋体" w:cs="宋体"/>
                <w:b/>
                <w:sz w:val="24"/>
              </w:rPr>
              <w:t>联合投标</w:t>
            </w:r>
          </w:p>
        </w:tc>
        <w:tc>
          <w:tcPr>
            <w:tcW w:w="6846" w:type="dxa"/>
            <w:noWrap w:val="0"/>
            <w:vAlign w:val="center"/>
          </w:tcPr>
          <w:p w14:paraId="7A343F42">
            <w:pPr>
              <w:tabs>
                <w:tab w:val="left" w:pos="7665"/>
              </w:tabs>
              <w:spacing w:line="276" w:lineRule="auto"/>
              <w:jc w:val="left"/>
              <w:rPr>
                <w:rFonts w:hint="eastAsia" w:ascii="宋体" w:hAnsi="宋体" w:cs="宋体"/>
                <w:sz w:val="24"/>
              </w:rPr>
            </w:pPr>
            <w:r>
              <w:rPr>
                <w:rFonts w:hint="eastAsia" w:ascii="宋体" w:hAnsi="宋体" w:cs="宋体"/>
                <w:sz w:val="24"/>
              </w:rPr>
              <w:t>本项目不接受联合体投标。</w:t>
            </w:r>
          </w:p>
        </w:tc>
      </w:tr>
      <w:tr w14:paraId="11D7F8B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0" w:type="dxa"/>
            <w:noWrap w:val="0"/>
            <w:vAlign w:val="center"/>
          </w:tcPr>
          <w:p w14:paraId="2827C561">
            <w:pPr>
              <w:adjustRightInd w:val="0"/>
              <w:snapToGrid w:val="0"/>
              <w:spacing w:line="276" w:lineRule="auto"/>
              <w:jc w:val="center"/>
              <w:textAlignment w:val="baseline"/>
              <w:rPr>
                <w:rFonts w:hint="eastAsia" w:ascii="宋体" w:hAnsi="宋体" w:cs="宋体"/>
                <w:sz w:val="24"/>
              </w:rPr>
            </w:pPr>
            <w:r>
              <w:rPr>
                <w:rFonts w:hint="eastAsia" w:ascii="宋体" w:hAnsi="宋体" w:cs="宋体"/>
                <w:sz w:val="24"/>
              </w:rPr>
              <w:t>21</w:t>
            </w:r>
          </w:p>
        </w:tc>
        <w:tc>
          <w:tcPr>
            <w:tcW w:w="1535" w:type="dxa"/>
            <w:noWrap w:val="0"/>
            <w:vAlign w:val="center"/>
          </w:tcPr>
          <w:p w14:paraId="32CCA0A9">
            <w:pPr>
              <w:adjustRightInd w:val="0"/>
              <w:snapToGrid w:val="0"/>
              <w:spacing w:line="276" w:lineRule="auto"/>
              <w:jc w:val="center"/>
              <w:textAlignment w:val="baseline"/>
              <w:rPr>
                <w:rFonts w:hint="eastAsia" w:ascii="宋体" w:hAnsi="宋体" w:cs="宋体"/>
                <w:b/>
                <w:sz w:val="24"/>
              </w:rPr>
            </w:pPr>
            <w:r>
              <w:rPr>
                <w:rFonts w:hint="eastAsia" w:ascii="宋体" w:hAnsi="宋体" w:cs="宋体"/>
                <w:b/>
                <w:sz w:val="24"/>
              </w:rPr>
              <w:t>是否退还</w:t>
            </w:r>
            <w:r>
              <w:rPr>
                <w:rFonts w:hint="eastAsia" w:ascii="宋体" w:hAnsi="宋体" w:cs="宋体"/>
                <w:b/>
                <w:sz w:val="24"/>
                <w:lang w:eastAsia="zh-CN"/>
              </w:rPr>
              <w:t>招标</w:t>
            </w:r>
            <w:r>
              <w:rPr>
                <w:rFonts w:hint="eastAsia" w:ascii="宋体" w:hAnsi="宋体" w:cs="宋体"/>
                <w:b/>
                <w:sz w:val="24"/>
              </w:rPr>
              <w:t>文件</w:t>
            </w:r>
          </w:p>
        </w:tc>
        <w:tc>
          <w:tcPr>
            <w:tcW w:w="6846" w:type="dxa"/>
            <w:noWrap w:val="0"/>
            <w:vAlign w:val="center"/>
          </w:tcPr>
          <w:p w14:paraId="299FDE60">
            <w:pPr>
              <w:adjustRightInd w:val="0"/>
              <w:snapToGrid w:val="0"/>
              <w:spacing w:line="276" w:lineRule="auto"/>
              <w:jc w:val="left"/>
              <w:textAlignment w:val="baseline"/>
              <w:rPr>
                <w:rFonts w:hint="eastAsia" w:ascii="宋体" w:hAnsi="宋体" w:cs="宋体"/>
                <w:sz w:val="24"/>
              </w:rPr>
            </w:pPr>
            <w:r>
              <w:rPr>
                <w:rFonts w:hint="eastAsia" w:ascii="宋体" w:hAnsi="宋体" w:cs="宋体"/>
                <w:sz w:val="24"/>
              </w:rPr>
              <w:t>否</w:t>
            </w:r>
          </w:p>
        </w:tc>
      </w:tr>
      <w:tr w14:paraId="0F44C7F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00" w:type="dxa"/>
            <w:noWrap w:val="0"/>
            <w:vAlign w:val="center"/>
          </w:tcPr>
          <w:p w14:paraId="73433E0D">
            <w:pPr>
              <w:spacing w:line="276" w:lineRule="auto"/>
              <w:jc w:val="center"/>
              <w:textAlignment w:val="baseline"/>
              <w:rPr>
                <w:rFonts w:hint="eastAsia" w:ascii="宋体" w:hAnsi="宋体" w:cs="宋体"/>
                <w:sz w:val="24"/>
              </w:rPr>
            </w:pPr>
            <w:r>
              <w:rPr>
                <w:rFonts w:hint="eastAsia" w:ascii="宋体" w:hAnsi="宋体" w:cs="宋体"/>
                <w:sz w:val="24"/>
              </w:rPr>
              <w:t>22</w:t>
            </w:r>
          </w:p>
        </w:tc>
        <w:tc>
          <w:tcPr>
            <w:tcW w:w="1535" w:type="dxa"/>
            <w:noWrap w:val="0"/>
            <w:vAlign w:val="center"/>
          </w:tcPr>
          <w:p w14:paraId="32A43B2C">
            <w:pPr>
              <w:spacing w:line="276" w:lineRule="auto"/>
              <w:jc w:val="center"/>
              <w:rPr>
                <w:rFonts w:hint="eastAsia" w:ascii="宋体" w:hAnsi="宋体" w:cs="宋体"/>
                <w:b/>
                <w:kern w:val="0"/>
                <w:sz w:val="24"/>
              </w:rPr>
            </w:pPr>
            <w:r>
              <w:rPr>
                <w:rFonts w:hint="eastAsia" w:ascii="宋体" w:hAnsi="宋体" w:cs="宋体"/>
                <w:b/>
                <w:sz w:val="24"/>
              </w:rPr>
              <w:t>投标保证金</w:t>
            </w:r>
          </w:p>
        </w:tc>
        <w:tc>
          <w:tcPr>
            <w:tcW w:w="6846" w:type="dxa"/>
            <w:noWrap w:val="0"/>
            <w:vAlign w:val="center"/>
          </w:tcPr>
          <w:p w14:paraId="2AD9398E">
            <w:pPr>
              <w:spacing w:line="276" w:lineRule="auto"/>
              <w:jc w:val="left"/>
              <w:rPr>
                <w:rFonts w:hint="default" w:ascii="宋体" w:hAnsi="宋体" w:eastAsia="宋体" w:cs="宋体"/>
                <w:b/>
                <w:bCs/>
                <w:kern w:val="0"/>
                <w:sz w:val="24"/>
                <w:lang w:val="en-US" w:eastAsia="zh-CN"/>
              </w:rPr>
            </w:pPr>
            <w:r>
              <w:rPr>
                <w:rFonts w:hint="eastAsia" w:ascii="宋体" w:hAnsi="宋体" w:eastAsia="宋体" w:cs="宋体"/>
                <w:sz w:val="24"/>
                <w:lang w:val="en-US" w:eastAsia="zh-CN"/>
              </w:rPr>
              <w:t>本项目不缴纳</w:t>
            </w:r>
          </w:p>
        </w:tc>
      </w:tr>
      <w:tr w14:paraId="4E41222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00" w:type="dxa"/>
            <w:noWrap w:val="0"/>
            <w:vAlign w:val="center"/>
          </w:tcPr>
          <w:p w14:paraId="0AD92D96">
            <w:pPr>
              <w:spacing w:line="276" w:lineRule="auto"/>
              <w:jc w:val="center"/>
              <w:textAlignment w:val="baseline"/>
              <w:rPr>
                <w:rFonts w:hint="eastAsia" w:ascii="宋体" w:hAnsi="宋体" w:cs="宋体"/>
                <w:sz w:val="24"/>
              </w:rPr>
            </w:pPr>
            <w:r>
              <w:rPr>
                <w:rFonts w:hint="eastAsia" w:ascii="宋体" w:hAnsi="宋体" w:cs="宋体"/>
                <w:sz w:val="24"/>
              </w:rPr>
              <w:t>23</w:t>
            </w:r>
          </w:p>
        </w:tc>
        <w:tc>
          <w:tcPr>
            <w:tcW w:w="1535" w:type="dxa"/>
            <w:noWrap w:val="0"/>
            <w:vAlign w:val="center"/>
          </w:tcPr>
          <w:p w14:paraId="3E9DDC1D">
            <w:pPr>
              <w:spacing w:line="400" w:lineRule="exact"/>
              <w:jc w:val="center"/>
              <w:rPr>
                <w:rFonts w:hint="eastAsia" w:ascii="宋体" w:hAnsi="宋体" w:cs="宋体"/>
                <w:sz w:val="24"/>
              </w:rPr>
            </w:pPr>
            <w:r>
              <w:rPr>
                <w:rFonts w:hint="eastAsia" w:ascii="宋体" w:hAnsi="宋体" w:cs="宋体"/>
                <w:b/>
                <w:sz w:val="24"/>
              </w:rPr>
              <w:t>《</w:t>
            </w:r>
            <w:r>
              <w:rPr>
                <w:rFonts w:hint="eastAsia" w:ascii="宋体" w:hAnsi="宋体" w:cs="宋体"/>
                <w:b/>
                <w:sz w:val="24"/>
                <w:lang w:eastAsia="zh-CN"/>
              </w:rPr>
              <w:t>招标</w:t>
            </w:r>
            <w:r>
              <w:rPr>
                <w:rFonts w:hint="eastAsia" w:ascii="宋体" w:hAnsi="宋体" w:cs="宋体"/>
                <w:b/>
                <w:sz w:val="24"/>
              </w:rPr>
              <w:t>文件》</w:t>
            </w:r>
            <w:r>
              <w:rPr>
                <w:rFonts w:hint="eastAsia" w:ascii="宋体" w:hAnsi="宋体" w:cs="宋体"/>
                <w:b/>
                <w:sz w:val="24"/>
                <w:lang w:val="zh-CN"/>
              </w:rPr>
              <w:t>的</w:t>
            </w:r>
            <w:r>
              <w:rPr>
                <w:rFonts w:hint="eastAsia" w:ascii="宋体" w:hAnsi="宋体" w:cs="宋体"/>
                <w:b/>
                <w:sz w:val="24"/>
              </w:rPr>
              <w:t>编制</w:t>
            </w:r>
            <w:r>
              <w:rPr>
                <w:rFonts w:hint="eastAsia" w:ascii="宋体" w:hAnsi="宋体" w:cs="宋体"/>
                <w:b/>
                <w:sz w:val="24"/>
                <w:lang w:val="zh-CN"/>
              </w:rPr>
              <w:t>要求</w:t>
            </w:r>
          </w:p>
        </w:tc>
        <w:tc>
          <w:tcPr>
            <w:tcW w:w="6846" w:type="dxa"/>
            <w:noWrap w:val="0"/>
            <w:vAlign w:val="center"/>
          </w:tcPr>
          <w:p w14:paraId="794CF401">
            <w:pPr>
              <w:pStyle w:val="17"/>
              <w:rPr>
                <w:rFonts w:hint="eastAsia" w:ascii="宋体" w:hAnsi="宋体" w:eastAsia="宋体" w:cs="宋体"/>
                <w:b w:val="0"/>
                <w:bCs w:val="0"/>
                <w:sz w:val="24"/>
                <w:szCs w:val="24"/>
                <w:lang w:eastAsia="zh-CN"/>
              </w:rPr>
            </w:pPr>
            <w:r>
              <w:rPr>
                <w:rFonts w:hint="eastAsia" w:ascii="宋体" w:hAnsi="宋体" w:cs="宋体"/>
                <w:b w:val="0"/>
                <w:bCs w:val="0"/>
                <w:sz w:val="24"/>
                <w:szCs w:val="24"/>
              </w:rPr>
              <w:t>具体详见</w:t>
            </w:r>
            <w:r>
              <w:rPr>
                <w:rFonts w:hint="eastAsia" w:cs="宋体"/>
                <w:b w:val="0"/>
                <w:bCs w:val="0"/>
                <w:sz w:val="24"/>
                <w:szCs w:val="24"/>
                <w:lang w:eastAsia="zh-CN"/>
              </w:rPr>
              <w:t>第七章</w:t>
            </w:r>
          </w:p>
        </w:tc>
      </w:tr>
      <w:tr w14:paraId="013F82E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0" w:type="dxa"/>
            <w:noWrap w:val="0"/>
            <w:vAlign w:val="center"/>
          </w:tcPr>
          <w:p w14:paraId="40526512">
            <w:pPr>
              <w:spacing w:line="276" w:lineRule="auto"/>
              <w:jc w:val="center"/>
              <w:textAlignment w:val="baseline"/>
              <w:rPr>
                <w:rFonts w:hint="eastAsia" w:ascii="宋体" w:hAnsi="宋体" w:cs="宋体"/>
                <w:sz w:val="24"/>
              </w:rPr>
            </w:pPr>
            <w:r>
              <w:rPr>
                <w:rFonts w:hint="eastAsia" w:ascii="宋体" w:hAnsi="宋体" w:cs="宋体"/>
                <w:sz w:val="24"/>
              </w:rPr>
              <w:t>24</w:t>
            </w:r>
          </w:p>
        </w:tc>
        <w:tc>
          <w:tcPr>
            <w:tcW w:w="1535" w:type="dxa"/>
            <w:noWrap w:val="0"/>
            <w:vAlign w:val="center"/>
          </w:tcPr>
          <w:p w14:paraId="6A34C2CD">
            <w:pPr>
              <w:spacing w:line="276" w:lineRule="auto"/>
              <w:jc w:val="center"/>
              <w:rPr>
                <w:rFonts w:hint="eastAsia" w:ascii="宋体" w:hAnsi="宋体" w:cs="宋体"/>
                <w:sz w:val="24"/>
              </w:rPr>
            </w:pPr>
            <w:r>
              <w:rPr>
                <w:rFonts w:hint="eastAsia" w:ascii="宋体" w:hAnsi="宋体" w:cs="宋体"/>
                <w:b/>
                <w:sz w:val="24"/>
              </w:rPr>
              <w:t>《响应文件》递交份数、时间及地点</w:t>
            </w:r>
          </w:p>
        </w:tc>
        <w:tc>
          <w:tcPr>
            <w:tcW w:w="6846" w:type="dxa"/>
            <w:noWrap w:val="0"/>
            <w:vAlign w:val="center"/>
          </w:tcPr>
          <w:p w14:paraId="3AA7FB5D">
            <w:pPr>
              <w:numPr>
                <w:ilvl w:val="0"/>
                <w:numId w:val="0"/>
              </w:numPr>
              <w:spacing w:line="312" w:lineRule="auto"/>
              <w:rPr>
                <w:rFonts w:hint="eastAsia" w:ascii="宋体" w:hAnsi="宋体" w:cs="宋体"/>
                <w:b w:val="0"/>
                <w:bCs w:val="0"/>
                <w:color w:val="262626"/>
                <w:sz w:val="24"/>
                <w:lang w:val="en-US" w:eastAsia="zh-CN"/>
              </w:rPr>
            </w:pPr>
            <w:r>
              <w:rPr>
                <w:rFonts w:hint="eastAsia" w:ascii="宋体" w:hAnsi="宋体" w:cs="宋体"/>
                <w:b w:val="0"/>
                <w:bCs w:val="0"/>
                <w:color w:val="262626"/>
                <w:sz w:val="24"/>
                <w:lang w:val="en-US" w:eastAsia="zh-CN"/>
              </w:rPr>
              <w:t xml:space="preserve">1.投标文件电子版要求：按照本招标文件“第七章 投标文件格式”编写（第七章未附格式的，由投标人自行拟定），不可涂改并在规定加盖公章处加盖电子公章，否则投标文件按无效响应处理。 </w:t>
            </w:r>
          </w:p>
          <w:p w14:paraId="6363DB88">
            <w:pPr>
              <w:numPr>
                <w:ilvl w:val="0"/>
                <w:numId w:val="0"/>
              </w:numPr>
              <w:spacing w:line="312" w:lineRule="auto"/>
              <w:rPr>
                <w:rFonts w:hint="eastAsia" w:ascii="宋体" w:hAnsi="宋体" w:cs="宋体"/>
                <w:b w:val="0"/>
                <w:bCs w:val="0"/>
                <w:color w:val="262626"/>
                <w:sz w:val="24"/>
                <w:lang w:val="en-US" w:eastAsia="zh-CN"/>
              </w:rPr>
            </w:pPr>
            <w:r>
              <w:rPr>
                <w:rFonts w:hint="eastAsia" w:ascii="宋体" w:hAnsi="宋体" w:cs="宋体"/>
                <w:b w:val="0"/>
                <w:bCs w:val="0"/>
                <w:color w:val="262626"/>
                <w:sz w:val="24"/>
                <w:lang w:val="en-US" w:eastAsia="zh-CN"/>
              </w:rPr>
              <w:t xml:space="preserve">2.投标文件电子版密封方式：电子投标文件通过平台有效 CA 加密后在 “政采云”平台投送。（操作方式见公告要求“电子投标文件制作与投送教程” ） </w:t>
            </w:r>
          </w:p>
          <w:p w14:paraId="41B2C828">
            <w:pPr>
              <w:numPr>
                <w:ilvl w:val="0"/>
                <w:numId w:val="0"/>
              </w:numPr>
              <w:spacing w:line="312" w:lineRule="auto"/>
              <w:rPr>
                <w:rFonts w:hint="eastAsia" w:ascii="宋体" w:hAnsi="宋体" w:cs="宋体"/>
                <w:b w:val="0"/>
                <w:bCs w:val="0"/>
                <w:color w:val="262626"/>
                <w:sz w:val="24"/>
                <w:lang w:val="en-US" w:eastAsia="zh-CN"/>
              </w:rPr>
            </w:pPr>
            <w:r>
              <w:rPr>
                <w:rFonts w:hint="eastAsia" w:ascii="宋体" w:hAnsi="宋体" w:cs="宋体"/>
                <w:b w:val="0"/>
                <w:bCs w:val="0"/>
                <w:color w:val="262626"/>
                <w:sz w:val="24"/>
                <w:lang w:val="en-US" w:eastAsia="zh-CN"/>
              </w:rPr>
              <w:t xml:space="preserve">3.（1）份数：本项目采用电子招投标，开标现场无需提供纸质版投标文件，中标单位在中标公示期后提交一正三副纸质版投标文件给代理机构存档备案。 </w:t>
            </w:r>
          </w:p>
          <w:p w14:paraId="3E30318C">
            <w:pPr>
              <w:numPr>
                <w:ilvl w:val="0"/>
                <w:numId w:val="0"/>
              </w:numPr>
              <w:spacing w:line="312" w:lineRule="auto"/>
              <w:rPr>
                <w:rFonts w:hint="eastAsia" w:ascii="宋体" w:hAnsi="宋体" w:cs="宋体"/>
                <w:b w:val="0"/>
                <w:bCs w:val="0"/>
                <w:color w:val="000000"/>
                <w:sz w:val="24"/>
                <w:lang w:val="en-US" w:eastAsia="zh-CN"/>
              </w:rPr>
            </w:pPr>
            <w:r>
              <w:rPr>
                <w:rFonts w:hint="eastAsia" w:ascii="宋体" w:hAnsi="宋体" w:cs="宋体"/>
                <w:b w:val="0"/>
                <w:bCs w:val="0"/>
                <w:color w:val="262626"/>
                <w:sz w:val="24"/>
                <w:lang w:val="en-US" w:eastAsia="zh-CN"/>
              </w:rPr>
              <w:t>特别提示：中标</w:t>
            </w:r>
            <w:r>
              <w:rPr>
                <w:rFonts w:hint="eastAsia" w:ascii="宋体" w:hAnsi="宋体" w:cs="宋体"/>
                <w:b w:val="0"/>
                <w:bCs w:val="0"/>
                <w:color w:val="000000"/>
                <w:sz w:val="24"/>
                <w:lang w:val="en-US" w:eastAsia="zh-CN"/>
              </w:rPr>
              <w:t xml:space="preserve">单位提交的纸质版《投标文件》内容与开标时电子投标书应完全一致。 </w:t>
            </w:r>
          </w:p>
          <w:p w14:paraId="6FCEE831">
            <w:pPr>
              <w:numPr>
                <w:ilvl w:val="0"/>
                <w:numId w:val="0"/>
              </w:numPr>
              <w:spacing w:line="312" w:lineRule="auto"/>
              <w:rPr>
                <w:rFonts w:hint="eastAsia" w:ascii="宋体" w:hAnsi="宋体" w:cs="宋体"/>
                <w:b w:val="0"/>
                <w:bCs w:val="0"/>
                <w:color w:val="000000"/>
                <w:sz w:val="24"/>
                <w:lang w:val="en-US" w:eastAsia="zh-CN"/>
              </w:rPr>
            </w:pPr>
            <w:r>
              <w:rPr>
                <w:rFonts w:hint="eastAsia" w:ascii="宋体" w:hAnsi="宋体" w:cs="宋体"/>
                <w:b w:val="0"/>
                <w:bCs w:val="0"/>
                <w:color w:val="000000"/>
                <w:sz w:val="24"/>
                <w:lang w:val="en-US" w:eastAsia="zh-CN"/>
              </w:rPr>
              <w:t xml:space="preserve">（2）投标文件递交截止时间：2024 年12 月 23日 11时 30 分（北京时间） </w:t>
            </w:r>
          </w:p>
          <w:p w14:paraId="280BEC81">
            <w:pPr>
              <w:numPr>
                <w:ilvl w:val="0"/>
                <w:numId w:val="0"/>
              </w:numPr>
              <w:spacing w:line="312" w:lineRule="auto"/>
              <w:rPr>
                <w:rFonts w:hint="eastAsia" w:ascii="宋体" w:hAnsi="宋体" w:cs="宋体"/>
                <w:b w:val="0"/>
                <w:bCs w:val="0"/>
                <w:color w:val="262626"/>
                <w:sz w:val="24"/>
              </w:rPr>
            </w:pPr>
            <w:r>
              <w:rPr>
                <w:rFonts w:hint="eastAsia" w:ascii="宋体" w:hAnsi="宋体" w:cs="宋体"/>
                <w:b w:val="0"/>
                <w:bCs w:val="0"/>
                <w:color w:val="000000"/>
                <w:sz w:val="24"/>
                <w:lang w:val="en-US" w:eastAsia="zh-CN"/>
              </w:rPr>
              <w:t>（3）递交地点：政采云平台</w:t>
            </w:r>
          </w:p>
        </w:tc>
      </w:tr>
      <w:tr w14:paraId="5D391D5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235CF3B3">
            <w:pPr>
              <w:spacing w:line="276" w:lineRule="auto"/>
              <w:jc w:val="center"/>
              <w:textAlignment w:val="baseline"/>
              <w:rPr>
                <w:rFonts w:hint="eastAsia" w:ascii="宋体" w:hAnsi="宋体" w:cs="宋体"/>
                <w:sz w:val="24"/>
              </w:rPr>
            </w:pPr>
            <w:r>
              <w:rPr>
                <w:rFonts w:hint="eastAsia" w:ascii="宋体" w:hAnsi="宋体" w:cs="宋体"/>
                <w:sz w:val="24"/>
              </w:rPr>
              <w:t>25</w:t>
            </w:r>
          </w:p>
        </w:tc>
        <w:tc>
          <w:tcPr>
            <w:tcW w:w="1535" w:type="dxa"/>
            <w:noWrap w:val="0"/>
            <w:vAlign w:val="center"/>
          </w:tcPr>
          <w:p w14:paraId="22A6FA7D">
            <w:pPr>
              <w:adjustRightInd w:val="0"/>
              <w:snapToGrid w:val="0"/>
              <w:spacing w:line="276" w:lineRule="auto"/>
              <w:jc w:val="center"/>
              <w:rPr>
                <w:rFonts w:hint="eastAsia" w:ascii="宋体" w:hAnsi="宋体" w:cs="宋体"/>
                <w:sz w:val="24"/>
              </w:rPr>
            </w:pPr>
            <w:r>
              <w:rPr>
                <w:rFonts w:hint="eastAsia" w:ascii="宋体" w:hAnsi="宋体" w:cs="宋体"/>
                <w:b/>
                <w:sz w:val="24"/>
              </w:rPr>
              <w:t>开标时间及地点</w:t>
            </w:r>
          </w:p>
        </w:tc>
        <w:tc>
          <w:tcPr>
            <w:tcW w:w="6846" w:type="dxa"/>
            <w:noWrap w:val="0"/>
            <w:vAlign w:val="center"/>
          </w:tcPr>
          <w:p w14:paraId="2B680E6A">
            <w:pPr>
              <w:tabs>
                <w:tab w:val="left" w:pos="400"/>
              </w:tabs>
              <w:spacing w:line="276" w:lineRule="auto"/>
              <w:jc w:val="left"/>
              <w:textAlignment w:val="baseline"/>
              <w:rPr>
                <w:rFonts w:hint="eastAsia" w:ascii="宋体" w:hAnsi="宋体" w:eastAsia="宋体" w:cs="宋体"/>
                <w:b w:val="0"/>
                <w:bCs w:val="0"/>
                <w:color w:val="000000"/>
                <w:sz w:val="24"/>
              </w:rPr>
            </w:pPr>
            <w:r>
              <w:rPr>
                <w:rFonts w:hint="eastAsia" w:ascii="宋体" w:hAnsi="宋体" w:eastAsia="宋体" w:cs="宋体"/>
                <w:b w:val="0"/>
                <w:bCs w:val="0"/>
                <w:color w:val="000000"/>
                <w:sz w:val="24"/>
              </w:rPr>
              <w:t>开标时间：202</w:t>
            </w:r>
            <w:r>
              <w:rPr>
                <w:rFonts w:hint="eastAsia" w:ascii="宋体" w:hAnsi="宋体" w:eastAsia="宋体" w:cs="宋体"/>
                <w:b w:val="0"/>
                <w:bCs w:val="0"/>
                <w:color w:val="000000"/>
                <w:sz w:val="24"/>
                <w:lang w:val="en-US" w:eastAsia="zh-CN"/>
              </w:rPr>
              <w:t>4</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lang w:val="en-US" w:eastAsia="zh-CN"/>
              </w:rPr>
              <w:t>12</w:t>
            </w:r>
            <w:r>
              <w:rPr>
                <w:rFonts w:hint="eastAsia" w:ascii="宋体" w:hAnsi="宋体" w:eastAsia="宋体" w:cs="宋体"/>
                <w:b w:val="0"/>
                <w:bCs w:val="0"/>
                <w:color w:val="000000"/>
                <w:sz w:val="24"/>
              </w:rPr>
              <w:t>月</w:t>
            </w:r>
            <w:r>
              <w:rPr>
                <w:rFonts w:hint="eastAsia" w:ascii="宋体" w:hAnsi="宋体" w:cs="宋体"/>
                <w:b w:val="0"/>
                <w:bCs w:val="0"/>
                <w:color w:val="000000"/>
                <w:sz w:val="24"/>
                <w:lang w:val="en-US" w:eastAsia="zh-CN"/>
              </w:rPr>
              <w:t>23</w:t>
            </w:r>
            <w:r>
              <w:rPr>
                <w:rFonts w:hint="eastAsia" w:ascii="宋体" w:hAnsi="宋体" w:eastAsia="宋体" w:cs="宋体"/>
                <w:b w:val="0"/>
                <w:bCs w:val="0"/>
                <w:color w:val="000000"/>
                <w:sz w:val="24"/>
              </w:rPr>
              <w:t>日</w:t>
            </w:r>
            <w:r>
              <w:rPr>
                <w:rFonts w:hint="eastAsia" w:ascii="宋体" w:hAnsi="宋体" w:eastAsia="宋体" w:cs="宋体"/>
                <w:b w:val="0"/>
                <w:bCs w:val="0"/>
                <w:color w:val="000000"/>
                <w:sz w:val="24"/>
                <w:lang w:val="en-US" w:eastAsia="zh-CN"/>
              </w:rPr>
              <w:t>11</w:t>
            </w:r>
            <w:r>
              <w:rPr>
                <w:rFonts w:hint="eastAsia" w:ascii="宋体" w:hAnsi="宋体" w:eastAsia="宋体" w:cs="宋体"/>
                <w:b w:val="0"/>
                <w:bCs w:val="0"/>
                <w:color w:val="000000"/>
                <w:sz w:val="24"/>
              </w:rPr>
              <w:t>时</w:t>
            </w:r>
            <w:r>
              <w:rPr>
                <w:rFonts w:hint="eastAsia" w:ascii="宋体" w:hAnsi="宋体" w:eastAsia="宋体" w:cs="宋体"/>
                <w:b w:val="0"/>
                <w:bCs w:val="0"/>
                <w:color w:val="000000"/>
                <w:sz w:val="24"/>
                <w:lang w:val="en-US" w:eastAsia="zh-CN"/>
              </w:rPr>
              <w:t>30</w:t>
            </w:r>
            <w:r>
              <w:rPr>
                <w:rFonts w:hint="eastAsia" w:ascii="宋体" w:hAnsi="宋体" w:eastAsia="宋体" w:cs="宋体"/>
                <w:b w:val="0"/>
                <w:bCs w:val="0"/>
                <w:color w:val="000000"/>
                <w:sz w:val="24"/>
              </w:rPr>
              <w:t>分（北京时间）</w:t>
            </w:r>
          </w:p>
          <w:p w14:paraId="217F93DC">
            <w:pPr>
              <w:tabs>
                <w:tab w:val="left" w:pos="400"/>
              </w:tabs>
              <w:spacing w:line="276" w:lineRule="auto"/>
              <w:jc w:val="left"/>
              <w:textAlignment w:val="baseline"/>
              <w:rPr>
                <w:rFonts w:hint="eastAsia" w:ascii="宋体" w:hAnsi="宋体" w:cs="宋体"/>
                <w:color w:val="0000FF"/>
                <w:sz w:val="24"/>
              </w:rPr>
            </w:pPr>
            <w:r>
              <w:rPr>
                <w:rFonts w:hint="eastAsia" w:ascii="宋体" w:hAnsi="宋体" w:eastAsia="宋体" w:cs="宋体"/>
                <w:b w:val="0"/>
                <w:bCs w:val="0"/>
                <w:color w:val="000000"/>
                <w:sz w:val="24"/>
              </w:rPr>
              <w:t>开标地点：政采云平台</w:t>
            </w:r>
          </w:p>
        </w:tc>
      </w:tr>
      <w:tr w14:paraId="0FAFAF5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541A7A9F">
            <w:pPr>
              <w:tabs>
                <w:tab w:val="left" w:pos="448"/>
              </w:tabs>
              <w:spacing w:line="276" w:lineRule="auto"/>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26</w:t>
            </w:r>
          </w:p>
        </w:tc>
        <w:tc>
          <w:tcPr>
            <w:tcW w:w="1535" w:type="dxa"/>
            <w:noWrap w:val="0"/>
            <w:vAlign w:val="center"/>
          </w:tcPr>
          <w:p w14:paraId="7C6807FD">
            <w:pPr>
              <w:adjustRightInd w:val="0"/>
              <w:snapToGrid w:val="0"/>
              <w:spacing w:line="276" w:lineRule="auto"/>
              <w:jc w:val="center"/>
              <w:rPr>
                <w:rFonts w:hint="eastAsia" w:ascii="宋体" w:hAnsi="宋体" w:cs="宋体"/>
                <w:b/>
                <w:sz w:val="24"/>
              </w:rPr>
            </w:pPr>
            <w:r>
              <w:rPr>
                <w:rFonts w:hint="eastAsia" w:ascii="宋体" w:hAnsi="宋体" w:cs="宋体"/>
                <w:b/>
                <w:sz w:val="24"/>
                <w:lang w:val="en-US" w:eastAsia="zh-CN"/>
              </w:rPr>
              <w:t>履约保证金</w:t>
            </w:r>
          </w:p>
        </w:tc>
        <w:tc>
          <w:tcPr>
            <w:tcW w:w="6846" w:type="dxa"/>
            <w:noWrap w:val="0"/>
            <w:vAlign w:val="center"/>
          </w:tcPr>
          <w:p w14:paraId="529771CD">
            <w:pPr>
              <w:tabs>
                <w:tab w:val="left" w:pos="400"/>
              </w:tabs>
              <w:spacing w:line="276" w:lineRule="auto"/>
              <w:jc w:val="left"/>
              <w:textAlignment w:val="baseline"/>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 xml:space="preserve">☑ 不需要 </w:t>
            </w:r>
          </w:p>
          <w:p w14:paraId="5430A872">
            <w:pPr>
              <w:tabs>
                <w:tab w:val="left" w:pos="400"/>
              </w:tabs>
              <w:spacing w:line="276" w:lineRule="auto"/>
              <w:jc w:val="left"/>
              <w:textAlignment w:val="baseline"/>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 xml:space="preserve">□ 需要，履约保证金的金额：成交合同金额的 10%（履 </w:t>
            </w:r>
          </w:p>
          <w:p w14:paraId="654EC0B4">
            <w:pPr>
              <w:tabs>
                <w:tab w:val="left" w:pos="400"/>
              </w:tabs>
              <w:spacing w:line="276" w:lineRule="auto"/>
              <w:jc w:val="left"/>
              <w:textAlignment w:val="baseline"/>
              <w:rPr>
                <w:rFonts w:hint="eastAsia" w:ascii="宋体" w:hAnsi="宋体" w:eastAsia="宋体" w:cs="宋体"/>
                <w:b w:val="0"/>
                <w:bCs w:val="0"/>
                <w:color w:val="0000FF"/>
                <w:sz w:val="24"/>
              </w:rPr>
            </w:pPr>
            <w:r>
              <w:rPr>
                <w:rFonts w:hint="eastAsia" w:ascii="宋体" w:hAnsi="宋体" w:eastAsia="宋体" w:cs="宋体"/>
                <w:b w:val="0"/>
                <w:bCs w:val="0"/>
                <w:color w:val="000000"/>
                <w:sz w:val="24"/>
                <w:lang w:val="en-US" w:eastAsia="zh-CN"/>
              </w:rPr>
              <w:t>约保证金须以支票、汇票、本票或者金融机构、担保机构出具的保函等非现金形式提交</w:t>
            </w:r>
            <w:r>
              <w:rPr>
                <w:rFonts w:hint="eastAsia" w:ascii="宋体" w:hAnsi="宋体" w:eastAsia="宋体" w:cs="宋体"/>
                <w:b w:val="0"/>
                <w:bCs w:val="0"/>
                <w:color w:val="0000FF"/>
                <w:sz w:val="24"/>
                <w:lang w:val="en-US" w:eastAsia="zh-CN"/>
              </w:rPr>
              <w:t>）</w:t>
            </w:r>
          </w:p>
        </w:tc>
      </w:tr>
      <w:tr w14:paraId="5FED616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noWrap w:val="0"/>
            <w:vAlign w:val="center"/>
          </w:tcPr>
          <w:p w14:paraId="73C0C99D">
            <w:pPr>
              <w:spacing w:line="276" w:lineRule="auto"/>
              <w:jc w:val="center"/>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27</w:t>
            </w:r>
          </w:p>
        </w:tc>
        <w:tc>
          <w:tcPr>
            <w:tcW w:w="1535" w:type="dxa"/>
            <w:noWrap w:val="0"/>
            <w:vAlign w:val="center"/>
          </w:tcPr>
          <w:p w14:paraId="68F90AB4">
            <w:pPr>
              <w:spacing w:line="400" w:lineRule="exact"/>
              <w:rPr>
                <w:rFonts w:hint="eastAsia" w:ascii="宋体" w:hAnsi="宋体" w:cs="宋体"/>
                <w:b/>
                <w:sz w:val="24"/>
              </w:rPr>
            </w:pPr>
            <w:r>
              <w:rPr>
                <w:rFonts w:hint="eastAsia" w:ascii="宋体" w:hAnsi="宋体" w:cs="宋体"/>
                <w:b/>
                <w:sz w:val="24"/>
                <w:lang w:val="zh-CN"/>
              </w:rPr>
              <w:t>开标程序</w:t>
            </w:r>
          </w:p>
        </w:tc>
        <w:tc>
          <w:tcPr>
            <w:tcW w:w="6846" w:type="dxa"/>
            <w:noWrap w:val="0"/>
            <w:vAlign w:val="center"/>
          </w:tcPr>
          <w:p w14:paraId="384A0AFD">
            <w:pPr>
              <w:spacing w:line="400" w:lineRule="exact"/>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在</w:t>
            </w:r>
            <w:r>
              <w:rPr>
                <w:rFonts w:hint="eastAsia" w:ascii="宋体" w:hAnsi="宋体" w:eastAsia="宋体" w:cs="宋体"/>
                <w:sz w:val="24"/>
                <w:lang w:eastAsia="zh-CN"/>
              </w:rPr>
              <w:t>招标文件</w:t>
            </w:r>
            <w:r>
              <w:rPr>
                <w:rFonts w:hint="eastAsia" w:ascii="宋体" w:hAnsi="宋体" w:eastAsia="宋体" w:cs="宋体"/>
                <w:sz w:val="24"/>
              </w:rPr>
              <w:t>确定的响应文件提交截止时间停止接受投标文件。开标会主持人确定投标</w:t>
            </w:r>
            <w:r>
              <w:rPr>
                <w:rFonts w:hint="eastAsia" w:ascii="宋体" w:hAnsi="宋体" w:eastAsia="宋体" w:cs="宋体"/>
                <w:sz w:val="24"/>
                <w:lang w:eastAsia="zh-CN"/>
              </w:rPr>
              <w:t>投标人</w:t>
            </w:r>
            <w:r>
              <w:rPr>
                <w:rFonts w:hint="eastAsia" w:ascii="宋体" w:hAnsi="宋体" w:eastAsia="宋体" w:cs="宋体"/>
                <w:sz w:val="24"/>
              </w:rPr>
              <w:t>数量是否符合开标要求（要求所有投标</w:t>
            </w:r>
            <w:r>
              <w:rPr>
                <w:rFonts w:hint="eastAsia" w:ascii="宋体" w:hAnsi="宋体" w:eastAsia="宋体" w:cs="宋体"/>
                <w:sz w:val="24"/>
                <w:lang w:eastAsia="zh-CN"/>
              </w:rPr>
              <w:t>投标人</w:t>
            </w:r>
            <w:r>
              <w:rPr>
                <w:rFonts w:hint="eastAsia" w:ascii="宋体" w:hAnsi="宋体" w:eastAsia="宋体" w:cs="宋体"/>
                <w:sz w:val="24"/>
              </w:rPr>
              <w:t>提前一小时准备好开标相关资料，调试好电脑设备。）</w:t>
            </w:r>
          </w:p>
          <w:p w14:paraId="2227CB73">
            <w:pPr>
              <w:spacing w:line="400" w:lineRule="exact"/>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本项目采用“政采云不见面”开标， </w:t>
            </w:r>
            <w:r>
              <w:rPr>
                <w:rFonts w:hint="eastAsia" w:ascii="宋体" w:hAnsi="宋体" w:eastAsia="宋体" w:cs="宋体"/>
                <w:sz w:val="24"/>
                <w:lang w:eastAsia="zh-CN"/>
              </w:rPr>
              <w:t>投标人</w:t>
            </w:r>
            <w:r>
              <w:rPr>
                <w:rFonts w:hint="eastAsia" w:ascii="宋体" w:hAnsi="宋体" w:eastAsia="宋体" w:cs="宋体"/>
                <w:sz w:val="24"/>
              </w:rPr>
              <w:t xml:space="preserve">须在投标截止时间前登录政采云平台进行签到。 </w:t>
            </w:r>
          </w:p>
          <w:p w14:paraId="32330AD9">
            <w:pPr>
              <w:spacing w:line="400" w:lineRule="exact"/>
              <w:jc w:val="left"/>
              <w:rPr>
                <w:rFonts w:hint="eastAsia" w:ascii="宋体" w:hAnsi="宋体" w:eastAsia="宋体" w:cs="宋体"/>
                <w:sz w:val="24"/>
                <w:lang w:val="en-US" w:eastAsia="zh-CN"/>
              </w:rPr>
            </w:pPr>
            <w:r>
              <w:rPr>
                <w:rFonts w:hint="eastAsia" w:ascii="宋体" w:hAnsi="宋体" w:eastAsia="宋体" w:cs="宋体"/>
                <w:sz w:val="24"/>
              </w:rPr>
              <w:t>3.主持人宣布开标会开始，宣布开标纪律</w:t>
            </w:r>
            <w:r>
              <w:rPr>
                <w:rFonts w:hint="eastAsia" w:ascii="宋体" w:hAnsi="宋体" w:eastAsia="宋体" w:cs="宋体"/>
                <w:sz w:val="24"/>
                <w:lang w:eastAsia="zh-CN"/>
              </w:rPr>
              <w:t>。</w:t>
            </w:r>
          </w:p>
          <w:p w14:paraId="553C128D">
            <w:pPr>
              <w:spacing w:line="400" w:lineRule="exact"/>
              <w:jc w:val="left"/>
              <w:rPr>
                <w:rFonts w:hint="eastAsia" w:ascii="宋体" w:hAnsi="宋体" w:eastAsia="宋体" w:cs="宋体"/>
                <w:sz w:val="24"/>
                <w:lang w:eastAsia="zh-CN"/>
              </w:rPr>
            </w:pPr>
            <w:r>
              <w:rPr>
                <w:rFonts w:hint="eastAsia" w:ascii="宋体" w:hAnsi="宋体" w:eastAsia="宋体" w:cs="宋体"/>
                <w:sz w:val="24"/>
              </w:rPr>
              <w:t>4.宣布主持人、开标人、唱标人、记录人、监督人等工作人员姓名</w:t>
            </w:r>
            <w:r>
              <w:rPr>
                <w:rFonts w:hint="eastAsia" w:ascii="宋体" w:hAnsi="宋体" w:eastAsia="宋体" w:cs="宋体"/>
                <w:sz w:val="24"/>
                <w:lang w:eastAsia="zh-CN"/>
              </w:rPr>
              <w:t>。</w:t>
            </w:r>
          </w:p>
          <w:p w14:paraId="5B34EF57">
            <w:pPr>
              <w:spacing w:line="400" w:lineRule="exact"/>
              <w:jc w:val="left"/>
              <w:rPr>
                <w:rFonts w:hint="eastAsia" w:ascii="宋体" w:hAnsi="宋体" w:eastAsia="宋体" w:cs="宋体"/>
                <w:sz w:val="24"/>
              </w:rPr>
            </w:pPr>
            <w:r>
              <w:rPr>
                <w:rFonts w:hint="eastAsia" w:ascii="宋体" w:hAnsi="宋体" w:eastAsia="宋体" w:cs="宋体"/>
                <w:sz w:val="24"/>
              </w:rPr>
              <w:t xml:space="preserve">5.解密：法定代表人或授权委托人须全程在线准时参加开标活动进行文件解密、异议、质疑及澄清等。 </w:t>
            </w:r>
          </w:p>
          <w:p w14:paraId="56AFBC0C">
            <w:pPr>
              <w:spacing w:line="400" w:lineRule="exact"/>
              <w:jc w:val="left"/>
              <w:rPr>
                <w:rFonts w:hint="eastAsia" w:ascii="宋体" w:hAnsi="宋体" w:eastAsia="宋体" w:cs="宋体"/>
                <w:sz w:val="24"/>
              </w:rPr>
            </w:pPr>
            <w:r>
              <w:rPr>
                <w:rFonts w:hint="eastAsia" w:ascii="宋体" w:hAnsi="宋体" w:eastAsia="宋体" w:cs="宋体"/>
                <w:sz w:val="24"/>
              </w:rPr>
              <w:t>6 .参与“政采云不见面”开标的各</w:t>
            </w:r>
            <w:r>
              <w:rPr>
                <w:rFonts w:hint="eastAsia" w:ascii="宋体" w:hAnsi="宋体" w:eastAsia="宋体" w:cs="宋体"/>
                <w:sz w:val="24"/>
                <w:lang w:eastAsia="zh-CN"/>
              </w:rPr>
              <w:t>投标人</w:t>
            </w:r>
            <w:r>
              <w:rPr>
                <w:rFonts w:hint="eastAsia" w:ascii="宋体" w:hAnsi="宋体" w:eastAsia="宋体" w:cs="宋体"/>
                <w:sz w:val="24"/>
              </w:rPr>
              <w:t>，请在互联网网络环境较好的电脑端登录政采云不见面开标大厅参与开标；不要在电脑进行下载、安装等工作，认真耐心等待指令并及时操作，并保持手机畅通；因</w:t>
            </w:r>
            <w:r>
              <w:rPr>
                <w:rFonts w:hint="eastAsia" w:ascii="宋体" w:hAnsi="宋体" w:eastAsia="宋体" w:cs="宋体"/>
                <w:sz w:val="24"/>
                <w:lang w:eastAsia="zh-CN"/>
              </w:rPr>
              <w:t>投标人</w:t>
            </w:r>
            <w:r>
              <w:rPr>
                <w:rFonts w:hint="eastAsia" w:ascii="宋体" w:hAnsi="宋体" w:eastAsia="宋体" w:cs="宋体"/>
                <w:sz w:val="24"/>
              </w:rPr>
              <w:t>网络环境或硬件配备不达标等原因，影响开标的，造成的后果由</w:t>
            </w:r>
            <w:r>
              <w:rPr>
                <w:rFonts w:hint="eastAsia" w:ascii="宋体" w:hAnsi="宋体" w:eastAsia="宋体" w:cs="宋体"/>
                <w:sz w:val="24"/>
                <w:lang w:eastAsia="zh-CN"/>
              </w:rPr>
              <w:t>投标人</w:t>
            </w:r>
            <w:r>
              <w:rPr>
                <w:rFonts w:hint="eastAsia" w:ascii="宋体" w:hAnsi="宋体" w:eastAsia="宋体" w:cs="宋体"/>
                <w:sz w:val="24"/>
              </w:rPr>
              <w:t xml:space="preserve">自行承担。 </w:t>
            </w:r>
          </w:p>
          <w:p w14:paraId="5C08DBB7">
            <w:pPr>
              <w:spacing w:line="400" w:lineRule="exact"/>
              <w:jc w:val="left"/>
              <w:rPr>
                <w:rFonts w:hint="eastAsia" w:ascii="宋体" w:hAnsi="宋体" w:cs="宋体"/>
                <w:szCs w:val="21"/>
              </w:rPr>
            </w:pPr>
            <w:r>
              <w:rPr>
                <w:rFonts w:hint="eastAsia" w:ascii="宋体" w:hAnsi="宋体" w:eastAsia="宋体" w:cs="宋体"/>
                <w:sz w:val="24"/>
              </w:rPr>
              <w:t>7.开标结束</w:t>
            </w:r>
            <w:r>
              <w:rPr>
                <w:rFonts w:hint="eastAsia" w:ascii="宋体" w:hAnsi="宋体" w:eastAsia="宋体" w:cs="宋体"/>
                <w:sz w:val="24"/>
                <w:lang w:eastAsia="zh-CN"/>
              </w:rPr>
              <w:t>，</w:t>
            </w:r>
            <w:r>
              <w:rPr>
                <w:rFonts w:hint="eastAsia" w:ascii="宋体" w:hAnsi="宋体" w:eastAsia="宋体" w:cs="宋体"/>
                <w:sz w:val="24"/>
              </w:rPr>
              <w:t>招标代理机构应当对上述开标过程做好记录，存档备查。</w:t>
            </w:r>
          </w:p>
        </w:tc>
      </w:tr>
      <w:tr w14:paraId="133CC88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6F78A827">
            <w:pPr>
              <w:spacing w:line="276" w:lineRule="auto"/>
              <w:jc w:val="center"/>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28</w:t>
            </w:r>
          </w:p>
        </w:tc>
        <w:tc>
          <w:tcPr>
            <w:tcW w:w="1535" w:type="dxa"/>
            <w:noWrap w:val="0"/>
            <w:vAlign w:val="center"/>
          </w:tcPr>
          <w:p w14:paraId="5ABC3D7B">
            <w:pPr>
              <w:spacing w:line="400" w:lineRule="exact"/>
              <w:jc w:val="center"/>
              <w:rPr>
                <w:rFonts w:hint="eastAsia" w:ascii="宋体" w:hAnsi="宋体" w:cs="宋体"/>
                <w:sz w:val="24"/>
              </w:rPr>
            </w:pPr>
            <w:r>
              <w:rPr>
                <w:rFonts w:hint="eastAsia" w:ascii="宋体" w:hAnsi="宋体" w:cs="宋体"/>
                <w:b/>
                <w:sz w:val="24"/>
                <w:lang w:val="zh-CN"/>
              </w:rPr>
              <w:t>中标成交结果公告</w:t>
            </w:r>
          </w:p>
        </w:tc>
        <w:tc>
          <w:tcPr>
            <w:tcW w:w="6846" w:type="dxa"/>
            <w:noWrap w:val="0"/>
            <w:vAlign w:val="center"/>
          </w:tcPr>
          <w:p w14:paraId="78740568">
            <w:pPr>
              <w:spacing w:line="400" w:lineRule="exact"/>
              <w:jc w:val="left"/>
              <w:rPr>
                <w:rFonts w:hint="eastAsia" w:ascii="宋体" w:hAnsi="宋体" w:cs="宋体"/>
                <w:color w:val="000000"/>
                <w:sz w:val="24"/>
                <w:lang w:val="zh-CN"/>
              </w:rPr>
            </w:pPr>
            <w:r>
              <w:rPr>
                <w:rFonts w:hint="eastAsia" w:ascii="宋体" w:hAnsi="宋体" w:cs="宋体"/>
                <w:color w:val="000000"/>
                <w:sz w:val="24"/>
              </w:rPr>
              <w:t>成交结果公告在新疆政府采购网、阿克苏地区行政公署网</w:t>
            </w:r>
            <w:r>
              <w:rPr>
                <w:rFonts w:hint="eastAsia" w:ascii="宋体" w:hAnsi="宋体" w:cs="宋体"/>
                <w:color w:val="000000"/>
                <w:sz w:val="24"/>
                <w:lang w:eastAsia="zh-CN"/>
              </w:rPr>
              <w:t>、柯坪县人民政府网</w:t>
            </w:r>
            <w:r>
              <w:rPr>
                <w:rFonts w:hint="eastAsia" w:ascii="宋体" w:hAnsi="宋体" w:cs="宋体"/>
                <w:color w:val="000000"/>
                <w:sz w:val="24"/>
              </w:rPr>
              <w:t>予以公告，公告期不少于</w:t>
            </w:r>
            <w:r>
              <w:rPr>
                <w:rFonts w:hint="eastAsia" w:ascii="宋体" w:hAnsi="宋体" w:cs="宋体"/>
                <w:color w:val="000000"/>
                <w:sz w:val="24"/>
                <w:lang w:val="en-US" w:eastAsia="zh-CN"/>
              </w:rPr>
              <w:t>3</w:t>
            </w:r>
            <w:r>
              <w:rPr>
                <w:rFonts w:hint="eastAsia" w:ascii="宋体" w:hAnsi="宋体" w:cs="宋体"/>
                <w:color w:val="000000"/>
                <w:sz w:val="24"/>
              </w:rPr>
              <w:t>个工作日。</w:t>
            </w:r>
          </w:p>
        </w:tc>
      </w:tr>
      <w:tr w14:paraId="77D6379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30ADCBBD">
            <w:pPr>
              <w:spacing w:line="276" w:lineRule="auto"/>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29</w:t>
            </w:r>
          </w:p>
        </w:tc>
        <w:tc>
          <w:tcPr>
            <w:tcW w:w="1535" w:type="dxa"/>
            <w:noWrap w:val="0"/>
            <w:vAlign w:val="center"/>
          </w:tcPr>
          <w:p w14:paraId="4E84A187">
            <w:pPr>
              <w:spacing w:line="400" w:lineRule="exact"/>
              <w:jc w:val="left"/>
              <w:rPr>
                <w:rFonts w:hint="eastAsia" w:ascii="宋体" w:hAnsi="宋体" w:eastAsia="宋体" w:cs="宋体"/>
                <w:color w:val="000000"/>
                <w:sz w:val="24"/>
                <w:lang w:val="zh-CN"/>
              </w:rPr>
            </w:pPr>
            <w:r>
              <w:rPr>
                <w:rFonts w:hint="eastAsia" w:ascii="宋体" w:hAnsi="宋体" w:eastAsia="宋体" w:cs="宋体"/>
                <w:b/>
                <w:bCs/>
                <w:color w:val="000000"/>
                <w:sz w:val="24"/>
                <w:lang w:val="zh-CN"/>
              </w:rPr>
              <w:t>代理服务费</w:t>
            </w:r>
          </w:p>
        </w:tc>
        <w:tc>
          <w:tcPr>
            <w:tcW w:w="6846" w:type="dxa"/>
            <w:noWrap w:val="0"/>
            <w:vAlign w:val="center"/>
          </w:tcPr>
          <w:p w14:paraId="67487105">
            <w:pPr>
              <w:spacing w:line="40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招标代理服务费用按照发改价格〔2015〕299号通知要求，参照发改价格〔2011〕534号文的差额定率累进法计算标准，（实际以中标价为基数计取）。招标工作完成后，招标人向招标代理机构一次性付清。</w:t>
            </w:r>
          </w:p>
        </w:tc>
      </w:tr>
      <w:tr w14:paraId="6FB00B1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67632702">
            <w:pPr>
              <w:spacing w:line="276" w:lineRule="auto"/>
              <w:jc w:val="center"/>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30</w:t>
            </w:r>
          </w:p>
        </w:tc>
        <w:tc>
          <w:tcPr>
            <w:tcW w:w="1535" w:type="dxa"/>
            <w:noWrap w:val="0"/>
            <w:vAlign w:val="center"/>
          </w:tcPr>
          <w:p w14:paraId="53B5C1E1">
            <w:pPr>
              <w:spacing w:line="400" w:lineRule="exact"/>
              <w:jc w:val="center"/>
              <w:rPr>
                <w:rFonts w:hint="eastAsia" w:ascii="宋体" w:hAnsi="宋体" w:cs="宋体"/>
                <w:b/>
                <w:sz w:val="24"/>
              </w:rPr>
            </w:pPr>
            <w:r>
              <w:rPr>
                <w:rFonts w:hint="eastAsia" w:ascii="宋体" w:hAnsi="宋体" w:cs="宋体"/>
                <w:b/>
                <w:sz w:val="24"/>
              </w:rPr>
              <w:t>备注</w:t>
            </w:r>
          </w:p>
        </w:tc>
        <w:tc>
          <w:tcPr>
            <w:tcW w:w="6846" w:type="dxa"/>
            <w:noWrap w:val="0"/>
            <w:vAlign w:val="center"/>
          </w:tcPr>
          <w:p w14:paraId="1A2843AC">
            <w:pPr>
              <w:spacing w:line="400" w:lineRule="exact"/>
              <w:jc w:val="left"/>
              <w:rPr>
                <w:rFonts w:hint="eastAsia" w:ascii="宋体" w:hAnsi="宋体" w:cs="宋体"/>
                <w:sz w:val="24"/>
              </w:rPr>
            </w:pPr>
            <w:r>
              <w:rPr>
                <w:rFonts w:hint="eastAsia" w:ascii="宋体" w:hAnsi="宋体" w:cs="宋体"/>
                <w:sz w:val="24"/>
                <w:lang w:val="en-US" w:eastAsia="zh-CN"/>
              </w:rPr>
              <w:t xml:space="preserve">1.电子投标文件使用“新疆维吾尔自治区全流程电子招投标项目管理系统--投标人客户端”制作完成，生成电子加密标书（.jmbs）上传至政采云平台。 </w:t>
            </w:r>
          </w:p>
          <w:p w14:paraId="1C98CB78">
            <w:pPr>
              <w:spacing w:line="400" w:lineRule="exact"/>
              <w:jc w:val="left"/>
              <w:rPr>
                <w:rFonts w:hint="eastAsia" w:ascii="宋体" w:hAnsi="宋体" w:cs="宋体"/>
                <w:sz w:val="24"/>
              </w:rPr>
            </w:pPr>
            <w:r>
              <w:rPr>
                <w:rFonts w:hint="eastAsia" w:ascii="宋体" w:hAnsi="宋体" w:cs="宋体"/>
                <w:sz w:val="24"/>
                <w:lang w:val="en-US" w:eastAsia="zh-CN"/>
              </w:rPr>
              <w:t xml:space="preserve">2.投标人制作电子投标书加密文件应与开标现场解密时的数字证书（CA 锁）同为一把，若因数字证书（CA 锁）不是同一把锁导致现场解密失败的，投标人自行承担后果。 </w:t>
            </w:r>
          </w:p>
          <w:p w14:paraId="3738F995">
            <w:pPr>
              <w:spacing w:line="400" w:lineRule="exact"/>
              <w:jc w:val="left"/>
              <w:rPr>
                <w:rFonts w:hint="eastAsia" w:ascii="宋体" w:hAnsi="宋体" w:cs="宋体"/>
                <w:sz w:val="24"/>
              </w:rPr>
            </w:pPr>
            <w:r>
              <w:rPr>
                <w:rFonts w:hint="eastAsia" w:ascii="宋体" w:hAnsi="宋体" w:cs="宋体"/>
                <w:sz w:val="24"/>
                <w:lang w:val="en-US" w:eastAsia="zh-CN"/>
              </w:rPr>
              <w:t xml:space="preserve">2.数字证书办理：投标人须自行办理政采云数字证书（CA 锁）联系方式：政采云热线 95763 </w:t>
            </w:r>
          </w:p>
          <w:p w14:paraId="3014B31B">
            <w:pPr>
              <w:spacing w:line="400" w:lineRule="exact"/>
              <w:jc w:val="left"/>
              <w:rPr>
                <w:rFonts w:hint="eastAsia" w:ascii="宋体" w:hAnsi="宋体" w:cs="宋体"/>
                <w:sz w:val="24"/>
              </w:rPr>
            </w:pPr>
            <w:r>
              <w:rPr>
                <w:rFonts w:hint="eastAsia" w:ascii="宋体" w:hAnsi="宋体" w:cs="宋体"/>
                <w:sz w:val="24"/>
                <w:lang w:val="en-US" w:eastAsia="zh-CN"/>
              </w:rPr>
              <w:t>4.投标人应认真学习关于开展自治区政府采购“不见面开标系统”网络培训的通知，制作电子投标书。</w:t>
            </w:r>
          </w:p>
        </w:tc>
      </w:tr>
      <w:tr w14:paraId="295E6D1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4873D325">
            <w:pPr>
              <w:spacing w:line="276" w:lineRule="auto"/>
              <w:jc w:val="center"/>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31</w:t>
            </w:r>
          </w:p>
        </w:tc>
        <w:tc>
          <w:tcPr>
            <w:tcW w:w="1535" w:type="dxa"/>
            <w:noWrap w:val="0"/>
            <w:vAlign w:val="center"/>
          </w:tcPr>
          <w:p w14:paraId="68BCEE86">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项目划分</w:t>
            </w:r>
          </w:p>
        </w:tc>
        <w:tc>
          <w:tcPr>
            <w:tcW w:w="6846" w:type="dxa"/>
            <w:noWrap w:val="0"/>
            <w:vAlign w:val="center"/>
          </w:tcPr>
          <w:p w14:paraId="5CFCCD8A">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 本项目属于货物类型 </w:t>
            </w:r>
          </w:p>
          <w:p w14:paraId="01F4B7E5">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 行业划分为工业 </w:t>
            </w:r>
          </w:p>
        </w:tc>
      </w:tr>
      <w:tr w14:paraId="6D51E1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080BF24A">
            <w:pPr>
              <w:spacing w:line="276" w:lineRule="auto"/>
              <w:jc w:val="center"/>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32</w:t>
            </w:r>
          </w:p>
        </w:tc>
        <w:tc>
          <w:tcPr>
            <w:tcW w:w="1535" w:type="dxa"/>
            <w:noWrap w:val="0"/>
            <w:vAlign w:val="center"/>
          </w:tcPr>
          <w:p w14:paraId="3F7E04BF">
            <w:pPr>
              <w:spacing w:line="400" w:lineRule="exact"/>
              <w:jc w:val="center"/>
              <w:rPr>
                <w:rFonts w:hint="eastAsia" w:ascii="宋体" w:hAnsi="宋体" w:cs="宋体"/>
                <w:b/>
                <w:sz w:val="24"/>
                <w:lang w:val="en-US" w:eastAsia="zh-CN"/>
              </w:rPr>
            </w:pPr>
            <w:r>
              <w:rPr>
                <w:rFonts w:hint="eastAsia" w:ascii="宋体" w:hAnsi="宋体" w:cs="宋体"/>
                <w:b/>
                <w:sz w:val="24"/>
                <w:lang w:val="en-US" w:eastAsia="zh-CN"/>
              </w:rPr>
              <w:t>财政局监督管理部门</w:t>
            </w:r>
          </w:p>
        </w:tc>
        <w:tc>
          <w:tcPr>
            <w:tcW w:w="6846" w:type="dxa"/>
            <w:noWrap w:val="0"/>
            <w:vAlign w:val="center"/>
          </w:tcPr>
          <w:p w14:paraId="332F14D6">
            <w:pPr>
              <w:spacing w:line="40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监管部门：柯坪县财政局政府采购管理办公室 </w:t>
            </w:r>
          </w:p>
          <w:p w14:paraId="5CAEEBBB">
            <w:pPr>
              <w:spacing w:line="400" w:lineRule="exact"/>
              <w:jc w:val="left"/>
              <w:rPr>
                <w:rFonts w:hint="eastAsia" w:ascii="宋体" w:hAnsi="宋体" w:cs="宋体"/>
                <w:sz w:val="24"/>
                <w:lang w:val="en-US" w:eastAsia="zh-CN"/>
              </w:rPr>
            </w:pPr>
            <w:r>
              <w:rPr>
                <w:rFonts w:hint="eastAsia" w:ascii="宋体" w:hAnsi="宋体" w:eastAsia="宋体" w:cs="宋体"/>
                <w:sz w:val="24"/>
                <w:lang w:val="en-US" w:eastAsia="zh-CN"/>
              </w:rPr>
              <w:t>联系电话：0997-5822243</w:t>
            </w:r>
          </w:p>
        </w:tc>
      </w:tr>
      <w:tr w14:paraId="108174F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00" w:type="dxa"/>
            <w:noWrap w:val="0"/>
            <w:vAlign w:val="center"/>
          </w:tcPr>
          <w:p w14:paraId="1B29D7B5">
            <w:pPr>
              <w:spacing w:line="276" w:lineRule="auto"/>
              <w:jc w:val="center"/>
              <w:textAlignment w:val="baseline"/>
              <w:rPr>
                <w:rFonts w:hint="default" w:ascii="宋体" w:hAnsi="宋体" w:eastAsia="宋体" w:cs="宋体"/>
                <w:sz w:val="24"/>
                <w:lang w:val="en-US" w:eastAsia="zh-CN"/>
              </w:rPr>
            </w:pPr>
            <w:r>
              <w:rPr>
                <w:rFonts w:hint="eastAsia" w:ascii="宋体" w:hAnsi="宋体" w:cs="宋体"/>
                <w:sz w:val="24"/>
                <w:lang w:val="en-US" w:eastAsia="zh-CN"/>
              </w:rPr>
              <w:t>33</w:t>
            </w:r>
          </w:p>
        </w:tc>
        <w:tc>
          <w:tcPr>
            <w:tcW w:w="1535" w:type="dxa"/>
            <w:noWrap w:val="0"/>
            <w:vAlign w:val="center"/>
          </w:tcPr>
          <w:p w14:paraId="218F6C5E">
            <w:pPr>
              <w:spacing w:line="400" w:lineRule="exact"/>
              <w:jc w:val="center"/>
              <w:rPr>
                <w:rFonts w:hint="default" w:ascii="宋体" w:hAnsi="宋体" w:cs="宋体"/>
                <w:b/>
                <w:sz w:val="24"/>
                <w:lang w:val="en-US" w:eastAsia="zh-CN"/>
              </w:rPr>
            </w:pPr>
            <w:r>
              <w:rPr>
                <w:rFonts w:hint="eastAsia" w:ascii="宋体" w:hAnsi="宋体" w:cs="宋体"/>
                <w:b/>
                <w:sz w:val="24"/>
                <w:lang w:val="en-US" w:eastAsia="zh-CN"/>
              </w:rPr>
              <w:t>其他</w:t>
            </w:r>
          </w:p>
        </w:tc>
        <w:tc>
          <w:tcPr>
            <w:tcW w:w="6846" w:type="dxa"/>
            <w:noWrap w:val="0"/>
            <w:vAlign w:val="center"/>
          </w:tcPr>
          <w:p w14:paraId="0376A23A">
            <w:pPr>
              <w:spacing w:line="400" w:lineRule="exact"/>
              <w:jc w:val="left"/>
              <w:rPr>
                <w:rFonts w:hint="eastAsia" w:ascii="宋体" w:hAnsi="宋体" w:eastAsia="宋体" w:cs="宋体"/>
                <w:sz w:val="24"/>
                <w:lang w:val="en-US" w:eastAsia="zh-CN"/>
              </w:rPr>
            </w:pPr>
            <w:r>
              <w:rPr>
                <w:rFonts w:hint="eastAsia" w:ascii="宋体" w:hAnsi="宋体" w:cs="宋体"/>
                <w:sz w:val="24"/>
                <w:lang w:val="en-US" w:eastAsia="zh-CN"/>
              </w:rPr>
              <w:t>若</w:t>
            </w:r>
            <w:r>
              <w:rPr>
                <w:rFonts w:hint="eastAsia" w:ascii="宋体" w:hAnsi="宋体" w:eastAsia="宋体" w:cs="宋体"/>
                <w:sz w:val="24"/>
                <w:lang w:val="en-US" w:eastAsia="zh-CN"/>
              </w:rPr>
              <w:t>招标文件中存在内容不一致，以投标人须知为主</w:t>
            </w:r>
            <w:r>
              <w:rPr>
                <w:rFonts w:hint="eastAsia" w:ascii="宋体" w:hAnsi="宋体" w:cs="宋体"/>
                <w:sz w:val="24"/>
                <w:lang w:val="en-US" w:eastAsia="zh-CN"/>
              </w:rPr>
              <w:t>。</w:t>
            </w:r>
          </w:p>
        </w:tc>
      </w:tr>
    </w:tbl>
    <w:p w14:paraId="0FDCACBC">
      <w:pPr>
        <w:pStyle w:val="4"/>
        <w:sectPr>
          <w:headerReference r:id="rId8" w:type="first"/>
          <w:footerReference r:id="rId9" w:type="default"/>
          <w:pgSz w:w="11907" w:h="16840"/>
          <w:pgMar w:top="1418" w:right="1134" w:bottom="1418" w:left="1701" w:header="1134" w:footer="1134" w:gutter="0"/>
          <w:pgNumType w:start="0"/>
          <w:cols w:space="720" w:num="1"/>
          <w:titlePg/>
          <w:docGrid w:linePitch="462" w:charSpace="0"/>
        </w:sectPr>
      </w:pPr>
    </w:p>
    <w:p w14:paraId="515EB2CC">
      <w:pPr>
        <w:spacing w:before="240" w:beforeLines="100" w:after="240" w:afterLines="100"/>
        <w:jc w:val="center"/>
        <w:rPr>
          <w:b/>
          <w:sz w:val="28"/>
          <w:szCs w:val="28"/>
        </w:rPr>
      </w:pPr>
      <w:bookmarkStart w:id="77" w:name="_Toc150480755"/>
      <w:bookmarkStart w:id="78" w:name="_Toc353873932"/>
      <w:bookmarkStart w:id="79" w:name="_Toc305158859"/>
      <w:bookmarkStart w:id="80" w:name="_Toc226965790"/>
      <w:bookmarkStart w:id="81" w:name="_Toc127151517"/>
      <w:bookmarkStart w:id="82" w:name="_Toc226337213"/>
      <w:bookmarkStart w:id="83" w:name="_Toc195842882"/>
      <w:bookmarkStart w:id="84" w:name="_Toc305158785"/>
      <w:bookmarkStart w:id="85" w:name="_Toc150774722"/>
      <w:bookmarkStart w:id="86" w:name="_Toc142311019"/>
      <w:bookmarkStart w:id="87" w:name="_Toc265228355"/>
      <w:bookmarkStart w:id="88" w:name="_Toc353873662"/>
      <w:bookmarkStart w:id="89" w:name="_Toc353825542"/>
      <w:bookmarkStart w:id="90" w:name="_Toc264969207"/>
      <w:r>
        <w:rPr>
          <w:b/>
          <w:sz w:val="28"/>
          <w:szCs w:val="28"/>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CA82710">
      <w:pPr>
        <w:pStyle w:val="4"/>
        <w:tabs>
          <w:tab w:val="center" w:pos="4592"/>
          <w:tab w:val="left" w:pos="7860"/>
        </w:tabs>
        <w:spacing w:before="0" w:line="360" w:lineRule="auto"/>
        <w:jc w:val="center"/>
        <w:rPr>
          <w:rFonts w:ascii="Times New Roman" w:hAnsi="Times New Roman" w:eastAsia="宋体"/>
          <w:sz w:val="28"/>
        </w:rPr>
      </w:pPr>
      <w:bookmarkStart w:id="91" w:name="_Toc265228356"/>
      <w:bookmarkStart w:id="92" w:name="_Toc305158786"/>
      <w:bookmarkStart w:id="93" w:name="_Toc150774723"/>
      <w:bookmarkStart w:id="94" w:name="_Toc151193616"/>
      <w:bookmarkStart w:id="95" w:name="_Toc150509269"/>
      <w:bookmarkStart w:id="96" w:name="_Toc264969208"/>
      <w:bookmarkStart w:id="97" w:name="_Toc226965708"/>
      <w:bookmarkStart w:id="98" w:name="_Toc150774618"/>
      <w:bookmarkStart w:id="99" w:name="_Toc142311020"/>
      <w:bookmarkStart w:id="100" w:name="_Toc226965791"/>
      <w:bookmarkStart w:id="101" w:name="_Toc195842883"/>
      <w:bookmarkStart w:id="102" w:name="_Toc150480756"/>
      <w:bookmarkStart w:id="103" w:name="_Toc305158860"/>
      <w:bookmarkStart w:id="104" w:name="_Toc151193688"/>
      <w:bookmarkStart w:id="105" w:name="_Toc151193760"/>
      <w:bookmarkStart w:id="106" w:name="_Toc520356143"/>
      <w:bookmarkStart w:id="107" w:name="_Toc226309762"/>
      <w:bookmarkStart w:id="108" w:name="_Toc226337214"/>
      <w:bookmarkStart w:id="109" w:name="_Toc151193906"/>
      <w:bookmarkStart w:id="110" w:name="_Toc127151518"/>
      <w:bookmarkStart w:id="111" w:name="_Toc151193832"/>
      <w:bookmarkStart w:id="112" w:name="_Toc151190145"/>
      <w:r>
        <w:rPr>
          <w:rFonts w:ascii="Times New Roman" w:hAnsi="Times New Roman" w:eastAsia="宋体"/>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B4FFF07">
      <w:pPr>
        <w:numPr>
          <w:ilvl w:val="1"/>
          <w:numId w:val="0"/>
        </w:numPr>
        <w:tabs>
          <w:tab w:val="left" w:pos="1080"/>
          <w:tab w:val="left" w:pos="2014"/>
          <w:tab w:val="left" w:pos="5521"/>
        </w:tabs>
        <w:snapToGrid w:val="0"/>
        <w:spacing w:line="360" w:lineRule="auto"/>
        <w:rPr>
          <w:rFonts w:hint="eastAsia"/>
          <w:sz w:val="24"/>
          <w:lang w:val="en-US" w:eastAsia="zh-CN"/>
        </w:rPr>
      </w:pPr>
      <w:bookmarkStart w:id="113" w:name="_Toc264969209"/>
      <w:bookmarkStart w:id="114" w:name="_Toc305158861"/>
      <w:bookmarkStart w:id="115" w:name="_Toc265228357"/>
      <w:bookmarkStart w:id="116" w:name="_Toc305158787"/>
      <w:r>
        <w:rPr>
          <w:rFonts w:hint="eastAsia"/>
          <w:sz w:val="24"/>
          <w:lang w:val="en-US" w:eastAsia="zh-CN"/>
        </w:rPr>
        <w:t>1、</w:t>
      </w:r>
      <w:bookmarkEnd w:id="113"/>
      <w:bookmarkEnd w:id="114"/>
      <w:bookmarkEnd w:id="115"/>
      <w:bookmarkEnd w:id="116"/>
      <w:r>
        <w:rPr>
          <w:rFonts w:hint="eastAsia"/>
          <w:sz w:val="24"/>
          <w:lang w:val="en-US" w:eastAsia="zh-CN"/>
        </w:rPr>
        <w:t>招标人、招标代理机构、投标人、联合体</w:t>
      </w:r>
    </w:p>
    <w:p w14:paraId="32AE16D4">
      <w:pPr>
        <w:numPr>
          <w:ilvl w:val="1"/>
          <w:numId w:val="0"/>
        </w:numPr>
        <w:tabs>
          <w:tab w:val="left" w:pos="1080"/>
          <w:tab w:val="left" w:pos="2014"/>
          <w:tab w:val="left" w:pos="5521"/>
        </w:tabs>
        <w:snapToGrid w:val="0"/>
        <w:spacing w:line="360" w:lineRule="auto"/>
        <w:ind w:left="1080" w:leftChars="0" w:hanging="72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1.1招标人、招标代理机构：指依法进行政府采购的国家机关、事业单位、团体组织， </w:t>
      </w:r>
    </w:p>
    <w:p w14:paraId="3E2D2600">
      <w:pPr>
        <w:numPr>
          <w:ilvl w:val="1"/>
          <w:numId w:val="0"/>
        </w:numPr>
        <w:tabs>
          <w:tab w:val="left" w:pos="1080"/>
          <w:tab w:val="left" w:pos="2014"/>
          <w:tab w:val="left" w:pos="5521"/>
        </w:tabs>
        <w:snapToGrid w:val="0"/>
        <w:spacing w:line="360" w:lineRule="auto"/>
        <w:ind w:left="1080" w:leftChars="0" w:hanging="72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及其委托的招标代理机构。本项目招标人、招标代理机构见第一章《</w:t>
      </w:r>
      <w:r>
        <w:rPr>
          <w:rFonts w:hint="eastAsia" w:cs="Times New Roman"/>
          <w:kern w:val="2"/>
          <w:sz w:val="24"/>
          <w:szCs w:val="24"/>
          <w:lang w:val="en-US" w:eastAsia="zh-CN" w:bidi="ar-SA"/>
        </w:rPr>
        <w:t>招标公告</w:t>
      </w:r>
      <w:r>
        <w:rPr>
          <w:rFonts w:hint="default" w:ascii="Times New Roman" w:hAnsi="Times New Roman" w:eastAsia="宋体" w:cs="Times New Roman"/>
          <w:kern w:val="2"/>
          <w:sz w:val="24"/>
          <w:szCs w:val="24"/>
          <w:lang w:val="en-US" w:eastAsia="zh-CN" w:bidi="ar-SA"/>
        </w:rPr>
        <w:t>》。</w:t>
      </w:r>
    </w:p>
    <w:p w14:paraId="5A5C731B">
      <w:pPr>
        <w:numPr>
          <w:ilvl w:val="1"/>
          <w:numId w:val="0"/>
        </w:numPr>
        <w:tabs>
          <w:tab w:val="left" w:pos="1080"/>
          <w:tab w:val="left" w:pos="2014"/>
          <w:tab w:val="left" w:pos="5521"/>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1.2</w:t>
      </w:r>
      <w:r>
        <w:rPr>
          <w:sz w:val="24"/>
        </w:rPr>
        <w:t>投标人（也称</w:t>
      </w:r>
      <w:r>
        <w:rPr>
          <w:rFonts w:hint="eastAsia"/>
          <w:sz w:val="24"/>
        </w:rPr>
        <w:t>“</w:t>
      </w:r>
      <w:r>
        <w:rPr>
          <w:rFonts w:hint="eastAsia"/>
          <w:sz w:val="24"/>
          <w:lang w:eastAsia="zh-CN"/>
        </w:rPr>
        <w:t>投标人</w:t>
      </w:r>
      <w:r>
        <w:rPr>
          <w:rFonts w:hint="eastAsia"/>
          <w:sz w:val="24"/>
        </w:rPr>
        <w:t>”、“</w:t>
      </w:r>
      <w:r>
        <w:rPr>
          <w:sz w:val="24"/>
        </w:rPr>
        <w:t>申请人</w:t>
      </w:r>
      <w:r>
        <w:rPr>
          <w:rFonts w:hint="eastAsia"/>
          <w:sz w:val="24"/>
        </w:rPr>
        <w:t>”</w:t>
      </w:r>
      <w:r>
        <w:rPr>
          <w:sz w:val="24"/>
        </w:rPr>
        <w:t>）：指向</w:t>
      </w:r>
      <w:r>
        <w:rPr>
          <w:rFonts w:hint="eastAsia"/>
          <w:sz w:val="24"/>
          <w:lang w:eastAsia="zh-CN"/>
        </w:rPr>
        <w:t>招标人</w:t>
      </w:r>
      <w:r>
        <w:rPr>
          <w:sz w:val="24"/>
        </w:rPr>
        <w:t>提供货物、工程或者服务的法人、其他组织或者自然人。</w:t>
      </w:r>
    </w:p>
    <w:p w14:paraId="6EA07331">
      <w:pPr>
        <w:numPr>
          <w:ilvl w:val="1"/>
          <w:numId w:val="0"/>
        </w:numPr>
        <w:tabs>
          <w:tab w:val="left" w:pos="1080"/>
          <w:tab w:val="left" w:pos="2014"/>
          <w:tab w:val="left" w:pos="5521"/>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1.3</w:t>
      </w:r>
      <w:r>
        <w:rPr>
          <w:rFonts w:hint="eastAsia"/>
          <w:sz w:val="24"/>
        </w:rPr>
        <w:t>联合体：指两个以上的自然人、法人或者其他组织组成一个联合体，以一个</w:t>
      </w:r>
      <w:r>
        <w:rPr>
          <w:rFonts w:hint="eastAsia"/>
          <w:sz w:val="24"/>
          <w:lang w:eastAsia="zh-CN"/>
        </w:rPr>
        <w:t>投标人</w:t>
      </w:r>
      <w:r>
        <w:rPr>
          <w:rFonts w:hint="eastAsia"/>
          <w:sz w:val="24"/>
        </w:rPr>
        <w:t>的身份共同参加政府采购。</w:t>
      </w:r>
    </w:p>
    <w:p w14:paraId="7C31557F">
      <w:pPr>
        <w:numPr>
          <w:ilvl w:val="0"/>
          <w:numId w:val="0"/>
        </w:numPr>
        <w:tabs>
          <w:tab w:val="left" w:pos="360"/>
        </w:tabs>
        <w:snapToGrid w:val="0"/>
        <w:spacing w:line="360" w:lineRule="auto"/>
        <w:ind w:left="357" w:leftChars="0" w:hanging="357" w:firstLineChars="0"/>
        <w:outlineLvl w:val="9"/>
        <w:rPr>
          <w:sz w:val="24"/>
        </w:rPr>
      </w:pPr>
      <w:bookmarkStart w:id="117" w:name="_Toc164608634"/>
      <w:bookmarkStart w:id="118" w:name="_Toc149720813"/>
      <w:bookmarkStart w:id="119" w:name="_Toc164351614"/>
      <w:bookmarkStart w:id="120" w:name="_Toc265228358"/>
      <w:bookmarkStart w:id="121" w:name="_Toc142311022"/>
      <w:bookmarkStart w:id="122" w:name="_Toc150509271"/>
      <w:bookmarkStart w:id="123" w:name="_Toc305158788"/>
      <w:bookmarkStart w:id="124" w:name="_Toc151190147"/>
      <w:bookmarkStart w:id="125" w:name="_Toc226309764"/>
      <w:bookmarkStart w:id="126" w:name="_Toc151193618"/>
      <w:bookmarkStart w:id="127" w:name="_Toc150774725"/>
      <w:bookmarkStart w:id="128" w:name="_Toc127151721"/>
      <w:bookmarkStart w:id="129" w:name="_Toc264969210"/>
      <w:bookmarkStart w:id="130" w:name="_Toc127161434"/>
      <w:bookmarkStart w:id="131" w:name="_Toc151193908"/>
      <w:bookmarkStart w:id="132" w:name="_Toc164608789"/>
      <w:bookmarkStart w:id="133" w:name="_Toc151193762"/>
      <w:bookmarkStart w:id="134" w:name="_Toc151193690"/>
      <w:bookmarkStart w:id="135" w:name="_Toc164229215"/>
      <w:bookmarkStart w:id="136" w:name="_Toc150480758"/>
      <w:bookmarkStart w:id="137" w:name="_Toc226965710"/>
      <w:bookmarkStart w:id="138" w:name="_Toc151193834"/>
      <w:bookmarkStart w:id="139" w:name="_Toc226965793"/>
      <w:bookmarkStart w:id="140" w:name="_Toc164229361"/>
      <w:bookmarkStart w:id="141" w:name="_Toc226337216"/>
      <w:bookmarkStart w:id="142" w:name="_Toc195842885"/>
      <w:bookmarkStart w:id="143" w:name="_Toc127151520"/>
      <w:bookmarkStart w:id="144" w:name="_Toc305158862"/>
      <w:bookmarkStart w:id="145" w:name="_Toc150774620"/>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w:t>
      </w:r>
      <w:r>
        <w:rPr>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sz w:val="24"/>
        </w:rPr>
        <w:t>、项目属性、科研仪器设备采购、核心产品</w:t>
      </w:r>
    </w:p>
    <w:p w14:paraId="67C385D9">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2.1</w:t>
      </w:r>
      <w:r>
        <w:rPr>
          <w:spacing w:val="-6"/>
          <w:sz w:val="24"/>
        </w:rPr>
        <w:t>资金来源为财政性资金和/或本项目采购中无法与财政性资金分割的非财政性资金。</w:t>
      </w:r>
    </w:p>
    <w:p w14:paraId="463A2C9F">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2.2</w:t>
      </w:r>
      <w:r>
        <w:rPr>
          <w:sz w:val="24"/>
        </w:rPr>
        <w:t>项目属性见《投标人须知资料表》。</w:t>
      </w:r>
    </w:p>
    <w:p w14:paraId="54057B2B">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2.3</w:t>
      </w:r>
      <w:r>
        <w:rPr>
          <w:sz w:val="24"/>
        </w:rPr>
        <w:t>是否属于科研仪器设备采购见《投标人须知资料表》。</w:t>
      </w:r>
    </w:p>
    <w:p w14:paraId="19EBFC00">
      <w:pPr>
        <w:numPr>
          <w:ilvl w:val="1"/>
          <w:numId w:val="0"/>
        </w:numPr>
        <w:tabs>
          <w:tab w:val="left" w:pos="1080"/>
          <w:tab w:val="left" w:pos="2014"/>
          <w:tab w:val="left" w:pos="5521"/>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2.4</w:t>
      </w:r>
      <w:r>
        <w:rPr>
          <w:sz w:val="24"/>
        </w:rPr>
        <w:t>核心产品见《投标人须知资料表》。</w:t>
      </w:r>
    </w:p>
    <w:p w14:paraId="1A848960">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3</w:t>
      </w:r>
      <w:r>
        <w:rPr>
          <w:rFonts w:hint="eastAsia"/>
          <w:sz w:val="24"/>
          <w:lang w:val="en-US" w:eastAsia="zh-CN"/>
        </w:rPr>
        <w:t>、</w:t>
      </w:r>
      <w:r>
        <w:rPr>
          <w:sz w:val="24"/>
        </w:rPr>
        <w:t>现场考察、开标前答疑会</w:t>
      </w:r>
    </w:p>
    <w:p w14:paraId="16CBA760">
      <w:pPr>
        <w:numPr>
          <w:ilvl w:val="1"/>
          <w:numId w:val="0"/>
        </w:numPr>
        <w:tabs>
          <w:tab w:val="left" w:pos="1080"/>
          <w:tab w:val="left" w:pos="2014"/>
        </w:tabs>
        <w:snapToGrid w:val="0"/>
        <w:spacing w:line="360" w:lineRule="auto"/>
        <w:ind w:left="1080" w:leftChars="0" w:hanging="720" w:firstLineChars="0"/>
        <w:rPr>
          <w:sz w:val="28"/>
        </w:rPr>
      </w:pPr>
      <w:r>
        <w:rPr>
          <w:rFonts w:hint="default" w:ascii="Times New Roman" w:hAnsi="Times New Roman" w:eastAsia="宋体" w:cs="Times New Roman"/>
          <w:kern w:val="2"/>
          <w:sz w:val="24"/>
          <w:szCs w:val="24"/>
          <w:lang w:val="en-US" w:eastAsia="zh-CN" w:bidi="ar-SA"/>
        </w:rPr>
        <w:t>3.1</w:t>
      </w:r>
      <w:r>
        <w:rPr>
          <w:sz w:val="24"/>
        </w:rPr>
        <w:t>若《投标人须知资料表》中规定了组织现场考察、召开开标前答疑会，则投标人应按要求在规定的时间和地点参加。</w:t>
      </w:r>
      <w:bookmarkStart w:id="146" w:name="_Toc151193836"/>
      <w:bookmarkStart w:id="147" w:name="_Toc151193910"/>
      <w:bookmarkStart w:id="148" w:name="_Toc520356146"/>
      <w:bookmarkStart w:id="149" w:name="_Toc127151522"/>
      <w:bookmarkStart w:id="150" w:name="_Toc151193620"/>
      <w:bookmarkStart w:id="151" w:name="_Toc265228360"/>
      <w:bookmarkStart w:id="152" w:name="_Toc226965712"/>
      <w:bookmarkStart w:id="153" w:name="_Toc195842887"/>
      <w:bookmarkStart w:id="154" w:name="_Toc150480760"/>
      <w:bookmarkStart w:id="155" w:name="_Toc264969212"/>
      <w:bookmarkStart w:id="156" w:name="_Toc305158790"/>
      <w:bookmarkStart w:id="157" w:name="_Toc226309766"/>
      <w:bookmarkStart w:id="158" w:name="_Toc226965795"/>
      <w:bookmarkStart w:id="159" w:name="_Toc150509273"/>
      <w:bookmarkStart w:id="160" w:name="_Toc151190149"/>
      <w:bookmarkStart w:id="161" w:name="_Toc305158864"/>
      <w:bookmarkStart w:id="162" w:name="_Toc142311024"/>
      <w:bookmarkStart w:id="163" w:name="_Toc150774727"/>
      <w:bookmarkStart w:id="164" w:name="_Toc150774622"/>
      <w:bookmarkStart w:id="165" w:name="_Toc226337218"/>
      <w:bookmarkStart w:id="166" w:name="_Toc151193764"/>
      <w:bookmarkStart w:id="167" w:name="_Toc151193692"/>
    </w:p>
    <w:p w14:paraId="513D3FBC">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3.2</w:t>
      </w:r>
      <w:r>
        <w:rPr>
          <w:sz w:val="24"/>
        </w:rPr>
        <w:t>由于未参加现场考察或开标前答疑会而导致对项目实际情况不了解，影响投标文件编制、投标报价准确性、综合因素响应不全面等问题的，由投标人自行承担不利评审后果。</w:t>
      </w:r>
    </w:p>
    <w:p w14:paraId="18D1305B">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4</w:t>
      </w:r>
      <w:r>
        <w:rPr>
          <w:rFonts w:hint="eastAsia"/>
          <w:sz w:val="24"/>
          <w:lang w:val="en-US" w:eastAsia="zh-CN"/>
        </w:rPr>
        <w:t>、</w:t>
      </w:r>
      <w:r>
        <w:rPr>
          <w:sz w:val="24"/>
        </w:rPr>
        <w:t>样品</w:t>
      </w:r>
    </w:p>
    <w:p w14:paraId="324827E5">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4.1</w:t>
      </w: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641813CD">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4.2</w:t>
      </w:r>
      <w:r>
        <w:rPr>
          <w:sz w:val="24"/>
        </w:rPr>
        <w:t>样品的评审方法以及评审标准等内容见第四章《评标方法和评标标准》。</w:t>
      </w:r>
    </w:p>
    <w:p w14:paraId="62F9A079">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5</w:t>
      </w:r>
      <w:r>
        <w:rPr>
          <w:rFonts w:hint="eastAsia"/>
          <w:sz w:val="24"/>
          <w:lang w:val="en-US" w:eastAsia="zh-CN"/>
        </w:rPr>
        <w:t>、</w:t>
      </w:r>
      <w:r>
        <w:rPr>
          <w:sz w:val="24"/>
        </w:rPr>
        <w:t>政府采购政策（包括但不限于下列具体政策要求）</w:t>
      </w:r>
    </w:p>
    <w:p w14:paraId="4E3ADAE1">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5.1</w:t>
      </w:r>
      <w:r>
        <w:rPr>
          <w:sz w:val="24"/>
        </w:rPr>
        <w:t>进口产品</w:t>
      </w:r>
    </w:p>
    <w:p w14:paraId="07E1CFC8">
      <w:pPr>
        <w:numPr>
          <w:ilvl w:val="2"/>
          <w:numId w:val="0"/>
        </w:numPr>
        <w:tabs>
          <w:tab w:val="left" w:pos="2014"/>
        </w:tabs>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5.1.1</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B7D7A9">
      <w:pPr>
        <w:numPr>
          <w:ilvl w:val="2"/>
          <w:numId w:val="0"/>
        </w:numPr>
        <w:tabs>
          <w:tab w:val="left" w:pos="2014"/>
        </w:tabs>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5.1.2</w:t>
      </w:r>
      <w:r>
        <w:rPr>
          <w:sz w:val="24"/>
        </w:rPr>
        <w:t>本项目是否接受进口产品见第五章《采购需求》。</w:t>
      </w:r>
    </w:p>
    <w:p w14:paraId="623CFC78">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5.2</w:t>
      </w:r>
      <w:r>
        <w:rPr>
          <w:sz w:val="24"/>
        </w:rPr>
        <w:t>中小企业、监狱企业及残疾人福利性单位</w:t>
      </w:r>
    </w:p>
    <w:p w14:paraId="7E7CCF74">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5.2.1</w:t>
      </w:r>
      <w:r>
        <w:rPr>
          <w:sz w:val="24"/>
        </w:rPr>
        <w:t>中小企业定义：</w:t>
      </w:r>
    </w:p>
    <w:p w14:paraId="686DE42D">
      <w:pPr>
        <w:pStyle w:val="95"/>
        <w:numPr>
          <w:ilvl w:val="0"/>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C92DB98">
      <w:pPr>
        <w:pStyle w:val="95"/>
        <w:numPr>
          <w:ilvl w:val="0"/>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2471BD0">
      <w:pPr>
        <w:pStyle w:val="95"/>
        <w:numPr>
          <w:ilvl w:val="0"/>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79E7A78">
      <w:pPr>
        <w:pStyle w:val="95"/>
        <w:numPr>
          <w:ilvl w:val="0"/>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DB932C6">
      <w:pPr>
        <w:pStyle w:val="95"/>
        <w:numPr>
          <w:ilvl w:val="0"/>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B0C6F91">
      <w:pPr>
        <w:pStyle w:val="95"/>
        <w:numPr>
          <w:ilvl w:val="1"/>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1F14038">
      <w:pPr>
        <w:pStyle w:val="95"/>
        <w:numPr>
          <w:ilvl w:val="1"/>
          <w:numId w:val="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B5E42BB">
      <w:pPr>
        <w:pStyle w:val="95"/>
        <w:numPr>
          <w:ilvl w:val="2"/>
          <w:numId w:val="8"/>
        </w:numPr>
        <w:tabs>
          <w:tab w:val="left" w:pos="2035"/>
          <w:tab w:val="left" w:pos="2977"/>
        </w:tabs>
        <w:snapToGrid w:val="0"/>
        <w:spacing w:line="360" w:lineRule="auto"/>
        <w:ind w:firstLineChars="0"/>
        <w:rPr>
          <w:rFonts w:ascii="Times New Roman" w:hAnsi="Times New Roman"/>
          <w:vanish/>
          <w:color w:val="000000"/>
          <w:sz w:val="24"/>
          <w:szCs w:val="24"/>
        </w:rPr>
      </w:pPr>
    </w:p>
    <w:p w14:paraId="6CBA49A8">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A5294F0">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rFonts w:hint="eastAsia"/>
          <w:sz w:val="24"/>
          <w:lang w:eastAsia="zh-CN"/>
        </w:rPr>
        <w:t>投标人</w:t>
      </w:r>
      <w:r>
        <w:rPr>
          <w:sz w:val="24"/>
        </w:rPr>
        <w:t>提供的货物、工程或者服务符合下列情形的，享受中小企业扶持政策：</w:t>
      </w:r>
    </w:p>
    <w:p w14:paraId="453F7E0F">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5B712BCF">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5558ECA5">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60A71AF8">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在货物采购项目中，</w:t>
      </w:r>
      <w:r>
        <w:rPr>
          <w:rFonts w:hint="eastAsia"/>
          <w:sz w:val="24"/>
          <w:lang w:eastAsia="zh-CN"/>
        </w:rPr>
        <w:t>投标人</w:t>
      </w:r>
      <w:r>
        <w:rPr>
          <w:sz w:val="24"/>
        </w:rPr>
        <w:t>提供的货物既有中小企业制造货物，也有大型企业制造货物的，不享受中小企业扶持政策。</w:t>
      </w:r>
    </w:p>
    <w:p w14:paraId="2C0DBADD">
      <w:pPr>
        <w:numPr>
          <w:ilvl w:val="3"/>
          <w:numId w:val="8"/>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73B09A6E">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5.2.2</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76C386">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5.2.3</w:t>
      </w:r>
      <w:r>
        <w:rPr>
          <w:sz w:val="24"/>
        </w:rPr>
        <w:t>残疾人福利单位定义：享受政府采购支持政策的残疾人福利性单位应当同时满足以下条件：</w:t>
      </w:r>
    </w:p>
    <w:p w14:paraId="7BD95D69">
      <w:pPr>
        <w:pStyle w:val="95"/>
        <w:numPr>
          <w:ilvl w:val="2"/>
          <w:numId w:val="8"/>
        </w:numPr>
        <w:tabs>
          <w:tab w:val="left" w:pos="2035"/>
          <w:tab w:val="left" w:pos="2977"/>
        </w:tabs>
        <w:snapToGrid w:val="0"/>
        <w:spacing w:line="360" w:lineRule="auto"/>
        <w:ind w:firstLineChars="0"/>
        <w:rPr>
          <w:rFonts w:ascii="Times New Roman" w:hAnsi="Times New Roman"/>
          <w:vanish/>
          <w:color w:val="000000"/>
          <w:sz w:val="24"/>
          <w:szCs w:val="24"/>
        </w:rPr>
      </w:pPr>
    </w:p>
    <w:p w14:paraId="0770FA26">
      <w:pPr>
        <w:pStyle w:val="95"/>
        <w:numPr>
          <w:ilvl w:val="2"/>
          <w:numId w:val="8"/>
        </w:numPr>
        <w:tabs>
          <w:tab w:val="left" w:pos="2035"/>
          <w:tab w:val="left" w:pos="2977"/>
        </w:tabs>
        <w:snapToGrid w:val="0"/>
        <w:spacing w:line="360" w:lineRule="auto"/>
        <w:ind w:firstLineChars="0"/>
        <w:rPr>
          <w:rFonts w:ascii="Times New Roman" w:hAnsi="Times New Roman"/>
          <w:vanish/>
          <w:color w:val="000000"/>
          <w:sz w:val="24"/>
          <w:szCs w:val="24"/>
        </w:rPr>
      </w:pPr>
    </w:p>
    <w:p w14:paraId="669258D6">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08B2E6BA">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581EF99D">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7617032C">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31B87CDB">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6D1B0FEA">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3DFB6B9">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5.2.4</w:t>
      </w:r>
      <w:r>
        <w:rPr>
          <w:sz w:val="24"/>
        </w:rPr>
        <w:t>本项目是否专门面向中小企业预留采购份额见第一章《</w:t>
      </w:r>
      <w:r>
        <w:rPr>
          <w:rFonts w:hint="eastAsia"/>
          <w:sz w:val="24"/>
          <w:lang w:eastAsia="zh-CN"/>
        </w:rPr>
        <w:t>招标公告</w:t>
      </w:r>
      <w:r>
        <w:rPr>
          <w:sz w:val="24"/>
        </w:rPr>
        <w:t>》。</w:t>
      </w:r>
    </w:p>
    <w:p w14:paraId="06FA9133">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5.2.5</w:t>
      </w:r>
      <w:r>
        <w:rPr>
          <w:sz w:val="24"/>
        </w:rPr>
        <w:t>采购标的对应的中小企业划分标准所属行业见《投标人须知资料表》。</w:t>
      </w:r>
    </w:p>
    <w:p w14:paraId="605A84EE">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5.2.6</w:t>
      </w:r>
      <w:r>
        <w:rPr>
          <w:sz w:val="24"/>
        </w:rPr>
        <w:t>小微企业价格评审优惠的政策调整：见第四章《评标方法和评标标准》。</w:t>
      </w:r>
    </w:p>
    <w:p w14:paraId="4C4ED7B7">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5.3</w:t>
      </w:r>
      <w:r>
        <w:rPr>
          <w:sz w:val="24"/>
        </w:rPr>
        <w:t>政府采购节能产品、环境标志产品</w:t>
      </w:r>
    </w:p>
    <w:p w14:paraId="07D19E71">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5.3.1</w:t>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E639E93">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5.3.2</w:t>
      </w:r>
      <w:r>
        <w:rPr>
          <w:rFonts w:hint="eastAsia"/>
          <w:sz w:val="24"/>
          <w:lang w:eastAsia="zh-CN"/>
        </w:rPr>
        <w:t>招标人</w:t>
      </w:r>
      <w:r>
        <w:rPr>
          <w:sz w:val="24"/>
        </w:rPr>
        <w:t>拟采购的产品属于品目清单范围的，</w:t>
      </w:r>
      <w:r>
        <w:rPr>
          <w:rFonts w:hint="eastAsia"/>
          <w:sz w:val="24"/>
          <w:lang w:eastAsia="zh-CN"/>
        </w:rPr>
        <w:t>招标人</w:t>
      </w:r>
      <w:r>
        <w:rPr>
          <w:sz w:val="24"/>
        </w:rPr>
        <w:t>及其委托的</w:t>
      </w:r>
      <w:r>
        <w:rPr>
          <w:rFonts w:hint="eastAsia"/>
          <w:sz w:val="24"/>
          <w:lang w:eastAsia="zh-CN"/>
        </w:rPr>
        <w:t>招标代理机构</w:t>
      </w:r>
      <w:r>
        <w:rPr>
          <w:sz w:val="24"/>
        </w:rPr>
        <w:t xml:space="preserve">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43AF9F8">
      <w:pPr>
        <w:numPr>
          <w:ilvl w:val="2"/>
          <w:numId w:val="0"/>
        </w:numPr>
        <w:snapToGrid w:val="0"/>
        <w:spacing w:line="360" w:lineRule="auto"/>
        <w:ind w:left="1980" w:leftChars="0" w:hanging="900" w:firstLineChars="0"/>
        <w:rPr>
          <w:b w:val="0"/>
          <w:bCs w:val="0"/>
          <w:sz w:val="24"/>
        </w:rPr>
      </w:pPr>
      <w:r>
        <w:rPr>
          <w:rFonts w:hint="eastAsia" w:ascii="Times New Roman" w:hAnsi="Times New Roman" w:eastAsia="宋体" w:cs="Times New Roman"/>
          <w:kern w:val="2"/>
          <w:sz w:val="24"/>
          <w:szCs w:val="24"/>
          <w:lang w:val="en-US" w:eastAsia="zh-CN" w:bidi="ar-SA"/>
        </w:rPr>
        <w:t>5.3.3</w:t>
      </w:r>
      <w:r>
        <w:rPr>
          <w:sz w:val="24"/>
        </w:rPr>
        <w:t>如本项目采购产品属于实</w:t>
      </w:r>
      <w:r>
        <w:rPr>
          <w:b w:val="0"/>
          <w:bCs w:val="0"/>
          <w:sz w:val="24"/>
        </w:rPr>
        <w:t>施政府强制采购品目清单范围的节能产品，则投标人所报产品必须获得国家确定的认证机构出具的、处于有效期之内的节能产品认证证书，</w:t>
      </w:r>
      <w:r>
        <w:rPr>
          <w:b w:val="0"/>
          <w:bCs w:val="0"/>
          <w:kern w:val="0"/>
          <w:sz w:val="24"/>
        </w:rPr>
        <w:t>否则投标无效</w:t>
      </w:r>
      <w:r>
        <w:rPr>
          <w:b w:val="0"/>
          <w:bCs w:val="0"/>
          <w:sz w:val="24"/>
        </w:rPr>
        <w:t>；</w:t>
      </w:r>
    </w:p>
    <w:p w14:paraId="5F1992DF">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5.3.4</w:t>
      </w:r>
      <w:r>
        <w:rPr>
          <w:sz w:val="24"/>
        </w:rPr>
        <w:t>非政府强制采购的节能产品或环境标志产品，依据品目清单和认证证书实施政府优先采购。优先采购的具体规定见第四章《评标方法和评标标准》（如涉及）。</w:t>
      </w:r>
    </w:p>
    <w:p w14:paraId="0C8FE6E4">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6</w:t>
      </w:r>
      <w:r>
        <w:rPr>
          <w:rFonts w:hint="eastAsia"/>
          <w:sz w:val="24"/>
          <w:lang w:val="en-US" w:eastAsia="zh-CN"/>
        </w:rPr>
        <w:t>、</w:t>
      </w:r>
      <w:r>
        <w:rPr>
          <w:sz w:val="24"/>
        </w:rPr>
        <w:t>投标费用</w:t>
      </w:r>
    </w:p>
    <w:p w14:paraId="4814BA1A">
      <w:pPr>
        <w:numPr>
          <w:ilvl w:val="1"/>
          <w:numId w:val="0"/>
        </w:numPr>
        <w:tabs>
          <w:tab w:val="left" w:pos="1080"/>
          <w:tab w:val="left" w:pos="2014"/>
        </w:tabs>
        <w:snapToGrid w:val="0"/>
        <w:spacing w:line="360" w:lineRule="auto"/>
        <w:ind w:left="1080" w:leftChars="0" w:hanging="720" w:firstLineChars="0"/>
        <w:jc w:val="left"/>
        <w:rPr>
          <w:sz w:val="28"/>
        </w:rPr>
      </w:pPr>
      <w:r>
        <w:rPr>
          <w:rFonts w:hint="default" w:ascii="Times New Roman" w:hAnsi="Times New Roman" w:eastAsia="宋体" w:cs="Times New Roman"/>
          <w:kern w:val="2"/>
          <w:sz w:val="24"/>
          <w:szCs w:val="24"/>
          <w:lang w:val="en-US" w:eastAsia="zh-CN" w:bidi="ar-SA"/>
        </w:rPr>
        <w:t>6.1</w:t>
      </w:r>
      <w:r>
        <w:rPr>
          <w:sz w:val="24"/>
        </w:rPr>
        <w:t>投标人应自行承担所有与准备和参加投标有关的费用，无论投标的结果如何，</w:t>
      </w:r>
      <w:r>
        <w:rPr>
          <w:rFonts w:hint="eastAsia"/>
          <w:sz w:val="24"/>
          <w:lang w:eastAsia="zh-CN"/>
        </w:rPr>
        <w:t>招标人</w:t>
      </w:r>
      <w:r>
        <w:rPr>
          <w:sz w:val="24"/>
        </w:rPr>
        <w:t>或</w:t>
      </w:r>
      <w:r>
        <w:rPr>
          <w:rFonts w:hint="eastAsia"/>
          <w:sz w:val="24"/>
          <w:lang w:eastAsia="zh-CN"/>
        </w:rPr>
        <w:t>招标代理机构</w:t>
      </w:r>
      <w:r>
        <w:rPr>
          <w:sz w:val="24"/>
        </w:rPr>
        <w:t>在任何情况下均无承担这些费用的义务和责任。</w:t>
      </w:r>
      <w:bookmarkStart w:id="168" w:name="_1.8_计量单位"/>
      <w:bookmarkEnd w:id="168"/>
    </w:p>
    <w:p w14:paraId="05B736B6">
      <w:pPr>
        <w:pStyle w:val="4"/>
        <w:spacing w:before="0" w:line="360" w:lineRule="auto"/>
        <w:jc w:val="center"/>
        <w:rPr>
          <w:rFonts w:ascii="Times New Roman" w:hAnsi="Times New Roman" w:eastAsia="宋体"/>
          <w:sz w:val="28"/>
        </w:rPr>
      </w:pPr>
      <w:r>
        <w:rPr>
          <w:rFonts w:ascii="Times New Roman" w:hAnsi="Times New Roman" w:eastAsia="宋体"/>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87D998C">
      <w:pPr>
        <w:numPr>
          <w:ilvl w:val="0"/>
          <w:numId w:val="0"/>
        </w:numPr>
        <w:tabs>
          <w:tab w:val="left" w:pos="360"/>
        </w:tabs>
        <w:snapToGrid w:val="0"/>
        <w:spacing w:line="360" w:lineRule="auto"/>
        <w:ind w:left="357" w:leftChars="0" w:hanging="357" w:firstLineChars="0"/>
        <w:outlineLvl w:val="9"/>
        <w:rPr>
          <w:sz w:val="24"/>
        </w:rPr>
      </w:pPr>
      <w:bookmarkStart w:id="169" w:name="_Toc142311025"/>
      <w:bookmarkStart w:id="170" w:name="_Toc127151724"/>
      <w:bookmarkStart w:id="171" w:name="_Toc164229218"/>
      <w:bookmarkStart w:id="172" w:name="_Toc151193837"/>
      <w:bookmarkStart w:id="173" w:name="_Toc226965713"/>
      <w:bookmarkStart w:id="174" w:name="_Toc226309767"/>
      <w:bookmarkStart w:id="175" w:name="_Toc305158865"/>
      <w:bookmarkStart w:id="176" w:name="_Toc151193911"/>
      <w:bookmarkStart w:id="177" w:name="_Toc520356147"/>
      <w:bookmarkStart w:id="178" w:name="_Toc164351617"/>
      <w:bookmarkStart w:id="179" w:name="_Toc226337219"/>
      <w:bookmarkStart w:id="180" w:name="_Toc151190150"/>
      <w:bookmarkStart w:id="181" w:name="_Toc195842888"/>
      <w:bookmarkStart w:id="182" w:name="_Toc164608792"/>
      <w:bookmarkStart w:id="183" w:name="_Toc265228361"/>
      <w:bookmarkStart w:id="184" w:name="_Toc305158791"/>
      <w:bookmarkStart w:id="185" w:name="_Toc151193693"/>
      <w:bookmarkStart w:id="186" w:name="_Toc151193621"/>
      <w:bookmarkStart w:id="187" w:name="_Toc164608637"/>
      <w:bookmarkStart w:id="188" w:name="_Toc150509274"/>
      <w:bookmarkStart w:id="189" w:name="_Toc150774623"/>
      <w:bookmarkStart w:id="190" w:name="_Toc164229364"/>
      <w:bookmarkStart w:id="191" w:name="_Toc150480761"/>
      <w:bookmarkStart w:id="192" w:name="_Toc127151523"/>
      <w:bookmarkStart w:id="193" w:name="_Toc127161437"/>
      <w:bookmarkStart w:id="194" w:name="_Toc226965796"/>
      <w:bookmarkStart w:id="195" w:name="_Toc151193765"/>
      <w:bookmarkStart w:id="196" w:name="_Toc264969213"/>
      <w:bookmarkStart w:id="197" w:name="_Toc149720816"/>
      <w:bookmarkStart w:id="198" w:name="_Toc150774728"/>
      <w:r>
        <w:rPr>
          <w:rFonts w:hint="eastAsia" w:ascii="Times New Roman" w:hAnsi="Times New Roman" w:eastAsia="宋体" w:cs="Times New Roman"/>
          <w:kern w:val="2"/>
          <w:sz w:val="24"/>
          <w:szCs w:val="24"/>
          <w:lang w:val="en-US" w:eastAsia="zh-CN" w:bidi="ar-SA"/>
        </w:rPr>
        <w:t>7</w:t>
      </w:r>
      <w:r>
        <w:rPr>
          <w:rFonts w:hint="eastAsia"/>
          <w:sz w:val="24"/>
          <w:lang w:val="en-US" w:eastAsia="zh-CN"/>
        </w:rPr>
        <w:t>、</w:t>
      </w:r>
      <w:r>
        <w:rPr>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sz w:val="24"/>
        </w:rPr>
        <w:t>成</w:t>
      </w:r>
    </w:p>
    <w:p w14:paraId="123200B3">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7.1</w:t>
      </w:r>
      <w:r>
        <w:rPr>
          <w:sz w:val="24"/>
        </w:rPr>
        <w:t>招标文件包括以下部分：</w:t>
      </w:r>
    </w:p>
    <w:p w14:paraId="365108E4">
      <w:pPr>
        <w:numPr>
          <w:ilvl w:val="0"/>
          <w:numId w:val="9"/>
        </w:numPr>
        <w:tabs>
          <w:tab w:val="left" w:pos="1980"/>
          <w:tab w:val="left" w:pos="2520"/>
        </w:tabs>
        <w:snapToGrid w:val="0"/>
        <w:spacing w:line="360" w:lineRule="auto"/>
        <w:ind w:left="1440" w:firstLine="5"/>
        <w:rPr>
          <w:sz w:val="24"/>
        </w:rPr>
      </w:pPr>
      <w:r>
        <w:rPr>
          <w:rFonts w:hint="eastAsia"/>
          <w:sz w:val="24"/>
          <w:lang w:eastAsia="zh-CN"/>
        </w:rPr>
        <w:t>招标公告</w:t>
      </w:r>
    </w:p>
    <w:p w14:paraId="6B3FA83D">
      <w:pPr>
        <w:numPr>
          <w:ilvl w:val="0"/>
          <w:numId w:val="9"/>
        </w:numPr>
        <w:tabs>
          <w:tab w:val="left" w:pos="1980"/>
          <w:tab w:val="left" w:pos="2520"/>
        </w:tabs>
        <w:snapToGrid w:val="0"/>
        <w:spacing w:line="360" w:lineRule="auto"/>
        <w:ind w:left="1440" w:firstLine="5"/>
        <w:rPr>
          <w:sz w:val="24"/>
        </w:rPr>
      </w:pPr>
      <w:r>
        <w:rPr>
          <w:sz w:val="24"/>
        </w:rPr>
        <w:t>投标人须知</w:t>
      </w:r>
    </w:p>
    <w:p w14:paraId="78616A51">
      <w:pPr>
        <w:numPr>
          <w:ilvl w:val="0"/>
          <w:numId w:val="9"/>
        </w:numPr>
        <w:tabs>
          <w:tab w:val="left" w:pos="1980"/>
          <w:tab w:val="left" w:pos="2520"/>
        </w:tabs>
        <w:snapToGrid w:val="0"/>
        <w:spacing w:line="360" w:lineRule="auto"/>
        <w:ind w:left="1440" w:firstLine="5"/>
        <w:rPr>
          <w:sz w:val="24"/>
        </w:rPr>
      </w:pPr>
      <w:r>
        <w:rPr>
          <w:sz w:val="24"/>
        </w:rPr>
        <w:t>资格审查</w:t>
      </w:r>
    </w:p>
    <w:p w14:paraId="6D59B7FB">
      <w:pPr>
        <w:numPr>
          <w:ilvl w:val="0"/>
          <w:numId w:val="9"/>
        </w:numPr>
        <w:tabs>
          <w:tab w:val="left" w:pos="1980"/>
          <w:tab w:val="left" w:pos="2520"/>
        </w:tabs>
        <w:snapToGrid w:val="0"/>
        <w:spacing w:line="360" w:lineRule="auto"/>
        <w:ind w:left="1440" w:firstLine="5"/>
        <w:rPr>
          <w:sz w:val="24"/>
        </w:rPr>
      </w:pPr>
      <w:r>
        <w:rPr>
          <w:sz w:val="24"/>
        </w:rPr>
        <w:t>评标程序、评标方法和评标标准</w:t>
      </w:r>
    </w:p>
    <w:p w14:paraId="03B44A3A">
      <w:pPr>
        <w:numPr>
          <w:ilvl w:val="0"/>
          <w:numId w:val="9"/>
        </w:numPr>
        <w:tabs>
          <w:tab w:val="left" w:pos="1980"/>
          <w:tab w:val="left" w:pos="2520"/>
        </w:tabs>
        <w:snapToGrid w:val="0"/>
        <w:spacing w:line="360" w:lineRule="auto"/>
        <w:ind w:left="1440" w:firstLine="5"/>
        <w:rPr>
          <w:sz w:val="24"/>
        </w:rPr>
      </w:pPr>
      <w:r>
        <w:rPr>
          <w:sz w:val="24"/>
        </w:rPr>
        <w:t>采购需求</w:t>
      </w:r>
    </w:p>
    <w:p w14:paraId="457D01A6">
      <w:pPr>
        <w:numPr>
          <w:ilvl w:val="0"/>
          <w:numId w:val="9"/>
        </w:numPr>
        <w:tabs>
          <w:tab w:val="left" w:pos="1980"/>
          <w:tab w:val="left" w:pos="2520"/>
        </w:tabs>
        <w:snapToGrid w:val="0"/>
        <w:spacing w:line="360" w:lineRule="auto"/>
        <w:ind w:left="1440" w:firstLine="5"/>
        <w:rPr>
          <w:sz w:val="24"/>
        </w:rPr>
      </w:pPr>
      <w:r>
        <w:rPr>
          <w:sz w:val="24"/>
        </w:rPr>
        <w:t>拟签订的合同文本</w:t>
      </w:r>
    </w:p>
    <w:p w14:paraId="7A4FACE1">
      <w:pPr>
        <w:numPr>
          <w:ilvl w:val="0"/>
          <w:numId w:val="9"/>
        </w:numPr>
        <w:tabs>
          <w:tab w:val="left" w:pos="1980"/>
          <w:tab w:val="left" w:pos="2520"/>
        </w:tabs>
        <w:snapToGrid w:val="0"/>
        <w:spacing w:line="360" w:lineRule="auto"/>
        <w:ind w:left="1440" w:firstLine="5"/>
        <w:rPr>
          <w:sz w:val="24"/>
        </w:rPr>
      </w:pPr>
      <w:r>
        <w:rPr>
          <w:sz w:val="24"/>
        </w:rPr>
        <w:t>投标文件格式</w:t>
      </w:r>
    </w:p>
    <w:p w14:paraId="07692339">
      <w:pPr>
        <w:numPr>
          <w:ilvl w:val="1"/>
          <w:numId w:val="0"/>
        </w:numPr>
        <w:tabs>
          <w:tab w:val="left" w:pos="1080"/>
          <w:tab w:val="left" w:pos="2014"/>
        </w:tabs>
        <w:snapToGrid w:val="0"/>
        <w:spacing w:line="360" w:lineRule="auto"/>
        <w:ind w:left="1080" w:leftChars="0" w:hanging="720" w:firstLineChars="0"/>
        <w:rPr>
          <w:b w:val="0"/>
          <w:bCs/>
          <w:sz w:val="24"/>
        </w:rPr>
      </w:pPr>
      <w:r>
        <w:rPr>
          <w:rFonts w:hint="default" w:ascii="Times New Roman" w:hAnsi="Times New Roman" w:eastAsia="宋体" w:cs="Times New Roman"/>
          <w:kern w:val="2"/>
          <w:sz w:val="24"/>
          <w:szCs w:val="24"/>
          <w:lang w:val="en-US" w:eastAsia="zh-CN" w:bidi="ar-SA"/>
        </w:rPr>
        <w:t>7.2</w:t>
      </w:r>
      <w:r>
        <w:rPr>
          <w:sz w:val="24"/>
        </w:rPr>
        <w:t>投标人应认真阅读招标文件的全部内容。投标人应按照招标文件要求提交投标文件并保证所提供的全部资料的真实性，并对招标文件做出实质性响应，否则</w:t>
      </w:r>
      <w:r>
        <w:rPr>
          <w:b w:val="0"/>
          <w:bCs/>
          <w:sz w:val="24"/>
        </w:rPr>
        <w:t>投标无效。</w:t>
      </w:r>
    </w:p>
    <w:p w14:paraId="7F3CD219">
      <w:pPr>
        <w:numPr>
          <w:ilvl w:val="0"/>
          <w:numId w:val="0"/>
        </w:numPr>
        <w:tabs>
          <w:tab w:val="left" w:pos="1080"/>
          <w:tab w:val="left" w:pos="2014"/>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8</w:t>
      </w:r>
      <w:r>
        <w:rPr>
          <w:rFonts w:hint="eastAsia"/>
          <w:sz w:val="24"/>
          <w:lang w:val="en-US" w:eastAsia="zh-CN"/>
        </w:rPr>
        <w:t>、</w:t>
      </w:r>
      <w:r>
        <w:rPr>
          <w:sz w:val="24"/>
        </w:rPr>
        <w:t>对招标文件的澄清或修改</w:t>
      </w:r>
    </w:p>
    <w:p w14:paraId="2DE9EC52">
      <w:pPr>
        <w:numPr>
          <w:ilvl w:val="1"/>
          <w:numId w:val="0"/>
        </w:numPr>
        <w:tabs>
          <w:tab w:val="left" w:pos="1080"/>
          <w:tab w:val="left" w:pos="1561"/>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8.1</w:t>
      </w:r>
      <w:r>
        <w:rPr>
          <w:rFonts w:hint="eastAsia"/>
          <w:sz w:val="24"/>
          <w:lang w:eastAsia="zh-CN"/>
        </w:rPr>
        <w:t>招标人</w:t>
      </w:r>
      <w:r>
        <w:rPr>
          <w:sz w:val="24"/>
        </w:rPr>
        <w:t>或</w:t>
      </w:r>
      <w:r>
        <w:rPr>
          <w:rFonts w:hint="eastAsia"/>
          <w:sz w:val="24"/>
          <w:lang w:eastAsia="zh-CN"/>
        </w:rPr>
        <w:t>招标代理机构</w:t>
      </w:r>
      <w:r>
        <w:rPr>
          <w:sz w:val="24"/>
        </w:rPr>
        <w:t>对已发出的招标文件进行必要澄清或者修改的，将在原公告发布媒体上发布更正公告，并以书面形式通知所有获取招标文件的潜在投标人。</w:t>
      </w:r>
    </w:p>
    <w:p w14:paraId="70F0977C">
      <w:pPr>
        <w:numPr>
          <w:ilvl w:val="1"/>
          <w:numId w:val="0"/>
        </w:numPr>
        <w:tabs>
          <w:tab w:val="left" w:pos="1080"/>
          <w:tab w:val="left" w:pos="1561"/>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8.2</w:t>
      </w:r>
      <w:r>
        <w:rPr>
          <w:sz w:val="24"/>
        </w:rPr>
        <w:t>上述书面通知，按照获取招标文件的潜在投标人提供的联系方式发出，因提供的信息有误导致通知延迟或无法通知的，</w:t>
      </w:r>
      <w:r>
        <w:rPr>
          <w:rFonts w:hint="eastAsia"/>
          <w:sz w:val="24"/>
          <w:lang w:eastAsia="zh-CN"/>
        </w:rPr>
        <w:t>招标人</w:t>
      </w:r>
      <w:r>
        <w:rPr>
          <w:sz w:val="24"/>
        </w:rPr>
        <w:t>或</w:t>
      </w:r>
      <w:r>
        <w:rPr>
          <w:rFonts w:hint="eastAsia"/>
          <w:sz w:val="24"/>
          <w:lang w:eastAsia="zh-CN"/>
        </w:rPr>
        <w:t>招标代理机构</w:t>
      </w:r>
      <w:r>
        <w:rPr>
          <w:sz w:val="24"/>
        </w:rPr>
        <w:t>不承担责任。</w:t>
      </w:r>
    </w:p>
    <w:p w14:paraId="13D19B86">
      <w:pPr>
        <w:numPr>
          <w:ilvl w:val="1"/>
          <w:numId w:val="0"/>
        </w:numPr>
        <w:tabs>
          <w:tab w:val="left" w:pos="1080"/>
          <w:tab w:val="left" w:pos="1561"/>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8.3</w:t>
      </w: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BD9B478">
      <w:pPr>
        <w:tabs>
          <w:tab w:val="left" w:pos="1080"/>
          <w:tab w:val="left" w:pos="1561"/>
        </w:tabs>
        <w:snapToGrid w:val="0"/>
        <w:spacing w:line="360" w:lineRule="auto"/>
        <w:ind w:left="1080"/>
        <w:rPr>
          <w:sz w:val="28"/>
        </w:rPr>
      </w:pPr>
      <w:bookmarkStart w:id="199" w:name="_Toc516367020"/>
      <w:bookmarkStart w:id="200" w:name="_Toc226309770"/>
      <w:bookmarkStart w:id="201" w:name="_Toc127151526"/>
      <w:bookmarkStart w:id="202" w:name="_Toc305158794"/>
      <w:bookmarkStart w:id="203" w:name="_Toc151193768"/>
      <w:bookmarkStart w:id="204" w:name="_Toc226965716"/>
      <w:bookmarkStart w:id="205" w:name="_Toc305158868"/>
      <w:bookmarkStart w:id="206" w:name="_Toc150480764"/>
      <w:bookmarkStart w:id="207" w:name="_Toc151190153"/>
      <w:bookmarkStart w:id="208" w:name="_Toc265228364"/>
      <w:bookmarkStart w:id="209" w:name="_Toc226337222"/>
      <w:bookmarkStart w:id="210" w:name="_Toc151193624"/>
      <w:bookmarkStart w:id="211" w:name="_Toc150774626"/>
      <w:bookmarkStart w:id="212" w:name="_Toc226965799"/>
      <w:bookmarkStart w:id="213" w:name="_Toc150774731"/>
      <w:bookmarkStart w:id="214" w:name="_Toc151193840"/>
      <w:bookmarkStart w:id="215" w:name="_Toc520356150"/>
      <w:bookmarkStart w:id="216" w:name="_Toc150509277"/>
      <w:bookmarkStart w:id="217" w:name="_Toc264969216"/>
      <w:bookmarkStart w:id="218" w:name="_Toc195842891"/>
      <w:bookmarkStart w:id="219" w:name="_Toc151193914"/>
      <w:bookmarkStart w:id="220" w:name="_Toc151193696"/>
      <w:bookmarkStart w:id="221" w:name="_Toc142311028"/>
    </w:p>
    <w:p w14:paraId="298398BA">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9"/>
      <w:r>
        <w:rPr>
          <w:rFonts w:ascii="Times New Roman" w:hAnsi="Times New Roman" w:eastAsia="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2761DE1">
      <w:pPr>
        <w:numPr>
          <w:ilvl w:val="0"/>
          <w:numId w:val="0"/>
        </w:numPr>
        <w:tabs>
          <w:tab w:val="left" w:pos="360"/>
        </w:tabs>
        <w:snapToGrid w:val="0"/>
        <w:spacing w:line="360" w:lineRule="auto"/>
        <w:ind w:left="357" w:leftChars="0" w:hanging="357" w:firstLineChars="0"/>
        <w:outlineLvl w:val="9"/>
        <w:rPr>
          <w:sz w:val="24"/>
        </w:rPr>
      </w:pPr>
      <w:bookmarkStart w:id="222" w:name="_Toc164229222"/>
      <w:bookmarkStart w:id="223" w:name="_Toc264969217"/>
      <w:bookmarkStart w:id="224" w:name="_Toc127151527"/>
      <w:bookmarkStart w:id="225" w:name="_Toc150774732"/>
      <w:bookmarkStart w:id="226" w:name="_Toc226965717"/>
      <w:bookmarkStart w:id="227" w:name="_Toc305158869"/>
      <w:bookmarkStart w:id="228" w:name="_Toc516367021"/>
      <w:bookmarkStart w:id="229" w:name="_Toc226337223"/>
      <w:bookmarkStart w:id="230" w:name="_Toc164229368"/>
      <w:bookmarkStart w:id="231" w:name="_Toc150774627"/>
      <w:bookmarkStart w:id="232" w:name="_Toc151193697"/>
      <w:bookmarkStart w:id="233" w:name="_Toc127161441"/>
      <w:bookmarkStart w:id="234" w:name="_Toc151193841"/>
      <w:bookmarkStart w:id="235" w:name="_Toc150509278"/>
      <w:bookmarkStart w:id="236" w:name="_Toc150480765"/>
      <w:bookmarkStart w:id="237" w:name="_Toc195842892"/>
      <w:bookmarkStart w:id="238" w:name="_Toc151193625"/>
      <w:bookmarkStart w:id="239" w:name="_Toc151193915"/>
      <w:bookmarkStart w:id="240" w:name="_Toc164608641"/>
      <w:bookmarkStart w:id="241" w:name="_Toc149720820"/>
      <w:bookmarkStart w:id="242" w:name="_Toc265228365"/>
      <w:bookmarkStart w:id="243" w:name="_Toc164351621"/>
      <w:bookmarkStart w:id="244" w:name="_Toc142311029"/>
      <w:bookmarkStart w:id="245" w:name="_Toc226309771"/>
      <w:bookmarkStart w:id="246" w:name="_Toc164608796"/>
      <w:bookmarkStart w:id="247" w:name="_Toc151193769"/>
      <w:bookmarkStart w:id="248" w:name="_Toc305158795"/>
      <w:bookmarkStart w:id="249" w:name="_Toc127151728"/>
      <w:bookmarkStart w:id="250" w:name="_Toc520356151"/>
      <w:bookmarkStart w:id="251" w:name="_Toc151190154"/>
      <w:bookmarkStart w:id="252" w:name="_Toc226965800"/>
      <w:r>
        <w:rPr>
          <w:rFonts w:hint="eastAsia" w:ascii="Times New Roman" w:hAnsi="Times New Roman" w:eastAsia="宋体" w:cs="Times New Roman"/>
          <w:kern w:val="2"/>
          <w:sz w:val="24"/>
          <w:szCs w:val="24"/>
          <w:lang w:val="en-US" w:eastAsia="zh-CN" w:bidi="ar-SA"/>
        </w:rPr>
        <w:t>9</w:t>
      </w:r>
      <w:r>
        <w:rPr>
          <w:rFonts w:hint="eastAsia" w:cs="Times New Roman"/>
          <w:kern w:val="2"/>
          <w:sz w:val="24"/>
          <w:szCs w:val="24"/>
          <w:lang w:val="en-US" w:eastAsia="zh-CN" w:bidi="ar-SA"/>
        </w:rPr>
        <w:t>、</w:t>
      </w:r>
      <w:r>
        <w:rPr>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4"/>
        </w:rPr>
        <w:t>及投标语言</w:t>
      </w:r>
    </w:p>
    <w:p w14:paraId="59E50CB1">
      <w:pPr>
        <w:numPr>
          <w:ilvl w:val="1"/>
          <w:numId w:val="0"/>
        </w:numPr>
        <w:tabs>
          <w:tab w:val="left" w:pos="1080"/>
          <w:tab w:val="left" w:pos="2014"/>
        </w:tabs>
        <w:snapToGrid w:val="0"/>
        <w:spacing w:line="360" w:lineRule="auto"/>
        <w:ind w:left="1080" w:leftChars="0" w:hanging="720" w:firstLineChars="0"/>
        <w:rPr>
          <w:b w:val="0"/>
          <w:bCs/>
          <w:sz w:val="24"/>
        </w:rPr>
      </w:pPr>
      <w:r>
        <w:rPr>
          <w:rFonts w:hint="default" w:ascii="Times New Roman" w:hAnsi="Times New Roman" w:eastAsia="宋体" w:cs="Times New Roman"/>
          <w:kern w:val="2"/>
          <w:sz w:val="24"/>
          <w:szCs w:val="24"/>
          <w:lang w:val="en-US" w:eastAsia="zh-CN" w:bidi="ar-SA"/>
        </w:rPr>
        <w:t>9.1</w:t>
      </w: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val="0"/>
          <w:bCs/>
          <w:sz w:val="24"/>
        </w:rPr>
        <w:t>无效投标。</w:t>
      </w:r>
    </w:p>
    <w:p w14:paraId="7DE6FB78">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9.2</w:t>
      </w:r>
      <w:r>
        <w:rPr>
          <w:sz w:val="24"/>
        </w:rPr>
        <w:t>除招标文件有特殊要求外，本项目投标所使用的计量单位，应采用中华人民共和国法定计量单位。</w:t>
      </w:r>
    </w:p>
    <w:p w14:paraId="47128943">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9.3</w:t>
      </w: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42A5D8F">
      <w:pPr>
        <w:numPr>
          <w:ilvl w:val="0"/>
          <w:numId w:val="0"/>
        </w:numPr>
        <w:tabs>
          <w:tab w:val="left" w:pos="360"/>
        </w:tabs>
        <w:snapToGrid w:val="0"/>
        <w:spacing w:line="360" w:lineRule="auto"/>
        <w:ind w:left="357" w:leftChars="0" w:hanging="357" w:firstLineChars="0"/>
        <w:outlineLvl w:val="9"/>
        <w:rPr>
          <w:sz w:val="24"/>
        </w:rPr>
      </w:pPr>
      <w:bookmarkStart w:id="253" w:name="_Toc516367022"/>
      <w:bookmarkStart w:id="254" w:name="_Ref467306676"/>
      <w:bookmarkStart w:id="255" w:name="_Ref467306195"/>
      <w:bookmarkStart w:id="256" w:name="_Toc226965718"/>
      <w:bookmarkStart w:id="257" w:name="_Toc150509279"/>
      <w:bookmarkStart w:id="258" w:name="_Toc264969218"/>
      <w:bookmarkStart w:id="259" w:name="_Toc195842893"/>
      <w:bookmarkStart w:id="260" w:name="_Toc151193842"/>
      <w:bookmarkStart w:id="261" w:name="_Toc127161442"/>
      <w:bookmarkStart w:id="262" w:name="_Toc164351622"/>
      <w:bookmarkStart w:id="263" w:name="_Toc150480766"/>
      <w:bookmarkStart w:id="264" w:name="_Toc226337224"/>
      <w:bookmarkStart w:id="265" w:name="_Toc149720821"/>
      <w:bookmarkStart w:id="266" w:name="_Toc127151528"/>
      <w:bookmarkStart w:id="267" w:name="_Toc305158796"/>
      <w:bookmarkStart w:id="268" w:name="_Toc151193626"/>
      <w:bookmarkStart w:id="269" w:name="_Toc151193698"/>
      <w:bookmarkStart w:id="270" w:name="_Toc164608797"/>
      <w:bookmarkStart w:id="271" w:name="_Toc520356152"/>
      <w:bookmarkStart w:id="272" w:name="_Toc142311030"/>
      <w:bookmarkStart w:id="273" w:name="_Toc151190155"/>
      <w:bookmarkStart w:id="274" w:name="_Toc164229369"/>
      <w:bookmarkStart w:id="275" w:name="_Toc127151729"/>
      <w:bookmarkStart w:id="276" w:name="_Toc226309772"/>
      <w:bookmarkStart w:id="277" w:name="_Toc226965801"/>
      <w:bookmarkStart w:id="278" w:name="_Toc265228366"/>
      <w:bookmarkStart w:id="279" w:name="_Toc151193916"/>
      <w:bookmarkStart w:id="280" w:name="_Toc164608642"/>
      <w:bookmarkStart w:id="281" w:name="_Toc164229223"/>
      <w:bookmarkStart w:id="282" w:name="_Toc151193770"/>
      <w:bookmarkStart w:id="283" w:name="_Toc305158870"/>
      <w:bookmarkStart w:id="284" w:name="_Toc150774733"/>
      <w:bookmarkStart w:id="285" w:name="_Toc150774628"/>
      <w:r>
        <w:rPr>
          <w:rFonts w:hint="eastAsia" w:ascii="Times New Roman" w:hAnsi="Times New Roman" w:eastAsia="宋体" w:cs="Times New Roman"/>
          <w:kern w:val="2"/>
          <w:sz w:val="24"/>
          <w:szCs w:val="24"/>
          <w:lang w:val="en-US" w:eastAsia="zh-CN" w:bidi="ar-SA"/>
        </w:rPr>
        <w:t>10</w:t>
      </w:r>
      <w:r>
        <w:rPr>
          <w:rFonts w:hint="eastAsia" w:cs="Times New Roman"/>
          <w:kern w:val="2"/>
          <w:sz w:val="24"/>
          <w:szCs w:val="24"/>
          <w:lang w:val="en-US" w:eastAsia="zh-CN" w:bidi="ar-SA"/>
        </w:rPr>
        <w:t>、</w:t>
      </w:r>
      <w:r>
        <w:rPr>
          <w:sz w:val="24"/>
        </w:rPr>
        <w:t>投标文件</w:t>
      </w:r>
      <w:bookmarkEnd w:id="253"/>
      <w:bookmarkEnd w:id="254"/>
      <w:bookmarkEnd w:id="255"/>
      <w:r>
        <w:rPr>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984A816">
      <w:pPr>
        <w:numPr>
          <w:ilvl w:val="1"/>
          <w:numId w:val="0"/>
        </w:numPr>
        <w:tabs>
          <w:tab w:val="left" w:pos="1080"/>
          <w:tab w:val="left" w:pos="2014"/>
        </w:tabs>
        <w:snapToGrid w:val="0"/>
        <w:spacing w:line="360" w:lineRule="auto"/>
        <w:ind w:left="1077" w:leftChars="0" w:hanging="720" w:firstLineChars="0"/>
        <w:rPr>
          <w:rFonts w:hint="eastAsia" w:eastAsia="宋体"/>
          <w:sz w:val="24"/>
          <w:lang w:eastAsia="zh-CN"/>
        </w:rPr>
      </w:pPr>
      <w:bookmarkStart w:id="286" w:name="_Ref467052588"/>
      <w:r>
        <w:rPr>
          <w:rFonts w:hint="default" w:ascii="Times New Roman" w:hAnsi="Times New Roman" w:eastAsia="宋体" w:cs="Times New Roman"/>
          <w:kern w:val="2"/>
          <w:sz w:val="24"/>
          <w:szCs w:val="24"/>
          <w:lang w:val="en-US" w:eastAsia="zh-CN" w:bidi="ar-SA"/>
        </w:rPr>
        <w:t>10.1</w:t>
      </w:r>
      <w:r>
        <w:rPr>
          <w:sz w:val="24"/>
        </w:rPr>
        <w:t>投标人应当按照招标文件的要求编制投标文件</w:t>
      </w:r>
      <w:r>
        <w:rPr>
          <w:rFonts w:hint="eastAsia"/>
          <w:sz w:val="24"/>
          <w:lang w:eastAsia="zh-CN"/>
        </w:rPr>
        <w:t>，</w:t>
      </w:r>
      <w:r>
        <w:rPr>
          <w:sz w:val="24"/>
        </w:rPr>
        <w:t>投标文件的部分格式要求，见第七章《投标文件格式》</w:t>
      </w:r>
      <w:r>
        <w:rPr>
          <w:rFonts w:hint="eastAsia"/>
          <w:sz w:val="24"/>
          <w:lang w:eastAsia="zh-CN"/>
        </w:rPr>
        <w:t>。</w:t>
      </w:r>
    </w:p>
    <w:p w14:paraId="12ABF0F2">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10.2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w:t>
      </w:r>
      <w:r>
        <w:rPr>
          <w:b w:val="0"/>
          <w:bCs w:val="0"/>
          <w:kern w:val="0"/>
          <w:sz w:val="24"/>
        </w:rPr>
        <w:t>则投标无效。</w:t>
      </w:r>
      <w:r>
        <w:rPr>
          <w:kern w:val="0"/>
          <w:sz w:val="24"/>
        </w:rPr>
        <w:t>未标记“实质性格式”的文件和招标文件未提供格式的内容，可由投标人自行编写。</w:t>
      </w:r>
    </w:p>
    <w:p w14:paraId="45D50948">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10.3</w:t>
      </w:r>
      <w:r>
        <w:rPr>
          <w:sz w:val="24"/>
        </w:rPr>
        <w:t>第四章《评标程序、评标方法和评标标准》中涉及的证明文件。</w:t>
      </w:r>
    </w:p>
    <w:p w14:paraId="0EDDF7B7">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10.4</w:t>
      </w: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bookmarkEnd w:id="286"/>
    <w:p w14:paraId="3A987D39">
      <w:pPr>
        <w:numPr>
          <w:ilvl w:val="1"/>
          <w:numId w:val="0"/>
        </w:numPr>
        <w:tabs>
          <w:tab w:val="left" w:pos="1080"/>
          <w:tab w:val="left" w:pos="2014"/>
        </w:tabs>
        <w:snapToGrid w:val="0"/>
        <w:spacing w:line="360" w:lineRule="auto"/>
        <w:ind w:left="1077" w:leftChars="0" w:hanging="720" w:firstLineChars="0"/>
        <w:rPr>
          <w:rFonts w:hint="default" w:ascii="宋体" w:hAnsi="宋体" w:eastAsia="宋体" w:cs="宋体"/>
          <w:sz w:val="24"/>
          <w:lang w:val="en-US" w:eastAsia="zh-CN"/>
        </w:rPr>
      </w:pPr>
      <w:r>
        <w:rPr>
          <w:rFonts w:hint="eastAsia" w:ascii="宋体" w:hAnsi="宋体" w:cs="宋体"/>
          <w:sz w:val="24"/>
          <w:lang w:val="en-US" w:eastAsia="zh-CN"/>
        </w:rPr>
        <w:t>10.5</w:t>
      </w:r>
      <w:r>
        <w:rPr>
          <w:rFonts w:hint="eastAsia" w:ascii="宋体" w:hAnsi="宋体" w:eastAsia="宋体" w:cs="宋体"/>
          <w:sz w:val="24"/>
          <w:lang w:val="en-US" w:eastAsia="zh-CN"/>
        </w:rPr>
        <w:t>为保证政府采购活动公平、公正、诚实信用，投标人提供的材料及技术参数应真实有效，须提供有关本次投标货品材料、技术参数等方面的书面诚信投标承诺书；为保证本次招标活动公平竞争，杜绝任何形式的商业贿赂行为，投标文件内必须提供反商业贿赂承诺书；</w:t>
      </w:r>
      <w:r>
        <w:rPr>
          <w:rFonts w:hint="eastAsia" w:ascii="宋体" w:hAnsi="宋体" w:eastAsia="宋体" w:cs="宋体"/>
          <w:color w:val="auto"/>
          <w:kern w:val="0"/>
          <w:sz w:val="24"/>
          <w:szCs w:val="24"/>
          <w:lang w:val="en-US" w:eastAsia="zh-CN" w:bidi="ar"/>
        </w:rPr>
        <w:t>企业负责人为同一人或者存在直接控股、管理关系的不同投标人，不得参加同一合同项下的政府采购活动</w:t>
      </w:r>
      <w:r>
        <w:rPr>
          <w:rFonts w:hint="eastAsia" w:ascii="宋体" w:hAnsi="宋体" w:cs="宋体"/>
          <w:color w:val="auto"/>
          <w:kern w:val="0"/>
          <w:sz w:val="24"/>
          <w:szCs w:val="24"/>
          <w:lang w:val="en-US" w:eastAsia="zh-CN" w:bidi="ar"/>
        </w:rPr>
        <w:t>的声明函</w:t>
      </w:r>
      <w:r>
        <w:rPr>
          <w:rFonts w:hint="eastAsia" w:ascii="宋体" w:hAnsi="宋体" w:eastAsia="宋体" w:cs="宋体"/>
          <w:color w:val="auto"/>
          <w:kern w:val="0"/>
          <w:sz w:val="24"/>
          <w:szCs w:val="24"/>
          <w:lang w:val="en-US" w:eastAsia="zh-CN" w:bidi="ar"/>
        </w:rPr>
        <w:t>。</w:t>
      </w:r>
      <w:r>
        <w:rPr>
          <w:rFonts w:hint="eastAsia" w:ascii="宋体" w:hAnsi="宋体" w:eastAsia="宋体" w:cs="宋体"/>
          <w:sz w:val="24"/>
          <w:lang w:val="en-US" w:eastAsia="zh-CN"/>
        </w:rPr>
        <w:t>（格式自拟）。投标文件中不提供以上证明文件的投标人，视为不响应招标文件资格审查要求，其投标无效。</w:t>
      </w:r>
    </w:p>
    <w:p w14:paraId="572D8846">
      <w:pPr>
        <w:numPr>
          <w:ilvl w:val="0"/>
          <w:numId w:val="0"/>
        </w:numPr>
        <w:tabs>
          <w:tab w:val="left" w:pos="360"/>
        </w:tabs>
        <w:snapToGrid w:val="0"/>
        <w:spacing w:line="360" w:lineRule="auto"/>
        <w:ind w:left="357" w:leftChars="0" w:hanging="357" w:firstLineChars="0"/>
        <w:outlineLvl w:val="9"/>
        <w:rPr>
          <w:sz w:val="24"/>
        </w:rPr>
      </w:pPr>
      <w:bookmarkStart w:id="287" w:name="_Toc151193772"/>
      <w:bookmarkStart w:id="288" w:name="_Toc195842895"/>
      <w:bookmarkStart w:id="289" w:name="_Toc164608644"/>
      <w:bookmarkStart w:id="290" w:name="_Toc151190157"/>
      <w:bookmarkStart w:id="291" w:name="_Toc127161444"/>
      <w:bookmarkStart w:id="292" w:name="_Toc150774735"/>
      <w:bookmarkStart w:id="293" w:name="_Toc164229371"/>
      <w:bookmarkStart w:id="294" w:name="_Toc151193628"/>
      <w:bookmarkStart w:id="295" w:name="_Toc127151530"/>
      <w:bookmarkStart w:id="296" w:name="_Toc164351624"/>
      <w:bookmarkStart w:id="297" w:name="_Toc164229225"/>
      <w:bookmarkStart w:id="298" w:name="_Toc151193918"/>
      <w:bookmarkStart w:id="299" w:name="_Toc142311032"/>
      <w:bookmarkStart w:id="300" w:name="_Toc151193844"/>
      <w:bookmarkStart w:id="301" w:name="_Toc150480768"/>
      <w:bookmarkStart w:id="302" w:name="_Toc150509281"/>
      <w:bookmarkStart w:id="303" w:name="_Toc151193700"/>
      <w:bookmarkStart w:id="304" w:name="_Toc164608799"/>
      <w:bookmarkStart w:id="305" w:name="_Toc150774630"/>
      <w:bookmarkStart w:id="306" w:name="_Toc520356155"/>
      <w:bookmarkStart w:id="307" w:name="_Toc127151731"/>
      <w:bookmarkStart w:id="308" w:name="_Toc149720823"/>
      <w:r>
        <w:rPr>
          <w:rFonts w:hint="eastAsia" w:ascii="Times New Roman" w:hAnsi="Times New Roman" w:eastAsia="宋体" w:cs="Times New Roman"/>
          <w:kern w:val="2"/>
          <w:sz w:val="24"/>
          <w:szCs w:val="24"/>
          <w:lang w:val="en-US" w:eastAsia="zh-CN" w:bidi="ar-SA"/>
        </w:rPr>
        <w:t>11</w:t>
      </w:r>
      <w:r>
        <w:rPr>
          <w:rFonts w:hint="eastAsia" w:cs="Times New Roman"/>
          <w:kern w:val="2"/>
          <w:sz w:val="24"/>
          <w:szCs w:val="24"/>
          <w:lang w:val="en-US" w:eastAsia="zh-CN" w:bidi="ar-SA"/>
        </w:rPr>
        <w:t>、</w:t>
      </w:r>
      <w:r>
        <w:rPr>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AC3A878">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11.1</w:t>
      </w:r>
      <w:r>
        <w:rPr>
          <w:sz w:val="24"/>
        </w:rPr>
        <w:t>所有投标均以人民币报价。</w:t>
      </w:r>
    </w:p>
    <w:p w14:paraId="132933D7">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11.2</w:t>
      </w: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76FB2141">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11.2.1</w:t>
      </w: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B94B43F">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11.2.2</w:t>
      </w:r>
      <w:r>
        <w:rPr>
          <w:sz w:val="24"/>
        </w:rPr>
        <w:t xml:space="preserve">按照招标文件要求完成本项目的全部相关服务费用。 </w:t>
      </w:r>
    </w:p>
    <w:p w14:paraId="2B11C8B4">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11.3</w:t>
      </w:r>
      <w:r>
        <w:rPr>
          <w:rFonts w:hint="eastAsia"/>
          <w:sz w:val="24"/>
          <w:lang w:eastAsia="zh-CN"/>
        </w:rPr>
        <w:t>招标人</w:t>
      </w:r>
      <w:r>
        <w:rPr>
          <w:sz w:val="24"/>
        </w:rPr>
        <w:t>不得向</w:t>
      </w:r>
      <w:r>
        <w:rPr>
          <w:rFonts w:hint="eastAsia"/>
          <w:sz w:val="24"/>
          <w:lang w:eastAsia="zh-CN"/>
        </w:rPr>
        <w:t>投标人</w:t>
      </w:r>
      <w:r>
        <w:rPr>
          <w:sz w:val="24"/>
        </w:rPr>
        <w:t>索要或者接受其给予的赠品、回扣或者与</w:t>
      </w:r>
      <w:r>
        <w:rPr>
          <w:rFonts w:hint="eastAsia"/>
          <w:sz w:val="24"/>
          <w:lang w:eastAsia="zh-CN"/>
        </w:rPr>
        <w:t>招标</w:t>
      </w:r>
      <w:r>
        <w:rPr>
          <w:sz w:val="24"/>
        </w:rPr>
        <w:t>无关的其他商品、服务。</w:t>
      </w:r>
    </w:p>
    <w:p w14:paraId="5CFDF0FC">
      <w:pPr>
        <w:numPr>
          <w:ilvl w:val="1"/>
          <w:numId w:val="0"/>
        </w:numPr>
        <w:tabs>
          <w:tab w:val="left" w:pos="1080"/>
          <w:tab w:val="left" w:pos="2014"/>
        </w:tabs>
        <w:snapToGrid w:val="0"/>
        <w:spacing w:line="360" w:lineRule="auto"/>
        <w:ind w:left="1080" w:leftChars="0" w:hanging="720" w:firstLineChars="0"/>
        <w:rPr>
          <w:sz w:val="24"/>
        </w:rPr>
      </w:pPr>
      <w:r>
        <w:rPr>
          <w:rFonts w:hint="default" w:ascii="Times New Roman" w:hAnsi="Times New Roman" w:eastAsia="宋体" w:cs="Times New Roman"/>
          <w:kern w:val="2"/>
          <w:sz w:val="24"/>
          <w:szCs w:val="24"/>
          <w:lang w:val="en-US" w:eastAsia="zh-CN" w:bidi="ar-SA"/>
        </w:rPr>
        <w:t>11.4</w:t>
      </w:r>
      <w:r>
        <w:rPr>
          <w:sz w:val="24"/>
        </w:rPr>
        <w:t>投标人不能提供任何有选择性或可调整的报价，否则其</w:t>
      </w:r>
      <w:r>
        <w:rPr>
          <w:b/>
          <w:sz w:val="24"/>
        </w:rPr>
        <w:t>投标无效</w:t>
      </w:r>
      <w:r>
        <w:rPr>
          <w:sz w:val="24"/>
        </w:rPr>
        <w:t>。</w:t>
      </w:r>
    </w:p>
    <w:p w14:paraId="112B8630">
      <w:pPr>
        <w:numPr>
          <w:ilvl w:val="0"/>
          <w:numId w:val="0"/>
        </w:numPr>
        <w:tabs>
          <w:tab w:val="left" w:pos="360"/>
        </w:tabs>
        <w:snapToGrid w:val="0"/>
        <w:spacing w:line="360" w:lineRule="auto"/>
        <w:ind w:left="357" w:leftChars="0" w:hanging="357" w:firstLineChars="0"/>
        <w:outlineLvl w:val="9"/>
        <w:rPr>
          <w:sz w:val="24"/>
        </w:rPr>
      </w:pPr>
      <w:bookmarkStart w:id="309" w:name="_Toc520356156"/>
      <w:bookmarkStart w:id="310" w:name="_Toc150480769"/>
      <w:bookmarkStart w:id="311" w:name="_Toc164351625"/>
      <w:bookmarkStart w:id="312" w:name="_Toc151193629"/>
      <w:bookmarkStart w:id="313" w:name="_Toc164608800"/>
      <w:bookmarkStart w:id="314" w:name="_Toc150774736"/>
      <w:bookmarkStart w:id="315" w:name="_Toc164229372"/>
      <w:bookmarkStart w:id="316" w:name="_Toc164229226"/>
      <w:bookmarkStart w:id="317" w:name="_Toc226965721"/>
      <w:bookmarkStart w:id="318" w:name="_Toc151190158"/>
      <w:bookmarkStart w:id="319" w:name="_Toc305158799"/>
      <w:bookmarkStart w:id="320" w:name="_Toc151193845"/>
      <w:bookmarkStart w:id="321" w:name="_Toc127151732"/>
      <w:bookmarkStart w:id="322" w:name="_Toc195842896"/>
      <w:bookmarkStart w:id="323" w:name="_Toc265228369"/>
      <w:bookmarkStart w:id="324" w:name="_Toc151193773"/>
      <w:bookmarkStart w:id="325" w:name="_Toc264969221"/>
      <w:bookmarkStart w:id="326" w:name="_Ref467306513"/>
      <w:bookmarkStart w:id="327" w:name="_Toc150774631"/>
      <w:bookmarkStart w:id="328" w:name="_Toc151193919"/>
      <w:bookmarkStart w:id="329" w:name="_Toc151193701"/>
      <w:bookmarkStart w:id="330" w:name="_Toc226337227"/>
      <w:bookmarkStart w:id="331" w:name="_Toc226309775"/>
      <w:bookmarkStart w:id="332" w:name="_Toc127161445"/>
      <w:bookmarkStart w:id="333" w:name="_Toc149720824"/>
      <w:bookmarkStart w:id="334" w:name="_Toc226965804"/>
      <w:bookmarkStart w:id="335" w:name="_Toc150509282"/>
      <w:bookmarkStart w:id="336" w:name="_Toc127151531"/>
      <w:bookmarkStart w:id="337" w:name="_Toc142311033"/>
      <w:bookmarkStart w:id="338" w:name="_Toc164608645"/>
      <w:bookmarkStart w:id="339" w:name="_Toc305158873"/>
      <w:r>
        <w:rPr>
          <w:rFonts w:hint="eastAsia" w:ascii="Times New Roman" w:hAnsi="Times New Roman" w:eastAsia="宋体" w:cs="Times New Roman"/>
          <w:kern w:val="2"/>
          <w:sz w:val="24"/>
          <w:szCs w:val="24"/>
          <w:lang w:val="en-US" w:eastAsia="zh-CN" w:bidi="ar-SA"/>
        </w:rPr>
        <w:t>12</w:t>
      </w:r>
      <w:r>
        <w:rPr>
          <w:rFonts w:hint="eastAsia" w:cs="Times New Roman"/>
          <w:kern w:val="2"/>
          <w:sz w:val="24"/>
          <w:szCs w:val="24"/>
          <w:lang w:val="en-US" w:eastAsia="zh-CN" w:bidi="ar-SA"/>
        </w:rPr>
        <w:t>、</w:t>
      </w:r>
      <w:r>
        <w:rPr>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BE04B4">
      <w:pPr>
        <w:numPr>
          <w:ilvl w:val="1"/>
          <w:numId w:val="0"/>
        </w:numPr>
        <w:tabs>
          <w:tab w:val="left" w:pos="1080"/>
          <w:tab w:val="left" w:pos="2014"/>
        </w:tabs>
        <w:snapToGrid w:val="0"/>
        <w:spacing w:line="360" w:lineRule="auto"/>
        <w:ind w:left="1077" w:leftChars="0" w:hanging="720" w:firstLineChars="0"/>
        <w:rPr>
          <w:sz w:val="24"/>
        </w:rPr>
      </w:pPr>
      <w:bookmarkStart w:id="340" w:name="_Ref467306302"/>
      <w:r>
        <w:rPr>
          <w:rFonts w:hint="default" w:ascii="Times New Roman" w:hAnsi="Times New Roman" w:eastAsia="宋体" w:cs="Times New Roman"/>
          <w:kern w:val="2"/>
          <w:sz w:val="24"/>
          <w:szCs w:val="24"/>
          <w:lang w:val="en-US" w:eastAsia="zh-CN" w:bidi="ar-SA"/>
        </w:rPr>
        <w:t>12.1</w:t>
      </w:r>
      <w:r>
        <w:rPr>
          <w:sz w:val="24"/>
        </w:rPr>
        <w:t>投标人应按《投标人须知资料表》中规定的金额及要求交纳投标保证金</w:t>
      </w:r>
      <w:bookmarkEnd w:id="340"/>
      <w:r>
        <w:rPr>
          <w:sz w:val="24"/>
        </w:rPr>
        <w:t>，并作为其投标的一部分。</w:t>
      </w:r>
    </w:p>
    <w:p w14:paraId="28F47FAB">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12.2</w:t>
      </w:r>
      <w:r>
        <w:rPr>
          <w:sz w:val="24"/>
        </w:rPr>
        <w:t>交纳投标保证金可采用的形式：政府采购法律法规接受的支票、汇票、本票、网上银行支付或者金融机构、担保机构出具的保函等非现金形式。</w:t>
      </w:r>
    </w:p>
    <w:p w14:paraId="4A992C36">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12.3</w:t>
      </w: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lang w:eastAsia="zh-CN"/>
        </w:rPr>
        <w:t>招标代理机构</w:t>
      </w:r>
      <w:r>
        <w:rPr>
          <w:rFonts w:hint="eastAsia"/>
          <w:sz w:val="24"/>
        </w:rPr>
        <w:t>。由于到账时间晚于投标截止时间的，或者票据错误、印鉴不清等原因导致不能到账的，其</w:t>
      </w:r>
      <w:r>
        <w:rPr>
          <w:rFonts w:hint="eastAsia"/>
          <w:b/>
          <w:sz w:val="24"/>
        </w:rPr>
        <w:t>投标无效</w:t>
      </w:r>
      <w:r>
        <w:rPr>
          <w:rFonts w:hint="eastAsia"/>
          <w:sz w:val="24"/>
        </w:rPr>
        <w:t>。</w:t>
      </w:r>
    </w:p>
    <w:p w14:paraId="077CB6AA">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12.4</w:t>
      </w:r>
      <w:r>
        <w:rPr>
          <w:sz w:val="24"/>
        </w:rPr>
        <w:t>投标保证金（保函）有效期同投标有效期。</w:t>
      </w:r>
    </w:p>
    <w:p w14:paraId="729FBF54">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12.5</w:t>
      </w:r>
      <w:r>
        <w:rPr>
          <w:sz w:val="24"/>
        </w:rPr>
        <w:t>联合体投标的，可以由联合体中的一方或者共同提交投标保证金，以一方名义提交投标保证金的，对联合体各方均具有约束力。</w:t>
      </w:r>
    </w:p>
    <w:p w14:paraId="60FAFB3F">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12.6</w:t>
      </w:r>
      <w:r>
        <w:rPr>
          <w:rFonts w:hint="eastAsia"/>
          <w:sz w:val="24"/>
          <w:lang w:eastAsia="zh-CN"/>
        </w:rPr>
        <w:t>招标人</w:t>
      </w:r>
      <w:r>
        <w:rPr>
          <w:sz w:val="24"/>
        </w:rPr>
        <w:t>、</w:t>
      </w:r>
      <w:r>
        <w:rPr>
          <w:rFonts w:hint="eastAsia"/>
          <w:sz w:val="24"/>
          <w:lang w:eastAsia="zh-CN"/>
        </w:rPr>
        <w:t>招标代理机构</w:t>
      </w:r>
      <w:r>
        <w:rPr>
          <w:sz w:val="24"/>
        </w:rPr>
        <w:t>将及时退还投标人的投标保证金，</w:t>
      </w:r>
      <w:r>
        <w:rPr>
          <w:rFonts w:eastAsia="宋体"/>
          <w:sz w:val="24"/>
        </w:rPr>
        <w:t>采用银行保函、担保机构担保函等形式递交的</w:t>
      </w:r>
      <w:r>
        <w:rPr>
          <w:rFonts w:hint="eastAsia" w:eastAsia="宋体"/>
          <w:sz w:val="24"/>
        </w:rPr>
        <w:t>投标</w:t>
      </w:r>
      <w:r>
        <w:rPr>
          <w:rFonts w:eastAsia="宋体"/>
          <w:sz w:val="24"/>
        </w:rPr>
        <w:t>保证金，经</w:t>
      </w:r>
      <w:r>
        <w:rPr>
          <w:rFonts w:hint="eastAsia"/>
          <w:sz w:val="24"/>
          <w:lang w:eastAsia="zh-CN"/>
        </w:rPr>
        <w:t>投标人</w:t>
      </w:r>
      <w:r>
        <w:rPr>
          <w:rFonts w:eastAsia="宋体"/>
          <w:sz w:val="24"/>
        </w:rPr>
        <w:t>同意后</w:t>
      </w:r>
      <w:r>
        <w:rPr>
          <w:rFonts w:hint="eastAsia"/>
          <w:sz w:val="24"/>
          <w:lang w:eastAsia="zh-CN"/>
        </w:rPr>
        <w:t>招标人</w:t>
      </w:r>
      <w:r>
        <w:rPr>
          <w:rFonts w:eastAsia="宋体"/>
          <w:sz w:val="24"/>
        </w:rPr>
        <w:t>、</w:t>
      </w:r>
      <w:r>
        <w:rPr>
          <w:rFonts w:hint="eastAsia"/>
          <w:sz w:val="24"/>
          <w:lang w:eastAsia="zh-CN"/>
        </w:rPr>
        <w:t>招标代理机构</w:t>
      </w:r>
      <w:r>
        <w:rPr>
          <w:rFonts w:eastAsia="宋体"/>
          <w:sz w:val="24"/>
        </w:rPr>
        <w:t>可以不再退还，</w:t>
      </w:r>
      <w:r>
        <w:rPr>
          <w:sz w:val="24"/>
        </w:rPr>
        <w:t>但因投标人自身原因导致无法及时退还的除外：</w:t>
      </w:r>
    </w:p>
    <w:p w14:paraId="3E2DA391">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12.6.1</w:t>
      </w:r>
      <w:r>
        <w:rPr>
          <w:sz w:val="24"/>
        </w:rPr>
        <w:t>投标人在投标截止时间前撤回已提交的投标文件的，自收到投标人书面撤回通知之日起5个工作日内退还已收取的投标保证金；</w:t>
      </w:r>
    </w:p>
    <w:p w14:paraId="06EC9391">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12.6.2</w:t>
      </w:r>
      <w:r>
        <w:rPr>
          <w:spacing w:val="-6"/>
          <w:sz w:val="24"/>
        </w:rPr>
        <w:t>中标人的投标保证金，自采购合同签订之日起5个工作日内退还中标人；</w:t>
      </w:r>
    </w:p>
    <w:p w14:paraId="3FE7CD22">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12.6.3</w:t>
      </w:r>
      <w:r>
        <w:rPr>
          <w:sz w:val="24"/>
        </w:rPr>
        <w:t>未中标投标人的投标保证金，自中标通知书发出之日起5个工作日内退还未中标人；</w:t>
      </w:r>
    </w:p>
    <w:p w14:paraId="3651289C">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12.6.4</w:t>
      </w:r>
      <w:r>
        <w:rPr>
          <w:sz w:val="24"/>
        </w:rPr>
        <w:t>终止招标项目已经收取投标保证金的，自终止采购活动后5个工作日内退还已收取的投标保证金及其在银行产生的孳息。</w:t>
      </w:r>
    </w:p>
    <w:p w14:paraId="24D9507D">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12.7</w:t>
      </w:r>
      <w:r>
        <w:rPr>
          <w:sz w:val="24"/>
        </w:rPr>
        <w:t>有下列情形之一的，</w:t>
      </w:r>
      <w:r>
        <w:rPr>
          <w:rFonts w:hint="eastAsia"/>
          <w:sz w:val="24"/>
          <w:lang w:eastAsia="zh-CN"/>
        </w:rPr>
        <w:t>招标人</w:t>
      </w:r>
      <w:r>
        <w:rPr>
          <w:sz w:val="24"/>
        </w:rPr>
        <w:t>或</w:t>
      </w:r>
      <w:r>
        <w:rPr>
          <w:rFonts w:hint="eastAsia"/>
          <w:sz w:val="24"/>
          <w:lang w:eastAsia="zh-CN"/>
        </w:rPr>
        <w:t>招标代理机构</w:t>
      </w:r>
      <w:r>
        <w:rPr>
          <w:sz w:val="24"/>
        </w:rPr>
        <w:t>可以不予退还投标保证金：</w:t>
      </w:r>
    </w:p>
    <w:p w14:paraId="6D8E7D06">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12.7.1</w:t>
      </w:r>
      <w:r>
        <w:rPr>
          <w:sz w:val="24"/>
        </w:rPr>
        <w:t>投标有效期内投标人撤销投标文件的；</w:t>
      </w:r>
    </w:p>
    <w:p w14:paraId="6994EB65">
      <w:pPr>
        <w:numPr>
          <w:ilvl w:val="2"/>
          <w:numId w:val="0"/>
        </w:numPr>
        <w:tabs>
          <w:tab w:val="left" w:pos="900"/>
          <w:tab w:val="left" w:pos="1080"/>
          <w:tab w:val="left" w:pos="2014"/>
        </w:tabs>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12.7.2</w:t>
      </w:r>
      <w:r>
        <w:rPr>
          <w:sz w:val="24"/>
        </w:rPr>
        <w:t>《投标人须知资料表》中规定的其他情形。</w:t>
      </w:r>
    </w:p>
    <w:p w14:paraId="7DB98F4B">
      <w:pPr>
        <w:numPr>
          <w:ilvl w:val="0"/>
          <w:numId w:val="0"/>
        </w:numPr>
        <w:tabs>
          <w:tab w:val="left" w:pos="360"/>
        </w:tabs>
        <w:snapToGrid w:val="0"/>
        <w:spacing w:line="360" w:lineRule="auto"/>
        <w:ind w:left="357" w:leftChars="0" w:hanging="357" w:firstLineChars="0"/>
        <w:outlineLvl w:val="9"/>
        <w:rPr>
          <w:sz w:val="24"/>
        </w:rPr>
      </w:pPr>
      <w:bookmarkStart w:id="341" w:name="_Toc127151532"/>
      <w:bookmarkStart w:id="342" w:name="_Toc150774632"/>
      <w:bookmarkStart w:id="343" w:name="_Toc520356157"/>
      <w:bookmarkStart w:id="344" w:name="_Toc305158874"/>
      <w:bookmarkStart w:id="345" w:name="_Toc149720825"/>
      <w:bookmarkStart w:id="346" w:name="_Toc226965722"/>
      <w:bookmarkStart w:id="347" w:name="_Toc150480770"/>
      <w:bookmarkStart w:id="348" w:name="_Toc164229227"/>
      <w:bookmarkStart w:id="349" w:name="_Toc127151733"/>
      <w:bookmarkStart w:id="350" w:name="_Toc226309776"/>
      <w:bookmarkStart w:id="351" w:name="_Toc151193774"/>
      <w:bookmarkStart w:id="352" w:name="_Toc150509283"/>
      <w:bookmarkStart w:id="353" w:name="_Toc151193702"/>
      <w:bookmarkStart w:id="354" w:name="_Toc226965805"/>
      <w:bookmarkStart w:id="355" w:name="_Toc164351626"/>
      <w:bookmarkStart w:id="356" w:name="_Toc226337228"/>
      <w:bookmarkStart w:id="357" w:name="_Toc265228370"/>
      <w:bookmarkStart w:id="358" w:name="_Toc151190159"/>
      <w:bookmarkStart w:id="359" w:name="_Toc142311034"/>
      <w:bookmarkStart w:id="360" w:name="_Toc264969222"/>
      <w:bookmarkStart w:id="361" w:name="_Toc150774737"/>
      <w:bookmarkStart w:id="362" w:name="_Toc305158800"/>
      <w:bookmarkStart w:id="363" w:name="_Toc127161446"/>
      <w:bookmarkStart w:id="364" w:name="_Toc164608646"/>
      <w:bookmarkStart w:id="365" w:name="_Toc164229373"/>
      <w:bookmarkStart w:id="366" w:name="_Toc151193846"/>
      <w:bookmarkStart w:id="367" w:name="_Toc195842897"/>
      <w:bookmarkStart w:id="368" w:name="_Toc151193920"/>
      <w:bookmarkStart w:id="369" w:name="_Toc151193630"/>
      <w:bookmarkStart w:id="370" w:name="_Toc164608801"/>
      <w:r>
        <w:rPr>
          <w:rFonts w:hint="eastAsia" w:ascii="Times New Roman" w:hAnsi="Times New Roman" w:eastAsia="宋体" w:cs="Times New Roman"/>
          <w:kern w:val="2"/>
          <w:sz w:val="24"/>
          <w:szCs w:val="24"/>
          <w:lang w:val="en-US" w:eastAsia="zh-CN" w:bidi="ar-SA"/>
        </w:rPr>
        <w:t>13</w:t>
      </w:r>
      <w:r>
        <w:rPr>
          <w:rFonts w:hint="eastAsia" w:cs="Times New Roman"/>
          <w:kern w:val="2"/>
          <w:sz w:val="24"/>
          <w:szCs w:val="24"/>
          <w:lang w:val="en-US" w:eastAsia="zh-CN" w:bidi="ar-SA"/>
        </w:rPr>
        <w:t>、</w:t>
      </w:r>
      <w:r>
        <w:rPr>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2698934">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13.1</w:t>
      </w:r>
      <w:r>
        <w:rPr>
          <w:sz w:val="24"/>
        </w:rPr>
        <w:t>投标</w:t>
      </w:r>
      <w:r>
        <w:rPr>
          <w:rFonts w:hint="eastAsia"/>
          <w:sz w:val="24"/>
        </w:rPr>
        <w:t>文件</w:t>
      </w:r>
      <w:r>
        <w:rPr>
          <w:sz w:val="24"/>
        </w:rPr>
        <w:t>应在本招标文件《投标人须知资料表》中规定的投标有效期内保持有效，投标有效期少于招标文件规定期</w:t>
      </w:r>
      <w:r>
        <w:rPr>
          <w:b w:val="0"/>
          <w:bCs w:val="0"/>
          <w:sz w:val="24"/>
        </w:rPr>
        <w:t>限的，其投标无效。</w:t>
      </w:r>
    </w:p>
    <w:p w14:paraId="1EAE8DB6">
      <w:pPr>
        <w:numPr>
          <w:ilvl w:val="0"/>
          <w:numId w:val="0"/>
        </w:numPr>
        <w:tabs>
          <w:tab w:val="left" w:pos="360"/>
        </w:tabs>
        <w:snapToGrid w:val="0"/>
        <w:spacing w:line="360" w:lineRule="auto"/>
        <w:ind w:left="357" w:leftChars="0" w:hanging="357" w:firstLineChars="0"/>
        <w:outlineLvl w:val="9"/>
        <w:rPr>
          <w:sz w:val="24"/>
        </w:rPr>
      </w:pPr>
      <w:bookmarkStart w:id="371" w:name="_Toc142311035"/>
      <w:bookmarkStart w:id="372" w:name="_Toc151193847"/>
      <w:bookmarkStart w:id="373" w:name="_Toc164608647"/>
      <w:bookmarkStart w:id="374" w:name="_Toc151193775"/>
      <w:bookmarkStart w:id="375" w:name="_Toc149720826"/>
      <w:bookmarkStart w:id="376" w:name="_Toc164229374"/>
      <w:bookmarkStart w:id="377" w:name="_Toc150480771"/>
      <w:bookmarkStart w:id="378" w:name="_Toc151193703"/>
      <w:bookmarkStart w:id="379" w:name="_Toc226965806"/>
      <w:bookmarkStart w:id="380" w:name="_Toc127151734"/>
      <w:bookmarkStart w:id="381" w:name="_Toc164608802"/>
      <w:bookmarkStart w:id="382" w:name="_Toc164229228"/>
      <w:bookmarkStart w:id="383" w:name="_Toc150774633"/>
      <w:bookmarkStart w:id="384" w:name="_Toc520356158"/>
      <w:bookmarkStart w:id="385" w:name="_Toc226965723"/>
      <w:bookmarkStart w:id="386" w:name="_Toc127161447"/>
      <w:bookmarkStart w:id="387" w:name="_Toc226337229"/>
      <w:bookmarkStart w:id="388" w:name="_Toc150509284"/>
      <w:bookmarkStart w:id="389" w:name="_Toc151193631"/>
      <w:bookmarkStart w:id="390" w:name="_Toc226309777"/>
      <w:bookmarkStart w:id="391" w:name="_Toc265228371"/>
      <w:bookmarkStart w:id="392" w:name="_Toc151190160"/>
      <w:bookmarkStart w:id="393" w:name="_Toc164351627"/>
      <w:bookmarkStart w:id="394" w:name="_Toc127151533"/>
      <w:bookmarkStart w:id="395" w:name="_Toc264969223"/>
      <w:bookmarkStart w:id="396" w:name="_Toc151193921"/>
      <w:bookmarkStart w:id="397" w:name="_Toc150774738"/>
      <w:bookmarkStart w:id="398" w:name="_Toc305158801"/>
      <w:bookmarkStart w:id="399" w:name="_Toc195842898"/>
      <w:bookmarkStart w:id="400" w:name="_Toc305158875"/>
      <w:r>
        <w:rPr>
          <w:rFonts w:hint="eastAsia" w:ascii="Times New Roman" w:hAnsi="Times New Roman" w:eastAsia="宋体" w:cs="Times New Roman"/>
          <w:kern w:val="2"/>
          <w:sz w:val="24"/>
          <w:szCs w:val="24"/>
          <w:lang w:val="en-US" w:eastAsia="zh-CN" w:bidi="ar-SA"/>
        </w:rPr>
        <w:t>14</w:t>
      </w:r>
      <w:r>
        <w:rPr>
          <w:rFonts w:hint="eastAsia" w:cs="Times New Roman"/>
          <w:kern w:val="2"/>
          <w:sz w:val="24"/>
          <w:szCs w:val="24"/>
          <w:lang w:val="en-US" w:eastAsia="zh-CN" w:bidi="ar-SA"/>
        </w:rPr>
        <w:t>、</w:t>
      </w:r>
      <w:r>
        <w:rPr>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sz w:val="24"/>
        </w:rPr>
        <w:t>、盖章</w:t>
      </w:r>
    </w:p>
    <w:p w14:paraId="55B7C26F">
      <w:pPr>
        <w:numPr>
          <w:ilvl w:val="1"/>
          <w:numId w:val="0"/>
        </w:numPr>
        <w:tabs>
          <w:tab w:val="left" w:pos="1080"/>
          <w:tab w:val="left" w:pos="2014"/>
        </w:tabs>
        <w:snapToGrid w:val="0"/>
        <w:spacing w:line="360" w:lineRule="auto"/>
        <w:ind w:left="1077" w:leftChars="0" w:hanging="720" w:firstLineChars="0"/>
        <w:rPr>
          <w:sz w:val="24"/>
          <w:highlight w:val="yellow"/>
        </w:rPr>
      </w:pPr>
      <w:bookmarkStart w:id="401" w:name="_Toc195842899"/>
      <w:bookmarkStart w:id="402" w:name="_Toc305158802"/>
      <w:bookmarkStart w:id="403" w:name="_Toc127151534"/>
      <w:bookmarkStart w:id="404" w:name="_Toc151193922"/>
      <w:bookmarkStart w:id="405" w:name="_Toc150509285"/>
      <w:bookmarkStart w:id="406" w:name="_Toc151193776"/>
      <w:bookmarkStart w:id="407" w:name="_Toc150774634"/>
      <w:bookmarkStart w:id="408" w:name="_Toc264969224"/>
      <w:bookmarkStart w:id="409" w:name="_Toc151190161"/>
      <w:bookmarkStart w:id="410" w:name="_Toc151193632"/>
      <w:bookmarkStart w:id="411" w:name="_Toc226965724"/>
      <w:bookmarkStart w:id="412" w:name="_Toc226965807"/>
      <w:bookmarkStart w:id="413" w:name="_Toc226337230"/>
      <w:bookmarkStart w:id="414" w:name="_Toc150774739"/>
      <w:bookmarkStart w:id="415" w:name="_Toc265228372"/>
      <w:bookmarkStart w:id="416" w:name="_Toc150480772"/>
      <w:bookmarkStart w:id="417" w:name="_Toc151193704"/>
      <w:bookmarkStart w:id="418" w:name="_Toc142311036"/>
      <w:bookmarkStart w:id="419" w:name="_Toc305158876"/>
      <w:bookmarkStart w:id="420" w:name="_Toc151193848"/>
      <w:bookmarkStart w:id="421" w:name="_Toc520356159"/>
      <w:bookmarkStart w:id="422" w:name="_Toc226309778"/>
      <w:r>
        <w:rPr>
          <w:rFonts w:hint="default" w:ascii="Times New Roman" w:hAnsi="Times New Roman" w:eastAsia="宋体" w:cs="Times New Roman"/>
          <w:kern w:val="2"/>
          <w:sz w:val="24"/>
          <w:szCs w:val="24"/>
          <w:lang w:val="en-US" w:eastAsia="zh-CN" w:bidi="ar-SA"/>
        </w:rPr>
        <w:t>14..1</w:t>
      </w:r>
      <w:r>
        <w:rPr>
          <w:rFonts w:hint="eastAsia" w:cs="Times New Roman"/>
          <w:kern w:val="2"/>
          <w:sz w:val="24"/>
          <w:szCs w:val="24"/>
          <w:lang w:val="en-US" w:eastAsia="zh-CN" w:bidi="ar-SA"/>
        </w:rPr>
        <w:t>投标</w:t>
      </w:r>
      <w:r>
        <w:rPr>
          <w:rFonts w:hint="default" w:ascii="Times New Roman" w:hAnsi="Times New Roman" w:eastAsia="宋体" w:cs="Times New Roman"/>
          <w:kern w:val="2"/>
          <w:sz w:val="24"/>
          <w:szCs w:val="24"/>
          <w:lang w:val="en-US" w:eastAsia="zh-CN" w:bidi="ar-SA"/>
        </w:rPr>
        <w:t>文件要求签字的内容（如授权委托书等），可以使用电子或使用原件的电子件（电子件指扫描件、照片等形式电子文件）；要求第三方出具的盖章件原件（如联合协议、分包意向协议、制造商授权书等），</w:t>
      </w:r>
      <w:r>
        <w:rPr>
          <w:rFonts w:hint="eastAsia" w:cs="Times New Roman"/>
          <w:kern w:val="2"/>
          <w:sz w:val="24"/>
          <w:szCs w:val="24"/>
          <w:lang w:val="en-US" w:eastAsia="zh-CN" w:bidi="ar-SA"/>
        </w:rPr>
        <w:t>投标</w:t>
      </w:r>
      <w:r>
        <w:rPr>
          <w:rFonts w:hint="default" w:ascii="Times New Roman" w:hAnsi="Times New Roman" w:eastAsia="宋体" w:cs="Times New Roman"/>
          <w:kern w:val="2"/>
          <w:sz w:val="24"/>
          <w:szCs w:val="24"/>
          <w:lang w:val="en-US" w:eastAsia="zh-CN" w:bidi="ar-SA"/>
        </w:rPr>
        <w:t>文件中应使用原件的电子件；</w:t>
      </w:r>
      <w:r>
        <w:rPr>
          <w:rFonts w:hint="eastAsia" w:cs="Times New Roman"/>
          <w:kern w:val="2"/>
          <w:sz w:val="24"/>
          <w:szCs w:val="24"/>
          <w:lang w:val="en-US" w:eastAsia="zh-CN" w:bidi="ar-SA"/>
        </w:rPr>
        <w:t>投标</w:t>
      </w:r>
      <w:r>
        <w:rPr>
          <w:rFonts w:hint="default" w:ascii="Times New Roman" w:hAnsi="Times New Roman" w:eastAsia="宋体" w:cs="Times New Roman"/>
          <w:kern w:val="2"/>
          <w:sz w:val="24"/>
          <w:szCs w:val="24"/>
          <w:lang w:val="en-US" w:eastAsia="zh-CN" w:bidi="ar-SA"/>
        </w:rPr>
        <w:t>文件签章应由法人</w:t>
      </w:r>
      <w:r>
        <w:rPr>
          <w:rFonts w:hint="eastAsia" w:cs="Times New Roman"/>
          <w:kern w:val="2"/>
          <w:sz w:val="24"/>
          <w:szCs w:val="24"/>
          <w:lang w:val="en-US" w:eastAsia="zh-CN" w:bidi="ar-SA"/>
        </w:rPr>
        <w:t>或代理人</w:t>
      </w:r>
      <w:r>
        <w:rPr>
          <w:rFonts w:hint="default" w:ascii="Times New Roman" w:hAnsi="Times New Roman" w:eastAsia="宋体" w:cs="Times New Roman"/>
          <w:kern w:val="2"/>
          <w:sz w:val="24"/>
          <w:szCs w:val="24"/>
          <w:lang w:val="en-US" w:eastAsia="zh-CN" w:bidi="ar-SA"/>
        </w:rPr>
        <w:t>逐页</w:t>
      </w:r>
      <w:r>
        <w:rPr>
          <w:rFonts w:hint="eastAsia" w:cs="Times New Roman"/>
          <w:kern w:val="2"/>
          <w:sz w:val="24"/>
          <w:szCs w:val="24"/>
          <w:lang w:val="en-US" w:eastAsia="zh-CN" w:bidi="ar-SA"/>
        </w:rPr>
        <w:t>签字及加盖法人私章</w:t>
      </w:r>
      <w:r>
        <w:rPr>
          <w:rFonts w:hint="default"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逐页</w:t>
      </w:r>
      <w:r>
        <w:rPr>
          <w:rFonts w:hint="default" w:ascii="Times New Roman" w:hAnsi="Times New Roman" w:eastAsia="宋体" w:cs="Times New Roman"/>
          <w:kern w:val="2"/>
          <w:sz w:val="24"/>
          <w:szCs w:val="24"/>
          <w:lang w:val="en-US" w:eastAsia="zh-CN" w:bidi="ar-SA"/>
        </w:rPr>
        <w:t>加盖单位公章；营业执照、授权委托书、法定代表人资格证明、法人及授权委托人身份证复印件均需加盖</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复印无效</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的章子，否则由此造成的无效标由</w:t>
      </w:r>
      <w:r>
        <w:rPr>
          <w:rFonts w:hint="eastAsia" w:cs="Times New Roman"/>
          <w:kern w:val="2"/>
          <w:sz w:val="24"/>
          <w:szCs w:val="24"/>
          <w:lang w:val="en-US" w:eastAsia="zh-CN" w:bidi="ar-SA"/>
        </w:rPr>
        <w:t>投标人</w:t>
      </w:r>
      <w:r>
        <w:rPr>
          <w:rFonts w:hint="default" w:ascii="Times New Roman" w:hAnsi="Times New Roman" w:eastAsia="宋体" w:cs="Times New Roman"/>
          <w:kern w:val="2"/>
          <w:sz w:val="24"/>
          <w:szCs w:val="24"/>
          <w:lang w:val="en-US" w:eastAsia="zh-CN" w:bidi="ar-SA"/>
        </w:rPr>
        <w:t>负责，否则视为不响应此</w:t>
      </w:r>
      <w:r>
        <w:rPr>
          <w:rFonts w:hint="eastAsia" w:cs="Times New Roman"/>
          <w:kern w:val="2"/>
          <w:sz w:val="24"/>
          <w:szCs w:val="24"/>
          <w:lang w:val="en-US" w:eastAsia="zh-CN" w:bidi="ar-SA"/>
        </w:rPr>
        <w:t>招标文件</w:t>
      </w:r>
      <w:r>
        <w:rPr>
          <w:rFonts w:hint="default" w:ascii="Times New Roman" w:hAnsi="Times New Roman" w:eastAsia="宋体" w:cs="Times New Roman"/>
          <w:kern w:val="2"/>
          <w:sz w:val="24"/>
          <w:szCs w:val="24"/>
          <w:lang w:val="en-US" w:eastAsia="zh-CN" w:bidi="ar-SA"/>
        </w:rPr>
        <w:t>符合性要求，视为响应无效。</w:t>
      </w:r>
    </w:p>
    <w:p w14:paraId="544E7D4E">
      <w:pPr>
        <w:numPr>
          <w:ilvl w:val="1"/>
          <w:numId w:val="0"/>
        </w:numPr>
        <w:tabs>
          <w:tab w:val="left" w:pos="1080"/>
          <w:tab w:val="left" w:pos="2014"/>
        </w:tabs>
        <w:snapToGrid w:val="0"/>
        <w:spacing w:line="360" w:lineRule="auto"/>
        <w:ind w:left="1077" w:leftChars="0" w:hanging="720" w:firstLineChars="0"/>
        <w:rPr>
          <w:sz w:val="24"/>
          <w:highlight w:val="yellow"/>
        </w:rPr>
      </w:pPr>
      <w:r>
        <w:rPr>
          <w:rFonts w:hint="default" w:ascii="Times New Roman" w:hAnsi="Times New Roman" w:eastAsia="宋体" w:cs="Times New Roman"/>
          <w:kern w:val="2"/>
          <w:sz w:val="24"/>
          <w:szCs w:val="24"/>
          <w:lang w:val="en-US" w:eastAsia="zh-CN" w:bidi="ar-SA"/>
        </w:rPr>
        <w:t>14.2</w:t>
      </w:r>
      <w:r>
        <w:rPr>
          <w:color w:val="auto"/>
          <w:sz w:val="24"/>
          <w:highlight w:val="none"/>
        </w:rPr>
        <w:t>招标文件要求盖章的内容，</w:t>
      </w:r>
      <w:r>
        <w:rPr>
          <w:rFonts w:hint="eastAsia"/>
          <w:color w:val="auto"/>
          <w:sz w:val="24"/>
          <w:highlight w:val="none"/>
        </w:rPr>
        <w:t>一般</w:t>
      </w:r>
      <w:r>
        <w:rPr>
          <w:color w:val="auto"/>
          <w:sz w:val="24"/>
          <w:highlight w:val="none"/>
        </w:rPr>
        <w:t>通过投标文件编制工具加盖电子签章。</w:t>
      </w:r>
    </w:p>
    <w:p w14:paraId="600599F5">
      <w:pPr>
        <w:tabs>
          <w:tab w:val="left" w:pos="900"/>
          <w:tab w:val="left" w:pos="1080"/>
        </w:tabs>
        <w:snapToGrid w:val="0"/>
        <w:spacing w:line="360" w:lineRule="auto"/>
        <w:ind w:left="357"/>
      </w:pPr>
    </w:p>
    <w:p w14:paraId="3311498E">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E1632AB">
      <w:pPr>
        <w:numPr>
          <w:ilvl w:val="0"/>
          <w:numId w:val="0"/>
        </w:numPr>
        <w:tabs>
          <w:tab w:val="left" w:pos="360"/>
        </w:tabs>
        <w:snapToGrid w:val="0"/>
        <w:spacing w:line="360" w:lineRule="auto"/>
        <w:ind w:left="357" w:leftChars="0" w:hanging="357" w:firstLineChars="0"/>
        <w:outlineLvl w:val="9"/>
        <w:rPr>
          <w:sz w:val="24"/>
        </w:rPr>
      </w:pPr>
      <w:bookmarkStart w:id="423" w:name="_Toc305158803"/>
      <w:bookmarkStart w:id="424" w:name="_Toc520356160"/>
      <w:bookmarkStart w:id="425" w:name="_Toc164608804"/>
      <w:bookmarkStart w:id="426" w:name="_Toc195842900"/>
      <w:bookmarkStart w:id="427" w:name="_Toc127151535"/>
      <w:bookmarkStart w:id="428" w:name="_Toc151193633"/>
      <w:bookmarkStart w:id="429" w:name="_Toc150774635"/>
      <w:bookmarkStart w:id="430" w:name="_Toc127161449"/>
      <w:bookmarkStart w:id="431" w:name="_Toc164351629"/>
      <w:bookmarkStart w:id="432" w:name="_Toc151190162"/>
      <w:bookmarkStart w:id="433" w:name="_Toc150480773"/>
      <w:bookmarkStart w:id="434" w:name="_Toc164229230"/>
      <w:bookmarkStart w:id="435" w:name="_Toc150774740"/>
      <w:bookmarkStart w:id="436" w:name="_Toc265228373"/>
      <w:bookmarkStart w:id="437" w:name="_Toc151193705"/>
      <w:bookmarkStart w:id="438" w:name="_Toc151193777"/>
      <w:bookmarkStart w:id="439" w:name="_Toc164608649"/>
      <w:bookmarkStart w:id="440" w:name="_Toc151193849"/>
      <w:bookmarkStart w:id="441" w:name="_Toc264969225"/>
      <w:bookmarkStart w:id="442" w:name="_Toc226337231"/>
      <w:bookmarkStart w:id="443" w:name="_Toc226965808"/>
      <w:bookmarkStart w:id="444" w:name="_Toc151193923"/>
      <w:bookmarkStart w:id="445" w:name="_Toc142311037"/>
      <w:bookmarkStart w:id="446" w:name="_Toc164229376"/>
      <w:bookmarkStart w:id="447" w:name="_Toc305158877"/>
      <w:bookmarkStart w:id="448" w:name="_Toc149720828"/>
      <w:bookmarkStart w:id="449" w:name="_Toc226965725"/>
      <w:bookmarkStart w:id="450" w:name="_Toc150509286"/>
      <w:bookmarkStart w:id="451" w:name="_Toc127151736"/>
      <w:bookmarkStart w:id="452" w:name="_Toc226309779"/>
      <w:r>
        <w:rPr>
          <w:rFonts w:hint="eastAsia" w:ascii="Times New Roman" w:hAnsi="Times New Roman" w:eastAsia="宋体" w:cs="Times New Roman"/>
          <w:kern w:val="2"/>
          <w:sz w:val="24"/>
          <w:szCs w:val="24"/>
          <w:lang w:val="en-US" w:eastAsia="zh-CN" w:bidi="ar-SA"/>
        </w:rPr>
        <w:t>15</w:t>
      </w:r>
      <w:r>
        <w:rPr>
          <w:rFonts w:hint="eastAsia" w:cs="Times New Roman"/>
          <w:kern w:val="2"/>
          <w:sz w:val="24"/>
          <w:szCs w:val="24"/>
          <w:lang w:val="en-US" w:eastAsia="zh-CN" w:bidi="ar-SA"/>
        </w:rPr>
        <w:t>、</w:t>
      </w:r>
      <w:r>
        <w:rPr>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sz w:val="24"/>
        </w:rPr>
        <w:t>提交</w:t>
      </w:r>
    </w:p>
    <w:p w14:paraId="60DC4923">
      <w:pPr>
        <w:numPr>
          <w:ilvl w:val="1"/>
          <w:numId w:val="0"/>
        </w:numPr>
        <w:tabs>
          <w:tab w:val="left" w:pos="1080"/>
          <w:tab w:val="left" w:pos="2014"/>
        </w:tabs>
        <w:snapToGrid w:val="0"/>
        <w:spacing w:line="360" w:lineRule="auto"/>
        <w:ind w:left="1077" w:leftChars="0" w:hanging="720" w:firstLineChars="0"/>
        <w:rPr>
          <w:rFonts w:hint="eastAsia" w:ascii="宋体" w:hAnsi="宋体" w:eastAsia="宋体" w:cs="宋体"/>
          <w:sz w:val="24"/>
        </w:rPr>
      </w:pPr>
      <w:r>
        <w:rPr>
          <w:rFonts w:hint="default" w:ascii="Times New Roman" w:hAnsi="Times New Roman" w:eastAsia="宋体" w:cs="Times New Roman"/>
          <w:kern w:val="2"/>
          <w:sz w:val="24"/>
          <w:szCs w:val="24"/>
          <w:lang w:val="en-US" w:eastAsia="zh-CN" w:bidi="ar-SA"/>
        </w:rPr>
        <w:t>15.1</w:t>
      </w:r>
      <w:r>
        <w:rPr>
          <w:rFonts w:hint="eastAsia" w:ascii="宋体" w:hAnsi="宋体" w:eastAsia="宋体" w:cs="宋体"/>
          <w:sz w:val="24"/>
        </w:rPr>
        <w:t>本项目使用</w:t>
      </w:r>
      <w:r>
        <w:rPr>
          <w:rFonts w:hint="eastAsia" w:ascii="宋体" w:hAnsi="宋体" w:eastAsia="宋体" w:cs="宋体"/>
          <w:sz w:val="24"/>
          <w:lang w:eastAsia="zh-CN"/>
        </w:rPr>
        <w:t>政采云平台</w:t>
      </w:r>
      <w:r>
        <w:rPr>
          <w:rFonts w:hint="eastAsia" w:ascii="宋体" w:hAnsi="宋体" w:eastAsia="宋体" w:cs="宋体"/>
          <w:sz w:val="24"/>
        </w:rPr>
        <w:t>。</w:t>
      </w:r>
      <w:r>
        <w:rPr>
          <w:rFonts w:hint="eastAsia" w:ascii="宋体" w:hAnsi="宋体" w:eastAsia="宋体" w:cs="宋体"/>
          <w:sz w:val="24"/>
          <w:lang w:eastAsia="zh-CN"/>
        </w:rPr>
        <w:t>投标人</w:t>
      </w:r>
      <w:r>
        <w:rPr>
          <w:rFonts w:hint="eastAsia" w:ascii="宋体" w:hAnsi="宋体" w:eastAsia="宋体" w:cs="宋体"/>
          <w:sz w:val="24"/>
        </w:rPr>
        <w:t>根据</w:t>
      </w:r>
      <w:r>
        <w:rPr>
          <w:rFonts w:hint="eastAsia" w:ascii="宋体" w:hAnsi="宋体" w:eastAsia="宋体" w:cs="宋体"/>
          <w:sz w:val="24"/>
          <w:lang w:eastAsia="zh-CN"/>
        </w:rPr>
        <w:t>招标</w:t>
      </w:r>
      <w:r>
        <w:rPr>
          <w:rFonts w:hint="eastAsia" w:ascii="宋体" w:hAnsi="宋体" w:eastAsia="宋体" w:cs="宋体"/>
          <w:sz w:val="24"/>
        </w:rPr>
        <w:t>文件及</w:t>
      </w:r>
      <w:r>
        <w:rPr>
          <w:rFonts w:hint="eastAsia" w:ascii="宋体" w:hAnsi="宋体" w:eastAsia="宋体" w:cs="宋体"/>
          <w:sz w:val="24"/>
          <w:lang w:eastAsia="zh-CN"/>
        </w:rPr>
        <w:t>政采云平台投标人</w:t>
      </w:r>
      <w:r>
        <w:rPr>
          <w:rFonts w:hint="eastAsia" w:ascii="宋体" w:hAnsi="宋体" w:eastAsia="宋体" w:cs="宋体"/>
          <w:sz w:val="24"/>
        </w:rPr>
        <w:t>操作手册要求编制、生成并提交电子响应文件。</w:t>
      </w:r>
    </w:p>
    <w:p w14:paraId="68321C45">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15.2</w:t>
      </w:r>
      <w:r>
        <w:rPr>
          <w:rFonts w:hint="eastAsia"/>
          <w:sz w:val="24"/>
          <w:lang w:eastAsia="zh-CN"/>
        </w:rPr>
        <w:t>招标人</w:t>
      </w:r>
      <w:r>
        <w:rPr>
          <w:sz w:val="24"/>
        </w:rPr>
        <w:t>及</w:t>
      </w:r>
      <w:r>
        <w:rPr>
          <w:rFonts w:hint="eastAsia"/>
          <w:sz w:val="24"/>
          <w:lang w:eastAsia="zh-CN"/>
        </w:rPr>
        <w:t>招标代理机构</w:t>
      </w:r>
      <w:r>
        <w:rPr>
          <w:sz w:val="24"/>
        </w:rPr>
        <w:t>拒绝接受通过电子交易平台以外任何形式提交的投标文件，投标保证金除外。</w:t>
      </w:r>
    </w:p>
    <w:p w14:paraId="512A3C4E">
      <w:pPr>
        <w:numPr>
          <w:ilvl w:val="0"/>
          <w:numId w:val="0"/>
        </w:numPr>
        <w:tabs>
          <w:tab w:val="left" w:pos="360"/>
        </w:tabs>
        <w:snapToGrid w:val="0"/>
        <w:spacing w:line="360" w:lineRule="auto"/>
        <w:ind w:left="357" w:leftChars="0" w:hanging="357" w:firstLineChars="0"/>
        <w:outlineLvl w:val="9"/>
        <w:rPr>
          <w:sz w:val="24"/>
        </w:rPr>
      </w:pPr>
      <w:bookmarkStart w:id="453" w:name="_Toc127161450"/>
      <w:bookmarkStart w:id="454" w:name="_Toc150774636"/>
      <w:bookmarkStart w:id="455" w:name="_Toc151193924"/>
      <w:bookmarkStart w:id="456" w:name="_Toc264969226"/>
      <w:bookmarkStart w:id="457" w:name="_Toc164351630"/>
      <w:bookmarkStart w:id="458" w:name="_Toc150774741"/>
      <w:bookmarkStart w:id="459" w:name="_Toc151193850"/>
      <w:bookmarkStart w:id="460" w:name="_Toc127151737"/>
      <w:bookmarkStart w:id="461" w:name="_Toc305158878"/>
      <w:bookmarkStart w:id="462" w:name="_Toc226965726"/>
      <w:bookmarkStart w:id="463" w:name="_Toc226337232"/>
      <w:bookmarkStart w:id="464" w:name="_Toc127151536"/>
      <w:bookmarkStart w:id="465" w:name="_Toc164608805"/>
      <w:bookmarkStart w:id="466" w:name="_Toc226965809"/>
      <w:bookmarkStart w:id="467" w:name="_Toc151193634"/>
      <w:bookmarkStart w:id="468" w:name="_Toc151190163"/>
      <w:bookmarkStart w:id="469" w:name="_Toc151193778"/>
      <w:bookmarkStart w:id="470" w:name="_Toc164229231"/>
      <w:bookmarkStart w:id="471" w:name="_Toc164608650"/>
      <w:bookmarkStart w:id="472" w:name="_Toc520356161"/>
      <w:bookmarkStart w:id="473" w:name="_Toc151193706"/>
      <w:bookmarkStart w:id="474" w:name="_Toc142311038"/>
      <w:bookmarkStart w:id="475" w:name="_Toc150480774"/>
      <w:bookmarkStart w:id="476" w:name="_Toc195842901"/>
      <w:bookmarkStart w:id="477" w:name="_Toc305158804"/>
      <w:bookmarkStart w:id="478" w:name="_Toc226309780"/>
      <w:bookmarkStart w:id="479" w:name="_Toc149720829"/>
      <w:bookmarkStart w:id="480" w:name="_Toc150509287"/>
      <w:bookmarkStart w:id="481" w:name="_Toc265228374"/>
      <w:bookmarkStart w:id="482" w:name="_Toc164229377"/>
      <w:r>
        <w:rPr>
          <w:rFonts w:hint="eastAsia" w:ascii="Times New Roman" w:hAnsi="Times New Roman" w:eastAsia="宋体" w:cs="Times New Roman"/>
          <w:kern w:val="2"/>
          <w:sz w:val="24"/>
          <w:szCs w:val="24"/>
          <w:lang w:val="en-US" w:eastAsia="zh-CN" w:bidi="ar-SA"/>
        </w:rPr>
        <w:t>16</w:t>
      </w:r>
      <w:r>
        <w:rPr>
          <w:rFonts w:hint="eastAsia" w:cs="Times New Roman"/>
          <w:kern w:val="2"/>
          <w:sz w:val="24"/>
          <w:szCs w:val="24"/>
          <w:lang w:val="en-US" w:eastAsia="zh-CN" w:bidi="ar-SA"/>
        </w:rPr>
        <w:t>、</w:t>
      </w:r>
      <w:r>
        <w:rPr>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sz w:val="24"/>
        </w:rPr>
        <w:t>时间</w:t>
      </w:r>
    </w:p>
    <w:p w14:paraId="4F91C254">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16.1</w:t>
      </w:r>
      <w:r>
        <w:rPr>
          <w:sz w:val="24"/>
        </w:rPr>
        <w:t>投标人应在招标文件要求提交投标文件截止时间前，将电子投标文件提交至电子交易平台。</w:t>
      </w:r>
    </w:p>
    <w:p w14:paraId="06E9E4F3">
      <w:pPr>
        <w:numPr>
          <w:ilvl w:val="0"/>
          <w:numId w:val="0"/>
        </w:numPr>
        <w:tabs>
          <w:tab w:val="left" w:pos="360"/>
        </w:tabs>
        <w:snapToGrid w:val="0"/>
        <w:spacing w:line="360" w:lineRule="auto"/>
        <w:ind w:left="357" w:leftChars="0" w:hanging="357" w:firstLineChars="0"/>
        <w:outlineLvl w:val="9"/>
        <w:rPr>
          <w:sz w:val="24"/>
        </w:rPr>
      </w:pPr>
      <w:bookmarkStart w:id="483" w:name="_Toc151193851"/>
      <w:bookmarkStart w:id="484" w:name="_Toc151193779"/>
      <w:bookmarkStart w:id="485" w:name="_Toc150509288"/>
      <w:bookmarkStart w:id="486" w:name="_Toc226309781"/>
      <w:bookmarkStart w:id="487" w:name="_Toc150774742"/>
      <w:bookmarkStart w:id="488" w:name="_Toc265228375"/>
      <w:bookmarkStart w:id="489" w:name="_Toc305158805"/>
      <w:bookmarkStart w:id="490" w:name="_Toc164608806"/>
      <w:bookmarkStart w:id="491" w:name="_Toc164351631"/>
      <w:bookmarkStart w:id="492" w:name="_Toc149720830"/>
      <w:bookmarkStart w:id="493" w:name="_Toc151193925"/>
      <w:bookmarkStart w:id="494" w:name="_Toc127151537"/>
      <w:bookmarkStart w:id="495" w:name="_Toc164608651"/>
      <w:bookmarkStart w:id="496" w:name="_Toc151193635"/>
      <w:bookmarkStart w:id="497" w:name="_Toc164229378"/>
      <w:bookmarkStart w:id="498" w:name="_Toc142311039"/>
      <w:bookmarkStart w:id="499" w:name="_Toc264969227"/>
      <w:bookmarkStart w:id="500" w:name="_Toc305158879"/>
      <w:bookmarkStart w:id="501" w:name="_Toc195842902"/>
      <w:bookmarkStart w:id="502" w:name="_Toc151190164"/>
      <w:bookmarkStart w:id="503" w:name="_Toc150774637"/>
      <w:bookmarkStart w:id="504" w:name="_Toc127161451"/>
      <w:bookmarkStart w:id="505" w:name="_Toc150480775"/>
      <w:bookmarkStart w:id="506" w:name="_Toc226965727"/>
      <w:bookmarkStart w:id="507" w:name="_Toc226337233"/>
      <w:bookmarkStart w:id="508" w:name="_Toc127151738"/>
      <w:bookmarkStart w:id="509" w:name="_Toc164229232"/>
      <w:bookmarkStart w:id="510" w:name="_Toc520356162"/>
      <w:bookmarkStart w:id="511" w:name="_Toc151193707"/>
      <w:bookmarkStart w:id="512" w:name="_Toc226965810"/>
      <w:r>
        <w:rPr>
          <w:rFonts w:hint="eastAsia" w:ascii="Times New Roman" w:hAnsi="Times New Roman" w:eastAsia="宋体" w:cs="Times New Roman"/>
          <w:kern w:val="2"/>
          <w:sz w:val="24"/>
          <w:szCs w:val="24"/>
          <w:lang w:val="en-US" w:eastAsia="zh-CN" w:bidi="ar-SA"/>
        </w:rPr>
        <w:t>17</w:t>
      </w:r>
      <w:r>
        <w:rPr>
          <w:rFonts w:hint="eastAsia" w:cs="Times New Roman"/>
          <w:kern w:val="2"/>
          <w:sz w:val="24"/>
          <w:szCs w:val="24"/>
          <w:lang w:val="en-US" w:eastAsia="zh-CN" w:bidi="ar-SA"/>
        </w:rPr>
        <w:t>、</w:t>
      </w:r>
      <w:r>
        <w:rPr>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C2FBC6F">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17.1</w:t>
      </w: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rFonts w:hint="eastAsia"/>
          <w:sz w:val="24"/>
          <w:lang w:eastAsia="zh-CN"/>
        </w:rPr>
        <w:t>招标人</w:t>
      </w:r>
      <w:r>
        <w:rPr>
          <w:sz w:val="24"/>
        </w:rPr>
        <w:t>或</w:t>
      </w:r>
      <w:r>
        <w:rPr>
          <w:rFonts w:hint="eastAsia"/>
          <w:sz w:val="24"/>
          <w:lang w:eastAsia="zh-CN"/>
        </w:rPr>
        <w:t>招标代理机构</w:t>
      </w:r>
      <w:r>
        <w:rPr>
          <w:sz w:val="24"/>
        </w:rPr>
        <w:t>。</w:t>
      </w:r>
    </w:p>
    <w:p w14:paraId="2F77D746">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17.2</w:t>
      </w:r>
      <w:r>
        <w:rPr>
          <w:sz w:val="24"/>
        </w:rPr>
        <w:t>投标人对投标文件的补充、修改的内容应当按照招标文件要求签署、盖章，作为投标文件的组成部分。</w:t>
      </w:r>
    </w:p>
    <w:p w14:paraId="7BC1E0A6">
      <w:pPr>
        <w:spacing w:line="360" w:lineRule="auto"/>
        <w:rPr>
          <w:sz w:val="24"/>
        </w:rPr>
      </w:pPr>
    </w:p>
    <w:p w14:paraId="37F78DB4">
      <w:pPr>
        <w:pStyle w:val="4"/>
        <w:spacing w:before="0" w:line="360" w:lineRule="auto"/>
        <w:rPr>
          <w:rFonts w:ascii="Times New Roman" w:hAnsi="Times New Roman" w:eastAsia="宋体"/>
          <w:sz w:val="28"/>
        </w:rPr>
      </w:pPr>
      <w:bookmarkStart w:id="513" w:name="_Toc226965728"/>
      <w:bookmarkStart w:id="514" w:name="_Toc142311040"/>
      <w:bookmarkStart w:id="515" w:name="_Toc226337234"/>
      <w:bookmarkStart w:id="516" w:name="_Toc195842903"/>
      <w:bookmarkStart w:id="517" w:name="_Toc151193926"/>
      <w:bookmarkStart w:id="518" w:name="_Toc150774638"/>
      <w:bookmarkStart w:id="519" w:name="_Toc305158806"/>
      <w:bookmarkStart w:id="520" w:name="_Toc264969228"/>
      <w:bookmarkStart w:id="521" w:name="_Toc151190165"/>
      <w:bookmarkStart w:id="522" w:name="_Toc305158880"/>
      <w:bookmarkStart w:id="523" w:name="_Toc151193636"/>
      <w:bookmarkStart w:id="524" w:name="_Toc150774743"/>
      <w:bookmarkStart w:id="525" w:name="_Toc151193780"/>
      <w:bookmarkStart w:id="526" w:name="_Toc226309782"/>
      <w:bookmarkStart w:id="527" w:name="_Toc226965811"/>
      <w:bookmarkStart w:id="528" w:name="_Toc127151538"/>
      <w:bookmarkStart w:id="529" w:name="_Toc151193852"/>
      <w:bookmarkStart w:id="530" w:name="_Toc520356163"/>
      <w:bookmarkStart w:id="531" w:name="_Toc150480776"/>
      <w:bookmarkStart w:id="532" w:name="_Toc150509289"/>
      <w:bookmarkStart w:id="533" w:name="_Toc265228376"/>
      <w:bookmarkStart w:id="534" w:name="_Toc151193708"/>
      <w:r>
        <w:rPr>
          <w:rFonts w:ascii="Times New Roman" w:hAnsi="Times New Roman" w:eastAsia="宋体"/>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682920B2">
      <w:pPr>
        <w:numPr>
          <w:ilvl w:val="0"/>
          <w:numId w:val="0"/>
        </w:numPr>
        <w:tabs>
          <w:tab w:val="left" w:pos="360"/>
        </w:tabs>
        <w:snapToGrid w:val="0"/>
        <w:spacing w:line="360" w:lineRule="auto"/>
        <w:ind w:left="357" w:leftChars="0" w:hanging="357" w:firstLineChars="0"/>
        <w:outlineLvl w:val="9"/>
        <w:rPr>
          <w:sz w:val="24"/>
        </w:rPr>
      </w:pPr>
      <w:bookmarkStart w:id="535" w:name="_Toc151193781"/>
      <w:bookmarkStart w:id="536" w:name="_Toc164351633"/>
      <w:bookmarkStart w:id="537" w:name="_Toc151193927"/>
      <w:bookmarkStart w:id="538" w:name="_Toc226337235"/>
      <w:bookmarkStart w:id="539" w:name="_Toc127151539"/>
      <w:bookmarkStart w:id="540" w:name="_Toc150774744"/>
      <w:bookmarkStart w:id="541" w:name="_Toc164229234"/>
      <w:bookmarkStart w:id="542" w:name="_Toc264969229"/>
      <w:bookmarkStart w:id="543" w:name="_Toc127151740"/>
      <w:bookmarkStart w:id="544" w:name="_Toc265228377"/>
      <w:bookmarkStart w:id="545" w:name="_Toc150774639"/>
      <w:bookmarkStart w:id="546" w:name="_Toc151193637"/>
      <w:bookmarkStart w:id="547" w:name="_Toc226965729"/>
      <w:bookmarkStart w:id="548" w:name="_Toc151193853"/>
      <w:bookmarkStart w:id="549" w:name="_Toc150509290"/>
      <w:bookmarkStart w:id="550" w:name="_Toc127161453"/>
      <w:bookmarkStart w:id="551" w:name="_Toc195842904"/>
      <w:bookmarkStart w:id="552" w:name="_Toc164608808"/>
      <w:bookmarkStart w:id="553" w:name="_Toc150480777"/>
      <w:bookmarkStart w:id="554" w:name="_Toc226965812"/>
      <w:bookmarkStart w:id="555" w:name="_Toc151193709"/>
      <w:bookmarkStart w:id="556" w:name="_Toc142311041"/>
      <w:bookmarkStart w:id="557" w:name="_Toc149720832"/>
      <w:bookmarkStart w:id="558" w:name="_Toc164229380"/>
      <w:bookmarkStart w:id="559" w:name="_Toc226309783"/>
      <w:bookmarkStart w:id="560" w:name="_Toc151190166"/>
      <w:bookmarkStart w:id="561" w:name="_Toc305158881"/>
      <w:bookmarkStart w:id="562" w:name="_Toc164608653"/>
      <w:bookmarkStart w:id="563" w:name="_Toc305158807"/>
      <w:bookmarkStart w:id="564" w:name="_Toc520356164"/>
      <w:r>
        <w:rPr>
          <w:rFonts w:hint="eastAsia" w:ascii="Times New Roman" w:hAnsi="Times New Roman" w:eastAsia="宋体" w:cs="Times New Roman"/>
          <w:kern w:val="2"/>
          <w:sz w:val="24"/>
          <w:szCs w:val="24"/>
          <w:lang w:val="en-US" w:eastAsia="zh-CN" w:bidi="ar-SA"/>
        </w:rPr>
        <w:t>18</w:t>
      </w:r>
      <w:r>
        <w:rPr>
          <w:rFonts w:hint="eastAsia" w:cs="Times New Roman"/>
          <w:kern w:val="2"/>
          <w:sz w:val="24"/>
          <w:szCs w:val="24"/>
          <w:lang w:val="en-US" w:eastAsia="zh-CN" w:bidi="ar-SA"/>
        </w:rPr>
        <w:t>、</w:t>
      </w:r>
      <w:r>
        <w:rPr>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527DE4AD">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18.1</w:t>
      </w:r>
      <w:r>
        <w:rPr>
          <w:rFonts w:hint="eastAsia"/>
          <w:sz w:val="24"/>
          <w:lang w:eastAsia="zh-CN"/>
        </w:rPr>
        <w:t>招标人</w:t>
      </w:r>
      <w:r>
        <w:rPr>
          <w:sz w:val="24"/>
        </w:rPr>
        <w:t>或</w:t>
      </w:r>
      <w:r>
        <w:rPr>
          <w:rFonts w:hint="eastAsia"/>
          <w:sz w:val="24"/>
          <w:lang w:eastAsia="zh-CN"/>
        </w:rPr>
        <w:t>招标代理机构</w:t>
      </w:r>
      <w:r>
        <w:rPr>
          <w:sz w:val="24"/>
        </w:rPr>
        <w:t>将按招标文件的规定，在投标截止时间的同一时间和招标文件预先确定的地点组织开标。</w:t>
      </w:r>
    </w:p>
    <w:p w14:paraId="1819A943">
      <w:pPr>
        <w:numPr>
          <w:ilvl w:val="1"/>
          <w:numId w:val="0"/>
        </w:numPr>
        <w:tabs>
          <w:tab w:val="left" w:pos="1080"/>
          <w:tab w:val="left" w:pos="2014"/>
        </w:tabs>
        <w:snapToGrid w:val="0"/>
        <w:spacing w:line="360" w:lineRule="auto"/>
        <w:ind w:left="1077" w:leftChars="0" w:hanging="720" w:firstLineChars="0"/>
        <w:rPr>
          <w:b w:val="0"/>
          <w:bCs w:val="0"/>
          <w:sz w:val="24"/>
        </w:rPr>
      </w:pPr>
      <w:r>
        <w:rPr>
          <w:rFonts w:hint="default" w:ascii="Times New Roman" w:hAnsi="Times New Roman" w:eastAsia="宋体" w:cs="Times New Roman"/>
          <w:kern w:val="2"/>
          <w:sz w:val="24"/>
          <w:szCs w:val="24"/>
          <w:lang w:val="en-US" w:eastAsia="zh-CN" w:bidi="ar-SA"/>
        </w:rPr>
        <w:t>18.2</w:t>
      </w:r>
      <w:r>
        <w:rPr>
          <w:sz w:val="24"/>
        </w:rPr>
        <w:t>本项目开标使用电子交易平台。投标人应在规定的时间内对投标文件进行解密，因非系统原因导致的解密失败，视</w:t>
      </w:r>
      <w:r>
        <w:rPr>
          <w:b w:val="0"/>
          <w:bCs w:val="0"/>
          <w:sz w:val="24"/>
        </w:rPr>
        <w:t>为投标无效。</w:t>
      </w:r>
    </w:p>
    <w:p w14:paraId="07B8B0C7">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18.3</w:t>
      </w:r>
      <w:r>
        <w:rPr>
          <w:sz w:val="24"/>
        </w:rPr>
        <w:t>开标过程将使用电子交易平台宣布投标人名称、投标价格和招标文件规定的需要宣布的其他内容并进行记录，并由参加开标的各投标人代表确认</w:t>
      </w:r>
      <w:bookmarkStart w:id="565" w:name="_Toc520356165"/>
      <w:r>
        <w:rPr>
          <w:sz w:val="24"/>
        </w:rPr>
        <w:t>。</w:t>
      </w:r>
    </w:p>
    <w:p w14:paraId="64D70851">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18.4</w:t>
      </w:r>
      <w:r>
        <w:rPr>
          <w:sz w:val="24"/>
        </w:rPr>
        <w:t>投标人代表对开标过程和开标记录有疑义，以及认为</w:t>
      </w:r>
      <w:r>
        <w:rPr>
          <w:rFonts w:hint="eastAsia"/>
          <w:sz w:val="24"/>
          <w:lang w:eastAsia="zh-CN"/>
        </w:rPr>
        <w:t>招标人</w:t>
      </w:r>
      <w:r>
        <w:rPr>
          <w:sz w:val="24"/>
        </w:rPr>
        <w:t>、</w:t>
      </w:r>
      <w:r>
        <w:rPr>
          <w:rFonts w:hint="eastAsia"/>
          <w:sz w:val="24"/>
          <w:lang w:eastAsia="zh-CN"/>
        </w:rPr>
        <w:t>招标代理机构</w:t>
      </w:r>
      <w:r>
        <w:rPr>
          <w:sz w:val="24"/>
        </w:rPr>
        <w:t>相关工作人员有需要回避的情形的，应当场提出询问或者回避申请。</w:t>
      </w:r>
      <w:r>
        <w:rPr>
          <w:rFonts w:hint="eastAsia"/>
          <w:sz w:val="24"/>
          <w:lang w:eastAsia="zh-CN"/>
        </w:rPr>
        <w:t>招标人</w:t>
      </w:r>
      <w:r>
        <w:rPr>
          <w:sz w:val="24"/>
        </w:rPr>
        <w:t>、</w:t>
      </w:r>
      <w:r>
        <w:rPr>
          <w:rFonts w:hint="eastAsia"/>
          <w:sz w:val="24"/>
          <w:lang w:eastAsia="zh-CN"/>
        </w:rPr>
        <w:t>招标代理机构</w:t>
      </w:r>
      <w:r>
        <w:rPr>
          <w:sz w:val="24"/>
        </w:rPr>
        <w:t>对投标人代表提出的询问或者回避申请将及时处理。</w:t>
      </w:r>
    </w:p>
    <w:p w14:paraId="6CE34EF2">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18.5</w:t>
      </w:r>
      <w:r>
        <w:rPr>
          <w:sz w:val="24"/>
        </w:rPr>
        <w:t>投标人不足3家的，不予开标。</w:t>
      </w:r>
    </w:p>
    <w:p w14:paraId="0A7EDCB6">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19</w:t>
      </w:r>
      <w:r>
        <w:rPr>
          <w:rFonts w:hint="eastAsia" w:cs="Times New Roman"/>
          <w:kern w:val="2"/>
          <w:sz w:val="24"/>
          <w:szCs w:val="24"/>
          <w:lang w:val="en-US" w:eastAsia="zh-CN" w:bidi="ar-SA"/>
        </w:rPr>
        <w:t>、</w:t>
      </w:r>
      <w:r>
        <w:rPr>
          <w:sz w:val="24"/>
        </w:rPr>
        <w:t>资格审查</w:t>
      </w:r>
    </w:p>
    <w:p w14:paraId="3659028C">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19.1</w:t>
      </w:r>
      <w:r>
        <w:rPr>
          <w:sz w:val="24"/>
        </w:rPr>
        <w:t>见第三章《资格审查》。</w:t>
      </w:r>
    </w:p>
    <w:bookmarkEnd w:id="565"/>
    <w:p w14:paraId="28343A3E">
      <w:pPr>
        <w:numPr>
          <w:ilvl w:val="0"/>
          <w:numId w:val="0"/>
        </w:numPr>
        <w:tabs>
          <w:tab w:val="left" w:pos="360"/>
        </w:tabs>
        <w:snapToGrid w:val="0"/>
        <w:spacing w:line="360" w:lineRule="auto"/>
        <w:ind w:left="357" w:leftChars="0" w:hanging="357" w:firstLineChars="0"/>
        <w:outlineLvl w:val="9"/>
        <w:rPr>
          <w:sz w:val="24"/>
        </w:rPr>
      </w:pPr>
      <w:bookmarkStart w:id="566" w:name="_Toc305158882"/>
      <w:bookmarkStart w:id="567" w:name="_Toc150509291"/>
      <w:bookmarkStart w:id="568" w:name="_Toc226309784"/>
      <w:bookmarkStart w:id="569" w:name="_Toc226337236"/>
      <w:bookmarkStart w:id="570" w:name="_Toc150774745"/>
      <w:bookmarkStart w:id="571" w:name="_Toc127151540"/>
      <w:bookmarkStart w:id="572" w:name="_Toc164608654"/>
      <w:bookmarkStart w:id="573" w:name="_Toc127151741"/>
      <w:bookmarkStart w:id="574" w:name="_Toc226965813"/>
      <w:bookmarkStart w:id="575" w:name="_Toc164229381"/>
      <w:bookmarkStart w:id="576" w:name="_Toc195842905"/>
      <w:bookmarkStart w:id="577" w:name="_Toc264969230"/>
      <w:bookmarkStart w:id="578" w:name="_Toc151190167"/>
      <w:bookmarkStart w:id="579" w:name="_Toc151193638"/>
      <w:bookmarkStart w:id="580" w:name="_Toc150774640"/>
      <w:bookmarkStart w:id="581" w:name="_Toc226965730"/>
      <w:bookmarkStart w:id="582" w:name="_Toc142311042"/>
      <w:bookmarkStart w:id="583" w:name="_Toc151193928"/>
      <w:bookmarkStart w:id="584" w:name="_Toc149720833"/>
      <w:bookmarkStart w:id="585" w:name="_Toc127161454"/>
      <w:bookmarkStart w:id="586" w:name="_Toc150480778"/>
      <w:bookmarkStart w:id="587" w:name="_Toc305158808"/>
      <w:bookmarkStart w:id="588" w:name="_Toc151193710"/>
      <w:bookmarkStart w:id="589" w:name="_Toc164229235"/>
      <w:bookmarkStart w:id="590" w:name="_Toc151193854"/>
      <w:bookmarkStart w:id="591" w:name="_Toc164608809"/>
      <w:bookmarkStart w:id="592" w:name="_Toc151193782"/>
      <w:bookmarkStart w:id="593" w:name="_Toc164351634"/>
      <w:bookmarkStart w:id="594" w:name="_Toc265228378"/>
      <w:r>
        <w:rPr>
          <w:rFonts w:hint="eastAsia" w:ascii="Times New Roman" w:hAnsi="Times New Roman" w:eastAsia="宋体" w:cs="Times New Roman"/>
          <w:kern w:val="2"/>
          <w:sz w:val="24"/>
          <w:szCs w:val="24"/>
          <w:lang w:val="en-US" w:eastAsia="zh-CN" w:bidi="ar-SA"/>
        </w:rPr>
        <w:t>20</w:t>
      </w:r>
      <w:r>
        <w:rPr>
          <w:rFonts w:hint="eastAsia" w:cs="Times New Roman"/>
          <w:kern w:val="2"/>
          <w:sz w:val="24"/>
          <w:szCs w:val="24"/>
          <w:lang w:val="en-US" w:eastAsia="zh-CN" w:bidi="ar-SA"/>
        </w:rPr>
        <w:t>、</w:t>
      </w:r>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AD641DB">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20.1</w:t>
      </w:r>
      <w:r>
        <w:rPr>
          <w:sz w:val="24"/>
        </w:rPr>
        <w:t>评标委员会根据政府采购有关规定和本次招标采购项目的特点进行组建，并负责具体评标事务，独立履行职责。</w:t>
      </w:r>
      <w:bookmarkStart w:id="595" w:name="_Toc520356166"/>
    </w:p>
    <w:p w14:paraId="2ED01CBF">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20.2</w:t>
      </w:r>
      <w:r>
        <w:rPr>
          <w:sz w:val="24"/>
        </w:rPr>
        <w:t>评审专家须符合《财政部关于在政府采购活动中查询及使用信用记录有关问题的通知》（财库〔2016〕125号）的规定。依法自行选定评审专家的，</w:t>
      </w:r>
      <w:r>
        <w:rPr>
          <w:rFonts w:hint="eastAsia"/>
          <w:sz w:val="24"/>
          <w:lang w:eastAsia="zh-CN"/>
        </w:rPr>
        <w:t>招标人</w:t>
      </w:r>
      <w:r>
        <w:rPr>
          <w:sz w:val="24"/>
        </w:rPr>
        <w:t>和</w:t>
      </w:r>
      <w:r>
        <w:rPr>
          <w:rFonts w:hint="eastAsia"/>
          <w:sz w:val="24"/>
          <w:lang w:eastAsia="zh-CN"/>
        </w:rPr>
        <w:t>招标代理机构</w:t>
      </w:r>
      <w:r>
        <w:rPr>
          <w:sz w:val="24"/>
        </w:rPr>
        <w:t>将查询有关信用记录，对具有行贿、受贿、欺诈等不良信用记录的人员，拒绝其参与政府采购活动。</w:t>
      </w:r>
      <w:bookmarkEnd w:id="595"/>
      <w:bookmarkStart w:id="596" w:name="_Toc520356169"/>
    </w:p>
    <w:p w14:paraId="7D08AEF4">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21</w:t>
      </w:r>
      <w:r>
        <w:rPr>
          <w:rFonts w:hint="eastAsia" w:cs="Times New Roman"/>
          <w:kern w:val="2"/>
          <w:sz w:val="24"/>
          <w:szCs w:val="24"/>
          <w:lang w:val="en-US" w:eastAsia="zh-CN" w:bidi="ar-SA"/>
        </w:rPr>
        <w:t>、</w:t>
      </w:r>
      <w:r>
        <w:rPr>
          <w:sz w:val="24"/>
        </w:rPr>
        <w:t>评标程序、评标方法和评标标准</w:t>
      </w:r>
    </w:p>
    <w:p w14:paraId="70C74E73">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21.1</w:t>
      </w:r>
      <w:r>
        <w:rPr>
          <w:sz w:val="24"/>
        </w:rPr>
        <w:t>见第四章《评标程序、评标方法和评标标准》。</w:t>
      </w:r>
    </w:p>
    <w:p w14:paraId="510183E8">
      <w:pPr>
        <w:tabs>
          <w:tab w:val="left" w:pos="360"/>
          <w:tab w:val="left" w:pos="1080"/>
        </w:tabs>
        <w:snapToGrid w:val="0"/>
        <w:spacing w:line="360" w:lineRule="auto"/>
        <w:ind w:left="1080"/>
        <w:rPr>
          <w:sz w:val="24"/>
        </w:rPr>
      </w:pPr>
    </w:p>
    <w:p w14:paraId="32832379">
      <w:pPr>
        <w:pStyle w:val="4"/>
        <w:spacing w:before="0" w:line="360" w:lineRule="auto"/>
        <w:rPr>
          <w:rFonts w:ascii="Times New Roman" w:hAnsi="Times New Roman" w:eastAsia="宋体"/>
          <w:sz w:val="28"/>
        </w:rPr>
      </w:pPr>
      <w:bookmarkStart w:id="597" w:name="_Toc151193933"/>
      <w:bookmarkStart w:id="598" w:name="_Toc127151545"/>
      <w:bookmarkStart w:id="599" w:name="_Toc151193787"/>
      <w:bookmarkStart w:id="600" w:name="_Toc264969235"/>
      <w:bookmarkStart w:id="601" w:name="_Toc150774750"/>
      <w:bookmarkStart w:id="602" w:name="_Toc305158813"/>
      <w:bookmarkStart w:id="603" w:name="_Toc226965818"/>
      <w:bookmarkStart w:id="604" w:name="_Toc142311047"/>
      <w:bookmarkStart w:id="605" w:name="_Toc226309789"/>
      <w:bookmarkStart w:id="606" w:name="_Toc150480783"/>
      <w:bookmarkStart w:id="607" w:name="_Toc151190172"/>
      <w:bookmarkStart w:id="608" w:name="_Toc151193715"/>
      <w:bookmarkStart w:id="609" w:name="_Toc195842910"/>
      <w:bookmarkStart w:id="610" w:name="_Toc150509296"/>
      <w:bookmarkStart w:id="611" w:name="_Toc150774645"/>
      <w:bookmarkStart w:id="612" w:name="_Toc151193643"/>
      <w:bookmarkStart w:id="613" w:name="_Toc226965735"/>
      <w:bookmarkStart w:id="614" w:name="_Toc151193859"/>
      <w:bookmarkStart w:id="615" w:name="_Toc305158887"/>
      <w:bookmarkStart w:id="616" w:name="_Toc226337241"/>
      <w:bookmarkStart w:id="617" w:name="_Toc265228383"/>
      <w:r>
        <w:rPr>
          <w:rFonts w:ascii="Times New Roman" w:hAnsi="Times New Roman" w:eastAsia="宋体"/>
          <w:sz w:val="28"/>
        </w:rPr>
        <w:t xml:space="preserve">六   </w:t>
      </w:r>
      <w:bookmarkEnd w:id="596"/>
      <w:r>
        <w:rPr>
          <w:rFonts w:ascii="Times New Roman" w:hAnsi="Times New Roman" w:eastAsia="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50480785"/>
      <w:bookmarkStart w:id="619" w:name="_Toc127161461"/>
      <w:bookmarkStart w:id="620" w:name="_Toc164229242"/>
      <w:bookmarkStart w:id="621" w:name="_Toc127151547"/>
      <w:bookmarkStart w:id="622" w:name="_Toc226309791"/>
      <w:bookmarkStart w:id="623" w:name="_Toc164608661"/>
      <w:bookmarkStart w:id="624" w:name="_Toc195842912"/>
      <w:bookmarkStart w:id="625" w:name="_Toc226965737"/>
      <w:bookmarkStart w:id="626" w:name="_Toc150774752"/>
      <w:bookmarkStart w:id="627" w:name="_Toc164229388"/>
      <w:bookmarkStart w:id="628" w:name="_Toc305158815"/>
      <w:bookmarkStart w:id="629" w:name="_Toc149720840"/>
      <w:bookmarkStart w:id="630" w:name="_Toc226965820"/>
      <w:bookmarkStart w:id="631" w:name="_Toc150509298"/>
      <w:bookmarkStart w:id="632" w:name="_Toc264969237"/>
      <w:bookmarkStart w:id="633" w:name="_Toc150774647"/>
      <w:bookmarkStart w:id="634" w:name="_Toc151190174"/>
      <w:bookmarkStart w:id="635" w:name="_Toc226337243"/>
      <w:bookmarkStart w:id="636" w:name="_Toc305158889"/>
      <w:bookmarkStart w:id="637" w:name="_Toc151193861"/>
      <w:bookmarkStart w:id="638" w:name="_Toc151193717"/>
      <w:bookmarkStart w:id="639" w:name="_Toc151193645"/>
      <w:bookmarkStart w:id="640" w:name="_Toc151193935"/>
      <w:bookmarkStart w:id="641" w:name="_Toc164608816"/>
      <w:bookmarkStart w:id="642" w:name="_Toc142311049"/>
      <w:bookmarkStart w:id="643" w:name="_Toc164351641"/>
      <w:bookmarkStart w:id="644" w:name="_Toc265228385"/>
      <w:bookmarkStart w:id="645" w:name="_Toc151193789"/>
      <w:bookmarkStart w:id="646" w:name="_Toc127151748"/>
    </w:p>
    <w:p w14:paraId="666B279F">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22</w:t>
      </w:r>
      <w:r>
        <w:rPr>
          <w:rFonts w:hint="eastAsia" w:cs="Times New Roman"/>
          <w:kern w:val="2"/>
          <w:sz w:val="24"/>
          <w:szCs w:val="24"/>
          <w:lang w:val="en-US" w:eastAsia="zh-CN" w:bidi="ar-SA"/>
        </w:rPr>
        <w:t>、</w:t>
      </w: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476D5F4C">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22.1</w:t>
      </w:r>
      <w:r>
        <w:rPr>
          <w:rFonts w:hint="eastAsia"/>
          <w:sz w:val="24"/>
          <w:lang w:eastAsia="zh-CN"/>
        </w:rPr>
        <w:t>招标人</w:t>
      </w:r>
      <w:r>
        <w:rPr>
          <w:sz w:val="24"/>
        </w:rPr>
        <w:t>将在评标报告确定的中标候选人名单中按顺序确定中标人，中标候选人并列的，由</w:t>
      </w:r>
      <w:r>
        <w:rPr>
          <w:rFonts w:hint="eastAsia"/>
          <w:sz w:val="24"/>
          <w:lang w:eastAsia="zh-CN"/>
        </w:rPr>
        <w:t>招标人</w:t>
      </w:r>
      <w:r>
        <w:rPr>
          <w:sz w:val="24"/>
        </w:rPr>
        <w:t>或者</w:t>
      </w:r>
      <w:r>
        <w:rPr>
          <w:rFonts w:hint="eastAsia"/>
          <w:sz w:val="24"/>
          <w:lang w:eastAsia="zh-CN"/>
        </w:rPr>
        <w:t>招标人</w:t>
      </w:r>
      <w:r>
        <w:rPr>
          <w:sz w:val="24"/>
        </w:rPr>
        <w:t>委托评标委员会按照招标文件规定的方式确定中标人；招标文件未规定的，采取随机抽取的方式确定</w:t>
      </w:r>
      <w:r>
        <w:rPr>
          <w:rFonts w:hint="eastAsia"/>
          <w:sz w:val="24"/>
        </w:rPr>
        <w:t>。</w:t>
      </w:r>
      <w:r>
        <w:rPr>
          <w:rFonts w:hint="eastAsia"/>
          <w:sz w:val="24"/>
          <w:lang w:eastAsia="zh-CN"/>
        </w:rPr>
        <w:t>招标人</w:t>
      </w:r>
      <w:r>
        <w:rPr>
          <w:rFonts w:eastAsia="宋体"/>
          <w:sz w:val="24"/>
        </w:rPr>
        <w:t>是否</w:t>
      </w:r>
      <w:r>
        <w:rPr>
          <w:sz w:val="24"/>
        </w:rPr>
        <w:t>委托评标委员会</w:t>
      </w:r>
      <w:r>
        <w:rPr>
          <w:rFonts w:eastAsia="宋体"/>
          <w:sz w:val="24"/>
        </w:rPr>
        <w:t>直接确定</w:t>
      </w:r>
      <w:r>
        <w:rPr>
          <w:rFonts w:hint="eastAsia" w:eastAsia="宋体"/>
          <w:sz w:val="24"/>
        </w:rPr>
        <w:t>中标人</w:t>
      </w:r>
      <w:r>
        <w:rPr>
          <w:rFonts w:eastAsia="宋体"/>
          <w:sz w:val="24"/>
        </w:rPr>
        <w:t>，见《</w:t>
      </w:r>
      <w:r>
        <w:rPr>
          <w:rFonts w:hint="eastAsia" w:eastAsia="宋体"/>
          <w:sz w:val="24"/>
        </w:rPr>
        <w:t>投标人</w:t>
      </w:r>
      <w:r>
        <w:rPr>
          <w:rFonts w:eastAsia="宋体"/>
          <w:sz w:val="24"/>
        </w:rPr>
        <w:t>须知资料表》。</w:t>
      </w:r>
      <w:r>
        <w:rPr>
          <w:rFonts w:hint="eastAsia" w:eastAsia="宋体"/>
          <w:sz w:val="24"/>
        </w:rPr>
        <w:t>中标</w:t>
      </w:r>
      <w:r>
        <w:rPr>
          <w:rFonts w:eastAsia="宋体"/>
          <w:sz w:val="24"/>
        </w:rPr>
        <w:t>候选人并列的，按照《</w:t>
      </w:r>
      <w:r>
        <w:rPr>
          <w:rFonts w:hint="eastAsia" w:eastAsia="宋体"/>
          <w:sz w:val="24"/>
        </w:rPr>
        <w:t>投标人</w:t>
      </w:r>
      <w:r>
        <w:rPr>
          <w:rFonts w:eastAsia="宋体"/>
          <w:sz w:val="24"/>
        </w:rPr>
        <w:t>须知资料表》要求确定成交</w:t>
      </w:r>
      <w:r>
        <w:rPr>
          <w:rFonts w:hint="eastAsia"/>
          <w:sz w:val="24"/>
          <w:lang w:eastAsia="zh-CN"/>
        </w:rPr>
        <w:t>投标人</w:t>
      </w:r>
      <w:r>
        <w:rPr>
          <w:rFonts w:eastAsia="宋体"/>
          <w:sz w:val="24"/>
        </w:rPr>
        <w:t>。</w:t>
      </w:r>
    </w:p>
    <w:p w14:paraId="0848FF22">
      <w:pPr>
        <w:numPr>
          <w:ilvl w:val="0"/>
          <w:numId w:val="0"/>
        </w:numPr>
        <w:tabs>
          <w:tab w:val="left" w:pos="360"/>
        </w:tabs>
        <w:snapToGrid w:val="0"/>
        <w:spacing w:line="360" w:lineRule="auto"/>
        <w:ind w:left="357" w:leftChars="0" w:hanging="357" w:firstLineChars="0"/>
        <w:outlineLvl w:val="9"/>
        <w:rPr>
          <w:color w:val="auto"/>
          <w:sz w:val="24"/>
        </w:rPr>
      </w:pPr>
      <w:bookmarkStart w:id="647" w:name="_Toc305158891"/>
      <w:bookmarkStart w:id="648" w:name="_Toc305158817"/>
      <w:bookmarkStart w:id="649" w:name="_Toc265228387"/>
      <w:bookmarkStart w:id="650" w:name="_Toc226309793"/>
      <w:bookmarkStart w:id="651" w:name="_Toc150774754"/>
      <w:bookmarkStart w:id="652" w:name="_Toc151193791"/>
      <w:bookmarkStart w:id="653" w:name="_Toc226337245"/>
      <w:bookmarkStart w:id="654" w:name="_Toc164608663"/>
      <w:bookmarkStart w:id="655" w:name="_Toc127161463"/>
      <w:bookmarkStart w:id="656" w:name="_Toc151193863"/>
      <w:bookmarkStart w:id="657" w:name="_Toc151193647"/>
      <w:bookmarkStart w:id="658" w:name="_Toc164229244"/>
      <w:bookmarkStart w:id="659" w:name="_Toc164608818"/>
      <w:bookmarkStart w:id="660" w:name="_Toc150774649"/>
      <w:bookmarkStart w:id="661" w:name="_Toc127151549"/>
      <w:bookmarkStart w:id="662" w:name="_Toc164229390"/>
      <w:bookmarkStart w:id="663" w:name="_Toc150480787"/>
      <w:bookmarkStart w:id="664" w:name="_Toc226965739"/>
      <w:bookmarkStart w:id="665" w:name="_Toc149720842"/>
      <w:bookmarkStart w:id="666" w:name="_Toc195842914"/>
      <w:bookmarkStart w:id="667" w:name="_Toc264969239"/>
      <w:bookmarkStart w:id="668" w:name="_Toc151190176"/>
      <w:bookmarkStart w:id="669" w:name="_Toc127151750"/>
      <w:bookmarkStart w:id="670" w:name="_Toc151193937"/>
      <w:bookmarkStart w:id="671" w:name="_Toc164351643"/>
      <w:bookmarkStart w:id="672" w:name="_Toc151193719"/>
      <w:bookmarkStart w:id="673" w:name="_Toc226965822"/>
      <w:bookmarkStart w:id="674" w:name="_Toc150509300"/>
      <w:bookmarkStart w:id="675" w:name="_Toc142311051"/>
      <w:bookmarkStart w:id="676" w:name="_Ref467307090"/>
      <w:bookmarkStart w:id="677" w:name="_Ref467306425"/>
      <w:bookmarkStart w:id="678" w:name="_Toc520356176"/>
      <w:r>
        <w:rPr>
          <w:rFonts w:hint="eastAsia" w:ascii="Times New Roman" w:hAnsi="Times New Roman" w:eastAsia="宋体" w:cs="Times New Roman"/>
          <w:color w:val="auto"/>
          <w:kern w:val="2"/>
          <w:sz w:val="24"/>
          <w:szCs w:val="24"/>
          <w:lang w:val="en-US" w:eastAsia="zh-CN" w:bidi="ar-SA"/>
        </w:rPr>
        <w:t>23</w:t>
      </w:r>
      <w:r>
        <w:rPr>
          <w:rFonts w:hint="eastAsia" w:cs="Times New Roman"/>
          <w:color w:val="auto"/>
          <w:kern w:val="2"/>
          <w:sz w:val="24"/>
          <w:szCs w:val="24"/>
          <w:lang w:val="en-US" w:eastAsia="zh-CN" w:bidi="ar-SA"/>
        </w:rPr>
        <w:t>、</w:t>
      </w:r>
      <w:r>
        <w:rPr>
          <w:color w:val="auto"/>
          <w:sz w:val="24"/>
        </w:rPr>
        <w:t>中标公告与中标通知书</w:t>
      </w:r>
      <w:bookmarkEnd w:id="647"/>
      <w:bookmarkEnd w:id="648"/>
    </w:p>
    <w:p w14:paraId="5B5026E2">
      <w:pPr>
        <w:numPr>
          <w:ilvl w:val="1"/>
          <w:numId w:val="0"/>
        </w:numPr>
        <w:tabs>
          <w:tab w:val="left" w:pos="1080"/>
          <w:tab w:val="left" w:pos="2014"/>
        </w:tabs>
        <w:snapToGrid w:val="0"/>
        <w:spacing w:line="360" w:lineRule="auto"/>
        <w:ind w:left="1077" w:leftChars="0" w:hanging="720" w:firstLineChars="0"/>
        <w:rPr>
          <w:color w:val="auto"/>
          <w:sz w:val="24"/>
        </w:rPr>
      </w:pPr>
      <w:r>
        <w:rPr>
          <w:rFonts w:hint="default" w:ascii="Times New Roman" w:hAnsi="Times New Roman" w:eastAsia="宋体" w:cs="Times New Roman"/>
          <w:color w:val="auto"/>
          <w:kern w:val="2"/>
          <w:sz w:val="24"/>
          <w:szCs w:val="24"/>
          <w:lang w:val="en-US" w:eastAsia="zh-CN" w:bidi="ar-SA"/>
        </w:rPr>
        <w:t>23.1</w:t>
      </w:r>
      <w:r>
        <w:rPr>
          <w:rFonts w:hint="eastAsia"/>
          <w:color w:val="auto"/>
          <w:sz w:val="24"/>
          <w:lang w:eastAsia="zh-CN"/>
        </w:rPr>
        <w:t>招标人</w:t>
      </w:r>
      <w:r>
        <w:rPr>
          <w:color w:val="auto"/>
          <w:sz w:val="24"/>
        </w:rPr>
        <w:t>或</w:t>
      </w:r>
      <w:r>
        <w:rPr>
          <w:rFonts w:hint="eastAsia"/>
          <w:color w:val="auto"/>
          <w:sz w:val="24"/>
          <w:lang w:eastAsia="zh-CN"/>
        </w:rPr>
        <w:t>招标代理机构</w:t>
      </w:r>
      <w:r>
        <w:rPr>
          <w:color w:val="auto"/>
          <w:sz w:val="24"/>
        </w:rPr>
        <w:t>自中标人确定之日起</w:t>
      </w:r>
      <w:r>
        <w:rPr>
          <w:rFonts w:hint="eastAsia"/>
          <w:color w:val="auto"/>
          <w:sz w:val="24"/>
          <w:lang w:val="en-US" w:eastAsia="zh-CN"/>
        </w:rPr>
        <w:t>3</w:t>
      </w:r>
      <w:r>
        <w:rPr>
          <w:color w:val="auto"/>
          <w:sz w:val="24"/>
        </w:rPr>
        <w:t>个工作日内，</w:t>
      </w:r>
      <w:r>
        <w:rPr>
          <w:color w:val="auto"/>
          <w:kern w:val="0"/>
          <w:sz w:val="24"/>
        </w:rPr>
        <w:t>在</w:t>
      </w:r>
      <w:r>
        <w:rPr>
          <w:rFonts w:hint="eastAsia" w:ascii="宋体" w:hAnsi="宋体" w:cs="宋体"/>
          <w:color w:val="auto"/>
          <w:kern w:val="0"/>
          <w:sz w:val="24"/>
        </w:rPr>
        <w:t>新疆政府采购网、阿克苏地区行政公署网</w:t>
      </w:r>
      <w:r>
        <w:rPr>
          <w:rFonts w:hint="eastAsia" w:ascii="宋体" w:hAnsi="宋体" w:cs="宋体"/>
          <w:color w:val="auto"/>
          <w:kern w:val="0"/>
          <w:sz w:val="24"/>
          <w:lang w:eastAsia="zh-CN"/>
        </w:rPr>
        <w:t>、柯坪县人民政府网</w:t>
      </w:r>
      <w:r>
        <w:rPr>
          <w:color w:val="auto"/>
          <w:kern w:val="0"/>
          <w:sz w:val="24"/>
        </w:rPr>
        <w:t>公告中标结果</w:t>
      </w:r>
      <w:r>
        <w:rPr>
          <w:color w:val="auto"/>
          <w:sz w:val="24"/>
        </w:rPr>
        <w:t>，</w:t>
      </w:r>
      <w:r>
        <w:rPr>
          <w:rFonts w:hint="eastAsia"/>
          <w:color w:val="auto"/>
          <w:sz w:val="24"/>
        </w:rPr>
        <w:t>同时向中标人发出中标通知书，</w:t>
      </w:r>
      <w:r>
        <w:rPr>
          <w:color w:val="auto"/>
          <w:sz w:val="24"/>
        </w:rPr>
        <w:t>中标公告期限为</w:t>
      </w:r>
      <w:r>
        <w:rPr>
          <w:rFonts w:hint="eastAsia"/>
          <w:color w:val="auto"/>
          <w:sz w:val="24"/>
          <w:lang w:val="en-US" w:eastAsia="zh-CN"/>
        </w:rPr>
        <w:t>3</w:t>
      </w:r>
      <w:r>
        <w:rPr>
          <w:color w:val="auto"/>
          <w:sz w:val="24"/>
        </w:rPr>
        <w:t>个工作日。</w:t>
      </w:r>
    </w:p>
    <w:p w14:paraId="672209DC">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23.2</w:t>
      </w:r>
      <w:r>
        <w:rPr>
          <w:spacing w:val="-6"/>
          <w:sz w:val="24"/>
        </w:rPr>
        <w:t>中标通知书对</w:t>
      </w:r>
      <w:r>
        <w:rPr>
          <w:rFonts w:hint="eastAsia"/>
          <w:spacing w:val="-6"/>
          <w:sz w:val="24"/>
          <w:lang w:eastAsia="zh-CN"/>
        </w:rPr>
        <w:t>招标人</w:t>
      </w:r>
      <w:r>
        <w:rPr>
          <w:spacing w:val="-6"/>
          <w:sz w:val="24"/>
        </w:rPr>
        <w:t>和中标</w:t>
      </w:r>
      <w:r>
        <w:rPr>
          <w:rFonts w:hint="eastAsia"/>
          <w:spacing w:val="-6"/>
          <w:sz w:val="24"/>
          <w:lang w:eastAsia="zh-CN"/>
        </w:rPr>
        <w:t>投标人</w:t>
      </w:r>
      <w:r>
        <w:rPr>
          <w:spacing w:val="-6"/>
          <w:sz w:val="24"/>
        </w:rPr>
        <w:t>均具有法律效力。中标通知书发出后，</w:t>
      </w:r>
      <w:r>
        <w:rPr>
          <w:rFonts w:hint="eastAsia"/>
          <w:spacing w:val="-6"/>
          <w:sz w:val="24"/>
          <w:lang w:eastAsia="zh-CN"/>
        </w:rPr>
        <w:t>招标人</w:t>
      </w:r>
      <w:r>
        <w:rPr>
          <w:spacing w:val="-6"/>
          <w:sz w:val="24"/>
        </w:rPr>
        <w:t>改变中标结果的，或者中标</w:t>
      </w:r>
      <w:r>
        <w:rPr>
          <w:rFonts w:hint="eastAsia"/>
          <w:spacing w:val="-6"/>
          <w:sz w:val="24"/>
          <w:lang w:eastAsia="zh-CN"/>
        </w:rPr>
        <w:t>投标人</w:t>
      </w:r>
      <w:r>
        <w:rPr>
          <w:spacing w:val="-6"/>
          <w:sz w:val="24"/>
        </w:rPr>
        <w:t>放弃中标项目的，应当依法承担法律责任。</w:t>
      </w:r>
    </w:p>
    <w:p w14:paraId="009B62A1">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24</w:t>
      </w:r>
      <w:r>
        <w:rPr>
          <w:rFonts w:hint="eastAsia" w:cs="Times New Roman"/>
          <w:kern w:val="2"/>
          <w:sz w:val="24"/>
          <w:szCs w:val="24"/>
          <w:lang w:val="en-US" w:eastAsia="zh-CN" w:bidi="ar-SA"/>
        </w:rPr>
        <w:t>、</w:t>
      </w:r>
      <w:r>
        <w:rPr>
          <w:sz w:val="24"/>
        </w:rPr>
        <w:t>废标</w:t>
      </w:r>
    </w:p>
    <w:p w14:paraId="55169579">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24.1</w:t>
      </w:r>
      <w:r>
        <w:rPr>
          <w:sz w:val="24"/>
        </w:rPr>
        <w:t>在招标采购中，出现下列情形之一的，应予废标：</w:t>
      </w:r>
    </w:p>
    <w:p w14:paraId="52AAD557">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24.1.1</w:t>
      </w:r>
      <w:r>
        <w:rPr>
          <w:spacing w:val="-6"/>
          <w:sz w:val="24"/>
        </w:rPr>
        <w:t>符合专业条件的</w:t>
      </w:r>
      <w:r>
        <w:rPr>
          <w:rFonts w:hint="eastAsia"/>
          <w:spacing w:val="-6"/>
          <w:sz w:val="24"/>
          <w:lang w:eastAsia="zh-CN"/>
        </w:rPr>
        <w:t>投标人</w:t>
      </w:r>
      <w:r>
        <w:rPr>
          <w:spacing w:val="-6"/>
          <w:sz w:val="24"/>
        </w:rPr>
        <w:t>或者对招标文件作实质响应的</w:t>
      </w:r>
      <w:r>
        <w:rPr>
          <w:rFonts w:hint="eastAsia"/>
          <w:spacing w:val="-6"/>
          <w:sz w:val="24"/>
          <w:lang w:eastAsia="zh-CN"/>
        </w:rPr>
        <w:t>投标人</w:t>
      </w:r>
      <w:r>
        <w:rPr>
          <w:spacing w:val="-6"/>
          <w:sz w:val="24"/>
        </w:rPr>
        <w:t>不足三家的；</w:t>
      </w:r>
    </w:p>
    <w:p w14:paraId="6931B257">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24.1.2</w:t>
      </w:r>
      <w:r>
        <w:rPr>
          <w:sz w:val="24"/>
        </w:rPr>
        <w:t>出现影响采购公正的违法、违规行为的；</w:t>
      </w:r>
    </w:p>
    <w:p w14:paraId="044C44F8">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24.1.3</w:t>
      </w:r>
      <w:r>
        <w:rPr>
          <w:sz w:val="24"/>
        </w:rPr>
        <w:t>投标人的报价均超过了采购预算，</w:t>
      </w:r>
      <w:r>
        <w:rPr>
          <w:rFonts w:hint="eastAsia"/>
          <w:sz w:val="24"/>
          <w:lang w:eastAsia="zh-CN"/>
        </w:rPr>
        <w:t>招标人</w:t>
      </w:r>
      <w:r>
        <w:rPr>
          <w:sz w:val="24"/>
        </w:rPr>
        <w:t>不能支付的；</w:t>
      </w:r>
    </w:p>
    <w:p w14:paraId="3AEFC88D">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24.1.4</w:t>
      </w:r>
      <w:r>
        <w:rPr>
          <w:sz w:val="24"/>
        </w:rPr>
        <w:t>因重大变故，采购任务取消的。</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1EFBF6AE">
      <w:pPr>
        <w:numPr>
          <w:ilvl w:val="0"/>
          <w:numId w:val="0"/>
        </w:numPr>
        <w:tabs>
          <w:tab w:val="left" w:pos="360"/>
        </w:tabs>
        <w:snapToGrid w:val="0"/>
        <w:spacing w:line="360" w:lineRule="auto"/>
        <w:ind w:left="357" w:leftChars="0" w:hanging="357" w:firstLineChars="0"/>
        <w:outlineLvl w:val="9"/>
        <w:rPr>
          <w:sz w:val="24"/>
        </w:rPr>
      </w:pPr>
      <w:bookmarkStart w:id="679" w:name="_Toc264969240"/>
      <w:bookmarkStart w:id="680" w:name="_Toc305158818"/>
      <w:bookmarkStart w:id="681" w:name="_Toc150480788"/>
      <w:bookmarkStart w:id="682" w:name="_Toc150774650"/>
      <w:bookmarkStart w:id="683" w:name="_Toc164608819"/>
      <w:bookmarkStart w:id="684" w:name="_Toc151193648"/>
      <w:bookmarkStart w:id="685" w:name="_Toc142311052"/>
      <w:bookmarkStart w:id="686" w:name="_Toc151193792"/>
      <w:bookmarkStart w:id="687" w:name="_Toc164229245"/>
      <w:bookmarkStart w:id="688" w:name="_Ref467307062"/>
      <w:bookmarkStart w:id="689" w:name="_Toc151193720"/>
      <w:bookmarkStart w:id="690" w:name="_Toc150774755"/>
      <w:bookmarkStart w:id="691" w:name="_Toc151190177"/>
      <w:bookmarkStart w:id="692" w:name="_Toc151193938"/>
      <w:bookmarkStart w:id="693" w:name="_Toc226965740"/>
      <w:bookmarkStart w:id="694" w:name="_Toc226965823"/>
      <w:bookmarkStart w:id="695" w:name="_Ref467306978"/>
      <w:bookmarkStart w:id="696" w:name="_Ref467307204"/>
      <w:bookmarkStart w:id="697" w:name="_Ref467306377"/>
      <w:bookmarkStart w:id="698" w:name="_Toc265228388"/>
      <w:bookmarkStart w:id="699" w:name="_Toc151193864"/>
      <w:bookmarkStart w:id="700" w:name="_Toc127161464"/>
      <w:bookmarkStart w:id="701" w:name="_Toc164229391"/>
      <w:bookmarkStart w:id="702" w:name="_Toc127151550"/>
      <w:bookmarkStart w:id="703" w:name="_Toc305158892"/>
      <w:bookmarkStart w:id="704" w:name="_Toc150509301"/>
      <w:bookmarkStart w:id="705" w:name="_Toc149720843"/>
      <w:bookmarkStart w:id="706" w:name="_Toc195842915"/>
      <w:bookmarkStart w:id="707" w:name="_Toc226309794"/>
      <w:bookmarkStart w:id="708" w:name="_Toc127151751"/>
      <w:bookmarkStart w:id="709" w:name="_Toc164608664"/>
      <w:bookmarkStart w:id="710" w:name="_Toc164351644"/>
      <w:bookmarkStart w:id="711" w:name="_Toc520356175"/>
      <w:bookmarkStart w:id="712" w:name="_Toc226337246"/>
      <w:r>
        <w:rPr>
          <w:rFonts w:hint="eastAsia" w:ascii="Times New Roman" w:hAnsi="Times New Roman" w:eastAsia="宋体" w:cs="Times New Roman"/>
          <w:kern w:val="2"/>
          <w:sz w:val="24"/>
          <w:szCs w:val="24"/>
          <w:lang w:val="en-US" w:eastAsia="zh-CN" w:bidi="ar-SA"/>
        </w:rPr>
        <w:t>25</w:t>
      </w:r>
      <w:r>
        <w:rPr>
          <w:rFonts w:hint="eastAsia" w:cs="Times New Roman"/>
          <w:kern w:val="2"/>
          <w:sz w:val="24"/>
          <w:szCs w:val="24"/>
          <w:lang w:val="en-US" w:eastAsia="zh-CN" w:bidi="ar-SA"/>
        </w:rPr>
        <w:t>、</w:t>
      </w:r>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ACD0A7B">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25.1</w:t>
      </w:r>
      <w:r>
        <w:rPr>
          <w:sz w:val="24"/>
        </w:rPr>
        <w:t>中标人、</w:t>
      </w:r>
      <w:r>
        <w:rPr>
          <w:rFonts w:hint="eastAsia"/>
          <w:sz w:val="24"/>
          <w:lang w:eastAsia="zh-CN"/>
        </w:rPr>
        <w:t>招标人</w:t>
      </w:r>
      <w:r>
        <w:rPr>
          <w:sz w:val="24"/>
        </w:rPr>
        <w:t>应当自中标通知书发出之日起30日内，按照招标文件和中标人投标文件的规定签订书面合同。所签订的合同不得对招标文件确定的事项和中标人投标文件作实质性修改。</w:t>
      </w:r>
    </w:p>
    <w:p w14:paraId="0233A2AC">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25.2</w:t>
      </w:r>
      <w:r>
        <w:rPr>
          <w:sz w:val="24"/>
        </w:rPr>
        <w:t>中标人</w:t>
      </w:r>
      <w:r>
        <w:rPr>
          <w:rFonts w:hint="eastAsia"/>
          <w:sz w:val="24"/>
        </w:rPr>
        <w:t>拒绝</w:t>
      </w:r>
      <w:r>
        <w:rPr>
          <w:sz w:val="24"/>
        </w:rPr>
        <w:t>与</w:t>
      </w:r>
      <w:r>
        <w:rPr>
          <w:rFonts w:hint="eastAsia"/>
          <w:sz w:val="24"/>
          <w:lang w:eastAsia="zh-CN"/>
        </w:rPr>
        <w:t>招标人</w:t>
      </w:r>
      <w:r>
        <w:rPr>
          <w:sz w:val="24"/>
        </w:rPr>
        <w:t>签订合同的，</w:t>
      </w:r>
      <w:r>
        <w:rPr>
          <w:rFonts w:hint="eastAsia"/>
          <w:sz w:val="24"/>
          <w:lang w:eastAsia="zh-CN"/>
        </w:rPr>
        <w:t>招标人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20DCF7EC">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25.3</w:t>
      </w:r>
      <w:r>
        <w:rPr>
          <w:sz w:val="24"/>
        </w:rPr>
        <w:t>联合体中标的，联合体各方应当共同与</w:t>
      </w:r>
      <w:r>
        <w:rPr>
          <w:rFonts w:hint="eastAsia"/>
          <w:sz w:val="24"/>
          <w:lang w:eastAsia="zh-CN"/>
        </w:rPr>
        <w:t>招标人</w:t>
      </w:r>
      <w:r>
        <w:rPr>
          <w:sz w:val="24"/>
        </w:rPr>
        <w:t>签订合同，就中标项目向</w:t>
      </w:r>
      <w:r>
        <w:rPr>
          <w:rFonts w:hint="eastAsia"/>
          <w:sz w:val="24"/>
          <w:lang w:eastAsia="zh-CN"/>
        </w:rPr>
        <w:t>招标人</w:t>
      </w:r>
      <w:r>
        <w:rPr>
          <w:sz w:val="24"/>
        </w:rPr>
        <w:t>承担连带责任。</w:t>
      </w:r>
    </w:p>
    <w:p w14:paraId="6923D334">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25.4</w:t>
      </w:r>
      <w:r>
        <w:rPr>
          <w:sz w:val="24"/>
        </w:rPr>
        <w:t>政府采购合同不能转包。</w:t>
      </w:r>
    </w:p>
    <w:p w14:paraId="1D59DBA9">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25.5</w:t>
      </w:r>
      <w:r>
        <w:rPr>
          <w:rFonts w:hint="eastAsia"/>
          <w:sz w:val="24"/>
          <w:lang w:eastAsia="zh-CN"/>
        </w:rPr>
        <w:t>招标人</w:t>
      </w:r>
      <w:r>
        <w:rPr>
          <w:sz w:val="24"/>
        </w:rPr>
        <w:t>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w:t>
      </w:r>
      <w:r>
        <w:rPr>
          <w:b w:val="0"/>
          <w:bCs w:val="0"/>
          <w:sz w:val="24"/>
        </w:rPr>
        <w:t>包，否则投标无效。</w:t>
      </w:r>
      <w:r>
        <w:rPr>
          <w:sz w:val="24"/>
        </w:rPr>
        <w:t>中标人就采购项目和分包项目向</w:t>
      </w:r>
      <w:r>
        <w:rPr>
          <w:rFonts w:hint="eastAsia"/>
          <w:sz w:val="24"/>
          <w:lang w:eastAsia="zh-CN"/>
        </w:rPr>
        <w:t>招标人</w:t>
      </w:r>
      <w:r>
        <w:rPr>
          <w:sz w:val="24"/>
        </w:rPr>
        <w:t>负责，分包</w:t>
      </w:r>
      <w:r>
        <w:rPr>
          <w:rFonts w:hint="eastAsia"/>
          <w:sz w:val="24"/>
          <w:lang w:eastAsia="zh-CN"/>
        </w:rPr>
        <w:t>投标人</w:t>
      </w:r>
      <w:r>
        <w:rPr>
          <w:sz w:val="24"/>
        </w:rPr>
        <w:t>就分包项目承担责任。</w:t>
      </w:r>
    </w:p>
    <w:bookmarkEnd w:id="676"/>
    <w:bookmarkEnd w:id="677"/>
    <w:bookmarkEnd w:id="678"/>
    <w:p w14:paraId="51B404B3">
      <w:pPr>
        <w:numPr>
          <w:ilvl w:val="0"/>
          <w:numId w:val="0"/>
        </w:numPr>
        <w:tabs>
          <w:tab w:val="left" w:pos="360"/>
        </w:tabs>
        <w:snapToGrid w:val="0"/>
        <w:spacing w:line="360" w:lineRule="auto"/>
        <w:ind w:left="357" w:leftChars="0" w:hanging="357" w:firstLineChars="0"/>
        <w:outlineLvl w:val="9"/>
        <w:rPr>
          <w:sz w:val="24"/>
        </w:rPr>
      </w:pPr>
      <w:r>
        <w:rPr>
          <w:rFonts w:hint="eastAsia" w:ascii="Times New Roman" w:hAnsi="Times New Roman" w:eastAsia="宋体" w:cs="Times New Roman"/>
          <w:kern w:val="2"/>
          <w:sz w:val="24"/>
          <w:szCs w:val="24"/>
          <w:lang w:val="en-US" w:eastAsia="zh-CN" w:bidi="ar-SA"/>
        </w:rPr>
        <w:t>26</w:t>
      </w:r>
      <w:r>
        <w:rPr>
          <w:rFonts w:hint="eastAsia" w:cs="Times New Roman"/>
          <w:kern w:val="2"/>
          <w:sz w:val="24"/>
          <w:szCs w:val="24"/>
          <w:lang w:val="en-US" w:eastAsia="zh-CN" w:bidi="ar-SA"/>
        </w:rPr>
        <w:t>、</w:t>
      </w:r>
      <w:r>
        <w:rPr>
          <w:sz w:val="24"/>
        </w:rPr>
        <w:t>询问与质疑</w:t>
      </w:r>
    </w:p>
    <w:p w14:paraId="23E083C9">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26.1</w:t>
      </w:r>
      <w:r>
        <w:rPr>
          <w:sz w:val="24"/>
        </w:rPr>
        <w:t>询问</w:t>
      </w:r>
    </w:p>
    <w:p w14:paraId="6228D418">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26.1.1</w:t>
      </w:r>
      <w:r>
        <w:rPr>
          <w:sz w:val="24"/>
        </w:rPr>
        <w:t>投标人对政府采购活动事项有疑问的，可依法提出询问，并按《投标人须知资料表》载明的形式送达</w:t>
      </w:r>
      <w:r>
        <w:rPr>
          <w:rFonts w:hint="eastAsia"/>
          <w:sz w:val="24"/>
          <w:lang w:eastAsia="zh-CN"/>
        </w:rPr>
        <w:t>招标人</w:t>
      </w:r>
      <w:r>
        <w:rPr>
          <w:sz w:val="24"/>
        </w:rPr>
        <w:t>或</w:t>
      </w:r>
      <w:r>
        <w:rPr>
          <w:rFonts w:hint="eastAsia"/>
          <w:sz w:val="24"/>
          <w:lang w:eastAsia="zh-CN"/>
        </w:rPr>
        <w:t>招标代理机构</w:t>
      </w:r>
      <w:r>
        <w:rPr>
          <w:sz w:val="24"/>
        </w:rPr>
        <w:t>。</w:t>
      </w:r>
    </w:p>
    <w:p w14:paraId="4C9DE53D">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26.1.2</w:t>
      </w:r>
      <w:r>
        <w:rPr>
          <w:rFonts w:hint="eastAsia"/>
          <w:sz w:val="24"/>
          <w:lang w:eastAsia="zh-CN"/>
        </w:rPr>
        <w:t>招标人</w:t>
      </w:r>
      <w:r>
        <w:rPr>
          <w:sz w:val="24"/>
        </w:rPr>
        <w:t>或</w:t>
      </w:r>
      <w:r>
        <w:rPr>
          <w:rFonts w:hint="eastAsia"/>
          <w:sz w:val="24"/>
          <w:lang w:eastAsia="zh-CN"/>
        </w:rPr>
        <w:t>招标代理机构</w:t>
      </w:r>
      <w:r>
        <w:rPr>
          <w:sz w:val="24"/>
        </w:rPr>
        <w:t>对</w:t>
      </w:r>
      <w:r>
        <w:rPr>
          <w:rFonts w:hint="eastAsia"/>
          <w:sz w:val="24"/>
          <w:lang w:eastAsia="zh-CN"/>
        </w:rPr>
        <w:t>投标人</w:t>
      </w:r>
      <w:r>
        <w:rPr>
          <w:sz w:val="24"/>
        </w:rPr>
        <w:t>依法提出的询问，在3个工作日内作出答复，但答复的内容不得涉及商业秘密。</w:t>
      </w:r>
    </w:p>
    <w:p w14:paraId="11B901F2">
      <w:pPr>
        <w:numPr>
          <w:ilvl w:val="1"/>
          <w:numId w:val="0"/>
        </w:numPr>
        <w:tabs>
          <w:tab w:val="left" w:pos="1080"/>
          <w:tab w:val="left" w:pos="2014"/>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26.2</w:t>
      </w:r>
      <w:r>
        <w:rPr>
          <w:sz w:val="24"/>
        </w:rPr>
        <w:t>质疑</w:t>
      </w:r>
    </w:p>
    <w:p w14:paraId="4BF594AE">
      <w:pPr>
        <w:numPr>
          <w:ilvl w:val="2"/>
          <w:numId w:val="0"/>
        </w:numPr>
        <w:snapToGrid w:val="0"/>
        <w:spacing w:line="360" w:lineRule="auto"/>
        <w:ind w:left="1980" w:leftChars="0" w:hanging="900" w:firstLineChars="0"/>
        <w:rPr>
          <w:sz w:val="24"/>
        </w:rPr>
      </w:pPr>
      <w:r>
        <w:rPr>
          <w:rFonts w:hint="eastAsia" w:ascii="Times New Roman" w:hAnsi="Times New Roman" w:eastAsia="宋体" w:cs="Times New Roman"/>
          <w:kern w:val="2"/>
          <w:sz w:val="24"/>
          <w:szCs w:val="24"/>
          <w:lang w:val="en-US" w:eastAsia="zh-CN" w:bidi="ar-SA"/>
        </w:rPr>
        <w:t>26.2.1</w:t>
      </w:r>
      <w:r>
        <w:rPr>
          <w:sz w:val="24"/>
        </w:rPr>
        <w:t>投标人认为</w:t>
      </w:r>
      <w:r>
        <w:rPr>
          <w:rFonts w:hint="eastAsia"/>
          <w:sz w:val="24"/>
          <w:lang w:eastAsia="zh-CN"/>
        </w:rPr>
        <w:t>招标文件</w:t>
      </w:r>
      <w:r>
        <w:rPr>
          <w:sz w:val="24"/>
        </w:rPr>
        <w:t>、</w:t>
      </w:r>
      <w:r>
        <w:rPr>
          <w:rFonts w:hint="eastAsia"/>
          <w:sz w:val="24"/>
          <w:lang w:eastAsia="zh-CN"/>
        </w:rPr>
        <w:t>招标过程</w:t>
      </w:r>
      <w:r>
        <w:rPr>
          <w:sz w:val="24"/>
        </w:rPr>
        <w:t>、中标结果使自己的权益受到损害的，可以在知道或者应知其权益受到损害之日起7个工作日内，由投标人派授权代表以书面形式向</w:t>
      </w:r>
      <w:r>
        <w:rPr>
          <w:rFonts w:hint="eastAsia"/>
          <w:sz w:val="24"/>
          <w:lang w:eastAsia="zh-CN"/>
        </w:rPr>
        <w:t>招标人</w:t>
      </w:r>
      <w:r>
        <w:rPr>
          <w:sz w:val="24"/>
        </w:rPr>
        <w:t>、</w:t>
      </w:r>
      <w:r>
        <w:rPr>
          <w:rFonts w:hint="eastAsia"/>
          <w:sz w:val="24"/>
          <w:lang w:eastAsia="zh-CN"/>
        </w:rPr>
        <w:t>招标代理机构</w:t>
      </w:r>
      <w:r>
        <w:rPr>
          <w:sz w:val="24"/>
        </w:rPr>
        <w:t>提出质疑。</w:t>
      </w:r>
      <w:r>
        <w:rPr>
          <w:rFonts w:hint="eastAsia"/>
          <w:sz w:val="24"/>
          <w:lang w:eastAsia="zh-CN"/>
        </w:rPr>
        <w:t>招标人</w:t>
      </w:r>
      <w:r>
        <w:rPr>
          <w:sz w:val="24"/>
        </w:rPr>
        <w:t>、</w:t>
      </w:r>
      <w:r>
        <w:rPr>
          <w:rFonts w:hint="eastAsia"/>
          <w:sz w:val="24"/>
          <w:lang w:eastAsia="zh-CN"/>
        </w:rPr>
        <w:t>招标代理机构</w:t>
      </w:r>
      <w:r>
        <w:rPr>
          <w:sz w:val="24"/>
        </w:rPr>
        <w:t>在收到质疑函后</w:t>
      </w:r>
      <w:r>
        <w:rPr>
          <w:rFonts w:hint="eastAsia"/>
          <w:sz w:val="24"/>
          <w:lang w:val="en-US" w:eastAsia="zh-CN"/>
        </w:rPr>
        <w:t>3</w:t>
      </w:r>
      <w:r>
        <w:rPr>
          <w:sz w:val="24"/>
        </w:rPr>
        <w:t>个工作日内作出答复。</w:t>
      </w:r>
      <w:r>
        <w:rPr>
          <w:rFonts w:hint="eastAsia"/>
          <w:sz w:val="24"/>
          <w:lang w:val="en-US" w:eastAsia="zh-CN"/>
        </w:rPr>
        <w:t>上述应知其权益受到损害之日，是指：</w:t>
      </w:r>
    </w:p>
    <w:p w14:paraId="753E12E6">
      <w:pPr>
        <w:numPr>
          <w:ilvl w:val="2"/>
          <w:numId w:val="0"/>
        </w:numPr>
        <w:snapToGrid w:val="0"/>
        <w:spacing w:line="360" w:lineRule="auto"/>
        <w:ind w:left="1854" w:leftChars="624" w:hanging="544" w:hangingChars="227"/>
        <w:rPr>
          <w:sz w:val="24"/>
        </w:rPr>
      </w:pPr>
      <w:r>
        <w:rPr>
          <w:rFonts w:hint="eastAsia"/>
          <w:sz w:val="24"/>
          <w:lang w:val="en-US" w:eastAsia="zh-CN"/>
        </w:rPr>
        <w:t xml:space="preserve">26.2.1.1对可以质疑的招标文件提出质疑的，为收到招标文件之日或者招标文件公告期限届满之日； </w:t>
      </w:r>
    </w:p>
    <w:p w14:paraId="22E55AA1">
      <w:pPr>
        <w:numPr>
          <w:ilvl w:val="2"/>
          <w:numId w:val="0"/>
        </w:numPr>
        <w:snapToGrid w:val="0"/>
        <w:spacing w:line="360" w:lineRule="auto"/>
        <w:ind w:left="1854" w:leftChars="624" w:hanging="544" w:hangingChars="227"/>
        <w:rPr>
          <w:sz w:val="24"/>
        </w:rPr>
      </w:pPr>
      <w:r>
        <w:rPr>
          <w:rFonts w:hint="eastAsia"/>
          <w:sz w:val="24"/>
          <w:lang w:val="en-US" w:eastAsia="zh-CN"/>
        </w:rPr>
        <w:t xml:space="preserve">26.2.1.2对招标过程提出质疑的，为各采购程序环节结束之日； </w:t>
      </w:r>
    </w:p>
    <w:p w14:paraId="76A262BB">
      <w:pPr>
        <w:numPr>
          <w:ilvl w:val="2"/>
          <w:numId w:val="0"/>
        </w:numPr>
        <w:snapToGrid w:val="0"/>
        <w:spacing w:line="360" w:lineRule="auto"/>
        <w:ind w:left="1854" w:leftChars="624" w:hanging="544" w:hangingChars="227"/>
      </w:pPr>
      <w:r>
        <w:rPr>
          <w:rFonts w:hint="eastAsia"/>
          <w:sz w:val="24"/>
          <w:lang w:val="en-US" w:eastAsia="zh-CN"/>
        </w:rPr>
        <w:t xml:space="preserve">26.2.1.3对中标或者成交结果提出质疑的，为中标或者成交结果公告期限届满之日。 </w:t>
      </w:r>
    </w:p>
    <w:p w14:paraId="4A9FC10A">
      <w:pPr>
        <w:numPr>
          <w:ilvl w:val="2"/>
          <w:numId w:val="0"/>
        </w:numPr>
        <w:snapToGrid w:val="0"/>
        <w:spacing w:line="360" w:lineRule="auto"/>
        <w:ind w:firstLine="960" w:firstLineChars="400"/>
        <w:rPr>
          <w:sz w:val="24"/>
        </w:rPr>
      </w:pPr>
      <w:r>
        <w:rPr>
          <w:rFonts w:hint="eastAsia" w:ascii="Times New Roman" w:hAnsi="Times New Roman" w:eastAsia="宋体" w:cs="Times New Roman"/>
          <w:kern w:val="2"/>
          <w:sz w:val="24"/>
          <w:szCs w:val="24"/>
          <w:lang w:val="en-US" w:eastAsia="zh-CN" w:bidi="ar-SA"/>
        </w:rPr>
        <w:t>26.2.2</w:t>
      </w:r>
      <w:r>
        <w:rPr>
          <w:sz w:val="24"/>
        </w:rPr>
        <w:t>质疑函须使用财政部制定的范本文件。</w:t>
      </w:r>
    </w:p>
    <w:p w14:paraId="0E86AC7D">
      <w:pPr>
        <w:numPr>
          <w:ilvl w:val="2"/>
          <w:numId w:val="0"/>
        </w:numPr>
        <w:snapToGrid w:val="0"/>
        <w:spacing w:line="360" w:lineRule="auto"/>
        <w:ind w:left="1678" w:leftChars="456" w:hanging="720" w:hangingChars="300"/>
      </w:pPr>
      <w:r>
        <w:rPr>
          <w:rFonts w:hint="eastAsia" w:ascii="Times New Roman" w:hAnsi="Times New Roman" w:eastAsia="宋体" w:cs="Times New Roman"/>
          <w:kern w:val="2"/>
          <w:sz w:val="24"/>
          <w:szCs w:val="24"/>
          <w:lang w:val="en-US" w:eastAsia="zh-CN" w:bidi="ar-SA"/>
        </w:rPr>
        <w:t>26.2.3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r>
        <w:rPr>
          <w:rFonts w:hint="eastAsia" w:cs="Times New Roman"/>
          <w:kern w:val="2"/>
          <w:sz w:val="24"/>
          <w:szCs w:val="24"/>
          <w:lang w:val="en-US" w:eastAsia="zh-CN" w:bidi="ar-SA"/>
        </w:rPr>
        <w:t>代理人需提供授权委托书。</w:t>
      </w:r>
    </w:p>
    <w:p w14:paraId="55E0370D">
      <w:pPr>
        <w:keepNext w:val="0"/>
        <w:keepLines w:val="0"/>
        <w:widowControl/>
        <w:suppressLineNumbers w:val="0"/>
        <w:ind w:left="1678" w:leftChars="456" w:hanging="720" w:hangingChars="300"/>
        <w:jc w:val="left"/>
      </w:pPr>
      <w:r>
        <w:rPr>
          <w:rFonts w:hint="eastAsia" w:ascii="Times New Roman" w:hAnsi="Times New Roman" w:eastAsia="宋体" w:cs="Times New Roman"/>
          <w:kern w:val="2"/>
          <w:sz w:val="24"/>
          <w:szCs w:val="24"/>
          <w:lang w:val="en-US" w:eastAsia="zh-CN" w:bidi="ar-SA"/>
        </w:rPr>
        <w:t>26.2.4</w:t>
      </w:r>
      <w:r>
        <w:rPr>
          <w:rFonts w:hint="eastAsia"/>
          <w:sz w:val="24"/>
          <w:lang w:eastAsia="zh-CN"/>
        </w:rPr>
        <w:t>投标人</w:t>
      </w:r>
      <w:r>
        <w:rPr>
          <w:sz w:val="24"/>
        </w:rPr>
        <w:t>应在法定质疑期内一次性提出针对同一采购程序环节的质疑，</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如在法定期限内对同一采购程序环节提出多次质疑的</w:t>
      </w:r>
      <w:r>
        <w:rPr>
          <w:sz w:val="24"/>
        </w:rPr>
        <w:t>，</w:t>
      </w:r>
      <w:r>
        <w:rPr>
          <w:rFonts w:hint="eastAsia"/>
          <w:sz w:val="24"/>
          <w:lang w:eastAsia="zh-CN"/>
        </w:rPr>
        <w:t>招标人</w:t>
      </w:r>
      <w:r>
        <w:rPr>
          <w:sz w:val="24"/>
        </w:rPr>
        <w:t>、代理机构有权不予答复。</w:t>
      </w:r>
    </w:p>
    <w:p w14:paraId="74814241">
      <w:pPr>
        <w:numPr>
          <w:ilvl w:val="2"/>
          <w:numId w:val="0"/>
        </w:numPr>
        <w:snapToGrid w:val="0"/>
        <w:spacing w:line="360" w:lineRule="auto"/>
        <w:ind w:left="958" w:leftChars="456" w:firstLine="0" w:firstLineChars="0"/>
      </w:pPr>
      <w:r>
        <w:rPr>
          <w:rFonts w:hint="eastAsia" w:ascii="Times New Roman" w:hAnsi="Times New Roman" w:eastAsia="宋体" w:cs="Times New Roman"/>
          <w:sz w:val="24"/>
          <w:lang w:val="en-US" w:eastAsia="zh-CN"/>
        </w:rPr>
        <w:t>特注：未按上述程序规定的必备内容进行质疑的，招标人或代理机构将不予以受理。</w:t>
      </w:r>
    </w:p>
    <w:p w14:paraId="477429B5">
      <w:pPr>
        <w:numPr>
          <w:ilvl w:val="1"/>
          <w:numId w:val="0"/>
        </w:numPr>
        <w:tabs>
          <w:tab w:val="left" w:pos="1080"/>
          <w:tab w:val="left" w:pos="2014"/>
        </w:tabs>
        <w:snapToGrid w:val="0"/>
        <w:spacing w:line="360" w:lineRule="auto"/>
        <w:ind w:firstLine="240" w:firstLineChars="100"/>
      </w:pPr>
      <w:r>
        <w:rPr>
          <w:rFonts w:hint="default" w:ascii="Times New Roman" w:hAnsi="Times New Roman" w:eastAsia="宋体" w:cs="Times New Roman"/>
          <w:kern w:val="2"/>
          <w:sz w:val="24"/>
          <w:szCs w:val="24"/>
          <w:lang w:val="en-US" w:eastAsia="zh-CN" w:bidi="ar-SA"/>
        </w:rPr>
        <w:t>26.3</w:t>
      </w:r>
      <w:r>
        <w:rPr>
          <w:sz w:val="24"/>
        </w:rPr>
        <w:t>接收询问和质疑的联系部门、联系电话和通讯地址见《投标人须知资料表》</w:t>
      </w:r>
      <w:r>
        <w:rPr>
          <w:rFonts w:hint="eastAsia"/>
          <w:sz w:val="24"/>
        </w:rPr>
        <w:t>。</w:t>
      </w:r>
    </w:p>
    <w:p w14:paraId="33F48F11">
      <w:pPr>
        <w:numPr>
          <w:ilvl w:val="0"/>
          <w:numId w:val="0"/>
        </w:numPr>
        <w:tabs>
          <w:tab w:val="left" w:pos="360"/>
        </w:tabs>
        <w:snapToGrid w:val="0"/>
        <w:spacing w:line="360" w:lineRule="auto"/>
        <w:ind w:left="363" w:leftChars="93" w:hanging="168" w:hangingChars="70"/>
        <w:outlineLvl w:val="9"/>
        <w:rPr>
          <w:sz w:val="24"/>
        </w:rPr>
      </w:pPr>
      <w:r>
        <w:rPr>
          <w:rFonts w:hint="eastAsia" w:ascii="Times New Roman" w:hAnsi="Times New Roman" w:eastAsia="宋体" w:cs="Times New Roman"/>
          <w:kern w:val="2"/>
          <w:sz w:val="24"/>
          <w:szCs w:val="24"/>
          <w:lang w:val="en-US" w:eastAsia="zh-CN" w:bidi="ar-SA"/>
        </w:rPr>
        <w:t>27</w:t>
      </w:r>
      <w:r>
        <w:rPr>
          <w:rFonts w:hint="eastAsia" w:cs="Times New Roman"/>
          <w:kern w:val="2"/>
          <w:sz w:val="24"/>
          <w:szCs w:val="24"/>
          <w:lang w:val="en-US" w:eastAsia="zh-CN" w:bidi="ar-SA"/>
        </w:rPr>
        <w:t>、</w:t>
      </w:r>
      <w:r>
        <w:rPr>
          <w:sz w:val="24"/>
        </w:rPr>
        <w:t>代理费</w:t>
      </w:r>
    </w:p>
    <w:p w14:paraId="0FB45B6D">
      <w:pPr>
        <w:numPr>
          <w:ilvl w:val="1"/>
          <w:numId w:val="0"/>
        </w:numPr>
        <w:tabs>
          <w:tab w:val="left" w:pos="1080"/>
          <w:tab w:val="left" w:pos="2014"/>
        </w:tabs>
        <w:snapToGrid w:val="0"/>
        <w:spacing w:line="360" w:lineRule="auto"/>
        <w:ind w:left="1077" w:leftChars="0" w:hanging="720" w:firstLineChars="0"/>
        <w:rPr>
          <w:color w:val="auto"/>
          <w:sz w:val="24"/>
          <w:highlight w:val="none"/>
        </w:rPr>
      </w:pPr>
      <w:r>
        <w:rPr>
          <w:rFonts w:hint="default" w:ascii="Times New Roman" w:hAnsi="Times New Roman" w:eastAsia="宋体" w:cs="Times New Roman"/>
          <w:kern w:val="2"/>
          <w:sz w:val="24"/>
          <w:szCs w:val="24"/>
          <w:lang w:val="en-US" w:eastAsia="zh-CN" w:bidi="ar-SA"/>
        </w:rPr>
        <w:t>27.1</w:t>
      </w:r>
      <w:r>
        <w:rPr>
          <w:color w:val="auto"/>
          <w:sz w:val="24"/>
          <w:highlight w:val="none"/>
        </w:rPr>
        <w:t>收费对象、收费标准及缴纳时间见《投标人须知资料表》。</w:t>
      </w:r>
    </w:p>
    <w:p w14:paraId="7C2A37BD">
      <w:pPr>
        <w:tabs>
          <w:tab w:val="left" w:pos="900"/>
          <w:tab w:val="left" w:pos="1080"/>
          <w:tab w:val="left" w:pos="1589"/>
        </w:tabs>
        <w:snapToGrid w:val="0"/>
        <w:spacing w:line="360" w:lineRule="auto"/>
        <w:rPr>
          <w:sz w:val="24"/>
        </w:rPr>
      </w:pPr>
    </w:p>
    <w:p w14:paraId="21647D4C">
      <w:pPr>
        <w:tabs>
          <w:tab w:val="left" w:pos="360"/>
          <w:tab w:val="left" w:pos="1080"/>
        </w:tabs>
        <w:snapToGrid w:val="0"/>
        <w:spacing w:line="360" w:lineRule="auto"/>
        <w:ind w:left="360"/>
        <w:rPr>
          <w:sz w:val="24"/>
        </w:rPr>
      </w:pPr>
    </w:p>
    <w:p w14:paraId="21553BE0">
      <w:pPr>
        <w:spacing w:line="360" w:lineRule="auto"/>
        <w:jc w:val="center"/>
        <w:outlineLvl w:val="0"/>
        <w:rPr>
          <w:b/>
          <w:sz w:val="36"/>
          <w:szCs w:val="36"/>
        </w:rPr>
      </w:pPr>
      <w:bookmarkStart w:id="713" w:name="_Toc305158896"/>
      <w:bookmarkStart w:id="714" w:name="_Toc150480792"/>
      <w:bookmarkStart w:id="715" w:name="_Toc265228392"/>
      <w:bookmarkStart w:id="716" w:name="_Toc353873934"/>
      <w:bookmarkStart w:id="717" w:name="_Toc264969244"/>
      <w:bookmarkStart w:id="718" w:name="_Toc353825544"/>
      <w:bookmarkStart w:id="719" w:name="_Toc142311056"/>
      <w:bookmarkStart w:id="720" w:name="_Toc226337250"/>
      <w:bookmarkStart w:id="721" w:name="_Toc353873664"/>
      <w:bookmarkStart w:id="722" w:name="_Toc150774759"/>
      <w:bookmarkStart w:id="723" w:name="_Toc127151554"/>
      <w:bookmarkStart w:id="724" w:name="_Toc305158822"/>
      <w:bookmarkStart w:id="725" w:name="_Toc226965827"/>
      <w:r>
        <w:rPr>
          <w:sz w:val="24"/>
        </w:rPr>
        <w:br w:type="page"/>
      </w:r>
      <w:bookmarkStart w:id="726" w:name="_Toc31892"/>
      <w:r>
        <w:rPr>
          <w:b/>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b/>
          <w:sz w:val="36"/>
          <w:szCs w:val="36"/>
        </w:rPr>
        <w:t>资格</w:t>
      </w:r>
      <w:r>
        <w:rPr>
          <w:rFonts w:hint="eastAsia"/>
          <w:b/>
          <w:sz w:val="36"/>
          <w:szCs w:val="36"/>
          <w:lang w:eastAsia="zh-CN"/>
        </w:rPr>
        <w:t>性</w:t>
      </w:r>
      <w:r>
        <w:rPr>
          <w:b/>
          <w:sz w:val="36"/>
          <w:szCs w:val="36"/>
        </w:rPr>
        <w:t>审查</w:t>
      </w:r>
      <w:bookmarkEnd w:id="726"/>
      <w:bookmarkStart w:id="727" w:name="_Toc487900382"/>
    </w:p>
    <w:p w14:paraId="3C509A6F">
      <w:pPr>
        <w:numPr>
          <w:ilvl w:val="0"/>
          <w:numId w:val="0"/>
        </w:numPr>
        <w:tabs>
          <w:tab w:val="left" w:pos="426"/>
          <w:tab w:val="left" w:pos="851"/>
        </w:tabs>
        <w:snapToGrid w:val="0"/>
        <w:spacing w:line="360" w:lineRule="auto"/>
        <w:ind w:left="426" w:leftChars="0" w:hanging="426" w:firstLineChars="0"/>
        <w:outlineLvl w:val="9"/>
        <w:rPr>
          <w:sz w:val="24"/>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w:t>
      </w:r>
      <w:r>
        <w:rPr>
          <w:sz w:val="24"/>
        </w:rPr>
        <w:t>开标结束后，</w:t>
      </w:r>
      <w:r>
        <w:rPr>
          <w:rFonts w:hint="eastAsia"/>
          <w:sz w:val="24"/>
          <w:lang w:eastAsia="zh-CN"/>
        </w:rPr>
        <w:t>招标人</w:t>
      </w:r>
      <w:r>
        <w:rPr>
          <w:sz w:val="24"/>
        </w:rPr>
        <w:t>或</w:t>
      </w:r>
      <w:r>
        <w:rPr>
          <w:rFonts w:hint="eastAsia"/>
          <w:sz w:val="24"/>
          <w:lang w:eastAsia="zh-CN"/>
        </w:rPr>
        <w:t>招标代理机构</w:t>
      </w:r>
      <w:r>
        <w:rPr>
          <w:sz w:val="24"/>
        </w:rPr>
        <w:t>将根据《资格审查要求》中的规定，对投标人进行资格审查，并形成资格审查结果。</w:t>
      </w:r>
    </w:p>
    <w:p w14:paraId="59709DD1">
      <w:pPr>
        <w:numPr>
          <w:ilvl w:val="0"/>
          <w:numId w:val="0"/>
        </w:numPr>
        <w:tabs>
          <w:tab w:val="left" w:pos="426"/>
          <w:tab w:val="left" w:pos="851"/>
        </w:tabs>
        <w:snapToGrid w:val="0"/>
        <w:spacing w:line="360" w:lineRule="auto"/>
        <w:ind w:left="426" w:leftChars="0" w:hanging="426" w:firstLineChars="0"/>
        <w:outlineLvl w:val="9"/>
        <w:rPr>
          <w:sz w:val="24"/>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w:t>
      </w:r>
      <w:r>
        <w:rPr>
          <w:sz w:val="24"/>
        </w:rPr>
        <w:t>《资格审查要求》中对格式有要求的，除招标文件另有规定外，均为“实质性格式”文件。</w:t>
      </w:r>
    </w:p>
    <w:p w14:paraId="7E6FA02E">
      <w:pPr>
        <w:numPr>
          <w:ilvl w:val="0"/>
          <w:numId w:val="0"/>
        </w:numPr>
        <w:tabs>
          <w:tab w:val="left" w:pos="426"/>
          <w:tab w:val="left" w:pos="851"/>
        </w:tabs>
        <w:snapToGrid w:val="0"/>
        <w:spacing w:line="360" w:lineRule="auto"/>
        <w:ind w:left="426" w:leftChars="0" w:hanging="426" w:firstLineChars="0"/>
        <w:outlineLvl w:val="9"/>
        <w:rPr>
          <w:sz w:val="24"/>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w:t>
      </w:r>
      <w:r>
        <w:rPr>
          <w:sz w:val="24"/>
        </w:rPr>
        <w:t>投标人《资格证明文件》有任何一项不符合《资格审查要求》的，资格审查不合格，其</w:t>
      </w:r>
      <w:r>
        <w:rPr>
          <w:b w:val="0"/>
          <w:bCs/>
          <w:sz w:val="24"/>
        </w:rPr>
        <w:t>投标无效。</w:t>
      </w:r>
    </w:p>
    <w:p w14:paraId="082F7DA0">
      <w:pPr>
        <w:numPr>
          <w:ilvl w:val="0"/>
          <w:numId w:val="0"/>
        </w:numPr>
        <w:tabs>
          <w:tab w:val="left" w:pos="426"/>
          <w:tab w:val="left" w:pos="851"/>
        </w:tabs>
        <w:snapToGrid w:val="0"/>
        <w:spacing w:line="360" w:lineRule="auto"/>
        <w:ind w:left="426" w:leftChars="0" w:hanging="426" w:firstLineChars="0"/>
        <w:outlineLvl w:val="9"/>
        <w:rPr>
          <w:sz w:val="24"/>
        </w:rPr>
      </w:pPr>
      <w:r>
        <w:rPr>
          <w:rFonts w:hint="eastAsia"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w:t>
      </w:r>
      <w:r>
        <w:rPr>
          <w:sz w:val="24"/>
        </w:rPr>
        <w:t>资格审查合格的投标人不足3家的，不进行评标。</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7"/>
    <w:p w14:paraId="7238C223">
      <w:pPr>
        <w:adjustRightInd w:val="0"/>
        <w:snapToGrid w:val="0"/>
        <w:spacing w:line="360" w:lineRule="auto"/>
        <w:ind w:firstLine="482" w:firstLineChars="200"/>
        <w:rPr>
          <w:rFonts w:hint="eastAsia" w:ascii="宋体" w:hAnsi="宋体" w:cs="宋体"/>
          <w:sz w:val="24"/>
          <w:szCs w:val="32"/>
          <w:lang w:eastAsia="zh-CN"/>
        </w:rPr>
      </w:pPr>
      <w:bookmarkStart w:id="728" w:name="_Toc353825550"/>
      <w:bookmarkStart w:id="729" w:name="_Toc127161490"/>
      <w:bookmarkStart w:id="730" w:name="_Toc353873940"/>
      <w:bookmarkStart w:id="731" w:name="_Toc226965858"/>
      <w:bookmarkStart w:id="732" w:name="_Toc127151779"/>
      <w:r>
        <w:rPr>
          <w:rFonts w:hint="eastAsia" w:ascii="宋体" w:hAnsi="宋体" w:cs="宋体"/>
          <w:b/>
          <w:sz w:val="24"/>
        </w:rPr>
        <w:t>资格性审查：</w:t>
      </w:r>
      <w:r>
        <w:rPr>
          <w:rFonts w:hint="eastAsia" w:ascii="宋体" w:hAnsi="宋体" w:cs="宋体"/>
          <w:sz w:val="24"/>
        </w:rPr>
        <w:t>依据法律法规和《</w:t>
      </w:r>
      <w:r>
        <w:rPr>
          <w:rFonts w:hint="eastAsia" w:ascii="宋体" w:hAnsi="宋体" w:cs="宋体"/>
          <w:sz w:val="24"/>
          <w:lang w:eastAsia="zh-CN"/>
        </w:rPr>
        <w:t>招标</w:t>
      </w:r>
      <w:r>
        <w:rPr>
          <w:rFonts w:hint="eastAsia" w:ascii="宋体" w:hAnsi="宋体" w:cs="宋体"/>
          <w:sz w:val="24"/>
        </w:rPr>
        <w:t>文件》的规定，对《</w:t>
      </w:r>
      <w:r>
        <w:rPr>
          <w:rFonts w:hint="eastAsia" w:ascii="宋体" w:hAnsi="宋体" w:cs="宋体"/>
          <w:sz w:val="24"/>
          <w:lang w:eastAsia="zh-CN"/>
        </w:rPr>
        <w:t>招标</w:t>
      </w:r>
      <w:r>
        <w:rPr>
          <w:rFonts w:hint="eastAsia" w:ascii="宋体" w:hAnsi="宋体" w:cs="宋体"/>
          <w:sz w:val="24"/>
        </w:rPr>
        <w:t>文件》中的资格证明等进行审查，以确定</w:t>
      </w:r>
      <w:r>
        <w:rPr>
          <w:rFonts w:hint="eastAsia" w:ascii="宋体" w:hAnsi="宋体" w:cs="宋体"/>
          <w:sz w:val="24"/>
          <w:lang w:eastAsia="zh-CN"/>
        </w:rPr>
        <w:t>投标人</w:t>
      </w:r>
      <w:r>
        <w:rPr>
          <w:rFonts w:hint="eastAsia" w:ascii="宋体" w:hAnsi="宋体" w:cs="宋体"/>
          <w:sz w:val="24"/>
        </w:rPr>
        <w:t>是否具备投标资格。</w:t>
      </w:r>
      <w:r>
        <w:rPr>
          <w:rFonts w:hint="eastAsia" w:ascii="宋体" w:hAnsi="宋体" w:cs="宋体"/>
          <w:sz w:val="24"/>
          <w:szCs w:val="32"/>
        </w:rPr>
        <w:t>资格性审查有一项不符合的，由</w:t>
      </w:r>
      <w:r>
        <w:rPr>
          <w:rFonts w:hint="eastAsia" w:ascii="宋体" w:hAnsi="宋体" w:cs="宋体"/>
          <w:sz w:val="24"/>
          <w:szCs w:val="32"/>
          <w:lang w:eastAsia="zh-CN"/>
        </w:rPr>
        <w:t>评审</w:t>
      </w:r>
      <w:r>
        <w:rPr>
          <w:rFonts w:hint="eastAsia" w:ascii="宋体" w:hAnsi="宋体" w:cs="宋体"/>
          <w:sz w:val="24"/>
          <w:szCs w:val="32"/>
        </w:rPr>
        <w:t>小组按无效投标处理</w:t>
      </w:r>
      <w:r>
        <w:rPr>
          <w:rFonts w:hint="eastAsia" w:ascii="宋体" w:hAnsi="宋体" w:cs="宋体"/>
          <w:sz w:val="24"/>
          <w:szCs w:val="32"/>
          <w:lang w:eastAsia="zh-CN"/>
        </w:rPr>
        <w:t>。</w:t>
      </w:r>
    </w:p>
    <w:p w14:paraId="7912F84F">
      <w:pPr>
        <w:pStyle w:val="4"/>
        <w:rPr>
          <w:rFonts w:hint="eastAsia"/>
          <w:lang w:eastAsia="zh-CN"/>
        </w:rPr>
      </w:pPr>
    </w:p>
    <w:tbl>
      <w:tblPr>
        <w:tblStyle w:val="42"/>
        <w:tblW w:w="8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7543"/>
      </w:tblGrid>
      <w:tr w14:paraId="7EC68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328" w:type="dxa"/>
            <w:noWrap w:val="0"/>
            <w:vAlign w:val="center"/>
          </w:tcPr>
          <w:p w14:paraId="4737AC99">
            <w:pPr>
              <w:spacing w:line="280" w:lineRule="exact"/>
              <w:jc w:val="center"/>
              <w:rPr>
                <w:rFonts w:hint="eastAsia" w:ascii="宋体" w:hAnsi="宋体" w:cs="宋体"/>
                <w:kern w:val="0"/>
                <w:sz w:val="24"/>
              </w:rPr>
            </w:pPr>
            <w:r>
              <w:rPr>
                <w:rFonts w:hint="eastAsia" w:ascii="宋体" w:hAnsi="宋体" w:cs="宋体"/>
                <w:kern w:val="0"/>
                <w:sz w:val="24"/>
              </w:rPr>
              <w:t>评审内容</w:t>
            </w:r>
          </w:p>
        </w:tc>
        <w:tc>
          <w:tcPr>
            <w:tcW w:w="7543" w:type="dxa"/>
            <w:noWrap w:val="0"/>
            <w:vAlign w:val="center"/>
          </w:tcPr>
          <w:p w14:paraId="6D896E0E">
            <w:pPr>
              <w:spacing w:line="280" w:lineRule="exact"/>
              <w:jc w:val="center"/>
              <w:rPr>
                <w:rFonts w:hint="eastAsia" w:ascii="宋体" w:hAnsi="宋体" w:cs="宋体"/>
                <w:kern w:val="0"/>
                <w:sz w:val="24"/>
              </w:rPr>
            </w:pPr>
            <w:r>
              <w:rPr>
                <w:rFonts w:hint="eastAsia" w:ascii="宋体" w:hAnsi="宋体" w:cs="宋体"/>
                <w:kern w:val="0"/>
                <w:sz w:val="24"/>
              </w:rPr>
              <w:t>评审标准</w:t>
            </w:r>
          </w:p>
        </w:tc>
      </w:tr>
      <w:tr w14:paraId="3F7B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exact"/>
          <w:jc w:val="center"/>
        </w:trPr>
        <w:tc>
          <w:tcPr>
            <w:tcW w:w="1328" w:type="dxa"/>
            <w:vMerge w:val="restart"/>
            <w:noWrap w:val="0"/>
            <w:vAlign w:val="center"/>
          </w:tcPr>
          <w:p w14:paraId="090EE6FA">
            <w:pPr>
              <w:spacing w:line="280" w:lineRule="exact"/>
              <w:jc w:val="center"/>
              <w:rPr>
                <w:rFonts w:hint="eastAsia" w:ascii="宋体" w:hAnsi="宋体" w:cs="宋体"/>
                <w:kern w:val="0"/>
                <w:sz w:val="24"/>
              </w:rPr>
            </w:pPr>
            <w:r>
              <w:rPr>
                <w:rFonts w:hint="eastAsia" w:ascii="宋体" w:hAnsi="宋体" w:cs="宋体"/>
                <w:kern w:val="0"/>
                <w:sz w:val="24"/>
              </w:rPr>
              <w:t>资</w:t>
            </w:r>
          </w:p>
          <w:p w14:paraId="0ECC2C82">
            <w:pPr>
              <w:spacing w:line="280" w:lineRule="exact"/>
              <w:jc w:val="center"/>
              <w:rPr>
                <w:rFonts w:hint="eastAsia" w:ascii="宋体" w:hAnsi="宋体" w:cs="宋体"/>
                <w:kern w:val="0"/>
                <w:sz w:val="24"/>
              </w:rPr>
            </w:pPr>
            <w:r>
              <w:rPr>
                <w:rFonts w:hint="eastAsia" w:ascii="宋体" w:hAnsi="宋体" w:cs="宋体"/>
                <w:kern w:val="0"/>
                <w:sz w:val="24"/>
              </w:rPr>
              <w:t>格</w:t>
            </w:r>
          </w:p>
          <w:p w14:paraId="799E81AE">
            <w:pPr>
              <w:spacing w:line="280" w:lineRule="exact"/>
              <w:jc w:val="center"/>
              <w:rPr>
                <w:rFonts w:hint="eastAsia" w:ascii="宋体" w:hAnsi="宋体" w:cs="宋体"/>
                <w:kern w:val="0"/>
                <w:sz w:val="24"/>
              </w:rPr>
            </w:pPr>
            <w:r>
              <w:rPr>
                <w:rFonts w:hint="eastAsia" w:ascii="宋体" w:hAnsi="宋体" w:cs="宋体"/>
                <w:kern w:val="0"/>
                <w:sz w:val="24"/>
              </w:rPr>
              <w:t>性</w:t>
            </w:r>
          </w:p>
          <w:p w14:paraId="625E821D">
            <w:pPr>
              <w:spacing w:line="280" w:lineRule="exact"/>
              <w:jc w:val="center"/>
              <w:rPr>
                <w:rFonts w:hint="eastAsia" w:ascii="宋体" w:hAnsi="宋体" w:cs="宋体"/>
                <w:kern w:val="0"/>
                <w:sz w:val="24"/>
              </w:rPr>
            </w:pPr>
            <w:r>
              <w:rPr>
                <w:rFonts w:hint="eastAsia" w:ascii="宋体" w:hAnsi="宋体" w:cs="宋体"/>
                <w:kern w:val="0"/>
                <w:sz w:val="24"/>
              </w:rPr>
              <w:t>审</w:t>
            </w:r>
          </w:p>
          <w:p w14:paraId="31C3F0F6">
            <w:pPr>
              <w:spacing w:line="280" w:lineRule="exact"/>
              <w:jc w:val="center"/>
              <w:rPr>
                <w:rFonts w:hint="eastAsia" w:ascii="宋体" w:hAnsi="宋体" w:cs="宋体"/>
                <w:kern w:val="0"/>
                <w:sz w:val="24"/>
              </w:rPr>
            </w:pPr>
            <w:r>
              <w:rPr>
                <w:rFonts w:hint="eastAsia" w:ascii="宋体" w:hAnsi="宋体" w:cs="宋体"/>
                <w:kern w:val="0"/>
                <w:sz w:val="24"/>
              </w:rPr>
              <w:t>查</w:t>
            </w:r>
          </w:p>
        </w:tc>
        <w:tc>
          <w:tcPr>
            <w:tcW w:w="7543" w:type="dxa"/>
            <w:noWrap w:val="0"/>
            <w:vAlign w:val="center"/>
          </w:tcPr>
          <w:p w14:paraId="3A4CB41B">
            <w:pPr>
              <w:spacing w:line="240" w:lineRule="auto"/>
              <w:jc w:val="left"/>
              <w:textAlignment w:val="baseline"/>
              <w:rPr>
                <w:rFonts w:hint="eastAsia" w:ascii="宋体" w:hAnsi="宋体" w:cs="宋体"/>
                <w:kern w:val="0"/>
                <w:sz w:val="24"/>
                <w:szCs w:val="24"/>
              </w:rPr>
            </w:pPr>
            <w:r>
              <w:rPr>
                <w:rFonts w:hint="eastAsia" w:ascii="宋体" w:hAnsi="宋体" w:cs="宋体"/>
                <w:bCs/>
                <w:sz w:val="24"/>
                <w:szCs w:val="24"/>
                <w:lang w:val="en-US" w:eastAsia="zh-CN"/>
              </w:rPr>
              <w:t>投标人应</w:t>
            </w:r>
            <w:r>
              <w:rPr>
                <w:rFonts w:hint="eastAsia" w:ascii="宋体" w:hAnsi="宋体" w:cs="宋体"/>
                <w:bCs/>
                <w:sz w:val="24"/>
                <w:szCs w:val="24"/>
              </w:rPr>
              <w:t>具有有效经年检的三证合一营业执照</w:t>
            </w:r>
            <w:r>
              <w:rPr>
                <w:rFonts w:hint="eastAsia" w:ascii="宋体" w:hAnsi="宋体" w:cs="宋体"/>
                <w:bCs/>
                <w:sz w:val="24"/>
                <w:szCs w:val="24"/>
                <w:lang w:eastAsia="zh-CN"/>
              </w:rPr>
              <w:t>或事业单位法人证书</w:t>
            </w:r>
          </w:p>
        </w:tc>
      </w:tr>
      <w:tr w14:paraId="0FD28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1328" w:type="dxa"/>
            <w:vMerge w:val="continue"/>
            <w:noWrap w:val="0"/>
            <w:vAlign w:val="center"/>
          </w:tcPr>
          <w:p w14:paraId="60A5C8CE">
            <w:pPr>
              <w:spacing w:line="280" w:lineRule="exact"/>
              <w:jc w:val="left"/>
              <w:rPr>
                <w:rFonts w:hint="eastAsia" w:ascii="宋体" w:hAnsi="宋体" w:cs="宋体"/>
                <w:kern w:val="0"/>
                <w:sz w:val="24"/>
              </w:rPr>
            </w:pPr>
          </w:p>
        </w:tc>
        <w:tc>
          <w:tcPr>
            <w:tcW w:w="7543" w:type="dxa"/>
            <w:noWrap w:val="0"/>
            <w:vAlign w:val="center"/>
          </w:tcPr>
          <w:p w14:paraId="747A88CA">
            <w:pPr>
              <w:pStyle w:val="37"/>
              <w:spacing w:before="0" w:beforeAutospacing="0" w:after="0" w:afterAutospacing="0" w:line="240" w:lineRule="auto"/>
              <w:jc w:val="both"/>
              <w:textAlignment w:val="baseline"/>
              <w:rPr>
                <w:rFonts w:hint="eastAsia" w:eastAsia="宋体"/>
                <w:sz w:val="24"/>
                <w:szCs w:val="24"/>
                <w:lang w:eastAsia="zh-CN"/>
              </w:rPr>
            </w:pPr>
            <w:r>
              <w:rPr>
                <w:rFonts w:hint="eastAsia" w:ascii="宋体" w:hAnsi="宋体" w:cs="宋体"/>
                <w:bCs/>
                <w:sz w:val="24"/>
                <w:szCs w:val="24"/>
                <w:lang w:val="en-US" w:eastAsia="zh-CN"/>
              </w:rPr>
              <w:t>投标人应具有近三年中任意一年的(2021-2023年)财务审计报告或2023年的财务报表(成立不足一年的应具有成立至今财务报表)或具有其基本开户银行在投标截止日前、六个月内出具的资信证明(银行出具的存款证明不能替代银行资信证明)</w:t>
            </w:r>
          </w:p>
        </w:tc>
      </w:tr>
      <w:tr w14:paraId="6CEE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328" w:type="dxa"/>
            <w:vMerge w:val="continue"/>
            <w:noWrap w:val="0"/>
            <w:vAlign w:val="center"/>
          </w:tcPr>
          <w:p w14:paraId="2E0483DA">
            <w:pPr>
              <w:spacing w:line="280" w:lineRule="exact"/>
              <w:jc w:val="left"/>
              <w:rPr>
                <w:rFonts w:hint="eastAsia" w:ascii="宋体" w:hAnsi="宋体" w:cs="宋体"/>
                <w:kern w:val="0"/>
                <w:sz w:val="24"/>
              </w:rPr>
            </w:pPr>
          </w:p>
        </w:tc>
        <w:tc>
          <w:tcPr>
            <w:tcW w:w="7543" w:type="dxa"/>
            <w:noWrap w:val="0"/>
            <w:vAlign w:val="center"/>
          </w:tcPr>
          <w:p w14:paraId="5E33FF4E">
            <w:pPr>
              <w:spacing w:line="276" w:lineRule="auto"/>
              <w:jc w:val="left"/>
              <w:textAlignment w:val="baseline"/>
              <w:rPr>
                <w:rFonts w:hint="eastAsia" w:ascii="宋体" w:hAnsi="宋体" w:eastAsia="宋体" w:cs="宋体"/>
                <w:kern w:val="0"/>
                <w:sz w:val="24"/>
                <w:szCs w:val="24"/>
                <w:lang w:val="en-US" w:eastAsia="zh-CN"/>
              </w:rPr>
            </w:pPr>
            <w:r>
              <w:rPr>
                <w:rFonts w:hint="eastAsia" w:ascii="宋体" w:hAnsi="宋体" w:cs="宋体"/>
                <w:bCs/>
                <w:sz w:val="24"/>
                <w:szCs w:val="24"/>
              </w:rPr>
              <w:t>法定代表人参加投标需</w:t>
            </w:r>
            <w:r>
              <w:rPr>
                <w:rFonts w:hint="eastAsia" w:ascii="宋体" w:hAnsi="宋体" w:cs="宋体"/>
                <w:bCs/>
                <w:sz w:val="24"/>
                <w:szCs w:val="24"/>
                <w:lang w:val="en-US" w:eastAsia="zh-CN"/>
              </w:rPr>
              <w:t>具有</w:t>
            </w:r>
            <w:r>
              <w:rPr>
                <w:rFonts w:hint="eastAsia" w:ascii="宋体" w:hAnsi="宋体" w:cs="宋体"/>
                <w:bCs/>
                <w:sz w:val="24"/>
                <w:szCs w:val="24"/>
              </w:rPr>
              <w:t>法定代表人身份证明及身份证，授权委托人参加投标的需</w:t>
            </w:r>
            <w:r>
              <w:rPr>
                <w:rFonts w:hint="eastAsia" w:ascii="宋体" w:hAnsi="宋体" w:cs="宋体"/>
                <w:bCs/>
                <w:sz w:val="24"/>
                <w:szCs w:val="24"/>
                <w:lang w:val="en-US" w:eastAsia="zh-CN"/>
              </w:rPr>
              <w:t>具有</w:t>
            </w:r>
            <w:r>
              <w:rPr>
                <w:rFonts w:hint="eastAsia" w:ascii="宋体" w:hAnsi="宋体" w:cs="宋体"/>
                <w:bCs/>
                <w:sz w:val="24"/>
                <w:szCs w:val="24"/>
              </w:rPr>
              <w:t>法定代表人身份证明</w:t>
            </w:r>
            <w:r>
              <w:rPr>
                <w:rFonts w:hint="eastAsia" w:ascii="宋体" w:hAnsi="宋体" w:cs="宋体"/>
                <w:bCs/>
                <w:sz w:val="24"/>
                <w:szCs w:val="24"/>
                <w:lang w:val="en-US" w:eastAsia="zh-CN"/>
              </w:rPr>
              <w:t>及</w:t>
            </w:r>
            <w:r>
              <w:rPr>
                <w:rFonts w:hint="eastAsia" w:ascii="宋体" w:hAnsi="宋体" w:cs="宋体"/>
                <w:bCs/>
                <w:sz w:val="24"/>
                <w:szCs w:val="24"/>
              </w:rPr>
              <w:t>授权委托书</w:t>
            </w:r>
            <w:r>
              <w:rPr>
                <w:rFonts w:hint="eastAsia" w:ascii="宋体" w:hAnsi="宋体" w:cs="宋体"/>
                <w:bCs/>
                <w:sz w:val="24"/>
                <w:szCs w:val="24"/>
                <w:lang w:eastAsia="zh-CN"/>
              </w:rPr>
              <w:t>、</w:t>
            </w:r>
            <w:r>
              <w:rPr>
                <w:rFonts w:hint="eastAsia" w:ascii="宋体" w:hAnsi="宋体" w:cs="宋体"/>
                <w:bCs/>
                <w:sz w:val="24"/>
                <w:szCs w:val="24"/>
              </w:rPr>
              <w:t>被委托人身份</w:t>
            </w:r>
            <w:r>
              <w:rPr>
                <w:rFonts w:hint="eastAsia" w:ascii="宋体" w:hAnsi="宋体" w:cs="宋体"/>
                <w:bCs/>
                <w:sz w:val="24"/>
                <w:szCs w:val="24"/>
                <w:lang w:val="en-US" w:eastAsia="zh-CN"/>
              </w:rPr>
              <w:t>证</w:t>
            </w:r>
          </w:p>
        </w:tc>
      </w:tr>
      <w:tr w14:paraId="5214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28" w:type="dxa"/>
            <w:vMerge w:val="continue"/>
            <w:noWrap w:val="0"/>
            <w:vAlign w:val="top"/>
          </w:tcPr>
          <w:p w14:paraId="2029A6BB">
            <w:pPr>
              <w:spacing w:line="280" w:lineRule="exact"/>
              <w:jc w:val="center"/>
              <w:rPr>
                <w:rFonts w:hint="eastAsia" w:ascii="宋体" w:hAnsi="宋体" w:cs="宋体"/>
                <w:kern w:val="0"/>
                <w:sz w:val="24"/>
              </w:rPr>
            </w:pPr>
          </w:p>
        </w:tc>
        <w:tc>
          <w:tcPr>
            <w:tcW w:w="7543" w:type="dxa"/>
            <w:noWrap w:val="0"/>
            <w:vAlign w:val="top"/>
          </w:tcPr>
          <w:p w14:paraId="0013DC54">
            <w:pPr>
              <w:tabs>
                <w:tab w:val="left" w:pos="1080"/>
              </w:tabs>
              <w:snapToGrid w:val="0"/>
              <w:rPr>
                <w:rFonts w:hint="default" w:ascii="Times New Roman" w:hAnsi="Times New Roman" w:eastAsia="宋体" w:cs="Times New Roman"/>
                <w:color w:val="auto"/>
                <w:kern w:val="2"/>
                <w:sz w:val="21"/>
                <w:szCs w:val="24"/>
                <w:lang w:val="en-US" w:eastAsia="zh-CN" w:bidi="ar-SA"/>
              </w:rPr>
            </w:pPr>
            <w:r>
              <w:rPr>
                <w:rFonts w:hint="eastAsia" w:ascii="宋体" w:hAnsi="宋体" w:eastAsia="宋体" w:cs="宋体"/>
                <w:bCs/>
                <w:sz w:val="24"/>
                <w:szCs w:val="24"/>
                <w:lang w:val="en-US" w:eastAsia="zh-CN"/>
              </w:rPr>
              <w:t>投标人应具备履行合同所必需的设备和专业技术能力的体现</w:t>
            </w:r>
          </w:p>
        </w:tc>
      </w:tr>
      <w:tr w14:paraId="0C7E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28" w:type="dxa"/>
            <w:vMerge w:val="continue"/>
            <w:noWrap w:val="0"/>
            <w:vAlign w:val="top"/>
          </w:tcPr>
          <w:p w14:paraId="7404E2B0">
            <w:pPr>
              <w:spacing w:line="280" w:lineRule="exact"/>
              <w:jc w:val="center"/>
              <w:rPr>
                <w:rFonts w:hint="eastAsia" w:ascii="宋体" w:hAnsi="宋体" w:cs="宋体"/>
                <w:kern w:val="0"/>
                <w:sz w:val="24"/>
              </w:rPr>
            </w:pPr>
          </w:p>
        </w:tc>
        <w:tc>
          <w:tcPr>
            <w:tcW w:w="7543" w:type="dxa"/>
            <w:noWrap w:val="0"/>
            <w:vAlign w:val="center"/>
          </w:tcPr>
          <w:p w14:paraId="3FFEBF22">
            <w:pPr>
              <w:spacing w:line="280" w:lineRule="exact"/>
              <w:rPr>
                <w:rFonts w:hint="default" w:ascii="宋体" w:hAnsi="宋体" w:eastAsia="宋体" w:cs="宋体"/>
                <w:color w:val="auto"/>
                <w:kern w:val="0"/>
                <w:sz w:val="24"/>
                <w:szCs w:val="24"/>
                <w:lang w:val="en-US" w:eastAsia="zh-CN" w:bidi="ar"/>
              </w:rPr>
            </w:pPr>
            <w:r>
              <w:rPr>
                <w:rFonts w:hint="eastAsia" w:ascii="宋体" w:hAnsi="宋体" w:eastAsia="宋体" w:cs="宋体"/>
                <w:bCs/>
                <w:sz w:val="24"/>
                <w:szCs w:val="24"/>
                <w:lang w:val="en-US" w:eastAsia="zh-CN"/>
              </w:rPr>
              <w:t>投标人应满足</w:t>
            </w:r>
            <w:r>
              <w:rPr>
                <w:rFonts w:hint="eastAsia"/>
                <w:color w:val="000000"/>
                <w:sz w:val="24"/>
                <w:lang w:val="en-US" w:eastAsia="zh-CN"/>
              </w:rPr>
              <w:t>招标</w:t>
            </w:r>
            <w:r>
              <w:rPr>
                <w:rFonts w:hint="eastAsia"/>
                <w:color w:val="000000"/>
                <w:sz w:val="24"/>
                <w:lang w:eastAsia="zh-CN"/>
              </w:rPr>
              <w:t>文件中要求</w:t>
            </w:r>
            <w:r>
              <w:rPr>
                <w:rFonts w:hint="eastAsia"/>
                <w:color w:val="000000"/>
                <w:sz w:val="24"/>
                <w:lang w:val="en-US" w:eastAsia="zh-CN"/>
              </w:rPr>
              <w:t>提供的</w:t>
            </w:r>
            <w:r>
              <w:rPr>
                <w:rFonts w:hint="eastAsia"/>
                <w:color w:val="000000"/>
                <w:sz w:val="24"/>
                <w:lang w:eastAsia="zh-CN"/>
              </w:rPr>
              <w:t>其他需要资料</w:t>
            </w:r>
            <w:r>
              <w:rPr>
                <w:rFonts w:hint="eastAsia"/>
                <w:color w:val="000000"/>
                <w:sz w:val="24"/>
                <w:lang w:val="en-US" w:eastAsia="zh-CN"/>
              </w:rPr>
              <w:t>真实、完整、无误</w:t>
            </w:r>
          </w:p>
        </w:tc>
      </w:tr>
      <w:tr w14:paraId="0F8A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28" w:type="dxa"/>
            <w:vMerge w:val="continue"/>
            <w:noWrap w:val="0"/>
            <w:vAlign w:val="top"/>
          </w:tcPr>
          <w:p w14:paraId="63C9313A">
            <w:pPr>
              <w:spacing w:line="280" w:lineRule="exact"/>
              <w:jc w:val="center"/>
              <w:rPr>
                <w:rFonts w:hint="eastAsia" w:ascii="宋体" w:hAnsi="宋体" w:cs="宋体"/>
                <w:kern w:val="0"/>
                <w:sz w:val="24"/>
              </w:rPr>
            </w:pPr>
          </w:p>
        </w:tc>
        <w:tc>
          <w:tcPr>
            <w:tcW w:w="7543" w:type="dxa"/>
            <w:noWrap w:val="0"/>
            <w:vAlign w:val="center"/>
          </w:tcPr>
          <w:p w14:paraId="619D2873">
            <w:pPr>
              <w:spacing w:line="280" w:lineRule="exact"/>
              <w:rPr>
                <w:rFonts w:hint="eastAsia"/>
                <w:color w:val="000000"/>
                <w:sz w:val="24"/>
                <w:lang w:val="en-US" w:eastAsia="zh-CN"/>
              </w:rPr>
            </w:pPr>
            <w:r>
              <w:rPr>
                <w:rFonts w:hint="eastAsia" w:ascii="宋体" w:hAnsi="宋体" w:eastAsia="宋体" w:cs="宋体"/>
                <w:bCs/>
                <w:sz w:val="24"/>
                <w:szCs w:val="24"/>
                <w:lang w:val="en-US" w:eastAsia="zh-CN"/>
              </w:rPr>
              <w:t>投标人应满足招标文件中的</w:t>
            </w:r>
            <w:r>
              <w:rPr>
                <w:rFonts w:hint="eastAsia"/>
                <w:color w:val="000000"/>
                <w:sz w:val="24"/>
                <w:lang w:val="en-US" w:eastAsia="zh-CN"/>
              </w:rPr>
              <w:t>合同履约期限</w:t>
            </w:r>
          </w:p>
        </w:tc>
      </w:tr>
    </w:tbl>
    <w:p w14:paraId="7C75B087">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231CD932">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3575FA58">
      <w:pPr>
        <w:pStyle w:val="2"/>
        <w:rPr>
          <w:rFonts w:hint="eastAsia"/>
          <w:lang w:val="en-US" w:eastAsia="zh-CN"/>
        </w:rPr>
      </w:pPr>
    </w:p>
    <w:p w14:paraId="4B0D5874">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2BEE1FB4">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626E8EC9">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第四章</w:t>
      </w:r>
      <w:r>
        <w:rPr>
          <w:rFonts w:ascii="TimesNewRomanPS-BoldMT" w:hAnsi="TimesNewRomanPS-BoldMT" w:eastAsia="TimesNewRomanPS-BoldMT" w:cs="TimesNewRomanPS-BoldMT"/>
          <w:b/>
          <w:bCs/>
          <w:color w:val="000000"/>
          <w:kern w:val="0"/>
          <w:sz w:val="36"/>
          <w:szCs w:val="36"/>
          <w:lang w:val="en-US" w:eastAsia="zh-CN" w:bidi="ar"/>
        </w:rPr>
        <w:t xml:space="preserve"> </w:t>
      </w:r>
      <w:r>
        <w:rPr>
          <w:rFonts w:hint="eastAsia" w:ascii="宋体" w:hAnsi="宋体" w:eastAsia="宋体" w:cs="宋体"/>
          <w:b/>
          <w:bCs/>
          <w:color w:val="000000"/>
          <w:kern w:val="0"/>
          <w:sz w:val="36"/>
          <w:szCs w:val="36"/>
          <w:lang w:val="en-US" w:eastAsia="zh-CN" w:bidi="ar"/>
        </w:rPr>
        <w:t>评标程序、评标方法和评标标准</w:t>
      </w:r>
    </w:p>
    <w:p w14:paraId="327FF929">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14:paraId="780137F5">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一、评标方法</w:t>
      </w:r>
    </w:p>
    <w:p w14:paraId="12D408B0">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、投标文件的符合性审查 </w:t>
      </w:r>
    </w:p>
    <w:p w14:paraId="36187ECE">
      <w:pPr>
        <w:keepNext w:val="0"/>
        <w:keepLines w:val="0"/>
        <w:widowControl/>
        <w:suppressLineNumbers w:val="0"/>
        <w:ind w:left="1439" w:leftChars="228" w:hanging="960" w:hangingChars="400"/>
        <w:jc w:val="left"/>
      </w:pPr>
      <w:r>
        <w:rPr>
          <w:rFonts w:hint="default" w:ascii="Times New Roman" w:hAnsi="Times New Roman" w:eastAsia="宋体" w:cs="Times New Roman"/>
          <w:color w:val="000000"/>
          <w:kern w:val="0"/>
          <w:sz w:val="24"/>
          <w:szCs w:val="24"/>
          <w:lang w:val="en-US" w:eastAsia="zh-CN" w:bidi="ar"/>
        </w:rPr>
        <w:t xml:space="preserve">1.1 </w:t>
      </w:r>
      <w:r>
        <w:rPr>
          <w:rFonts w:hint="eastAsia" w:ascii="宋体" w:hAnsi="宋体" w:eastAsia="宋体" w:cs="宋体"/>
          <w:color w:val="000000"/>
          <w:kern w:val="0"/>
          <w:sz w:val="24"/>
          <w:szCs w:val="24"/>
          <w:lang w:val="en-US" w:eastAsia="zh-CN" w:bidi="ar"/>
        </w:rPr>
        <w:t xml:space="preserve">评标委员会对资格审查合格的投标人的投标文件进行符合性审查，以确定其是否满足招标文件的实质性要求。 </w:t>
      </w:r>
    </w:p>
    <w:p w14:paraId="7D6021BF">
      <w:pPr>
        <w:keepNext w:val="0"/>
        <w:keepLines w:val="0"/>
        <w:widowControl/>
        <w:suppressLineNumbers w:val="0"/>
        <w:ind w:left="1439" w:leftChars="228" w:hanging="960" w:hangingChars="40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1.2 </w:t>
      </w:r>
      <w:r>
        <w:rPr>
          <w:rFonts w:hint="eastAsia" w:ascii="宋体" w:hAnsi="宋体" w:eastAsia="宋体" w:cs="宋体"/>
          <w:color w:val="000000"/>
          <w:kern w:val="0"/>
          <w:sz w:val="24"/>
          <w:szCs w:val="24"/>
          <w:lang w:val="en-US" w:eastAsia="zh-CN" w:bidi="ar"/>
        </w:rPr>
        <w:t>评标委员会根据《符合性审查要求》中规定的审查因素和审查内容，对投标人的投标文件是否实质上响应招标文件进行符合性审查，并形成符合性审查评审结果。投标人有任何一项不符合《符合性审查要求》要求的</w:t>
      </w:r>
      <w:r>
        <w:rPr>
          <w:rFonts w:hint="eastAsia" w:ascii="宋体" w:hAnsi="宋体" w:eastAsia="宋体" w:cs="宋体"/>
          <w:b w:val="0"/>
          <w:bCs w:val="0"/>
          <w:color w:val="000000"/>
          <w:kern w:val="0"/>
          <w:sz w:val="24"/>
          <w:szCs w:val="24"/>
          <w:lang w:val="en-US" w:eastAsia="zh-CN" w:bidi="ar"/>
        </w:rPr>
        <w:t>，投标无效。</w:t>
      </w:r>
    </w:p>
    <w:p w14:paraId="5B3593AA">
      <w:pPr>
        <w:pStyle w:val="4"/>
      </w:pPr>
    </w:p>
    <w:p w14:paraId="3EFC2167">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符合性审查要求</w:t>
      </w:r>
    </w:p>
    <w:p w14:paraId="2BB636D7">
      <w:pPr>
        <w:widowControl/>
        <w:jc w:val="center"/>
        <w:rPr>
          <w:sz w:val="24"/>
        </w:rPr>
      </w:pPr>
    </w:p>
    <w:tbl>
      <w:tblPr>
        <w:tblStyle w:val="42"/>
        <w:tblW w:w="9017"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3"/>
        <w:gridCol w:w="7394"/>
      </w:tblGrid>
      <w:tr w14:paraId="3A83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623" w:type="dxa"/>
            <w:noWrap w:val="0"/>
            <w:vAlign w:val="center"/>
          </w:tcPr>
          <w:p w14:paraId="3F2D41B5">
            <w:pPr>
              <w:spacing w:line="280" w:lineRule="exact"/>
              <w:jc w:val="center"/>
              <w:rPr>
                <w:rFonts w:hint="eastAsia" w:ascii="宋体" w:hAnsi="宋体" w:cs="宋体"/>
                <w:kern w:val="0"/>
                <w:sz w:val="24"/>
              </w:rPr>
            </w:pPr>
            <w:r>
              <w:rPr>
                <w:rFonts w:hint="eastAsia" w:ascii="宋体" w:hAnsi="宋体" w:cs="宋体"/>
                <w:kern w:val="0"/>
                <w:sz w:val="24"/>
              </w:rPr>
              <w:t>评审内容</w:t>
            </w:r>
          </w:p>
        </w:tc>
        <w:tc>
          <w:tcPr>
            <w:tcW w:w="7394" w:type="dxa"/>
            <w:noWrap w:val="0"/>
            <w:vAlign w:val="center"/>
          </w:tcPr>
          <w:p w14:paraId="425838A1">
            <w:pPr>
              <w:spacing w:line="280" w:lineRule="exact"/>
              <w:jc w:val="center"/>
              <w:rPr>
                <w:rFonts w:hint="eastAsia" w:ascii="宋体" w:hAnsi="宋体" w:cs="宋体"/>
                <w:kern w:val="0"/>
                <w:sz w:val="24"/>
              </w:rPr>
            </w:pPr>
            <w:r>
              <w:rPr>
                <w:rFonts w:hint="eastAsia" w:ascii="宋体" w:hAnsi="宋体" w:cs="宋体"/>
                <w:kern w:val="0"/>
                <w:sz w:val="24"/>
              </w:rPr>
              <w:t>评审标准</w:t>
            </w:r>
          </w:p>
        </w:tc>
      </w:tr>
      <w:tr w14:paraId="2B19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exact"/>
        </w:trPr>
        <w:tc>
          <w:tcPr>
            <w:tcW w:w="1623" w:type="dxa"/>
            <w:vMerge w:val="restart"/>
            <w:noWrap w:val="0"/>
            <w:vAlign w:val="center"/>
          </w:tcPr>
          <w:p w14:paraId="0241C900">
            <w:pPr>
              <w:spacing w:line="280" w:lineRule="exact"/>
              <w:jc w:val="center"/>
              <w:rPr>
                <w:rFonts w:hint="eastAsia" w:ascii="宋体" w:hAnsi="宋体" w:cs="宋体"/>
                <w:kern w:val="0"/>
                <w:sz w:val="24"/>
              </w:rPr>
            </w:pPr>
            <w:r>
              <w:rPr>
                <w:rFonts w:hint="eastAsia" w:ascii="宋体" w:hAnsi="宋体" w:cs="宋体"/>
                <w:kern w:val="0"/>
                <w:sz w:val="24"/>
              </w:rPr>
              <w:t>符合性</w:t>
            </w:r>
          </w:p>
          <w:p w14:paraId="69D57E3B">
            <w:pPr>
              <w:spacing w:line="280" w:lineRule="exact"/>
              <w:jc w:val="center"/>
              <w:rPr>
                <w:rFonts w:hint="eastAsia" w:ascii="宋体" w:hAnsi="宋体" w:cs="宋体"/>
                <w:kern w:val="0"/>
                <w:sz w:val="24"/>
              </w:rPr>
            </w:pPr>
            <w:r>
              <w:rPr>
                <w:rFonts w:hint="eastAsia" w:ascii="宋体" w:hAnsi="宋体" w:cs="宋体"/>
                <w:kern w:val="0"/>
                <w:sz w:val="24"/>
              </w:rPr>
              <w:t>检查</w:t>
            </w:r>
          </w:p>
        </w:tc>
        <w:tc>
          <w:tcPr>
            <w:tcW w:w="7394" w:type="dxa"/>
            <w:noWrap w:val="0"/>
            <w:vAlign w:val="center"/>
          </w:tcPr>
          <w:p w14:paraId="2CDC023D">
            <w:pPr>
              <w:spacing w:line="280" w:lineRule="exact"/>
              <w:rPr>
                <w:rFonts w:hint="eastAsia" w:ascii="宋体" w:hAnsi="宋体" w:cs="宋体"/>
                <w:kern w:val="0"/>
                <w:sz w:val="24"/>
              </w:rPr>
            </w:pPr>
            <w:r>
              <w:rPr>
                <w:rFonts w:hint="eastAsia" w:ascii="宋体" w:hAnsi="宋体" w:cs="宋体"/>
                <w:kern w:val="0"/>
                <w:sz w:val="24"/>
              </w:rPr>
              <w:t>投标单位名称与营业执照</w:t>
            </w:r>
            <w:r>
              <w:rPr>
                <w:rFonts w:hint="eastAsia" w:ascii="宋体" w:hAnsi="宋体" w:cs="宋体"/>
                <w:kern w:val="0"/>
                <w:sz w:val="24"/>
                <w:lang w:eastAsia="zh-CN"/>
              </w:rPr>
              <w:t>或事业单位法人证书</w:t>
            </w:r>
            <w:r>
              <w:rPr>
                <w:rFonts w:hint="eastAsia" w:ascii="宋体" w:hAnsi="宋体" w:cs="宋体"/>
                <w:kern w:val="0"/>
                <w:sz w:val="24"/>
              </w:rPr>
              <w:t>一致</w:t>
            </w:r>
          </w:p>
        </w:tc>
      </w:tr>
      <w:tr w14:paraId="7EDE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exact"/>
        </w:trPr>
        <w:tc>
          <w:tcPr>
            <w:tcW w:w="1623" w:type="dxa"/>
            <w:vMerge w:val="continue"/>
            <w:noWrap w:val="0"/>
            <w:vAlign w:val="center"/>
          </w:tcPr>
          <w:p w14:paraId="0F16B530">
            <w:pPr>
              <w:spacing w:line="280" w:lineRule="exact"/>
              <w:ind w:firstLine="360"/>
              <w:jc w:val="center"/>
              <w:rPr>
                <w:rFonts w:hint="eastAsia" w:ascii="宋体" w:hAnsi="宋体" w:cs="宋体"/>
                <w:kern w:val="0"/>
                <w:sz w:val="24"/>
              </w:rPr>
            </w:pPr>
          </w:p>
        </w:tc>
        <w:tc>
          <w:tcPr>
            <w:tcW w:w="7394" w:type="dxa"/>
            <w:noWrap w:val="0"/>
            <w:vAlign w:val="center"/>
          </w:tcPr>
          <w:p w14:paraId="21F02266">
            <w:pPr>
              <w:spacing w:line="280" w:lineRule="exact"/>
              <w:rPr>
                <w:rFonts w:hint="eastAsia" w:ascii="宋体" w:hAnsi="宋体" w:cs="宋体"/>
                <w:sz w:val="24"/>
              </w:rPr>
            </w:pPr>
            <w:r>
              <w:rPr>
                <w:rFonts w:hint="eastAsia" w:ascii="宋体" w:hAnsi="宋体" w:cs="宋体"/>
                <w:sz w:val="24"/>
                <w:lang w:eastAsia="zh-CN"/>
              </w:rPr>
              <w:t>招标</w:t>
            </w:r>
            <w:r>
              <w:rPr>
                <w:rFonts w:hint="eastAsia" w:ascii="宋体" w:hAnsi="宋体" w:cs="宋体"/>
                <w:sz w:val="24"/>
              </w:rPr>
              <w:t>文件签署、盖章是否符合</w:t>
            </w:r>
            <w:r>
              <w:rPr>
                <w:rFonts w:hint="eastAsia" w:ascii="宋体" w:hAnsi="宋体" w:cs="宋体"/>
                <w:sz w:val="24"/>
                <w:lang w:eastAsia="zh-CN"/>
              </w:rPr>
              <w:t>招标</w:t>
            </w:r>
            <w:r>
              <w:rPr>
                <w:rFonts w:hint="eastAsia" w:ascii="宋体" w:hAnsi="宋体" w:cs="宋体"/>
                <w:sz w:val="24"/>
              </w:rPr>
              <w:t>文件要求</w:t>
            </w:r>
          </w:p>
        </w:tc>
      </w:tr>
      <w:tr w14:paraId="5875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623" w:type="dxa"/>
            <w:vMerge w:val="continue"/>
            <w:noWrap w:val="0"/>
            <w:vAlign w:val="center"/>
          </w:tcPr>
          <w:p w14:paraId="09A1B85F">
            <w:pPr>
              <w:spacing w:line="280" w:lineRule="exact"/>
              <w:ind w:firstLine="360"/>
              <w:jc w:val="center"/>
              <w:rPr>
                <w:rFonts w:hint="eastAsia" w:ascii="宋体" w:hAnsi="宋体" w:cs="宋体"/>
                <w:kern w:val="0"/>
                <w:sz w:val="24"/>
              </w:rPr>
            </w:pPr>
          </w:p>
        </w:tc>
        <w:tc>
          <w:tcPr>
            <w:tcW w:w="7394" w:type="dxa"/>
            <w:noWrap w:val="0"/>
            <w:vAlign w:val="center"/>
          </w:tcPr>
          <w:p w14:paraId="3467C925">
            <w:pPr>
              <w:widowControl/>
              <w:jc w:val="left"/>
              <w:rPr>
                <w:rFonts w:hint="eastAsia" w:ascii="宋体" w:hAnsi="宋体" w:cs="宋体"/>
                <w:kern w:val="0"/>
                <w:sz w:val="24"/>
              </w:rPr>
            </w:pPr>
            <w:r>
              <w:rPr>
                <w:rFonts w:hint="eastAsia" w:ascii="宋体" w:hAnsi="宋体" w:cs="宋体"/>
                <w:kern w:val="0"/>
                <w:sz w:val="24"/>
              </w:rPr>
              <w:t>按照</w:t>
            </w:r>
            <w:r>
              <w:rPr>
                <w:rFonts w:hint="eastAsia" w:ascii="宋体" w:hAnsi="宋体" w:cs="宋体"/>
                <w:kern w:val="0"/>
                <w:sz w:val="24"/>
                <w:lang w:eastAsia="zh-CN"/>
              </w:rPr>
              <w:t>招标</w:t>
            </w:r>
            <w:r>
              <w:rPr>
                <w:rFonts w:hint="eastAsia" w:ascii="宋体" w:hAnsi="宋体" w:cs="宋体"/>
                <w:kern w:val="0"/>
                <w:sz w:val="24"/>
              </w:rPr>
              <w:t>文件清单规定报价只有一个有效报价且没有漏项</w:t>
            </w:r>
          </w:p>
        </w:tc>
      </w:tr>
      <w:tr w14:paraId="697D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623" w:type="dxa"/>
            <w:vMerge w:val="continue"/>
            <w:noWrap w:val="0"/>
            <w:vAlign w:val="center"/>
          </w:tcPr>
          <w:p w14:paraId="0EC91CD9">
            <w:pPr>
              <w:spacing w:line="280" w:lineRule="exact"/>
              <w:ind w:firstLine="360"/>
              <w:jc w:val="center"/>
              <w:rPr>
                <w:rFonts w:hint="eastAsia" w:ascii="宋体" w:hAnsi="宋体" w:cs="宋体"/>
                <w:kern w:val="0"/>
                <w:sz w:val="24"/>
              </w:rPr>
            </w:pPr>
          </w:p>
        </w:tc>
        <w:tc>
          <w:tcPr>
            <w:tcW w:w="7394" w:type="dxa"/>
            <w:noWrap w:val="0"/>
            <w:vAlign w:val="center"/>
          </w:tcPr>
          <w:p w14:paraId="062870EE">
            <w:pPr>
              <w:spacing w:line="280" w:lineRule="exact"/>
              <w:rPr>
                <w:rFonts w:hint="eastAsia" w:ascii="宋体" w:hAnsi="宋体" w:cs="宋体"/>
                <w:kern w:val="0"/>
                <w:sz w:val="24"/>
              </w:rPr>
            </w:pPr>
            <w:r>
              <w:rPr>
                <w:rFonts w:hint="eastAsia" w:ascii="宋体" w:hAnsi="宋体" w:cs="宋体"/>
                <w:kern w:val="0"/>
                <w:sz w:val="24"/>
                <w:lang w:val="en-US" w:eastAsia="zh-CN"/>
              </w:rPr>
              <w:t xml:space="preserve">投标内容符合“招标内容”规定 </w:t>
            </w:r>
          </w:p>
        </w:tc>
      </w:tr>
      <w:tr w14:paraId="7DE8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1623" w:type="dxa"/>
            <w:vMerge w:val="continue"/>
            <w:noWrap w:val="0"/>
            <w:vAlign w:val="center"/>
          </w:tcPr>
          <w:p w14:paraId="0EC921B9">
            <w:pPr>
              <w:spacing w:line="280" w:lineRule="exact"/>
              <w:ind w:firstLine="360"/>
              <w:jc w:val="center"/>
              <w:rPr>
                <w:rFonts w:hint="eastAsia" w:ascii="宋体" w:hAnsi="宋体" w:cs="宋体"/>
                <w:kern w:val="0"/>
                <w:sz w:val="24"/>
              </w:rPr>
            </w:pPr>
          </w:p>
        </w:tc>
        <w:tc>
          <w:tcPr>
            <w:tcW w:w="7394" w:type="dxa"/>
            <w:noWrap w:val="0"/>
            <w:vAlign w:val="center"/>
          </w:tcPr>
          <w:p w14:paraId="5A95ACF3">
            <w:pPr>
              <w:spacing w:line="280" w:lineRule="exact"/>
              <w:rPr>
                <w:rFonts w:hint="eastAsia" w:ascii="宋体" w:hAnsi="宋体" w:eastAsia="宋体" w:cs="宋体"/>
                <w:kern w:val="0"/>
                <w:sz w:val="24"/>
                <w:lang w:eastAsia="zh-CN"/>
              </w:rPr>
            </w:pPr>
            <w:r>
              <w:rPr>
                <w:rFonts w:hint="eastAsia" w:ascii="宋体" w:hAnsi="宋体" w:eastAsia="宋体" w:cs="宋体"/>
                <w:kern w:val="0"/>
                <w:sz w:val="24"/>
                <w:lang w:val="en-US" w:eastAsia="zh-CN"/>
              </w:rPr>
              <w:t>投标有效期符合“投标人须知”规定</w:t>
            </w:r>
          </w:p>
        </w:tc>
      </w:tr>
      <w:tr w14:paraId="45182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1623" w:type="dxa"/>
            <w:vMerge w:val="continue"/>
            <w:noWrap w:val="0"/>
            <w:vAlign w:val="center"/>
          </w:tcPr>
          <w:p w14:paraId="769B3CC2">
            <w:pPr>
              <w:spacing w:line="280" w:lineRule="exact"/>
              <w:ind w:firstLine="360"/>
              <w:jc w:val="center"/>
              <w:rPr>
                <w:rFonts w:hint="eastAsia" w:ascii="宋体" w:hAnsi="宋体" w:cs="宋体"/>
                <w:kern w:val="0"/>
                <w:sz w:val="24"/>
              </w:rPr>
            </w:pPr>
          </w:p>
        </w:tc>
        <w:tc>
          <w:tcPr>
            <w:tcW w:w="7394" w:type="dxa"/>
            <w:noWrap w:val="0"/>
            <w:vAlign w:val="center"/>
          </w:tcPr>
          <w:p w14:paraId="42D5C6ED">
            <w:pPr>
              <w:spacing w:line="280" w:lineRule="exact"/>
              <w:rPr>
                <w:rFonts w:hint="eastAsia" w:ascii="宋体" w:hAnsi="宋体" w:eastAsia="宋体" w:cs="宋体"/>
                <w:kern w:val="0"/>
                <w:sz w:val="24"/>
                <w:lang w:val="en-US" w:eastAsia="zh-CN"/>
              </w:rPr>
            </w:pPr>
            <w:r>
              <w:rPr>
                <w:rFonts w:hint="eastAsia"/>
                <w:kern w:val="0"/>
                <w:sz w:val="24"/>
              </w:rPr>
              <w:t>标记为</w:t>
            </w:r>
            <w:r>
              <w:rPr>
                <w:kern w:val="0"/>
                <w:sz w:val="24"/>
              </w:rPr>
              <w:t>“实质性格式”的</w:t>
            </w:r>
            <w:r>
              <w:rPr>
                <w:rFonts w:hint="eastAsia"/>
                <w:kern w:val="0"/>
                <w:sz w:val="24"/>
              </w:rPr>
              <w:t>文件均按</w:t>
            </w:r>
            <w:r>
              <w:rPr>
                <w:rFonts w:hint="eastAsia"/>
                <w:kern w:val="0"/>
                <w:sz w:val="24"/>
                <w:lang w:val="en-US" w:eastAsia="zh-CN"/>
              </w:rPr>
              <w:t>招标</w:t>
            </w:r>
            <w:r>
              <w:rPr>
                <w:rFonts w:hint="eastAsia"/>
                <w:kern w:val="0"/>
                <w:sz w:val="24"/>
                <w:lang w:eastAsia="zh-CN"/>
              </w:rPr>
              <w:t>文件</w:t>
            </w:r>
            <w:r>
              <w:rPr>
                <w:rFonts w:hint="eastAsia"/>
                <w:kern w:val="0"/>
                <w:sz w:val="24"/>
              </w:rPr>
              <w:t>要求提供；</w:t>
            </w:r>
          </w:p>
        </w:tc>
      </w:tr>
    </w:tbl>
    <w:p w14:paraId="22D0516F">
      <w:pPr>
        <w:widowControl/>
        <w:jc w:val="left"/>
        <w:rPr>
          <w:sz w:val="24"/>
        </w:rPr>
      </w:pPr>
    </w:p>
    <w:p w14:paraId="7BFBA363">
      <w:pPr>
        <w:numPr>
          <w:ilvl w:val="0"/>
          <w:numId w:val="0"/>
        </w:numPr>
        <w:tabs>
          <w:tab w:val="left" w:pos="360"/>
        </w:tabs>
        <w:snapToGrid w:val="0"/>
        <w:spacing w:line="360" w:lineRule="auto"/>
        <w:ind w:left="900" w:leftChars="0" w:hanging="900" w:firstLineChars="0"/>
        <w:outlineLvl w:val="1"/>
        <w:rPr>
          <w:sz w:val="24"/>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w:t>
      </w:r>
      <w:r>
        <w:rPr>
          <w:sz w:val="24"/>
        </w:rPr>
        <w:t>投标文件有关事项的澄清或者说明</w:t>
      </w:r>
    </w:p>
    <w:p w14:paraId="0D6AC843">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2.1</w:t>
      </w: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9862552">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2.2</w:t>
      </w: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w:t>
      </w:r>
      <w:r>
        <w:rPr>
          <w:b w:val="0"/>
          <w:bCs w:val="0"/>
          <w:sz w:val="24"/>
        </w:rPr>
        <w:t>为无效投标处理。</w:t>
      </w:r>
    </w:p>
    <w:p w14:paraId="40161BDE">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2.3</w:t>
      </w: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val="0"/>
          <w:bCs/>
          <w:sz w:val="24"/>
        </w:rPr>
        <w:t>投标无效。</w:t>
      </w:r>
    </w:p>
    <w:p w14:paraId="4BBD902F">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2.4</w:t>
      </w:r>
      <w:r>
        <w:rPr>
          <w:sz w:val="24"/>
        </w:rPr>
        <w:t>投标文件报价出现前后不一致的，按照下列规定修正：</w:t>
      </w:r>
    </w:p>
    <w:p w14:paraId="63323F47">
      <w:pPr>
        <w:numPr>
          <w:ilvl w:val="2"/>
          <w:numId w:val="0"/>
        </w:numPr>
        <w:tabs>
          <w:tab w:val="left" w:pos="1080"/>
          <w:tab w:val="left" w:pos="1589"/>
          <w:tab w:val="left" w:pos="2035"/>
          <w:tab w:val="left" w:pos="2114"/>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2.4.1</w:t>
      </w:r>
      <w:r>
        <w:rPr>
          <w:sz w:val="24"/>
        </w:rPr>
        <w:t>招标文件对于报价修正是否另有规定：</w:t>
      </w:r>
    </w:p>
    <w:p w14:paraId="54E5AAB0">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6BDE8D86">
      <w:pPr>
        <w:tabs>
          <w:tab w:val="left" w:pos="1080"/>
          <w:tab w:val="left" w:pos="1589"/>
          <w:tab w:val="left" w:pos="2035"/>
          <w:tab w:val="left" w:pos="2114"/>
        </w:tabs>
        <w:snapToGrid w:val="0"/>
        <w:spacing w:line="360" w:lineRule="auto"/>
        <w:ind w:left="2035"/>
        <w:rPr>
          <w:sz w:val="24"/>
        </w:rPr>
      </w:pPr>
      <w:r>
        <w:rPr>
          <w:rFonts w:hint="eastAsia"/>
          <w:sz w:val="24"/>
          <w:lang w:eastAsia="zh-CN"/>
        </w:rPr>
        <w:t>☑</w:t>
      </w:r>
      <w:r>
        <w:rPr>
          <w:sz w:val="24"/>
        </w:rPr>
        <w:t>无，按下述2.4.2-2.4.7项规定修正。</w:t>
      </w:r>
    </w:p>
    <w:p w14:paraId="4853F05C">
      <w:pPr>
        <w:numPr>
          <w:ilvl w:val="2"/>
          <w:numId w:val="0"/>
        </w:numPr>
        <w:tabs>
          <w:tab w:val="left" w:pos="2035"/>
          <w:tab w:val="left" w:pos="2114"/>
          <w:tab w:val="left" w:pos="2977"/>
        </w:tabs>
        <w:snapToGrid w:val="0"/>
        <w:spacing w:line="360" w:lineRule="auto"/>
        <w:ind w:left="2035" w:leftChars="0" w:hanging="900" w:firstLineChars="0"/>
        <w:rPr>
          <w:color w:val="000000"/>
          <w:sz w:val="24"/>
        </w:rPr>
      </w:pPr>
      <w:r>
        <w:rPr>
          <w:rFonts w:hint="eastAsia" w:ascii="Times New Roman" w:hAnsi="Times New Roman" w:eastAsia="宋体" w:cs="Times New Roman"/>
          <w:color w:val="000000"/>
          <w:kern w:val="2"/>
          <w:sz w:val="24"/>
          <w:szCs w:val="24"/>
          <w:lang w:val="en-US" w:eastAsia="zh-CN" w:bidi="ar-SA"/>
        </w:rPr>
        <w:t>2.4.2</w:t>
      </w:r>
      <w:r>
        <w:rPr>
          <w:color w:val="000000"/>
          <w:sz w:val="24"/>
        </w:rPr>
        <w:t>单独递交的开标一览表（报价表）与投标文件中开标一览表（报价表）内容不一致的，以单独递交的开标一览表（报价表）为准；</w:t>
      </w:r>
    </w:p>
    <w:p w14:paraId="36C7A0C6">
      <w:pPr>
        <w:numPr>
          <w:ilvl w:val="2"/>
          <w:numId w:val="0"/>
        </w:numPr>
        <w:tabs>
          <w:tab w:val="left" w:pos="2035"/>
          <w:tab w:val="left" w:pos="2114"/>
          <w:tab w:val="left" w:pos="2977"/>
        </w:tabs>
        <w:snapToGrid w:val="0"/>
        <w:spacing w:line="360" w:lineRule="auto"/>
        <w:ind w:left="2035" w:leftChars="0" w:hanging="900" w:firstLineChars="0"/>
        <w:rPr>
          <w:color w:val="000000"/>
          <w:sz w:val="24"/>
        </w:rPr>
      </w:pPr>
      <w:r>
        <w:rPr>
          <w:rFonts w:hint="eastAsia" w:ascii="Times New Roman" w:hAnsi="Times New Roman" w:eastAsia="宋体" w:cs="Times New Roman"/>
          <w:color w:val="000000"/>
          <w:kern w:val="2"/>
          <w:sz w:val="24"/>
          <w:szCs w:val="24"/>
          <w:lang w:val="en-US" w:eastAsia="zh-CN" w:bidi="ar-SA"/>
        </w:rPr>
        <w:t>2.4.3</w:t>
      </w:r>
      <w:r>
        <w:rPr>
          <w:color w:val="000000"/>
          <w:sz w:val="24"/>
        </w:rPr>
        <w:t>投标文件中开标一览表（报价表）内容与投标文件中相应内容不一致的，以开标一览表（报价表）为准；</w:t>
      </w:r>
    </w:p>
    <w:p w14:paraId="5686A377">
      <w:pPr>
        <w:numPr>
          <w:ilvl w:val="2"/>
          <w:numId w:val="0"/>
        </w:numPr>
        <w:tabs>
          <w:tab w:val="left" w:pos="2035"/>
          <w:tab w:val="left" w:pos="2114"/>
          <w:tab w:val="left" w:pos="2977"/>
        </w:tabs>
        <w:snapToGrid w:val="0"/>
        <w:spacing w:line="360" w:lineRule="auto"/>
        <w:ind w:left="2035" w:leftChars="0" w:hanging="900" w:firstLineChars="0"/>
        <w:rPr>
          <w:color w:val="000000"/>
          <w:sz w:val="24"/>
        </w:rPr>
      </w:pPr>
      <w:r>
        <w:rPr>
          <w:rFonts w:hint="eastAsia" w:ascii="Times New Roman" w:hAnsi="Times New Roman" w:eastAsia="宋体" w:cs="Times New Roman"/>
          <w:color w:val="000000"/>
          <w:kern w:val="2"/>
          <w:sz w:val="24"/>
          <w:szCs w:val="24"/>
          <w:lang w:val="en-US" w:eastAsia="zh-CN" w:bidi="ar-SA"/>
        </w:rPr>
        <w:t>2.4.4</w:t>
      </w:r>
      <w:r>
        <w:rPr>
          <w:color w:val="000000"/>
          <w:sz w:val="24"/>
        </w:rPr>
        <w:t>大写金额和小写金额不一致的，以大写金额为准；</w:t>
      </w:r>
    </w:p>
    <w:p w14:paraId="17EBEF98">
      <w:pPr>
        <w:numPr>
          <w:ilvl w:val="2"/>
          <w:numId w:val="0"/>
        </w:numPr>
        <w:tabs>
          <w:tab w:val="left" w:pos="2035"/>
          <w:tab w:val="left" w:pos="2114"/>
          <w:tab w:val="left" w:pos="2977"/>
        </w:tabs>
        <w:snapToGrid w:val="0"/>
        <w:spacing w:line="360" w:lineRule="auto"/>
        <w:ind w:left="2035" w:leftChars="0" w:hanging="900" w:firstLineChars="0"/>
        <w:rPr>
          <w:color w:val="000000"/>
          <w:sz w:val="24"/>
        </w:rPr>
      </w:pPr>
      <w:r>
        <w:rPr>
          <w:rFonts w:hint="eastAsia" w:ascii="Times New Roman" w:hAnsi="Times New Roman" w:eastAsia="宋体" w:cs="Times New Roman"/>
          <w:color w:val="000000"/>
          <w:kern w:val="2"/>
          <w:sz w:val="24"/>
          <w:szCs w:val="24"/>
          <w:lang w:val="en-US" w:eastAsia="zh-CN" w:bidi="ar-SA"/>
        </w:rPr>
        <w:t>2.4.5</w:t>
      </w:r>
      <w:r>
        <w:rPr>
          <w:color w:val="000000"/>
          <w:sz w:val="24"/>
        </w:rPr>
        <w:t>单价金额小数点或者百分比有明显错位的，以开标一览表的总价为准，并修改单价；</w:t>
      </w:r>
    </w:p>
    <w:p w14:paraId="5B36EF55">
      <w:pPr>
        <w:numPr>
          <w:ilvl w:val="2"/>
          <w:numId w:val="0"/>
        </w:numPr>
        <w:tabs>
          <w:tab w:val="left" w:pos="2035"/>
          <w:tab w:val="left" w:pos="2114"/>
          <w:tab w:val="left" w:pos="2977"/>
        </w:tabs>
        <w:snapToGrid w:val="0"/>
        <w:spacing w:line="360" w:lineRule="auto"/>
        <w:ind w:left="2035" w:leftChars="0" w:hanging="900" w:firstLineChars="0"/>
        <w:rPr>
          <w:color w:val="000000"/>
          <w:sz w:val="24"/>
        </w:rPr>
      </w:pPr>
      <w:r>
        <w:rPr>
          <w:rFonts w:hint="eastAsia" w:ascii="Times New Roman" w:hAnsi="Times New Roman" w:eastAsia="宋体" w:cs="Times New Roman"/>
          <w:color w:val="000000"/>
          <w:kern w:val="2"/>
          <w:sz w:val="24"/>
          <w:szCs w:val="24"/>
          <w:lang w:val="en-US" w:eastAsia="zh-CN" w:bidi="ar-SA"/>
        </w:rPr>
        <w:t>2.4.6</w:t>
      </w:r>
      <w:r>
        <w:rPr>
          <w:color w:val="000000"/>
          <w:sz w:val="24"/>
        </w:rPr>
        <w:t>总价金额与按单价汇总金额不一致的，以单价金额计算结果为准。</w:t>
      </w:r>
    </w:p>
    <w:p w14:paraId="3760DA3A">
      <w:pPr>
        <w:numPr>
          <w:ilvl w:val="2"/>
          <w:numId w:val="0"/>
        </w:numPr>
        <w:tabs>
          <w:tab w:val="left" w:pos="1080"/>
          <w:tab w:val="left" w:pos="1589"/>
          <w:tab w:val="left" w:pos="2035"/>
          <w:tab w:val="left" w:pos="2114"/>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2.4.7</w:t>
      </w: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49D6D4A9">
      <w:pPr>
        <w:widowControl/>
        <w:jc w:val="left"/>
        <w:rPr>
          <w:sz w:val="24"/>
        </w:rPr>
      </w:pPr>
      <w:r>
        <w:rPr>
          <w:rFonts w:hint="default" w:ascii="Times New Roman" w:hAnsi="Times New Roman" w:eastAsia="宋体" w:cs="Times New Roman"/>
          <w:kern w:val="2"/>
          <w:sz w:val="24"/>
          <w:szCs w:val="24"/>
          <w:lang w:val="en-US" w:eastAsia="zh-CN" w:bidi="ar-SA"/>
        </w:rPr>
        <w:t>2.5</w:t>
      </w:r>
      <w:r>
        <w:rPr>
          <w:sz w:val="24"/>
        </w:rPr>
        <w:t>落实政府采购政策的价格调整：只有符合第二章《投标人须知》5.2条规定情形</w:t>
      </w:r>
    </w:p>
    <w:p w14:paraId="34A72939">
      <w:pPr>
        <w:numPr>
          <w:ilvl w:val="1"/>
          <w:numId w:val="0"/>
        </w:numPr>
        <w:tabs>
          <w:tab w:val="left" w:pos="1080"/>
        </w:tabs>
        <w:snapToGrid w:val="0"/>
        <w:spacing w:line="360" w:lineRule="auto"/>
        <w:ind w:left="1197" w:leftChars="570" w:firstLine="0" w:firstLineChars="0"/>
        <w:rPr>
          <w:sz w:val="24"/>
        </w:rPr>
      </w:pPr>
      <w:r>
        <w:rPr>
          <w:sz w:val="24"/>
        </w:rPr>
        <w:t>的，可以享受中小企业扶持政策，用扣除后的价格参加评审；否则，评标时价格不予扣除。</w:t>
      </w:r>
    </w:p>
    <w:p w14:paraId="318C8F56">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2.5.1</w:t>
      </w:r>
      <w:r>
        <w:rPr>
          <w:sz w:val="24"/>
        </w:rPr>
        <w:t>对于未预留份额专门面向中小企业采购的采购项目，以及预留份额项目中的非预留部分采购包，对小微企业报价给予</w:t>
      </w:r>
      <w:r>
        <w:rPr>
          <w:rFonts w:hint="eastAsia"/>
          <w:sz w:val="24"/>
          <w:lang w:val="en-US" w:eastAsia="zh-CN"/>
        </w:rPr>
        <w:t>10</w:t>
      </w:r>
      <w:r>
        <w:rPr>
          <w:sz w:val="24"/>
        </w:rPr>
        <w:t>%的扣除，用扣除后的价格参加评审。</w:t>
      </w:r>
    </w:p>
    <w:p w14:paraId="1887905D">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2.5.2</w:t>
      </w: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lang w:val="en-US" w:eastAsia="zh-CN"/>
        </w:rPr>
        <w:t>6</w:t>
      </w:r>
      <w:r>
        <w:rPr>
          <w:sz w:val="24"/>
        </w:rPr>
        <w:t>%的扣除，用扣除后的价格参加评审。</w:t>
      </w:r>
    </w:p>
    <w:p w14:paraId="21E30F3B">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2.5.3</w:t>
      </w:r>
      <w:r>
        <w:rPr>
          <w:sz w:val="24"/>
        </w:rPr>
        <w:t>组成联合体或者接受分包的小微企业与联合体内其他企业、分包企业之间存在直接控股、管理关系的，不享受价格扣除优惠政策。</w:t>
      </w:r>
    </w:p>
    <w:p w14:paraId="58512200">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2.5.4</w:t>
      </w:r>
      <w:r>
        <w:rPr>
          <w:sz w:val="24"/>
        </w:rPr>
        <w:t>价格扣除比例对小型企业和微型企业同等对待，不作区分。</w:t>
      </w:r>
    </w:p>
    <w:p w14:paraId="0FC279B3">
      <w:pPr>
        <w:numPr>
          <w:ilvl w:val="2"/>
          <w:numId w:val="0"/>
        </w:numPr>
        <w:tabs>
          <w:tab w:val="left" w:pos="1080"/>
          <w:tab w:val="left" w:pos="1589"/>
          <w:tab w:val="left" w:pos="2035"/>
        </w:tabs>
        <w:snapToGrid w:val="0"/>
        <w:spacing w:line="360" w:lineRule="auto"/>
        <w:ind w:left="2035" w:leftChars="0" w:hanging="900" w:firstLineChars="0"/>
        <w:rPr>
          <w:color w:val="auto"/>
          <w:sz w:val="24"/>
        </w:rPr>
      </w:pPr>
      <w:r>
        <w:rPr>
          <w:rFonts w:hint="eastAsia" w:ascii="Times New Roman" w:hAnsi="Times New Roman" w:eastAsia="宋体" w:cs="Times New Roman"/>
          <w:color w:val="auto"/>
          <w:kern w:val="2"/>
          <w:sz w:val="24"/>
          <w:szCs w:val="24"/>
          <w:lang w:val="en-US" w:eastAsia="zh-CN" w:bidi="ar-SA"/>
        </w:rPr>
        <w:t>2.5.5</w:t>
      </w:r>
      <w:r>
        <w:rPr>
          <w:color w:val="auto"/>
          <w:sz w:val="24"/>
        </w:rPr>
        <w:t>中小企业参加政府采购活动，应当按照招标文件给定的格式出具《中小企业声明函》，否则不得享受相关中小企业扶持政策。</w:t>
      </w:r>
    </w:p>
    <w:p w14:paraId="01B037E7">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2.5.6</w:t>
      </w:r>
      <w:r>
        <w:rPr>
          <w:sz w:val="24"/>
        </w:rPr>
        <w:t>监狱企业提供了由省级以上监狱管理局、戒毒管理局（含新疆生产建设兵团）出具的属于监狱企业的证明文件的，视同小微企业。</w:t>
      </w:r>
    </w:p>
    <w:p w14:paraId="2B031021">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2.5.7</w:t>
      </w:r>
      <w:r>
        <w:rPr>
          <w:sz w:val="24"/>
        </w:rPr>
        <w:t>残疾人福利性单位按招标文件要求提供了《残疾人福利性单位声明函》（见附件）的，视同小微企业。</w:t>
      </w:r>
    </w:p>
    <w:p w14:paraId="055F0A4F">
      <w:pPr>
        <w:numPr>
          <w:ilvl w:val="2"/>
          <w:numId w:val="0"/>
        </w:numPr>
        <w:tabs>
          <w:tab w:val="left" w:pos="1080"/>
          <w:tab w:val="left" w:pos="1589"/>
          <w:tab w:val="left" w:pos="2014"/>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2.5.8</w:t>
      </w:r>
      <w:r>
        <w:rPr>
          <w:sz w:val="24"/>
        </w:rPr>
        <w:t>若投标人同时属于小型或微型企业、监狱企业、残疾人福利性单位中的两种及以上，将不重复享受小微企业价格扣减的优惠政策。</w:t>
      </w:r>
    </w:p>
    <w:p w14:paraId="0F6A0B6B">
      <w:pPr>
        <w:numPr>
          <w:ilvl w:val="0"/>
          <w:numId w:val="0"/>
        </w:numPr>
        <w:tabs>
          <w:tab w:val="left" w:pos="360"/>
        </w:tabs>
        <w:snapToGrid w:val="0"/>
        <w:spacing w:line="360" w:lineRule="auto"/>
        <w:ind w:left="900" w:leftChars="0" w:hanging="900" w:firstLineChars="0"/>
        <w:outlineLvl w:val="1"/>
        <w:rPr>
          <w:sz w:val="24"/>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w:t>
      </w:r>
      <w:r>
        <w:rPr>
          <w:sz w:val="24"/>
        </w:rPr>
        <w:t>投标文件的比较和评价</w:t>
      </w:r>
    </w:p>
    <w:p w14:paraId="39C4E701">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3.1</w:t>
      </w:r>
      <w:r>
        <w:rPr>
          <w:sz w:val="24"/>
        </w:rPr>
        <w:t>评标委员会将按照招标文件中规定的评标方法和标准，对符合性审查合格的投标文件进行商务和技术评估，综合比较与评价；未通过符合性审查的投标文件不得进入比较与评价。</w:t>
      </w:r>
    </w:p>
    <w:p w14:paraId="6A093253">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3.2</w:t>
      </w:r>
      <w:r>
        <w:rPr>
          <w:sz w:val="24"/>
        </w:rPr>
        <w:t>评标方法和评标标准</w:t>
      </w:r>
    </w:p>
    <w:p w14:paraId="18D4D3CD">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3.2.1</w:t>
      </w:r>
      <w:r>
        <w:rPr>
          <w:sz w:val="24"/>
        </w:rPr>
        <w:t>本项目采用的评标方法为：</w:t>
      </w:r>
    </w:p>
    <w:p w14:paraId="706592A3">
      <w:pPr>
        <w:widowControl/>
        <w:ind w:left="1915" w:leftChars="912" w:firstLine="0" w:firstLineChars="0"/>
        <w:jc w:val="left"/>
        <w:rPr>
          <w:sz w:val="24"/>
        </w:rPr>
      </w:pPr>
      <w:r>
        <w:rPr>
          <w:rFonts w:hint="eastAsia"/>
          <w:sz w:val="24"/>
          <w:lang w:eastAsia="zh-CN"/>
        </w:rPr>
        <w:t>☑</w:t>
      </w:r>
      <w:r>
        <w:rPr>
          <w:sz w:val="24"/>
        </w:rPr>
        <w:t>综合评分法，指投标文件满足招标文件全部实质性要求，且按照评审因素的量化指标评审得分最高的投标人为中标候选人的评标方法，</w:t>
      </w:r>
    </w:p>
    <w:p w14:paraId="21548234">
      <w:pPr>
        <w:tabs>
          <w:tab w:val="left" w:pos="900"/>
          <w:tab w:val="left" w:pos="1589"/>
          <w:tab w:val="left" w:pos="1701"/>
        </w:tabs>
        <w:snapToGrid w:val="0"/>
        <w:spacing w:line="360" w:lineRule="auto"/>
        <w:ind w:left="1985"/>
        <w:rPr>
          <w:sz w:val="24"/>
        </w:rPr>
      </w:pPr>
      <w:r>
        <w:rPr>
          <w:sz w:val="24"/>
        </w:rPr>
        <w:t>见《评标标准》</w:t>
      </w:r>
      <w:r>
        <w:rPr>
          <w:rFonts w:hint="eastAsia"/>
          <w:sz w:val="24"/>
        </w:rPr>
        <w:t>，招标文件中没有规定的评标标准不得作为评审的依据。</w:t>
      </w:r>
    </w:p>
    <w:p w14:paraId="0FADB5B3">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7CAB824A">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3.2.2</w:t>
      </w:r>
      <w:r>
        <w:rPr>
          <w:sz w:val="24"/>
        </w:rPr>
        <w:t>采用最低评标价法时，提供相同品牌产品（单一产品或核心产品品牌相同）的不同投标人参加同一合同项下投标的，以其中通过资格审查、符合性审查且报价最低的参加评标；报价相同的，由</w:t>
      </w:r>
      <w:r>
        <w:rPr>
          <w:rFonts w:hint="eastAsia"/>
          <w:sz w:val="24"/>
          <w:lang w:eastAsia="zh-CN"/>
        </w:rPr>
        <w:t>招标人</w:t>
      </w:r>
      <w:r>
        <w:rPr>
          <w:sz w:val="24"/>
        </w:rPr>
        <w:t>或者</w:t>
      </w:r>
      <w:r>
        <w:rPr>
          <w:rFonts w:hint="eastAsia"/>
          <w:sz w:val="24"/>
          <w:lang w:eastAsia="zh-CN"/>
        </w:rPr>
        <w:t>招标人</w:t>
      </w:r>
      <w:r>
        <w:rPr>
          <w:sz w:val="24"/>
        </w:rPr>
        <w:t>委托评标委员会按照下述方法确定一个参加评标的投标人，其他</w:t>
      </w:r>
      <w:r>
        <w:rPr>
          <w:b/>
          <w:sz w:val="24"/>
        </w:rPr>
        <w:t>投标无效</w:t>
      </w:r>
      <w:r>
        <w:rPr>
          <w:sz w:val="24"/>
        </w:rPr>
        <w:t>。</w:t>
      </w:r>
    </w:p>
    <w:p w14:paraId="15955776">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3.2.3</w:t>
      </w:r>
      <w:r>
        <w:rPr>
          <w:sz w:val="24"/>
        </w:rPr>
        <w:t>非政府强制采购的节能产品或环境标志产品，依据品目清单和认证证书实施政府优先采购。优先采购的具体规定</w:t>
      </w:r>
      <w:r>
        <w:rPr>
          <w:rFonts w:hint="eastAsia"/>
          <w:sz w:val="24"/>
          <w:lang w:eastAsia="zh-CN"/>
        </w:rPr>
        <w:t>：</w:t>
      </w:r>
      <w:r>
        <w:rPr>
          <w:rFonts w:hint="eastAsia"/>
          <w:sz w:val="24"/>
          <w:lang w:val="en-US" w:eastAsia="zh-CN"/>
        </w:rPr>
        <w:t>/。</w:t>
      </w:r>
    </w:p>
    <w:p w14:paraId="41C3EF4B">
      <w:pPr>
        <w:numPr>
          <w:ilvl w:val="2"/>
          <w:numId w:val="0"/>
        </w:numPr>
        <w:tabs>
          <w:tab w:val="left" w:pos="1080"/>
          <w:tab w:val="left" w:pos="1589"/>
          <w:tab w:val="left" w:pos="2035"/>
        </w:tabs>
        <w:snapToGrid w:val="0"/>
        <w:spacing w:line="360" w:lineRule="auto"/>
        <w:ind w:left="2035" w:leftChars="0" w:hanging="900" w:firstLineChars="0"/>
        <w:rPr>
          <w:sz w:val="24"/>
        </w:rPr>
      </w:pPr>
      <w:r>
        <w:rPr>
          <w:rFonts w:hint="eastAsia" w:ascii="Times New Roman" w:hAnsi="Times New Roman" w:eastAsia="宋体" w:cs="Times New Roman"/>
          <w:kern w:val="2"/>
          <w:sz w:val="24"/>
          <w:szCs w:val="24"/>
          <w:lang w:val="en-US" w:eastAsia="zh-CN" w:bidi="ar-SA"/>
        </w:rPr>
        <w:t>3.2.4</w:t>
      </w:r>
      <w:r>
        <w:rPr>
          <w:sz w:val="24"/>
        </w:rPr>
        <w:t>关于无线局域网认证产品政府采购清单中的产品，优先采购的具体规定</w:t>
      </w:r>
      <w:r>
        <w:rPr>
          <w:rFonts w:hint="eastAsia"/>
          <w:sz w:val="24"/>
          <w:lang w:eastAsia="zh-CN"/>
        </w:rPr>
        <w:t>：</w:t>
      </w:r>
      <w:r>
        <w:rPr>
          <w:rFonts w:hint="eastAsia"/>
          <w:sz w:val="24"/>
          <w:lang w:val="en-US" w:eastAsia="zh-CN"/>
        </w:rPr>
        <w:t>/</w:t>
      </w:r>
      <w:r>
        <w:rPr>
          <w:sz w:val="24"/>
        </w:rPr>
        <w:t>。</w:t>
      </w:r>
    </w:p>
    <w:p w14:paraId="5D8D2660">
      <w:pPr>
        <w:numPr>
          <w:ilvl w:val="0"/>
          <w:numId w:val="0"/>
        </w:numPr>
        <w:tabs>
          <w:tab w:val="left" w:pos="360"/>
        </w:tabs>
        <w:snapToGrid w:val="0"/>
        <w:spacing w:line="360" w:lineRule="auto"/>
        <w:ind w:left="900" w:leftChars="0" w:hanging="900" w:firstLineChars="0"/>
        <w:outlineLvl w:val="1"/>
        <w:rPr>
          <w:sz w:val="24"/>
        </w:rPr>
      </w:pPr>
      <w:r>
        <w:rPr>
          <w:rFonts w:hint="eastAsia"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w:t>
      </w:r>
      <w:r>
        <w:rPr>
          <w:sz w:val="24"/>
        </w:rPr>
        <w:t>确定中标候选人名单</w:t>
      </w:r>
    </w:p>
    <w:p w14:paraId="462DE611">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4.1</w:t>
      </w: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F1B8B06">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4.2</w:t>
      </w: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093001B">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4.3</w:t>
      </w: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9765C5A">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4.4</w:t>
      </w:r>
      <w:r>
        <w:rPr>
          <w:sz w:val="24"/>
        </w:rPr>
        <w:t>评标委员会要对评分汇总情况进行复核，特别是对排名第一的、报价最低的、投标或</w:t>
      </w:r>
      <w:r>
        <w:rPr>
          <w:rFonts w:hint="eastAsia"/>
          <w:sz w:val="24"/>
          <w:lang w:eastAsia="zh-CN"/>
        </w:rPr>
        <w:t>投标文件</w:t>
      </w:r>
      <w:r>
        <w:rPr>
          <w:sz w:val="24"/>
        </w:rPr>
        <w:t>被认定为无效的情形进行重点复核。</w:t>
      </w:r>
    </w:p>
    <w:p w14:paraId="158FF98E">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4.5</w:t>
      </w: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lang w:eastAsia="zh-CN"/>
        </w:rPr>
        <w:t>前</w:t>
      </w:r>
      <w:r>
        <w:rPr>
          <w:rFonts w:hint="eastAsia"/>
          <w:sz w:val="24"/>
          <w:lang w:val="en-US" w:eastAsia="zh-CN"/>
        </w:rPr>
        <w:t>3</w:t>
      </w:r>
      <w:r>
        <w:rPr>
          <w:sz w:val="24"/>
        </w:rPr>
        <w:t>名中标候选人。</w:t>
      </w:r>
    </w:p>
    <w:p w14:paraId="6087EC98">
      <w:pPr>
        <w:numPr>
          <w:ilvl w:val="0"/>
          <w:numId w:val="0"/>
        </w:numPr>
        <w:tabs>
          <w:tab w:val="left" w:pos="360"/>
        </w:tabs>
        <w:snapToGrid w:val="0"/>
        <w:spacing w:line="360" w:lineRule="auto"/>
        <w:ind w:left="900" w:leftChars="0" w:hanging="900" w:firstLineChars="0"/>
        <w:outlineLvl w:val="1"/>
        <w:rPr>
          <w:sz w:val="24"/>
        </w:rPr>
      </w:pPr>
      <w:r>
        <w:rPr>
          <w:rFonts w:hint="eastAsia"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w:t>
      </w:r>
      <w:r>
        <w:rPr>
          <w:sz w:val="24"/>
        </w:rPr>
        <w:t>报告违法行为</w:t>
      </w:r>
    </w:p>
    <w:p w14:paraId="751A5645">
      <w:pPr>
        <w:numPr>
          <w:ilvl w:val="1"/>
          <w:numId w:val="0"/>
        </w:numPr>
        <w:tabs>
          <w:tab w:val="left" w:pos="1080"/>
        </w:tabs>
        <w:snapToGrid w:val="0"/>
        <w:spacing w:line="360" w:lineRule="auto"/>
        <w:ind w:left="1077" w:leftChars="0" w:hanging="720" w:firstLineChars="0"/>
        <w:rPr>
          <w:sz w:val="24"/>
        </w:rPr>
      </w:pPr>
      <w:r>
        <w:rPr>
          <w:rFonts w:hint="default" w:ascii="Times New Roman" w:hAnsi="Times New Roman" w:eastAsia="宋体" w:cs="Times New Roman"/>
          <w:kern w:val="2"/>
          <w:sz w:val="24"/>
          <w:szCs w:val="24"/>
          <w:lang w:val="en-US" w:eastAsia="zh-CN" w:bidi="ar-SA"/>
        </w:rPr>
        <w:t>5.1</w:t>
      </w:r>
      <w:r>
        <w:rPr>
          <w:sz w:val="24"/>
        </w:rPr>
        <w:t>评标委员会在评标过程中发现投标人有行贿、提供虚假材料或者串通等违法行为时，有向</w:t>
      </w:r>
      <w:r>
        <w:rPr>
          <w:rFonts w:hint="eastAsia"/>
          <w:sz w:val="24"/>
          <w:lang w:eastAsia="zh-CN"/>
        </w:rPr>
        <w:t>招标人</w:t>
      </w:r>
      <w:r>
        <w:rPr>
          <w:sz w:val="24"/>
        </w:rPr>
        <w:t>、</w:t>
      </w:r>
      <w:r>
        <w:rPr>
          <w:rFonts w:hint="eastAsia"/>
          <w:sz w:val="24"/>
          <w:lang w:eastAsia="zh-CN"/>
        </w:rPr>
        <w:t>招标代理机构</w:t>
      </w:r>
      <w:r>
        <w:rPr>
          <w:sz w:val="24"/>
        </w:rPr>
        <w:t>或者有关部门报告的职责。</w:t>
      </w:r>
    </w:p>
    <w:p w14:paraId="0B97CD4F">
      <w:pPr>
        <w:pStyle w:val="4"/>
        <w:jc w:val="both"/>
        <w:rPr>
          <w:sz w:val="24"/>
        </w:rPr>
      </w:pPr>
    </w:p>
    <w:p w14:paraId="60B082CA">
      <w:pPr>
        <w:rPr>
          <w:sz w:val="24"/>
        </w:rPr>
      </w:pPr>
    </w:p>
    <w:p w14:paraId="7E8ED1F1">
      <w:pPr>
        <w:pStyle w:val="4"/>
        <w:rPr>
          <w:sz w:val="24"/>
        </w:rPr>
      </w:pPr>
    </w:p>
    <w:p w14:paraId="17823DED">
      <w:pPr>
        <w:rPr>
          <w:sz w:val="24"/>
        </w:rPr>
      </w:pPr>
    </w:p>
    <w:p w14:paraId="428A7DD9">
      <w:pPr>
        <w:pStyle w:val="2"/>
        <w:rPr>
          <w:sz w:val="24"/>
        </w:rPr>
      </w:pPr>
    </w:p>
    <w:p w14:paraId="546D1720"/>
    <w:p w14:paraId="47166C08">
      <w:pPr>
        <w:pStyle w:val="4"/>
        <w:rPr>
          <w:sz w:val="24"/>
        </w:rPr>
      </w:pPr>
    </w:p>
    <w:p w14:paraId="1712FA7B">
      <w:pPr>
        <w:rPr>
          <w:sz w:val="24"/>
        </w:rPr>
      </w:pPr>
    </w:p>
    <w:p w14:paraId="1CB232BF">
      <w:pPr>
        <w:pStyle w:val="2"/>
        <w:ind w:left="0" w:leftChars="0" w:firstLine="0" w:firstLineChars="0"/>
        <w:rPr>
          <w:sz w:val="24"/>
        </w:rPr>
      </w:pPr>
    </w:p>
    <w:bookmarkEnd w:id="728"/>
    <w:bookmarkEnd w:id="729"/>
    <w:bookmarkEnd w:id="730"/>
    <w:bookmarkEnd w:id="731"/>
    <w:bookmarkEnd w:id="732"/>
    <w:p w14:paraId="62A9D5A9">
      <w:pPr>
        <w:widowControl/>
        <w:jc w:val="center"/>
        <w:outlineLvl w:val="1"/>
        <w:rPr>
          <w:b/>
        </w:rPr>
      </w:pPr>
      <w:bookmarkStart w:id="733" w:name="_Toc353873665"/>
      <w:bookmarkStart w:id="734" w:name="_Toc353873935"/>
      <w:bookmarkStart w:id="735" w:name="_Toc226965828"/>
      <w:bookmarkStart w:id="736" w:name="_Toc265228393"/>
      <w:bookmarkStart w:id="737" w:name="_Toc127151555"/>
      <w:bookmarkStart w:id="738" w:name="_Toc264969245"/>
      <w:bookmarkStart w:id="739" w:name="_Toc305158823"/>
      <w:bookmarkStart w:id="740" w:name="_Toc305158897"/>
      <w:bookmarkStart w:id="741" w:name="_Toc353825545"/>
      <w:bookmarkStart w:id="742" w:name="_Toc142311057"/>
      <w:bookmarkStart w:id="743" w:name="_Toc150480793"/>
      <w:bookmarkStart w:id="744" w:name="_Toc226337251"/>
      <w:bookmarkStart w:id="745" w:name="_Toc150774760"/>
      <w:bookmarkStart w:id="746" w:name="_Toc195842920"/>
      <w:r>
        <w:rPr>
          <w:b/>
          <w:sz w:val="24"/>
        </w:rPr>
        <w:t>评标标准</w:t>
      </w:r>
    </w:p>
    <w:tbl>
      <w:tblPr>
        <w:tblStyle w:val="42"/>
        <w:tblpPr w:leftFromText="180" w:rightFromText="180" w:vertAnchor="text" w:horzAnchor="page" w:tblpX="1502" w:tblpY="458"/>
        <w:tblOverlap w:val="never"/>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97"/>
        <w:gridCol w:w="621"/>
        <w:gridCol w:w="6172"/>
        <w:gridCol w:w="819"/>
      </w:tblGrid>
      <w:tr w14:paraId="0E0F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14:paraId="4D0AFB57">
            <w:pPr>
              <w:ind w:firstLine="28"/>
              <w:jc w:val="center"/>
              <w:rPr>
                <w:b/>
                <w:sz w:val="24"/>
              </w:rPr>
            </w:pPr>
            <w:r>
              <w:rPr>
                <w:b/>
                <w:sz w:val="24"/>
              </w:rPr>
              <w:t>序号</w:t>
            </w:r>
          </w:p>
        </w:tc>
        <w:tc>
          <w:tcPr>
            <w:tcW w:w="1397" w:type="dxa"/>
            <w:noWrap w:val="0"/>
            <w:vAlign w:val="center"/>
          </w:tcPr>
          <w:p w14:paraId="1945E170">
            <w:pPr>
              <w:ind w:firstLine="28"/>
              <w:jc w:val="center"/>
              <w:rPr>
                <w:b/>
                <w:sz w:val="24"/>
              </w:rPr>
            </w:pPr>
            <w:r>
              <w:rPr>
                <w:b/>
                <w:sz w:val="24"/>
              </w:rPr>
              <w:t>评分</w:t>
            </w:r>
          </w:p>
          <w:p w14:paraId="79CD3104">
            <w:pPr>
              <w:ind w:firstLine="28"/>
              <w:jc w:val="center"/>
              <w:rPr>
                <w:b/>
                <w:sz w:val="24"/>
              </w:rPr>
            </w:pPr>
            <w:r>
              <w:rPr>
                <w:b/>
                <w:sz w:val="24"/>
              </w:rPr>
              <w:t>因素</w:t>
            </w:r>
          </w:p>
        </w:tc>
        <w:tc>
          <w:tcPr>
            <w:tcW w:w="621" w:type="dxa"/>
            <w:noWrap w:val="0"/>
            <w:vAlign w:val="center"/>
          </w:tcPr>
          <w:p w14:paraId="5C1497C5">
            <w:pPr>
              <w:ind w:firstLine="28"/>
              <w:jc w:val="center"/>
              <w:rPr>
                <w:b/>
                <w:sz w:val="24"/>
              </w:rPr>
            </w:pPr>
            <w:r>
              <w:rPr>
                <w:b/>
                <w:sz w:val="24"/>
              </w:rPr>
              <w:t>分值</w:t>
            </w:r>
          </w:p>
        </w:tc>
        <w:tc>
          <w:tcPr>
            <w:tcW w:w="6172" w:type="dxa"/>
            <w:noWrap w:val="0"/>
            <w:vAlign w:val="center"/>
          </w:tcPr>
          <w:p w14:paraId="011B4A1F">
            <w:pPr>
              <w:ind w:firstLine="28"/>
              <w:jc w:val="center"/>
              <w:rPr>
                <w:b/>
                <w:sz w:val="24"/>
              </w:rPr>
            </w:pPr>
            <w:r>
              <w:rPr>
                <w:b/>
                <w:sz w:val="24"/>
              </w:rPr>
              <w:t>评分标准</w:t>
            </w:r>
          </w:p>
        </w:tc>
        <w:tc>
          <w:tcPr>
            <w:tcW w:w="819" w:type="dxa"/>
            <w:noWrap w:val="0"/>
            <w:vAlign w:val="center"/>
          </w:tcPr>
          <w:p w14:paraId="58237CCF">
            <w:pPr>
              <w:pStyle w:val="245"/>
              <w:spacing w:before="0" w:after="0" w:line="240" w:lineRule="auto"/>
              <w:jc w:val="center"/>
              <w:rPr>
                <w:rFonts w:eastAsia="宋体"/>
                <w:szCs w:val="24"/>
              </w:rPr>
            </w:pPr>
            <w:r>
              <w:rPr>
                <w:rFonts w:eastAsia="宋体"/>
                <w:szCs w:val="24"/>
              </w:rPr>
              <w:t>说明</w:t>
            </w:r>
          </w:p>
        </w:tc>
      </w:tr>
      <w:tr w14:paraId="4535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65" w:type="dxa"/>
            <w:noWrap w:val="0"/>
            <w:vAlign w:val="center"/>
          </w:tcPr>
          <w:p w14:paraId="0AC52EF2">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1</w:t>
            </w:r>
          </w:p>
        </w:tc>
        <w:tc>
          <w:tcPr>
            <w:tcW w:w="1397" w:type="dxa"/>
            <w:noWrap w:val="0"/>
            <w:vAlign w:val="center"/>
          </w:tcPr>
          <w:p w14:paraId="35EA7E1A">
            <w:pPr>
              <w:ind w:firstLine="28"/>
              <w:jc w:val="center"/>
              <w:rPr>
                <w:rFonts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报价</w:t>
            </w:r>
          </w:p>
        </w:tc>
        <w:tc>
          <w:tcPr>
            <w:tcW w:w="621" w:type="dxa"/>
            <w:noWrap w:val="0"/>
            <w:vAlign w:val="center"/>
          </w:tcPr>
          <w:p w14:paraId="666E031C">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30</w:t>
            </w:r>
          </w:p>
        </w:tc>
        <w:tc>
          <w:tcPr>
            <w:tcW w:w="6172" w:type="dxa"/>
            <w:noWrap w:val="0"/>
            <w:vAlign w:val="center"/>
          </w:tcPr>
          <w:p w14:paraId="5D28F348">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报价得分=(评标基准价/最后报价)*价格权重*100。注:经</w:t>
            </w:r>
          </w:p>
          <w:p w14:paraId="29B330EB">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评委会一致认定满足招标文件要求且最后报价最低的</w:t>
            </w:r>
          </w:p>
          <w:p w14:paraId="40FC227F">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为评标基准价，其价格得分计 30 分</w:t>
            </w:r>
          </w:p>
        </w:tc>
        <w:tc>
          <w:tcPr>
            <w:tcW w:w="819" w:type="dxa"/>
            <w:noWrap w:val="0"/>
            <w:vAlign w:val="center"/>
          </w:tcPr>
          <w:p w14:paraId="199B890A">
            <w:pPr>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30</w:t>
            </w:r>
            <w:r>
              <w:rPr>
                <w:rFonts w:ascii="Times New Roman" w:hAnsi="Times New Roman" w:eastAsia="宋体" w:cs="Times New Roman"/>
                <w:b w:val="0"/>
                <w:bCs/>
                <w:sz w:val="24"/>
                <w:lang w:val="en-US" w:eastAsia="zh-CN"/>
              </w:rPr>
              <w:t>分</w:t>
            </w:r>
          </w:p>
        </w:tc>
      </w:tr>
      <w:tr w14:paraId="7069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65" w:type="dxa"/>
            <w:noWrap w:val="0"/>
            <w:vAlign w:val="center"/>
          </w:tcPr>
          <w:p w14:paraId="0F9753D4">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2</w:t>
            </w:r>
          </w:p>
        </w:tc>
        <w:tc>
          <w:tcPr>
            <w:tcW w:w="1397" w:type="dxa"/>
            <w:noWrap w:val="0"/>
            <w:vAlign w:val="center"/>
          </w:tcPr>
          <w:p w14:paraId="37CE52B3">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实施方案</w:t>
            </w:r>
          </w:p>
        </w:tc>
        <w:tc>
          <w:tcPr>
            <w:tcW w:w="621" w:type="dxa"/>
            <w:noWrap w:val="0"/>
            <w:vAlign w:val="center"/>
          </w:tcPr>
          <w:p w14:paraId="7AFBA3CB">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15</w:t>
            </w:r>
          </w:p>
        </w:tc>
        <w:tc>
          <w:tcPr>
            <w:tcW w:w="6172" w:type="dxa"/>
            <w:noWrap w:val="0"/>
            <w:vAlign w:val="center"/>
          </w:tcPr>
          <w:p w14:paraId="4D88E5F8">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根据实际需求做出针对性强的实施方案包含但不限于方案整体思路、方案完整性和逻辑实施要点等方面，0-15分</w:t>
            </w:r>
          </w:p>
        </w:tc>
        <w:tc>
          <w:tcPr>
            <w:tcW w:w="819" w:type="dxa"/>
            <w:vMerge w:val="restart"/>
            <w:noWrap w:val="0"/>
            <w:vAlign w:val="center"/>
          </w:tcPr>
          <w:p w14:paraId="27AD19C0">
            <w:pPr>
              <w:pStyle w:val="245"/>
              <w:spacing w:before="0" w:after="0" w:line="240" w:lineRule="auto"/>
              <w:jc w:val="center"/>
              <w:rPr>
                <w:rFonts w:hint="default" w:eastAsia="宋体"/>
                <w:szCs w:val="24"/>
                <w:lang w:val="en-US" w:eastAsia="zh-CN"/>
              </w:rPr>
            </w:pPr>
            <w:r>
              <w:rPr>
                <w:rFonts w:hint="eastAsia" w:ascii="Times New Roman" w:hAnsi="Times New Roman" w:eastAsia="宋体" w:cs="Times New Roman"/>
                <w:b w:val="0"/>
                <w:bCs/>
                <w:kern w:val="2"/>
                <w:sz w:val="24"/>
                <w:szCs w:val="24"/>
                <w:lang w:val="en-US" w:eastAsia="zh-CN" w:bidi="ar-SA"/>
              </w:rPr>
              <w:t>70分</w:t>
            </w:r>
          </w:p>
        </w:tc>
      </w:tr>
      <w:tr w14:paraId="60C6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65" w:type="dxa"/>
            <w:noWrap w:val="0"/>
            <w:vAlign w:val="center"/>
          </w:tcPr>
          <w:p w14:paraId="1F19F73D">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3</w:t>
            </w:r>
          </w:p>
        </w:tc>
        <w:tc>
          <w:tcPr>
            <w:tcW w:w="1397" w:type="dxa"/>
            <w:noWrap w:val="0"/>
            <w:vAlign w:val="center"/>
          </w:tcPr>
          <w:p w14:paraId="0B7B56E4">
            <w:pPr>
              <w:ind w:firstLine="28"/>
              <w:jc w:val="center"/>
              <w:rPr>
                <w:rFonts w:hint="eastAsia" w:ascii="Times New Roman" w:hAnsi="Times New Roman" w:eastAsia="宋体" w:cs="Times New Roman"/>
                <w:b w:val="0"/>
                <w:bCs/>
                <w:sz w:val="24"/>
                <w:lang w:val="en-US" w:eastAsia="zh-CN"/>
              </w:rPr>
            </w:pPr>
          </w:p>
          <w:p w14:paraId="09C85534">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项目需求理解</w:t>
            </w:r>
          </w:p>
          <w:p w14:paraId="185F1DEC">
            <w:pPr>
              <w:ind w:firstLine="28"/>
              <w:jc w:val="center"/>
              <w:rPr>
                <w:rFonts w:hint="eastAsia" w:ascii="Times New Roman" w:hAnsi="Times New Roman" w:eastAsia="宋体" w:cs="Times New Roman"/>
                <w:b w:val="0"/>
                <w:bCs/>
                <w:sz w:val="24"/>
                <w:lang w:val="en-US" w:eastAsia="zh-CN"/>
              </w:rPr>
            </w:pPr>
          </w:p>
        </w:tc>
        <w:tc>
          <w:tcPr>
            <w:tcW w:w="621" w:type="dxa"/>
            <w:noWrap w:val="0"/>
            <w:vAlign w:val="center"/>
          </w:tcPr>
          <w:p w14:paraId="27E7F710">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5</w:t>
            </w:r>
          </w:p>
        </w:tc>
        <w:tc>
          <w:tcPr>
            <w:tcW w:w="6172" w:type="dxa"/>
            <w:noWrap w:val="0"/>
            <w:vAlign w:val="center"/>
          </w:tcPr>
          <w:p w14:paraId="469078F0">
            <w:pPr>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对项目需求理解包  含但不限于①采购需求和布置环境特点；②项目实施重点；0-5分</w:t>
            </w:r>
          </w:p>
          <w:p w14:paraId="1A6C9CE6">
            <w:pPr>
              <w:ind w:firstLine="28"/>
              <w:jc w:val="center"/>
              <w:rPr>
                <w:rFonts w:hint="default" w:ascii="Times New Roman" w:hAnsi="Times New Roman" w:eastAsia="宋体" w:cs="Times New Roman"/>
                <w:b w:val="0"/>
                <w:bCs/>
                <w:sz w:val="24"/>
                <w:lang w:val="en-US" w:eastAsia="zh-CN"/>
              </w:rPr>
            </w:pPr>
          </w:p>
        </w:tc>
        <w:tc>
          <w:tcPr>
            <w:tcW w:w="819" w:type="dxa"/>
            <w:vMerge w:val="continue"/>
            <w:noWrap w:val="0"/>
            <w:vAlign w:val="center"/>
          </w:tcPr>
          <w:p w14:paraId="57F006FC">
            <w:pPr>
              <w:ind w:left="-38" w:firstLine="224" w:firstLineChars="0"/>
              <w:jc w:val="center"/>
              <w:rPr>
                <w:sz w:val="24"/>
              </w:rPr>
            </w:pPr>
          </w:p>
        </w:tc>
      </w:tr>
      <w:tr w14:paraId="3D41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65" w:type="dxa"/>
            <w:noWrap w:val="0"/>
            <w:vAlign w:val="center"/>
          </w:tcPr>
          <w:p w14:paraId="50277589">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4</w:t>
            </w:r>
          </w:p>
        </w:tc>
        <w:tc>
          <w:tcPr>
            <w:tcW w:w="1397" w:type="dxa"/>
            <w:noWrap w:val="0"/>
            <w:vAlign w:val="center"/>
          </w:tcPr>
          <w:p w14:paraId="1C186266">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质量保证及措施</w:t>
            </w:r>
          </w:p>
          <w:p w14:paraId="3EFE6B65">
            <w:pPr>
              <w:ind w:firstLine="28"/>
              <w:jc w:val="center"/>
              <w:rPr>
                <w:rFonts w:hint="eastAsia" w:ascii="Times New Roman" w:hAnsi="Times New Roman" w:eastAsia="宋体" w:cs="Times New Roman"/>
                <w:b w:val="0"/>
                <w:bCs/>
                <w:sz w:val="24"/>
                <w:lang w:val="en-US" w:eastAsia="zh-CN"/>
              </w:rPr>
            </w:pPr>
          </w:p>
        </w:tc>
        <w:tc>
          <w:tcPr>
            <w:tcW w:w="621" w:type="dxa"/>
            <w:noWrap w:val="0"/>
            <w:vAlign w:val="center"/>
          </w:tcPr>
          <w:p w14:paraId="78B5D81F">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5</w:t>
            </w:r>
          </w:p>
        </w:tc>
        <w:tc>
          <w:tcPr>
            <w:tcW w:w="6172" w:type="dxa"/>
            <w:noWrap w:val="0"/>
            <w:vAlign w:val="center"/>
          </w:tcPr>
          <w:p w14:paraId="18A47BB8">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质量保证及措施（包括但不限于：①质量控制；②工艺；③保证和措施）0-5分</w:t>
            </w:r>
          </w:p>
        </w:tc>
        <w:tc>
          <w:tcPr>
            <w:tcW w:w="819" w:type="dxa"/>
            <w:vMerge w:val="continue"/>
            <w:noWrap w:val="0"/>
            <w:vAlign w:val="center"/>
          </w:tcPr>
          <w:p w14:paraId="3A3F145B">
            <w:pPr>
              <w:ind w:left="0"/>
              <w:jc w:val="center"/>
              <w:rPr>
                <w:sz w:val="24"/>
              </w:rPr>
            </w:pPr>
          </w:p>
        </w:tc>
      </w:tr>
      <w:tr w14:paraId="3FC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65" w:type="dxa"/>
            <w:noWrap w:val="0"/>
            <w:vAlign w:val="center"/>
          </w:tcPr>
          <w:p w14:paraId="09DBC524">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5</w:t>
            </w:r>
          </w:p>
        </w:tc>
        <w:tc>
          <w:tcPr>
            <w:tcW w:w="1397" w:type="dxa"/>
            <w:noWrap w:val="0"/>
            <w:vAlign w:val="center"/>
          </w:tcPr>
          <w:p w14:paraId="5909C4D2">
            <w:pPr>
              <w:ind w:firstLine="28"/>
              <w:jc w:val="center"/>
              <w:rPr>
                <w:rFonts w:hint="eastAsia" w:ascii="Times New Roman" w:hAnsi="Times New Roman" w:eastAsia="宋体" w:cs="Times New Roman"/>
                <w:b w:val="0"/>
                <w:bCs/>
                <w:sz w:val="24"/>
                <w:lang w:val="en-US" w:eastAsia="zh-CN"/>
              </w:rPr>
            </w:pPr>
          </w:p>
          <w:p w14:paraId="54B618D1">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供货期保证措施和计划</w:t>
            </w:r>
          </w:p>
          <w:p w14:paraId="1D930DB9">
            <w:pPr>
              <w:ind w:firstLine="28"/>
              <w:jc w:val="center"/>
              <w:rPr>
                <w:rFonts w:hint="eastAsia" w:ascii="Times New Roman" w:hAnsi="Times New Roman" w:eastAsia="宋体" w:cs="Times New Roman"/>
                <w:b w:val="0"/>
                <w:bCs/>
                <w:sz w:val="24"/>
                <w:lang w:val="en-US" w:eastAsia="zh-CN"/>
              </w:rPr>
            </w:pPr>
          </w:p>
        </w:tc>
        <w:tc>
          <w:tcPr>
            <w:tcW w:w="621" w:type="dxa"/>
            <w:noWrap w:val="0"/>
            <w:vAlign w:val="center"/>
          </w:tcPr>
          <w:p w14:paraId="44E9F011">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10</w:t>
            </w:r>
          </w:p>
        </w:tc>
        <w:tc>
          <w:tcPr>
            <w:tcW w:w="6172" w:type="dxa"/>
            <w:noWrap w:val="0"/>
            <w:vAlign w:val="center"/>
          </w:tcPr>
          <w:p w14:paraId="2FC218C7">
            <w:pPr>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供货期保证措施和计划（包括但不限于：①进度计划；</w:t>
            </w:r>
          </w:p>
          <w:p w14:paraId="357BF20D">
            <w:pPr>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②进度控制和供货期保证措施等），0-10分</w:t>
            </w:r>
          </w:p>
          <w:p w14:paraId="652E1D9D">
            <w:pPr>
              <w:ind w:firstLine="28"/>
              <w:jc w:val="center"/>
              <w:rPr>
                <w:rFonts w:hint="eastAsia" w:ascii="Times New Roman" w:hAnsi="Times New Roman" w:eastAsia="宋体" w:cs="Times New Roman"/>
                <w:b w:val="0"/>
                <w:bCs/>
                <w:sz w:val="24"/>
                <w:lang w:val="en-US" w:eastAsia="zh-CN"/>
              </w:rPr>
            </w:pPr>
          </w:p>
        </w:tc>
        <w:tc>
          <w:tcPr>
            <w:tcW w:w="819" w:type="dxa"/>
            <w:vMerge w:val="continue"/>
            <w:noWrap w:val="0"/>
            <w:vAlign w:val="center"/>
          </w:tcPr>
          <w:p w14:paraId="763C0141">
            <w:pPr>
              <w:ind w:left="0"/>
              <w:jc w:val="center"/>
              <w:rPr>
                <w:sz w:val="24"/>
              </w:rPr>
            </w:pPr>
          </w:p>
        </w:tc>
      </w:tr>
      <w:tr w14:paraId="104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465" w:type="dxa"/>
            <w:noWrap w:val="0"/>
            <w:vAlign w:val="center"/>
          </w:tcPr>
          <w:p w14:paraId="34A2298D">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6</w:t>
            </w:r>
          </w:p>
        </w:tc>
        <w:tc>
          <w:tcPr>
            <w:tcW w:w="1397" w:type="dxa"/>
            <w:noWrap w:val="0"/>
            <w:vAlign w:val="center"/>
          </w:tcPr>
          <w:p w14:paraId="3971DF22">
            <w:pPr>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设计效果</w:t>
            </w:r>
          </w:p>
        </w:tc>
        <w:tc>
          <w:tcPr>
            <w:tcW w:w="621" w:type="dxa"/>
            <w:noWrap w:val="0"/>
            <w:vAlign w:val="center"/>
          </w:tcPr>
          <w:p w14:paraId="38D5F030">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25</w:t>
            </w:r>
          </w:p>
        </w:tc>
        <w:tc>
          <w:tcPr>
            <w:tcW w:w="6172" w:type="dxa"/>
            <w:noWrap w:val="0"/>
            <w:vAlign w:val="center"/>
          </w:tcPr>
          <w:p w14:paraId="59E8173C">
            <w:pPr>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根据项目清单及采购需求内容，投标人根据自身对项目熟悉程度及需求可自行前往项目所在地进行考察，并制定、设计出符合需方要求的成果，可根据提供的设计效果图等图纸进行综合评审，0-25分。</w:t>
            </w:r>
          </w:p>
        </w:tc>
        <w:tc>
          <w:tcPr>
            <w:tcW w:w="819" w:type="dxa"/>
            <w:vMerge w:val="continue"/>
            <w:noWrap w:val="0"/>
            <w:vAlign w:val="center"/>
          </w:tcPr>
          <w:p w14:paraId="3943F491">
            <w:pPr>
              <w:ind w:left="0"/>
              <w:jc w:val="center"/>
              <w:rPr>
                <w:sz w:val="24"/>
              </w:rPr>
            </w:pPr>
          </w:p>
        </w:tc>
      </w:tr>
      <w:tr w14:paraId="36FD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65" w:type="dxa"/>
            <w:noWrap w:val="0"/>
            <w:vAlign w:val="center"/>
          </w:tcPr>
          <w:p w14:paraId="21BB3502">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7</w:t>
            </w:r>
          </w:p>
        </w:tc>
        <w:tc>
          <w:tcPr>
            <w:tcW w:w="1397" w:type="dxa"/>
            <w:noWrap w:val="0"/>
            <w:vAlign w:val="center"/>
          </w:tcPr>
          <w:p w14:paraId="5F1117CB">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售后服务</w:t>
            </w:r>
          </w:p>
          <w:p w14:paraId="31302970">
            <w:pPr>
              <w:ind w:firstLine="28"/>
              <w:jc w:val="center"/>
              <w:rPr>
                <w:rFonts w:hint="eastAsia" w:ascii="Times New Roman" w:hAnsi="Times New Roman" w:eastAsia="宋体" w:cs="Times New Roman"/>
                <w:b w:val="0"/>
                <w:bCs/>
                <w:sz w:val="24"/>
                <w:lang w:val="en-US" w:eastAsia="zh-CN"/>
              </w:rPr>
            </w:pPr>
          </w:p>
        </w:tc>
        <w:tc>
          <w:tcPr>
            <w:tcW w:w="621" w:type="dxa"/>
            <w:noWrap w:val="0"/>
            <w:vAlign w:val="center"/>
          </w:tcPr>
          <w:p w14:paraId="0B623124">
            <w:pPr>
              <w:ind w:firstLine="28"/>
              <w:jc w:val="center"/>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10</w:t>
            </w:r>
          </w:p>
        </w:tc>
        <w:tc>
          <w:tcPr>
            <w:tcW w:w="6172" w:type="dxa"/>
            <w:noWrap w:val="0"/>
            <w:vAlign w:val="center"/>
          </w:tcPr>
          <w:p w14:paraId="589DA6C8">
            <w:pPr>
              <w:ind w:firstLine="28"/>
              <w:jc w:val="center"/>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根据售后服务承诺包含但不限于方案内容、履约能力和售后服务水平及应急保障方案等综合评审，0-10分。</w:t>
            </w:r>
          </w:p>
          <w:p w14:paraId="37A5F4B5">
            <w:pPr>
              <w:ind w:firstLine="28"/>
              <w:jc w:val="center"/>
              <w:rPr>
                <w:rFonts w:hint="eastAsia" w:ascii="Times New Roman" w:hAnsi="Times New Roman" w:eastAsia="宋体" w:cs="Times New Roman"/>
                <w:b w:val="0"/>
                <w:bCs/>
                <w:sz w:val="24"/>
                <w:lang w:val="en-US" w:eastAsia="zh-CN"/>
              </w:rPr>
            </w:pPr>
          </w:p>
        </w:tc>
        <w:tc>
          <w:tcPr>
            <w:tcW w:w="819" w:type="dxa"/>
            <w:vMerge w:val="continue"/>
            <w:noWrap w:val="0"/>
            <w:vAlign w:val="center"/>
          </w:tcPr>
          <w:p w14:paraId="3B112AAD">
            <w:pPr>
              <w:ind w:left="0"/>
              <w:jc w:val="center"/>
              <w:rPr>
                <w:sz w:val="24"/>
              </w:rPr>
            </w:pPr>
          </w:p>
        </w:tc>
      </w:tr>
      <w:tr w14:paraId="338C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62" w:type="dxa"/>
            <w:gridSpan w:val="2"/>
            <w:noWrap w:val="0"/>
            <w:vAlign w:val="center"/>
          </w:tcPr>
          <w:p w14:paraId="66F07AAC">
            <w:pPr>
              <w:ind w:firstLine="28"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综合评审</w:t>
            </w:r>
          </w:p>
        </w:tc>
        <w:tc>
          <w:tcPr>
            <w:tcW w:w="621" w:type="dxa"/>
            <w:noWrap w:val="0"/>
            <w:vAlign w:val="center"/>
          </w:tcPr>
          <w:p w14:paraId="742B9B86">
            <w:pPr>
              <w:ind w:firstLine="28"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合计</w:t>
            </w:r>
          </w:p>
        </w:tc>
        <w:tc>
          <w:tcPr>
            <w:tcW w:w="6991" w:type="dxa"/>
            <w:gridSpan w:val="2"/>
            <w:noWrap w:val="0"/>
            <w:vAlign w:val="center"/>
          </w:tcPr>
          <w:p w14:paraId="0F14DC15">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100分</w:t>
            </w:r>
          </w:p>
        </w:tc>
      </w:tr>
    </w:tbl>
    <w:p w14:paraId="0438E998">
      <w:pPr>
        <w:tabs>
          <w:tab w:val="left" w:pos="360"/>
          <w:tab w:val="left" w:pos="900"/>
          <w:tab w:val="left" w:pos="1080"/>
          <w:tab w:val="left" w:pos="2014"/>
        </w:tabs>
        <w:snapToGrid w:val="0"/>
        <w:spacing w:line="360" w:lineRule="auto"/>
        <w:rPr>
          <w:sz w:val="24"/>
        </w:rPr>
      </w:pPr>
    </w:p>
    <w:p w14:paraId="465696B0">
      <w:pPr>
        <w:tabs>
          <w:tab w:val="left" w:pos="360"/>
          <w:tab w:val="left" w:pos="1080"/>
        </w:tabs>
        <w:snapToGrid w:val="0"/>
        <w:spacing w:line="360" w:lineRule="auto"/>
        <w:ind w:left="1080"/>
        <w:rPr>
          <w:color w:val="000000"/>
          <w:sz w:val="24"/>
        </w:rPr>
      </w:pPr>
    </w:p>
    <w:p w14:paraId="3B10F3BB">
      <w:pPr>
        <w:widowControl/>
        <w:jc w:val="left"/>
        <w:rPr>
          <w:b/>
          <w:sz w:val="36"/>
          <w:szCs w:val="36"/>
        </w:rPr>
      </w:pPr>
    </w:p>
    <w:p w14:paraId="21E12E97">
      <w:pPr>
        <w:pStyle w:val="18"/>
        <w:tabs>
          <w:tab w:val="left" w:pos="0"/>
        </w:tabs>
        <w:spacing w:line="360" w:lineRule="auto"/>
        <w:ind w:left="0" w:leftChars="0" w:firstLine="0" w:firstLineChars="0"/>
        <w:jc w:val="both"/>
        <w:outlineLvl w:val="0"/>
        <w:rPr>
          <w:b/>
          <w:sz w:val="36"/>
          <w:szCs w:val="36"/>
        </w:rPr>
        <w:sectPr>
          <w:pgSz w:w="11907" w:h="16840"/>
          <w:pgMar w:top="1418" w:right="1134" w:bottom="1418" w:left="1701" w:header="1134" w:footer="1134" w:gutter="0"/>
          <w:cols w:space="720" w:num="1"/>
          <w:docGrid w:linePitch="462" w:charSpace="0"/>
        </w:sectPr>
      </w:pPr>
    </w:p>
    <w:p w14:paraId="6262D6D4">
      <w:pPr>
        <w:spacing w:line="360" w:lineRule="auto"/>
        <w:jc w:val="center"/>
        <w:outlineLvl w:val="0"/>
        <w:rPr>
          <w:b/>
          <w:sz w:val="36"/>
          <w:szCs w:val="36"/>
        </w:rPr>
      </w:pPr>
      <w:bookmarkStart w:id="747" w:name="_Toc14738"/>
      <w:r>
        <w:rPr>
          <w:b/>
          <w:sz w:val="36"/>
          <w:szCs w:val="36"/>
        </w:rPr>
        <w:t>第五章   采购需求</w:t>
      </w:r>
      <w:bookmarkEnd w:id="747"/>
    </w:p>
    <w:tbl>
      <w:tblPr>
        <w:tblStyle w:val="42"/>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2073"/>
        <w:gridCol w:w="883"/>
        <w:gridCol w:w="847"/>
        <w:gridCol w:w="10111"/>
      </w:tblGrid>
      <w:tr w14:paraId="259E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E1519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17603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EC81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BDFC9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CF25B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r>
      <w:tr w14:paraId="5123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8DEC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CC44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超滤商用饮水机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2446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9B8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43BA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适用人数：100-150人，触控出水，铝合金柜体,6000w,380V,内置六级超滤芯，含单独电缆布线及设备安装</w:t>
            </w:r>
          </w:p>
        </w:tc>
      </w:tr>
      <w:tr w14:paraId="0307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CCB2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E5D4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信息发布一体机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7C23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35A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9F44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根据甲方要求定制政务信息公开，实时资讯查询，地图导览等定制化功能</w:t>
            </w:r>
          </w:p>
        </w:tc>
      </w:tr>
      <w:tr w14:paraId="31C9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618F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E6CC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电动擦鞋机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1E6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0875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962E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全自动感应，直流双电机，带保养鞋面功能，内置电池</w:t>
            </w:r>
          </w:p>
        </w:tc>
      </w:tr>
      <w:tr w14:paraId="5974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DEB7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6629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电路材料防火镀锌管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02E6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D1A1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6141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国标、25mm*3000mm</w:t>
            </w:r>
          </w:p>
        </w:tc>
      </w:tr>
      <w:tr w14:paraId="2574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3C8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D7B3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暗装盒</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400B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BAA7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9EEE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w:t>
            </w:r>
          </w:p>
        </w:tc>
      </w:tr>
      <w:tr w14:paraId="7BF8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87BD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BF2E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51B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9C2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AB9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五孔，ABS</w:t>
            </w:r>
          </w:p>
        </w:tc>
      </w:tr>
      <w:tr w14:paraId="79AD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42FF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428F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1289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D311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9337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PC，86型</w:t>
            </w:r>
          </w:p>
        </w:tc>
      </w:tr>
      <w:tr w14:paraId="7D0C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97AB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3DE4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智慧显示终端</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55AE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5FF6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06EF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智慧屏含智慧系统，语音系统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 65英寸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屏幕比例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背光源 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背光方式 直下式（D-LED）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 144Hz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可视角度 178/178度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 6.5ms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屏幕亮度 200cd/㎡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色准 BT.709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广色域 130%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屏占比 ≥97%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120W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HDMI接口 3*HDMI2.1 2*HDMI2.0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 1×网络接口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 1×USB2.0，1×USB3.0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 AV接口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电源性能 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产品功耗 190W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尺寸重量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含底座重量 14.5kg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产品颜色 黑色</w:t>
            </w:r>
          </w:p>
        </w:tc>
      </w:tr>
      <w:tr w14:paraId="1975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8C00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2C12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数字体感体验系统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C332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0FC4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21E4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1、拥有独家定制IP元素的高颜值外观，具有硬件外观设计专利；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★2、占地面积仅5㎡的小空间却云集内容；将行走空间利用最大化；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VR头盔连接平台，不会轻易被取出拿走；平台内内有控制台，可控制头盔；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4、VR 头盔外包软性材料，耐摔耐用，适合公共场所使用；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5、电源接口隐藏在机身底部，无法从外界插拔断电；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6、插电即开机，拔电实现VR显示屏立即关机；便于维护，确保安全；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7、人体工程学虚拟现实眼镜，保障佩戴舒适度，调节式耳机适用多群体客户；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8、极具仪式感的体验平台,大空间安全护栏设计,设备、主控平台一体机设计精准定位动作捕捉基站,高清大屏，实时动作内容同步播放。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重量/功率：400KG/220V/1000W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尺寸：2580*2020*2550mm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玩家：1人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占地面积：5.2㎡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基站固定槽：双基站固定槽头顶一个，主合金支撑前方一个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走线方式：整套VR设备、灯光设施、电源、主机等线材均不能外露，内部走线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控制平台：一体拼接式，集成21寸控制屏幕，内部放置VR主机客户端，音响，抽拉式便携抽屉，放置无线键鼠套装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头显降落区间：离地60-210cm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安全锁扣：不小于3个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背面散热盖板：蜂窝散热孔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底部灯光效果：透明亚克力+跑马灯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分辨率：单眼分辨率1440 X 1700 (双眼分辨率2880 X 1700 )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刷新率：90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视场角：最大110度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音频：立体声耳机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输入：集成麦克风，头戴式设备按钮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连接口：USB-C 3.0，DP 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传感器：G-SENSOR校正，陀螺仪，瞳距校正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人体工学设计：翻盖式面罩，可调整瞳距，可调式头带</w:t>
            </w:r>
          </w:p>
        </w:tc>
      </w:tr>
      <w:tr w14:paraId="34D3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12E6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80FA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3Dvr显示系统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0762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56E1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220F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CPU：Qualcomm APQ8096SG；        GPU：Adreno 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DSP：Hexagon 680；                        音频：立体声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屏幕：5.5inch QuadHD 2560*1440；  尺寸：181.9*104.4*116.2mm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内存：4GB；                      网络处理器：WIFI+BT 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操作系统：Andriod 7.0以上；              刷新率：800Hz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USB：Micro 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电池：聚合物锂电池4000mAh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镜片：双非球面亚克力镜片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 观赏完整画面，享受逼真的视觉冲击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空间定位追踪设置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站姿/坐姿:无最小空间限制</w:t>
            </w:r>
          </w:p>
        </w:tc>
      </w:tr>
      <w:tr w14:paraId="75CE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CB8C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74CA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中控系统主机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A4BC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DDBE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D2F1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CPU：I5-9400F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内存：8G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硬盘：240G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主板：H310M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显卡：1660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主系统：windows 10 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接口：USB接口≥5个，可进行USB端口屏蔽；串口1个。</w:t>
            </w:r>
          </w:p>
        </w:tc>
      </w:tr>
      <w:tr w14:paraId="5D6B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3AE7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CB75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3D定制软件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2639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6D8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6D07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根据甲方定制灾害逃生，消防常识，公共卫生，心理健康，科普科学，安全生产，法制宣传，急救等3D软件内容</w:t>
            </w:r>
          </w:p>
        </w:tc>
      </w:tr>
      <w:tr w14:paraId="0754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04B3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1828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多维触控数字模拟平台</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DFCD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D11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9B47809">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面板尺寸：43寸；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色彩饱和度：0.97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面板类型：LED液晶；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亮度：450 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显示面积：941×529 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对比度：3000：1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分辨率：1920×1080；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触控点数：40点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互动类型 ：物体识别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 :  450 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识别精度 : 310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标配令牌  : 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主机CPU：10100F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主板：H510M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 ：5600XT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 8G DDR4 2666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 ：256G 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 ：802.ac</w:t>
            </w:r>
          </w:p>
        </w:tc>
      </w:tr>
      <w:tr w14:paraId="29C7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F7B4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0ABA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数字模拟定制软件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28EE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ADD6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7472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根据甲方定制软件，包含内含：不忘初心 牢记使命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习近平新时代中国特色社会主义思想学习纲要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决战决胜脱贫攻坚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持续不断推进“三农”工作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全面建成小康社会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党的十九届四中全会精神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全面从严治党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党史博览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构建人类合运共同体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党风廉政建设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党的十九届五中全会精神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庆祝中国共产党成立100周年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党史军史教育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党的二十大精神等。</w:t>
            </w:r>
          </w:p>
        </w:tc>
      </w:tr>
      <w:tr w14:paraId="542C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D5FD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1E21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AR智慧显示终端</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F7CA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E7B8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9681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智慧屏含智慧系统，语音系统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 55英寸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屏幕比例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背光源 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背光方式 直下式（D-LED）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 144Hz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可视角度 178/178度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 6.5ms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屏幕亮度 200cd/㎡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色准 BT.709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广色域 130%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屏占比 ≥97%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120W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HDMI接口 3*HDMI2.1 2*HDMI2.0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 1×网络接口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 1×USB2.0，1×USB3.0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 AV接口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电源性能 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产品功耗 190W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尺寸重量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含底座重量 14.5kg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产品颜色 黑色</w:t>
            </w:r>
          </w:p>
        </w:tc>
      </w:tr>
      <w:tr w14:paraId="39A0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01B6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345F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交互式数字触控系统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67C0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1E6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38C6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55寸触摸一体机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触摸类型：表面红外触摸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显示比例：16:9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输入接口：USB接口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使用寿命：大于6000万次点击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输入接口：VGA 15针接口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操作系统：WIN7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CPU：I7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硬盘：120G固态硬盘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含冷轧钢板金属烤漆柜体、内容制作、壁挂架、调试、相应辅材等</w:t>
            </w:r>
          </w:p>
        </w:tc>
      </w:tr>
      <w:tr w14:paraId="7C60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F1DD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A93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322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6427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A8A2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CPU：四核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 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闪存 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 Android 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输出分辨率 4K（3840*2160）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视频播放 视频解码：H.265 4K2K@60帧/秒；H.264 4K2K@30帧/秒；MPEG1/2/4、VC-1、DivX4/5可至1920*1080P@60帧/秒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视频格式：RM、RMVB、FLV、MOV、AVI、MKV、 TS、M2TS、MP4、3GP、MPEG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支持3D视频输出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音频播放 视频格式：MP4，MKV，FLV，AVI，MOV，RMVB，MPEG，MPG，3GP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音频格式：MP3、APE、Flac、AAC、Ogg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图片格式 JPG，BMP，GIF，PNG等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字幕格式 简体中文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无线功能 支持，双频WiFi（2.4GHz/5GHz）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其他功能 点播，本地播放，语音交互，投屏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视频接口 HDMI 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音频接口 AV接口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其它接口 USB2.0*1 电源接口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其它参数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遥控器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电源电压 100-240V/50-60Hz，输入5.2V，输出1.9A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外形设计 颜色：白色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材质：ABS纠错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 95x95x16mm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 145g</w:t>
            </w:r>
          </w:p>
        </w:tc>
      </w:tr>
      <w:tr w14:paraId="3D2C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3B6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1792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智慧显示终端</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A169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CE1E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84E4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智慧屏含智慧系统，语音系统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 65英寸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屏幕比例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背光源 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背光方式 直下式（D-LED）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 144Hz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可视角度 178/178度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 6.5ms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屏幕亮度 200cd/㎡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色准 BT.709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广色域 130%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屏占比 ≥97%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120W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HDMI接口 3*HDMI2.1 2*HDMI2.0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 1×网络接口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 1×USB2.0，1×USB3.0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 AV接口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电源性能 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产品功耗 190W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尺寸重量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含底座重量 14.5kg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产品颜色 黑色</w:t>
            </w:r>
          </w:p>
        </w:tc>
      </w:tr>
      <w:tr w14:paraId="295E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C975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07F9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高清数据线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6CD5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549B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528E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根据现场定制，实现所有设备高清输出</w:t>
            </w:r>
          </w:p>
        </w:tc>
      </w:tr>
      <w:tr w14:paraId="4162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78C9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A2B3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点阵显示单元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D8AC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0A0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771F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★像素构成：表贴三合一1515（1R1G1B）；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★点间距：≤1.86mm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★像素密度：288906点/㎡；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扫描方式：43扫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★模组分辨率：172*86；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★模组尺寸：320*160mm；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★光学性能：基色主波长误差为C 级 ΔλD≤5，视角（水平、垂直）：170°±5°；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★机械性能：平整度：≤0.1mm，箱体间缝隙≤0.1mm，像素中心距相对偏差&lt;3%；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★最大功耗：≤650W/㎡；平均功耗300W/㎡，睡眠模式功率密度≤150W/㎡；能源效率：≥2.4cd/W；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★光学特性：亮度均匀性≥98.5%，白场色坐标符合SJ/T 11141-2017 5.10.5规定，亮度鉴别等级：C 级以上，最大对比度：≥8000：1；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★色温：3000-21000可调；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★电性能：换帧频率：60Hz；刷新频率：≥3840Hz；彩色信号处理位数16bit；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★白平衡亮度：≥500cd/㎡；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★平均失效间隔工作时间：≥10000hrs；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★电源效率：效率＞90%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★对地漏电流：对地漏电流：I（漏）≤3.5mA/㎡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★人眼视觉舒适度 VICO 指数≤1。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★工作噪音声压级 处理距离 r=1.0 米，噪音声压级≤5dB。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★外壳防护等级：IP40。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★恒定湿热：在样品状态：通电工作，试验温度：85℃，相对湿度；85%，试验时间：168h等情况下，产品无异常，试后正常工作。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★工作环境：在温度： -10℃－40℃，湿度：10% - 90%RH情况下，产品无异常，试后正常工作。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★在箱体内内置电源适配器(内走线)。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★箱体材质：压铸铝。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★箱体接口：具备集成在箱体内的隐藏接口，可快速插拔。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★箱体自检测试：具备箱体开机自检或一键测试的功能。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★动态节能：具备动态节能的功能。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★自检技术：具备故障智能自诊断及排查的功能。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★控制方式：计算机控制，千兆以太网(RJ5 或光纤)。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★信号输入方式：TCPIP协议，RS32/RS85。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★信号源兼容格式：至少具备 DVI及 HDMI接口，其他视频信号源兼容格式接口根据用户需求确定(如VGASDISVideo)。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★拖尾现象：不存在拖尾。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★摩尔纹：不存在摩尔纹。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★马赛克、死点：不存在马赛克、死点。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★色差：相邻色块不应存在色差。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★控制软件：具备显示屏配套专用软件。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★支持操作系统：应支持Win0、Win1 等主流操作系统，同时可支持 WinXP、Win7、Win8 操作系统。</w:t>
            </w:r>
          </w:p>
        </w:tc>
      </w:tr>
      <w:tr w14:paraId="7718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CF5A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CA0F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电源适配器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5FAB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9926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B8CC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护功能：输入欠压保护，过载保护，短路保护，过压保护。异常解除，自动恢复正常工作。2、输出功率：200W。3、额定输入电压：200-240Vac。4、输出电压：3.8-5V。5、输出电流：0-40A。△6、稳压精度：±2%。△7、纹波及噪音：≦200mV。8、输入电压范围：190-264Vac。9、功率：88%。10、散热方式：自冷。11、工作温度：-40+60℃。12、储存温度：-40+80℃。13、工作相对湿度：10～50%RH,无冷凝。</w:t>
            </w:r>
          </w:p>
        </w:tc>
      </w:tr>
      <w:tr w14:paraId="2654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6F3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5BEF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图形接收器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F0D3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E9C5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9D24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1.集成12路HUB75接口，无需再配转接板，更方便，成本更低；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2.单卡带载面积：常规：128×1024像素，PWM：192×1024像素，士兰：162×1024像素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3.支持8bit色深视频源输入输出，单色灰阶为256，可搭配出16777216种混合色彩。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4.自适应帧率技术，不仅支持23.98/24/29.97/30/50/59.94/60Hz常规及非整数帧率，还可输出显示120Hz高帧率画面，大幅提升画面流畅度、减少拖影。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5.支持色温调节，提供调整色温，即饱和度调节，增强画面表现力。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6.通过对伽马表算法的优化，使得显示屏在降低亮度时能保持灰阶的完整无损失、完美显示，呈现低亮度高灰阶的显示效果。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7.支持亮色度逐点校正，能有效消除灯点色差，保证整屏的颜色亮度的均匀性和一致性，提升整体显示效果，并支持快速下发校正系数。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8.支持静态到128扫之间的任意扫描类型；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9.支持任意抽点、抽行抽列，支持数据组偏移，可轻松实现各种异型屏、创意显示屏；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10.24组并行RGB全彩数据或32组串行RGB数据，可扩展128组串行RGB数据，数据组可自由交换；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11.支持箱体标定标序，快速标序、画面旋转等。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12.支持环路备份、支持固件程序备份和回读、支持网线状态监测。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13.支持DC3.8V~5.5V超宽工作电压；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14.运输及存储温度为-40℃至125℃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15.工作温度范围为-25℃至75℃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★为保证信号传输的稳定性，接收卡需支持一帧延迟，发送端到显示端延迟达到一帧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★为保证显示屏整体亮度的一致性，接收卡需支持一键修缝功能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★为保证接收卡能够持久运行，需具有电击和能量危险的防护</w:t>
            </w:r>
          </w:p>
        </w:tc>
      </w:tr>
      <w:tr w14:paraId="5B23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713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8D7D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视频处理器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2AEC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748B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E48E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1.设备具有1路DVI输入和3路HDMI1.4输入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2.设备具有音频输入输出，可接受电脑等设备的输入音频以及可输出音频至音响等设备，可进行HDMI音频解析输出。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3.支持最大带载720万像素点，最宽可达8192点，或最高可达4096点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4.设备支持单路最大输入分辨率1920×1200@60Hz，支持分辨率任意设置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5.支持12路千兆网口输出，支持单机或双机冗余备份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6.支持视频源任意切换、裁剪，拼接，缩放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7.支持3画面显示，窗口位置、大小可自由调节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8.支持HDCP1.4协议的高带宽数字内容保护技术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9.双USB2.0高速通讯接口，用于电脑调试和主控间任意级联。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10.支持RS232串口协议控制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11.支持亮度、色温调节，支持对比度、色调、饱和度调节。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12.支持低亮高灰，能有效地保持低亮下灰阶的完整显示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★为保证节能环保，设备可通过与多功能卡的配合实现自动亮度调节，根据环境照度的改变自动调节显示屏的亮度，达到最佳显示效果。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★支持在没有外部视频源接入的情况下，自生成16种测试模式，包括纯色、渐变色、竖条横条、左右斜条；也可自定义图案用来检查LED显示屏的基本显示是否正常。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★连接关系来自发送器，可以将LED屏幕的连接方式保存至发送器内，更换LED屏体内部接收卡时，无需重新设置屏幕连接关系。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★为有效避免有限动态范围画面在LED显示屏上呈现黑色时有暗亮的问题，支持有限转完全功能，可将输入的有限动态范围画面调整至全范围输出。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★视频控制设备可支持EUT的连接方法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★为高效兼容交流电网电源的连接方式，视频控制设备可支持与交流电网电源的单独连接</w:t>
            </w:r>
          </w:p>
        </w:tc>
      </w:tr>
      <w:tr w14:paraId="3994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5FC2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E7B7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控制系统软件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4AE1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4F29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B526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软件功能丰富、性能优越，兼具良好 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 及三维特效动画，让显示屏的显示效果得到完美展现。</w:t>
            </w:r>
          </w:p>
        </w:tc>
      </w:tr>
      <w:tr w14:paraId="2957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29BD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FF16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数据串线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98DE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F710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066C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16P数据串线</w:t>
            </w:r>
          </w:p>
        </w:tc>
      </w:tr>
      <w:tr w14:paraId="21AE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C15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B1C3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网络串线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4463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6B3E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72FC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6类国标网线</w:t>
            </w:r>
          </w:p>
        </w:tc>
      </w:tr>
      <w:tr w14:paraId="7A6A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3CAA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575A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E10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DE4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4931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rvv3*6平方三芯电缆</w:t>
            </w:r>
          </w:p>
        </w:tc>
      </w:tr>
      <w:tr w14:paraId="46ED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286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06EB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喷漆护架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2B87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0015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DB6A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铝合金喷漆护架</w:t>
            </w:r>
          </w:p>
        </w:tc>
      </w:tr>
      <w:tr w14:paraId="5261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3F4F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4594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D6B4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F6A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2384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铁质后支撑架</w:t>
            </w:r>
          </w:p>
        </w:tc>
      </w:tr>
      <w:tr w14:paraId="4E06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2DEC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0B41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AFE2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40A3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E38E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yjv4*25+1*16</w:t>
            </w:r>
          </w:p>
        </w:tc>
      </w:tr>
      <w:tr w14:paraId="08EE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6D4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D067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智慧配电系统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758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A1BC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DD3E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1.具备手动控制设备供电的开启和关闭;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2.单组回路输出，标配为手动控制，可添加定时开关控制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3.具备上电保护功能。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4.具有电源状态指示、运行状态指示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5.内部线材采用正泰4平方国标纯铜导线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产品设计符合CCC认证标准，符合IEC 60439-2、IEC60439-1、GB7251.1、GB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7251.3、GB7251.8标准。</w:t>
            </w:r>
          </w:p>
        </w:tc>
      </w:tr>
      <w:tr w14:paraId="431C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C270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A6C5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流媒体服务器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AA6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D9A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23F1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1、1U金属结构机箱；外壳防护等级符合 GB/T 4208-2017中 IP20 的要求；噪声不大于 45dB（A）；6核12线程3.30GHz主频高速处理器、16G DDR4 2666 高速内存、250 固态硬盘，企业版操作系统；MTBF 不小于300000 小时，平均修复时间 MTTR小于15 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2、支持1 路 DP 输出，接口分辨率可设置为4096*2160@60Hz，单接口极限宽度可设置为 8192，单口极限高度可设置 4095。支持4 路 HDMI 输出，第一个接口可设置为 4K 模式，分辨率可以设置为 4096*2160@60Hz，单接口极限宽度可设置为 8192，单口极限高度可设置 4095，此时另外三个 HDMI 接口禁用。第一个接口设置为 2K 模式时，4 个 HDMI 口可同时输出，分辨率设置为 1920*1080@60hz,单口极限宽度 2048，极限高度 1280；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3、支持一键硬件开关机控制和一键软件远程开关机控制，支持6路 USB 接口、1 路 3.5mm 麦克风音频输入接口、1 路 3.5mm音频输出接口，支持千兆网口通讯，支持第三方通过 TCP、UDP 进行集成控制；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4、支持不少于10 台设备联机控制，通过一台主机控制其他从机进行素材下发、画面编辑、属性编辑、节目切换、进度调整；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5、支持输出接口的任意拆分重组以及任意角度旋转，实现对不规则显示屏的拼接带载；支持1路4K输出，可以拆分成1024个子输出，每个子输出支持任意角度旋转，可对子输出接口位置任意进行排序；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6、支持可视化智控平台移动端程序对播放画面的编辑和控制；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7、支持从本地媒体画面或输入源画面中拾取颜色，然后按照拾取的颜色进行抠像处理；支持在媒体库中添加本地的视频文件、图片文件、音频文件、字幕、数字时钟、PPT 文件、NDI 媒体、采集设备、多网页、流媒体、播放合集；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节目整体播放、暂停、停止、音量调节，单个媒体的音量调节，单个视频裁剪，支持多画面同时播放时按照主计时媒体进行跳转，节目锁定。支持排期播放和播放日志查看功能。支持软件异常后恢复正常播放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9、支持素材可视化编辑、拖拽、复制、黏贴、多选、锁定、替换，属性调节和属性继承；支持节目的编辑、复制、黏贴；支持素材播控进度的自由控制、正计时、倒计时进度查看，支持输出画面解锁功能；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10、支持多页签功能播放多个网页，降低网页播放资源占用；支持转码功能，可实现 H.264（AVC）、H.265（HEVC）编码或 VP9 编码的转码播放；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11、支持多种视频、图片、音频、office文件的播放；视频格式支持不少于：H.265 (HEVC)、 VP9、HAP, HAP-Alpha、VC1、AV1、ProRes、MPEG4、WMV2等；图片格式支持不少于：jpeg、bmp、png、gif等；音频格式支持不少于：aac、flac、amr、ape、wav、wma等；office文件支持不少于：ppt、pptx；</w:t>
            </w:r>
          </w:p>
        </w:tc>
      </w:tr>
      <w:tr w14:paraId="25EE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2078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C6BC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配电系统箱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48F6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37EE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74CB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支持弱电按钮控制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单组回路输出，标配为手动控制，可添加定时开关控制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具备上电保护功能。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具有电源状态指示、运行状态指示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内部线材采用正泰6平方国标纯铜导线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产品设计符合CCC认证标准，符合IEC 60439-2、IEC60439-1、GB7251.1、GB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7251.3、GB7251.8标准。</w:t>
            </w:r>
          </w:p>
        </w:tc>
      </w:tr>
      <w:tr w14:paraId="214D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50EC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AACC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音频转换器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8C26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215B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9CCD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1.麦克风输入：10路（10个卡侬接口）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2.线路输入：8路单插单声道/立体声自动切换混合接口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3.立体声输入通道：2组（4路单声道）、4路RCA输入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4.输出通道：2组立体主输出、4路编组输出、4路辅助输出、1组立体声监听输出、1个耳机监听输出、1个效果输出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5.INSERT：1组主混音断点插入、8个断点插入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6.USB接口：外接U盘播放音乐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7.无线连接：内置蓝牙无线收发器，可连接手机进行播放音乐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8.效果器：24位DSP效果器（包括人声、小房子、大厅、回声、回声+回响、盘子、声乐板、合唱GTR，旋转GTR、颤音GTR类型），100种预设效果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9.USB声卡端口：支持电脑录音/播放，通过CH13/14通道回放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10.幻象电源：CH1-CH8每路通道带48V幻象开关独立控制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11.频率响应：20Hz-20kHz，±2dB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12.失真度：&lt;0.03% at+0dB,22Hz-22KHz A-weighted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13.灵敏度：+20dB~-30dB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14.信噪比：&lt;-100dBr A-weighted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15.单声道均衡：高频：+/-15dB @12KHz；中频：+/-15dB @100Hz-8KHz；低频：+/-15dB @80Hz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16.立体声均衡：高频：+/-15dB @12KHz；中频：+/-15dB @3KHz or +/-15dB @500Hz；低频：+/-15dB @80Hz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17.主混音串音：&lt;-80dB @0dB 20Hz-22KHz A-weighted，主输出：0dB,其他通道：最小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18.电平表：2x12-点距LED电平指示表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19.供电电压：AC 100-240V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20.额定功率：30W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21.尺寸（L×W×H）：440×480×108mm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22.重量：7.5Kg</w:t>
            </w:r>
          </w:p>
        </w:tc>
      </w:tr>
      <w:tr w14:paraId="7E1D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317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BDCA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AE3A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44FA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D7D3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1.输出功率：立体声@8Ω：850W×2；立体声@4Ω：850W×2；桥接@8Ω：1700W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2.输入灵敏度：2.2dBu(1V)/8.2dBu(2V)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3.输入阻抗：10KΩ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4.频率响应(@1W功率下)：20Hz-20KHz/±1dB @8Ω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5.THD+N(@1/8功率下) ：≤0.01%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6.分离度(@1KHz) ：≥80dB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7.阻尼系数(@1KHz) ：≥200@ 8 ohms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8.信噪比（A计权）：≥100dB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9.输入电压：20V/50Hz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10.整机功耗：300W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11.产品尺寸(L*W*H)：484*255*44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12.产品重量：4.6kg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输出功率：是按CEA-2006-B/CEA-490-A标准使用20ms脉冲1kHz正弦波在1%总谐波失真下测量得出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整机功耗：依据GB4943.1-2022测试手法：在1kHz正弦波额定负载1/8功率条件下测得</w:t>
            </w:r>
          </w:p>
        </w:tc>
      </w:tr>
      <w:tr w14:paraId="5386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937F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FFD7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1283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6F1C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D415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1.与专业功放、前级效果处理器配套使用，组成一套完美音效、人声表现突出的高端娱乐会议扩声系统，适用于剧场，KTV房，高档会议室及多功能厅等，与超低音搭配可做高性能卫星箱使用。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1.采用1只12寸中低音喇叭单元和1只1.7环形聚乙烯振膜压缩高音单元。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2.箱体采用15mm夹板制作，质量轻，耐磨喷漆处理，外贴防尘网棉。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3.精确设计的分频器优化人声部分的中频表现力。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4.多个螺丝吊装孔位，一个口径35 mm的柱杆插座，多种安装方式。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2.频响：50Hz~20KHz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3.额定功率：550W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4.峰值功率：1400W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5.灵敏度：99dB/W/M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6.最大声压级（额定/峰值）：124dB/131dB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7.覆盖角度：(H)80°(V)60°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8.高音：1.7压缩高音单元×1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9.低音：12"低音×1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10.尺寸(HxWxD)：560x360x380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11.重量：19.2Kg</w:t>
            </w:r>
          </w:p>
        </w:tc>
      </w:tr>
      <w:tr w14:paraId="6731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198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1166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40F7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03D2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9971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固定面板孔位尺寸（长*宽）： 140mm*65mm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箱体固定面板孔位尺寸（长*宽）： 128mm*70mm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设备面板尺寸：150mm*90mm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重量：0.93Kg</w:t>
            </w:r>
          </w:p>
        </w:tc>
      </w:tr>
      <w:tr w14:paraId="1346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AA7C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A873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会议专用话筒</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F582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564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A5BD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1.频率范围：470-510MHz、540MHz-590MHz、640MHz-690MHz、807MHz-830MHz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2.调制方式：pi/4-DQPSK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3.频率响应：20Hz~20kHz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4.信噪比：≥105dB（XLR）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5.THD+N：＜0.1%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6.工作距离：约80m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接收机指标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1.显示屏：TFT-LCD屏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2.显示屏分辨率：240×3RGB×320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3.失真度：&lt;0.05%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4.天线接口：BNC/50Ω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5.接收灵敏度：＜-95dBm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6.最大输出：平衡输出500mV，非平衡输出1000mV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7.电源：DC 12V/1A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8.工作电流：≤320mA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9.体积(L×W×H)：443×212×44mm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10.重量：2.225kg</w:t>
            </w:r>
          </w:p>
        </w:tc>
      </w:tr>
      <w:tr w14:paraId="2E73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08A6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389F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无线主机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CD5E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AC32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F044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1.显示屏：OLED屏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2.显示屏分辨率：128×64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3.音头：动圈式麦克风（双手持话筒）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4.输出功率：≥10dBm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5.工作电流：≤200mA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6.电池：2×1.5V(AA)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7.电池使用时长：&gt;10H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8.体积(包括话筒头)：245mm×39mm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9.重量：0.4kg(含电池)</w:t>
            </w:r>
          </w:p>
        </w:tc>
      </w:tr>
      <w:tr w14:paraId="1E08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324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2995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5728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A9D7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1438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1.输入通道：前级放大、信号发生器、12段参量均衡调节、输入模块、输入均衡器、扩展器、压缩器、自动增益、闪避器、反馈抑制、回声消除、噪声消除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2.输出通道：31 段图示均衡调节、限幅器、输出均衡器、延时器、输出模块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3.处理器：48kHz采样频率，64-bit DSP处理器；32-bit A/D及D/A转换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4.幻想供电：DC 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6.总谐波失真+噪声：≤0.002% OUTPUT=18dBu/1kHz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7.信噪比：≥110dB@1kHz 18dBu（A计权）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8.通道分离度：≥100dB@1kHz 18dBu（A计权）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9.输入阻抗(平衡式)：平衡：20KΩ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10.最大输出阻抗(平衡式)：平衡：100Ω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11.输入范围：≤+18dBu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12.啸叫寻找与抑制方式：全自动式陷波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13.陷波器：24个（静态点和动态点可配）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14.Q值范围：10-50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15.频率分辨率：1Hz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16.啸叫寻找时间：0.1—0.5S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17.FFT长度：1024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18.传声增益：4—10dB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19.系统增益：0dB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20.分频器：具有巴特沃斯，贝塞尔，林克威治-瑞利三种高低通滤波器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21.均衡器：31段图示均衡器+12段参量均衡器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22.显示：2英寸IPS真彩显示屏，分辨率320*240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23.供电范围：AC 180V-240V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24.电源功耗：≦50W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25.工作温度：-10℃～+45℃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26.相对湿度：20%～80%相对湿度，无结露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27.冷却：风机强制散热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28.产品尺寸（L×D×H）：484×298.2×45mm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29.净重：3.69kg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30.模/数动态范围：116dB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31.数/模动态范围：120dB</w:t>
            </w:r>
          </w:p>
        </w:tc>
      </w:tr>
      <w:tr w14:paraId="0B21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081C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C31E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AC99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AFE0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7962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1.设备采用标准1U机箱设计。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2.8通道电源时序打开/关闭。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3.远程控制（上电+24V直流信号）8通道电源时序打开/关闭—当船型开关处于off位置时有效。支持配置CH1和CH2通道为受控或不受控状态。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4.当远程控制有效时同时控制后板ALARM（报警）端口导通以起到级联控制ALARM（报警）功能。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5.单个通道最大负载功率2200W，所有通道负载总功率达6000W。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6.输入连接器：大功率线码式电源连接器。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7.输出连接器：多用途电源插座。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8.USB输出接口，可以接LED灯。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1.额定输出电压：AC~220V50Hz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2.额定输出电流：30A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3.可控制电源：8路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4.每路动作延时时间：1秒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5.供电电源：VAC，220V50/60Hz，30A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6.单路额定输出电源：10A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7.尺寸（LxWxH）：484x295x44mm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8.重量：4.2Kg</w:t>
            </w:r>
          </w:p>
        </w:tc>
      </w:tr>
      <w:tr w14:paraId="6B94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3ACB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3394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6A0E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A334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C270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1.8米音频连接线：卡农头（母）*1，线径：0.3mm</w:t>
            </w:r>
          </w:p>
        </w:tc>
      </w:tr>
      <w:tr w14:paraId="6AE1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5529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F331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3A54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A1D4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5C5B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1.8米音频连接线：卡农头（公）*1，线径：0.3mm</w:t>
            </w:r>
          </w:p>
        </w:tc>
      </w:tr>
      <w:tr w14:paraId="4A2D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4348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7713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8AED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81F0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3B8B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1.8米音频连接线：莲花（RCA）*1，6.35话筒插头*1，线径：0.3mm</w:t>
            </w:r>
          </w:p>
        </w:tc>
      </w:tr>
      <w:tr w14:paraId="44D2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65A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580B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CEA5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AB9C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51AD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1.8米音频连接线：3.5（耳机插头）*1,6.35话筒插头*2,线径：0.3mm</w:t>
            </w:r>
          </w:p>
        </w:tc>
      </w:tr>
      <w:tr w14:paraId="5582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75F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0274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多媒体转换面板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A8F4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2BF9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27E7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定制多媒体转换面板</w:t>
            </w:r>
          </w:p>
        </w:tc>
      </w:tr>
      <w:tr w14:paraId="756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AF7D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C068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高流明投影仪</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045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DA1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7F3C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变焦方式 手动变焦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聚焦方式 手动聚焦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变焦比 1.6X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光圈范围 F=1.6-1.9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实际焦距 f=15.31-24.64mm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投射比 1.17-1.9：1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投影尺寸 30-300英寸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屏幕比例 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色彩数目 10.7亿色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梯形校正 手动，自动：±55度（同时）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投影方式 正投，背投，桌上，吊顶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 10W×1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输入接口 2×HDMI 19针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1×电脑1输入：D-Sub HD 15针（雌头）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1×视频输入：Pin jack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2×音频输入：M3 stereo mini jack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1×音频输入：Pin jack (L/R)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输出接口 1×监视器输出：D-Sub 15-针（雌头）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1×音频输出：M3 stereo mini jack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控制接口 1×USB 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1×D-Sub 9-pin（雌头）用于外部控制（与RS-232C兼容）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产品噪音 正常模式：37dB，经济模式1：35dB，经济模式2：29dB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电源功率 400W，普通待机功率：8W，节能待机功率：0.5W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电源性能 AC100-240V，50/60Hz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外观描述 树脂成型品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 389×125×332mm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 4.8kg</w:t>
            </w:r>
          </w:p>
        </w:tc>
      </w:tr>
      <w:tr w14:paraId="7536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5E3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AA49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电动幕布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1092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633F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7645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电动，幕布150寸</w:t>
            </w:r>
          </w:p>
        </w:tc>
      </w:tr>
      <w:tr w14:paraId="343A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01D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2ECA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光纤数字传输线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C40D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4419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76F6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2.14k60hz</w:t>
            </w:r>
          </w:p>
        </w:tc>
      </w:tr>
      <w:tr w14:paraId="0BE8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8656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359F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智慧发布系统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480E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B53C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CF15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产品定位 大屏，智慧屏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 85英寸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 4K（3840*2160）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屏幕比例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 144Hz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色准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色彩数 10.7亿色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图像技术 HDR，DOLBY ATMOS，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HDR显示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广色域 94% DCI-P3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屏占比 98.1%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MEMC运动补偿 支持，120Hz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VRR 支持，FREESYNC PREMIUM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ALLM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 4单元独立双分频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音效系统 DOLBY ATMOS，DTS：X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 A73*4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RAM 3GB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ROM 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无线智能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人工智能语音 远场语音，近场语音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多屏互动 支持投屏，NFC一触即投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网络功能 有线/WiFi 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HDMI接口 1*HDMI2.0 2*HDMI2.1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 1×网络接口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 2*USB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 1*AV输入，1*S/PDIF输入</w:t>
            </w:r>
          </w:p>
        </w:tc>
      </w:tr>
      <w:tr w14:paraId="5E58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3D73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3283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金属支架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6BB6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5C1E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4F51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100寸列壁挂支架</w:t>
            </w:r>
          </w:p>
        </w:tc>
      </w:tr>
      <w:tr w14:paraId="2F6F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CE46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637B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移动平台</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0674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441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FCE6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固定方式 移动支架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产品特性1 承重60kg,VESA.700*400(max),不转动,63'以下</w:t>
            </w:r>
          </w:p>
        </w:tc>
      </w:tr>
      <w:tr w14:paraId="1DE3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C73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D9CB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音频处理服务器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0E8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C820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4B1E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1.安卓系统，硬件接口USB*1、RJ45网口*1、HDMI*1、录音*1、语音接口*1、同轴COAXIAL*1、光纤接口*1          2.视频输出支持1080p HDR、解码支持H.265.内置AI智能、可语音点歌，支持微信点歌，内助应用市场，支持电视家，爱奇艺等应用，支持智能灯控，支持录音及评分功能。                                                                     3.海量曲库：130万（联合在线唱吧），高速云端等，内置2T硬盘</w:t>
            </w:r>
          </w:p>
        </w:tc>
      </w:tr>
      <w:tr w14:paraId="33D3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C592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ACFF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触摸发布器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985E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3F4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top"/>
          </w:tcPr>
          <w:p w14:paraId="6D712A0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22寸P屏幕一体机立式或台式时尚在气的外观、钢化电容触屏、A规原装液晶屏、防水,防暴，</w:t>
            </w:r>
          </w:p>
        </w:tc>
      </w:tr>
      <w:tr w14:paraId="5D80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9297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8E1B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D4F4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BB3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top"/>
          </w:tcPr>
          <w:p w14:paraId="5B23958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8Ω立体声（每通道）:250W*双声道4Ω立体声（每通道）:500W*双声道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8Ω桥接  :500W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总谐波失真&lt;0.5%，20Hz-20Khz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互调失真：≤0.35%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尺寸：48.2*9.6*28.2cm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重量：13KG</w:t>
            </w:r>
          </w:p>
        </w:tc>
      </w:tr>
      <w:tr w14:paraId="0C7A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66FB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1F80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811B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753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top"/>
          </w:tcPr>
          <w:p w14:paraId="033F96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系统类型：10英寸，3分频，低频反射式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低音单元：1个10英寸低音单元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中音单元：2个3英寸纸锥中音单元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高音单元：2个3英寸纸锥高音单元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频率范围（-10dB)：48Hz-18KHz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频率响应（±3dB)：65Hz-16KHz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灵敏度（1W/1m)：89dB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较大声压级输出：111dB（较大：117dB)@1m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额定输入功率：150W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覆盖角：150°×120° ( H × 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外形大小：290*506*320mm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净重：12.4Kg／只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输入连接器：接线柱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吊挂点：2×M10</w:t>
            </w:r>
          </w:p>
        </w:tc>
      </w:tr>
      <w:tr w14:paraId="19DE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D7F3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E8DD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音频接收器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5C81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E28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111" w:type="dxa"/>
            <w:tcBorders>
              <w:top w:val="single" w:color="000000" w:sz="4" w:space="0"/>
              <w:left w:val="single" w:color="000000" w:sz="4" w:space="0"/>
              <w:bottom w:val="single" w:color="000000" w:sz="4" w:space="0"/>
              <w:right w:val="single" w:color="000000" w:sz="4" w:space="0"/>
            </w:tcBorders>
            <w:noWrap w:val="0"/>
            <w:vAlign w:val="top"/>
          </w:tcPr>
          <w:p w14:paraId="62A52DE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信噪比：&gt;80dB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净／毛重：约3.5KG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包装尺寸：540*100*300mm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大输入电平：4V( RMS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大输出电平：4V( RMS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麦克风灵敏度：64mV( Out :4V)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Music 通道增益：MAX :12dB</w:t>
            </w:r>
          </w:p>
        </w:tc>
      </w:tr>
      <w:tr w14:paraId="6A2D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FD4B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2609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无线主机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E65E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9717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1F31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频率范围（Frequency Range）： 640-690MHZ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可调信道（Channels）：100*2=200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频率稳定度 （Frequency Stability）：±10KHz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接收灵敏度（Receiving Sensitivity）：≥-95dBm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信噪比（SNR）：≥50dB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音频输出（Audio Output）：平衡输出和混合输出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电源规格（Power）：110-240V-12V 1000mA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(开关电源适配器)</w:t>
            </w:r>
          </w:p>
        </w:tc>
      </w:tr>
      <w:tr w14:paraId="712C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412B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D8C1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声音处理器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EC0C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9270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6D49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产品概述：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为KTV前级效果器,具有回声效果、混响效果、均衡器、反馈抑制、限幅器、压缩器等多种音频处理功能；通过前置效果器的处理功能，使歌声更加动听、通透、自然，并增强其音乐表现力；主要适用于K歌房、歌舞厅等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1.针对KTV唱歌、DJ热舞等场景打造的一款音响系统处理器；采用ADI高性能DSP处理器，内置USB免驱声卡和频谱分析功能。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2.设备设计灵活，可根据不同的使用场景存储8种预设模式，并通过面板上的3个物理按键实现场景模式的快速切换。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3.具有4个独立的麦克风输入接口，支持独立调节5档输入增益，其中MICA1-2和MICB1-2分别组成两组，便于统一管理。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4.每组麦克风输入均具有20段参量均衡器，用户可根据需求独立调节，同时提供高通、低通滤波器以及多种斜率选择，包括话筒噪声门（扩展器）功能，以及独立音量控制，以适应不同使用需求。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5.麦克风输入具备压缩器功能，可控制动态范围和通道音量平衡，保证声音的稳定性和清晰度。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6.麦克风输入内置8档反馈抑制功能，采用专业防啸叫技术，有效避免啸叫现象，提升使用体验。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7.音乐输入支持2路RCA、1路USB和1路光纤输入，提供多样化的音乐输入方式选择，其中USB和光纤输入具有出色的抗干扰能力，防止电流声干扰。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8.音乐输入通道具有20段参量均衡器，提供高通、低通滤波器调节及多种斜率选择，并支持-9至9dB的音乐增益调节。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9.设备支持麦克风和音乐输入的声音变调功能，增加声音的多样性和娱乐性。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10.设备具有专业的麦克风音效处理，包括混响和回声效果，并配备5段参量均衡器，以及高通、低通滤波器和斜率调节功能。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11.回声效果支持预延时、延时时间、重复比例、衰减、右通道预延时、右声道延时、效果音量、直达声音量参数调节。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12.混响效果支持预延时、混响时间、衰减、效果音量、直达声音量参数调节。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13.输出支持5.1声道，包含主输出、中置、后置及超低音6个输出通道；具有音箱处理器功能，每部分功能都独立可调，以适应不同的音响配置需求。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14.主输出、中置输出、后置输出及超低音输出均具有11段参量均衡，并且高低通可以任意调节，多种斜率可选。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15.主输出、中置输出、后置输出及超低音输出均可设置为唱歌、热舞或自动模式，以适应不同的娱乐场景。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16.主输出、中置输出、超低音输出、后置输出均具有限幅器及0至50ms延时功能。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17.每个模式都能单独调节效果、音量、限幅、EQ等参数，以实现个性化的声音设置。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18.设备支持网络控制功能，能够与中控系统集成，实现远程管理和操作。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19.设备具备多台设备统一管理和在线升级功能，便于维护和更新。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20.显示具有2.0寸彩色液晶显示屏，可以查看设备状态及参数设置。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设备具有KTV综合管控平台软件，可通过网络接口连接PC，对设备进行统一管理，包括显示设备的使用在线离线状态、设备绑定房间号情况、设备音频开关、场景切换等功能；还具有检测设备固件版本功能，支持在线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1.供电：AC 90V--240V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2.最大输入电平：4 Vrms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3.最大输出电平：4 Vrms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4.音乐通道增益：最大9dB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5.麦克风灵敏度：64mV(OUT 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6.麦克风总谐波失真：&lt;0.05%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7.信噪比(A加权)：&gt;80dB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8.音乐输入接口：两个模拟、USB、光纤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9.MIC输入接口：4个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10.输出接口：主输出、超低音、中置、后置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11.网络接口：1个网口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12.控制方式：以太网/面板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13.功耗：12W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14.工作温度：-10~45摄氏度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15.工作湿度：相对湿度0-80%无冷凝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16.产品尺寸（L×H×D）：484×209×44mm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17.净重：2.85Kg</w:t>
            </w:r>
          </w:p>
        </w:tc>
      </w:tr>
      <w:tr w14:paraId="5B2D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C3F3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86D2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低音单元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9EFB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5C72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F0B3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系统组成：12英寸*1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低音单元：12英寸.Φ65mm音圈Φ156mm磁钢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功放：Class-D,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系统阻抗：8Ω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频响范围：35Hz~150Hz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信噪比：&gt;85dB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失真度：THD&lt;0.02%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输入灵敏度：300mV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功率：300W-600W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箱体材质：高密度纤维板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外观颜色：黑色</w:t>
            </w:r>
          </w:p>
        </w:tc>
      </w:tr>
      <w:tr w14:paraId="0DF3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D0C2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932E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4416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1F4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5011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w:t>
            </w:r>
          </w:p>
        </w:tc>
      </w:tr>
      <w:tr w14:paraId="5D5C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81EC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781A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A71E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40E0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78D3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金银线</w:t>
            </w:r>
          </w:p>
        </w:tc>
      </w:tr>
      <w:tr w14:paraId="39AD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4A54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1D12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6D77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256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A831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rvv3*4</w:t>
            </w:r>
          </w:p>
        </w:tc>
      </w:tr>
      <w:tr w14:paraId="7AE1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3318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1F27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吸顶音箱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1DFB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DC44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A341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1.优质天花喇叭，金属外壳，铝质网罩，弹簧压片系统，安装简易轻松。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2.全频单元设计，享受音乐和人声兼得的非凡体验，体验人声的清晰重现和背景音乐的流畅响应。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3.采用高性能铜线音频变压器，能够减少电路中因阻抗产生的损耗。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适用于酒店、旅馆、会所等。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1.额定功率(100V)：1.5W, 3W, 6W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2.额定功率(70V)：0.75W, 1.5W, 3W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3.阻抗：黑: Com  红: 6.7KΩ/ 绿: 3.3KΩ/ 白: 1.7KΩ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4.灵敏度(1W/1M)：92dB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5.最大声压级：100dB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6.频率响应(-10dB)：110Hz-18kHz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7.喇叭单元：5"×1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8.安装开孔尺寸：170mm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9.尺寸：200×60mm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10.重量：0.8kg</w:t>
            </w:r>
          </w:p>
        </w:tc>
      </w:tr>
      <w:tr w14:paraId="6F29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F376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D024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7566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FCA1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DE1A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带mp3/TUNER/蓝牙的合并式功率放大器。用于中小超市、商场，休闲咖啡馆等中小型室内场地背景音乐播放和中小型背景音乐播放场所。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1.标准机柜式设计（1U），精巧的SMT工艺设计。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2.带MP3功能模块，采用LCD 显示屏，可播放U盘MP3， WMA， APE，FLAC， WAV，AAC等文件格式，TF卡，支持手机蓝牙功能，可以显示歌曲名称。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3.带mp3/TUNER/蓝牙遥控功能，遥控距离可达8m。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4.1路EMC输入，2路AUX输入，4路MIC输入。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5.通道优先功能EMC&gt;MIC1&gt;MIC2, MIC3, AUX1, AUX2。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6.各路输入具有独立音量调节，且总音量具有高音、低音调节及音量大小控制。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7.机器设有电平指示，过载及保护指示灯。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8.设备具有良好的短路、过载、过热等自我保护。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9.2种输出方式：定压输出100V、4-16Ω。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10.高效节能开关电源与D类数字功率放大器的高能节能和超稳定设计完美结合。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11.宽电压供电：220V-240V 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1.输出端子：4-16Ω, 100V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2.输出功率：240W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3.输入灵敏度&amp;阻抗：MIC1、2、3、4输入:5mV/600Ω 非平衡6.3连接端子；AUX1、2 输入:350mV/10KΩ 非平衡RCA连接端子；EMC输入:775mV/10KΩ 非平衡6.3连接端子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4.输出灵敏度&amp;源阻抗：MIX OUT:1000mV/470Ω 非平衡RCA连接端子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5.音调：低音:±10dB at 100Hz；高音:±10dB at 10kHz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6.频率响应：80Hz～16kHz(+1dB,-3dB)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7.信噪比：MIC1、2、3:66dB；AUX1、2:80dB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8.失真：小于 0.5%(在1kHz，1/3 额定功率)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9.默音功能：MIC 1 优先于 MIC2-4,AUX1-2音频输入,EMC优先于所有音频输入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10.通道串音衰减：≥50dB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11.散热：侧入后出强制风扇冷却，开机启动风扇，无极变速处理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12.保护：过热保护、过流保护、短路保护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13.电源：～220-240V /50Hz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14.整机功耗*：80W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15.尺寸(L×W×H)：484×300×44mm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16.重量：3.8kg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17.*依据GB4943.1-2022测试手法：在1kHz正弦波额定负载1/8功率条件下测得</w:t>
            </w:r>
          </w:p>
        </w:tc>
      </w:tr>
      <w:tr w14:paraId="4632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E9F2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AE4D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全彩摄像头半球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7F95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1968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2316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在1920x1080下分辨力可达到1000TVL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信噪比不小于55dB。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支持红外补光，有效补光距离达到30m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需支持IP66防尘防水。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支持DC12V供电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内置1个麦克风，1个RJ45网络接口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靶面尺寸为1/2.7英寸</w:t>
            </w:r>
          </w:p>
        </w:tc>
      </w:tr>
      <w:tr w14:paraId="46F2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6"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B772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EDA0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全彩摄像头枪机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FFA3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372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25B9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200万筒型网络摄像机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红外阵列筒型网络摄像机，最高分辨率可达200万像素，并在此分辨率下可输出25 fps实时图像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支持1个RJ45 10 M/100 M自适应以太网口，1个内置麦克风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移动侦测（支持人形检测）与异常侦测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适用于道路、仓库、地下停车场、酒吧、管道、园区等光线较暗或无光照环境且要求高清画质的场所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支持萤石平台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支持ROI感兴趣区域增强编码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采用高效阵列红外灯，使用寿命长，红外照射最远可达50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符合IP66防尘防水设计，可靠性高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传感器类型：1/2.7" 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最低照度：彩色：0.01 Lux @（F1.2，AGC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宽动态：数字宽动态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焦距&amp;视场角：4 mm，水平视场角：81.3°，垂直视场角：43.6°，对角视场角：96.9°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mm，水平视场角：50.9°，垂直视场角：29.3°，对角视场角：58.1°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mm，水平视场角：39.4°，垂直视场角：21.7°，对角视场角：45.6°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 mm，水平视场角：24.6°，垂直视场角：13.9°，对角视场角：28.1°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红外波长范围：850 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防补光过曝：支持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补光距离：最远可达50 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最大图像尺寸：1920 ×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视频压缩标准：主码流：H.265/H.264，支持Smart264/Smart265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子码流：H.265/H.264/MJPEG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网络：1个RJ45 10 M/100 M自适应以太网口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启动及工作温湿度：-30 °C~60 °C，湿度小于95%（无凝结）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存储温湿度：-30 °C~60 °C，湿度小于95%（无凝结）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 V ± 25%，支持防反接保护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电流及功耗：DC：12 V，0.42 A，最大功耗：5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电源接口类型：Ø5.5 mm圆口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恢复出厂设置：支持客户端或浏览器恢复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产品尺寸：87.1 × 83.7 × 171.7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包装尺寸：216 × 121 × 118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设备重量：370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带包装重量：525 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防护：IP66 </w:t>
            </w:r>
          </w:p>
        </w:tc>
      </w:tr>
      <w:tr w14:paraId="79AA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ABB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B0B4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金属支架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DF2F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EB11DA8">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35ED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w:t>
            </w:r>
          </w:p>
        </w:tc>
      </w:tr>
      <w:tr w14:paraId="735F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DF53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78C6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全彩摄像头球机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4E3B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11F3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250D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3寸室外臻全彩球机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全彩级高灵敏度感器，F1.0超大光圈镜头，为智能应用提供更清晰的视频流输入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最高分辨率可达1920 × 1080 @25 fps，在该分辨率下可输出实时图像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支持数字宽动态，背光补偿，强光抑制，3D 数字降噪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支持萤石平台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支持柔光灯补光，照射距离最远可达30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1个内置麦克风，1个内置扬声器，支持双向语音对讲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支持MicroSD/MicroSDHC/MicroSDXC卡，最大256 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符合IP66防尘防水设计，抗干扰能力强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传感器类型：1/2.7″ 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最低照度：彩色：0.0005 Lux @（F1.0，AGC ON），0 Lux with Light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宽动态：数字宽动态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焦距：固定焦距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视场角：2.8 mm，水平视场角：106.1°，垂直视场角：56.8°，对角视场角：126.5°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 mm，水平视场角：83.6°，垂直视场角：44.6°，对角视场角：99.1°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补光灯类型：柔光灯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补光灯距离：最远可达30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防补光过曝：支持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水平范围：0°~340°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垂直范围：-5°~105°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水平速度：4~21°/s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垂直速度：4~19°/s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主码流帧率分辨率：50 Hz：25 fps（1920 × 1080，1280 × 720）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视频压缩标准：H.265/H.264/MJPEG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网络存储：支持MicroSD/MicroSDHC/MicroSDXC卡，最大支持256 GB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网络接口：RJ45网口，自适应10M/100M网络数据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音频：1个内置麦克风，1个内置扬声器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恢复出厂设置：支持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 V ± 25%，支持防反接保护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PoE：802.3af，36 V~57 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电源接口类型：DC：Ø5.5 mm圆口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设备功耗：DC：12 V，0.75 A，最大功耗：9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PoE：0.2 A~0.3 A，最大功耗：10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工作温湿度：开启补光灯：-30 ℃~40 ℃，关闭补光灯：-30 ℃~50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启动温湿度：-30 ℃~50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存储温湿度：-30 ℃~50 ℃，湿度小于95%（无凝结）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尺寸：产品尺寸：167.3 × 120 × 237.3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包装尺寸：205 × 167 × 289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重量：设备重量：775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带包装重量：1280 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防护：IP66 </w:t>
            </w:r>
          </w:p>
        </w:tc>
      </w:tr>
      <w:tr w14:paraId="66EE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7D4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22AA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定制球机支架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3D59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3E9F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05B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尺寸：110×145×189mm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重量：950g</w:t>
            </w:r>
          </w:p>
        </w:tc>
      </w:tr>
      <w:tr w14:paraId="4617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CE7D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15D0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防水箱子</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1EE8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E857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DCD6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w:t>
            </w:r>
          </w:p>
        </w:tc>
      </w:tr>
      <w:tr w14:paraId="088E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E43B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95B8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0F07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3649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7FFA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24个10/100/1000Base-T PoE+以太网电口，4个1000Base-X以太网光口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交换容量：336 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包转发率：42 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1-24口支持PoE和PoE+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整机最大输出功率375 W，单端口最大输出功率30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支持基于端口的VLAN，支持基于MAC的VLAN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支持ARP限速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IPv4/IPv6 静态路由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支持STP/RSTP/MSTP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支持链路聚合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支持双向ACL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支持Console口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支持SNMP V1/V2/V3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支持SSH、Telnet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工作温度：0 ℃～45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尺寸（宽×高×深）：440 mm × 43.6 mm × 260 mm，标准机架高度：1U</w:t>
            </w:r>
          </w:p>
        </w:tc>
      </w:tr>
      <w:tr w14:paraId="4AEC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A1F2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D330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二级交换机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16FD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2F34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6EC3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r>
      <w:tr w14:paraId="5B70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9EE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78FE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解码器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08D6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0519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3CF2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超高清解码器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支持网络IPC、NVR等设备类型作为网络信号源输入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支持HDMI 1.4视频信号输出，支持4K分辨率（3840 × 2160@30 Hz）超高清输出，输出采用帧同步技术，保证所有输出口的图像完全同步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支持两种音频输出方式：HDMI内嵌音频和外置音频输出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最大支持3200w分辨率解码，具有192个解码通道，支持96路200W，或192路720P视频同时解码上墙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电视墙功能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支持单面电视墙拼接、开窗、窗口跨屏漫游、场景轮巡和窗口轮巡功能，单屏支持3个1080P或2个4K图层，单窗口支持1/4/6/8/9/16/25窗口分屏功能，整机最大支持64个场景，整机支持256个平台预案轮巡组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视频解码格式：H.264，H.265，Smart264，Smart265，MJPEG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解码分辨率：最高3200W像素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视频解码通道：192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视频解码能力：H.264/H.265：支持6路3200 W，或6路2400 W，或12路1200 W，或24路800 W，或30路600W，或48路400 W，或96路1080P，或192路720P及以下分辨率实时解码（每4个输出口一组，共享解码能力）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MJPEG：12路1080P及以下分辨率实时解码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HIK264：6路720P及以下分辨率实时解码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单口画面分割数：1,2,4,6,8,9,12,16,25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场景数量：64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视频输出接口类型：12路HDMI 1.4，支持4K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视频输入分辨率：3840×2160@30Hz、1920×1200@60Hz、1920×1080@60Hz、1920×1080@50Hz、1280×720@60Hz、1280×720@50Hz、1600×1200@60Hz、1280×960@60Hz、1680×1050@60Hz、1440×900@60Hz、1366×768@60Hz、1280×1024@60Hz、1024×768@60Hz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视频输入接口：2路HDMI 1.4，最大支持4K（仅奇数口）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音频输出接口类型：HDMI内嵌或DB15转BNC独立音频输出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产品尺寸（宽x高x深）：440 mm × 88 mm × 321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机箱接口：RJ45 10M/100 M/1000 Mbps 自适应以太网接口*2； 光口 100base-FX/1000base-X*2， 支持光电自适应；报警输入*8；报警输出*8；232接口 *1（RJ45）；485接口*1；USB 2.0接口*2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净重：≤ 6.40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功耗：＜120 W</w:t>
            </w:r>
          </w:p>
        </w:tc>
      </w:tr>
      <w:tr w14:paraId="70DA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AE74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728D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显示单元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7EB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19DA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EC74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55英寸#3.5mm拼缝#普亮液晶拼接屏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直下式LED背光源，亮度均匀，无边界暗影现象。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物理分辨率高达1920 ×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全高清显示，画面细腻，色彩丰富。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高清晰度、高亮度、高色域。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视角可达178°，趋近于水平。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显示面积大、体积小、重量轻。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超窄边设计。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运行稳定，可24小时持续工作。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支持壁挂、落地、吊装等多种安装方式。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多种拼接方式，能适应各种使用场所。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采用金属外壳，防辐射、防磁场、防强电场干扰。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实时检测设备温度，过温自保护，防止面板灼烧。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显示尺寸： 55 inch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背光源类型：D-LED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物理拼缝：3.5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物理拼缝公差：±0.8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亮度：500 ± 10% cd/m²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可视角：178°(水平)/178°(垂直)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对比度：1200 : 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音视频输入接口：HDMI × 1, DVI × 1, USB ×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音视频输出接口：无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控制接口：RS-232 IN × 1, RS-232 OUT × 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电源：100~240 VAC, 50/60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功耗：≤245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待机功耗：≤ 0.5 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安装孔距：600 (H) mm × 400 (V)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产品尺寸：1213.50 (W) mm × 684.50 (H) mm × 48.49 (D) mm</w:t>
            </w:r>
          </w:p>
        </w:tc>
      </w:tr>
      <w:tr w14:paraId="6F81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492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657B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视频服务器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1FBD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C195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C040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2U双路标准机架式服务器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CPU：配置2颗intel至强4510处理器，核数≥12核，主频≥2.4GHz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内存：配置128G DDR5，16个内存插槽，最大支持扩展至2TB内存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硬盘：配置2块960G SSD硬盘，默认支持8个3.5寸/2.5寸硬盘，可选最大支持12个3.5寸/2.5寸硬盘，可选兼容4个NVMe硬盘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阵列卡：配置SAS+HBA卡，支持RAID 0/1/10;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PCIE扩展：支持7个PCIe扩展插槽（包括1个OCP 插槽），其中5个PCIe 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网口：2个千兆电口，2个万兆光口（含多模光模块）； 支持选配10GbE、25GbE SFP+等多种网络接口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电源：标配550W（1+1）高效白金热插拔冗余电源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机箱规格：87mm(高)x 466mm(宽)x680mm(深)</w:t>
            </w:r>
          </w:p>
        </w:tc>
      </w:tr>
      <w:tr w14:paraId="3874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ADB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01AC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安防平台</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3D95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1A09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B5EC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一、视频预览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3、支持智能规则展示的能力（如：针对热成像设备温度信息实时展示）；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二、录像回放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1、支持录像计划管理能力，支持实时录像计划、录像回传计划；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三、图片监控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1、支持视频预览与图片实时监控模式切换能力，实现图片监控模式；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2、支持图片查询回放能力，实现按监控点、时间段展示抓拍图片；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3、支持图片自动播放能力，支持图片自动播放速度可设置；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4、支持图片下载能力；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四、视频上墙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五、视频事件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1、支持视频事件布撤防能力，可按计划模版进行布防，事件类型包括移动侦测、视频丢失、视频遮挡、报警输入、报警输出；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提供视频点位联网服务能力，用于平台域间视频联网，基于视频通用标准协议（GB/T28181-2011,GB/T28181-2016）与外域平台互联互通，实现平台视频资源点位推送等操作控制。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1、支持上下级域注册管理能力，实现平台数据级联；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2、支持资源同步能力；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3、支持级联视频点位实时预览、录像回放、录像下载、语音对讲能力；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4、支持级联视频点位设备操作控制能力；</w:t>
            </w:r>
          </w:p>
        </w:tc>
      </w:tr>
      <w:tr w14:paraId="4C06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D83C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F44F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2ADD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E823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6BEA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超5类网线,Cat5e非屏蔽双绞线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标准：符合ISO/IEC 11801、TIA-568.2-D、GB/T 18015.5要求,所用材料符合RoHS要求，性能指标优于现行5e类线缆100MHz标准；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标准装箱长度:305m±1.5m；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芯线规格:24AWG,无氧铜；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线缆结构：4对8芯双绞线,每芯均有颜色区分,外皮印有厂商标识及电缆编码，有撕裂绳；</w:t>
            </w:r>
          </w:p>
        </w:tc>
      </w:tr>
      <w:tr w14:paraId="3054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78C3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CB14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录像机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77C5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6E94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9C95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3U机架式16盘位网络硬盘录像机，采用存算一体架构，内置高性能AI处理器，搭载1+1冗余电源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存储接口：16个SATA接口，支持硬盘热插拔，可满配16TB硬盘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视频接口：2×HDMI，2×VGA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网络接口：2×RJ45 10/100/1000Mbps自适应以太网口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报警接口：16路报警输入，9路报警输出（其中第9路支持CTRL 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反向供电：1路DC12V 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串行接口：1路RS-232接口，1路全双工RS-485接口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USB接口：2×USB 2.0，2×USB 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扩展接口：1×eSATA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输入带宽：320Mbps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输出带宽：256Mbps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接入能力：32路H.264、H.265格式高清码流接入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解码能力：最大支持32×1080P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显示能力：最大支持8K+1080P、2×4K异源输出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RAID模式：RAID0、RAID1、RAID5、RAID6、RAID10，支持全局热备盘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周界自学习应用：支持周界算法（越界侦测、区域入侵、进入区域、离开区域）的推理、训练同时运行，业务不间断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支持设备自动素材收集、自动标定、自动训练、自动升级，无需人工干预的算法版本自动迭代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支持训练进度可视化查询，支持多版本算法管理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图片流性能：32路图片流自学习周界防范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单颗AI引擎分析能力：32路图片流；12路2MP/6路4MP/2路8MP视频流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目标识别应用：支持目标抓拍、比对报警；支持以图搜图、按姓名检索、按属性检索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目标名单库：支持32个名单库，总库容10万张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目标抓拍：16路视频流（2MP）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目标比对：32路图片流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智搜应用：支持全路数目标检索功能，搭配前端警戒相机可对设备视频录像中的目标实现快速检索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目标检索(智搜)：32路</w:t>
            </w:r>
          </w:p>
        </w:tc>
      </w:tr>
      <w:tr w14:paraId="2A71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398B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45BE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3B4C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652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B66A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 HDD,8TB,7200RPM, 256MB, SATA 6Gb/s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高转速：7200rpm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支持RAID应用(搭配NVR)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高达256MB缓冲区，流畅存储视频有效防止丢帧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MTBF(平均故障间隔时间)：不小于200万小时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年写入负载：不小于550TB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24×7全天候高效稳定运行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支持5年有限质保服务</w:t>
            </w:r>
          </w:p>
        </w:tc>
      </w:tr>
      <w:tr w14:paraId="629C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0C4F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81DE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75DF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EEE4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910F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600*800*2000</w:t>
            </w:r>
          </w:p>
        </w:tc>
      </w:tr>
      <w:tr w14:paraId="1794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F9AA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4AC0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7D02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DB6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155C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适用范围 用于设备与水平布线间的配线连接和集中点的互相端接。</w:t>
            </w:r>
          </w:p>
        </w:tc>
      </w:tr>
      <w:tr w14:paraId="7B37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2555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5D4E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pdu</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8B5C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D571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BA4F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2000wpdu</w:t>
            </w:r>
          </w:p>
        </w:tc>
      </w:tr>
      <w:tr w14:paraId="4804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9C8E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ED27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门禁主机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B83E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3C4E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69A7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操作系统：嵌入式Linux系统；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管控门数：8门，可另接60个门控模块（DS-K261M02），实现再扩展120门；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存储容量：10万人（含20万张卡、10万个密码、1万枚指纹），60万条事件记录；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可接读卡器：16个RS485接口读卡器+ 8个韦根接口读卡器；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通信接口：网口*1、RS485*7、韦根*8；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门相关接口：门锁*8，门磁*8，开门按钮*8；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报警接口：报警输入*16，报警输出*8；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其他接口：带消防联动继电器接口、接蓄电池功能接口；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禁高级功能：组合认证、多重认证、反潜回功能、多门互锁功能（通过扩展门控模块，最多支持32门的反潜回和32门互锁）、首卡常开功能、首开授权功能、超级密码开门功能、胁迫密码开门功能、闭门回锁功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状态指示：具有电源、网络通讯、485通讯、布放状态、门锁状态指示灯；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恢复出厂：具有reset按键，长按可恢复出厂设置；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升级功能：支持USB、WEB、客户端等方式给主机升级；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WEB管理：支持Web端管理，可进行人员管理、参数配置、事件查询、系统维护等操作；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工作电压：DC 12V（自带开关电源：220V输入，12V输出）；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外观尺寸：设备带机箱，417.5（高）*487.2（宽）*98.3（厚）mm；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设备重量：毛重：6.860 KG、净重：5.255 KG。</w:t>
            </w:r>
          </w:p>
        </w:tc>
      </w:tr>
      <w:tr w14:paraId="4322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460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6451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门禁锁</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9566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F5D0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26B7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锁体主体颜色为：氧化银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最大静态直线拉力：280kg±10%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断电开锁，满足消防要求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具有电锁状态指示灯（红灯为开锁状态， 绿灯为上锁状态）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支持锁状态侦测信号(门磁)输出：NO/NC/COM接点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工作电压：12V/430mA*2 或 24V/215mA*2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锁体尺寸：长500*宽53*厚29(mm)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吸板尺寸：长170*宽43*高13(mm)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使用环境：室内（不防水）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适用门型：木门、玻璃门、金属门、防火门</w:t>
            </w:r>
          </w:p>
        </w:tc>
      </w:tr>
      <w:tr w14:paraId="2682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17AC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D70C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门禁支架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9188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DBDB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E089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选用材料：高强铝合金，表面拉丝氧化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适用门型：木门、金属门、防火门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开门方式：90度内开式门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产品重量：LZ型支架1.38kg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L型支架尺寸：长500*宽54*厚32.5(mm)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Z型支架尺寸：长175*宽50*厚50(mm)</w:t>
            </w:r>
          </w:p>
        </w:tc>
      </w:tr>
      <w:tr w14:paraId="52E0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92CF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01E4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出门按钮</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1DB1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981B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DE42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结构：塑料面板；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性能：最大耐电流1.25A，电压250V；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输出：常开；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类型：适合埋入式电器盒使用；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尺寸：86*86mm，安装后露出13mm；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重量：0.07kg。</w:t>
            </w:r>
          </w:p>
        </w:tc>
      </w:tr>
      <w:tr w14:paraId="69C2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0777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AE49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密码器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DB0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0956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0B95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认证方式：刷卡、刷卡+密码，不支持仅密码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读卡频率：13.56MHz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可识别卡：CPU卡(含加密功能)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按键方式：触摸按键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通讯方式：RS485+Wiegand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工作电压：DC 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功耗：≤2W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安装方式：无底盒壁挂、86底盒、120底盒安装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工作环境：室内，不防水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设备尺寸：121.7mm(高)x87.2mm(宽)x24.6mm(厚)</w:t>
            </w:r>
          </w:p>
        </w:tc>
      </w:tr>
      <w:tr w14:paraId="6102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E343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AD71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88F4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AA20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585B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卡片类型：IC卡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符合标准：ISO14443 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卡片容量：1K byte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工作频率：13.56MHz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卡片尺寸：85.5mm*54mm*0.9mm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主体材质：PVC</w:t>
            </w:r>
          </w:p>
        </w:tc>
      </w:tr>
      <w:tr w14:paraId="03F6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613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0325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刷卡器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8823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4D88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3CC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屏幕参数： 4.3英寸LCD触摸显示屏，屏幕比例9：16，屏幕分辨率272*480；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摄像头参数：宽动态200万双目摄像头；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认证方式：支持人脸、刷卡（IC卡、手机NFC卡、CPU卡（支持加密功能）、身份证卡序列号）、密码；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人脸验证：采用深度学习算法，支持照片、视频防假；1:N人脸验证速度≤0.2s，人脸验证准确率≥99%；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存储容量：本地支持1万人脸库、5万张卡、10万条事件记录；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硬件接口：LAN*1、TypeC类型USB接口*1、电锁*1、门磁*1、开门按钮*1；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通信方式：10/100Mbps网口；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使用环境：IP65，室内外环境；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安装方式：壁挂安装（标配挂板，适配86底盒）；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 DC 12V/2A（电源需另配）；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产品尺寸：202.3mm×100mm×26mm；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设备重量：净重0.42kg，毛重0.73kg；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工作温度：-10℃～+60℃</w:t>
            </w:r>
          </w:p>
        </w:tc>
      </w:tr>
      <w:tr w14:paraId="6357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0F1B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4324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8F0A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663D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C28D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网络面板</w:t>
            </w:r>
          </w:p>
        </w:tc>
      </w:tr>
      <w:tr w14:paraId="46F7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0911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FD35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明装底盒</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B23E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236A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26CC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86底盒</w:t>
            </w:r>
          </w:p>
        </w:tc>
      </w:tr>
      <w:tr w14:paraId="24ED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F6A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4C1C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5E69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6BE4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31C8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千兆网络模块</w:t>
            </w:r>
          </w:p>
        </w:tc>
      </w:tr>
      <w:tr w14:paraId="636A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DAC1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A7EA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网管交换机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9317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1FF9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68A5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全网管二层交换机，机架式，24个千兆电口，4个万兆SFP+光口，支持通过console口管理。交换容量：336Gbps/3.36Tbps，包转发率：108Mpps/126Mpps，1U高度，19英寸宽，工作温度：0℃～45℃，满负荷功耗10W。支持VLAN,流量控制，ACL，QOS，环网RRPP，支持SNMP V1/V2c/V3网管。</w:t>
            </w:r>
          </w:p>
        </w:tc>
      </w:tr>
      <w:tr w14:paraId="7637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F69D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55C5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E57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BC3D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403B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适用范围 用于设备与水平布线间的配线连接和集中点的互相端接。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性能描述 19寸标准机架，厚度为50u"(inch)，插拔寿命&gt;&gt;1000次，IDC线卡镀镍，可接线径为0.4-0.6mm的铜线，可重复卡接&gt;200次。90°卡接方式，模块式配线架与六类非屏蔽模块配合使用。</w:t>
            </w:r>
          </w:p>
        </w:tc>
      </w:tr>
      <w:tr w14:paraId="668E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02E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1CCF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2B29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AC01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1F41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适用范围 用于设备与水平布线间的配线连接和集中点的互相端接。</w:t>
            </w:r>
          </w:p>
        </w:tc>
      </w:tr>
      <w:tr w14:paraId="0820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ED86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2167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竖向理线架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1BC1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9D3C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9CCD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设备类型 理线架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其它性能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适用范围 通信设备与主干电缆以及水平布线间的连接或设备与配线架间的连接。</w:t>
            </w:r>
          </w:p>
        </w:tc>
      </w:tr>
      <w:tr w14:paraId="6F48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8428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155B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F364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0535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F753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铜合金卡口水晶头</w:t>
            </w:r>
          </w:p>
        </w:tc>
      </w:tr>
      <w:tr w14:paraId="1607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390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76EE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吸顶信号增强器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1B7C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0313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7EA1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千兆，定制</w:t>
            </w:r>
          </w:p>
        </w:tc>
      </w:tr>
      <w:tr w14:paraId="0EF8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2C3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760D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网关</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03CA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941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9D56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无线ac网关</w:t>
            </w:r>
          </w:p>
        </w:tc>
      </w:tr>
      <w:tr w14:paraId="0E35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F434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BFFF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2FD1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53EC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8E71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交换容量：266Gbps；包转发率：400Mpps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网口：4个25GE光口+16个万兆光口+10个千兆电口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USB接口：1个USB2.0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供电电源：100V AC～240V AC；50Hz/60Hz，双AC冗余电源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整机最大功耗：300W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支持专业的安全功能，支持包过滤防火墙、状态防火墙、基于域的防火墙等安全过滤功能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多样化的VPN技术，包括：IPsec、L2TP、GRE、ADVPN、MPLS VPN，以及多种VPN技术的叠加使用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支持路由器协议的安全防护，支持OSPF/RIP/IS-IS/BGP动态路由协议认证、支持OSPFv3/RIPng/IS-ISv6/BGP 的IPSec加密、 支持丰富的路由策略控制功能。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支持U盘开局</w:t>
            </w:r>
          </w:p>
        </w:tc>
      </w:tr>
      <w:tr w14:paraId="074C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A5CA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0932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7E6B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CC9D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7097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下一代防火墙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【一】精细化的多维管控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（1）支持丰富的用户认证方式，包括TACACS+、RADIUS、LDAP 等外部服务器用户认证，以及本地认证、Web认证</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（2）支持针对用户实施精细化的访问控制、应用限制、带宽保证等管控手段。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（3）支持深度应用识别技术，可根据协议特征、行为特征及关联分析等准确识别数千种网络应用，为用户提供包括应用类别、应用风险等级、所用技术、应用特征分布等多维可视化信息。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（4）支持根据应用类型进行策略阻止、会话限制、流量管控、应用引流或时间限制等操作。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（5）支持针对SSL加密流量进行解密并对解密后的流量进行应用识别，支持对SSL解密流量开启安全防护功能，如IPS、AV、URL过滤、数据安全防护等功能。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（6）支持近百种主流文件类型的特征码及后缀名双重识别，并支持基于文件类型、文件大小、文件名称进行数据传输安全控制。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【二】协议识别与控制功能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（1）支持基于协议的访问控制，能够实现用户自定义安全策略，其控制条件可以是IP地址、端口、协议类型和时间的组合。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（2）支持基于HTTP、FTP、SMTP和POP3等应用对文件类型进行访问控制，包括文件类型的上传、下载等动作。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【三】全面的威胁检测与安全防护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（1）支持对ARP欺骗、IP地址欺骗、IP地址扫描、端口扫描攻击的防护，并支持设置边界流量过滤规则。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（2）支持对SQL 注入、跨站脚本、CC等攻击进行检测与过滤；支持外链检查防护和自定义外链特性，类型支持HTTP、HTTPS、FTP。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（3）具备百万级的病毒特征库规则列表，支持对RAR、ZIP、GZIP、BZIP2、TAR等压缩文件类型的病毒检测，并支持基于安全策略和安全域启用防病毒功能。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【四】丰富的VPN接入能力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（1）支持常见的主流VPN技术，包括IPSec VPN、SSL VPN、L2TP VPN、PnPVPN、拨号VPN、GRE over IPSec VPN等VPN接入方式。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（2）支持国家商用密码算法SM2/SM3/SM4。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【五】全面支持IPv6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（1）支持基于IPv6的访问控制、攻击防护、IPv6路由、应用识别与管控。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（2）支持隧道、DNS64/NAT64、IPv6 OVER IPv4 GRE隧道等多种过渡技术。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【六】智能链路选择及负载均衡技术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（1）支持动态探测链路响应速度并选择最优链路进行转发。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（2）支持基于应用协议的路由功能，根据应用类型进行路由选择，并支持在多个链路上实现负载分担。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【七】高可靠技术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（1）支持主-主和主-备模式，支持HA设备之间的会话自动同步。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（2）主备模式下支持基于设备优先级的主设备抢占功能。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最大网络层吞吐量：2Gbps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推荐视频路数：300路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最大并发连接数：200万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每秒新建连接数(TCP)：1.5万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IPS吞吐量：600Mbps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AV吞吐量：600Mbps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IPSec VPN吞吐量：300Mbps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IPSec VPN隧道数：750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SSL用户数(标配/最大)：15/2000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网络接口：10个千兆电口（1对Bypass）+2对Combo口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管理接口：1个CON口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USB接口：2个USB2.0口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内存：4G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机箱：桌面mini机箱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电源：AC100-240V，39W，交流单电源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尺寸：440mm（宽）×230mm（深）×44mm（高）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环境要求：工作温度：0℃~40℃，环境湿度：10%~95%（不结露）</w:t>
            </w:r>
          </w:p>
        </w:tc>
      </w:tr>
      <w:tr w14:paraId="6834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FE1D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9775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机房专用空调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A703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C77A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AE68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一、主要技术参数要求：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1）最大制冷量（单台）≥22.5KW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2）送风量（m3/h）≥5300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3）加湿量 (kg/h)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4）加热量（KW）≥3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二、机房专用空调机组控制性能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1)机房专用空调应能按要求自动调节室内温度，具有制冷、加热、加湿、除湿等功能。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2)温度调节范围：+20℃+30℃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3)相对湿度控制精度：空调器在正常使用条件下，室内相对湿度控制范围30%～70%，控制精度应可达到设定点±5%。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4)温度调节精度：2℃ 温度变化率&lt; 5℃/小时，温湿度波动超限应能发出报警信号。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5)空调应配置7寸及以上全中文彩色触摸屏显示器。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6)空调应能查看机组实时制冷因子（CLF）数据，以及碳排放累计数据功能。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7)机组应具备轻载除湿功能，避免低负载高湿环境设备凝露。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三、机房专用空调机组的机组性能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1)机房空调采用高效换热的铜管铝翅片“/”型蒸发器盘管。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2)机房专用空调应具有高效节能性，要求投标同系列产品全年能效比（AEER）≥4.0及以上，并在机组明显位置粘贴一级能效标识。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缩机必须采用高效可靠的压缩机，压缩机需设置于空调室内机内部。机组优先采用无级调速的EC直流无刷式全封闭压缩机，可根据负载动态调节转速，并在机组显示屏显示压缩机工作状态，如实际转速、设定转速、压缩机实际输出百分比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4)空调机组的室内风机系统应采用EC风机，EC风机可现场通过控制系统进行调速，调节送风压头和风量。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5)电子膨胀阀:为保证制冷剂节流装置的精确性、可靠性、节能性，应采用电子膨胀阀。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6)机房专用空调系统应具有高可靠性，满足全年365天，每天24小时不间断运行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7)机房专用空调运行的平均无故障时间MTBF≥10万小时。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8)空调应具备安装灵活特点，可背面或两侧靠墙摆放于地面或墙角。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9)空调应具备来电自启动功能，满足机房无人值守的要求。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10)机房专用空调的空气洁净度：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应安装具有高过滤能力的空气过滤器，空气过滤器应便于更换。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11)采用正温度系数的PTC陶瓷套铝翅片电加热器。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12)投标机组必须采用环保型冷媒R410A。</w:t>
            </w:r>
          </w:p>
        </w:tc>
      </w:tr>
      <w:tr w14:paraId="16F9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EE4D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51D6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监控主机（嵌入式）</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20E2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B7BB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22CB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主机尺寸：标准1U机架式尺寸、外壳颜色为黑色；机箱选用优质板材（厚度1.2MM）。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处理器：INTEL 处理器：i5-6200U 双核四线程2.3 GHz处理器；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内存：内存支持1.2V的DDR4 2133双通道内存，每个通道最大支持16GB内存（2个通道最大支持32GB）；默认标准为8G 内存。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BIOS：1颗SPI NOR Flash，用做存储Boot程序，容量8MB(64Mbit)；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存储硬盘：2个SATA 2.0接口，可以安装SSD和机械硬盘，6Gbit/s速率 1个的M.2的贴座，容量16～256GB ； 默认标准为500G  M.2固态硬盘存储；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显示接口：1个VGA接口和1个HDMI接口；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时钟：锂电池供电，3.3V；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操作系统：支持国产麒麟系统、Linux系统、windows7/windows10/windows11系统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DI/DO口：16路 DI，4个DO，信号间隔为1ms，每个DIO都带高速光耦隔离，12V 供电且供电与总电源分开供电；接口以RJ45方式外露； 所有DI和DO均为干节点信号。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网络接口：可提供2个独立带宽PCIE 1X的总线通道，WAN/LAN千兆网络；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串行接口：标准版提供6个485;2个232/485 可选接口；每个串口都带高速；光耦隔离，8个接口  最大波特率：115200； 接口以RJ45方式外露；其中8个串口 12V供电；RJ45接口用两个脚作为RS485的一个信号输出，比如：1、2脚为COM1的RS485+，3、4脚为COM1的RS485-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USB接口：4个USB设备，其中2个USB3.0，2个USB2.0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电源：兼容 DC  220V供电 （三角插座）双电源；选用12V 7A；电源输出DC12V 4路  RJ45接口形式；DC12V 4路的RJ45接口用两个脚作为一个电源信号输出，比如：1、2脚为电源正，3、4脚为电源负。 LPC IO：IT8784E Super IO，包括硬件监测 CPU温度、系统风扇转速、电压等；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看门狗：支持软件可编程及硬件复位；计数支持1～255秒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后IO接口：1个HDMI接口；1个VGA接口；2个RJ45网口接口；1个双层的USB3.0接口，2个 USB2.0；2个的电源插口（两侧）和前面硬盘灯，电源灯； 8个双层的串口指示灯（后面）；20个DIO接口，16个DI，4个DO；带光耦隔离 RJ45接口；6个RS485+2个RS485/232，带光耦隔离；RJ45接口；4路输出电源 RJ45形式；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风扇：3个标准的四PIN风扇设计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工作温度：0～60℃；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工作湿度：0～95%非凝结；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工作气压：86～106千帕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贮存温度：-20～85℃；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贮存湿度：0～95%非凝结；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整机功耗：小于35W </w:t>
            </w:r>
          </w:p>
        </w:tc>
      </w:tr>
      <w:tr w14:paraId="3793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BB52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567F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数据中心综合管理平台软件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5E4B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E8AE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7910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管理平台监控数据存储周期大于36个月，全中文操作及编辑系统，支持电子地图，界面以图形界面为主，主要监控界面为3D视角立体机房结构图，动态实时显示采集数据。所有报警以电子图形形式弹出、并有明显提示；用户可自定义报警级别及报警方式，同一事件可设置一种或多种报警方式；系统提供完整的WEB功能形式进行远程监控管理，授权用户可以通过远程网络访问管理监控系统，内容包括实时状态、历史曲线、事件查询、录像浏览、报警设置等所有功能；具有报表统计、报表导出、报表打印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台软件支持C/S+B/S两种架构；支持安装客户端软件访问服务端系统，也支持网页浏览方式访问服务端系统，提供完整的WEB功能形式进行远程监控管理，授权用户可以通过远程网络访问管理监控系统，内容包括实时状态、历史曲线、事件查询、录像浏览、报警设置等所有功能；提供短信双向查询、设置、控制功能，通过短信方式查询温湿度等模拟量及开关状态等数字量，设置空调温湿度等，可通过短信控制空调、门禁、灯光等设备的开关等控制量，短信命令可灵活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台软件监控界面展示可支持实时数据智能统计、数据智能分析，可将配电、温湿度等机房监控数据的实时变化通过实时曲线的方式形象地展示出来，并非传统的数字展示。监控平台软件的数据查询系统可同时支持对多个数据量的查询和比较，并通过数据表格、曲线、柱状图、饼状图等多种方式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支持图形、颜色、声音、电话、短信、邮件、微信等报警方式多种报警功能；系统有自动定时短信功能，可设置每天或某一天的某一时间给管理员发送短信告知系统运行正常，系统能自动判断是否有报警，如没有则发送系统正常短信，如有故障则发送故障报警，非单纯的被动等待报警事件发生，保证管理员能知道系统在24小时不间断运行，解决用户的后顾之忧。                                                                                                                                                                                  系统可根据需要设定指定的画面按预定义好的顺序、时间间隔轮询展示。当无人操作时，系统显示的界面按轮询设定的方式跳转画面。当手动操作时，界面轮询自动停止。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系统具有开放的系统架构，系统第三方接口能支持ODBC、SNMP、B接口、104规约接口、HTT P接口、IPMI接口、OPC接口等多种不同类型接口服务供第三方软件集成或集成第三方软件，能充分保证第三方系统平台对接及二次开发的灵活性，以及今后功能的无限扩充性，支持快速集成。</w:t>
            </w:r>
          </w:p>
        </w:tc>
      </w:tr>
      <w:tr w14:paraId="34F5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DC92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23F5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数据服务器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1579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FED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0867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配置2颗Intel 4314 16核。2.4主频；配置4条32G DDR4内存；配置2块480G SSD硬盘+2块8T SATA；配置2个千兆网口；配置2个800W电源模块；三年原厂保修</w:t>
            </w:r>
          </w:p>
        </w:tc>
      </w:tr>
      <w:tr w14:paraId="2A13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1E92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66D2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外网防火墙</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1AFE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3AA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0F2D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下一代防火墙，1U，提供8个10/100/1000M以太网电口、4个1G SFP光口，1个扩展插槽。整机最大吞吐量≥ 6Gbps；并发连接数≥150万；新建连接数≥7万/秒，双电源，含1年产品维保。</w:t>
            </w:r>
          </w:p>
        </w:tc>
      </w:tr>
      <w:tr w14:paraId="0040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CBE5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07B5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上网行为管理服务器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4D72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3E02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8325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1、软硬一体产品。2、网络吞吐量：2 Gbps；每秒新建连接数：2万；最大并发连接数：200万；SSL VPN并发用户数：400。3、标准1U机架式；CPU：2核；内存：2GB；硬盘：1TB HDD；电源：单电源；网络接口：千兆电口=10个，千兆Combo口=4个（含1对电口Bypass），不带光模块。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4、推荐带宽：100 Mbps，推荐用户数：400。</w:t>
            </w:r>
          </w:p>
        </w:tc>
      </w:tr>
      <w:tr w14:paraId="031A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AB2A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1D40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A9D7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8A9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CC6A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三层以太网交换机，24个10/100/1000M以太网电口，4个1G SFP接口，交换容量：336Gbps；包转发率：126Mpps，单电源，含1年产品维保。</w:t>
            </w:r>
          </w:p>
        </w:tc>
      </w:tr>
      <w:tr w14:paraId="7106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9227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12B3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606D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8AB8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FA34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三层以太网交换机，24 个 10/100/1000Base-T 电口，24 个 100/1000 SFP 光口, 4 个万兆 SFP+光口，≥2 个扩展插槽，交换容量：2.4Tbps；包转发率：513Mpps，双电源，含1年产品维保。</w:t>
            </w:r>
          </w:p>
        </w:tc>
      </w:tr>
      <w:tr w14:paraId="57FC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5FCD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A035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内网路由器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31C9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AC29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C8EC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IR12000-E80交流基本插箱，1个MPFU插槽，4个SPIU插槽，4个PIU插槽，2个模块化电源插槽，含1年产品维保。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本次配置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主控转发板 D，集成4个GE Combo+4个GE电接口 *1(块)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IR12000-E60/E80交流电源模块 *2(块)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8端口FE/GE电线速转发接口板 *1(块)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IR12000-E80基本系统软件包 *1(块)</w:t>
            </w:r>
          </w:p>
        </w:tc>
      </w:tr>
      <w:tr w14:paraId="76D1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1E3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2CB9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59F3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B574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86CF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6类室内非屏蔽双绞线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6类网线,Cat6非屏蔽双绞线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标准：符合ISO/IEC 11801、TIA-568-C.2、GB/T 18015.5要求,所用材料符合RoHS要求,性能指标优于现行6类线缆250MHz标准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标准装箱长度:305m±1.5m；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线缆结构：4对8芯双绞线,每对之间采用十字骨架隔离,每芯均有颜色区分,外皮印有厂商标识 及电缆编码，有撕裂绳；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执行标准：ISO/IEC11801、TIA-568-C.2、GB/T 18015.5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性能等级：六类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是否屏蔽：非屏蔽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芯线材料：无氧铜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芯线绝缘材料：高密度聚乙烯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撕裂绳：有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排流线：无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十字骨架：有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应用场景：室内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1.0-250.0MHz 特性阻抗(Ω)：100±15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1.0-250.0MHz 时延差 20℃(ns/100m)：≤45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直流电阻 20℃(Ω/100m) max：9.5</w:t>
            </w:r>
          </w:p>
        </w:tc>
      </w:tr>
      <w:tr w14:paraId="2EEA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74C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2067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ups后备电源</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A435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7817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5999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三进三出 or 三进单出 or 单进单出可调，高频在线式UPS主机，9KW/10KVA，长延时机型，高频机，可塔式可机架式安装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额定容量：9KW/10KVA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额定输入电压：380/400/415Vac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输入电压范围：138～485Vac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相数：三相五线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输入频率范围：40~70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输入功率因数：满载≥0.99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输出电压：380/400/415(1±1%)Vac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输出频率：市电模式：与输入同步；当市电频率超出最大±10%（可设置±1%、±2%、±4%、±5%）时，输出频率50/60(±0.1); 电池模式：50/60(±0.1)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整机效率：≥95%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功率因数：0.9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过载能力：115％以下：长时间运行；115％~130％：15min；130％~155％：1min；＞155%：200ms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电池电压：最大支持128节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工作温度：-5℃～40℃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存储温度：-25℃～55℃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相对湿度：0%～95%(不凝露)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工作海拔：&lt;1500米，超过按照GB/T 3859.2规定降额使用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告警功能：具备LCD和蜂鸣器声光告警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保护功能：具备输出过载、短路；电池欠压、过压；充电过温、短路；交流输入电压、频率、相序异常；UPS过温、风机故障等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通信功能：通讯功能标配 RS485，可定制 RS232、干接点 、SNMP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尺寸(W*D*H)：438×500×130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净重：17.5kg，包含电池，供电时间不低于6小时；</w:t>
            </w:r>
          </w:p>
        </w:tc>
      </w:tr>
      <w:tr w14:paraId="2120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7AC0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886E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新能源电动汽车充电桩</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45370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AC97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7529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根据现场定制、立式40kw功率直流充电桩，含电缆，变压器及基础施工。</w:t>
            </w:r>
          </w:p>
        </w:tc>
      </w:tr>
      <w:tr w14:paraId="01D5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D0D7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F3F2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骑行电动车扫码充电桩</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1B6C2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5060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C102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根据现场定制长度、立式235V 交流电4400w，含充电桩，配线箱，防雷设置，基础施工，电缆等</w:t>
            </w:r>
          </w:p>
        </w:tc>
      </w:tr>
      <w:tr w14:paraId="128A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7C94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0567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充电桩智能计量保护电箱</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641C2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DB92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E3AC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w:t>
            </w:r>
          </w:p>
        </w:tc>
      </w:tr>
      <w:tr w14:paraId="45BD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A4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754C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3CFA9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13BC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7FAF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大3p立式空调，变频，冷暖型,一级能效，一级的支持wifi远程app控制</w:t>
            </w:r>
          </w:p>
        </w:tc>
      </w:tr>
      <w:tr w14:paraId="2816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39DE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D667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2D805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F6A9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4FA2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纯铜金属管</w:t>
            </w:r>
          </w:p>
        </w:tc>
      </w:tr>
      <w:tr w14:paraId="4FE1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08D2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4B6BB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室外防水led软灯带</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F718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26C1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2C64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双色温2700K-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6500K无极调光，显指不低于99，无频闪，FPC材质，支持智能控制，防护等级IP67</w:t>
            </w:r>
          </w:p>
        </w:tc>
      </w:tr>
      <w:tr w14:paraId="2002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0FF6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5F434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宽频智能稳压器</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5673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65CB6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30FA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低压宽频稳压器，输出电压稳定，支持远程智能监测，具备感光亮度调节，防雷，过压保护，节能等功能</w:t>
            </w:r>
          </w:p>
        </w:tc>
      </w:tr>
      <w:tr w14:paraId="2DC1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5223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8AC6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4AB64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A98A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734D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150v-240v、led防水白光防眩晕</w:t>
            </w:r>
          </w:p>
        </w:tc>
      </w:tr>
      <w:tr w14:paraId="5BC1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B81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D124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双向投光壁灯</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78DB4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AE7E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3ECF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150v-240v、led防水白光防眩晕</w:t>
            </w:r>
          </w:p>
        </w:tc>
      </w:tr>
      <w:tr w14:paraId="3B40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E7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4CC1D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室外防水led线条轮廓灯条</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46ED6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073E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54EC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防水全彩外控195v35米串联</w:t>
            </w:r>
          </w:p>
        </w:tc>
      </w:tr>
      <w:tr w14:paraId="4385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7C0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7C23C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电路材料主电线</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41C5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46C0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6357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电缆bvr多股铜芯4平方国标线缆</w:t>
            </w:r>
          </w:p>
        </w:tc>
      </w:tr>
      <w:tr w14:paraId="09D9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2064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7322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电路材料电线</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3A01B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85E6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0B4B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电缆bvr多股铜芯2.5平方国标线缆</w:t>
            </w:r>
          </w:p>
        </w:tc>
      </w:tr>
      <w:tr w14:paraId="3B87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EAA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3D5FF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不锈钢线槽</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51837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4045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F28A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30*35不锈钢成品线槽、标配防水盖板</w:t>
            </w:r>
          </w:p>
        </w:tc>
      </w:tr>
      <w:tr w14:paraId="3AB6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42D7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4A255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39203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A54E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AF60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定制不锈钢落地柜1500*600*350，内部元器件根据现场定制</w:t>
            </w:r>
          </w:p>
        </w:tc>
      </w:tr>
      <w:tr w14:paraId="245A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F8A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4EBE5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灯具更换及新装</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6E2AE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F734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3C79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包含旧灯拆除、新装600*600无闪变频日光灯</w:t>
            </w:r>
          </w:p>
        </w:tc>
      </w:tr>
      <w:tr w14:paraId="0819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6F7B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2A93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星空顶吊顶led灯束</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38FF2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D984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00D3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双色温2700K-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6500K无极调光，显指不低于99，无频闪，FPC材质，支持智能控制，防护等级IP67</w:t>
            </w:r>
          </w:p>
        </w:tc>
      </w:tr>
      <w:tr w14:paraId="6669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05B2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0EEB8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筒灯</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30A8F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2DC8F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6F5F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80*80散光白色筒灯</w:t>
            </w:r>
          </w:p>
        </w:tc>
      </w:tr>
      <w:tr w14:paraId="5002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43C1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47F4A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led硅胶软灯带</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4418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73FA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6F4C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双色温2700K-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6500K无极调光，显指不低于99，无频闪，FPC材质，支持智能控制，防护等级IP67</w:t>
            </w:r>
          </w:p>
        </w:tc>
      </w:tr>
      <w:tr w14:paraId="6EFB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57FC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4463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线性灯</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FC84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424.5</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5165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14C5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6500K无极调光，显指不低于99，无频闪，FPC材质，支持智能控制，防护等级IP67</w:t>
            </w:r>
          </w:p>
        </w:tc>
      </w:tr>
      <w:tr w14:paraId="0683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99BC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3826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F959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5F25C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DC7E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80*80散光白色筒灯</w:t>
            </w:r>
          </w:p>
        </w:tc>
      </w:tr>
      <w:tr w14:paraId="1769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DC7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33DA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线性挂式条灯条灯</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42D82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279C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3FA9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双色温2700K-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6500K无极调光，显指不低于99，无频闪，FPC材质，支持智能控制，防护等级IP67</w:t>
            </w:r>
          </w:p>
        </w:tc>
      </w:tr>
      <w:tr w14:paraId="22CD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E85F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19AE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光源机</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57BF4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4FDD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30A3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LED高瓦数，七彩，超亮通体光纤，支持智能</w:t>
            </w:r>
          </w:p>
        </w:tc>
      </w:tr>
      <w:tr w14:paraId="3047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0BD5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3BF4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星空顶电源线</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D264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1DF29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ED14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电缆、2.5平方国标线缆</w:t>
            </w:r>
          </w:p>
        </w:tc>
      </w:tr>
      <w:tr w14:paraId="48F7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6F87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2DD7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星空顶信号线</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1C7FB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756A3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5C7D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电缆、双绞线屏蔽网线国标线缆</w:t>
            </w:r>
          </w:p>
        </w:tc>
      </w:tr>
      <w:tr w14:paraId="1B7F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E352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BFFA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消防应急照明灯具</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AFBE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0AC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5DE9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61ED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666F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8C86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消防应急照明灯具(室外型）</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8188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6DA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5B7C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54D5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4E43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2618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消防应急疏散指示标志灯具</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9281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78F2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4EB3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4652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1B10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1628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消防应急照明电源箱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A3E5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FDFA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7FD8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641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29E4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BE49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消防应急照明系统控制器（壁挂式）</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395C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CFC2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8714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7BA5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785E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F511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36V电源线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7070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154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04A9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WDZN-BYJR-2*2.5</w:t>
            </w:r>
          </w:p>
        </w:tc>
      </w:tr>
      <w:tr w14:paraId="39F5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B51E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57C3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金属穿线管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92D3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E057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81EC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SC20-CC</w:t>
            </w:r>
          </w:p>
        </w:tc>
      </w:tr>
      <w:tr w14:paraId="6B76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C62C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D93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消防报警控制器主机（壁挂式）</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2A66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C766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A804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30AE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E7F4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79D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消防备用电源UPS</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F51B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270E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88D2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3KVA</w:t>
            </w:r>
          </w:p>
        </w:tc>
      </w:tr>
      <w:tr w14:paraId="052D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258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0EC5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火灾声光报警器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0328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A55C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BCAC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0612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0917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4D6C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手动火灾报警按钮</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4120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17F3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695A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3F00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27A9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C431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点型光电感烟火灾探测器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C680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A7C4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C585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3644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8AAA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1120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消火栓报警按钮</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2EB2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810D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0061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23D5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45A9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B126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探测器底座</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3799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C633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3634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26F4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875E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38DF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火灾显示盘</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DADA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FFC8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99F5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7131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020F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DE54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消防电话分机</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2B52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933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C2B8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22BF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64A2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1148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3E56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9E12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13F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5ADD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64C1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A22C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EA37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6C5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13C4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150*200*80</w:t>
            </w:r>
          </w:p>
        </w:tc>
      </w:tr>
      <w:tr w14:paraId="6023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E0C7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FCC9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报警信号总线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F037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A959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5886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WDZ-RVS-2*1.5</w:t>
            </w:r>
          </w:p>
        </w:tc>
      </w:tr>
      <w:tr w14:paraId="6B2A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EE4B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F639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24V电源线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53E7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F4B4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77BC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WDZN-BYJR-2*2.5</w:t>
            </w:r>
          </w:p>
        </w:tc>
      </w:tr>
      <w:tr w14:paraId="2EDD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F05E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566B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消防电话总线</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025A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88AA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2940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WDZ-RVVP-2*1.5</w:t>
            </w:r>
          </w:p>
        </w:tc>
      </w:tr>
      <w:tr w14:paraId="694C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AE26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B9AE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联动控制电缆</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9924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B359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B267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多股双绞线</w:t>
            </w:r>
          </w:p>
        </w:tc>
      </w:tr>
      <w:tr w14:paraId="4F7E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ACCB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E079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热镀锌钢管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02FD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2C7B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0F58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r>
      <w:tr w14:paraId="2115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1EF6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8791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热镀锌钢管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54AA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2E0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6928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w:t>
            </w:r>
          </w:p>
        </w:tc>
      </w:tr>
      <w:tr w14:paraId="124F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C88A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01AE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热镀锌钢管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AA39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14F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5F75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w:t>
            </w:r>
          </w:p>
        </w:tc>
      </w:tr>
      <w:tr w14:paraId="778E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23EE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39A7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热镀锌钢管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B0CF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3B76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ED5B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r>
      <w:tr w14:paraId="56AE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D150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9762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热镀锌钢管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7059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0D3F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4ED9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r>
      <w:tr w14:paraId="0F53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C52B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33567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排烟窗开启装置</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8D55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9B41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0FC1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04B4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6CB9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5325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排烟窗</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C69A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4B47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19A1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根据现场要求定制</w:t>
            </w:r>
          </w:p>
        </w:tc>
      </w:tr>
      <w:tr w14:paraId="2A6B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3F0D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ADE0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接线盒</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45B5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170F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A487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r>
      <w:tr w14:paraId="05DB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446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4632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高位水箱维修</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5A9A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A8B8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249B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w:t>
            </w:r>
          </w:p>
        </w:tc>
      </w:tr>
      <w:tr w14:paraId="671A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DA21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AF4F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角钢</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D501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FFAE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6324F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42AF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3CFF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FD2A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下喷式喷淋头</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65AB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F05B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AD20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ZSTX-15 68℃</w:t>
            </w:r>
          </w:p>
        </w:tc>
      </w:tr>
      <w:tr w14:paraId="1E5F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7B06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DED1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末端试水装置</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E8C3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DB88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BC33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r>
      <w:tr w14:paraId="5EC1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903F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2B27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室外水泵接合器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B175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765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CA5B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r>
      <w:tr w14:paraId="1FC3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CE8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9293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湿式报警阀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5E20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9DE7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3D792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ZSFZX 100</w:t>
            </w:r>
          </w:p>
        </w:tc>
      </w:tr>
      <w:tr w14:paraId="0B54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BCB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6A73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信号蝶阀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B4F0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A4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9EAE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w:t>
            </w:r>
          </w:p>
        </w:tc>
      </w:tr>
      <w:tr w14:paraId="226E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41A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8918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水流指示器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3586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3875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1403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w:t>
            </w:r>
          </w:p>
        </w:tc>
      </w:tr>
      <w:tr w14:paraId="46D3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BD5F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7CD0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法兰闸阀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B1A0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B2F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E2CB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r>
      <w:tr w14:paraId="5CA7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BB14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B347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法兰蝶阀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51C9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B29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D958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r>
      <w:tr w14:paraId="35AB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4394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89A5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2A07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8139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A0A6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r>
      <w:tr w14:paraId="43BE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9ADF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5BB6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5E15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8ECF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74032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消火栓箱800*600*24，栓头SN=65,枪头=19，水龙带L=30m</w:t>
            </w:r>
          </w:p>
        </w:tc>
      </w:tr>
      <w:tr w14:paraId="6E22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515F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F47F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49A6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5481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E1A4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22KW 流量20-30升</w:t>
            </w:r>
          </w:p>
        </w:tc>
      </w:tr>
      <w:tr w14:paraId="1AD1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561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50F71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消防泵控制柜</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CCEE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CBEC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6127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手动、自动、联动一体（壁挂柜）</w:t>
            </w:r>
          </w:p>
        </w:tc>
      </w:tr>
      <w:tr w14:paraId="6288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C09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1B37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喷淋稳压泵</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30E7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5F38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1AF99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XBD3.2/1W-L SQL800*1.0 Q=1L/S,H=32M,N=1.5KW</w:t>
            </w:r>
          </w:p>
        </w:tc>
      </w:tr>
      <w:tr w14:paraId="11C9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1C9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3780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稳压泵控制柜</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6805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D0B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59841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手动、自动、联动一体（壁挂柜）</w:t>
            </w:r>
          </w:p>
        </w:tc>
      </w:tr>
      <w:tr w14:paraId="2152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7C54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B645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手提式磷酸铵盐干粉灭火器</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6621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0519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05831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2-MF-ABC5</w:t>
            </w:r>
          </w:p>
        </w:tc>
      </w:tr>
      <w:tr w14:paraId="58B3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9595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2AB6D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AF78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ACBB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4C380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国标，定制</w:t>
            </w:r>
          </w:p>
        </w:tc>
      </w:tr>
      <w:tr w14:paraId="2F40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176A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79E1F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抗震支架</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187E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4555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noWrap w:val="0"/>
            <w:vAlign w:val="center"/>
          </w:tcPr>
          <w:p w14:paraId="26802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国标，定制</w:t>
            </w:r>
          </w:p>
        </w:tc>
      </w:tr>
      <w:tr w14:paraId="2F6B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02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653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砖砌体拆除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CA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E3C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582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1.砌体名称:零星砌体拆除</w:t>
            </w:r>
          </w:p>
        </w:tc>
      </w:tr>
      <w:tr w14:paraId="2984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B6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91E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零星砌砖</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DA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6ED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0D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1.零星砌砖名称、部位:零星砌体封堵</w:t>
            </w:r>
          </w:p>
        </w:tc>
      </w:tr>
      <w:tr w14:paraId="14C8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B5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1CD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砌块墙</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C2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E3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F7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1.砌块品种、规格、强度等级:200加气块</w:t>
            </w:r>
          </w:p>
        </w:tc>
      </w:tr>
      <w:tr w14:paraId="7A9C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6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0E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隔断隔墙拆除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6D8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66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B49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1.拆除隔墙的骨架种类:隔断拆除</w:t>
            </w:r>
          </w:p>
        </w:tc>
      </w:tr>
      <w:tr w14:paraId="6812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5A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22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木门窗拆除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E17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7C0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EB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1.室内高度:木门窗拆除</w:t>
            </w:r>
          </w:p>
        </w:tc>
      </w:tr>
      <w:tr w14:paraId="57A7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8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D1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木质门（仅安装）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8F5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0AE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4D5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1.门代号及洞口尺寸:木门重新安装</w:t>
            </w:r>
          </w:p>
        </w:tc>
      </w:tr>
      <w:tr w14:paraId="639D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4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ED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金属门窗拆除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373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8B7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E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1.室内高度:金属门窗拆除</w:t>
            </w:r>
          </w:p>
        </w:tc>
      </w:tr>
      <w:tr w14:paraId="627A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0A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D5A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钢质防火门（仅安装）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51B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F1B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C2B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1.门代号及洞口尺寸:防火门重新安装</w:t>
            </w:r>
          </w:p>
        </w:tc>
      </w:tr>
      <w:tr w14:paraId="08E6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24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E23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防盗门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DB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D94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B24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1.门代号及洞口尺寸:M1221</w:t>
            </w:r>
          </w:p>
        </w:tc>
      </w:tr>
      <w:tr w14:paraId="500B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F5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96A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2E3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48D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411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1.门代号及洞口尺寸:FM甲1524</w:t>
            </w:r>
          </w:p>
        </w:tc>
      </w:tr>
      <w:tr w14:paraId="739C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A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1B1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59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20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E36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1.门代号及洞口尺寸:M1524</w:t>
            </w:r>
          </w:p>
        </w:tc>
      </w:tr>
      <w:tr w14:paraId="5221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98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40D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砖砌体拆除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734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A4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E1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1.砌体名称:零星砌体拆除</w:t>
            </w:r>
          </w:p>
        </w:tc>
      </w:tr>
      <w:tr w14:paraId="74CF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10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110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零星砌砖</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F9C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10B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42D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1.零星砌砖名称、部位:零星砌体封堵</w:t>
            </w:r>
          </w:p>
        </w:tc>
      </w:tr>
      <w:tr w14:paraId="0107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23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306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砌块墙</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B93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590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97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1.砌块品种、规格、强度等级:200加气块</w:t>
            </w:r>
          </w:p>
        </w:tc>
      </w:tr>
      <w:tr w14:paraId="5963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FA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E7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木门窗拆除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DA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CD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4A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1.室内高度:木门窗拆除</w:t>
            </w:r>
          </w:p>
        </w:tc>
      </w:tr>
      <w:tr w14:paraId="1505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DB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D88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木质门（仅安装）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77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0A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4D3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1.门代号及洞口尺寸:木门重新安装</w:t>
            </w:r>
          </w:p>
        </w:tc>
      </w:tr>
      <w:tr w14:paraId="1FD1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3F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FBF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金属门窗拆除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927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9FC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25B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1.室内高度:金属门窗拆除</w:t>
            </w:r>
          </w:p>
        </w:tc>
      </w:tr>
      <w:tr w14:paraId="65D5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6A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4F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钢质防火门（仅安装）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9A8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46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D0D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1.门代号及洞口尺寸:防火门重新安装</w:t>
            </w:r>
          </w:p>
        </w:tc>
      </w:tr>
      <w:tr w14:paraId="6B75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F3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5E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防盗门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FEB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F09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60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1.门代号及洞口尺寸:M1221</w:t>
            </w:r>
          </w:p>
        </w:tc>
      </w:tr>
      <w:tr w14:paraId="2E4C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A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82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BA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AA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C7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1.门代号及洞口尺寸:M1224</w:t>
            </w:r>
          </w:p>
        </w:tc>
      </w:tr>
      <w:tr w14:paraId="7DDA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7B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A3D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17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758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058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1.门代号及洞口尺寸:M1024防火隔音门</w:t>
            </w:r>
          </w:p>
        </w:tc>
      </w:tr>
      <w:tr w14:paraId="2E26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91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68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木质门带套</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8C7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895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572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1.门代号及洞口尺寸:更衣间木门N1224实木套板套线</w:t>
            </w:r>
          </w:p>
        </w:tc>
      </w:tr>
      <w:tr w14:paraId="397F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CC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D40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砖砌体拆除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43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A0F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26B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1.砌体名称:零星砌体拆除</w:t>
            </w:r>
          </w:p>
        </w:tc>
      </w:tr>
      <w:tr w14:paraId="4AC1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66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9B7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零星砌砖</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425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AF0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C15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1.零星砌砖名称、部位:零星砌体封堵</w:t>
            </w:r>
          </w:p>
        </w:tc>
      </w:tr>
      <w:tr w14:paraId="4799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9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1A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砌块墙</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597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23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DF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1.砌块品种、规格、强度等级:200加气块</w:t>
            </w:r>
          </w:p>
        </w:tc>
      </w:tr>
      <w:tr w14:paraId="459D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AE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FD9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金属门窗拆除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1A0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615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C8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1.室内高度:金属门窗拆除</w:t>
            </w:r>
          </w:p>
        </w:tc>
      </w:tr>
      <w:tr w14:paraId="0CFE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B3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0D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金属（塑钢、断桥）窗（仅安装）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9FB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1B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E5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1.窗代号及洞口尺寸:金属窗重新安装</w:t>
            </w:r>
          </w:p>
        </w:tc>
      </w:tr>
      <w:tr w14:paraId="198B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7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CF5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防盗门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76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0C5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8C4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1.门代号及洞口尺寸:M1824</w:t>
            </w:r>
          </w:p>
        </w:tc>
      </w:tr>
      <w:tr w14:paraId="03E6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FE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43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钢质防火门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3A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3D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E5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1.门代号及洞口尺寸:FM甲1024</w:t>
            </w:r>
          </w:p>
        </w:tc>
      </w:tr>
      <w:tr w14:paraId="389A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A5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0B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58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2BE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D18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1.废弃料品种:建筑垃圾外运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2.运距:投标单位自行考虑</w:t>
            </w:r>
          </w:p>
        </w:tc>
      </w:tr>
      <w:tr w14:paraId="2D4F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F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1F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5A9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C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E0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1.开槽</w:t>
            </w:r>
          </w:p>
        </w:tc>
      </w:tr>
      <w:tr w14:paraId="5B59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26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8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柱（梁）面装饰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97E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617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F9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1.龙骨材料种类、规格、中距:钢支架、木龙骨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2.基层材料种类、规格:欧松板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3.面层材料品种、规格、颜色:石膏板，外刷红色涂料</w:t>
            </w:r>
          </w:p>
        </w:tc>
      </w:tr>
      <w:tr w14:paraId="3DE3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5C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CA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820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B1C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C2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1.台柜规格:成品吧台</w:t>
            </w:r>
          </w:p>
        </w:tc>
      </w:tr>
      <w:tr w14:paraId="47FC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63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1E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铲除涂料面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24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D9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9E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1.铲除部位名称:铲除漆面至砌体</w:t>
            </w:r>
          </w:p>
        </w:tc>
      </w:tr>
      <w:tr w14:paraId="4346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A8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A5F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04F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E76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B81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1.油漆品种、刷漆遍数:乳胶漆底漆</w:t>
            </w:r>
          </w:p>
        </w:tc>
      </w:tr>
      <w:tr w14:paraId="1274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08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D0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17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A00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47F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1.面层材料品种、规格、颜色:PVC板墙面</w:t>
            </w:r>
          </w:p>
        </w:tc>
      </w:tr>
      <w:tr w14:paraId="7862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88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51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B8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D2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76F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2.基层材料种类、规格:阻燃板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3.面层材料品种、规格、颜色:成品木饰面板</w:t>
            </w:r>
          </w:p>
        </w:tc>
      </w:tr>
      <w:tr w14:paraId="6C20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3C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5D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A9D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3C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1D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1.材料种类、规格:木质书架，1.5m高</w:t>
            </w:r>
          </w:p>
        </w:tc>
      </w:tr>
      <w:tr w14:paraId="4C24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DA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E5C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铲除涂料面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AC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DF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CE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1.铲除部位名称:铲除漆面至砌体</w:t>
            </w:r>
          </w:p>
        </w:tc>
      </w:tr>
      <w:tr w14:paraId="4429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EA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2C6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393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116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108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1.油漆品种、刷漆遍数:乳胶漆底漆</w:t>
            </w:r>
          </w:p>
        </w:tc>
      </w:tr>
      <w:tr w14:paraId="40F4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15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DA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2D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5C5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0A2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1.面层材料品种、规格、颜色:PVC板墙面</w:t>
            </w:r>
          </w:p>
        </w:tc>
      </w:tr>
      <w:tr w14:paraId="44A3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7D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8A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41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D42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BED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2.基层材料种类、规格:阻燃板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3.面层材料品种、规格、颜色:成品木饰面板</w:t>
            </w:r>
          </w:p>
        </w:tc>
      </w:tr>
      <w:tr w14:paraId="6302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5B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4F1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303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17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F2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1.材料种类、规格:木质书架，2.3m高</w:t>
            </w:r>
          </w:p>
        </w:tc>
      </w:tr>
      <w:tr w14:paraId="299D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E6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558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石材墙面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D02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97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895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1.面层材料品种、规格、颜色:仿人造石墙面，含龙骨</w:t>
            </w:r>
          </w:p>
        </w:tc>
      </w:tr>
      <w:tr w14:paraId="3148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C2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E6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F93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58F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F7E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2.基层材料种类、规格:阻燃板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3.面层材料品种、规格、颜色:成品木饰面板</w:t>
            </w:r>
          </w:p>
        </w:tc>
      </w:tr>
      <w:tr w14:paraId="42F4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40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BB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石材窗台板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3B2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E15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05F655">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根据现场定制</w:t>
            </w:r>
          </w:p>
        </w:tc>
      </w:tr>
      <w:tr w14:paraId="3765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1D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C2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28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054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FC0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2.基层材料种类、规格:阻燃板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3.面层材料品种、规格、颜色:成品木饰面板</w:t>
            </w:r>
          </w:p>
        </w:tc>
      </w:tr>
      <w:tr w14:paraId="78D1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E6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BD5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3B8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7C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1B1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2.基层材料种类、规格:阻燃板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3.面层材料品种、规格、颜色:成品木饰面板</w:t>
            </w:r>
          </w:p>
        </w:tc>
      </w:tr>
      <w:tr w14:paraId="4297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C9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409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平面、箱式招牌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7C7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FFD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A1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1.箱体规格:广告牌</w:t>
            </w:r>
          </w:p>
        </w:tc>
      </w:tr>
      <w:tr w14:paraId="0E15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CD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3D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02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6B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38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2.基层材料种类、规格:防火隔音板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3.面层材料品种、规格、颜色:墙面聚酯纤维吸音板1500mm*2600mm*9mm</w:t>
            </w:r>
          </w:p>
        </w:tc>
      </w:tr>
      <w:tr w14:paraId="44CA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A0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68C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28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F08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44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1.材料种类、规格:木质书架，1.5m高</w:t>
            </w:r>
          </w:p>
        </w:tc>
      </w:tr>
      <w:tr w14:paraId="0922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5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99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8F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1C6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3B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2.基层材料种类、规格:阻燃板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3.面层材料品种、规格、颜色:成品木饰面板</w:t>
            </w:r>
          </w:p>
        </w:tc>
      </w:tr>
      <w:tr w14:paraId="229B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32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2BB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原吊顶拆除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61A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1552.33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65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68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w:t>
            </w:r>
          </w:p>
        </w:tc>
      </w:tr>
      <w:tr w14:paraId="1A0D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F7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421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墙面涂膜防水</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84B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385.97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F8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D9E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1.防水膜品种:1.5厚聚合物水泥基防水涂料防潮层</w:t>
            </w:r>
          </w:p>
        </w:tc>
      </w:tr>
      <w:tr w14:paraId="5FF8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02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76B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墙面涂膜防水</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C05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681.19</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7A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7FF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1.防水膜品种:1.2厚合成高分子涂膜防潮层</w:t>
            </w:r>
          </w:p>
        </w:tc>
      </w:tr>
      <w:tr w14:paraId="795B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A6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EF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块料楼地面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696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FDA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CE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1.找平层厚度、砂浆配合比:20厚DS M15砂浆（或1:3水泥砂浆）找平层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2.结合层厚度、砂浆配合比:5厚DTA砂浆或1:2.5水泥砂浆内掺建筑胶粘接层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3.面层材料品种、规格、颜色:600*600防滑地砖</w:t>
            </w:r>
          </w:p>
        </w:tc>
      </w:tr>
      <w:tr w14:paraId="69DB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3B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F2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橡胶板楼地面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671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2EF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89E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1.面层材料品种、规格、颜色:塑胶地垫</w:t>
            </w:r>
          </w:p>
        </w:tc>
      </w:tr>
      <w:tr w14:paraId="4D5D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D1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9E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竹、木（复合）地板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23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42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ED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1.基层材料种类、规格:15 厚木工板(背面刷防腐剂)45°斜铺，水泥钉固定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2.面层材料品种、规格、颜色:复合木地板1500*350*15</w:t>
            </w:r>
          </w:p>
        </w:tc>
      </w:tr>
      <w:tr w14:paraId="1BA6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30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6FA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金属踢脚线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A1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177.88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C1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09B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1.踢脚线高度:200mm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2.面层材料品种、规格、颜色:铝合金踢脚</w:t>
            </w:r>
          </w:p>
        </w:tc>
      </w:tr>
      <w:tr w14:paraId="323F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27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BFF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4D4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681.19</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8C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055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1.底层厚度、砂浆配合比:9厚 DP M20 砂浆(或1:2.5水泥砂浆)打底抹平</w:t>
            </w:r>
          </w:p>
        </w:tc>
      </w:tr>
      <w:tr w14:paraId="36B6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6D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C3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43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89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893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1.底层厚度、砂浆配合比:DCA 砂浆勾实接缝、修补墙面，满粘耐碱玻纤网布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2.面层厚度、砂浆配合比:8厚DCA 砂浆打底，2厚 DCA 砂浆罩面</w:t>
            </w:r>
          </w:p>
        </w:tc>
      </w:tr>
      <w:tr w14:paraId="74CF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7A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C1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61F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BD1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A07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1.底层厚度、砂浆配合比:抹面胶浆+耐碱玻纤网格布</w:t>
            </w:r>
          </w:p>
        </w:tc>
      </w:tr>
      <w:tr w14:paraId="226B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F8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9FB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553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385.97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83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E1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1.龙骨材料种类、规格、中距:50x50C型轻钢龙骨与墙体用胀管螺钉固定，双向中距 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2.隔离层材料种类、规格:50厚玻璃棉毡固定于轻钢龙骨间空腔处，玻璃丝布绷紧粘牢于轻钢龙骨表面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3.面层材料品种、规格、颜色:穿孔铝板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4.压条材料种类、规格:铝装饰压条</w:t>
            </w:r>
          </w:p>
        </w:tc>
      </w:tr>
      <w:tr w14:paraId="7150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2F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C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1A5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3DA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B31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1.基层材料种类、规格:欧松板衬板背面满涂建筑胶粘剂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2.面层材料品种、规格、颜色:石膏板，建筑胶粘剂粘贴</w:t>
            </w:r>
          </w:p>
        </w:tc>
      </w:tr>
      <w:tr w14:paraId="0101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8E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67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B5A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511.51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24E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5F6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1.基层材料种类、规格:欧松板衬板背面满涂建筑胶粘剂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2.面层材料品种、规格、颜色:木饰面板，建筑胶粘剂粘贴</w:t>
            </w:r>
          </w:p>
        </w:tc>
      </w:tr>
      <w:tr w14:paraId="2198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4B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F80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91D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DE4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CEF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1.面层材料品种、规格、颜色:解压软包墙面</w:t>
            </w:r>
          </w:p>
        </w:tc>
      </w:tr>
      <w:tr w14:paraId="7745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8F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CCE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其他隔断</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F2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428.95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4A2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E9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1.骨架、边框材料种类、规格:轻钢龙骨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2.隔板材料品种、规格、颜色:构造2X12mm+75mm（填岩棉，容重100kg/m3）+2X12mm</w:t>
            </w:r>
          </w:p>
        </w:tc>
      </w:tr>
      <w:tr w14:paraId="184A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75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325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天棚抹灰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D2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357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28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1.抹灰厚度、材料种类:5厚 DGP(粉刷石膏)抹平</w:t>
            </w:r>
          </w:p>
        </w:tc>
      </w:tr>
      <w:tr w14:paraId="70E2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B2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6E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A2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CE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CF1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1.基层材料种类、规格:顶面防火隔音板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2.面层材料品种、规格:星空吊顶（聚丙烯成品定制产品）</w:t>
            </w:r>
          </w:p>
        </w:tc>
      </w:tr>
      <w:tr w14:paraId="1737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42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A53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0C2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542.87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86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F0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1.龙骨材料种类、规格、中距:U型轻钢次龙骨U50x20(或U60x27)中距400，龙骨吸顶吊件用膨胀螺栓与现浇楼板固定，U型轻钢龙骨横撑U50x20(或U60x27)中距1200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2.面层材料品种、规格:9.5或 12厚(普通、耐水、防潮、耐火)纸面石膏板，用自攻螺钉与龙骨固定</w:t>
            </w:r>
          </w:p>
        </w:tc>
      </w:tr>
      <w:tr w14:paraId="0B01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3D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A97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吊顶天棚（仅安装）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E09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522.29</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C02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AD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1.吊顶形式、吊杆规格、高度:M8 自膨胀全牙品杆双向中距&lt;1200，吊杆上部与板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底预留吊环(勾)固定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2.龙骨材料种类、规格、中距:U型轻钢主龙骨CS60x27(或CS50x15)中距&lt;1200,找平后与钢筋吊杆固定，T型轻钢主龙骨TS2 x28，T型轻钢龙骨(横撑)T24 x28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3.面层材料品种、规格:12 厚矿棉吸声板面层</w:t>
            </w:r>
          </w:p>
        </w:tc>
      </w:tr>
      <w:tr w14:paraId="36C3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D9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C97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3A9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257.96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71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611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1.龙骨材料种类、规格、中距:M8自膨胀全牙吊杆，中距同上，上端与预留吊环(勾)固定，U型轻钢龙骨中距&lt;1500，找平后与全牙吊杆固定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2.面层材料品种、规格:0.5厚铝板方格栅表面喷塑</w:t>
            </w:r>
          </w:p>
        </w:tc>
      </w:tr>
      <w:tr w14:paraId="29A1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FC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865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AC5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295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950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1.龙骨材料种类、规格、中距:U型轻钢次龙骨U50x20(或U60x27)中距400，龙骨吸顶吊件用膨胀螺栓与现浇楼板固定，U型轻钢龙骨横撑U50x20(或U60x27)中距1200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2.基层材料种类、规格:9.5或 12厚(普通、耐水、防潮、耐火)纸面石膏板，用自攻螺钉与龙骨固定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3.面层材料品种、规格:顶面隔音板，顶面聚酯纤维吸音板</w:t>
            </w:r>
          </w:p>
        </w:tc>
      </w:tr>
      <w:tr w14:paraId="427F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9B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EFE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73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BB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A4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1.刮腻子要求:满刮2厚耐水腻子找平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2.涂料品种、喷刷遍数:喷(刷、辊)无机内墙薄涂涂料2道，或喷(刷、辊)无机内墙无机涂料1~2道</w:t>
            </w:r>
          </w:p>
        </w:tc>
      </w:tr>
      <w:tr w14:paraId="315B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EE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FC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天棚喷刷涂料</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83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C0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CD6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1.刮腻子要求:刮2 厚耐水腻子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2.涂料品种、喷刷遍数:喷(刷、辊)无机内墙薄涂涂料2道，或喷(刷、辊 )白色无机涂料1~2道</w:t>
            </w:r>
          </w:p>
        </w:tc>
      </w:tr>
      <w:tr w14:paraId="79B8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47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4E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立面抹灰层拆除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28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3E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CA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1.拆除部位:铲除原面层</w:t>
            </w:r>
          </w:p>
        </w:tc>
      </w:tr>
      <w:tr w14:paraId="3F68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50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68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天棚抹灰面拆除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2F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381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E63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1.拆除部位:铲除原有面层</w:t>
            </w:r>
          </w:p>
        </w:tc>
      </w:tr>
      <w:tr w14:paraId="0E63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B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E1A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4D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10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E74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1.废弃料品种:建筑垃圾外运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2.运距:投标单位自行考虑</w:t>
            </w:r>
          </w:p>
        </w:tc>
      </w:tr>
      <w:tr w14:paraId="4770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E4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CD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星空顶吊顶拆除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E7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2F2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9A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根据现场定制</w:t>
            </w:r>
          </w:p>
        </w:tc>
      </w:tr>
      <w:tr w14:paraId="255E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E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3D2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96B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64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D4C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1.基层材料种类、规格:墙面防火隔音板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2.面层材料品种、规格、颜色:墙面聚酯纤维吸音板</w:t>
            </w:r>
          </w:p>
        </w:tc>
      </w:tr>
      <w:tr w14:paraId="487E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0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8B8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钢架地台基础</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83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5B2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E04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1.根据现场定制，50*50方钢焊接加固，含连接件</w:t>
            </w:r>
          </w:p>
        </w:tc>
      </w:tr>
      <w:tr w14:paraId="5AFF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BA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17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竹、木（复合）地板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6E3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0E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076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1.面层材料品种、规格、颜色:地台封面欧松板，1195mm*2440mm*18mm松木，环保等级ENF级</w:t>
            </w:r>
          </w:p>
        </w:tc>
      </w:tr>
      <w:tr w14:paraId="2945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A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4BA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地毯楼地面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3E1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B34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FE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1.面层材料品种、规格、颜色:高密1.5厚度防火地毯</w:t>
            </w:r>
          </w:p>
        </w:tc>
      </w:tr>
      <w:tr w14:paraId="1A63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0C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625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CB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8C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33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1.刮腻子遍数:石膏腻子两遍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2.油漆品种、刷漆遍数:内墙乳胶漆两遍</w:t>
            </w:r>
          </w:p>
        </w:tc>
      </w:tr>
      <w:tr w14:paraId="2824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21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82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D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B0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78C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7A97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1B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1BE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高密度防污减震pvc地垫</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C9E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83D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B9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1.500mm*500mm*30mm厚度减震防污</w:t>
            </w:r>
          </w:p>
        </w:tc>
      </w:tr>
      <w:tr w14:paraId="3E24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34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F6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F0C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4B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195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1.刮腻子遍数:石膏腻子两遍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2.油漆品种、刷漆遍数:内墙乳胶漆两遍</w:t>
            </w:r>
          </w:p>
        </w:tc>
      </w:tr>
      <w:tr w14:paraId="10BA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4F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761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A6C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7EC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04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444D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03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B4A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F1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DA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B22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1.刮腻子遍数:石膏腻子两遍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2.油漆品种、刷漆遍数:内墙乳胶漆两遍</w:t>
            </w:r>
          </w:p>
        </w:tc>
      </w:tr>
      <w:tr w14:paraId="3055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45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39D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93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680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4E1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1DC5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E3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3F9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墙面墙面打底木龙骨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015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878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78F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1.30mm*30mm*2400mm</w:t>
            </w:r>
          </w:p>
        </w:tc>
      </w:tr>
      <w:tr w14:paraId="02F9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6B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B9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自流坪楼地面</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F5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686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D8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1.面层材料种类:地面自流平</w:t>
            </w:r>
          </w:p>
        </w:tc>
      </w:tr>
      <w:tr w14:paraId="534D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0D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AB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DC7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14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1D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1.刮腻子遍数:石膏腻子两遍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2.油漆品种、刷漆遍数:内墙乳胶漆两遍</w:t>
            </w:r>
          </w:p>
        </w:tc>
      </w:tr>
      <w:tr w14:paraId="2D32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C5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F51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581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30F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143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164E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EE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A5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40A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CA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469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1.刮腻子遍数:石膏腻子两遍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2.油漆品种、刷漆遍数:内墙乳胶漆两遍</w:t>
            </w:r>
          </w:p>
        </w:tc>
      </w:tr>
      <w:tr w14:paraId="3A40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FF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E5A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E1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602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46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5CB8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61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6B1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4A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CCB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1FB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459B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52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894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装饰储物柜灯带层板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7D5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F1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6DE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1.成品定制1500*2400*15国标ENF级板材</w:t>
            </w:r>
          </w:p>
        </w:tc>
      </w:tr>
      <w:tr w14:paraId="36FB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4A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C6D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高密度防污减震pvc地垫</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AE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C27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F7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1.500mm*500mm*30mm厚度减震防污</w:t>
            </w:r>
          </w:p>
        </w:tc>
      </w:tr>
      <w:tr w14:paraId="446D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53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13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更衣间衣柜</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2C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E3C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D46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1.成品定制1500*2400*15国标ENF级板材</w:t>
            </w:r>
          </w:p>
        </w:tc>
      </w:tr>
      <w:tr w14:paraId="5A46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08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09F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CFA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60C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E77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1.基层材料种类、规格:欧松板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2.面层材料品种、规格:木饰面板</w:t>
            </w:r>
          </w:p>
        </w:tc>
      </w:tr>
      <w:tr w14:paraId="3854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1A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29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金属装饰线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BE8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212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38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1.线条材料品种、规格、颜色:折弯不锈钢150mm*3000mm*15mm黑钛金压槽</w:t>
            </w:r>
          </w:p>
        </w:tc>
      </w:tr>
      <w:tr w14:paraId="053F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1A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05A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金属装饰线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C32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74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112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1.线条材料品种、规格、颜色:木饰面金属拼缝收口条，15*3000t型卡槽收口条</w:t>
            </w:r>
          </w:p>
        </w:tc>
      </w:tr>
      <w:tr w14:paraId="4E2E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CE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657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C4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F61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0CD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1.刮腻子遍数:石膏腻子两遍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2.油漆品种、刷漆遍数:内墙乳胶漆两遍</w:t>
            </w:r>
          </w:p>
        </w:tc>
      </w:tr>
      <w:tr w14:paraId="6108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FE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C1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73E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586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AB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17F1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49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66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演讲台基础框架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112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AF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0A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1.满架木方</w:t>
            </w:r>
          </w:p>
        </w:tc>
      </w:tr>
      <w:tr w14:paraId="18A7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3E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5E1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竹、木（复合）地板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6CD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7AA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08C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1.基层材料种类、规格:地台封面欧松板，1195mm*2440mm*18mm松木，环保等级ENF级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2.面层材料品种、规格、颜色:复合木地板1500*350*15</w:t>
            </w:r>
          </w:p>
        </w:tc>
      </w:tr>
      <w:tr w14:paraId="5954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B8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E3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772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285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DF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7F10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02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0C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顶面减震砖</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B4B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E35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A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1.150mm*150mm*50mm、横竖400mm间隔一个</w:t>
            </w:r>
          </w:p>
        </w:tc>
      </w:tr>
      <w:tr w14:paraId="49B8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0B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3A9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地面减震器</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43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4F6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7C0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1.横竖400mm间隔一个</w:t>
            </w:r>
          </w:p>
        </w:tc>
      </w:tr>
      <w:tr w14:paraId="30C8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51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C1E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F8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69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95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1.基层材料种类、规格:顶面隔音防火岩棉、1500mm*600mm*50mm国标防火岩棉</w:t>
            </w:r>
          </w:p>
        </w:tc>
      </w:tr>
      <w:tr w14:paraId="5A13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00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ADF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E1A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F4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36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1.基层材料种类、规格:隔音毡</w:t>
            </w:r>
          </w:p>
        </w:tc>
      </w:tr>
      <w:tr w14:paraId="54B1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5F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97A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AF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78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1DE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1.基层材料种类、规格:欧松板</w:t>
            </w:r>
          </w:p>
        </w:tc>
      </w:tr>
      <w:tr w14:paraId="1E4A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AE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98E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02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11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5C7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1.隔离层材料种类、规格:墙面隔音棉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2.基层材料种类、规格:墙面隔音毡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3.面层材料品种、规格、颜色:墙面隔音板，墙面聚酯纤维吸音板</w:t>
            </w:r>
          </w:p>
        </w:tc>
      </w:tr>
      <w:tr w14:paraId="1252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23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D22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地面木制框架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2F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9F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A5E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1.满架木方</w:t>
            </w:r>
          </w:p>
        </w:tc>
      </w:tr>
      <w:tr w14:paraId="7048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D9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14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竹、木（复合）地板</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207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A3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DA8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1.基层材料种类、规格:地台封面欧松板，1195mm*2440mm*18mm松木，环保等级ENF级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2.面层材料品种、规格、颜色:地面聚酯纤维吸音板</w:t>
            </w:r>
          </w:p>
        </w:tc>
      </w:tr>
      <w:tr w14:paraId="4CA2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CE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4F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吊顶天棚</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2E0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404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F8D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1.基层材料种类、规格:欧松板</w:t>
            </w:r>
          </w:p>
        </w:tc>
      </w:tr>
      <w:tr w14:paraId="4F6D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93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00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书柜</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92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F54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D7D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1、书柜</w:t>
            </w:r>
          </w:p>
        </w:tc>
      </w:tr>
      <w:tr w14:paraId="6BF7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75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17F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抹灰面油漆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C1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39E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39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1.腻子种类:石膏腻子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2.刮腻子遍数:两遍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3.油漆品种、刷漆遍数:天棚乳胶漆两遍</w:t>
            </w:r>
          </w:p>
        </w:tc>
      </w:tr>
      <w:tr w14:paraId="2A94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73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4ED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里脚手架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549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F4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022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1.搭设方式:里脚手架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2.搭设高度:3.6m以内</w:t>
            </w:r>
          </w:p>
        </w:tc>
      </w:tr>
      <w:tr w14:paraId="2CD2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8E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1A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满堂脚手架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1B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1552.33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F0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EC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1.搭设方式:装修活动脚手架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2.搭设高度:3.6以内装修脚手架</w:t>
            </w:r>
          </w:p>
        </w:tc>
      </w:tr>
      <w:tr w14:paraId="28F6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D6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599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成品保护</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DA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1552.33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2B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B43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1.地面</w:t>
            </w:r>
          </w:p>
        </w:tc>
      </w:tr>
      <w:tr w14:paraId="40D8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7F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33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大型防腐木凉亭</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E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F9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根据甲方定制造型，含基础施工及附属配套产品</w:t>
            </w:r>
          </w:p>
        </w:tc>
      </w:tr>
      <w:tr w14:paraId="0EED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C6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53B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金属制品</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E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A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89B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根据甲方要求定制金属不锈钢制品</w:t>
            </w:r>
          </w:p>
        </w:tc>
      </w:tr>
      <w:tr w14:paraId="272C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21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5B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室外地坪维修</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B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7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050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旧地板拆除，材料：火烧板，尺寸30*60*3CM，含人工，砂浆等</w:t>
            </w:r>
          </w:p>
        </w:tc>
      </w:tr>
      <w:tr w14:paraId="376E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10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44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混凝土井</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8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D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3F3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1.垫层、基础材质及厚度:预制混凝土阀门井 2.5*2.5</w:t>
            </w:r>
          </w:p>
        </w:tc>
      </w:tr>
      <w:tr w14:paraId="4F8C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69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17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健身器材</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02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1C9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3AB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1.壁厚3.0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2.直埋40公分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3.大型尺寸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4.有限位器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5.包16件套:单杠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6.腿部按摩器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7.双人浪板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8.双人坐蹬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9.上肢牵引器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10.象棋桌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11.腹肌板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12.划船器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13.肩关节训练器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14.健骑机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15.健身车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16.平步机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17.三人扭腰器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18.伸腰伸背架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19.双人漫步机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20.腰背按摩器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21.符合新国标标准</w:t>
            </w:r>
          </w:p>
        </w:tc>
      </w:tr>
      <w:tr w14:paraId="1926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71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67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防腐木室外墩椅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64F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87D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B8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1.根据甲方定制造型，含基础施工及附属配套产品</w:t>
            </w:r>
          </w:p>
        </w:tc>
      </w:tr>
      <w:tr w14:paraId="1DCE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23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73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定制长拐角软包沙发</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1E4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59C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B1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1.根据甲方需求定制尺寸,实木框架，皮革及颜色等，海绵密度不低于45千克/立方米。</w:t>
            </w:r>
          </w:p>
        </w:tc>
      </w:tr>
      <w:tr w14:paraId="17F8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55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41B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定制实木茶几</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29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06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499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1.根据现场定制造型和尺寸</w:t>
            </w:r>
          </w:p>
        </w:tc>
      </w:tr>
      <w:tr w14:paraId="455F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D4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4F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影院座椅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05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2C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DE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1.定制影院级，1. 座/背棉:采用高密度冷发泡PU定型棉，座棉密度在50-55kg/m³，座棉规格：490*465*185mm，背绵密度在45-50kg/m³，背棉规格：800*480*140mm，座椅外观符合人体工程学原理，舒适度好。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2.背内板:采用优质夹板经模具压成型。外观成弧形，美观大方，具有曲线美，厚度15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3.座内板:采用优质夹板经模具压成型。外观成弧形，美观大方，具有曲线美，厚度12mm。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4.背胶壳:采用优质PP(聚丙烯)多元素复合材料经模具压铸成型，厚度3mm。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5.座胶壳:采用优质PP(聚丙烯)多元素复合材料经模具压铸成型，厚度3mm。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6.站脚:采用2.0mm优质冷轧钢板、钢管冲压焊接成型，并经打磨、除锈磷化、静电喷粉、高温焗炉等工序处理。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7.扶手面:采用优质PP材料经模具压注成型，扶手带水杯架并可上下活动。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8.面料:采用高级专用面料，耐磨、抗污、防褪色。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9.写字板:采用优质T10.0夹板与T5中纤板压制而成，美观大方。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10.回位功能:座内采用重力回复结构，不存在故障，持久耐用，而且无噪音。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11.地面固定:采用静电喷涂内六角膨胀螺丝使座椅与地面固定，不宜生锈。外加防尘盖，美观大方。含原座椅拆除更换</w:t>
            </w:r>
          </w:p>
        </w:tc>
      </w:tr>
      <w:tr w14:paraId="0779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7E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9A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打洞</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177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95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67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1.空调打洞根据现场定制</w:t>
            </w:r>
          </w:p>
        </w:tc>
      </w:tr>
      <w:tr w14:paraId="2D74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D0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EB7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跑步机</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10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247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3D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1.商用级，产品尺寸:2200*1020*1700mm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2.包装尺寸:2200*1000*930mm木箱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3.净重/毛重:180/230kg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4.最大承重:170kg   显示面板： LED屏，可显示时间、速度、坡度、距离、卡路里、心率     锻炼程序： 8种锻炼模式、P1-P8；3种自定义倒置模式:时间、距离、卡路里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5.动力系统:交流电变频电机，额定值3.0HP，峰值7.0HP     电源电压： AC 220V(50HZ-60HZ):电流：8.6A     速度范围： 1.0-20.0km/h      坡度范围： 0-20%     心率测试： 超精准手握式心率测试系统    跑带尺寸： 3310*590*3MM    跑板规格： 25mm厚，高密度超强耐磨纤维跑板</w:t>
            </w:r>
          </w:p>
        </w:tc>
      </w:tr>
      <w:tr w14:paraId="4758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0C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5CC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椭圆机</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458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76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DC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1.商用级，产品尺寸:2080*850*940mm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2.包装尺寸:2100*730*1645mm木箱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3.净重/毛重:137/150kg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4.最大承重:150kg    运动行程：500mm    电源方式：自发电   运动方式：椭圆运动    阻力控制方式：程序控制   显示屏：LCD    自定义程序：3种    固定运动程序：10个    助力源：双向磁滞机    扶手：PU 发泡    主机材质规格：60*120*3.0T    脚踏板材质：ABS</w:t>
            </w:r>
          </w:p>
        </w:tc>
      </w:tr>
      <w:tr w14:paraId="6EE7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77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2F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反飞鸟</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6B8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F1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2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1.商用级，Q235B精密焊接，纳米陶化技术外壁保护膜，全自动静电喷涂，外观细腻、持久。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2.采用50*100优质方管钢材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3.采用精密研磨处理的转动轴轴芯与轴承完美配合、提高了轴芯与轴承的使用寿命。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4.滑轮转动螺杆采用高精度研磨的高强度螺丝，提升滑轮的使用寿命，塑料件全包，安全、美观。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5.配重铁采用精密冷拉钢板，纳米陶化处理、电泳、喷涂，经久耐用。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6.配重插销采用304不锈钢，铝合金结合精加工而成，外观优美、耐腐蚀、耐疲劳。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7.一次成型工艺座垫，优质皮革包覆，工程塑料背板。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8.座椅调节方便快捷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9.塑料配件一次注塑成型，抗老化、不变色。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10.脚踏采用天然橡胶一次成型与304不锈钢板镂空两种工艺，美观、耐用。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11.配重导杆滑动导向套采用铝合金精细加工隔套配合lgus塑料轴承，顺畅、耐用。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12.产品尺寸:1340*1240*2020、13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机器重量：260kg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.标准配重:80kg</w:t>
            </w:r>
          </w:p>
        </w:tc>
      </w:tr>
      <w:tr w14:paraId="6EDE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23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264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高拉背机</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8B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9C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A27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1.商用级，Q235B精密焊接，纳米陶化技术外壁保护膜，全自动静电喷涂，外观细腻、持久。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2.采用50*100优质方管钢材，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3.采用精密研磨处理的转动轴轴芯与轴承完美配合、提高了轴芯与轴承的使用寿命。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4.滑轮转动螺杆采用高精度研磨的高强度螺丝，提升滑轮的使用寿命，塑料件全包，安全、美观。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5.配重铁采用精密冷拉钢板，纳米陶化处理、电泳、喷涂，经久耐用。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6.配重插销采用304不锈钢，铝合金结合精加工而成，外观优美、耐腐蚀、耐疲劳。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7.一次成型工艺座垫，优质皮革包覆，工程塑料背板。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8.座椅调节方便快捷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9.塑料配件一次注塑成型，抗老化、不变色。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10.脚踏采用天然橡胶一次成型与304不锈钢板镂空两种工艺，美观、耐用。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11.配重导杆滑动导向套采用铝合金精细加工隔套配合lgus塑料轴承，顺畅、耐用。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12.产品尺寸:1220*1180*2220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13.机器重量:280kg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14.标准配重:80kg</w:t>
            </w:r>
          </w:p>
        </w:tc>
      </w:tr>
      <w:tr w14:paraId="4CAA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C1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0EB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低拉背机</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BDC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151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AA9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1.商用级，Q235B精密焊接，纳米陶化技术外壁保护膜，全自动静电喷涂，外观细腻、持久。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2.采用50*120优质方管钢材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3.采用精密研磨处理的转动轴轴芯与轴承完美配合、提高了轴芯与轴承的使用寿命。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4.滑轮转动螺杆采用高精度研磨的高强度螺丝，提升滑轮的使用寿命，塑料件全包，安全、美观。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5.配重铁采用精密冷拉钢板，纳米陶化处理、电泳、喷涂，经久耐用。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6.配重插销采用304不锈钢，铝合金结合精加工而成，外观优美、耐腐蚀、耐疲劳。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7.一次成型工艺座垫，优质皮革包覆，工程塑料背板。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8.座椅调节方便快捷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9.塑料配件一次注塑成型，抗老化、不变色。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10.脚踏采用天然橡胶一次成型与304不锈钢板镂空两种工艺，美观、耐用。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11.配重导杆滑动导向套采用铝合金精细加工隔套配合lgus塑料轴承，顺畅、耐用。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12.产品尺寸:1750*1300*2020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13.机器重量:226kg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14.标准配重:100kg</w:t>
            </w:r>
          </w:p>
        </w:tc>
      </w:tr>
      <w:tr w14:paraId="254F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0F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A9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罗马椅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E17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49F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F70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1.商用级，Q235B精密焊接，纳米陶化技术外壁保护膜，全自动静电喷涂，外观细腻、持久。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2.采用50*100优质方管钢材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3.采用精密研磨处理的转动轴轴芯与轴承完美配合、提高了轴芯与轴承的使用寿命。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4.一次成型工艺座垫，优质皮革包覆，工程塑料背板。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5.座椅调节方便快捷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6.塑料配件一次注塑成型，抗老化、不变色。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7.产品尺寸:1220*860*960mm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8.机器重量:61kg</w:t>
            </w:r>
          </w:p>
        </w:tc>
      </w:tr>
      <w:tr w14:paraId="6F32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36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C55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倒蹬机</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F7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82F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1B0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1.商用级，Q235B精密焊接，纳米陶化技术外壁保护膜，全自动静电喷涂，外观细腻、持久。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2.采用50*120优质方管钢材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3.采用精密研磨处理的转动轴轴芯与轴承完美配合、提高了轴芯与轴承的使用寿命。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4.一次成型工艺座垫，优质皮革包覆，工程塑料背板。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5.塑料配件一次注塑成型，抗老化、不变色。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6.脚踏采用天然橡胶一次成型与304不锈钢板镂空两种工艺，美观、耐用。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7.产品尺寸:2170*1610*1260mm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8.机器重量:264kg</w:t>
            </w:r>
          </w:p>
        </w:tc>
      </w:tr>
      <w:tr w14:paraId="027F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23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5F4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31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B2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9D5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1.475*1695*880MM，多组合系列</w:t>
            </w:r>
          </w:p>
        </w:tc>
      </w:tr>
      <w:tr w14:paraId="6986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66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001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整套哑铃</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559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24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24D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1.105kg，多功能</w:t>
            </w:r>
          </w:p>
        </w:tc>
      </w:tr>
      <w:tr w14:paraId="7C68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E6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FC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棋牌桌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797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7D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27A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w:t>
            </w:r>
          </w:p>
        </w:tc>
      </w:tr>
      <w:tr w14:paraId="49B2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37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016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棋牌椅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4FB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DA0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270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w:t>
            </w:r>
          </w:p>
        </w:tc>
      </w:tr>
      <w:tr w14:paraId="18CF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44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84E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实木长条桌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66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66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8DA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2044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CE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E1F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长条椅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04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000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BE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3274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EB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943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乒乓球赛台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0F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71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9E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6532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A5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39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休息条椅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6FC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BE3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2A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21C5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2C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A9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计分牌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16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6C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5E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6E29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9A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B61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赛台专用无影灯</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2EC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25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DAC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40E5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A8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3E5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比赛专用台球桌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6F8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0E2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1B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1.尺寸:2850*1550*850mm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2.款式及材料:进口橡木木材，表面贴进口防火板，颜色可多选，传统外观造型。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3.石板:45mm精磨青石板1套。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4.袋口:响铜袋口进口牛皮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5.库邦:10mm钢板 打感好 弹力好 声音清脆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6.框架:50mm厚橡木下架 进口环保烤漆 加重加厚防水塑钢桌腿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7.台</w:t>
            </w:r>
            <w:r>
              <w:rPr>
                <w:rFonts w:hint="eastAsia" w:ascii="宋体" w:hAnsi="宋体" w:cs="宋体"/>
                <w:i w:val="0"/>
                <w:iCs w:val="0"/>
                <w:color w:val="000000"/>
                <w:kern w:val="0"/>
                <w:sz w:val="24"/>
                <w:szCs w:val="24"/>
                <w:u w:val="none"/>
                <w:lang w:val="en-US" w:eastAsia="zh-CN" w:bidi="ar"/>
              </w:rPr>
              <w:t>泥</w:t>
            </w:r>
            <w:r>
              <w:rPr>
                <w:rFonts w:hint="eastAsia" w:ascii="宋体" w:hAnsi="宋体" w:eastAsia="宋体" w:cs="宋体"/>
                <w:i w:val="0"/>
                <w:iCs w:val="0"/>
                <w:color w:val="000000"/>
                <w:kern w:val="0"/>
                <w:sz w:val="24"/>
                <w:szCs w:val="24"/>
                <w:u w:val="none"/>
                <w:lang w:val="en-US" w:eastAsia="zh-CN" w:bidi="ar"/>
              </w:rPr>
              <w:t>:比赛级6811台泥。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8.胶条:比赛级胶条。</w:t>
            </w:r>
          </w:p>
        </w:tc>
      </w:tr>
      <w:tr w14:paraId="5895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9D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C7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观球椅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1E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921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42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1.双人位，中间带充电接口独立茶几，连体脚踏，根据现在定制颜色，尺寸及纹理</w:t>
            </w:r>
          </w:p>
        </w:tc>
      </w:tr>
      <w:tr w14:paraId="20C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8C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634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金属隔断</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CB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7C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07B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1.根据现场定制图案花纹，1000*3000成品精雕铸铝隔断</w:t>
            </w:r>
          </w:p>
        </w:tc>
      </w:tr>
      <w:tr w14:paraId="7942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8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A9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球杆架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7E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8E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4F3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381D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6A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7A2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备用树脂球</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91B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83E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141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1C12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5E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77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大型装饰画</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A8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1A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8DF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2979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1D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42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球杆</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F36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D0C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0C2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272C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D6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F36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568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A48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867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1.定制</w:t>
            </w:r>
          </w:p>
        </w:tc>
      </w:tr>
      <w:tr w14:paraId="7825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E1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14E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台球三人椅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B4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604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D9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1.三人位，中间带充电接口独立茶几，连体脚踏，根据现在定制颜色，尺寸及纹理</w:t>
            </w:r>
          </w:p>
        </w:tc>
      </w:tr>
      <w:tr w14:paraId="2C65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9D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36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9F1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9C7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08F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4A1D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42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58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休闲沙发</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FED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FC4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610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1.布艺、实木框架海棉填充3650*990*1650</w:t>
            </w:r>
          </w:p>
        </w:tc>
      </w:tr>
      <w:tr w14:paraId="3309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B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236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实木长条椭圆会议桌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16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2A5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7A4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5E8E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4A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A68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实木椅子</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94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C1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15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340D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28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2F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实木三人位条桌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753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547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0AC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1713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78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DD2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实木圆桌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F2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1FA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452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6945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9D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B3A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问诊躺椅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9C5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7BA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4AA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172C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D2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F7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异形沙发</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67C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D6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94F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1.根据甲方需求定制尺寸,实木框架，皮革及颜色等，真皮，海绵密度不低于45千克/立方米。</w:t>
            </w:r>
          </w:p>
        </w:tc>
      </w:tr>
      <w:tr w14:paraId="4798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4C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488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长条方几</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25F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533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F6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1A33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F7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63B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实木大板条桌</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7E9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4B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D7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4FC2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90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315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实木雕花圆几</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0C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C8E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FB8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1.根据现在定制匹配的实木材质，尺寸及纹理</w:t>
            </w:r>
          </w:p>
        </w:tc>
      </w:tr>
      <w:tr w14:paraId="4022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B2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859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发光冲孔铁皮字</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8A1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034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F4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1.1500*1500*50，双层，高亮</w:t>
            </w:r>
          </w:p>
        </w:tc>
      </w:tr>
      <w:tr w14:paraId="20AA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31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E7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铁皮字后支架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A8C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BA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99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1.铁皮字后支架，50*50方钢焊接加固含防锈</w:t>
            </w:r>
          </w:p>
        </w:tc>
      </w:tr>
      <w:tr w14:paraId="15CA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C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69A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不锈钢会徽logo定制</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93E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50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575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1.1500*1500*50不锈钢定制、</w:t>
            </w:r>
          </w:p>
        </w:tc>
      </w:tr>
      <w:tr w14:paraId="32B5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99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0C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过油膜pvc字</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652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179.7</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3E5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02F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w:t>
            </w:r>
          </w:p>
        </w:tc>
      </w:tr>
      <w:tr w14:paraId="3617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EF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095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金属字</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AE7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44A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CA8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1.字体规格:形象大厅形象墙金属字，根据现场定制压制成品艺金属字</w:t>
            </w:r>
          </w:p>
        </w:tc>
      </w:tr>
      <w:tr w14:paraId="163A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01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E3E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形象墙金属会徽</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20F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2F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94F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1.根据现场定制</w:t>
            </w:r>
          </w:p>
        </w:tc>
      </w:tr>
      <w:tr w14:paraId="680F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47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16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5CA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500.3</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A77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A6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1.窗帘材质:根据现场定制，双层麻面5000mm*15000mm整尺加工，含挂件</w:t>
            </w:r>
          </w:p>
        </w:tc>
      </w:tr>
      <w:tr w14:paraId="2C54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B8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56B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木窗帘盒</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363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178.8</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33C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DDE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1.窗帘盒材质、规格:成品窗帘盒，根据现场定制</w:t>
            </w:r>
          </w:p>
        </w:tc>
      </w:tr>
      <w:tr w14:paraId="2346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27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1C4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舞蹈镜</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F9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E8D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C39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9000*3500，超白银镜</w:t>
            </w:r>
          </w:p>
        </w:tc>
      </w:tr>
      <w:tr w14:paraId="2258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5F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89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挂式压腿把杆扶手</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E45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266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936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1.楼梯扶手定制、实木把杆</w:t>
            </w:r>
          </w:p>
        </w:tc>
      </w:tr>
      <w:tr w14:paraId="3ECF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50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3B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更衣间定制化妆台</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FF5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A3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A83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1.成品定制1500*2400*15国标ENF级板材</w:t>
            </w:r>
          </w:p>
        </w:tc>
      </w:tr>
      <w:tr w14:paraId="32F5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C2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04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心理宣泄解压套装</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3D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7E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E4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1.人型宣泄人，充气宣泄人，立式宣泄球，宣泄制度，宣泄手套，宣泄棒，宣泄壶，宣泄挂图，惨叫鸡，打气筒</w:t>
            </w:r>
          </w:p>
        </w:tc>
      </w:tr>
      <w:tr w14:paraId="7690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B4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2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610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w:t>
            </w:r>
          </w:p>
        </w:tc>
        <w:tc>
          <w:tcPr>
            <w:tcW w:w="8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132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A54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CDE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1.成品定制1500*2400*15国标ENF级板材</w:t>
            </w:r>
          </w:p>
        </w:tc>
      </w:tr>
    </w:tbl>
    <w:p w14:paraId="7DA822D5">
      <w:pPr>
        <w:pStyle w:val="18"/>
        <w:tabs>
          <w:tab w:val="left" w:pos="0"/>
        </w:tabs>
        <w:spacing w:line="360" w:lineRule="auto"/>
        <w:ind w:left="0" w:leftChars="0" w:firstLine="0" w:firstLineChars="0"/>
        <w:jc w:val="both"/>
        <w:outlineLvl w:val="0"/>
        <w:rPr>
          <w:b/>
          <w:sz w:val="36"/>
          <w:szCs w:val="36"/>
        </w:rPr>
        <w:sectPr>
          <w:pgSz w:w="16840" w:h="11907" w:orient="landscape"/>
          <w:pgMar w:top="1701" w:right="1418" w:bottom="1134" w:left="1418" w:header="1134" w:footer="1134" w:gutter="0"/>
          <w:cols w:space="720" w:num="1"/>
          <w:docGrid w:linePitch="462" w:charSpace="0"/>
        </w:sectPr>
      </w:pPr>
    </w:p>
    <w:p w14:paraId="6FB3F623">
      <w:pPr>
        <w:pStyle w:val="18"/>
        <w:tabs>
          <w:tab w:val="left" w:pos="0"/>
        </w:tabs>
        <w:spacing w:line="360" w:lineRule="auto"/>
        <w:ind w:left="0" w:leftChars="0" w:firstLine="0" w:firstLineChars="0"/>
        <w:jc w:val="center"/>
        <w:outlineLvl w:val="0"/>
        <w:rPr>
          <w:rFonts w:hint="eastAsia" w:ascii="宋体" w:hAnsi="宋体" w:eastAsia="宋体"/>
          <w:b/>
          <w:sz w:val="36"/>
          <w:lang w:eastAsia="zh-CN"/>
        </w:rPr>
      </w:pPr>
      <w:bookmarkStart w:id="748" w:name="_Toc31697"/>
      <w:r>
        <w:rPr>
          <w:b/>
          <w:sz w:val="36"/>
          <w:szCs w:val="36"/>
        </w:rPr>
        <w:t>第</w:t>
      </w:r>
      <w:r>
        <w:rPr>
          <w:rFonts w:hint="eastAsia"/>
          <w:b/>
          <w:sz w:val="36"/>
          <w:szCs w:val="36"/>
          <w:lang w:eastAsia="zh-CN"/>
        </w:rPr>
        <w:t>六</w:t>
      </w:r>
      <w:r>
        <w:rPr>
          <w:b/>
          <w:sz w:val="36"/>
          <w:szCs w:val="36"/>
        </w:rPr>
        <w:t xml:space="preserve">章 </w:t>
      </w:r>
      <w:r>
        <w:rPr>
          <w:rFonts w:hint="eastAsia"/>
          <w:b/>
          <w:sz w:val="36"/>
          <w:szCs w:val="36"/>
          <w:lang w:val="en-US" w:eastAsia="zh-CN"/>
        </w:rPr>
        <w:t xml:space="preserve">  </w:t>
      </w:r>
      <w:r>
        <w:rPr>
          <w:rFonts w:hint="eastAsia" w:ascii="宋体" w:hAnsi="宋体"/>
          <w:b/>
          <w:sz w:val="36"/>
          <w:lang w:eastAsia="zh-CN"/>
        </w:rPr>
        <w:t>合同文件</w:t>
      </w:r>
    </w:p>
    <w:p w14:paraId="14946E74">
      <w:pPr>
        <w:jc w:val="center"/>
        <w:outlineLvl w:val="9"/>
        <w:rPr>
          <w:rFonts w:hint="eastAsia"/>
          <w:b/>
          <w:bCs/>
          <w:sz w:val="28"/>
          <w:szCs w:val="32"/>
        </w:rPr>
      </w:pPr>
      <w:r>
        <w:rPr>
          <w:rFonts w:hint="eastAsia"/>
          <w:b/>
          <w:bCs/>
          <w:sz w:val="28"/>
          <w:szCs w:val="32"/>
        </w:rPr>
        <w:t>（仅供参考）</w:t>
      </w:r>
    </w:p>
    <w:p w14:paraId="5A25B5BC">
      <w:pPr>
        <w:pStyle w:val="248"/>
        <w:rPr>
          <w:rFonts w:hint="eastAsia"/>
          <w:highlight w:val="red"/>
        </w:rPr>
      </w:pPr>
    </w:p>
    <w:p w14:paraId="56EEA519">
      <w:pPr>
        <w:pStyle w:val="249"/>
        <w:jc w:val="center"/>
        <w:rPr>
          <w:rFonts w:hint="eastAsia" w:eastAsia="黑体"/>
          <w:b/>
          <w:color w:val="000000"/>
          <w:sz w:val="52"/>
          <w:szCs w:val="52"/>
        </w:rPr>
      </w:pPr>
    </w:p>
    <w:p w14:paraId="4E55DB83">
      <w:pPr>
        <w:pStyle w:val="249"/>
        <w:jc w:val="center"/>
        <w:outlineLvl w:val="9"/>
        <w:rPr>
          <w:rFonts w:hint="eastAsia" w:ascii="宋体" w:hAnsi="宋体" w:eastAsia="宋体" w:cs="宋体"/>
          <w:b/>
          <w:color w:val="000000"/>
          <w:sz w:val="52"/>
          <w:szCs w:val="52"/>
        </w:rPr>
      </w:pPr>
      <w:r>
        <w:rPr>
          <w:rFonts w:hint="eastAsia" w:ascii="宋体" w:hAnsi="宋体" w:eastAsia="宋体" w:cs="宋体"/>
          <w:b/>
          <w:color w:val="000000"/>
          <w:sz w:val="52"/>
          <w:szCs w:val="52"/>
        </w:rPr>
        <w:t>政府采购合同</w:t>
      </w:r>
    </w:p>
    <w:p w14:paraId="0AA3D7CD">
      <w:pPr>
        <w:rPr>
          <w:rFonts w:hint="eastAsia"/>
        </w:rPr>
      </w:pPr>
    </w:p>
    <w:p w14:paraId="3C7EF076">
      <w:pPr>
        <w:rPr>
          <w:rFonts w:hint="eastAsia"/>
        </w:rPr>
      </w:pPr>
    </w:p>
    <w:p w14:paraId="4CBA278E">
      <w:pPr>
        <w:rPr>
          <w:rFonts w:hint="eastAsia"/>
        </w:rPr>
      </w:pPr>
    </w:p>
    <w:p w14:paraId="23209B66">
      <w:pPr>
        <w:pStyle w:val="249"/>
        <w:ind w:firstLine="1597" w:firstLineChars="497"/>
        <w:outlineLvl w:val="9"/>
        <w:rPr>
          <w:rFonts w:hint="eastAsia" w:ascii="宋体" w:hAnsi="宋体" w:eastAsia="宋体" w:cs="宋体"/>
          <w:b/>
          <w:color w:val="000000"/>
          <w:sz w:val="32"/>
          <w:szCs w:val="32"/>
        </w:rPr>
      </w:pPr>
      <w:r>
        <w:rPr>
          <w:rFonts w:hint="eastAsia" w:ascii="宋体" w:hAnsi="宋体" w:eastAsia="宋体" w:cs="宋体"/>
          <w:b/>
          <w:color w:val="000000"/>
          <w:sz w:val="32"/>
          <w:szCs w:val="32"/>
        </w:rPr>
        <w:t>项目名称:</w:t>
      </w:r>
      <w:r>
        <w:rPr>
          <w:rFonts w:hint="eastAsia" w:ascii="宋体" w:hAnsi="宋体" w:eastAsia="宋体" w:cs="宋体"/>
          <w:b/>
          <w:color w:val="000000"/>
          <w:sz w:val="32"/>
          <w:szCs w:val="32"/>
          <w:u w:val="single"/>
        </w:rPr>
        <w:t xml:space="preserve">                    </w:t>
      </w:r>
    </w:p>
    <w:p w14:paraId="4D06C885">
      <w:pPr>
        <w:pStyle w:val="249"/>
        <w:spacing w:before="312" w:beforeLines="100"/>
        <w:ind w:firstLine="1597" w:firstLineChars="497"/>
        <w:outlineLvl w:val="9"/>
        <w:rPr>
          <w:rFonts w:hint="eastAsia" w:ascii="宋体" w:hAnsi="宋体" w:eastAsia="宋体" w:cs="宋体"/>
          <w:b/>
          <w:color w:val="000000"/>
          <w:sz w:val="32"/>
          <w:szCs w:val="32"/>
          <w:u w:val="single"/>
        </w:rPr>
      </w:pPr>
      <w:r>
        <w:rPr>
          <w:rFonts w:hint="eastAsia" w:ascii="宋体" w:hAnsi="宋体" w:eastAsia="宋体" w:cs="宋体"/>
          <w:b/>
          <w:color w:val="000000"/>
          <w:sz w:val="32"/>
          <w:szCs w:val="32"/>
        </w:rPr>
        <w:t>项目编号:</w:t>
      </w:r>
      <w:r>
        <w:rPr>
          <w:rFonts w:hint="eastAsia" w:ascii="宋体" w:hAnsi="宋体" w:eastAsia="宋体" w:cs="宋体"/>
          <w:b/>
          <w:color w:val="000000"/>
          <w:sz w:val="32"/>
          <w:szCs w:val="32"/>
          <w:u w:val="single"/>
        </w:rPr>
        <w:t xml:space="preserve">                    </w:t>
      </w:r>
    </w:p>
    <w:p w14:paraId="7C778C4A">
      <w:pPr>
        <w:pStyle w:val="249"/>
        <w:spacing w:before="312" w:beforeLines="100"/>
        <w:ind w:firstLine="1597" w:firstLineChars="497"/>
        <w:outlineLvl w:val="9"/>
        <w:rPr>
          <w:rFonts w:hint="eastAsia" w:ascii="宋体" w:hAnsi="宋体" w:eastAsia="宋体" w:cs="宋体"/>
          <w:b/>
          <w:color w:val="000000"/>
          <w:sz w:val="32"/>
          <w:szCs w:val="32"/>
          <w:u w:val="single"/>
        </w:rPr>
      </w:pPr>
      <w:r>
        <w:rPr>
          <w:rFonts w:hint="eastAsia" w:ascii="宋体" w:hAnsi="宋体" w:eastAsia="宋体" w:cs="宋体"/>
          <w:b/>
          <w:bCs/>
          <w:color w:val="000000"/>
          <w:kern w:val="0"/>
          <w:sz w:val="32"/>
          <w:szCs w:val="32"/>
        </w:rPr>
        <w:t>合同编号:</w:t>
      </w:r>
      <w:r>
        <w:rPr>
          <w:rFonts w:hint="eastAsia" w:ascii="宋体" w:hAnsi="宋体" w:eastAsia="宋体" w:cs="宋体"/>
          <w:b/>
          <w:color w:val="000000"/>
          <w:sz w:val="32"/>
          <w:szCs w:val="32"/>
          <w:u w:val="single"/>
        </w:rPr>
        <w:t xml:space="preserve">                    </w:t>
      </w:r>
    </w:p>
    <w:p w14:paraId="432C45F4">
      <w:pPr>
        <w:pStyle w:val="249"/>
        <w:spacing w:before="312" w:beforeLines="100"/>
        <w:jc w:val="center"/>
        <w:rPr>
          <w:rFonts w:hint="eastAsia" w:ascii="宋体" w:hAnsi="宋体" w:eastAsia="宋体" w:cs="宋体"/>
          <w:b/>
          <w:color w:val="000000"/>
          <w:sz w:val="32"/>
          <w:szCs w:val="32"/>
          <w:u w:val="single"/>
        </w:rPr>
      </w:pPr>
    </w:p>
    <w:p w14:paraId="171098D2">
      <w:pPr>
        <w:pStyle w:val="249"/>
        <w:spacing w:before="312" w:beforeLines="100"/>
        <w:jc w:val="center"/>
        <w:rPr>
          <w:rFonts w:hint="eastAsia" w:ascii="宋体" w:hAnsi="宋体" w:eastAsia="宋体" w:cs="宋体"/>
          <w:b/>
          <w:color w:val="000000"/>
          <w:sz w:val="32"/>
          <w:szCs w:val="32"/>
          <w:u w:val="single"/>
        </w:rPr>
      </w:pPr>
    </w:p>
    <w:p w14:paraId="5E18CD0B">
      <w:pPr>
        <w:pStyle w:val="249"/>
        <w:spacing w:before="312" w:beforeLines="100"/>
        <w:jc w:val="center"/>
        <w:rPr>
          <w:rFonts w:hint="eastAsia" w:ascii="宋体" w:hAnsi="宋体" w:eastAsia="宋体" w:cs="宋体"/>
          <w:b/>
          <w:color w:val="000000"/>
          <w:sz w:val="32"/>
          <w:szCs w:val="32"/>
          <w:u w:val="single"/>
        </w:rPr>
      </w:pPr>
    </w:p>
    <w:p w14:paraId="2CF4974B">
      <w:pPr>
        <w:pStyle w:val="249"/>
        <w:spacing w:before="312" w:beforeLines="100"/>
        <w:jc w:val="center"/>
        <w:rPr>
          <w:rFonts w:hint="eastAsia" w:ascii="宋体" w:hAnsi="宋体" w:eastAsia="宋体" w:cs="宋体"/>
          <w:b/>
          <w:color w:val="000000"/>
          <w:sz w:val="32"/>
          <w:szCs w:val="32"/>
          <w:u w:val="single"/>
        </w:rPr>
      </w:pPr>
    </w:p>
    <w:p w14:paraId="38DEE417">
      <w:pPr>
        <w:pStyle w:val="249"/>
        <w:ind w:firstLine="1606" w:firstLineChars="500"/>
        <w:rPr>
          <w:rFonts w:hint="eastAsia" w:ascii="宋体" w:hAnsi="宋体" w:eastAsia="宋体" w:cs="宋体"/>
          <w:b/>
          <w:color w:val="000000"/>
          <w:sz w:val="32"/>
          <w:szCs w:val="32"/>
        </w:rPr>
      </w:pPr>
      <w:r>
        <w:rPr>
          <w:rFonts w:hint="eastAsia" w:ascii="宋体" w:hAnsi="宋体" w:eastAsia="宋体" w:cs="宋体"/>
          <w:b/>
          <w:color w:val="000000"/>
          <w:sz w:val="32"/>
          <w:szCs w:val="32"/>
        </w:rPr>
        <w:t>甲    方:</w:t>
      </w:r>
      <w:r>
        <w:rPr>
          <w:rFonts w:hint="eastAsia" w:ascii="宋体" w:hAnsi="宋体" w:eastAsia="宋体" w:cs="宋体"/>
          <w:b/>
          <w:color w:val="000000"/>
          <w:sz w:val="32"/>
          <w:szCs w:val="32"/>
          <w:u w:val="single"/>
        </w:rPr>
        <w:t xml:space="preserve">                    </w:t>
      </w:r>
    </w:p>
    <w:p w14:paraId="5FA3A10B">
      <w:pPr>
        <w:pStyle w:val="249"/>
        <w:spacing w:before="312" w:beforeLines="100"/>
        <w:ind w:firstLine="1606" w:firstLineChars="500"/>
        <w:rPr>
          <w:rFonts w:hint="eastAsia" w:ascii="宋体" w:hAnsi="宋体" w:eastAsia="宋体" w:cs="宋体"/>
          <w:b/>
          <w:color w:val="000000"/>
          <w:sz w:val="32"/>
          <w:szCs w:val="32"/>
          <w:u w:val="single"/>
        </w:rPr>
      </w:pPr>
      <w:r>
        <w:rPr>
          <w:rFonts w:hint="eastAsia" w:ascii="宋体" w:hAnsi="宋体" w:eastAsia="宋体" w:cs="宋体"/>
          <w:b/>
          <w:color w:val="000000"/>
          <w:sz w:val="32"/>
          <w:szCs w:val="32"/>
        </w:rPr>
        <w:t>乙    方:</w:t>
      </w:r>
      <w:r>
        <w:rPr>
          <w:rFonts w:hint="eastAsia" w:ascii="宋体" w:hAnsi="宋体" w:eastAsia="宋体" w:cs="宋体"/>
          <w:b/>
          <w:color w:val="000000"/>
          <w:sz w:val="32"/>
          <w:szCs w:val="32"/>
          <w:u w:val="single"/>
        </w:rPr>
        <w:t xml:space="preserve">                    </w:t>
      </w:r>
    </w:p>
    <w:p w14:paraId="01DE14E0">
      <w:pPr>
        <w:rPr>
          <w:rFonts w:hint="eastAsia" w:ascii="宋体" w:hAnsi="宋体" w:eastAsia="宋体" w:cs="宋体"/>
          <w:sz w:val="24"/>
          <w:szCs w:val="24"/>
          <w:u w:val="single"/>
          <w:lang w:val="zh-CN"/>
        </w:rPr>
      </w:pPr>
    </w:p>
    <w:p w14:paraId="347969E2">
      <w:pPr>
        <w:rPr>
          <w:rFonts w:hint="eastAsia" w:ascii="宋体" w:hAnsi="宋体" w:eastAsia="宋体" w:cs="宋体"/>
          <w:sz w:val="24"/>
          <w:szCs w:val="24"/>
          <w:u w:val="single"/>
          <w:lang w:val="zh-CN"/>
        </w:rPr>
      </w:pPr>
    </w:p>
    <w:p w14:paraId="5C0D0426">
      <w:pPr>
        <w:rPr>
          <w:rFonts w:hint="eastAsia" w:ascii="宋体" w:hAnsi="宋体" w:eastAsia="宋体" w:cs="宋体"/>
          <w:sz w:val="24"/>
          <w:szCs w:val="24"/>
          <w:u w:val="single"/>
          <w:lang w:val="zh-CN"/>
        </w:rPr>
      </w:pPr>
    </w:p>
    <w:p w14:paraId="6F69F7A4">
      <w:pPr>
        <w:rPr>
          <w:rFonts w:hint="eastAsia" w:ascii="宋体" w:hAnsi="宋体" w:eastAsia="宋体" w:cs="宋体"/>
          <w:sz w:val="24"/>
          <w:szCs w:val="24"/>
          <w:u w:val="single"/>
          <w:lang w:val="zh-CN"/>
        </w:rPr>
      </w:pPr>
    </w:p>
    <w:p w14:paraId="3985AABE">
      <w:pPr>
        <w:pStyle w:val="41"/>
        <w:ind w:left="0" w:leftChars="0" w:firstLine="0" w:firstLineChars="0"/>
        <w:rPr>
          <w:rFonts w:hint="eastAsia" w:ascii="宋体" w:hAnsi="宋体" w:eastAsia="宋体" w:cs="宋体"/>
          <w:sz w:val="24"/>
          <w:szCs w:val="24"/>
          <w:u w:val="single"/>
          <w:lang w:val="zh-CN"/>
        </w:rPr>
      </w:pPr>
    </w:p>
    <w:p w14:paraId="1639CDEF">
      <w:pPr>
        <w:pageBreakBefore w:val="0"/>
        <w:widowControl w:val="0"/>
        <w:numPr>
          <w:ilvl w:val="0"/>
          <w:numId w:val="10"/>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lang w:val="zh-CN" w:eastAsia="zh-CN"/>
        </w:rPr>
      </w:pPr>
      <w:bookmarkStart w:id="749" w:name="_Toc22897"/>
      <w:bookmarkStart w:id="750" w:name="_Toc27010"/>
      <w:bookmarkStart w:id="751" w:name="_Toc8658"/>
      <w:r>
        <w:rPr>
          <w:rFonts w:hint="eastAsia" w:ascii="宋体" w:hAnsi="宋体" w:eastAsia="宋体" w:cs="宋体"/>
          <w:b/>
          <w:sz w:val="28"/>
          <w:szCs w:val="28"/>
          <w:lang w:val="en-US" w:eastAsia="zh-CN"/>
        </w:rPr>
        <w:br w:type="page"/>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val="zh-CN" w:eastAsia="zh-CN"/>
        </w:rPr>
        <w:t>合同书</w:t>
      </w:r>
      <w:bookmarkEnd w:id="749"/>
      <w:bookmarkEnd w:id="750"/>
      <w:bookmarkEnd w:id="751"/>
    </w:p>
    <w:p w14:paraId="6E7A5786">
      <w:pPr>
        <w:pStyle w:val="41"/>
        <w:numPr>
          <w:ilvl w:val="0"/>
          <w:numId w:val="0"/>
        </w:numPr>
        <w:rPr>
          <w:rFonts w:hint="eastAsia"/>
          <w:lang w:val="zh-CN" w:eastAsia="zh-CN"/>
        </w:rPr>
      </w:pPr>
    </w:p>
    <w:p w14:paraId="5FD146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招标人</w:t>
      </w:r>
      <w:r>
        <w:rPr>
          <w:rFonts w:hint="eastAsia" w:ascii="宋体" w:hAnsi="宋体" w:eastAsia="宋体" w:cs="宋体"/>
          <w:sz w:val="24"/>
          <w:szCs w:val="24"/>
          <w:u w:val="single"/>
        </w:rPr>
        <w:t xml:space="preserve">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w:t>
      </w:r>
      <w:r>
        <w:rPr>
          <w:rFonts w:hint="eastAsia" w:ascii="宋体" w:hAnsi="宋体" w:eastAsia="宋体" w:cs="宋体"/>
          <w:sz w:val="24"/>
          <w:szCs w:val="24"/>
          <w:u w:val="single"/>
          <w:lang w:eastAsia="zh-CN"/>
        </w:rPr>
        <w:t>投标人</w:t>
      </w:r>
      <w:r>
        <w:rPr>
          <w:rFonts w:hint="eastAsia" w:ascii="宋体" w:hAnsi="宋体" w:eastAsia="宋体" w:cs="宋体"/>
          <w:sz w:val="24"/>
          <w:szCs w:val="24"/>
          <w:u w:val="single"/>
        </w:rPr>
        <w:t>名称）</w:t>
      </w:r>
      <w:r>
        <w:rPr>
          <w:rFonts w:hint="eastAsia" w:ascii="宋体" w:hAnsi="宋体" w:eastAsia="宋体" w:cs="宋体"/>
          <w:sz w:val="24"/>
          <w:szCs w:val="24"/>
        </w:rPr>
        <w:t>为该项目中标</w:t>
      </w:r>
      <w:r>
        <w:rPr>
          <w:rFonts w:hint="eastAsia" w:ascii="宋体" w:hAnsi="宋体" w:eastAsia="宋体" w:cs="宋体"/>
          <w:sz w:val="24"/>
          <w:szCs w:val="24"/>
          <w:lang w:eastAsia="zh-CN"/>
        </w:rPr>
        <w:t>投标人</w:t>
      </w:r>
      <w:r>
        <w:rPr>
          <w:rFonts w:hint="eastAsia" w:ascii="宋体" w:hAnsi="宋体" w:eastAsia="宋体" w:cs="宋体"/>
          <w:sz w:val="24"/>
          <w:szCs w:val="24"/>
        </w:rPr>
        <w:t>。现于中标通知书发出之日起三十日内，按照</w:t>
      </w:r>
      <w:r>
        <w:rPr>
          <w:rFonts w:hint="eastAsia" w:ascii="宋体" w:hAnsi="宋体" w:eastAsia="宋体" w:cs="宋体"/>
          <w:sz w:val="24"/>
          <w:szCs w:val="24"/>
          <w:lang w:eastAsia="zh-CN"/>
        </w:rPr>
        <w:t>招标文件</w:t>
      </w:r>
      <w:r>
        <w:rPr>
          <w:rFonts w:hint="eastAsia" w:ascii="宋体" w:hAnsi="宋体" w:eastAsia="宋体" w:cs="宋体"/>
          <w:sz w:val="24"/>
          <w:szCs w:val="24"/>
        </w:rPr>
        <w:t>确定的事项签订本合同。</w:t>
      </w:r>
    </w:p>
    <w:p w14:paraId="527056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招标人</w:t>
      </w:r>
      <w:r>
        <w:rPr>
          <w:rFonts w:hint="eastAsia" w:ascii="宋体" w:hAnsi="宋体" w:eastAsia="宋体" w:cs="宋体"/>
          <w:sz w:val="24"/>
          <w:szCs w:val="24"/>
          <w:u w:val="single"/>
        </w:rPr>
        <w:t xml:space="preserve">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w:t>
      </w:r>
      <w:r>
        <w:rPr>
          <w:rFonts w:hint="eastAsia" w:ascii="宋体" w:hAnsi="宋体" w:eastAsia="宋体" w:cs="宋体"/>
          <w:sz w:val="24"/>
          <w:szCs w:val="24"/>
          <w:u w:val="single"/>
          <w:lang w:eastAsia="zh-CN"/>
        </w:rPr>
        <w:t>投标人</w:t>
      </w:r>
      <w:r>
        <w:rPr>
          <w:rFonts w:hint="eastAsia" w:ascii="宋体" w:hAnsi="宋体" w:eastAsia="宋体" w:cs="宋体"/>
          <w:sz w:val="24"/>
          <w:szCs w:val="24"/>
          <w:u w:val="single"/>
        </w:rPr>
        <w:t xml:space="preserve">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7E2AF42B">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52" w:name="_Toc24059"/>
      <w:bookmarkStart w:id="753" w:name="_Toc2232"/>
      <w:bookmarkStart w:id="754" w:name="_Toc3029"/>
      <w:r>
        <w:rPr>
          <w:rFonts w:hint="eastAsia" w:ascii="宋体" w:hAnsi="宋体" w:eastAsia="宋体" w:cs="宋体"/>
          <w:b/>
          <w:bCs/>
          <w:sz w:val="24"/>
          <w:szCs w:val="24"/>
        </w:rPr>
        <w:t>1.1 合同组成部分</w:t>
      </w:r>
      <w:bookmarkEnd w:id="752"/>
      <w:bookmarkEnd w:id="753"/>
      <w:bookmarkEnd w:id="754"/>
    </w:p>
    <w:p w14:paraId="55922FB2">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w:t>
      </w:r>
      <w:r>
        <w:rPr>
          <w:rFonts w:hint="eastAsia" w:ascii="宋体" w:hAnsi="宋体" w:eastAsia="宋体" w:cs="宋体"/>
          <w:sz w:val="24"/>
          <w:szCs w:val="24"/>
          <w:lang w:eastAsia="zh-CN"/>
        </w:rPr>
        <w:t>招标文件</w:t>
      </w:r>
      <w:r>
        <w:rPr>
          <w:rFonts w:hint="eastAsia" w:ascii="宋体" w:hAnsi="宋体" w:eastAsia="宋体" w:cs="宋体"/>
          <w:sz w:val="24"/>
          <w:szCs w:val="24"/>
        </w:rPr>
        <w:t>确定的事项的前提下，组成本合同的多个文件的优先适用顺序如下：</w:t>
      </w:r>
    </w:p>
    <w:p w14:paraId="7FB15542">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45B7D796">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中标通知书；</w:t>
      </w:r>
    </w:p>
    <w:p w14:paraId="79D3E7D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192E01A8">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211A34D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其他相关</w:t>
      </w:r>
      <w:r>
        <w:rPr>
          <w:rFonts w:hint="eastAsia" w:ascii="宋体" w:hAnsi="宋体" w:eastAsia="宋体" w:cs="宋体"/>
          <w:sz w:val="24"/>
          <w:szCs w:val="24"/>
          <w:lang w:eastAsia="zh-CN"/>
        </w:rPr>
        <w:t>招标文件</w:t>
      </w:r>
      <w:r>
        <w:rPr>
          <w:rFonts w:hint="eastAsia" w:ascii="宋体" w:hAnsi="宋体" w:eastAsia="宋体" w:cs="宋体"/>
          <w:sz w:val="24"/>
          <w:szCs w:val="24"/>
        </w:rPr>
        <w:t>。</w:t>
      </w:r>
    </w:p>
    <w:p w14:paraId="3D44D519">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55" w:name="_Toc21295"/>
      <w:bookmarkStart w:id="756" w:name="_Toc24300"/>
      <w:bookmarkStart w:id="757" w:name="_Toc27126"/>
      <w:r>
        <w:rPr>
          <w:rFonts w:hint="eastAsia" w:ascii="宋体" w:hAnsi="宋体" w:eastAsia="宋体" w:cs="宋体"/>
          <w:b/>
          <w:bCs/>
          <w:sz w:val="24"/>
          <w:szCs w:val="24"/>
        </w:rPr>
        <w:t>1.2 货物</w:t>
      </w:r>
      <w:bookmarkEnd w:id="755"/>
      <w:bookmarkEnd w:id="756"/>
      <w:bookmarkEnd w:id="757"/>
    </w:p>
    <w:p w14:paraId="2702E624">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1.2.1 货物名称：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72EA12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1.2.2 货物数量：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3FCE58">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货物质量：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466FDD">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58" w:name="_Toc21631"/>
      <w:bookmarkStart w:id="759" w:name="_Toc21551"/>
      <w:bookmarkStart w:id="760" w:name="_Toc23292"/>
      <w:r>
        <w:rPr>
          <w:rFonts w:hint="eastAsia" w:ascii="宋体" w:hAnsi="宋体" w:eastAsia="宋体" w:cs="宋体"/>
          <w:b/>
          <w:bCs/>
          <w:sz w:val="24"/>
          <w:szCs w:val="24"/>
        </w:rPr>
        <w:t>1.3 价款</w:t>
      </w:r>
      <w:bookmarkEnd w:id="758"/>
      <w:bookmarkEnd w:id="759"/>
      <w:bookmarkEnd w:id="760"/>
    </w:p>
    <w:p w14:paraId="72F42682">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56C2594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EF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49A24E">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402" w:type="dxa"/>
            <w:noWrap w:val="0"/>
            <w:vAlign w:val="center"/>
          </w:tcPr>
          <w:p w14:paraId="7267E3C4">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noWrap w:val="0"/>
            <w:vAlign w:val="center"/>
          </w:tcPr>
          <w:p w14:paraId="7B8DEFA8">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分项价格</w:t>
            </w:r>
          </w:p>
        </w:tc>
      </w:tr>
      <w:tr w14:paraId="3A4B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A1B0F76">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3402" w:type="dxa"/>
            <w:noWrap w:val="0"/>
            <w:vAlign w:val="center"/>
          </w:tcPr>
          <w:p w14:paraId="3E8EAFC4">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2552" w:type="dxa"/>
            <w:noWrap w:val="0"/>
            <w:vAlign w:val="center"/>
          </w:tcPr>
          <w:p w14:paraId="298FB6BF">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r>
      <w:tr w14:paraId="70FD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256312">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3402" w:type="dxa"/>
            <w:noWrap w:val="0"/>
            <w:vAlign w:val="center"/>
          </w:tcPr>
          <w:p w14:paraId="381DCA2B">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2552" w:type="dxa"/>
            <w:noWrap w:val="0"/>
            <w:vAlign w:val="center"/>
          </w:tcPr>
          <w:p w14:paraId="2FB9FF88">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r>
      <w:tr w14:paraId="33A4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2AB0D2">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3402" w:type="dxa"/>
            <w:noWrap w:val="0"/>
            <w:vAlign w:val="center"/>
          </w:tcPr>
          <w:p w14:paraId="105823FF">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2552" w:type="dxa"/>
            <w:noWrap w:val="0"/>
            <w:vAlign w:val="center"/>
          </w:tcPr>
          <w:p w14:paraId="47F3E65B">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r>
      <w:tr w14:paraId="3061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01F7C3E">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3402" w:type="dxa"/>
            <w:noWrap w:val="0"/>
            <w:vAlign w:val="center"/>
          </w:tcPr>
          <w:p w14:paraId="07CF6510">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c>
          <w:tcPr>
            <w:tcW w:w="2552" w:type="dxa"/>
            <w:noWrap w:val="0"/>
            <w:vAlign w:val="center"/>
          </w:tcPr>
          <w:p w14:paraId="5CB23DE6">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r>
      <w:tr w14:paraId="6F19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7DBE53A">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2552" w:type="dxa"/>
            <w:noWrap w:val="0"/>
            <w:vAlign w:val="center"/>
          </w:tcPr>
          <w:p w14:paraId="0CFD0ABE">
            <w:pPr>
              <w:pStyle w:val="250"/>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tc>
      </w:tr>
    </w:tbl>
    <w:p w14:paraId="041EC310">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61" w:name="_Toc10340"/>
      <w:bookmarkStart w:id="762" w:name="_Toc22618"/>
      <w:bookmarkStart w:id="763" w:name="_Toc1814"/>
      <w:r>
        <w:rPr>
          <w:rFonts w:hint="eastAsia" w:ascii="宋体" w:hAnsi="宋体" w:eastAsia="宋体" w:cs="宋体"/>
          <w:b/>
          <w:bCs/>
          <w:sz w:val="24"/>
          <w:szCs w:val="24"/>
        </w:rPr>
        <w:t>1.4 付款方式和发票开具方式</w:t>
      </w:r>
      <w:bookmarkEnd w:id="761"/>
      <w:bookmarkEnd w:id="762"/>
      <w:bookmarkEnd w:id="763"/>
    </w:p>
    <w:p w14:paraId="79B4FC4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 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0EF448">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A85FDB">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64" w:name="_Toc32071"/>
      <w:bookmarkStart w:id="765" w:name="_Toc2846"/>
      <w:bookmarkStart w:id="766" w:name="_Toc19304"/>
      <w:r>
        <w:rPr>
          <w:rFonts w:hint="eastAsia" w:ascii="宋体" w:hAnsi="宋体" w:eastAsia="宋体" w:cs="宋体"/>
          <w:b/>
          <w:bCs/>
          <w:sz w:val="24"/>
          <w:szCs w:val="24"/>
        </w:rPr>
        <w:t>1.5 货物交付期限、地点和方式</w:t>
      </w:r>
      <w:bookmarkEnd w:id="764"/>
      <w:bookmarkEnd w:id="765"/>
      <w:bookmarkEnd w:id="766"/>
    </w:p>
    <w:p w14:paraId="31ABC3F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1.5.1 交付期限：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F4FC4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 交付地点：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F9E65F">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 交付方式：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9907A7">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67" w:name="_Toc19554"/>
      <w:bookmarkStart w:id="768" w:name="_Toc21423"/>
      <w:bookmarkStart w:id="769" w:name="_Toc27250"/>
      <w:r>
        <w:rPr>
          <w:rFonts w:hint="eastAsia" w:ascii="宋体" w:hAnsi="宋体" w:eastAsia="宋体" w:cs="宋体"/>
          <w:b/>
          <w:bCs/>
          <w:sz w:val="24"/>
          <w:szCs w:val="24"/>
        </w:rPr>
        <w:t>1.6 违约责任</w:t>
      </w:r>
      <w:bookmarkEnd w:id="767"/>
      <w:bookmarkEnd w:id="768"/>
      <w:bookmarkEnd w:id="769"/>
    </w:p>
    <w:p w14:paraId="480D1314">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546CF8A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736DC32B">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A5436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FDD19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E5BFF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705F2397">
      <w:pPr>
        <w:pStyle w:val="192"/>
        <w:rPr>
          <w:rFonts w:hint="eastAsia" w:ascii="宋体" w:hAnsi="宋体" w:eastAsia="宋体" w:cs="宋体"/>
          <w:sz w:val="24"/>
          <w:szCs w:val="24"/>
        </w:rPr>
      </w:pPr>
    </w:p>
    <w:p w14:paraId="4B433288">
      <w:pPr>
        <w:pStyle w:val="192"/>
        <w:rPr>
          <w:rFonts w:hint="eastAsia" w:ascii="宋体" w:hAnsi="宋体" w:eastAsia="宋体" w:cs="宋体"/>
          <w:sz w:val="24"/>
          <w:szCs w:val="24"/>
        </w:rPr>
      </w:pPr>
    </w:p>
    <w:p w14:paraId="211693EE">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70" w:name="_Toc15583"/>
      <w:bookmarkStart w:id="771" w:name="_Toc16021"/>
      <w:bookmarkStart w:id="772" w:name="_Toc28375"/>
      <w:r>
        <w:rPr>
          <w:rFonts w:hint="eastAsia" w:ascii="宋体" w:hAnsi="宋体" w:eastAsia="宋体" w:cs="宋体"/>
          <w:b/>
          <w:bCs/>
          <w:sz w:val="24"/>
          <w:szCs w:val="24"/>
        </w:rPr>
        <w:br w:type="page"/>
      </w:r>
      <w:r>
        <w:rPr>
          <w:rFonts w:hint="eastAsia" w:ascii="宋体" w:hAnsi="宋体" w:eastAsia="宋体" w:cs="宋体"/>
          <w:b/>
          <w:bCs/>
          <w:sz w:val="24"/>
          <w:szCs w:val="24"/>
        </w:rPr>
        <w:t>1.7 合同争议的解决</w:t>
      </w:r>
      <w:bookmarkEnd w:id="770"/>
      <w:bookmarkEnd w:id="771"/>
      <w:bookmarkEnd w:id="772"/>
    </w:p>
    <w:p w14:paraId="7D3F550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3A8DB105">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2DA4806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4379AA20">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73" w:name="_Toc11173"/>
      <w:bookmarkStart w:id="774" w:name="_Toc15322"/>
      <w:bookmarkStart w:id="775" w:name="_Toc7245"/>
      <w:r>
        <w:rPr>
          <w:rFonts w:hint="eastAsia" w:ascii="宋体" w:hAnsi="宋体" w:eastAsia="宋体" w:cs="宋体"/>
          <w:b/>
          <w:bCs/>
          <w:sz w:val="24"/>
          <w:szCs w:val="24"/>
        </w:rPr>
        <w:t>1.8 合同生效</w:t>
      </w:r>
      <w:bookmarkEnd w:id="773"/>
      <w:bookmarkEnd w:id="774"/>
      <w:bookmarkEnd w:id="775"/>
    </w:p>
    <w:p w14:paraId="2B941FE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0BC1BC0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p>
    <w:p w14:paraId="230D5E63">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55FD3A1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2E97BC0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p>
    <w:p w14:paraId="191B356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4696E23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1577C0C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或授权代表（签字）: </w:t>
      </w:r>
    </w:p>
    <w:p w14:paraId="25B1D66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33C9C62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21F6EBD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273EB09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71BEFB9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1356EB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2EF29E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3EA1A0B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21BC966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3BE7D59A">
      <w:pPr>
        <w:widowControl/>
        <w:spacing w:line="560" w:lineRule="exact"/>
        <w:jc w:val="left"/>
        <w:rPr>
          <w:rFonts w:ascii="楷体" w:hAnsi="楷体" w:eastAsia="楷体"/>
          <w:b/>
        </w:rPr>
      </w:pPr>
      <w:bookmarkStart w:id="776" w:name="_Toc331685783"/>
    </w:p>
    <w:p w14:paraId="71CE5B18">
      <w:pPr>
        <w:widowControl/>
        <w:spacing w:line="560" w:lineRule="exact"/>
        <w:jc w:val="left"/>
        <w:rPr>
          <w:rFonts w:ascii="楷体" w:hAnsi="楷体" w:eastAsia="楷体"/>
          <w:b/>
        </w:rPr>
      </w:pPr>
    </w:p>
    <w:p w14:paraId="07BE6031">
      <w:pPr>
        <w:widowControl/>
        <w:spacing w:line="560" w:lineRule="exact"/>
        <w:jc w:val="left"/>
        <w:rPr>
          <w:rFonts w:ascii="楷体" w:hAnsi="楷体" w:eastAsia="楷体"/>
          <w:b/>
          <w:kern w:val="0"/>
          <w:sz w:val="24"/>
        </w:rPr>
      </w:pPr>
    </w:p>
    <w:p w14:paraId="0842EE19">
      <w:pPr>
        <w:widowControl/>
        <w:spacing w:line="560" w:lineRule="exact"/>
        <w:jc w:val="left"/>
        <w:rPr>
          <w:rFonts w:ascii="楷体" w:hAnsi="楷体" w:eastAsia="楷体"/>
          <w:b/>
          <w:kern w:val="0"/>
          <w:sz w:val="24"/>
        </w:rPr>
      </w:pPr>
    </w:p>
    <w:p w14:paraId="7E46A334">
      <w:pPr>
        <w:widowControl/>
        <w:spacing w:line="560" w:lineRule="exact"/>
        <w:jc w:val="left"/>
        <w:rPr>
          <w:rFonts w:ascii="楷体" w:hAnsi="楷体" w:eastAsia="楷体"/>
          <w:b/>
          <w:kern w:val="0"/>
          <w:sz w:val="24"/>
        </w:rPr>
      </w:pPr>
    </w:p>
    <w:p w14:paraId="1607758F">
      <w:pPr>
        <w:bidi w:val="0"/>
      </w:pPr>
    </w:p>
    <w:p w14:paraId="39BCC9F7">
      <w:pPr>
        <w:bidi w:val="0"/>
      </w:pPr>
    </w:p>
    <w:p w14:paraId="50B32AE4">
      <w:pPr>
        <w:pageBreakBefore w:val="0"/>
        <w:widowControl w:val="0"/>
        <w:numPr>
          <w:ilvl w:val="0"/>
          <w:numId w:val="10"/>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lang w:val="zh-CN" w:eastAsia="zh-CN"/>
        </w:rPr>
      </w:pPr>
      <w:bookmarkStart w:id="777" w:name="_Toc10426"/>
      <w:bookmarkStart w:id="778" w:name="_Toc22108"/>
      <w:bookmarkStart w:id="779" w:name="_Toc13679"/>
      <w:r>
        <w:rPr>
          <w:rFonts w:hint="eastAsia" w:ascii="宋体" w:hAnsi="宋体" w:eastAsia="宋体" w:cs="宋体"/>
          <w:b/>
          <w:sz w:val="28"/>
          <w:szCs w:val="28"/>
          <w:lang w:val="zh-CN" w:eastAsia="zh-CN"/>
        </w:rPr>
        <w:br w:type="page"/>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val="zh-CN" w:eastAsia="zh-CN"/>
        </w:rPr>
        <w:t>合同一般条款</w:t>
      </w:r>
      <w:bookmarkEnd w:id="776"/>
      <w:bookmarkEnd w:id="777"/>
      <w:bookmarkEnd w:id="778"/>
      <w:bookmarkEnd w:id="779"/>
    </w:p>
    <w:p w14:paraId="35C936B7">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80" w:name="_Ref467379109"/>
      <w:bookmarkStart w:id="781" w:name="_Ref467378404"/>
      <w:bookmarkStart w:id="782" w:name="_Toc16917"/>
      <w:bookmarkStart w:id="783" w:name="_Ref467379101"/>
      <w:bookmarkStart w:id="784" w:name="_Toc259093669"/>
      <w:bookmarkStart w:id="785" w:name="_Ref467378463"/>
      <w:bookmarkStart w:id="786" w:name="_Ref467379094"/>
      <w:bookmarkStart w:id="787" w:name="_Toc487900349"/>
      <w:bookmarkStart w:id="788" w:name="_Ref467379214"/>
      <w:bookmarkStart w:id="789" w:name="_Toc28763"/>
      <w:bookmarkStart w:id="790" w:name="_Ref467379225"/>
      <w:bookmarkStart w:id="791" w:name="_Ref467378499"/>
      <w:bookmarkStart w:id="792" w:name="_Toc279701240"/>
      <w:bookmarkStart w:id="793" w:name="_Ref467379205"/>
      <w:bookmarkStart w:id="794" w:name="_Ref467379195"/>
      <w:bookmarkStart w:id="795" w:name="_Toc19614"/>
      <w:r>
        <w:rPr>
          <w:rFonts w:hint="eastAsia" w:ascii="宋体" w:hAnsi="宋体" w:eastAsia="宋体" w:cs="宋体"/>
          <w:b/>
          <w:bCs/>
          <w:sz w:val="24"/>
          <w:szCs w:val="24"/>
        </w:rPr>
        <w:t>2.1 定义</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542767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本合同中的下列词语应按以下内容进行解释：</w:t>
      </w:r>
    </w:p>
    <w:p w14:paraId="67C1F8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2.1.1 “合同”系指</w:t>
      </w:r>
      <w:r>
        <w:rPr>
          <w:rFonts w:hint="eastAsia" w:ascii="宋体" w:hAnsi="宋体" w:eastAsia="宋体" w:cs="宋体"/>
          <w:sz w:val="24"/>
          <w:lang w:eastAsia="zh-CN"/>
        </w:rPr>
        <w:t>招标人</w:t>
      </w:r>
      <w:r>
        <w:rPr>
          <w:rFonts w:hint="eastAsia" w:ascii="宋体" w:hAnsi="宋体" w:eastAsia="宋体" w:cs="宋体"/>
          <w:sz w:val="24"/>
        </w:rPr>
        <w:t>和中标</w:t>
      </w:r>
      <w:r>
        <w:rPr>
          <w:rFonts w:hint="eastAsia" w:ascii="宋体" w:hAnsi="宋体" w:eastAsia="宋体" w:cs="宋体"/>
          <w:sz w:val="24"/>
          <w:lang w:eastAsia="zh-CN"/>
        </w:rPr>
        <w:t>投标人</w:t>
      </w:r>
      <w:r>
        <w:rPr>
          <w:rFonts w:hint="eastAsia" w:ascii="宋体" w:hAnsi="宋体" w:eastAsia="宋体" w:cs="宋体"/>
          <w:sz w:val="24"/>
        </w:rPr>
        <w:t>签订的载明双方当事人所达成的协议，并包括所有的附件、附录和构成合同的其他文件。</w:t>
      </w:r>
    </w:p>
    <w:p w14:paraId="4DE660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2.1.2 “合同价”系指根据合同约定，中标</w:t>
      </w:r>
      <w:r>
        <w:rPr>
          <w:rFonts w:hint="eastAsia" w:ascii="宋体" w:hAnsi="宋体" w:eastAsia="宋体" w:cs="宋体"/>
          <w:sz w:val="24"/>
          <w:lang w:eastAsia="zh-CN"/>
        </w:rPr>
        <w:t>投标人</w:t>
      </w:r>
      <w:r>
        <w:rPr>
          <w:rFonts w:hint="eastAsia" w:ascii="宋体" w:hAnsi="宋体" w:eastAsia="宋体" w:cs="宋体"/>
          <w:sz w:val="24"/>
        </w:rPr>
        <w:t>在完全履行合同义务后，</w:t>
      </w:r>
      <w:r>
        <w:rPr>
          <w:rFonts w:hint="eastAsia" w:ascii="宋体" w:hAnsi="宋体" w:eastAsia="宋体" w:cs="宋体"/>
          <w:sz w:val="24"/>
          <w:lang w:eastAsia="zh-CN"/>
        </w:rPr>
        <w:t>招标人</w:t>
      </w:r>
      <w:r>
        <w:rPr>
          <w:rFonts w:hint="eastAsia" w:ascii="宋体" w:hAnsi="宋体" w:eastAsia="宋体" w:cs="宋体"/>
          <w:sz w:val="24"/>
        </w:rPr>
        <w:t>应支付给中标</w:t>
      </w:r>
      <w:r>
        <w:rPr>
          <w:rFonts w:hint="eastAsia" w:ascii="宋体" w:hAnsi="宋体" w:eastAsia="宋体" w:cs="宋体"/>
          <w:sz w:val="24"/>
          <w:lang w:eastAsia="zh-CN"/>
        </w:rPr>
        <w:t>投标人</w:t>
      </w:r>
      <w:r>
        <w:rPr>
          <w:rFonts w:hint="eastAsia" w:ascii="宋体" w:hAnsi="宋体" w:eastAsia="宋体" w:cs="宋体"/>
          <w:sz w:val="24"/>
        </w:rPr>
        <w:t>的价格。</w:t>
      </w:r>
    </w:p>
    <w:p w14:paraId="532E4F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2.1.3 “货物”系指中标</w:t>
      </w:r>
      <w:r>
        <w:rPr>
          <w:rFonts w:hint="eastAsia" w:ascii="宋体" w:hAnsi="宋体" w:eastAsia="宋体" w:cs="宋体"/>
          <w:sz w:val="24"/>
          <w:lang w:eastAsia="zh-CN"/>
        </w:rPr>
        <w:t>投标人</w:t>
      </w:r>
      <w:r>
        <w:rPr>
          <w:rFonts w:hint="eastAsia" w:ascii="宋体" w:hAnsi="宋体" w:eastAsia="宋体" w:cs="宋体"/>
          <w:sz w:val="24"/>
        </w:rPr>
        <w:t>根据合同约定应向</w:t>
      </w:r>
      <w:r>
        <w:rPr>
          <w:rFonts w:hint="eastAsia" w:ascii="宋体" w:hAnsi="宋体" w:eastAsia="宋体" w:cs="宋体"/>
          <w:sz w:val="24"/>
          <w:lang w:eastAsia="zh-CN"/>
        </w:rPr>
        <w:t>招标人</w:t>
      </w:r>
      <w:r>
        <w:rPr>
          <w:rFonts w:hint="eastAsia" w:ascii="宋体" w:hAnsi="宋体" w:eastAsia="宋体" w:cs="宋体"/>
          <w:sz w:val="24"/>
        </w:rPr>
        <w:t>交付的一切各种形态和种类的物品，包括原材料、燃料、设备、机械、仪表、备件、计算机软件、产品等，并包括工具、手册等其他相关资料。</w:t>
      </w:r>
    </w:p>
    <w:p w14:paraId="752280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bookmarkStart w:id="796" w:name="_Ref467378840"/>
      <w:r>
        <w:rPr>
          <w:rFonts w:hint="eastAsia" w:ascii="宋体" w:hAnsi="宋体" w:eastAsia="宋体" w:cs="宋体"/>
          <w:sz w:val="24"/>
        </w:rPr>
        <w:t>2.1.4 “甲方”系指与中标</w:t>
      </w:r>
      <w:r>
        <w:rPr>
          <w:rFonts w:hint="eastAsia" w:ascii="宋体" w:hAnsi="宋体" w:eastAsia="宋体" w:cs="宋体"/>
          <w:sz w:val="24"/>
          <w:lang w:eastAsia="zh-CN"/>
        </w:rPr>
        <w:t>投标人</w:t>
      </w:r>
      <w:r>
        <w:rPr>
          <w:rFonts w:hint="eastAsia" w:ascii="宋体" w:hAnsi="宋体" w:eastAsia="宋体" w:cs="宋体"/>
          <w:sz w:val="24"/>
        </w:rPr>
        <w:t>签署合同的</w:t>
      </w:r>
      <w:bookmarkEnd w:id="796"/>
      <w:r>
        <w:rPr>
          <w:rFonts w:hint="eastAsia" w:ascii="宋体" w:hAnsi="宋体" w:eastAsia="宋体" w:cs="宋体"/>
          <w:sz w:val="24"/>
          <w:lang w:eastAsia="zh-CN"/>
        </w:rPr>
        <w:t>招标人</w:t>
      </w:r>
      <w:r>
        <w:rPr>
          <w:rFonts w:hint="eastAsia" w:ascii="宋体" w:hAnsi="宋体" w:eastAsia="宋体" w:cs="宋体"/>
          <w:sz w:val="24"/>
        </w:rPr>
        <w:t>；</w:t>
      </w:r>
      <w:r>
        <w:rPr>
          <w:rFonts w:hint="eastAsia" w:ascii="宋体" w:hAnsi="宋体" w:eastAsia="宋体" w:cs="宋体"/>
          <w:sz w:val="24"/>
          <w:lang w:eastAsia="zh-CN"/>
        </w:rPr>
        <w:t>招标人</w:t>
      </w:r>
      <w:r>
        <w:rPr>
          <w:rFonts w:hint="eastAsia" w:ascii="宋体" w:hAnsi="宋体" w:eastAsia="宋体" w:cs="宋体"/>
          <w:sz w:val="24"/>
        </w:rPr>
        <w:t>委托</w:t>
      </w:r>
      <w:r>
        <w:rPr>
          <w:rFonts w:hint="eastAsia" w:ascii="宋体" w:hAnsi="宋体" w:eastAsia="宋体" w:cs="宋体"/>
          <w:sz w:val="24"/>
          <w:lang w:eastAsia="zh-CN"/>
        </w:rPr>
        <w:t>招标代理机构</w:t>
      </w:r>
      <w:r>
        <w:rPr>
          <w:rFonts w:hint="eastAsia" w:ascii="宋体" w:hAnsi="宋体" w:eastAsia="宋体" w:cs="宋体"/>
          <w:sz w:val="24"/>
        </w:rPr>
        <w:t>代表其与乙方签订合同的，</w:t>
      </w:r>
      <w:r>
        <w:rPr>
          <w:rFonts w:hint="eastAsia" w:ascii="宋体" w:hAnsi="宋体" w:eastAsia="宋体" w:cs="宋体"/>
          <w:sz w:val="24"/>
          <w:lang w:eastAsia="zh-CN"/>
        </w:rPr>
        <w:t>招标人</w:t>
      </w:r>
      <w:r>
        <w:rPr>
          <w:rFonts w:hint="eastAsia" w:ascii="宋体" w:hAnsi="宋体" w:eastAsia="宋体" w:cs="宋体"/>
          <w:sz w:val="24"/>
        </w:rPr>
        <w:t>的授权委托书作为合同附件。</w:t>
      </w:r>
    </w:p>
    <w:p w14:paraId="2FD121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bookmarkStart w:id="797" w:name="_Ref467379400"/>
      <w:r>
        <w:rPr>
          <w:rFonts w:hint="eastAsia" w:ascii="宋体" w:hAnsi="宋体" w:eastAsia="宋体" w:cs="宋体"/>
          <w:sz w:val="24"/>
        </w:rPr>
        <w:t>2.1.5 “乙方”系指根据合同约定交付货物的中标</w:t>
      </w:r>
      <w:bookmarkEnd w:id="797"/>
      <w:r>
        <w:rPr>
          <w:rFonts w:hint="eastAsia" w:ascii="宋体" w:hAnsi="宋体" w:eastAsia="宋体" w:cs="宋体"/>
          <w:sz w:val="24"/>
          <w:lang w:eastAsia="zh-CN"/>
        </w:rPr>
        <w:t>投标人</w:t>
      </w:r>
      <w:r>
        <w:rPr>
          <w:rFonts w:hint="eastAsia" w:ascii="宋体" w:hAnsi="宋体" w:eastAsia="宋体" w:cs="宋体"/>
          <w:sz w:val="24"/>
        </w:rPr>
        <w:t>；两个以上的自然人、法人或者其他组织组成一个联合体，以一个</w:t>
      </w:r>
      <w:r>
        <w:rPr>
          <w:rFonts w:hint="eastAsia" w:ascii="宋体" w:hAnsi="宋体" w:eastAsia="宋体" w:cs="宋体"/>
          <w:sz w:val="24"/>
          <w:lang w:eastAsia="zh-CN"/>
        </w:rPr>
        <w:t>投标人</w:t>
      </w:r>
      <w:r>
        <w:rPr>
          <w:rFonts w:hint="eastAsia" w:ascii="宋体" w:hAnsi="宋体" w:eastAsia="宋体" w:cs="宋体"/>
          <w:sz w:val="24"/>
        </w:rPr>
        <w:t>的身份共同参加政府采购的，联合体各方均应为乙方或者与乙方相同地位的合同当事人，并就合同约定的事项对甲方承担连带责任。</w:t>
      </w:r>
    </w:p>
    <w:p w14:paraId="292D56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bookmarkStart w:id="798" w:name="_Ref467379436"/>
      <w:r>
        <w:rPr>
          <w:rFonts w:hint="eastAsia" w:ascii="宋体" w:hAnsi="宋体" w:eastAsia="宋体" w:cs="宋体"/>
          <w:sz w:val="24"/>
        </w:rPr>
        <w:t>2.1.6 “现场”系指合同约定货物将要运至或者安装的地点。</w:t>
      </w:r>
      <w:bookmarkEnd w:id="798"/>
    </w:p>
    <w:p w14:paraId="762923DA">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799" w:name="_Toc279701241"/>
      <w:bookmarkStart w:id="800" w:name="_Toc13336"/>
      <w:bookmarkStart w:id="801" w:name="_Toc27635"/>
      <w:bookmarkStart w:id="802" w:name="_Toc487900350"/>
      <w:bookmarkStart w:id="803" w:name="_Toc32504"/>
      <w:bookmarkStart w:id="804" w:name="_Toc259093670"/>
      <w:r>
        <w:rPr>
          <w:rFonts w:hint="eastAsia" w:ascii="宋体" w:hAnsi="宋体" w:eastAsia="宋体" w:cs="宋体"/>
          <w:b/>
          <w:bCs/>
          <w:sz w:val="24"/>
          <w:szCs w:val="24"/>
        </w:rPr>
        <w:t>2.2 技术规范</w:t>
      </w:r>
      <w:bookmarkEnd w:id="799"/>
      <w:bookmarkEnd w:id="800"/>
      <w:bookmarkEnd w:id="801"/>
      <w:bookmarkEnd w:id="802"/>
      <w:bookmarkEnd w:id="803"/>
      <w:bookmarkEnd w:id="804"/>
    </w:p>
    <w:p w14:paraId="1CC057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货物所应遵守的技术规范应与</w:t>
      </w:r>
      <w:r>
        <w:rPr>
          <w:rFonts w:hint="eastAsia" w:ascii="宋体" w:hAnsi="宋体" w:eastAsia="宋体" w:cs="宋体"/>
          <w:sz w:val="24"/>
          <w:lang w:eastAsia="zh-CN"/>
        </w:rPr>
        <w:t>招标文件</w:t>
      </w:r>
      <w:r>
        <w:rPr>
          <w:rFonts w:hint="eastAsia" w:ascii="宋体" w:hAnsi="宋体" w:eastAsia="宋体" w:cs="宋体"/>
          <w:sz w:val="24"/>
        </w:rPr>
        <w:t>规定的技术规范和技术规范附件(如果有的话)及其技术规范偏差表(如果被甲方接受的话)相一致；如果</w:t>
      </w:r>
      <w:r>
        <w:rPr>
          <w:rFonts w:hint="eastAsia" w:ascii="宋体" w:hAnsi="宋体" w:eastAsia="宋体" w:cs="宋体"/>
          <w:sz w:val="24"/>
          <w:lang w:eastAsia="zh-CN"/>
        </w:rPr>
        <w:t>招标文件</w:t>
      </w:r>
      <w:r>
        <w:rPr>
          <w:rFonts w:hint="eastAsia" w:ascii="宋体" w:hAnsi="宋体" w:eastAsia="宋体" w:cs="宋体"/>
          <w:sz w:val="24"/>
        </w:rPr>
        <w:t>中没有技术规范的相应说明，那么应以国家有关部门最新颁布的相应标准和规范为准。</w:t>
      </w:r>
    </w:p>
    <w:p w14:paraId="3181428E">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05" w:name="_Toc9829"/>
      <w:bookmarkStart w:id="806" w:name="_Toc279701242"/>
      <w:bookmarkStart w:id="807" w:name="_Toc487900351"/>
      <w:bookmarkStart w:id="808" w:name="_Toc31634"/>
      <w:bookmarkStart w:id="809" w:name="_Toc27853"/>
      <w:bookmarkStart w:id="810" w:name="_Toc259093671"/>
      <w:r>
        <w:rPr>
          <w:rFonts w:hint="eastAsia" w:ascii="宋体" w:hAnsi="宋体" w:eastAsia="宋体" w:cs="宋体"/>
          <w:b/>
          <w:bCs/>
          <w:sz w:val="24"/>
          <w:szCs w:val="24"/>
        </w:rPr>
        <w:t>2.3 知识产权</w:t>
      </w:r>
      <w:bookmarkEnd w:id="805"/>
      <w:bookmarkEnd w:id="806"/>
      <w:bookmarkEnd w:id="807"/>
      <w:bookmarkEnd w:id="808"/>
      <w:bookmarkEnd w:id="809"/>
      <w:bookmarkEnd w:id="810"/>
    </w:p>
    <w:p w14:paraId="3A2C1F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E2A79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2.3.2具有知识产权的货物的知识产权归属，详见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14:paraId="6ACD9719">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i w:val="0"/>
          <w:iCs w:val="0"/>
          <w:sz w:val="24"/>
          <w:szCs w:val="24"/>
        </w:rPr>
      </w:pPr>
      <w:bookmarkStart w:id="811" w:name="_Toc11932"/>
      <w:bookmarkStart w:id="812" w:name="_Toc29149"/>
      <w:bookmarkStart w:id="813" w:name="_Toc4194"/>
      <w:r>
        <w:rPr>
          <w:rFonts w:hint="eastAsia" w:ascii="宋体" w:hAnsi="宋体" w:eastAsia="宋体" w:cs="宋体"/>
          <w:b/>
          <w:bCs/>
          <w:i w:val="0"/>
          <w:iCs w:val="0"/>
          <w:sz w:val="24"/>
          <w:szCs w:val="24"/>
        </w:rPr>
        <w:t>2.4 包装和装运</w:t>
      </w:r>
      <w:bookmarkEnd w:id="811"/>
      <w:bookmarkEnd w:id="812"/>
      <w:bookmarkEnd w:id="813"/>
    </w:p>
    <w:p w14:paraId="21130C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2.4.1除</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D151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2.4.2 装运货物的要求和通知，详见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14:paraId="20E487CD">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i w:val="0"/>
          <w:iCs w:val="0"/>
          <w:sz w:val="24"/>
          <w:szCs w:val="24"/>
        </w:rPr>
      </w:pPr>
      <w:bookmarkStart w:id="814" w:name="_Ref467378591"/>
      <w:bookmarkStart w:id="815" w:name="_Toc487900354"/>
      <w:bookmarkStart w:id="816" w:name="_Toc279701245"/>
      <w:bookmarkStart w:id="817" w:name="_Ref467379527"/>
      <w:bookmarkStart w:id="818" w:name="_Ref467379536"/>
      <w:bookmarkStart w:id="819" w:name="_Toc259093674"/>
      <w:bookmarkStart w:id="820" w:name="_Ref467378541"/>
      <w:bookmarkStart w:id="821" w:name="_Ref467379542"/>
      <w:bookmarkStart w:id="822" w:name="_Toc26182"/>
      <w:bookmarkStart w:id="823" w:name="_Toc19074"/>
      <w:bookmarkStart w:id="824" w:name="_Toc30272"/>
      <w:r>
        <w:rPr>
          <w:rFonts w:hint="eastAsia" w:ascii="宋体" w:hAnsi="宋体" w:eastAsia="宋体" w:cs="宋体"/>
          <w:b/>
          <w:bCs/>
          <w:i w:val="0"/>
          <w:iCs w:val="0"/>
          <w:sz w:val="24"/>
          <w:szCs w:val="24"/>
        </w:rPr>
        <w:t>2.</w:t>
      </w:r>
      <w:bookmarkEnd w:id="814"/>
      <w:bookmarkEnd w:id="815"/>
      <w:bookmarkEnd w:id="816"/>
      <w:bookmarkEnd w:id="817"/>
      <w:bookmarkEnd w:id="818"/>
      <w:bookmarkEnd w:id="819"/>
      <w:bookmarkEnd w:id="820"/>
      <w:bookmarkEnd w:id="821"/>
      <w:r>
        <w:rPr>
          <w:rFonts w:hint="eastAsia" w:ascii="宋体" w:hAnsi="宋体" w:eastAsia="宋体" w:cs="宋体"/>
          <w:b/>
          <w:bCs/>
          <w:i w:val="0"/>
          <w:iCs w:val="0"/>
          <w:sz w:val="24"/>
          <w:szCs w:val="24"/>
        </w:rPr>
        <w:t>5 履约检查和问题反馈</w:t>
      </w:r>
      <w:bookmarkEnd w:id="822"/>
      <w:bookmarkEnd w:id="823"/>
      <w:bookmarkEnd w:id="824"/>
    </w:p>
    <w:p w14:paraId="0C121F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sz w:val="24"/>
        </w:rPr>
      </w:pPr>
      <w:bookmarkStart w:id="825" w:name="_Ref467379657"/>
      <w:r>
        <w:rPr>
          <w:rFonts w:hint="eastAsia" w:ascii="宋体" w:hAnsi="宋体" w:eastAsia="宋体" w:cs="宋体"/>
          <w:i w:val="0"/>
          <w:iCs w:val="0"/>
          <w:sz w:val="24"/>
        </w:rPr>
        <w:t>2.5.1</w:t>
      </w:r>
      <w:bookmarkEnd w:id="825"/>
      <w:bookmarkStart w:id="826" w:name="_Toc186431854"/>
      <w:bookmarkStart w:id="827" w:name="_Toc259093676"/>
      <w:bookmarkStart w:id="828" w:name="_Ref467379793"/>
      <w:bookmarkStart w:id="829" w:name="_Toc279701247"/>
      <w:bookmarkStart w:id="830" w:name="_Toc487900357"/>
      <w:bookmarkStart w:id="831" w:name="_Ref467379807"/>
      <w:r>
        <w:rPr>
          <w:rFonts w:hint="eastAsia" w:ascii="宋体" w:hAnsi="宋体" w:eastAsia="宋体" w:cs="宋体"/>
          <w:i w:val="0"/>
          <w:iCs w:val="0"/>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D7652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2.5.2 合同履行期间，甲方有权将履行过程中出现的问题反馈给乙方，双方当事人应以书面形式约定需要完善和改进的内容</w:t>
      </w:r>
      <w:bookmarkEnd w:id="826"/>
      <w:bookmarkStart w:id="832" w:name="_Toc186431855"/>
      <w:r>
        <w:rPr>
          <w:rFonts w:hint="eastAsia" w:ascii="宋体" w:hAnsi="宋体" w:eastAsia="宋体" w:cs="宋体"/>
          <w:i w:val="0"/>
          <w:iCs w:val="0"/>
          <w:sz w:val="24"/>
        </w:rPr>
        <w:t>。</w:t>
      </w:r>
    </w:p>
    <w:bookmarkEnd w:id="832"/>
    <w:p w14:paraId="185B8C07">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i w:val="0"/>
          <w:iCs w:val="0"/>
          <w:sz w:val="24"/>
          <w:szCs w:val="24"/>
        </w:rPr>
      </w:pPr>
      <w:bookmarkStart w:id="833" w:name="_Toc19219"/>
      <w:bookmarkStart w:id="834" w:name="_Toc7836"/>
      <w:bookmarkStart w:id="835" w:name="_Toc28451"/>
      <w:r>
        <w:rPr>
          <w:rFonts w:hint="eastAsia" w:ascii="宋体" w:hAnsi="宋体" w:eastAsia="宋体" w:cs="宋体"/>
          <w:b/>
          <w:bCs/>
          <w:i w:val="0"/>
          <w:iCs w:val="0"/>
          <w:sz w:val="24"/>
          <w:szCs w:val="24"/>
        </w:rPr>
        <w:t>2.6 结算方式和付款条件</w:t>
      </w:r>
      <w:bookmarkEnd w:id="827"/>
      <w:bookmarkEnd w:id="828"/>
      <w:bookmarkEnd w:id="829"/>
      <w:bookmarkEnd w:id="830"/>
      <w:bookmarkEnd w:id="831"/>
      <w:bookmarkEnd w:id="833"/>
      <w:bookmarkEnd w:id="834"/>
      <w:bookmarkEnd w:id="835"/>
    </w:p>
    <w:p w14:paraId="207C0D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14:paraId="46497D48">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36" w:name="_Toc487900358"/>
      <w:bookmarkStart w:id="837" w:name="_Ref467379863"/>
      <w:bookmarkStart w:id="838" w:name="_Ref467379852"/>
      <w:bookmarkStart w:id="839" w:name="_Toc259093677"/>
      <w:bookmarkStart w:id="840" w:name="_Ref467379923"/>
      <w:bookmarkStart w:id="841" w:name="_Toc279701248"/>
      <w:bookmarkStart w:id="842" w:name="_Toc16110"/>
      <w:bookmarkStart w:id="843" w:name="_Toc774"/>
      <w:bookmarkStart w:id="844" w:name="_Toc3225"/>
      <w:r>
        <w:rPr>
          <w:rFonts w:hint="eastAsia" w:ascii="宋体" w:hAnsi="宋体" w:eastAsia="宋体" w:cs="宋体"/>
          <w:b/>
          <w:bCs/>
          <w:sz w:val="24"/>
          <w:szCs w:val="24"/>
        </w:rPr>
        <w:t>2.7 技术资料</w:t>
      </w:r>
      <w:bookmarkEnd w:id="836"/>
      <w:bookmarkEnd w:id="837"/>
      <w:bookmarkEnd w:id="838"/>
      <w:bookmarkEnd w:id="839"/>
      <w:bookmarkEnd w:id="840"/>
      <w:bookmarkEnd w:id="841"/>
      <w:r>
        <w:rPr>
          <w:rFonts w:hint="eastAsia" w:ascii="宋体" w:hAnsi="宋体" w:eastAsia="宋体" w:cs="宋体"/>
          <w:b/>
          <w:bCs/>
          <w:sz w:val="24"/>
          <w:szCs w:val="24"/>
        </w:rPr>
        <w:t>和保密义务</w:t>
      </w:r>
      <w:bookmarkEnd w:id="842"/>
      <w:bookmarkEnd w:id="843"/>
      <w:bookmarkEnd w:id="844"/>
    </w:p>
    <w:p w14:paraId="4E8D46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0D77BE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2.7.2 乙方有义务妥善保管和保护由甲方提供的前款信息和资料等；</w:t>
      </w:r>
    </w:p>
    <w:p w14:paraId="05672F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01790F">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45" w:name="_Toc7860"/>
      <w:r>
        <w:rPr>
          <w:rFonts w:hint="eastAsia" w:ascii="宋体" w:hAnsi="宋体" w:eastAsia="宋体" w:cs="宋体"/>
          <w:b/>
          <w:bCs/>
          <w:sz w:val="24"/>
          <w:szCs w:val="24"/>
        </w:rPr>
        <w:t>2.8 质量保证</w:t>
      </w:r>
      <w:bookmarkEnd w:id="845"/>
    </w:p>
    <w:p w14:paraId="097CF4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6F0113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4FE6402D">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46" w:name="_Toc17244"/>
      <w:bookmarkStart w:id="847" w:name="_Toc487900362"/>
      <w:bookmarkStart w:id="848" w:name="_Toc259093681"/>
      <w:bookmarkStart w:id="849" w:name="_Toc279701252"/>
      <w:r>
        <w:rPr>
          <w:rFonts w:hint="eastAsia" w:ascii="宋体" w:hAnsi="宋体" w:eastAsia="宋体" w:cs="宋体"/>
          <w:b/>
          <w:bCs/>
          <w:sz w:val="24"/>
          <w:szCs w:val="24"/>
        </w:rPr>
        <w:t>2.9 货物的风险负担</w:t>
      </w:r>
      <w:bookmarkEnd w:id="846"/>
    </w:p>
    <w:p w14:paraId="321407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val="0"/>
          <w:iCs/>
          <w:sz w:val="24"/>
          <w:u w:val="single"/>
        </w:rPr>
        <w:t>合同专用条款</w:t>
      </w:r>
      <w:r>
        <w:rPr>
          <w:rFonts w:hint="eastAsia" w:ascii="宋体" w:hAnsi="宋体" w:eastAsia="宋体" w:cs="宋体"/>
          <w:sz w:val="24"/>
        </w:rPr>
        <w:t>。</w:t>
      </w:r>
    </w:p>
    <w:p w14:paraId="172CAF85">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50" w:name="_Toc14055"/>
      <w:r>
        <w:rPr>
          <w:rFonts w:hint="eastAsia" w:ascii="宋体" w:hAnsi="宋体" w:eastAsia="宋体" w:cs="宋体"/>
          <w:b/>
          <w:bCs/>
          <w:sz w:val="24"/>
          <w:szCs w:val="24"/>
        </w:rPr>
        <w:t>2.10 延迟交货</w:t>
      </w:r>
      <w:bookmarkEnd w:id="847"/>
      <w:bookmarkEnd w:id="848"/>
      <w:bookmarkEnd w:id="849"/>
      <w:bookmarkEnd w:id="850"/>
    </w:p>
    <w:p w14:paraId="30D1F5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B0AB1AC">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51" w:name="_Toc7502"/>
      <w:bookmarkStart w:id="852" w:name="_Toc487900364"/>
      <w:bookmarkStart w:id="853" w:name="_Toc279701254"/>
      <w:bookmarkStart w:id="854" w:name="_Ref467378121"/>
      <w:bookmarkStart w:id="855" w:name="_Toc259093683"/>
      <w:r>
        <w:rPr>
          <w:rFonts w:hint="eastAsia" w:ascii="宋体" w:hAnsi="宋体" w:eastAsia="宋体" w:cs="宋体"/>
          <w:b/>
          <w:bCs/>
          <w:sz w:val="24"/>
          <w:szCs w:val="24"/>
        </w:rPr>
        <w:t>2.11 合同变更</w:t>
      </w:r>
      <w:bookmarkEnd w:id="851"/>
    </w:p>
    <w:p w14:paraId="72CD3A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2.11.1双方当事人协商一致，可以签订书面补充合同的形式变更合同，但不得违背</w:t>
      </w:r>
      <w:r>
        <w:rPr>
          <w:rFonts w:hint="eastAsia" w:ascii="宋体" w:hAnsi="宋体" w:eastAsia="宋体" w:cs="宋体"/>
          <w:sz w:val="24"/>
          <w:lang w:eastAsia="zh-CN"/>
        </w:rPr>
        <w:t>招标文件</w:t>
      </w:r>
      <w:r>
        <w:rPr>
          <w:rFonts w:hint="eastAsia" w:ascii="宋体" w:hAnsi="宋体" w:eastAsia="宋体" w:cs="宋体"/>
          <w:sz w:val="24"/>
        </w:rPr>
        <w:t>确定的事项，且如果系追加与合同标的相同的货物的，那么所有补充合同的采购金额不得超过原合同价的10%；</w:t>
      </w:r>
    </w:p>
    <w:p w14:paraId="30C146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856" w:name="_Toc279701259"/>
      <w:bookmarkStart w:id="857" w:name="_Toc487900369"/>
      <w:bookmarkStart w:id="858" w:name="_Toc259093688"/>
    </w:p>
    <w:p w14:paraId="7A14428A">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59" w:name="_Toc22955"/>
      <w:bookmarkStart w:id="860" w:name="_Toc15237"/>
      <w:bookmarkStart w:id="861" w:name="_Toc10366"/>
      <w:r>
        <w:rPr>
          <w:rFonts w:hint="eastAsia" w:ascii="宋体" w:hAnsi="宋体" w:eastAsia="宋体" w:cs="宋体"/>
          <w:b/>
          <w:bCs/>
          <w:sz w:val="24"/>
          <w:szCs w:val="24"/>
        </w:rPr>
        <w:t>2.12 合同转让</w:t>
      </w:r>
      <w:bookmarkEnd w:id="856"/>
      <w:bookmarkEnd w:id="857"/>
      <w:bookmarkEnd w:id="858"/>
      <w:r>
        <w:rPr>
          <w:rFonts w:hint="eastAsia" w:ascii="宋体" w:hAnsi="宋体" w:eastAsia="宋体" w:cs="宋体"/>
          <w:b/>
          <w:bCs/>
          <w:sz w:val="24"/>
          <w:szCs w:val="24"/>
        </w:rPr>
        <w:t>和分包</w:t>
      </w:r>
      <w:bookmarkEnd w:id="859"/>
      <w:bookmarkEnd w:id="860"/>
      <w:bookmarkEnd w:id="861"/>
    </w:p>
    <w:p w14:paraId="7BF13A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sz w:val="24"/>
          <w:lang w:eastAsia="zh-CN"/>
        </w:rPr>
        <w:t>投标人</w:t>
      </w:r>
      <w:r>
        <w:rPr>
          <w:rFonts w:hint="eastAsia" w:ascii="宋体" w:hAnsi="宋体" w:eastAsia="宋体" w:cs="宋体"/>
          <w:sz w:val="24"/>
        </w:rPr>
        <w:t>就分包项目向甲方承担连带责任。</w:t>
      </w:r>
    </w:p>
    <w:p w14:paraId="0B801501">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62" w:name="_Toc13566"/>
      <w:bookmarkStart w:id="863" w:name="_Toc16508"/>
      <w:bookmarkStart w:id="864" w:name="_Toc14066"/>
      <w:r>
        <w:rPr>
          <w:rFonts w:hint="eastAsia" w:ascii="宋体" w:hAnsi="宋体" w:eastAsia="宋体" w:cs="宋体"/>
          <w:b/>
          <w:bCs/>
          <w:sz w:val="24"/>
          <w:szCs w:val="24"/>
        </w:rPr>
        <w:t>2.13 不可抗力</w:t>
      </w:r>
      <w:bookmarkEnd w:id="862"/>
      <w:bookmarkEnd w:id="863"/>
      <w:bookmarkEnd w:id="864"/>
    </w:p>
    <w:p w14:paraId="3DC028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13FBB6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2.13.2 因不可抗力致使不能实现合同目的的，当事人可以解除合同；</w:t>
      </w:r>
    </w:p>
    <w:p w14:paraId="72B79E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i w:val="0"/>
          <w:iCs/>
          <w:sz w:val="24"/>
          <w:u w:val="single"/>
        </w:rPr>
        <w:t>合同专用条款</w:t>
      </w:r>
      <w:r>
        <w:rPr>
          <w:rFonts w:hint="eastAsia" w:ascii="宋体" w:hAnsi="宋体" w:eastAsia="宋体" w:cs="宋体"/>
          <w:sz w:val="24"/>
        </w:rPr>
        <w:t>约定时间内以书面形式变更合同；</w:t>
      </w:r>
    </w:p>
    <w:p w14:paraId="1181DA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i w:val="0"/>
          <w:iCs/>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val="0"/>
          <w:iCs/>
          <w:sz w:val="24"/>
          <w:u w:val="single"/>
        </w:rPr>
        <w:t>合同专用条款</w:t>
      </w:r>
      <w:r>
        <w:rPr>
          <w:rFonts w:hint="eastAsia" w:ascii="宋体" w:hAnsi="宋体" w:eastAsia="宋体" w:cs="宋体"/>
          <w:sz w:val="24"/>
        </w:rPr>
        <w:t>约定时间内，将有关部门出具的证明文件送达对方当事人。</w:t>
      </w:r>
    </w:p>
    <w:p w14:paraId="5725790F">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65" w:name="_Toc30676"/>
      <w:bookmarkStart w:id="866" w:name="_Toc259093684"/>
      <w:bookmarkStart w:id="867" w:name="_Toc6969"/>
      <w:bookmarkStart w:id="868" w:name="_Toc487900365"/>
      <w:bookmarkStart w:id="869" w:name="_Toc689"/>
      <w:bookmarkStart w:id="870" w:name="_Toc279701255"/>
      <w:r>
        <w:rPr>
          <w:rFonts w:hint="eastAsia" w:ascii="宋体" w:hAnsi="宋体" w:eastAsia="宋体" w:cs="宋体"/>
          <w:b/>
          <w:bCs/>
          <w:sz w:val="24"/>
          <w:szCs w:val="24"/>
        </w:rPr>
        <w:t>2.14 税费</w:t>
      </w:r>
      <w:bookmarkEnd w:id="865"/>
      <w:bookmarkEnd w:id="866"/>
      <w:bookmarkEnd w:id="867"/>
      <w:bookmarkEnd w:id="868"/>
      <w:bookmarkEnd w:id="869"/>
      <w:bookmarkEnd w:id="870"/>
    </w:p>
    <w:p w14:paraId="2D6017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31B9A938">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71" w:name="_Toc259093687"/>
      <w:bookmarkStart w:id="872" w:name="_Toc279701258"/>
      <w:bookmarkStart w:id="873" w:name="_Toc16959"/>
      <w:bookmarkStart w:id="874" w:name="_Toc8298"/>
      <w:bookmarkStart w:id="875" w:name="_Toc7102"/>
      <w:bookmarkStart w:id="876" w:name="_Toc487900368"/>
      <w:r>
        <w:rPr>
          <w:rFonts w:hint="eastAsia" w:ascii="宋体" w:hAnsi="宋体" w:eastAsia="宋体" w:cs="宋体"/>
          <w:b/>
          <w:bCs/>
          <w:sz w:val="24"/>
          <w:szCs w:val="24"/>
        </w:rPr>
        <w:t>2.15 乙方破产</w:t>
      </w:r>
      <w:bookmarkEnd w:id="871"/>
      <w:bookmarkEnd w:id="872"/>
      <w:bookmarkEnd w:id="873"/>
      <w:bookmarkEnd w:id="874"/>
      <w:bookmarkEnd w:id="875"/>
      <w:bookmarkEnd w:id="876"/>
    </w:p>
    <w:p w14:paraId="670A54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5D1DEA">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77" w:name="_Toc15387"/>
      <w:bookmarkStart w:id="878" w:name="_Toc29333"/>
      <w:bookmarkStart w:id="879" w:name="_Toc6134"/>
      <w:r>
        <w:rPr>
          <w:rFonts w:hint="eastAsia" w:ascii="宋体" w:hAnsi="宋体" w:eastAsia="宋体" w:cs="宋体"/>
          <w:b/>
          <w:bCs/>
          <w:sz w:val="24"/>
          <w:szCs w:val="24"/>
        </w:rPr>
        <w:t>2.16 合同中止、终止</w:t>
      </w:r>
      <w:bookmarkEnd w:id="877"/>
      <w:bookmarkEnd w:id="878"/>
      <w:bookmarkEnd w:id="879"/>
    </w:p>
    <w:p w14:paraId="4582AA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2.16.1 双方当事人不得擅自中止或者终止合同；</w:t>
      </w:r>
    </w:p>
    <w:p w14:paraId="75A543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5F6A5D29">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80" w:name="_Toc14563"/>
      <w:bookmarkStart w:id="881" w:name="_Toc6596"/>
      <w:bookmarkStart w:id="882" w:name="_Toc1125"/>
      <w:r>
        <w:rPr>
          <w:rFonts w:hint="eastAsia" w:ascii="宋体" w:hAnsi="宋体" w:eastAsia="宋体" w:cs="宋体"/>
          <w:b/>
          <w:bCs/>
          <w:sz w:val="24"/>
          <w:szCs w:val="24"/>
        </w:rPr>
        <w:t>2.17 检验和验收</w:t>
      </w:r>
      <w:bookmarkEnd w:id="880"/>
      <w:bookmarkEnd w:id="881"/>
      <w:bookmarkEnd w:id="882"/>
    </w:p>
    <w:p w14:paraId="301B3379">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val="0"/>
          <w:iCs/>
          <w:sz w:val="24"/>
          <w:u w:val="single"/>
        </w:rPr>
        <w:t>合同专用条款</w:t>
      </w:r>
      <w:r>
        <w:rPr>
          <w:rFonts w:hint="eastAsia" w:ascii="宋体" w:hAnsi="宋体" w:eastAsia="宋体" w:cs="宋体"/>
          <w:sz w:val="24"/>
        </w:rPr>
        <w:t>约定时间内组织验收，并可依法邀请相关方参加，验收应出具验收书。</w:t>
      </w:r>
    </w:p>
    <w:p w14:paraId="3D3553DE">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ABA231">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sz w:val="24"/>
        </w:rPr>
      </w:pPr>
      <w:r>
        <w:rPr>
          <w:rFonts w:hint="eastAsia" w:ascii="宋体" w:hAnsi="宋体" w:eastAsia="宋体" w:cs="宋体"/>
          <w:sz w:val="24"/>
        </w:rPr>
        <w:t xml:space="preserve">2.17.3 </w:t>
      </w:r>
      <w:r>
        <w:rPr>
          <w:rFonts w:hint="eastAsia" w:ascii="宋体" w:hAnsi="宋体" w:eastAsia="宋体" w:cs="宋体"/>
          <w:spacing w:val="-6"/>
          <w:sz w:val="24"/>
        </w:rPr>
        <w:t>检验和验收标准、程序等具体内容以及前述验收书的效力详见</w:t>
      </w:r>
      <w:r>
        <w:rPr>
          <w:rFonts w:hint="eastAsia" w:ascii="宋体" w:hAnsi="宋体" w:eastAsia="宋体" w:cs="宋体"/>
          <w:b/>
          <w:i w:val="0"/>
          <w:iCs/>
          <w:spacing w:val="-6"/>
          <w:sz w:val="24"/>
          <w:u w:val="single"/>
        </w:rPr>
        <w:t>合同专用条款</w:t>
      </w:r>
      <w:r>
        <w:rPr>
          <w:rFonts w:hint="eastAsia" w:ascii="宋体" w:hAnsi="宋体" w:eastAsia="宋体" w:cs="宋体"/>
          <w:i w:val="0"/>
          <w:iCs/>
          <w:spacing w:val="-6"/>
          <w:sz w:val="24"/>
        </w:rPr>
        <w:t>。</w:t>
      </w:r>
    </w:p>
    <w:bookmarkEnd w:id="852"/>
    <w:bookmarkEnd w:id="853"/>
    <w:bookmarkEnd w:id="854"/>
    <w:bookmarkEnd w:id="855"/>
    <w:p w14:paraId="72CF13A3">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83" w:name="_Toc259093690"/>
      <w:bookmarkStart w:id="884" w:name="_Toc279701261"/>
      <w:bookmarkStart w:id="885" w:name="_Toc487900371"/>
      <w:bookmarkStart w:id="886" w:name="_Toc11284"/>
      <w:bookmarkStart w:id="887" w:name="_Toc19604"/>
      <w:bookmarkStart w:id="888" w:name="_Toc25182"/>
      <w:r>
        <w:rPr>
          <w:rFonts w:hint="eastAsia" w:ascii="宋体" w:hAnsi="宋体" w:eastAsia="宋体" w:cs="宋体"/>
          <w:b/>
          <w:bCs/>
          <w:sz w:val="24"/>
          <w:szCs w:val="24"/>
        </w:rPr>
        <w:t>2.18 通知</w:t>
      </w:r>
      <w:bookmarkEnd w:id="883"/>
      <w:bookmarkEnd w:id="884"/>
      <w:bookmarkEnd w:id="885"/>
      <w:r>
        <w:rPr>
          <w:rFonts w:hint="eastAsia" w:ascii="宋体" w:hAnsi="宋体" w:eastAsia="宋体" w:cs="宋体"/>
          <w:b/>
          <w:bCs/>
          <w:sz w:val="24"/>
          <w:szCs w:val="24"/>
        </w:rPr>
        <w:t>和送达</w:t>
      </w:r>
      <w:bookmarkEnd w:id="886"/>
      <w:bookmarkEnd w:id="887"/>
      <w:bookmarkEnd w:id="888"/>
    </w:p>
    <w:p w14:paraId="731290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bookmarkStart w:id="889" w:name="_Toc3135"/>
      <w:bookmarkStart w:id="890" w:name="_Toc6698"/>
      <w:bookmarkStart w:id="891" w:name="_Toc279701262"/>
      <w:bookmarkStart w:id="892" w:name="_Toc259093691"/>
      <w:bookmarkStart w:id="893" w:name="_Toc487900372"/>
      <w:r>
        <w:rPr>
          <w:rFonts w:hint="eastAsia" w:ascii="宋体" w:hAnsi="宋体" w:eastAsia="宋体" w:cs="宋体"/>
          <w:sz w:val="24"/>
        </w:rPr>
        <w:t>2.18.1 任何一方因履行合同而以合同第一部分尾部所列明的发出的所有通知、文件、材料，均视为已向对方当事人送达；任何一方变更上述送达方式或者地址的，应于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个工作日内书面通知对方当事人，在对方当事人收到有关变更通知之前，变更前的约定送达方式或者地址仍视为有效。</w:t>
      </w:r>
      <w:bookmarkEnd w:id="889"/>
      <w:bookmarkEnd w:id="890"/>
    </w:p>
    <w:p w14:paraId="2AD2FF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bookmarkStart w:id="894" w:name="_Toc23128"/>
      <w:bookmarkStart w:id="895" w:name="_Toc23294"/>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894"/>
      <w:bookmarkEnd w:id="895"/>
    </w:p>
    <w:p w14:paraId="7CCAD1F8">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96" w:name="_Toc30599"/>
      <w:bookmarkStart w:id="897" w:name="_Toc18540"/>
      <w:bookmarkStart w:id="898" w:name="_Toc4355"/>
      <w:r>
        <w:rPr>
          <w:rFonts w:hint="eastAsia" w:ascii="宋体" w:hAnsi="宋体" w:eastAsia="宋体" w:cs="宋体"/>
          <w:b/>
          <w:bCs/>
          <w:sz w:val="24"/>
          <w:szCs w:val="24"/>
        </w:rPr>
        <w:t>2.19 计量单位</w:t>
      </w:r>
      <w:bookmarkEnd w:id="891"/>
      <w:bookmarkEnd w:id="892"/>
      <w:bookmarkEnd w:id="893"/>
      <w:bookmarkEnd w:id="896"/>
      <w:bookmarkEnd w:id="897"/>
      <w:bookmarkEnd w:id="898"/>
    </w:p>
    <w:p w14:paraId="1CB919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56D5C6A9">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899" w:name="_Toc279701263"/>
      <w:bookmarkStart w:id="900" w:name="_Toc10330"/>
      <w:bookmarkStart w:id="901" w:name="_Toc12773"/>
      <w:bookmarkStart w:id="902" w:name="_Toc487900373"/>
      <w:bookmarkStart w:id="903" w:name="_Toc259093692"/>
      <w:bookmarkStart w:id="904" w:name="_Toc18567"/>
      <w:r>
        <w:rPr>
          <w:rFonts w:hint="eastAsia" w:ascii="宋体" w:hAnsi="宋体" w:eastAsia="宋体" w:cs="宋体"/>
          <w:b/>
          <w:bCs/>
          <w:sz w:val="24"/>
          <w:szCs w:val="24"/>
        </w:rPr>
        <w:t>2.20 合同使用的文字和适用的法律</w:t>
      </w:r>
      <w:bookmarkEnd w:id="899"/>
      <w:bookmarkEnd w:id="900"/>
      <w:bookmarkEnd w:id="901"/>
      <w:bookmarkEnd w:id="902"/>
      <w:bookmarkEnd w:id="903"/>
      <w:bookmarkEnd w:id="904"/>
    </w:p>
    <w:p w14:paraId="7F3374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2.20.1 合同使用汉语书就、变更和解释；</w:t>
      </w:r>
    </w:p>
    <w:p w14:paraId="365AD5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2.20.2 合同适用中华人民共和国法律。</w:t>
      </w:r>
    </w:p>
    <w:p w14:paraId="1438F59B">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905" w:name="_Toc3148"/>
      <w:bookmarkStart w:id="906" w:name="_Toc259093693"/>
      <w:bookmarkStart w:id="907" w:name="_Toc279701264"/>
      <w:bookmarkStart w:id="908" w:name="_Toc16673"/>
      <w:bookmarkStart w:id="909" w:name="_Toc12004"/>
      <w:bookmarkStart w:id="910" w:name="_Toc487900374"/>
      <w:r>
        <w:rPr>
          <w:rFonts w:hint="eastAsia" w:ascii="宋体" w:hAnsi="宋体" w:eastAsia="宋体" w:cs="宋体"/>
          <w:b/>
          <w:bCs/>
          <w:sz w:val="24"/>
          <w:szCs w:val="24"/>
        </w:rPr>
        <w:t>2.21 履约保证金</w:t>
      </w:r>
      <w:bookmarkEnd w:id="905"/>
      <w:bookmarkEnd w:id="906"/>
      <w:bookmarkEnd w:id="907"/>
      <w:bookmarkEnd w:id="908"/>
      <w:bookmarkEnd w:id="909"/>
    </w:p>
    <w:p w14:paraId="7ECD7C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2.21.1 </w:t>
      </w:r>
      <w:r>
        <w:rPr>
          <w:rFonts w:hint="eastAsia" w:ascii="宋体" w:hAnsi="宋体" w:eastAsia="宋体" w:cs="宋体"/>
          <w:sz w:val="24"/>
          <w:lang w:eastAsia="zh-CN"/>
        </w:rPr>
        <w:t>招标文件</w:t>
      </w:r>
      <w:r>
        <w:rPr>
          <w:rFonts w:hint="eastAsia" w:ascii="宋体" w:hAnsi="宋体" w:eastAsia="宋体" w:cs="宋体"/>
          <w:sz w:val="24"/>
        </w:rPr>
        <w:t>要求乙方提交履约保证金的，乙方应按</w:t>
      </w:r>
      <w:r>
        <w:rPr>
          <w:rFonts w:hint="eastAsia" w:ascii="宋体" w:hAnsi="宋体" w:eastAsia="宋体" w:cs="宋体"/>
          <w:b/>
          <w:i w:val="0"/>
          <w:iCs/>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320659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i w:val="0"/>
          <w:iCs/>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  </w:t>
      </w:r>
      <w:r>
        <w:rPr>
          <w:rFonts w:hint="eastAsia" w:ascii="宋体" w:hAnsi="宋体" w:eastAsia="宋体" w:cs="宋体"/>
          <w:sz w:val="24"/>
        </w:rPr>
        <w:t>个工作日内，甲方应将履约保证金退还乙方；</w:t>
      </w:r>
    </w:p>
    <w:p w14:paraId="5C20B6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10"/>
    <w:p w14:paraId="4C5BD733">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eastAsia" w:ascii="宋体" w:hAnsi="宋体" w:eastAsia="宋体" w:cs="宋体"/>
          <w:b/>
          <w:bCs/>
          <w:sz w:val="24"/>
          <w:szCs w:val="24"/>
        </w:rPr>
      </w:pPr>
      <w:bookmarkStart w:id="911" w:name="_Toc6885"/>
      <w:bookmarkStart w:id="912" w:name="_Toc19890"/>
      <w:r>
        <w:rPr>
          <w:rFonts w:hint="eastAsia" w:ascii="宋体" w:hAnsi="宋体" w:eastAsia="宋体" w:cs="宋体"/>
          <w:b/>
          <w:bCs/>
          <w:sz w:val="24"/>
          <w:szCs w:val="24"/>
        </w:rPr>
        <w:t>2.22 合同份数</w:t>
      </w:r>
      <w:bookmarkEnd w:id="911"/>
      <w:bookmarkEnd w:id="912"/>
    </w:p>
    <w:p w14:paraId="4F7AB7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楷体" w:hAnsi="楷体" w:eastAsia="楷体"/>
          <w:sz w:val="24"/>
        </w:rPr>
      </w:pPr>
      <w:r>
        <w:rPr>
          <w:rFonts w:hint="eastAsia" w:ascii="宋体" w:hAnsi="宋体" w:eastAsia="宋体" w:cs="宋体"/>
          <w:sz w:val="24"/>
        </w:rPr>
        <w:t>合同份数按</w:t>
      </w:r>
      <w:r>
        <w:rPr>
          <w:rFonts w:hint="eastAsia" w:ascii="宋体" w:hAnsi="宋体" w:eastAsia="宋体" w:cs="宋体"/>
          <w:b/>
          <w:i w:val="0"/>
          <w:iCs/>
          <w:sz w:val="24"/>
          <w:u w:val="single"/>
        </w:rPr>
        <w:t>合同专用条款</w:t>
      </w:r>
      <w:r>
        <w:rPr>
          <w:rFonts w:hint="eastAsia" w:ascii="宋体" w:hAnsi="宋体" w:eastAsia="宋体" w:cs="宋体"/>
          <w:sz w:val="24"/>
        </w:rPr>
        <w:t>规定，每份均具有同等法律效力。</w:t>
      </w:r>
    </w:p>
    <w:p w14:paraId="7FD2030B">
      <w:pPr>
        <w:pageBreakBefore w:val="0"/>
        <w:widowControl w:val="0"/>
        <w:numPr>
          <w:ilvl w:val="0"/>
          <w:numId w:val="10"/>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lang w:val="zh-CN" w:eastAsia="zh-CN"/>
        </w:rPr>
      </w:pPr>
      <w:r>
        <w:rPr>
          <w:rFonts w:ascii="楷体" w:hAnsi="楷体" w:eastAsia="楷体"/>
          <w:szCs w:val="24"/>
        </w:rPr>
        <w:br w:type="page"/>
      </w:r>
      <w:bookmarkStart w:id="913" w:name="_Toc30216"/>
      <w:bookmarkStart w:id="914" w:name="_Toc15470"/>
      <w:bookmarkStart w:id="915" w:name="_Toc8472"/>
      <w:bookmarkStart w:id="916" w:name="_Toc331685784"/>
      <w:r>
        <w:rPr>
          <w:rFonts w:hint="eastAsia" w:ascii="楷体" w:hAnsi="楷体" w:eastAsia="楷体"/>
          <w:szCs w:val="24"/>
          <w:lang w:val="en-US" w:eastAsia="zh-CN"/>
        </w:rPr>
        <w:t xml:space="preserve"> </w:t>
      </w:r>
      <w:r>
        <w:rPr>
          <w:rFonts w:hint="eastAsia" w:ascii="宋体" w:hAnsi="宋体" w:eastAsia="宋体" w:cs="宋体"/>
          <w:b/>
          <w:sz w:val="28"/>
          <w:szCs w:val="28"/>
          <w:highlight w:val="none"/>
          <w:lang w:val="zh-CN" w:eastAsia="zh-CN"/>
        </w:rPr>
        <w:t>专用合同条款</w:t>
      </w:r>
      <w:bookmarkEnd w:id="913"/>
      <w:bookmarkEnd w:id="914"/>
      <w:bookmarkEnd w:id="915"/>
    </w:p>
    <w:p w14:paraId="7EF374B1">
      <w:pPr>
        <w:rPr>
          <w:rFonts w:ascii="楷体" w:hAnsi="楷体" w:eastAsia="楷体"/>
          <w:szCs w:val="24"/>
        </w:rPr>
      </w:pPr>
    </w:p>
    <w:bookmarkEnd w:id="916"/>
    <w:p w14:paraId="618525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2"/>
        <w:tblpPr w:leftFromText="180" w:rightFromText="180" w:vertAnchor="text" w:horzAnchor="page" w:tblpX="1681" w:tblpY="60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05"/>
        <w:gridCol w:w="7574"/>
      </w:tblGrid>
      <w:tr w14:paraId="7516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05" w:type="dxa"/>
            <w:tcBorders>
              <w:left w:val="single" w:color="auto" w:sz="4" w:space="0"/>
            </w:tcBorders>
            <w:noWrap w:val="0"/>
            <w:vAlign w:val="center"/>
          </w:tcPr>
          <w:p w14:paraId="6A4457D7">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条款号</w:t>
            </w:r>
          </w:p>
        </w:tc>
        <w:tc>
          <w:tcPr>
            <w:tcW w:w="7574" w:type="dxa"/>
            <w:noWrap w:val="0"/>
            <w:vAlign w:val="center"/>
          </w:tcPr>
          <w:p w14:paraId="0455B01A">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约定内容</w:t>
            </w:r>
          </w:p>
        </w:tc>
      </w:tr>
      <w:tr w14:paraId="4624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5" w:type="dxa"/>
            <w:tcBorders>
              <w:left w:val="single" w:color="auto" w:sz="4" w:space="0"/>
            </w:tcBorders>
            <w:noWrap w:val="0"/>
            <w:vAlign w:val="center"/>
          </w:tcPr>
          <w:p w14:paraId="3BD6026A">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2.3.2</w:t>
            </w:r>
          </w:p>
        </w:tc>
        <w:tc>
          <w:tcPr>
            <w:tcW w:w="7574" w:type="dxa"/>
            <w:noWrap w:val="0"/>
            <w:vAlign w:val="center"/>
          </w:tcPr>
          <w:p w14:paraId="2F0430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sz w:val="24"/>
                <w:szCs w:val="24"/>
              </w:rPr>
              <w:t>具有知识产权的货物的知识产权归属，</w:t>
            </w:r>
            <w:r>
              <w:rPr>
                <w:rFonts w:hint="eastAsia" w:ascii="宋体" w:hAnsi="宋体" w:eastAsia="宋体" w:cs="宋体"/>
                <w:sz w:val="24"/>
                <w:szCs w:val="24"/>
                <w:lang w:eastAsia="zh-CN"/>
              </w:rPr>
              <w:t>执行招标文件第二章“投标人须知”正文部分</w:t>
            </w:r>
            <w:r>
              <w:rPr>
                <w:rFonts w:hint="eastAsia" w:ascii="宋体" w:hAnsi="宋体" w:eastAsia="宋体" w:cs="宋体"/>
                <w:sz w:val="24"/>
                <w:szCs w:val="24"/>
                <w:lang w:val="en-US" w:eastAsia="zh-CN"/>
              </w:rPr>
              <w:t>1.10条内容规定</w:t>
            </w:r>
            <w:r>
              <w:rPr>
                <w:rFonts w:hint="eastAsia" w:ascii="宋体" w:hAnsi="宋体" w:eastAsia="宋体" w:cs="宋体"/>
                <w:sz w:val="24"/>
                <w:szCs w:val="24"/>
              </w:rPr>
              <w:t>。</w:t>
            </w:r>
          </w:p>
        </w:tc>
      </w:tr>
      <w:tr w14:paraId="0601D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5" w:type="dxa"/>
            <w:tcBorders>
              <w:left w:val="single" w:color="auto" w:sz="4" w:space="0"/>
            </w:tcBorders>
            <w:noWrap w:val="0"/>
            <w:vAlign w:val="center"/>
          </w:tcPr>
          <w:p w14:paraId="4CE546C0">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2.4.1</w:t>
            </w:r>
          </w:p>
        </w:tc>
        <w:tc>
          <w:tcPr>
            <w:tcW w:w="7574" w:type="dxa"/>
            <w:noWrap w:val="0"/>
            <w:vAlign w:val="center"/>
          </w:tcPr>
          <w:p w14:paraId="1CFFE8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eastAsia="zh-CN"/>
              </w:rPr>
            </w:pPr>
            <w:r>
              <w:rPr>
                <w:rFonts w:hint="eastAsia" w:ascii="宋体" w:hAnsi="宋体" w:eastAsia="宋体" w:cs="宋体"/>
                <w:sz w:val="24"/>
                <w:szCs w:val="24"/>
                <w:lang w:eastAsia="zh-CN"/>
              </w:rPr>
              <w:t>包装：</w:t>
            </w:r>
          </w:p>
        </w:tc>
      </w:tr>
      <w:tr w14:paraId="0E8F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5" w:type="dxa"/>
            <w:tcBorders>
              <w:left w:val="single" w:color="auto" w:sz="4" w:space="0"/>
            </w:tcBorders>
            <w:noWrap w:val="0"/>
            <w:vAlign w:val="center"/>
          </w:tcPr>
          <w:p w14:paraId="731DCF99">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2.4.2</w:t>
            </w:r>
          </w:p>
        </w:tc>
        <w:tc>
          <w:tcPr>
            <w:tcW w:w="7574" w:type="dxa"/>
            <w:noWrap w:val="0"/>
            <w:vAlign w:val="center"/>
          </w:tcPr>
          <w:p w14:paraId="4A70B9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eastAsia="zh-CN"/>
              </w:rPr>
            </w:pPr>
            <w:r>
              <w:rPr>
                <w:rFonts w:hint="eastAsia" w:ascii="宋体" w:hAnsi="宋体" w:eastAsia="宋体" w:cs="宋体"/>
                <w:sz w:val="24"/>
                <w:szCs w:val="24"/>
              </w:rPr>
              <w:t>装运货物的要求和通知</w:t>
            </w:r>
            <w:r>
              <w:rPr>
                <w:rFonts w:hint="eastAsia" w:ascii="宋体" w:hAnsi="宋体" w:eastAsia="宋体" w:cs="宋体"/>
                <w:sz w:val="24"/>
                <w:szCs w:val="24"/>
                <w:lang w:eastAsia="zh-CN"/>
              </w:rPr>
              <w:t>：</w:t>
            </w:r>
          </w:p>
        </w:tc>
      </w:tr>
      <w:tr w14:paraId="2A63B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5" w:type="dxa"/>
            <w:tcBorders>
              <w:left w:val="single" w:color="auto" w:sz="4" w:space="0"/>
            </w:tcBorders>
            <w:noWrap w:val="0"/>
            <w:vAlign w:val="center"/>
          </w:tcPr>
          <w:p w14:paraId="7F5DD968">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7574" w:type="dxa"/>
            <w:noWrap w:val="0"/>
            <w:vAlign w:val="center"/>
          </w:tcPr>
          <w:p w14:paraId="57291034">
            <w:pPr>
              <w:spacing w:line="560" w:lineRule="exact"/>
              <w:jc w:val="left"/>
              <w:rPr>
                <w:rFonts w:hint="eastAsia" w:ascii="宋体" w:hAnsi="宋体" w:eastAsia="宋体" w:cs="宋体"/>
                <w:sz w:val="24"/>
                <w:szCs w:val="24"/>
                <w:lang w:eastAsia="zh-CN"/>
              </w:rPr>
            </w:pPr>
            <w:r>
              <w:rPr>
                <w:rFonts w:hint="eastAsia" w:ascii="宋体" w:hAnsi="宋体" w:eastAsia="宋体" w:cs="宋体"/>
                <w:sz w:val="24"/>
                <w:szCs w:val="24"/>
              </w:rPr>
              <w:t>结算方式和付款条件</w:t>
            </w:r>
            <w:r>
              <w:rPr>
                <w:rFonts w:hint="eastAsia" w:ascii="宋体" w:hAnsi="宋体" w:eastAsia="宋体" w:cs="宋体"/>
                <w:sz w:val="24"/>
                <w:szCs w:val="24"/>
                <w:lang w:eastAsia="zh-CN"/>
              </w:rPr>
              <w:t>：执行招标文件第五章“采购需求”付款方式</w:t>
            </w:r>
            <w:r>
              <w:rPr>
                <w:rFonts w:hint="eastAsia" w:ascii="宋体" w:hAnsi="宋体" w:eastAsia="宋体" w:cs="宋体"/>
                <w:sz w:val="24"/>
                <w:szCs w:val="24"/>
                <w:lang w:val="en-US" w:eastAsia="zh-CN"/>
              </w:rPr>
              <w:t>内容</w:t>
            </w:r>
            <w:r>
              <w:rPr>
                <w:rFonts w:hint="eastAsia" w:ascii="宋体" w:hAnsi="宋体" w:eastAsia="宋体" w:cs="宋体"/>
                <w:sz w:val="24"/>
                <w:szCs w:val="24"/>
              </w:rPr>
              <w:t>。</w:t>
            </w:r>
          </w:p>
        </w:tc>
      </w:tr>
      <w:tr w14:paraId="3ADB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left w:val="single" w:color="auto" w:sz="4" w:space="0"/>
            </w:tcBorders>
            <w:noWrap w:val="0"/>
            <w:vAlign w:val="center"/>
          </w:tcPr>
          <w:p w14:paraId="3603AB26">
            <w:pPr>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7574" w:type="dxa"/>
            <w:noWrap w:val="0"/>
            <w:vAlign w:val="center"/>
          </w:tcPr>
          <w:p w14:paraId="785103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货物或者在途货物或者交付给第一承运人后的货物毁损、灭失的风险负担</w:t>
            </w:r>
            <w:r>
              <w:rPr>
                <w:rFonts w:hint="eastAsia" w:ascii="宋体" w:hAnsi="宋体" w:eastAsia="宋体" w:cs="宋体"/>
                <w:sz w:val="24"/>
                <w:szCs w:val="24"/>
                <w:lang w:eastAsia="zh-CN"/>
              </w:rPr>
              <w:t>：</w:t>
            </w:r>
          </w:p>
        </w:tc>
      </w:tr>
      <w:tr w14:paraId="270D2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left w:val="single" w:color="auto" w:sz="4" w:space="0"/>
            </w:tcBorders>
            <w:noWrap w:val="0"/>
            <w:vAlign w:val="center"/>
          </w:tcPr>
          <w:p w14:paraId="4BFDC18B">
            <w:pPr>
              <w:spacing w:line="560" w:lineRule="exact"/>
              <w:jc w:val="center"/>
              <w:rPr>
                <w:rFonts w:hint="eastAsia" w:ascii="宋体" w:hAnsi="宋体" w:eastAsia="宋体" w:cs="宋体"/>
                <w:b w:val="0"/>
                <w:bCs/>
                <w:sz w:val="24"/>
                <w:szCs w:val="24"/>
              </w:rPr>
            </w:pPr>
            <w:r>
              <w:rPr>
                <w:rFonts w:hint="eastAsia" w:ascii="宋体" w:hAnsi="宋体" w:eastAsia="宋体" w:cs="宋体"/>
                <w:sz w:val="24"/>
                <w:szCs w:val="24"/>
              </w:rPr>
              <w:t>2.13.3</w:t>
            </w:r>
          </w:p>
        </w:tc>
        <w:tc>
          <w:tcPr>
            <w:tcW w:w="7574" w:type="dxa"/>
            <w:noWrap w:val="0"/>
            <w:vAlign w:val="center"/>
          </w:tcPr>
          <w:p w14:paraId="13543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sz w:val="24"/>
                <w:szCs w:val="24"/>
              </w:rPr>
              <w:t>因不可抗力致使合同有变更必要的，双方当事人应在</w:t>
            </w:r>
            <w:r>
              <w:rPr>
                <w:rFonts w:hint="eastAsia" w:ascii="宋体" w:hAnsi="宋体" w:eastAsia="宋体" w:cs="宋体"/>
                <w:b/>
                <w:i/>
                <w:sz w:val="24"/>
                <w:szCs w:val="24"/>
                <w:u w:val="single"/>
                <w:lang w:val="en-US" w:eastAsia="zh-CN"/>
              </w:rPr>
              <w:t xml:space="preserve">            </w:t>
            </w:r>
            <w:r>
              <w:rPr>
                <w:rFonts w:hint="eastAsia" w:ascii="宋体" w:hAnsi="宋体" w:eastAsia="宋体" w:cs="宋体"/>
                <w:sz w:val="24"/>
                <w:szCs w:val="24"/>
              </w:rPr>
              <w:t>约定时间内以书面形式变更合同；</w:t>
            </w:r>
          </w:p>
        </w:tc>
      </w:tr>
      <w:tr w14:paraId="5744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5" w:type="dxa"/>
            <w:tcBorders>
              <w:left w:val="single" w:color="auto" w:sz="4" w:space="0"/>
            </w:tcBorders>
            <w:noWrap w:val="0"/>
            <w:vAlign w:val="center"/>
          </w:tcPr>
          <w:p w14:paraId="1E8D4DE5">
            <w:pPr>
              <w:spacing w:line="560" w:lineRule="exact"/>
              <w:jc w:val="center"/>
              <w:rPr>
                <w:rFonts w:hint="eastAsia" w:ascii="宋体" w:hAnsi="宋体" w:eastAsia="宋体" w:cs="宋体"/>
                <w:b w:val="0"/>
                <w:bCs/>
                <w:sz w:val="24"/>
                <w:szCs w:val="24"/>
              </w:rPr>
            </w:pPr>
            <w:r>
              <w:rPr>
                <w:rFonts w:hint="eastAsia" w:ascii="宋体" w:hAnsi="宋体" w:eastAsia="宋体" w:cs="宋体"/>
                <w:sz w:val="24"/>
                <w:szCs w:val="24"/>
              </w:rPr>
              <w:t>2.13.4</w:t>
            </w:r>
          </w:p>
        </w:tc>
        <w:tc>
          <w:tcPr>
            <w:tcW w:w="7574" w:type="dxa"/>
            <w:noWrap w:val="0"/>
            <w:vAlign w:val="center"/>
          </w:tcPr>
          <w:p w14:paraId="18FD53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u w:val="single"/>
              </w:rPr>
            </w:pPr>
            <w:r>
              <w:rPr>
                <w:rFonts w:hint="eastAsia" w:ascii="宋体" w:hAnsi="宋体" w:eastAsia="宋体" w:cs="宋体"/>
                <w:sz w:val="24"/>
                <w:szCs w:val="24"/>
              </w:rPr>
              <w:t>受不可抗力影响的一方在不可抗力发生后，应在</w:t>
            </w:r>
            <w:r>
              <w:rPr>
                <w:rFonts w:hint="eastAsia" w:ascii="宋体" w:hAnsi="宋体" w:eastAsia="宋体" w:cs="宋体"/>
                <w:b/>
                <w:i/>
                <w:sz w:val="24"/>
                <w:szCs w:val="24"/>
                <w:u w:val="single"/>
                <w:lang w:val="en-US" w:eastAsia="zh-CN"/>
              </w:rPr>
              <w:t xml:space="preserve">     </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lang w:val="en-US" w:eastAsia="zh-CN"/>
              </w:rPr>
              <w:t xml:space="preserve">   </w:t>
            </w:r>
            <w:r>
              <w:rPr>
                <w:rFonts w:hint="eastAsia" w:ascii="宋体" w:hAnsi="宋体" w:eastAsia="宋体" w:cs="宋体"/>
                <w:sz w:val="24"/>
                <w:szCs w:val="24"/>
              </w:rPr>
              <w:t>约定时间内，将有关部门出具的证明文件送达对方当事人。</w:t>
            </w:r>
          </w:p>
        </w:tc>
      </w:tr>
      <w:tr w14:paraId="3497F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left w:val="single" w:color="auto" w:sz="4" w:space="0"/>
            </w:tcBorders>
            <w:noWrap w:val="0"/>
            <w:vAlign w:val="center"/>
          </w:tcPr>
          <w:p w14:paraId="19D0E5DD">
            <w:pPr>
              <w:spacing w:line="560" w:lineRule="exact"/>
              <w:jc w:val="center"/>
              <w:rPr>
                <w:rFonts w:hint="eastAsia" w:ascii="宋体" w:hAnsi="宋体" w:eastAsia="宋体" w:cs="宋体"/>
                <w:b w:val="0"/>
                <w:bCs/>
                <w:sz w:val="24"/>
                <w:szCs w:val="24"/>
              </w:rPr>
            </w:pPr>
            <w:r>
              <w:rPr>
                <w:rFonts w:hint="eastAsia" w:ascii="宋体" w:hAnsi="宋体" w:eastAsia="宋体" w:cs="宋体"/>
                <w:sz w:val="24"/>
                <w:szCs w:val="24"/>
              </w:rPr>
              <w:t>2.17.1</w:t>
            </w:r>
          </w:p>
        </w:tc>
        <w:tc>
          <w:tcPr>
            <w:tcW w:w="7574" w:type="dxa"/>
            <w:noWrap w:val="0"/>
            <w:vAlign w:val="center"/>
          </w:tcPr>
          <w:p w14:paraId="7868B92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sz w:val="24"/>
                <w:szCs w:val="24"/>
              </w:rPr>
              <w:t>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u w:val="single"/>
                <w:lang w:val="en-US" w:eastAsia="zh-CN"/>
              </w:rPr>
              <w:t xml:space="preserve">           </w:t>
            </w:r>
            <w:r>
              <w:rPr>
                <w:rFonts w:hint="eastAsia" w:ascii="宋体" w:hAnsi="宋体" w:eastAsia="宋体" w:cs="宋体"/>
                <w:sz w:val="24"/>
                <w:szCs w:val="24"/>
              </w:rPr>
              <w:t>约定时间内组织验收，并可依法邀请相关方参加，验收应出具验收书。</w:t>
            </w:r>
          </w:p>
        </w:tc>
      </w:tr>
      <w:tr w14:paraId="51B52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left w:val="single" w:color="auto" w:sz="4" w:space="0"/>
            </w:tcBorders>
            <w:noWrap w:val="0"/>
            <w:vAlign w:val="center"/>
          </w:tcPr>
          <w:p w14:paraId="516E9632">
            <w:pPr>
              <w:spacing w:line="560" w:lineRule="exact"/>
              <w:jc w:val="center"/>
              <w:rPr>
                <w:rFonts w:hint="eastAsia" w:ascii="宋体" w:hAnsi="宋体" w:eastAsia="宋体" w:cs="宋体"/>
                <w:b w:val="0"/>
                <w:bCs/>
                <w:sz w:val="24"/>
                <w:szCs w:val="24"/>
              </w:rPr>
            </w:pPr>
            <w:r>
              <w:rPr>
                <w:rFonts w:hint="eastAsia" w:ascii="宋体" w:hAnsi="宋体" w:eastAsia="宋体" w:cs="宋体"/>
                <w:sz w:val="24"/>
                <w:szCs w:val="24"/>
              </w:rPr>
              <w:t>2.17.3</w:t>
            </w:r>
          </w:p>
        </w:tc>
        <w:tc>
          <w:tcPr>
            <w:tcW w:w="7574" w:type="dxa"/>
            <w:noWrap w:val="0"/>
            <w:vAlign w:val="center"/>
          </w:tcPr>
          <w:p w14:paraId="1C86BCA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eastAsia="zh-CN"/>
              </w:rPr>
            </w:pPr>
            <w:r>
              <w:rPr>
                <w:rFonts w:hint="eastAsia" w:ascii="宋体" w:hAnsi="宋体" w:eastAsia="宋体" w:cs="宋体"/>
                <w:sz w:val="24"/>
                <w:szCs w:val="24"/>
              </w:rPr>
              <w:t>检验和验收标准、程序等具体内容以及前述验收书的效力</w:t>
            </w:r>
            <w:r>
              <w:rPr>
                <w:rFonts w:hint="eastAsia" w:ascii="宋体" w:hAnsi="宋体" w:eastAsia="宋体" w:cs="宋体"/>
                <w:sz w:val="24"/>
                <w:szCs w:val="24"/>
                <w:lang w:eastAsia="zh-CN"/>
              </w:rPr>
              <w:t>：执行招标文件第五章“采购需求”验收要求</w:t>
            </w:r>
            <w:r>
              <w:rPr>
                <w:rFonts w:hint="eastAsia" w:ascii="宋体" w:hAnsi="宋体" w:eastAsia="宋体" w:cs="宋体"/>
                <w:sz w:val="24"/>
                <w:szCs w:val="24"/>
                <w:lang w:val="en-US" w:eastAsia="zh-CN"/>
              </w:rPr>
              <w:t>内容</w:t>
            </w:r>
            <w:r>
              <w:rPr>
                <w:rFonts w:hint="eastAsia" w:ascii="宋体" w:hAnsi="宋体" w:eastAsia="宋体" w:cs="宋体"/>
                <w:sz w:val="24"/>
                <w:szCs w:val="24"/>
              </w:rPr>
              <w:t>。</w:t>
            </w:r>
          </w:p>
        </w:tc>
      </w:tr>
      <w:tr w14:paraId="18D7C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left w:val="single" w:color="auto" w:sz="4" w:space="0"/>
            </w:tcBorders>
            <w:noWrap w:val="0"/>
            <w:vAlign w:val="center"/>
          </w:tcPr>
          <w:p w14:paraId="5A3A71E9">
            <w:pPr>
              <w:spacing w:line="560" w:lineRule="exact"/>
              <w:jc w:val="center"/>
              <w:rPr>
                <w:rFonts w:hint="eastAsia" w:ascii="宋体" w:hAnsi="宋体" w:eastAsia="宋体" w:cs="宋体"/>
                <w:b w:val="0"/>
                <w:bCs/>
                <w:sz w:val="24"/>
                <w:szCs w:val="24"/>
              </w:rPr>
            </w:pPr>
            <w:r>
              <w:rPr>
                <w:rFonts w:hint="eastAsia" w:ascii="宋体" w:hAnsi="宋体" w:eastAsia="宋体" w:cs="宋体"/>
                <w:sz w:val="24"/>
                <w:szCs w:val="24"/>
              </w:rPr>
              <w:t>2.21.1</w:t>
            </w:r>
          </w:p>
        </w:tc>
        <w:tc>
          <w:tcPr>
            <w:tcW w:w="7574" w:type="dxa"/>
            <w:noWrap w:val="0"/>
            <w:vAlign w:val="center"/>
          </w:tcPr>
          <w:p w14:paraId="7D1448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sz w:val="24"/>
                <w:szCs w:val="24"/>
                <w:lang w:eastAsia="zh-CN"/>
              </w:rPr>
              <w:t>招标文件</w:t>
            </w:r>
            <w:r>
              <w:rPr>
                <w:rFonts w:hint="eastAsia" w:ascii="宋体" w:hAnsi="宋体" w:eastAsia="宋体" w:cs="宋体"/>
                <w:sz w:val="24"/>
                <w:szCs w:val="24"/>
              </w:rPr>
              <w:t>要求乙方提交履约保证金的，乙方应按</w:t>
            </w:r>
            <w:r>
              <w:rPr>
                <w:rFonts w:hint="eastAsia" w:ascii="宋体" w:hAnsi="宋体" w:eastAsia="宋体" w:cs="宋体"/>
                <w:sz w:val="24"/>
                <w:szCs w:val="24"/>
                <w:lang w:eastAsia="zh-CN"/>
              </w:rPr>
              <w:t>招标文件</w:t>
            </w:r>
            <w:r>
              <w:rPr>
                <w:rFonts w:hint="eastAsia" w:ascii="宋体" w:hAnsi="宋体" w:eastAsia="宋体" w:cs="宋体"/>
                <w:sz w:val="24"/>
                <w:szCs w:val="24"/>
              </w:rPr>
              <w:t>约定的方式提交</w:t>
            </w:r>
          </w:p>
        </w:tc>
      </w:tr>
      <w:tr w14:paraId="73742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top w:val="single" w:color="auto" w:sz="6" w:space="0"/>
              <w:left w:val="single" w:color="auto" w:sz="4" w:space="0"/>
              <w:bottom w:val="single" w:color="auto" w:sz="6" w:space="0"/>
              <w:right w:val="single" w:color="auto" w:sz="6" w:space="0"/>
            </w:tcBorders>
            <w:noWrap w:val="0"/>
            <w:vAlign w:val="center"/>
          </w:tcPr>
          <w:p w14:paraId="5CA2A453">
            <w:pPr>
              <w:spacing w:line="560" w:lineRule="exact"/>
              <w:jc w:val="center"/>
              <w:rPr>
                <w:rFonts w:hint="eastAsia" w:ascii="宋体" w:hAnsi="宋体" w:eastAsia="宋体" w:cs="宋体"/>
                <w:b w:val="0"/>
                <w:bCs/>
                <w:sz w:val="24"/>
                <w:szCs w:val="24"/>
              </w:rPr>
            </w:pPr>
            <w:r>
              <w:rPr>
                <w:rFonts w:hint="eastAsia" w:ascii="宋体" w:hAnsi="宋体" w:eastAsia="宋体" w:cs="宋体"/>
                <w:sz w:val="24"/>
                <w:szCs w:val="24"/>
              </w:rPr>
              <w:t>2.21.2</w:t>
            </w:r>
          </w:p>
        </w:tc>
        <w:tc>
          <w:tcPr>
            <w:tcW w:w="7574" w:type="dxa"/>
            <w:tcBorders>
              <w:top w:val="single" w:color="auto" w:sz="6" w:space="0"/>
              <w:left w:val="single" w:color="auto" w:sz="6" w:space="0"/>
              <w:bottom w:val="single" w:color="auto" w:sz="6" w:space="0"/>
              <w:right w:val="single" w:color="auto" w:sz="6" w:space="0"/>
            </w:tcBorders>
            <w:noWrap w:val="0"/>
            <w:vAlign w:val="center"/>
          </w:tcPr>
          <w:p w14:paraId="69C9E5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sz w:val="24"/>
                <w:szCs w:val="24"/>
              </w:rPr>
              <w:t>履约保证金在</w:t>
            </w:r>
            <w:r>
              <w:rPr>
                <w:rFonts w:hint="eastAsia" w:ascii="宋体" w:hAnsi="宋体" w:eastAsia="宋体" w:cs="宋体"/>
                <w:b/>
                <w:i/>
                <w:sz w:val="24"/>
                <w:szCs w:val="24"/>
                <w:u w:val="single"/>
                <w:lang w:val="en-US" w:eastAsia="zh-CN"/>
              </w:rPr>
              <w:t xml:space="preserve">           </w:t>
            </w:r>
            <w:r>
              <w:rPr>
                <w:rFonts w:hint="eastAsia" w:ascii="宋体" w:hAnsi="宋体" w:eastAsia="宋体" w:cs="宋体"/>
                <w:sz w:val="24"/>
                <w:szCs w:val="24"/>
              </w:rPr>
              <w:t>约定期间内或者货物质量保证期内不予退还或者应完全有效，前述约定期间届满或者货物质量保证期届满之日起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个工作日内，甲方应将履约保证金退还乙方；</w:t>
            </w:r>
          </w:p>
        </w:tc>
      </w:tr>
      <w:tr w14:paraId="0C7C4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5" w:type="dxa"/>
            <w:tcBorders>
              <w:top w:val="single" w:color="auto" w:sz="6" w:space="0"/>
              <w:left w:val="single" w:color="auto" w:sz="4" w:space="0"/>
              <w:bottom w:val="single" w:color="auto" w:sz="6" w:space="0"/>
              <w:right w:val="single" w:color="auto" w:sz="6" w:space="0"/>
            </w:tcBorders>
            <w:noWrap w:val="0"/>
            <w:vAlign w:val="center"/>
          </w:tcPr>
          <w:p w14:paraId="20C6D06A">
            <w:pPr>
              <w:spacing w:line="560" w:lineRule="exact"/>
              <w:jc w:val="center"/>
              <w:rPr>
                <w:rFonts w:hint="default" w:ascii="宋体" w:hAnsi="宋体" w:eastAsia="宋体" w:cs="宋体"/>
                <w:b w:val="0"/>
                <w:bCs/>
                <w:sz w:val="24"/>
                <w:szCs w:val="24"/>
                <w:lang w:val="en-US" w:eastAsia="zh-CN"/>
              </w:rPr>
            </w:pPr>
            <w:r>
              <w:rPr>
                <w:rFonts w:hint="eastAsia" w:ascii="宋体" w:hAnsi="宋体" w:eastAsia="宋体" w:cs="宋体"/>
                <w:sz w:val="24"/>
                <w:szCs w:val="24"/>
                <w:lang w:val="en-US" w:eastAsia="zh-CN"/>
              </w:rPr>
              <w:t>2.22</w:t>
            </w:r>
          </w:p>
        </w:tc>
        <w:tc>
          <w:tcPr>
            <w:tcW w:w="7574" w:type="dxa"/>
            <w:tcBorders>
              <w:top w:val="single" w:color="auto" w:sz="6" w:space="0"/>
              <w:left w:val="single" w:color="auto" w:sz="6" w:space="0"/>
              <w:bottom w:val="single" w:color="auto" w:sz="6" w:space="0"/>
              <w:right w:val="single" w:color="auto" w:sz="6" w:space="0"/>
            </w:tcBorders>
            <w:noWrap w:val="0"/>
            <w:vAlign w:val="center"/>
          </w:tcPr>
          <w:p w14:paraId="0A6581CA">
            <w:pPr>
              <w:spacing w:line="560" w:lineRule="exact"/>
              <w:jc w:val="left"/>
              <w:rPr>
                <w:rFonts w:hint="eastAsia" w:ascii="宋体" w:hAnsi="宋体" w:eastAsia="宋体" w:cs="宋体"/>
                <w:b w:val="0"/>
                <w:bCs/>
                <w:sz w:val="24"/>
                <w:szCs w:val="24"/>
              </w:rPr>
            </w:pPr>
            <w:r>
              <w:rPr>
                <w:rFonts w:hint="eastAsia" w:ascii="宋体" w:hAnsi="宋体" w:eastAsia="宋体" w:cs="宋体"/>
                <w:sz w:val="24"/>
                <w:szCs w:val="24"/>
              </w:rPr>
              <w:t>合同份数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，每份均具有同等法律效力。</w:t>
            </w:r>
          </w:p>
        </w:tc>
      </w:tr>
    </w:tbl>
    <w:p w14:paraId="01D04953">
      <w:pPr>
        <w:spacing w:line="360" w:lineRule="auto"/>
        <w:jc w:val="both"/>
        <w:outlineLvl w:val="0"/>
        <w:rPr>
          <w:b/>
          <w:sz w:val="36"/>
          <w:szCs w:val="36"/>
        </w:rPr>
        <w:sectPr>
          <w:pgSz w:w="11907" w:h="16840"/>
          <w:pgMar w:top="1418" w:right="1134" w:bottom="1418" w:left="1701" w:header="1134" w:footer="1134" w:gutter="0"/>
          <w:cols w:space="720" w:num="1"/>
          <w:docGrid w:linePitch="462" w:charSpace="0"/>
        </w:sectPr>
      </w:pPr>
    </w:p>
    <w:p w14:paraId="3279C8BF">
      <w:pPr>
        <w:spacing w:line="360" w:lineRule="auto"/>
        <w:jc w:val="center"/>
        <w:outlineLvl w:val="0"/>
        <w:rPr>
          <w:b/>
          <w:sz w:val="24"/>
        </w:rPr>
      </w:pPr>
      <w:r>
        <w:rPr>
          <w:b/>
          <w:sz w:val="36"/>
          <w:szCs w:val="36"/>
        </w:rPr>
        <w:t>第</w:t>
      </w:r>
      <w:r>
        <w:rPr>
          <w:rFonts w:hint="eastAsia"/>
          <w:b/>
          <w:sz w:val="36"/>
          <w:szCs w:val="36"/>
          <w:lang w:eastAsia="zh-CN"/>
        </w:rPr>
        <w:t>七</w:t>
      </w:r>
      <w:r>
        <w:rPr>
          <w:b/>
          <w:sz w:val="36"/>
          <w:szCs w:val="36"/>
        </w:rPr>
        <w:t>章   投标文件格式</w:t>
      </w:r>
      <w:bookmarkEnd w:id="748"/>
    </w:p>
    <w:p w14:paraId="4BEFC1D2">
      <w:pPr>
        <w:tabs>
          <w:tab w:val="left" w:pos="900"/>
          <w:tab w:val="left" w:pos="1980"/>
        </w:tabs>
        <w:snapToGrid w:val="0"/>
        <w:spacing w:line="360" w:lineRule="auto"/>
        <w:ind w:left="142"/>
        <w:rPr>
          <w:b/>
          <w:sz w:val="24"/>
        </w:rPr>
      </w:pPr>
    </w:p>
    <w:p w14:paraId="79DDD13B">
      <w:pPr>
        <w:tabs>
          <w:tab w:val="left" w:pos="900"/>
          <w:tab w:val="left" w:pos="1980"/>
        </w:tabs>
        <w:snapToGrid w:val="0"/>
        <w:spacing w:line="360" w:lineRule="auto"/>
        <w:ind w:left="142"/>
        <w:rPr>
          <w:sz w:val="24"/>
        </w:rPr>
      </w:pPr>
      <w:r>
        <w:rPr>
          <w:b/>
          <w:sz w:val="24"/>
        </w:rPr>
        <w:t>投标人编制文件须知</w:t>
      </w:r>
    </w:p>
    <w:p w14:paraId="174D3EFE">
      <w:pPr>
        <w:tabs>
          <w:tab w:val="left" w:pos="900"/>
          <w:tab w:val="left" w:pos="1980"/>
        </w:tabs>
        <w:snapToGrid w:val="0"/>
        <w:spacing w:line="360" w:lineRule="auto"/>
        <w:ind w:left="142"/>
        <w:rPr>
          <w:sz w:val="24"/>
        </w:rPr>
      </w:pPr>
      <w:r>
        <w:rPr>
          <w:sz w:val="24"/>
        </w:rPr>
        <w:t>1、投标人按照本部分的顺序编制投标文件，编制中涉及格式资料的，应按照本部分提供的内容和格式（所有表格的格式可扩展）填写提交。</w:t>
      </w:r>
    </w:p>
    <w:p w14:paraId="7C1A8F82">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w:t>
      </w:r>
      <w:r>
        <w:rPr>
          <w:b w:val="0"/>
          <w:bCs w:val="0"/>
          <w:sz w:val="24"/>
        </w:rPr>
        <w:t>中给定的文字内容相矛盾的内容，不得对应当填写的空格不填写或不实质性响应，</w:t>
      </w:r>
      <w:r>
        <w:rPr>
          <w:b w:val="0"/>
          <w:bCs w:val="0"/>
          <w:kern w:val="0"/>
          <w:sz w:val="24"/>
        </w:rPr>
        <w:t>否则投标无效。未</w:t>
      </w:r>
      <w:r>
        <w:rPr>
          <w:kern w:val="0"/>
          <w:sz w:val="24"/>
        </w:rPr>
        <w:t>标记“实质性格式”</w:t>
      </w:r>
      <w:r>
        <w:rPr>
          <w:rFonts w:hint="eastAsia"/>
          <w:kern w:val="0"/>
          <w:sz w:val="24"/>
          <w:lang w:eastAsia="zh-CN"/>
        </w:rPr>
        <w:t>、</w:t>
      </w:r>
      <w:r>
        <w:rPr>
          <w:rFonts w:hint="eastAsia"/>
          <w:kern w:val="0"/>
          <w:sz w:val="24"/>
          <w:lang w:val="en-US" w:eastAsia="zh-CN"/>
        </w:rPr>
        <w:t>或标注的“非实施性格式”</w:t>
      </w:r>
      <w:r>
        <w:rPr>
          <w:kern w:val="0"/>
          <w:sz w:val="24"/>
        </w:rPr>
        <w:t>的文件和招标文件未提供格式的内容，可由投标人自行编写。</w:t>
      </w:r>
    </w:p>
    <w:p w14:paraId="2E21CEC6">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161986D6">
      <w:pPr>
        <w:widowControl/>
        <w:jc w:val="left"/>
        <w:rPr>
          <w:b/>
          <w:kern w:val="0"/>
          <w:sz w:val="30"/>
          <w:szCs w:val="20"/>
        </w:rPr>
      </w:pPr>
      <w:r>
        <w:rPr>
          <w:sz w:val="24"/>
        </w:rPr>
        <w:br w:type="page"/>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4D797BAF">
      <w:pPr>
        <w:rPr>
          <w:b/>
          <w:spacing w:val="20"/>
          <w:szCs w:val="21"/>
        </w:rPr>
      </w:pPr>
    </w:p>
    <w:p w14:paraId="68DEF134">
      <w:pPr>
        <w:rPr>
          <w:b/>
          <w:sz w:val="24"/>
        </w:rPr>
      </w:pPr>
      <w:r>
        <w:rPr>
          <w:b/>
          <w:spacing w:val="20"/>
          <w:sz w:val="24"/>
        </w:rPr>
        <w:t>投标文件</w:t>
      </w:r>
      <w:r>
        <w:rPr>
          <w:b/>
          <w:sz w:val="24"/>
        </w:rPr>
        <w:t>封面（实质性格式）</w:t>
      </w:r>
    </w:p>
    <w:p w14:paraId="256D1A38">
      <w:pPr>
        <w:jc w:val="center"/>
        <w:rPr>
          <w:szCs w:val="21"/>
        </w:rPr>
      </w:pPr>
    </w:p>
    <w:p w14:paraId="025DBE34">
      <w:pPr>
        <w:jc w:val="center"/>
        <w:rPr>
          <w:b/>
          <w:spacing w:val="60"/>
          <w:sz w:val="84"/>
          <w:szCs w:val="84"/>
        </w:rPr>
      </w:pPr>
      <w:r>
        <w:rPr>
          <w:b/>
          <w:spacing w:val="60"/>
          <w:sz w:val="84"/>
          <w:szCs w:val="84"/>
        </w:rPr>
        <w:t>投 标 文 件</w:t>
      </w:r>
    </w:p>
    <w:p w14:paraId="3DC1446D">
      <w:pPr>
        <w:jc w:val="center"/>
        <w:rPr>
          <w:b/>
          <w:spacing w:val="60"/>
          <w:sz w:val="52"/>
          <w:szCs w:val="52"/>
        </w:rPr>
      </w:pPr>
    </w:p>
    <w:p w14:paraId="0C628221">
      <w:pPr>
        <w:ind w:firstLine="542" w:firstLineChars="150"/>
        <w:rPr>
          <w:b/>
          <w:spacing w:val="20"/>
          <w:sz w:val="32"/>
          <w:szCs w:val="32"/>
        </w:rPr>
      </w:pPr>
    </w:p>
    <w:p w14:paraId="38F7AA32">
      <w:pPr>
        <w:pStyle w:val="2"/>
      </w:pPr>
    </w:p>
    <w:p w14:paraId="49E60080">
      <w:pPr>
        <w:ind w:firstLine="542" w:firstLineChars="150"/>
        <w:rPr>
          <w:b/>
          <w:spacing w:val="20"/>
          <w:sz w:val="32"/>
          <w:szCs w:val="32"/>
        </w:rPr>
      </w:pPr>
    </w:p>
    <w:p w14:paraId="783C1BA3">
      <w:pPr>
        <w:rPr>
          <w:b/>
          <w:spacing w:val="20"/>
          <w:sz w:val="32"/>
          <w:szCs w:val="32"/>
        </w:rPr>
      </w:pPr>
      <w:r>
        <w:rPr>
          <w:b/>
          <w:spacing w:val="20"/>
          <w:sz w:val="32"/>
          <w:szCs w:val="32"/>
        </w:rPr>
        <w:t>项目名称:</w:t>
      </w:r>
    </w:p>
    <w:p w14:paraId="754878DC">
      <w:pPr>
        <w:rPr>
          <w:b/>
          <w:spacing w:val="20"/>
          <w:sz w:val="32"/>
          <w:szCs w:val="32"/>
        </w:rPr>
      </w:pPr>
      <w:r>
        <w:rPr>
          <w:b/>
          <w:spacing w:val="20"/>
          <w:sz w:val="32"/>
          <w:szCs w:val="32"/>
        </w:rPr>
        <w:t>项目编号/包号：</w:t>
      </w:r>
    </w:p>
    <w:p w14:paraId="58DF59D9">
      <w:pPr>
        <w:ind w:firstLine="542" w:firstLineChars="150"/>
        <w:rPr>
          <w:b/>
          <w:spacing w:val="20"/>
          <w:sz w:val="32"/>
          <w:szCs w:val="32"/>
        </w:rPr>
      </w:pPr>
    </w:p>
    <w:p w14:paraId="512CB3EF">
      <w:pPr>
        <w:ind w:firstLine="542" w:firstLineChars="150"/>
        <w:rPr>
          <w:b/>
          <w:spacing w:val="20"/>
          <w:sz w:val="32"/>
          <w:szCs w:val="32"/>
        </w:rPr>
      </w:pPr>
    </w:p>
    <w:p w14:paraId="5A2EC6B8">
      <w:pPr>
        <w:jc w:val="center"/>
        <w:rPr>
          <w:b/>
          <w:sz w:val="32"/>
          <w:szCs w:val="32"/>
        </w:rPr>
      </w:pPr>
    </w:p>
    <w:p w14:paraId="61ED94BB">
      <w:pPr>
        <w:jc w:val="center"/>
        <w:rPr>
          <w:b/>
          <w:sz w:val="32"/>
          <w:szCs w:val="32"/>
        </w:rPr>
      </w:pPr>
    </w:p>
    <w:p w14:paraId="5E93F423">
      <w:pPr>
        <w:jc w:val="center"/>
        <w:rPr>
          <w:b/>
          <w:sz w:val="32"/>
          <w:szCs w:val="32"/>
        </w:rPr>
      </w:pPr>
    </w:p>
    <w:p w14:paraId="7CCAA5C5">
      <w:pPr>
        <w:jc w:val="center"/>
        <w:rPr>
          <w:b/>
          <w:spacing w:val="20"/>
          <w:sz w:val="32"/>
          <w:szCs w:val="32"/>
        </w:rPr>
      </w:pPr>
    </w:p>
    <w:p w14:paraId="7A87E197">
      <w:pPr>
        <w:jc w:val="center"/>
        <w:rPr>
          <w:b/>
          <w:spacing w:val="20"/>
          <w:sz w:val="32"/>
          <w:szCs w:val="32"/>
        </w:rPr>
      </w:pPr>
    </w:p>
    <w:p w14:paraId="0687B931">
      <w:pPr>
        <w:jc w:val="center"/>
        <w:rPr>
          <w:b/>
          <w:spacing w:val="20"/>
          <w:sz w:val="32"/>
          <w:szCs w:val="32"/>
        </w:rPr>
      </w:pPr>
    </w:p>
    <w:p w14:paraId="66BB5DDB">
      <w:pPr>
        <w:spacing w:line="360" w:lineRule="auto"/>
        <w:jc w:val="left"/>
        <w:rPr>
          <w:b/>
          <w:spacing w:val="20"/>
          <w:sz w:val="32"/>
          <w:szCs w:val="32"/>
        </w:rPr>
      </w:pPr>
      <w:r>
        <w:rPr>
          <w:b/>
          <w:spacing w:val="20"/>
          <w:sz w:val="32"/>
          <w:szCs w:val="32"/>
        </w:rPr>
        <w:t>投标人名称：</w:t>
      </w:r>
    </w:p>
    <w:p w14:paraId="5AAF428B">
      <w:pPr>
        <w:jc w:val="center"/>
        <w:rPr>
          <w:b/>
          <w:sz w:val="32"/>
          <w:szCs w:val="32"/>
        </w:rPr>
      </w:pPr>
    </w:p>
    <w:p w14:paraId="24AFB16C">
      <w:pPr>
        <w:spacing w:line="360" w:lineRule="auto"/>
        <w:outlineLvl w:val="9"/>
        <w:rPr>
          <w:color w:val="000000"/>
          <w:sz w:val="24"/>
          <w:szCs w:val="20"/>
        </w:rPr>
      </w:pPr>
    </w:p>
    <w:p w14:paraId="2C4B2792">
      <w:pPr>
        <w:pStyle w:val="2"/>
        <w:rPr>
          <w:color w:val="000000"/>
          <w:sz w:val="24"/>
          <w:szCs w:val="20"/>
        </w:rPr>
      </w:pPr>
    </w:p>
    <w:p w14:paraId="714CB5E3">
      <w:pPr>
        <w:rPr>
          <w:color w:val="000000"/>
          <w:sz w:val="24"/>
          <w:szCs w:val="20"/>
        </w:rPr>
      </w:pPr>
    </w:p>
    <w:p w14:paraId="728231F8">
      <w:pPr>
        <w:pStyle w:val="2"/>
        <w:rPr>
          <w:color w:val="000000"/>
          <w:sz w:val="24"/>
          <w:szCs w:val="20"/>
        </w:rPr>
      </w:pPr>
    </w:p>
    <w:p w14:paraId="34D586B4">
      <w:pPr>
        <w:rPr>
          <w:color w:val="000000"/>
          <w:sz w:val="24"/>
          <w:szCs w:val="20"/>
        </w:rPr>
      </w:pPr>
    </w:p>
    <w:p w14:paraId="3338C0F7">
      <w:pPr>
        <w:pStyle w:val="2"/>
        <w:rPr>
          <w:color w:val="000000"/>
          <w:sz w:val="24"/>
          <w:szCs w:val="20"/>
        </w:rPr>
      </w:pPr>
    </w:p>
    <w:p w14:paraId="1DAE40D3">
      <w:pPr>
        <w:rPr>
          <w:color w:val="000000"/>
          <w:sz w:val="24"/>
          <w:szCs w:val="20"/>
        </w:rPr>
      </w:pPr>
    </w:p>
    <w:p w14:paraId="1D907E4E">
      <w:pPr>
        <w:pStyle w:val="2"/>
        <w:rPr>
          <w:color w:val="000000"/>
          <w:sz w:val="24"/>
          <w:szCs w:val="20"/>
        </w:rPr>
      </w:pPr>
    </w:p>
    <w:p w14:paraId="3E103993">
      <w:pPr>
        <w:rPr>
          <w:color w:val="000000"/>
          <w:sz w:val="24"/>
          <w:szCs w:val="20"/>
        </w:rPr>
      </w:pPr>
    </w:p>
    <w:p w14:paraId="432A878A">
      <w:pPr>
        <w:pStyle w:val="2"/>
        <w:rPr>
          <w:color w:val="000000"/>
          <w:sz w:val="24"/>
          <w:szCs w:val="20"/>
        </w:rPr>
      </w:pPr>
    </w:p>
    <w:p w14:paraId="470717F1">
      <w:pPr>
        <w:rPr>
          <w:color w:val="000000"/>
          <w:sz w:val="24"/>
          <w:szCs w:val="20"/>
        </w:rPr>
      </w:pPr>
    </w:p>
    <w:p w14:paraId="036E093F">
      <w:pPr>
        <w:pStyle w:val="2"/>
        <w:rPr>
          <w:color w:val="000000"/>
          <w:sz w:val="24"/>
          <w:szCs w:val="20"/>
        </w:rPr>
      </w:pPr>
    </w:p>
    <w:p w14:paraId="748C80F0">
      <w:pPr>
        <w:rPr>
          <w:color w:val="000000"/>
          <w:sz w:val="24"/>
          <w:szCs w:val="20"/>
        </w:rPr>
      </w:pPr>
    </w:p>
    <w:p w14:paraId="69DC27F3">
      <w:pPr>
        <w:pStyle w:val="2"/>
        <w:rPr>
          <w:color w:val="000000"/>
          <w:sz w:val="24"/>
          <w:szCs w:val="20"/>
        </w:rPr>
      </w:pPr>
    </w:p>
    <w:p w14:paraId="578D67FE">
      <w:pPr>
        <w:rPr>
          <w:color w:val="000000"/>
          <w:sz w:val="24"/>
          <w:szCs w:val="20"/>
        </w:rPr>
      </w:pPr>
    </w:p>
    <w:p w14:paraId="4762B34B">
      <w:pPr>
        <w:pStyle w:val="2"/>
        <w:rPr>
          <w:color w:val="000000"/>
          <w:sz w:val="24"/>
          <w:szCs w:val="20"/>
        </w:rPr>
      </w:pPr>
    </w:p>
    <w:p w14:paraId="47F295E6">
      <w:pPr>
        <w:pStyle w:val="2"/>
        <w:ind w:left="0" w:leftChars="0" w:firstLine="0" w:firstLineChars="0"/>
      </w:pPr>
    </w:p>
    <w:p w14:paraId="453113F8">
      <w:pPr>
        <w:spacing w:line="360" w:lineRule="auto"/>
        <w:outlineLvl w:val="9"/>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投标人资格声明书（实质性格式）</w:t>
      </w:r>
    </w:p>
    <w:p w14:paraId="79017961">
      <w:pPr>
        <w:jc w:val="center"/>
        <w:rPr>
          <w:b/>
          <w:color w:val="000000"/>
          <w:sz w:val="36"/>
          <w:szCs w:val="36"/>
        </w:rPr>
      </w:pPr>
      <w:r>
        <w:rPr>
          <w:rFonts w:hint="eastAsia"/>
          <w:b/>
          <w:color w:val="000000"/>
          <w:sz w:val="36"/>
          <w:szCs w:val="36"/>
        </w:rPr>
        <w:t>投标人资格声明书</w:t>
      </w:r>
    </w:p>
    <w:p w14:paraId="31E5A541">
      <w:pPr>
        <w:tabs>
          <w:tab w:val="left" w:pos="5580"/>
        </w:tabs>
        <w:spacing w:line="360" w:lineRule="auto"/>
        <w:rPr>
          <w:sz w:val="24"/>
        </w:rPr>
      </w:pPr>
      <w:r>
        <w:rPr>
          <w:sz w:val="24"/>
        </w:rPr>
        <w:t>致：</w:t>
      </w:r>
      <w:r>
        <w:rPr>
          <w:rFonts w:hint="eastAsia"/>
          <w:sz w:val="24"/>
          <w:u w:val="single"/>
          <w:lang w:eastAsia="zh-CN"/>
        </w:rPr>
        <w:t>招标人</w:t>
      </w:r>
      <w:r>
        <w:rPr>
          <w:sz w:val="24"/>
          <w:u w:val="single"/>
        </w:rPr>
        <w:t>或</w:t>
      </w:r>
      <w:r>
        <w:rPr>
          <w:rFonts w:hint="eastAsia"/>
          <w:sz w:val="24"/>
          <w:u w:val="single"/>
          <w:lang w:eastAsia="zh-CN"/>
        </w:rPr>
        <w:t>招标</w:t>
      </w:r>
      <w:r>
        <w:rPr>
          <w:sz w:val="24"/>
          <w:u w:val="single"/>
        </w:rPr>
        <w:t>代理机构</w:t>
      </w:r>
    </w:p>
    <w:p w14:paraId="2FB8DCE2">
      <w:pPr>
        <w:spacing w:line="360" w:lineRule="auto"/>
        <w:ind w:firstLine="480" w:firstLineChars="200"/>
        <w:rPr>
          <w:sz w:val="24"/>
        </w:rPr>
      </w:pPr>
      <w:r>
        <w:rPr>
          <w:sz w:val="24"/>
        </w:rPr>
        <w:t>在参与本次项目投标中，我单位承诺：</w:t>
      </w:r>
    </w:p>
    <w:p w14:paraId="1B0F50F5">
      <w:pPr>
        <w:numPr>
          <w:ilvl w:val="0"/>
          <w:numId w:val="11"/>
        </w:numPr>
        <w:spacing w:line="360" w:lineRule="auto"/>
        <w:ind w:left="1134"/>
        <w:rPr>
          <w:sz w:val="24"/>
          <w:szCs w:val="22"/>
        </w:rPr>
      </w:pPr>
      <w:r>
        <w:rPr>
          <w:sz w:val="24"/>
          <w:szCs w:val="22"/>
        </w:rPr>
        <w:t>具有良好的商业信誉和健全的财务会计制度；</w:t>
      </w:r>
    </w:p>
    <w:p w14:paraId="31A14BB3">
      <w:pPr>
        <w:numPr>
          <w:ilvl w:val="0"/>
          <w:numId w:val="11"/>
        </w:numPr>
        <w:spacing w:line="360" w:lineRule="auto"/>
        <w:ind w:left="1134"/>
        <w:rPr>
          <w:sz w:val="24"/>
          <w:szCs w:val="22"/>
        </w:rPr>
      </w:pPr>
      <w:r>
        <w:rPr>
          <w:sz w:val="24"/>
          <w:szCs w:val="22"/>
        </w:rPr>
        <w:t>具有履行合同所必需的设备和专业技术能力；</w:t>
      </w:r>
    </w:p>
    <w:p w14:paraId="2335ED30">
      <w:pPr>
        <w:numPr>
          <w:ilvl w:val="0"/>
          <w:numId w:val="11"/>
        </w:numPr>
        <w:spacing w:line="360" w:lineRule="auto"/>
        <w:ind w:left="1134"/>
        <w:rPr>
          <w:sz w:val="24"/>
          <w:szCs w:val="22"/>
        </w:rPr>
      </w:pPr>
      <w:r>
        <w:rPr>
          <w:sz w:val="24"/>
          <w:szCs w:val="22"/>
        </w:rPr>
        <w:t>有依法缴纳税收和社会保障资金的良好记录；</w:t>
      </w:r>
    </w:p>
    <w:p w14:paraId="3768FCAD">
      <w:pPr>
        <w:numPr>
          <w:ilvl w:val="0"/>
          <w:numId w:val="1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00E743">
      <w:pPr>
        <w:numPr>
          <w:ilvl w:val="0"/>
          <w:numId w:val="1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66CADB9">
      <w:pPr>
        <w:numPr>
          <w:ilvl w:val="0"/>
          <w:numId w:val="1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869C414">
      <w:pPr>
        <w:numPr>
          <w:ilvl w:val="0"/>
          <w:numId w:val="1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C267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A873512">
            <w:pPr>
              <w:jc w:val="center"/>
              <w:rPr>
                <w:sz w:val="24"/>
              </w:rPr>
            </w:pPr>
            <w:r>
              <w:rPr>
                <w:sz w:val="24"/>
              </w:rPr>
              <w:t>序号</w:t>
            </w:r>
          </w:p>
        </w:tc>
        <w:tc>
          <w:tcPr>
            <w:tcW w:w="4574" w:type="dxa"/>
            <w:noWrap w:val="0"/>
            <w:vAlign w:val="center"/>
          </w:tcPr>
          <w:p w14:paraId="19C6CA68">
            <w:pPr>
              <w:jc w:val="center"/>
              <w:rPr>
                <w:sz w:val="24"/>
              </w:rPr>
            </w:pPr>
            <w:r>
              <w:rPr>
                <w:sz w:val="24"/>
              </w:rPr>
              <w:t>单位名称</w:t>
            </w:r>
          </w:p>
        </w:tc>
        <w:tc>
          <w:tcPr>
            <w:tcW w:w="2976" w:type="dxa"/>
            <w:noWrap w:val="0"/>
            <w:vAlign w:val="center"/>
          </w:tcPr>
          <w:p w14:paraId="7A083DE9">
            <w:pPr>
              <w:jc w:val="center"/>
              <w:rPr>
                <w:sz w:val="24"/>
              </w:rPr>
            </w:pPr>
            <w:r>
              <w:rPr>
                <w:sz w:val="24"/>
              </w:rPr>
              <w:t>相互关系</w:t>
            </w:r>
          </w:p>
        </w:tc>
      </w:tr>
      <w:tr w14:paraId="0894E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EEEBE72">
            <w:pPr>
              <w:jc w:val="center"/>
              <w:rPr>
                <w:sz w:val="24"/>
              </w:rPr>
            </w:pPr>
            <w:r>
              <w:rPr>
                <w:sz w:val="24"/>
              </w:rPr>
              <w:t>1</w:t>
            </w:r>
          </w:p>
        </w:tc>
        <w:tc>
          <w:tcPr>
            <w:tcW w:w="4574" w:type="dxa"/>
            <w:noWrap w:val="0"/>
            <w:vAlign w:val="center"/>
          </w:tcPr>
          <w:p w14:paraId="26F75B5C">
            <w:pPr>
              <w:jc w:val="center"/>
              <w:rPr>
                <w:sz w:val="24"/>
              </w:rPr>
            </w:pPr>
          </w:p>
        </w:tc>
        <w:tc>
          <w:tcPr>
            <w:tcW w:w="2976" w:type="dxa"/>
            <w:noWrap w:val="0"/>
            <w:vAlign w:val="center"/>
          </w:tcPr>
          <w:p w14:paraId="7CE3171A">
            <w:pPr>
              <w:jc w:val="center"/>
              <w:rPr>
                <w:sz w:val="24"/>
              </w:rPr>
            </w:pPr>
          </w:p>
        </w:tc>
      </w:tr>
      <w:tr w14:paraId="0661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1E67D63">
            <w:pPr>
              <w:jc w:val="center"/>
              <w:rPr>
                <w:sz w:val="24"/>
              </w:rPr>
            </w:pPr>
            <w:r>
              <w:rPr>
                <w:sz w:val="24"/>
              </w:rPr>
              <w:t>2</w:t>
            </w:r>
          </w:p>
        </w:tc>
        <w:tc>
          <w:tcPr>
            <w:tcW w:w="4574" w:type="dxa"/>
            <w:noWrap w:val="0"/>
            <w:vAlign w:val="center"/>
          </w:tcPr>
          <w:p w14:paraId="1FA307F0">
            <w:pPr>
              <w:jc w:val="center"/>
              <w:rPr>
                <w:sz w:val="24"/>
              </w:rPr>
            </w:pPr>
          </w:p>
        </w:tc>
        <w:tc>
          <w:tcPr>
            <w:tcW w:w="2976" w:type="dxa"/>
            <w:noWrap w:val="0"/>
            <w:vAlign w:val="center"/>
          </w:tcPr>
          <w:p w14:paraId="49B44D8D">
            <w:pPr>
              <w:jc w:val="center"/>
              <w:rPr>
                <w:sz w:val="24"/>
              </w:rPr>
            </w:pPr>
          </w:p>
        </w:tc>
      </w:tr>
      <w:tr w14:paraId="45CA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0F1E395">
            <w:pPr>
              <w:jc w:val="center"/>
              <w:rPr>
                <w:sz w:val="24"/>
              </w:rPr>
            </w:pPr>
            <w:r>
              <w:rPr>
                <w:sz w:val="24"/>
              </w:rPr>
              <w:t>…</w:t>
            </w:r>
          </w:p>
        </w:tc>
        <w:tc>
          <w:tcPr>
            <w:tcW w:w="4574" w:type="dxa"/>
            <w:noWrap w:val="0"/>
            <w:vAlign w:val="center"/>
          </w:tcPr>
          <w:p w14:paraId="3633CF09">
            <w:pPr>
              <w:jc w:val="center"/>
              <w:rPr>
                <w:sz w:val="24"/>
              </w:rPr>
            </w:pPr>
          </w:p>
        </w:tc>
        <w:tc>
          <w:tcPr>
            <w:tcW w:w="2976" w:type="dxa"/>
            <w:noWrap w:val="0"/>
            <w:vAlign w:val="center"/>
          </w:tcPr>
          <w:p w14:paraId="5D3D45A1">
            <w:pPr>
              <w:jc w:val="center"/>
              <w:rPr>
                <w:sz w:val="24"/>
              </w:rPr>
            </w:pPr>
          </w:p>
        </w:tc>
      </w:tr>
    </w:tbl>
    <w:p w14:paraId="5EC3BC28"/>
    <w:p w14:paraId="270B68D0">
      <w:pPr>
        <w:ind w:firstLine="480" w:firstLineChars="200"/>
        <w:rPr>
          <w:sz w:val="24"/>
          <w:szCs w:val="22"/>
        </w:rPr>
      </w:pPr>
      <w:r>
        <w:rPr>
          <w:sz w:val="24"/>
        </w:rPr>
        <w:t>上述声明真实有效，否则我方负全部责任。</w:t>
      </w:r>
    </w:p>
    <w:p w14:paraId="272248E2">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4874F57F">
      <w:pPr>
        <w:spacing w:line="360" w:lineRule="auto"/>
        <w:ind w:right="360" w:firstLine="480"/>
        <w:jc w:val="right"/>
        <w:rPr>
          <w:sz w:val="24"/>
        </w:rPr>
      </w:pPr>
      <w:r>
        <w:rPr>
          <w:color w:val="000000"/>
          <w:sz w:val="24"/>
          <w:szCs w:val="20"/>
        </w:rPr>
        <w:t xml:space="preserve">日期：_____年______月______日   </w:t>
      </w:r>
    </w:p>
    <w:p w14:paraId="4EE61FA9">
      <w:pPr>
        <w:spacing w:line="360" w:lineRule="auto"/>
        <w:rPr>
          <w:sz w:val="24"/>
        </w:rPr>
      </w:pPr>
      <w:r>
        <w:rPr>
          <w:sz w:val="24"/>
        </w:rPr>
        <w:t>说明：</w:t>
      </w:r>
      <w:r>
        <w:rPr>
          <w:rFonts w:hint="eastAsia"/>
          <w:sz w:val="24"/>
          <w:lang w:eastAsia="zh-CN"/>
        </w:rPr>
        <w:t>投标人</w:t>
      </w:r>
      <w:r>
        <w:rPr>
          <w:rFonts w:hint="eastAsia"/>
          <w:sz w:val="24"/>
        </w:rPr>
        <w:t>承诺不实的，依据《政府采购法》第七十七条“提供虚假材料谋取中标、成交的”有关规定予以处理</w:t>
      </w:r>
      <w:r>
        <w:rPr>
          <w:sz w:val="24"/>
        </w:rPr>
        <w:t>。</w:t>
      </w:r>
    </w:p>
    <w:p w14:paraId="490C429E">
      <w:pPr>
        <w:tabs>
          <w:tab w:val="left" w:pos="5580"/>
        </w:tabs>
        <w:spacing w:line="360" w:lineRule="auto"/>
        <w:rPr>
          <w:sz w:val="24"/>
        </w:rPr>
        <w:sectPr>
          <w:pgSz w:w="11907" w:h="16840"/>
          <w:pgMar w:top="1418" w:right="1134" w:bottom="1418" w:left="1701" w:header="1134" w:footer="1134" w:gutter="0"/>
          <w:cols w:space="720" w:num="1"/>
          <w:docGrid w:linePitch="462" w:charSpace="0"/>
        </w:sectPr>
      </w:pPr>
    </w:p>
    <w:p w14:paraId="6E27D769">
      <w:pPr>
        <w:spacing w:line="360" w:lineRule="auto"/>
        <w:outlineLvl w:val="2"/>
        <w:rPr>
          <w:color w:val="000000"/>
          <w:sz w:val="24"/>
          <w:szCs w:val="20"/>
        </w:rPr>
      </w:pPr>
      <w:r>
        <w:rPr>
          <w:color w:val="000000"/>
          <w:sz w:val="24"/>
          <w:szCs w:val="20"/>
        </w:rPr>
        <w:t>落实政府采购政策需满足的资格要求（如有）</w:t>
      </w:r>
    </w:p>
    <w:p w14:paraId="111230FB">
      <w:pPr>
        <w:spacing w:line="360" w:lineRule="auto"/>
        <w:outlineLvl w:val="9"/>
        <w:rPr>
          <w:color w:val="000000"/>
          <w:sz w:val="24"/>
          <w:szCs w:val="20"/>
        </w:rPr>
      </w:pPr>
      <w:r>
        <w:rPr>
          <w:color w:val="000000"/>
          <w:sz w:val="24"/>
          <w:szCs w:val="20"/>
        </w:rPr>
        <w:t>2-1中小企业声明函</w:t>
      </w:r>
    </w:p>
    <w:p w14:paraId="2D43E85A">
      <w:pPr>
        <w:tabs>
          <w:tab w:val="left" w:pos="5580"/>
        </w:tabs>
        <w:spacing w:line="360" w:lineRule="auto"/>
        <w:rPr>
          <w:sz w:val="24"/>
        </w:rPr>
      </w:pPr>
    </w:p>
    <w:p w14:paraId="6C718896">
      <w:pPr>
        <w:tabs>
          <w:tab w:val="left" w:pos="5580"/>
        </w:tabs>
        <w:spacing w:line="360" w:lineRule="auto"/>
        <w:rPr>
          <w:sz w:val="24"/>
        </w:rPr>
      </w:pPr>
      <w:r>
        <w:rPr>
          <w:sz w:val="24"/>
        </w:rPr>
        <w:t>说明：</w:t>
      </w:r>
    </w:p>
    <w:p w14:paraId="73E72C13">
      <w:pPr>
        <w:tabs>
          <w:tab w:val="left" w:pos="5580"/>
        </w:tabs>
        <w:spacing w:line="360" w:lineRule="auto"/>
        <w:rPr>
          <w:sz w:val="24"/>
        </w:rPr>
      </w:pPr>
      <w:r>
        <w:rPr>
          <w:sz w:val="24"/>
        </w:rPr>
        <w:t>（1）如本项目（包）不专门面向中小企业预留采购份额，</w:t>
      </w:r>
      <w:r>
        <w:rPr>
          <w:rFonts w:hint="eastAsia"/>
          <w:sz w:val="24"/>
        </w:rPr>
        <w:t>资格证明文件部分</w:t>
      </w:r>
      <w:r>
        <w:rPr>
          <w:sz w:val="24"/>
        </w:rPr>
        <w:t>无需提供《中小企业声明函》。</w:t>
      </w:r>
    </w:p>
    <w:p w14:paraId="5943528F">
      <w:pPr>
        <w:tabs>
          <w:tab w:val="left" w:pos="5580"/>
        </w:tabs>
        <w:spacing w:line="360" w:lineRule="auto"/>
        <w:rPr>
          <w:sz w:val="24"/>
        </w:rPr>
      </w:pPr>
      <w:r>
        <w:rPr>
          <w:sz w:val="24"/>
        </w:rPr>
        <w:t>（2）如本项目（包）专门面向中小/小微企业采购，须提供《中小企业声明函》</w:t>
      </w:r>
      <w:r>
        <w:rPr>
          <w:color w:val="000000"/>
          <w:sz w:val="24"/>
          <w:szCs w:val="20"/>
        </w:rPr>
        <w:t>（实质性格式）</w:t>
      </w:r>
      <w:r>
        <w:rPr>
          <w:sz w:val="24"/>
        </w:rPr>
        <w:t>。</w:t>
      </w:r>
    </w:p>
    <w:p w14:paraId="2BD45C97">
      <w:pPr>
        <w:tabs>
          <w:tab w:val="left" w:pos="5580"/>
        </w:tabs>
        <w:spacing w:line="360" w:lineRule="auto"/>
        <w:rPr>
          <w:sz w:val="24"/>
        </w:rPr>
      </w:pPr>
      <w:r>
        <w:rPr>
          <w:sz w:val="24"/>
        </w:rPr>
        <w:t>（3）如本项目（包）预留部分采购项目预算专门面向中小企业采购，要求</w:t>
      </w:r>
      <w:r>
        <w:rPr>
          <w:rFonts w:hint="eastAsia"/>
          <w:sz w:val="24"/>
          <w:lang w:eastAsia="zh-CN"/>
        </w:rPr>
        <w:t>投标人</w:t>
      </w:r>
      <w:r>
        <w:rPr>
          <w:sz w:val="24"/>
        </w:rPr>
        <w:t>以联合体形式参加采购活动，且联合体中中小企业承担的部分达到一定比例的，须提供《联合协议》；要求获得采购合同的</w:t>
      </w:r>
      <w:r>
        <w:rPr>
          <w:rFonts w:hint="eastAsia"/>
          <w:sz w:val="24"/>
          <w:lang w:eastAsia="zh-CN"/>
        </w:rPr>
        <w:t>投标人</w:t>
      </w:r>
      <w:r>
        <w:rPr>
          <w:sz w:val="24"/>
        </w:rPr>
        <w:t>将采购项目中的一定比例分包给一家或者多家中小企业的，须提供《拟分包情况说明及分包意向协议（类型一）》。</w:t>
      </w:r>
    </w:p>
    <w:p w14:paraId="40F288A7">
      <w:pPr>
        <w:tabs>
          <w:tab w:val="left" w:pos="5580"/>
        </w:tabs>
        <w:spacing w:line="360" w:lineRule="auto"/>
        <w:rPr>
          <w:sz w:val="24"/>
        </w:rPr>
      </w:pPr>
      <w:r>
        <w:rPr>
          <w:rFonts w:hint="eastAsia"/>
          <w:sz w:val="24"/>
        </w:rPr>
        <w:t>（4）其他</w:t>
      </w:r>
    </w:p>
    <w:p w14:paraId="067849EF">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14:paraId="7891FD7D">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w:t>
      </w:r>
      <w:r>
        <w:rPr>
          <w:rFonts w:hint="eastAsia"/>
          <w:sz w:val="24"/>
          <w:lang w:eastAsia="zh-CN"/>
        </w:rPr>
        <w:t>投标人</w:t>
      </w:r>
      <w:r>
        <w:rPr>
          <w:rFonts w:hint="eastAsia"/>
          <w:sz w:val="24"/>
        </w:rPr>
        <w:t>应当在声明函“项目名称”部分标明联合体中中小企业承担的具体内容或者中小企业的具体分包内容。</w:t>
      </w:r>
    </w:p>
    <w:p w14:paraId="5AF18C7E">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14:paraId="3B074011">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8620D17">
      <w:pPr>
        <w:widowControl/>
        <w:jc w:val="center"/>
        <w:rPr>
          <w:b/>
          <w:color w:val="000000"/>
          <w:sz w:val="36"/>
          <w:szCs w:val="36"/>
        </w:rPr>
      </w:pPr>
      <w:r>
        <w:rPr>
          <w:sz w:val="24"/>
        </w:rPr>
        <w:br w:type="page"/>
      </w:r>
      <w:r>
        <w:rPr>
          <w:rFonts w:hint="eastAsia"/>
          <w:b/>
          <w:bCs/>
          <w:color w:val="000000"/>
          <w:sz w:val="36"/>
          <w:szCs w:val="36"/>
        </w:rPr>
        <w:t>中小企业声明函（货物）格式</w:t>
      </w:r>
    </w:p>
    <w:p w14:paraId="2FC6EA03">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4641EA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w:t>
      </w:r>
      <w:r>
        <w:rPr>
          <w:rFonts w:hint="eastAsia"/>
          <w:spacing w:val="6"/>
          <w:sz w:val="24"/>
          <w:u w:val="single"/>
          <w:lang w:eastAsia="zh-CN"/>
        </w:rPr>
        <w:t>招标文件</w:t>
      </w:r>
      <w:r>
        <w:rPr>
          <w:spacing w:val="6"/>
          <w:sz w:val="24"/>
          <w:u w:val="single"/>
        </w:rPr>
        <w:t>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2291D0DA">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w:t>
      </w:r>
      <w:r>
        <w:rPr>
          <w:rFonts w:hint="eastAsia"/>
          <w:spacing w:val="6"/>
          <w:sz w:val="24"/>
          <w:u w:val="single"/>
          <w:lang w:eastAsia="zh-CN"/>
        </w:rPr>
        <w:t>招标文件</w:t>
      </w:r>
      <w:r>
        <w:rPr>
          <w:spacing w:val="6"/>
          <w:sz w:val="24"/>
          <w:u w:val="single"/>
        </w:rPr>
        <w:t>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3AEC8A17">
      <w:pPr>
        <w:spacing w:line="360" w:lineRule="auto"/>
        <w:ind w:firstLine="504"/>
        <w:rPr>
          <w:spacing w:val="6"/>
          <w:sz w:val="24"/>
        </w:rPr>
      </w:pPr>
      <w:r>
        <w:rPr>
          <w:spacing w:val="6"/>
          <w:sz w:val="24"/>
        </w:rPr>
        <w:t>……</w:t>
      </w:r>
    </w:p>
    <w:p w14:paraId="1FDA679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55140D8">
      <w:pPr>
        <w:spacing w:line="360" w:lineRule="auto"/>
        <w:ind w:firstLine="504"/>
        <w:rPr>
          <w:spacing w:val="6"/>
          <w:sz w:val="24"/>
        </w:rPr>
      </w:pPr>
      <w:r>
        <w:rPr>
          <w:spacing w:val="6"/>
          <w:sz w:val="24"/>
        </w:rPr>
        <w:t>本企业对上述声明内容的真实性负责。如有虚假，将依法承担相应责任。</w:t>
      </w:r>
    </w:p>
    <w:p w14:paraId="0237AE5E">
      <w:pPr>
        <w:spacing w:line="360" w:lineRule="auto"/>
        <w:ind w:firstLine="504"/>
        <w:rPr>
          <w:spacing w:val="6"/>
          <w:sz w:val="24"/>
        </w:rPr>
      </w:pPr>
    </w:p>
    <w:p w14:paraId="677414FE">
      <w:pPr>
        <w:spacing w:line="360" w:lineRule="auto"/>
        <w:ind w:right="360" w:firstLine="480"/>
        <w:jc w:val="right"/>
        <w:rPr>
          <w:color w:val="000000"/>
          <w:sz w:val="24"/>
        </w:rPr>
      </w:pPr>
      <w:r>
        <w:rPr>
          <w:color w:val="000000"/>
          <w:sz w:val="24"/>
        </w:rPr>
        <w:t>企业名称（盖章）：________</w:t>
      </w:r>
    </w:p>
    <w:p w14:paraId="6A1BB4E9">
      <w:pPr>
        <w:spacing w:line="360" w:lineRule="auto"/>
        <w:ind w:right="360" w:firstLine="480"/>
        <w:jc w:val="right"/>
        <w:rPr>
          <w:color w:val="000000"/>
          <w:sz w:val="24"/>
        </w:rPr>
      </w:pPr>
      <w:r>
        <w:rPr>
          <w:color w:val="000000"/>
          <w:sz w:val="24"/>
        </w:rPr>
        <w:t>日 期：________</w:t>
      </w:r>
    </w:p>
    <w:p w14:paraId="123602A0">
      <w:pPr>
        <w:spacing w:line="360" w:lineRule="auto"/>
        <w:ind w:right="360" w:firstLine="480"/>
        <w:jc w:val="right"/>
        <w:rPr>
          <w:color w:val="000000"/>
          <w:sz w:val="24"/>
        </w:rPr>
      </w:pPr>
    </w:p>
    <w:p w14:paraId="109FE735">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4F598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6EA03A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894EDCA">
      <w:pPr>
        <w:autoSpaceDE w:val="0"/>
        <w:autoSpaceDN w:val="0"/>
        <w:adjustRightInd w:val="0"/>
        <w:ind w:firstLine="420"/>
        <w:jc w:val="left"/>
        <w:rPr>
          <w:sz w:val="24"/>
        </w:rPr>
      </w:pPr>
    </w:p>
    <w:p w14:paraId="7A568048">
      <w:pPr>
        <w:spacing w:line="360" w:lineRule="auto"/>
        <w:rPr>
          <w:color w:val="000000"/>
          <w:sz w:val="24"/>
        </w:rPr>
      </w:pPr>
    </w:p>
    <w:p w14:paraId="4F92BDE8">
      <w:pPr>
        <w:spacing w:before="240" w:beforeLines="100" w:after="240" w:afterLines="100" w:line="360" w:lineRule="auto"/>
        <w:jc w:val="center"/>
        <w:rPr>
          <w:b/>
          <w:bCs/>
          <w:color w:val="000000"/>
          <w:sz w:val="36"/>
          <w:szCs w:val="36"/>
        </w:rPr>
      </w:pPr>
      <w:r>
        <w:rPr>
          <w:color w:val="000000"/>
          <w:sz w:val="24"/>
        </w:rPr>
        <w:br w:type="page"/>
      </w:r>
      <w:r>
        <w:rPr>
          <w:rFonts w:hint="eastAsia"/>
          <w:b/>
          <w:bCs/>
          <w:color w:val="000000"/>
          <w:sz w:val="36"/>
          <w:szCs w:val="36"/>
        </w:rPr>
        <w:t>中小企业声明函（工程、服务）格式</w:t>
      </w:r>
    </w:p>
    <w:p w14:paraId="26CF0CCB">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29D5E8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w:t>
      </w:r>
      <w:r>
        <w:rPr>
          <w:rFonts w:hint="eastAsia"/>
          <w:spacing w:val="6"/>
          <w:sz w:val="24"/>
          <w:u w:val="single"/>
          <w:lang w:eastAsia="zh-CN"/>
        </w:rPr>
        <w:t>招标文件</w:t>
      </w:r>
      <w:r>
        <w:rPr>
          <w:spacing w:val="6"/>
          <w:sz w:val="24"/>
          <w:u w:val="single"/>
        </w:rPr>
        <w:t>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7733781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w:t>
      </w:r>
      <w:r>
        <w:rPr>
          <w:rFonts w:hint="eastAsia"/>
          <w:spacing w:val="6"/>
          <w:sz w:val="24"/>
          <w:u w:val="single"/>
          <w:lang w:eastAsia="zh-CN"/>
        </w:rPr>
        <w:t>招标文件</w:t>
      </w:r>
      <w:r>
        <w:rPr>
          <w:spacing w:val="6"/>
          <w:sz w:val="24"/>
          <w:u w:val="single"/>
        </w:rPr>
        <w:t>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5FEABFC3">
      <w:pPr>
        <w:spacing w:line="360" w:lineRule="auto"/>
        <w:ind w:firstLine="504"/>
        <w:rPr>
          <w:spacing w:val="6"/>
          <w:sz w:val="24"/>
        </w:rPr>
      </w:pPr>
    </w:p>
    <w:p w14:paraId="350D3DA5">
      <w:pPr>
        <w:spacing w:line="360" w:lineRule="auto"/>
        <w:ind w:firstLine="504"/>
        <w:rPr>
          <w:spacing w:val="6"/>
          <w:sz w:val="24"/>
        </w:rPr>
      </w:pPr>
      <w:r>
        <w:rPr>
          <w:spacing w:val="6"/>
          <w:sz w:val="24"/>
        </w:rPr>
        <w:t>……</w:t>
      </w:r>
    </w:p>
    <w:p w14:paraId="34E4143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2406F6B">
      <w:pPr>
        <w:spacing w:line="360" w:lineRule="auto"/>
        <w:ind w:firstLine="504"/>
        <w:rPr>
          <w:spacing w:val="6"/>
          <w:sz w:val="24"/>
        </w:rPr>
      </w:pPr>
      <w:r>
        <w:rPr>
          <w:spacing w:val="6"/>
          <w:sz w:val="24"/>
        </w:rPr>
        <w:t>本企业对上述声明内容的真实性负责。如有虚假，将依法承担相应责任。</w:t>
      </w:r>
    </w:p>
    <w:p w14:paraId="79A17D85">
      <w:pPr>
        <w:spacing w:line="360" w:lineRule="auto"/>
        <w:ind w:right="360" w:firstLine="480"/>
        <w:jc w:val="right"/>
        <w:rPr>
          <w:color w:val="000000"/>
          <w:sz w:val="24"/>
        </w:rPr>
      </w:pPr>
    </w:p>
    <w:p w14:paraId="29F6568B">
      <w:pPr>
        <w:spacing w:line="360" w:lineRule="auto"/>
        <w:ind w:right="360" w:firstLine="480"/>
        <w:jc w:val="right"/>
        <w:rPr>
          <w:color w:val="000000"/>
          <w:sz w:val="24"/>
        </w:rPr>
      </w:pPr>
      <w:r>
        <w:rPr>
          <w:color w:val="000000"/>
          <w:sz w:val="24"/>
        </w:rPr>
        <w:t>企业名称（盖章）：________</w:t>
      </w:r>
    </w:p>
    <w:p w14:paraId="44630062">
      <w:pPr>
        <w:spacing w:line="360" w:lineRule="auto"/>
        <w:ind w:right="360" w:firstLine="480"/>
        <w:jc w:val="right"/>
        <w:rPr>
          <w:color w:val="000000"/>
          <w:sz w:val="24"/>
        </w:rPr>
      </w:pPr>
      <w:r>
        <w:rPr>
          <w:color w:val="000000"/>
          <w:sz w:val="24"/>
        </w:rPr>
        <w:t>日 期：________</w:t>
      </w:r>
    </w:p>
    <w:p w14:paraId="2B9F79BD">
      <w:pPr>
        <w:adjustRightInd w:val="0"/>
        <w:snapToGrid w:val="0"/>
        <w:jc w:val="left"/>
        <w:rPr>
          <w:color w:val="000000"/>
          <w:sz w:val="24"/>
          <w:szCs w:val="21"/>
        </w:rPr>
      </w:pPr>
    </w:p>
    <w:p w14:paraId="0FEA5217">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75805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A3259C3">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1FEC770">
      <w:pPr>
        <w:adjustRightInd w:val="0"/>
        <w:snapToGrid w:val="0"/>
        <w:jc w:val="left"/>
        <w:rPr>
          <w:color w:val="000000"/>
          <w:szCs w:val="21"/>
          <w:vertAlign w:val="superscript"/>
        </w:rPr>
      </w:pPr>
    </w:p>
    <w:p w14:paraId="5428DBAD">
      <w:pPr>
        <w:spacing w:line="360" w:lineRule="auto"/>
        <w:ind w:right="360" w:firstLine="480"/>
        <w:jc w:val="right"/>
        <w:rPr>
          <w:color w:val="000000"/>
          <w:sz w:val="24"/>
        </w:rPr>
      </w:pPr>
    </w:p>
    <w:p w14:paraId="1346C65E">
      <w:pPr>
        <w:spacing w:line="360" w:lineRule="auto"/>
        <w:ind w:right="360" w:firstLine="480"/>
        <w:jc w:val="right"/>
        <w:rPr>
          <w:color w:val="000000"/>
          <w:sz w:val="24"/>
        </w:rPr>
      </w:pPr>
    </w:p>
    <w:p w14:paraId="455C2C46">
      <w:pPr>
        <w:spacing w:line="360" w:lineRule="auto"/>
        <w:jc w:val="center"/>
        <w:outlineLvl w:val="9"/>
        <w:rPr>
          <w:b/>
          <w:color w:val="000000"/>
          <w:sz w:val="36"/>
          <w:szCs w:val="36"/>
        </w:rPr>
      </w:pPr>
      <w:r>
        <w:rPr>
          <w:color w:val="000000"/>
          <w:sz w:val="24"/>
          <w:szCs w:val="20"/>
        </w:rPr>
        <w:br w:type="page"/>
      </w:r>
      <w:r>
        <w:rPr>
          <w:rFonts w:hint="eastAsia"/>
          <w:b/>
          <w:bCs/>
          <w:color w:val="000000"/>
          <w:sz w:val="36"/>
          <w:szCs w:val="36"/>
        </w:rPr>
        <w:t>残疾人福利性单位声明函格式</w:t>
      </w:r>
    </w:p>
    <w:p w14:paraId="1C91B8D4">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3ED43910">
      <w:pPr>
        <w:spacing w:line="588" w:lineRule="exact"/>
        <w:ind w:firstLine="482"/>
        <w:rPr>
          <w:b/>
          <w:spacing w:val="6"/>
          <w:sz w:val="24"/>
        </w:rPr>
      </w:pPr>
      <w:r>
        <w:rPr>
          <w:b/>
          <w:sz w:val="24"/>
        </w:rPr>
        <w:t>□</w:t>
      </w:r>
      <w:r>
        <w:rPr>
          <w:b/>
          <w:spacing w:val="6"/>
          <w:sz w:val="24"/>
        </w:rPr>
        <w:t>不属于符合条件的残疾人福利性单位。</w:t>
      </w:r>
    </w:p>
    <w:p w14:paraId="3F4FC0D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031F4EB">
      <w:pPr>
        <w:spacing w:line="588" w:lineRule="exact"/>
        <w:ind w:firstLine="506" w:firstLineChars="200"/>
        <w:rPr>
          <w:spacing w:val="6"/>
          <w:sz w:val="24"/>
        </w:rPr>
      </w:pPr>
      <w:r>
        <w:rPr>
          <w:b/>
          <w:spacing w:val="6"/>
          <w:sz w:val="24"/>
        </w:rPr>
        <w:t>本单位对上述声明的真实性负责。如有虚假，将依法承担相应责任。</w:t>
      </w:r>
    </w:p>
    <w:p w14:paraId="5693352F">
      <w:pPr>
        <w:spacing w:line="588" w:lineRule="exact"/>
        <w:ind w:firstLine="504" w:firstLineChars="200"/>
        <w:rPr>
          <w:spacing w:val="6"/>
          <w:sz w:val="24"/>
        </w:rPr>
      </w:pPr>
    </w:p>
    <w:p w14:paraId="3D89F61E">
      <w:pPr>
        <w:spacing w:line="588" w:lineRule="exact"/>
        <w:ind w:firstLine="504" w:firstLineChars="200"/>
        <w:rPr>
          <w:spacing w:val="6"/>
          <w:sz w:val="24"/>
        </w:rPr>
      </w:pPr>
    </w:p>
    <w:p w14:paraId="17BAC206">
      <w:pPr>
        <w:tabs>
          <w:tab w:val="left" w:pos="4860"/>
        </w:tabs>
        <w:spacing w:line="588" w:lineRule="exact"/>
        <w:ind w:right="1560" w:firstLine="504" w:firstLineChars="200"/>
        <w:jc w:val="center"/>
        <w:rPr>
          <w:spacing w:val="6"/>
          <w:sz w:val="24"/>
        </w:rPr>
      </w:pPr>
      <w:r>
        <w:rPr>
          <w:spacing w:val="6"/>
          <w:sz w:val="24"/>
        </w:rPr>
        <w:t xml:space="preserve">               单位名称（盖章）：</w:t>
      </w:r>
    </w:p>
    <w:p w14:paraId="72EAE210">
      <w:pPr>
        <w:tabs>
          <w:tab w:val="left" w:pos="4860"/>
        </w:tabs>
        <w:spacing w:line="588" w:lineRule="exact"/>
        <w:ind w:right="1560" w:firstLine="504" w:firstLineChars="200"/>
        <w:jc w:val="center"/>
        <w:rPr>
          <w:spacing w:val="6"/>
          <w:sz w:val="24"/>
        </w:rPr>
      </w:pPr>
      <w:r>
        <w:rPr>
          <w:spacing w:val="6"/>
          <w:sz w:val="24"/>
        </w:rPr>
        <w:t xml:space="preserve">       日  期：</w:t>
      </w:r>
    </w:p>
    <w:p w14:paraId="1169CD60">
      <w:pPr>
        <w:widowControl/>
        <w:jc w:val="left"/>
        <w:rPr>
          <w:color w:val="000000"/>
          <w:sz w:val="24"/>
          <w:szCs w:val="20"/>
        </w:rPr>
      </w:pPr>
      <w:r>
        <w:rPr>
          <w:color w:val="000000"/>
          <w:sz w:val="24"/>
          <w:szCs w:val="20"/>
        </w:rPr>
        <w:br w:type="page"/>
      </w:r>
      <w:r>
        <w:rPr>
          <w:color w:val="000000"/>
          <w:sz w:val="24"/>
          <w:szCs w:val="20"/>
        </w:rPr>
        <w:t>拟分包情况说明及分包意向协议（类型一）（</w:t>
      </w:r>
      <w:r>
        <w:rPr>
          <w:rFonts w:hint="eastAsia"/>
          <w:color w:val="000000"/>
          <w:sz w:val="24"/>
          <w:szCs w:val="20"/>
          <w:lang w:val="en-US" w:eastAsia="zh-CN"/>
        </w:rPr>
        <w:t>非</w:t>
      </w:r>
      <w:r>
        <w:rPr>
          <w:color w:val="000000"/>
          <w:sz w:val="24"/>
          <w:szCs w:val="20"/>
        </w:rPr>
        <w:t>实质性格式）</w:t>
      </w:r>
    </w:p>
    <w:p w14:paraId="29AEB427">
      <w:pPr>
        <w:autoSpaceDE w:val="0"/>
        <w:autoSpaceDN w:val="0"/>
        <w:adjustRightInd w:val="0"/>
        <w:jc w:val="center"/>
        <w:rPr>
          <w:color w:val="000000"/>
          <w:sz w:val="30"/>
          <w:szCs w:val="30"/>
        </w:rPr>
      </w:pPr>
    </w:p>
    <w:p w14:paraId="4839257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04885B7">
      <w:pPr>
        <w:tabs>
          <w:tab w:val="left" w:pos="5580"/>
        </w:tabs>
        <w:spacing w:line="360" w:lineRule="auto"/>
        <w:rPr>
          <w:color w:val="000000"/>
          <w:sz w:val="24"/>
        </w:rPr>
      </w:pPr>
      <w:r>
        <w:rPr>
          <w:color w:val="000000"/>
          <w:sz w:val="24"/>
        </w:rPr>
        <w:t>致：</w:t>
      </w:r>
      <w:r>
        <w:rPr>
          <w:color w:val="000000"/>
          <w:sz w:val="24"/>
          <w:u w:val="single"/>
        </w:rPr>
        <w:t>（</w:t>
      </w:r>
      <w:r>
        <w:rPr>
          <w:rFonts w:hint="eastAsia"/>
          <w:color w:val="000000"/>
          <w:sz w:val="24"/>
          <w:u w:val="single"/>
          <w:lang w:eastAsia="zh-CN"/>
        </w:rPr>
        <w:t>招标人</w:t>
      </w:r>
      <w:r>
        <w:rPr>
          <w:color w:val="000000"/>
          <w:sz w:val="24"/>
          <w:u w:val="single"/>
        </w:rPr>
        <w:t>或</w:t>
      </w:r>
      <w:r>
        <w:rPr>
          <w:rFonts w:hint="eastAsia"/>
          <w:color w:val="000000"/>
          <w:sz w:val="24"/>
          <w:u w:val="single"/>
          <w:lang w:eastAsia="zh-CN"/>
        </w:rPr>
        <w:t>招标代理机构</w:t>
      </w:r>
      <w:r>
        <w:rPr>
          <w:color w:val="000000"/>
          <w:sz w:val="24"/>
          <w:u w:val="single"/>
        </w:rPr>
        <w:t>）</w:t>
      </w:r>
    </w:p>
    <w:p w14:paraId="2F451B2F">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15D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4AF19B2F">
            <w:pPr>
              <w:pStyle w:val="247"/>
              <w:jc w:val="center"/>
              <w:rPr>
                <w:rFonts w:eastAsia="宋体"/>
                <w:sz w:val="24"/>
              </w:rPr>
            </w:pPr>
            <w:r>
              <w:rPr>
                <w:rFonts w:eastAsia="宋体"/>
                <w:sz w:val="24"/>
              </w:rPr>
              <w:t>序号</w:t>
            </w:r>
          </w:p>
        </w:tc>
        <w:tc>
          <w:tcPr>
            <w:tcW w:w="1287" w:type="dxa"/>
            <w:noWrap w:val="0"/>
            <w:vAlign w:val="center"/>
          </w:tcPr>
          <w:p w14:paraId="00DB54EA">
            <w:pPr>
              <w:pStyle w:val="247"/>
              <w:jc w:val="center"/>
              <w:rPr>
                <w:rFonts w:eastAsia="宋体"/>
                <w:sz w:val="24"/>
              </w:rPr>
            </w:pPr>
            <w:r>
              <w:rPr>
                <w:rFonts w:eastAsia="宋体"/>
                <w:sz w:val="24"/>
              </w:rPr>
              <w:t>分包承担</w:t>
            </w:r>
          </w:p>
          <w:p w14:paraId="296CD560">
            <w:pPr>
              <w:pStyle w:val="247"/>
              <w:jc w:val="center"/>
              <w:rPr>
                <w:rFonts w:eastAsia="宋体"/>
                <w:sz w:val="24"/>
              </w:rPr>
            </w:pPr>
            <w:r>
              <w:rPr>
                <w:rFonts w:eastAsia="宋体"/>
                <w:sz w:val="24"/>
              </w:rPr>
              <w:t>主体名称</w:t>
            </w:r>
          </w:p>
        </w:tc>
        <w:tc>
          <w:tcPr>
            <w:tcW w:w="1513" w:type="dxa"/>
            <w:noWrap w:val="0"/>
            <w:vAlign w:val="center"/>
          </w:tcPr>
          <w:p w14:paraId="07F5A0B7">
            <w:pPr>
              <w:pStyle w:val="247"/>
              <w:jc w:val="center"/>
              <w:rPr>
                <w:rFonts w:eastAsia="宋体"/>
                <w:sz w:val="24"/>
                <w:lang w:eastAsia="zh-CN"/>
              </w:rPr>
            </w:pPr>
            <w:r>
              <w:rPr>
                <w:rFonts w:eastAsia="宋体"/>
                <w:sz w:val="24"/>
                <w:lang w:eastAsia="zh-CN"/>
              </w:rPr>
              <w:t>分包承担</w:t>
            </w:r>
          </w:p>
          <w:p w14:paraId="77F3C85A">
            <w:pPr>
              <w:pStyle w:val="247"/>
              <w:jc w:val="center"/>
              <w:rPr>
                <w:rFonts w:eastAsia="宋体"/>
                <w:sz w:val="24"/>
                <w:lang w:eastAsia="zh-CN"/>
              </w:rPr>
            </w:pPr>
            <w:r>
              <w:rPr>
                <w:rFonts w:eastAsia="宋体"/>
                <w:sz w:val="24"/>
                <w:lang w:eastAsia="zh-CN"/>
              </w:rPr>
              <w:t>主体类型</w:t>
            </w:r>
          </w:p>
          <w:p w14:paraId="2ADD7502">
            <w:pPr>
              <w:pStyle w:val="247"/>
              <w:jc w:val="center"/>
              <w:rPr>
                <w:rFonts w:eastAsia="宋体"/>
                <w:sz w:val="24"/>
                <w:lang w:eastAsia="zh-CN"/>
              </w:rPr>
            </w:pPr>
            <w:r>
              <w:rPr>
                <w:rFonts w:hint="eastAsia" w:eastAsia="宋体"/>
                <w:sz w:val="24"/>
                <w:lang w:eastAsia="zh-CN"/>
              </w:rPr>
              <w:t>（勾选）</w:t>
            </w:r>
          </w:p>
        </w:tc>
        <w:tc>
          <w:tcPr>
            <w:tcW w:w="1125" w:type="dxa"/>
            <w:noWrap w:val="0"/>
            <w:vAlign w:val="center"/>
          </w:tcPr>
          <w:p w14:paraId="2E1CE8E4">
            <w:pPr>
              <w:pStyle w:val="247"/>
              <w:jc w:val="center"/>
              <w:rPr>
                <w:rFonts w:eastAsia="宋体"/>
                <w:sz w:val="24"/>
              </w:rPr>
            </w:pPr>
            <w:r>
              <w:rPr>
                <w:rFonts w:eastAsia="宋体"/>
                <w:sz w:val="24"/>
              </w:rPr>
              <w:t>资质等级</w:t>
            </w:r>
          </w:p>
        </w:tc>
        <w:tc>
          <w:tcPr>
            <w:tcW w:w="1558" w:type="dxa"/>
            <w:noWrap w:val="0"/>
            <w:vAlign w:val="center"/>
          </w:tcPr>
          <w:p w14:paraId="013B3F52">
            <w:pPr>
              <w:pStyle w:val="247"/>
              <w:jc w:val="center"/>
              <w:rPr>
                <w:rFonts w:eastAsia="宋体"/>
                <w:sz w:val="24"/>
              </w:rPr>
            </w:pPr>
            <w:r>
              <w:rPr>
                <w:rFonts w:eastAsia="宋体"/>
                <w:sz w:val="24"/>
              </w:rPr>
              <w:t>拟分包</w:t>
            </w:r>
          </w:p>
          <w:p w14:paraId="215B8419">
            <w:pPr>
              <w:pStyle w:val="247"/>
              <w:jc w:val="center"/>
              <w:rPr>
                <w:rFonts w:eastAsia="宋体"/>
                <w:sz w:val="24"/>
              </w:rPr>
            </w:pPr>
            <w:r>
              <w:rPr>
                <w:rFonts w:eastAsia="宋体"/>
                <w:sz w:val="24"/>
              </w:rPr>
              <w:t>合同内容</w:t>
            </w:r>
          </w:p>
        </w:tc>
        <w:tc>
          <w:tcPr>
            <w:tcW w:w="1498" w:type="dxa"/>
            <w:noWrap w:val="0"/>
            <w:vAlign w:val="center"/>
          </w:tcPr>
          <w:p w14:paraId="0F5CC448">
            <w:pPr>
              <w:pStyle w:val="247"/>
              <w:jc w:val="center"/>
              <w:rPr>
                <w:rFonts w:eastAsia="宋体"/>
                <w:sz w:val="24"/>
                <w:lang w:eastAsia="zh-CN"/>
              </w:rPr>
            </w:pPr>
            <w:r>
              <w:rPr>
                <w:rFonts w:eastAsia="宋体"/>
                <w:sz w:val="24"/>
                <w:lang w:eastAsia="zh-CN"/>
              </w:rPr>
              <w:t>拟分包</w:t>
            </w:r>
          </w:p>
          <w:p w14:paraId="0FC1463D">
            <w:pPr>
              <w:pStyle w:val="247"/>
              <w:jc w:val="center"/>
              <w:rPr>
                <w:rFonts w:eastAsia="宋体"/>
                <w:sz w:val="24"/>
                <w:lang w:eastAsia="zh-CN"/>
              </w:rPr>
            </w:pPr>
            <w:r>
              <w:rPr>
                <w:rFonts w:eastAsia="宋体"/>
                <w:sz w:val="24"/>
                <w:lang w:eastAsia="zh-CN"/>
              </w:rPr>
              <w:t>合同金额</w:t>
            </w:r>
          </w:p>
          <w:p w14:paraId="220E953B">
            <w:pPr>
              <w:pStyle w:val="247"/>
              <w:jc w:val="center"/>
              <w:rPr>
                <w:rFonts w:eastAsia="宋体"/>
                <w:sz w:val="24"/>
                <w:lang w:eastAsia="zh-CN"/>
              </w:rPr>
            </w:pPr>
            <w:r>
              <w:rPr>
                <w:rFonts w:eastAsia="宋体"/>
                <w:sz w:val="24"/>
                <w:lang w:eastAsia="zh-CN"/>
              </w:rPr>
              <w:t>（人民币元）</w:t>
            </w:r>
          </w:p>
        </w:tc>
        <w:tc>
          <w:tcPr>
            <w:tcW w:w="1564" w:type="dxa"/>
            <w:noWrap w:val="0"/>
            <w:vAlign w:val="center"/>
          </w:tcPr>
          <w:p w14:paraId="1852B586">
            <w:pPr>
              <w:pStyle w:val="247"/>
              <w:jc w:val="center"/>
              <w:rPr>
                <w:rFonts w:eastAsia="宋体"/>
                <w:sz w:val="24"/>
                <w:lang w:eastAsia="zh-CN"/>
              </w:rPr>
            </w:pPr>
            <w:r>
              <w:rPr>
                <w:rFonts w:eastAsia="宋体"/>
                <w:sz w:val="24"/>
                <w:lang w:eastAsia="zh-CN"/>
              </w:rPr>
              <w:t>占该采购包</w:t>
            </w:r>
          </w:p>
          <w:p w14:paraId="17C303E5">
            <w:pPr>
              <w:pStyle w:val="247"/>
              <w:jc w:val="center"/>
              <w:rPr>
                <w:rFonts w:eastAsia="宋体"/>
                <w:b/>
                <w:sz w:val="24"/>
                <w:lang w:eastAsia="zh-CN"/>
              </w:rPr>
            </w:pPr>
            <w:r>
              <w:rPr>
                <w:rFonts w:hint="eastAsia" w:eastAsia="宋体"/>
                <w:b/>
                <w:sz w:val="24"/>
                <w:lang w:eastAsia="zh-CN"/>
              </w:rPr>
              <w:t>预算</w:t>
            </w:r>
            <w:r>
              <w:rPr>
                <w:rFonts w:eastAsia="宋体"/>
                <w:b/>
                <w:sz w:val="24"/>
                <w:lang w:eastAsia="zh-CN"/>
              </w:rPr>
              <w:t>金额的</w:t>
            </w:r>
          </w:p>
          <w:p w14:paraId="342C7E37">
            <w:pPr>
              <w:pStyle w:val="247"/>
              <w:jc w:val="center"/>
              <w:rPr>
                <w:rFonts w:eastAsia="宋体"/>
                <w:sz w:val="24"/>
                <w:lang w:eastAsia="zh-CN"/>
              </w:rPr>
            </w:pPr>
            <w:r>
              <w:rPr>
                <w:rFonts w:eastAsia="宋体"/>
                <w:sz w:val="24"/>
                <w:lang w:eastAsia="zh-CN"/>
              </w:rPr>
              <w:t>比例</w:t>
            </w:r>
            <w:r>
              <w:rPr>
                <w:rFonts w:hint="eastAsia" w:eastAsia="宋体"/>
                <w:sz w:val="24"/>
                <w:lang w:eastAsia="zh-CN"/>
              </w:rPr>
              <w:t>（</w:t>
            </w:r>
            <w:r>
              <w:rPr>
                <w:rFonts w:ascii="Times New Roman" w:eastAsia="Times New Roman"/>
                <w:sz w:val="24"/>
                <w:lang w:eastAsia="zh-CN"/>
              </w:rPr>
              <w:t>%</w:t>
            </w:r>
            <w:r>
              <w:rPr>
                <w:rFonts w:hint="eastAsia" w:eastAsia="宋体"/>
                <w:sz w:val="24"/>
                <w:lang w:eastAsia="zh-CN"/>
              </w:rPr>
              <w:t>）</w:t>
            </w:r>
          </w:p>
        </w:tc>
      </w:tr>
      <w:tr w14:paraId="07C13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7522157">
            <w:pPr>
              <w:pStyle w:val="247"/>
              <w:jc w:val="center"/>
              <w:rPr>
                <w:rFonts w:ascii="Times New Roman" w:eastAsia="宋体"/>
                <w:sz w:val="24"/>
              </w:rPr>
            </w:pPr>
            <w:r>
              <w:rPr>
                <w:rFonts w:ascii="Times New Roman" w:eastAsia="宋体"/>
                <w:sz w:val="24"/>
              </w:rPr>
              <w:t>1</w:t>
            </w:r>
          </w:p>
        </w:tc>
        <w:tc>
          <w:tcPr>
            <w:tcW w:w="1287" w:type="dxa"/>
            <w:noWrap w:val="0"/>
            <w:vAlign w:val="center"/>
          </w:tcPr>
          <w:p w14:paraId="3B99E59D">
            <w:pPr>
              <w:pStyle w:val="247"/>
              <w:jc w:val="center"/>
              <w:rPr>
                <w:rFonts w:ascii="Times New Roman" w:hAnsi="Times New Roman" w:eastAsia="宋体" w:cs="Times New Roman"/>
                <w:sz w:val="30"/>
              </w:rPr>
            </w:pPr>
          </w:p>
        </w:tc>
        <w:tc>
          <w:tcPr>
            <w:tcW w:w="1513" w:type="dxa"/>
            <w:noWrap w:val="0"/>
            <w:vAlign w:val="center"/>
          </w:tcPr>
          <w:p w14:paraId="45B744AD">
            <w:pPr>
              <w:pStyle w:val="247"/>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□中型企业</w:t>
            </w:r>
          </w:p>
          <w:p w14:paraId="661CC638">
            <w:pPr>
              <w:pStyle w:val="247"/>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□小微企业</w:t>
            </w:r>
          </w:p>
        </w:tc>
        <w:tc>
          <w:tcPr>
            <w:tcW w:w="1125" w:type="dxa"/>
            <w:noWrap w:val="0"/>
            <w:vAlign w:val="center"/>
          </w:tcPr>
          <w:p w14:paraId="223301DA">
            <w:pPr>
              <w:pStyle w:val="247"/>
              <w:jc w:val="center"/>
              <w:rPr>
                <w:rFonts w:ascii="Times New Roman" w:eastAsia="宋体"/>
                <w:sz w:val="30"/>
                <w:lang w:eastAsia="zh-CN"/>
              </w:rPr>
            </w:pPr>
          </w:p>
        </w:tc>
        <w:tc>
          <w:tcPr>
            <w:tcW w:w="1558" w:type="dxa"/>
            <w:noWrap w:val="0"/>
            <w:vAlign w:val="center"/>
          </w:tcPr>
          <w:p w14:paraId="62EC63C6">
            <w:pPr>
              <w:pStyle w:val="247"/>
              <w:jc w:val="center"/>
              <w:rPr>
                <w:rFonts w:ascii="Times New Roman" w:eastAsia="宋体"/>
                <w:sz w:val="30"/>
                <w:lang w:eastAsia="zh-CN"/>
              </w:rPr>
            </w:pPr>
          </w:p>
        </w:tc>
        <w:tc>
          <w:tcPr>
            <w:tcW w:w="1498" w:type="dxa"/>
            <w:noWrap w:val="0"/>
            <w:vAlign w:val="center"/>
          </w:tcPr>
          <w:p w14:paraId="160DEB9F">
            <w:pPr>
              <w:pStyle w:val="247"/>
              <w:jc w:val="center"/>
              <w:rPr>
                <w:rFonts w:ascii="Times New Roman" w:eastAsia="宋体"/>
                <w:sz w:val="30"/>
                <w:lang w:eastAsia="zh-CN"/>
              </w:rPr>
            </w:pPr>
          </w:p>
        </w:tc>
        <w:tc>
          <w:tcPr>
            <w:tcW w:w="1564" w:type="dxa"/>
            <w:noWrap w:val="0"/>
            <w:vAlign w:val="center"/>
          </w:tcPr>
          <w:p w14:paraId="6F8A4DC8">
            <w:pPr>
              <w:pStyle w:val="247"/>
              <w:jc w:val="center"/>
              <w:rPr>
                <w:rFonts w:ascii="Times New Roman" w:eastAsia="宋体"/>
                <w:sz w:val="30"/>
                <w:lang w:eastAsia="zh-CN"/>
              </w:rPr>
            </w:pPr>
          </w:p>
        </w:tc>
      </w:tr>
      <w:tr w14:paraId="36FC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BBB13E6">
            <w:pPr>
              <w:pStyle w:val="247"/>
              <w:jc w:val="center"/>
              <w:rPr>
                <w:rFonts w:ascii="Times New Roman" w:eastAsia="宋体"/>
                <w:sz w:val="24"/>
                <w:lang w:eastAsia="zh-CN"/>
              </w:rPr>
            </w:pPr>
            <w:r>
              <w:rPr>
                <w:rFonts w:hint="eastAsia" w:ascii="Times New Roman" w:eastAsia="宋体"/>
                <w:sz w:val="24"/>
                <w:lang w:eastAsia="zh-CN"/>
              </w:rPr>
              <w:t>2</w:t>
            </w:r>
          </w:p>
        </w:tc>
        <w:tc>
          <w:tcPr>
            <w:tcW w:w="1287" w:type="dxa"/>
            <w:noWrap w:val="0"/>
            <w:vAlign w:val="center"/>
          </w:tcPr>
          <w:p w14:paraId="39CB6A55">
            <w:pPr>
              <w:pStyle w:val="247"/>
              <w:jc w:val="center"/>
              <w:rPr>
                <w:rFonts w:ascii="Times New Roman" w:eastAsia="宋体"/>
                <w:sz w:val="30"/>
              </w:rPr>
            </w:pPr>
          </w:p>
        </w:tc>
        <w:tc>
          <w:tcPr>
            <w:tcW w:w="1513" w:type="dxa"/>
            <w:noWrap w:val="0"/>
            <w:vAlign w:val="center"/>
          </w:tcPr>
          <w:p w14:paraId="566D5A9A">
            <w:pPr>
              <w:pStyle w:val="247"/>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□中型企业</w:t>
            </w:r>
          </w:p>
          <w:p w14:paraId="42BE374B">
            <w:pPr>
              <w:pStyle w:val="247"/>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□小微企业</w:t>
            </w:r>
          </w:p>
        </w:tc>
        <w:tc>
          <w:tcPr>
            <w:tcW w:w="1125" w:type="dxa"/>
            <w:noWrap w:val="0"/>
            <w:vAlign w:val="center"/>
          </w:tcPr>
          <w:p w14:paraId="7FE5976D">
            <w:pPr>
              <w:pStyle w:val="247"/>
              <w:jc w:val="center"/>
              <w:rPr>
                <w:rFonts w:ascii="Times New Roman" w:eastAsia="宋体"/>
                <w:sz w:val="30"/>
                <w:lang w:eastAsia="zh-CN"/>
              </w:rPr>
            </w:pPr>
          </w:p>
        </w:tc>
        <w:tc>
          <w:tcPr>
            <w:tcW w:w="1558" w:type="dxa"/>
            <w:noWrap w:val="0"/>
            <w:vAlign w:val="center"/>
          </w:tcPr>
          <w:p w14:paraId="56E6BF0F">
            <w:pPr>
              <w:pStyle w:val="247"/>
              <w:jc w:val="center"/>
              <w:rPr>
                <w:rFonts w:ascii="Times New Roman" w:eastAsia="宋体"/>
                <w:sz w:val="30"/>
                <w:lang w:eastAsia="zh-CN"/>
              </w:rPr>
            </w:pPr>
          </w:p>
        </w:tc>
        <w:tc>
          <w:tcPr>
            <w:tcW w:w="1498" w:type="dxa"/>
            <w:noWrap w:val="0"/>
            <w:vAlign w:val="center"/>
          </w:tcPr>
          <w:p w14:paraId="5D92E84E">
            <w:pPr>
              <w:pStyle w:val="247"/>
              <w:jc w:val="center"/>
              <w:rPr>
                <w:rFonts w:ascii="Times New Roman" w:eastAsia="宋体"/>
                <w:sz w:val="30"/>
                <w:lang w:eastAsia="zh-CN"/>
              </w:rPr>
            </w:pPr>
          </w:p>
        </w:tc>
        <w:tc>
          <w:tcPr>
            <w:tcW w:w="1564" w:type="dxa"/>
            <w:noWrap w:val="0"/>
            <w:vAlign w:val="center"/>
          </w:tcPr>
          <w:p w14:paraId="2DFD3091">
            <w:pPr>
              <w:pStyle w:val="247"/>
              <w:jc w:val="center"/>
              <w:rPr>
                <w:rFonts w:ascii="Times New Roman" w:eastAsia="宋体"/>
                <w:sz w:val="30"/>
                <w:lang w:eastAsia="zh-CN"/>
              </w:rPr>
            </w:pPr>
          </w:p>
        </w:tc>
      </w:tr>
      <w:tr w14:paraId="327BC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700B366">
            <w:pPr>
              <w:pStyle w:val="247"/>
              <w:jc w:val="center"/>
              <w:rPr>
                <w:rFonts w:ascii="Times New Roman" w:eastAsia="宋体"/>
                <w:sz w:val="24"/>
                <w:lang w:eastAsia="zh-CN"/>
              </w:rPr>
            </w:pPr>
            <w:r>
              <w:rPr>
                <w:rFonts w:ascii="Times New Roman" w:eastAsia="宋体"/>
                <w:sz w:val="24"/>
                <w:lang w:eastAsia="zh-CN"/>
              </w:rPr>
              <w:t>…</w:t>
            </w:r>
          </w:p>
        </w:tc>
        <w:tc>
          <w:tcPr>
            <w:tcW w:w="1287" w:type="dxa"/>
            <w:noWrap w:val="0"/>
            <w:vAlign w:val="center"/>
          </w:tcPr>
          <w:p w14:paraId="0CF8061D">
            <w:pPr>
              <w:pStyle w:val="247"/>
              <w:jc w:val="center"/>
              <w:rPr>
                <w:rFonts w:ascii="Times New Roman" w:eastAsia="宋体"/>
                <w:sz w:val="30"/>
              </w:rPr>
            </w:pPr>
          </w:p>
        </w:tc>
        <w:tc>
          <w:tcPr>
            <w:tcW w:w="1513" w:type="dxa"/>
            <w:noWrap w:val="0"/>
            <w:vAlign w:val="center"/>
          </w:tcPr>
          <w:p w14:paraId="47300242">
            <w:pPr>
              <w:pStyle w:val="247"/>
              <w:tabs>
                <w:tab w:val="left" w:pos="235"/>
              </w:tabs>
              <w:jc w:val="center"/>
              <w:rPr>
                <w:rFonts w:eastAsia="宋体"/>
                <w:sz w:val="24"/>
              </w:rPr>
            </w:pPr>
          </w:p>
        </w:tc>
        <w:tc>
          <w:tcPr>
            <w:tcW w:w="1125" w:type="dxa"/>
            <w:noWrap w:val="0"/>
            <w:vAlign w:val="center"/>
          </w:tcPr>
          <w:p w14:paraId="48CCFFB8">
            <w:pPr>
              <w:pStyle w:val="247"/>
              <w:jc w:val="center"/>
              <w:rPr>
                <w:rFonts w:ascii="Times New Roman" w:eastAsia="宋体"/>
                <w:sz w:val="30"/>
              </w:rPr>
            </w:pPr>
          </w:p>
        </w:tc>
        <w:tc>
          <w:tcPr>
            <w:tcW w:w="1558" w:type="dxa"/>
            <w:noWrap w:val="0"/>
            <w:vAlign w:val="center"/>
          </w:tcPr>
          <w:p w14:paraId="62DCC3C3">
            <w:pPr>
              <w:pStyle w:val="247"/>
              <w:jc w:val="center"/>
              <w:rPr>
                <w:rFonts w:ascii="Times New Roman" w:eastAsia="宋体"/>
                <w:sz w:val="30"/>
              </w:rPr>
            </w:pPr>
          </w:p>
        </w:tc>
        <w:tc>
          <w:tcPr>
            <w:tcW w:w="1498" w:type="dxa"/>
            <w:noWrap w:val="0"/>
            <w:vAlign w:val="center"/>
          </w:tcPr>
          <w:p w14:paraId="44BA0063">
            <w:pPr>
              <w:pStyle w:val="247"/>
              <w:jc w:val="center"/>
              <w:rPr>
                <w:rFonts w:ascii="Times New Roman" w:eastAsia="宋体"/>
                <w:sz w:val="30"/>
              </w:rPr>
            </w:pPr>
          </w:p>
        </w:tc>
        <w:tc>
          <w:tcPr>
            <w:tcW w:w="1564" w:type="dxa"/>
            <w:noWrap w:val="0"/>
            <w:vAlign w:val="center"/>
          </w:tcPr>
          <w:p w14:paraId="6BCB75C6">
            <w:pPr>
              <w:pStyle w:val="247"/>
              <w:jc w:val="center"/>
              <w:rPr>
                <w:rFonts w:ascii="Times New Roman" w:eastAsia="宋体"/>
                <w:sz w:val="30"/>
              </w:rPr>
            </w:pPr>
          </w:p>
        </w:tc>
      </w:tr>
      <w:tr w14:paraId="0210C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19E979CF">
            <w:pPr>
              <w:pStyle w:val="247"/>
              <w:ind w:right="57" w:rightChars="27"/>
              <w:jc w:val="right"/>
              <w:rPr>
                <w:rFonts w:eastAsia="宋体"/>
                <w:sz w:val="24"/>
                <w:lang w:eastAsia="zh-CN"/>
              </w:rPr>
            </w:pPr>
            <w:r>
              <w:rPr>
                <w:rFonts w:hint="eastAsia" w:eastAsia="宋体"/>
                <w:sz w:val="24"/>
                <w:lang w:eastAsia="zh-CN"/>
              </w:rPr>
              <w:t>合计：</w:t>
            </w:r>
          </w:p>
        </w:tc>
        <w:tc>
          <w:tcPr>
            <w:tcW w:w="1498" w:type="dxa"/>
            <w:noWrap w:val="0"/>
            <w:vAlign w:val="center"/>
          </w:tcPr>
          <w:p w14:paraId="05455BFE">
            <w:pPr>
              <w:pStyle w:val="247"/>
              <w:jc w:val="center"/>
              <w:rPr>
                <w:rFonts w:ascii="Times New Roman" w:eastAsia="宋体"/>
                <w:sz w:val="30"/>
              </w:rPr>
            </w:pPr>
          </w:p>
        </w:tc>
        <w:tc>
          <w:tcPr>
            <w:tcW w:w="1564" w:type="dxa"/>
            <w:noWrap w:val="0"/>
            <w:vAlign w:val="center"/>
          </w:tcPr>
          <w:p w14:paraId="23A31AF8">
            <w:pPr>
              <w:pStyle w:val="247"/>
              <w:jc w:val="center"/>
              <w:rPr>
                <w:rFonts w:ascii="Times New Roman" w:eastAsia="宋体"/>
                <w:sz w:val="30"/>
              </w:rPr>
            </w:pPr>
          </w:p>
        </w:tc>
      </w:tr>
    </w:tbl>
    <w:p w14:paraId="69FFD559">
      <w:pPr>
        <w:adjustRightInd w:val="0"/>
        <w:snapToGrid w:val="0"/>
        <w:spacing w:line="360" w:lineRule="auto"/>
        <w:ind w:firstLine="480" w:firstLineChars="200"/>
        <w:jc w:val="left"/>
        <w:rPr>
          <w:sz w:val="24"/>
        </w:rPr>
      </w:pPr>
    </w:p>
    <w:p w14:paraId="5B056004">
      <w:pPr>
        <w:adjustRightInd w:val="0"/>
        <w:snapToGrid w:val="0"/>
        <w:spacing w:line="360" w:lineRule="auto"/>
        <w:jc w:val="left"/>
        <w:rPr>
          <w:sz w:val="24"/>
        </w:rPr>
      </w:pPr>
    </w:p>
    <w:p w14:paraId="2D138B2A">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7F16E22F">
      <w:pPr>
        <w:spacing w:line="360" w:lineRule="auto"/>
        <w:ind w:right="-57" w:firstLine="480"/>
        <w:jc w:val="right"/>
        <w:rPr>
          <w:color w:val="000000"/>
          <w:sz w:val="24"/>
        </w:rPr>
      </w:pPr>
      <w:r>
        <w:rPr>
          <w:color w:val="000000"/>
          <w:sz w:val="24"/>
          <w:szCs w:val="20"/>
        </w:rPr>
        <w:t>日期：_____年______月______日</w:t>
      </w:r>
    </w:p>
    <w:p w14:paraId="75C4CD3D">
      <w:pPr>
        <w:adjustRightInd w:val="0"/>
        <w:snapToGrid w:val="0"/>
        <w:spacing w:line="360" w:lineRule="auto"/>
        <w:jc w:val="left"/>
        <w:rPr>
          <w:sz w:val="24"/>
        </w:rPr>
      </w:pPr>
    </w:p>
    <w:p w14:paraId="74B61B89">
      <w:pPr>
        <w:adjustRightInd w:val="0"/>
        <w:snapToGrid w:val="0"/>
        <w:spacing w:line="360" w:lineRule="auto"/>
        <w:jc w:val="left"/>
        <w:rPr>
          <w:sz w:val="24"/>
        </w:rPr>
      </w:pPr>
      <w:r>
        <w:rPr>
          <w:sz w:val="24"/>
        </w:rPr>
        <w:t>说明：</w:t>
      </w:r>
    </w:p>
    <w:p w14:paraId="0BA0F904">
      <w:pPr>
        <w:adjustRightInd w:val="0"/>
        <w:snapToGrid w:val="0"/>
        <w:spacing w:line="360" w:lineRule="auto"/>
        <w:jc w:val="left"/>
        <w:rPr>
          <w:sz w:val="24"/>
        </w:rPr>
      </w:pPr>
      <w:r>
        <w:rPr>
          <w:sz w:val="24"/>
        </w:rPr>
        <w:t>（1）本表仅在投标人“为落实政府采购政策”而向中小企业分包时填写，非因“为落实政府采购政策”而进行的分包请按照《</w:t>
      </w:r>
      <w:r>
        <w:rPr>
          <w:color w:val="000000"/>
          <w:sz w:val="24"/>
          <w:szCs w:val="20"/>
        </w:rPr>
        <w:t>拟分包情况说明（类型二）</w:t>
      </w:r>
      <w:r>
        <w:rPr>
          <w:sz w:val="24"/>
        </w:rPr>
        <w:t>》要求填写。</w:t>
      </w:r>
    </w:p>
    <w:p w14:paraId="0896099C">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AD43693">
      <w:pPr>
        <w:adjustRightInd w:val="0"/>
        <w:snapToGrid w:val="0"/>
        <w:spacing w:line="360" w:lineRule="auto"/>
        <w:jc w:val="left"/>
        <w:rPr>
          <w:color w:val="000000"/>
          <w:sz w:val="30"/>
          <w:szCs w:val="30"/>
        </w:rPr>
      </w:pPr>
      <w:r>
        <w:rPr>
          <w:sz w:val="24"/>
        </w:rPr>
        <w:t>（3）投标人与上述拟分包承担主体签署的《分包意向协议》后附。</w:t>
      </w:r>
    </w:p>
    <w:p w14:paraId="1EB135F8">
      <w:pPr>
        <w:autoSpaceDE w:val="0"/>
        <w:autoSpaceDN w:val="0"/>
        <w:adjustRightInd w:val="0"/>
        <w:spacing w:line="360" w:lineRule="auto"/>
        <w:jc w:val="center"/>
        <w:rPr>
          <w:rFonts w:hint="eastAsia"/>
          <w:b/>
          <w:color w:val="000000"/>
          <w:sz w:val="36"/>
          <w:szCs w:val="36"/>
        </w:rPr>
      </w:pPr>
      <w:r>
        <w:rPr>
          <w:color w:val="000000"/>
          <w:sz w:val="30"/>
          <w:szCs w:val="30"/>
        </w:rPr>
        <w:br w:type="page"/>
      </w:r>
      <w:r>
        <w:rPr>
          <w:rFonts w:hint="eastAsia"/>
          <w:b/>
          <w:color w:val="000000"/>
          <w:sz w:val="36"/>
          <w:szCs w:val="36"/>
        </w:rPr>
        <w:t>附：分包意向协议</w:t>
      </w:r>
      <w:r>
        <w:rPr>
          <w:rFonts w:hint="eastAsia"/>
          <w:b/>
          <w:color w:val="000000"/>
          <w:sz w:val="36"/>
          <w:szCs w:val="36"/>
          <w:lang w:val="en-US" w:eastAsia="zh-CN"/>
        </w:rPr>
        <w:t>（非实质性格式）</w:t>
      </w:r>
    </w:p>
    <w:p w14:paraId="51DBCF32">
      <w:pPr>
        <w:autoSpaceDE w:val="0"/>
        <w:autoSpaceDN w:val="0"/>
        <w:adjustRightInd w:val="0"/>
        <w:spacing w:line="360" w:lineRule="auto"/>
        <w:jc w:val="center"/>
        <w:rPr>
          <w:b/>
          <w:color w:val="000000"/>
          <w:sz w:val="36"/>
          <w:szCs w:val="36"/>
        </w:rPr>
      </w:pPr>
    </w:p>
    <w:p w14:paraId="3704C30B">
      <w:pPr>
        <w:adjustRightInd w:val="0"/>
        <w:snapToGrid w:val="0"/>
        <w:spacing w:line="360" w:lineRule="auto"/>
        <w:ind w:firstLine="480" w:firstLineChars="200"/>
        <w:jc w:val="left"/>
        <w:rPr>
          <w:sz w:val="24"/>
        </w:rPr>
      </w:pPr>
      <w:r>
        <w:rPr>
          <w:sz w:val="24"/>
        </w:rPr>
        <w:t>甲方（投标人）：________</w:t>
      </w:r>
    </w:p>
    <w:p w14:paraId="4A549921">
      <w:pPr>
        <w:adjustRightInd w:val="0"/>
        <w:snapToGrid w:val="0"/>
        <w:spacing w:line="360" w:lineRule="auto"/>
        <w:ind w:firstLine="480" w:firstLineChars="200"/>
        <w:jc w:val="left"/>
        <w:rPr>
          <w:sz w:val="24"/>
        </w:rPr>
      </w:pPr>
      <w:r>
        <w:rPr>
          <w:sz w:val="24"/>
        </w:rPr>
        <w:t>乙方（拟分包单位）：________</w:t>
      </w:r>
    </w:p>
    <w:p w14:paraId="6AD7B699">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15147D52">
      <w:pPr>
        <w:adjustRightInd w:val="0"/>
        <w:snapToGrid w:val="0"/>
        <w:spacing w:line="360" w:lineRule="auto"/>
        <w:ind w:firstLine="480" w:firstLineChars="200"/>
        <w:jc w:val="left"/>
        <w:rPr>
          <w:sz w:val="24"/>
        </w:rPr>
      </w:pPr>
      <w:r>
        <w:rPr>
          <w:sz w:val="24"/>
        </w:rPr>
        <w:t>1.分包内容：_____。</w:t>
      </w:r>
    </w:p>
    <w:p w14:paraId="027B9FFC">
      <w:pPr>
        <w:adjustRightInd w:val="0"/>
        <w:snapToGrid w:val="0"/>
        <w:spacing w:line="360" w:lineRule="auto"/>
        <w:ind w:firstLine="480" w:firstLineChars="200"/>
        <w:jc w:val="left"/>
        <w:rPr>
          <w:sz w:val="24"/>
        </w:rPr>
      </w:pPr>
      <w:r>
        <w:rPr>
          <w:sz w:val="24"/>
        </w:rPr>
        <w:t>2.分包金额：_____，该金额占该采购包预算总金额的比例为___%。</w:t>
      </w:r>
    </w:p>
    <w:p w14:paraId="130F5147">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7300E3B7">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7D5A4417">
      <w:pPr>
        <w:spacing w:line="360" w:lineRule="auto"/>
        <w:ind w:firstLine="471"/>
        <w:rPr>
          <w:b/>
          <w:color w:val="000000"/>
          <w:sz w:val="24"/>
        </w:rPr>
      </w:pPr>
    </w:p>
    <w:p w14:paraId="55DB12F1">
      <w:pPr>
        <w:spacing w:line="360" w:lineRule="auto"/>
        <w:ind w:firstLine="471"/>
        <w:rPr>
          <w:b/>
          <w:color w:val="000000"/>
          <w:sz w:val="24"/>
        </w:rPr>
      </w:pPr>
      <w:r>
        <w:rPr>
          <w:color w:val="000000"/>
          <w:sz w:val="24"/>
        </w:rPr>
        <w:t>甲方（盖章）：_________                 乙方（盖章）：_________</w:t>
      </w:r>
    </w:p>
    <w:p w14:paraId="43379BFF">
      <w:pPr>
        <w:spacing w:line="360" w:lineRule="auto"/>
        <w:ind w:left="480"/>
        <w:jc w:val="right"/>
        <w:rPr>
          <w:color w:val="000000"/>
          <w:sz w:val="24"/>
        </w:rPr>
      </w:pPr>
    </w:p>
    <w:p w14:paraId="098ACDD0">
      <w:pPr>
        <w:wordWrap w:val="0"/>
        <w:spacing w:line="360" w:lineRule="auto"/>
        <w:ind w:left="480"/>
        <w:jc w:val="right"/>
        <w:rPr>
          <w:b/>
          <w:color w:val="000000"/>
          <w:sz w:val="24"/>
        </w:rPr>
      </w:pPr>
      <w:r>
        <w:rPr>
          <w:color w:val="000000"/>
          <w:sz w:val="24"/>
          <w:szCs w:val="20"/>
        </w:rPr>
        <w:t xml:space="preserve">日期：_____年______月______日   </w:t>
      </w:r>
    </w:p>
    <w:p w14:paraId="670DBFD4">
      <w:pPr>
        <w:tabs>
          <w:tab w:val="left" w:pos="8280"/>
        </w:tabs>
        <w:spacing w:line="360" w:lineRule="auto"/>
        <w:ind w:firstLine="480"/>
        <w:rPr>
          <w:color w:val="000000"/>
          <w:sz w:val="24"/>
        </w:rPr>
      </w:pPr>
    </w:p>
    <w:p w14:paraId="4DCC448C">
      <w:pPr>
        <w:tabs>
          <w:tab w:val="left" w:pos="8280"/>
        </w:tabs>
        <w:spacing w:line="360" w:lineRule="auto"/>
        <w:rPr>
          <w:color w:val="000000"/>
          <w:sz w:val="24"/>
        </w:rPr>
        <w:sectPr>
          <w:headerReference r:id="rId11" w:type="first"/>
          <w:footerReference r:id="rId13" w:type="first"/>
          <w:headerReference r:id="rId10" w:type="even"/>
          <w:footerReference r:id="rId12" w:type="even"/>
          <w:pgSz w:w="11907" w:h="16840"/>
          <w:pgMar w:top="1418" w:right="1134" w:bottom="1418" w:left="1701" w:header="1134" w:footer="1134" w:gutter="0"/>
          <w:cols w:space="720" w:num="1"/>
          <w:docGrid w:linePitch="462" w:charSpace="0"/>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080CF41F">
      <w:pPr>
        <w:spacing w:line="360" w:lineRule="auto"/>
        <w:outlineLvl w:val="9"/>
        <w:rPr>
          <w:color w:val="000000"/>
          <w:sz w:val="24"/>
          <w:szCs w:val="20"/>
        </w:rPr>
      </w:pPr>
      <w:r>
        <w:rPr>
          <w:sz w:val="24"/>
        </w:rPr>
        <w:t>其它落实政府采购政策的资格要求</w:t>
      </w:r>
      <w:r>
        <w:rPr>
          <w:color w:val="000000"/>
          <w:sz w:val="24"/>
          <w:szCs w:val="20"/>
        </w:rPr>
        <w:t>（如有）</w:t>
      </w:r>
    </w:p>
    <w:p w14:paraId="7B0860DC">
      <w:pPr>
        <w:widowControl/>
        <w:jc w:val="left"/>
        <w:outlineLvl w:val="2"/>
        <w:rPr>
          <w:sz w:val="24"/>
        </w:rPr>
      </w:pPr>
      <w:r>
        <w:rPr>
          <w:sz w:val="24"/>
        </w:rPr>
        <w:t>本项目的特定资格要求</w:t>
      </w:r>
      <w:r>
        <w:rPr>
          <w:color w:val="000000"/>
          <w:sz w:val="24"/>
          <w:szCs w:val="20"/>
        </w:rPr>
        <w:t>（如有）</w:t>
      </w:r>
    </w:p>
    <w:p w14:paraId="059A45B9">
      <w:pPr>
        <w:spacing w:line="360" w:lineRule="auto"/>
        <w:outlineLvl w:val="9"/>
        <w:rPr>
          <w:color w:val="000000"/>
          <w:sz w:val="24"/>
          <w:szCs w:val="20"/>
        </w:rPr>
      </w:pPr>
      <w:r>
        <w:rPr>
          <w:color w:val="000000"/>
          <w:sz w:val="24"/>
          <w:szCs w:val="20"/>
        </w:rPr>
        <w:t>联合协议（如有）（</w:t>
      </w:r>
      <w:r>
        <w:rPr>
          <w:rFonts w:hint="eastAsia"/>
          <w:color w:val="000000"/>
          <w:sz w:val="24"/>
          <w:szCs w:val="20"/>
          <w:lang w:val="en-US" w:eastAsia="zh-CN"/>
        </w:rPr>
        <w:t>非</w:t>
      </w:r>
      <w:r>
        <w:rPr>
          <w:color w:val="000000"/>
          <w:sz w:val="24"/>
          <w:szCs w:val="20"/>
        </w:rPr>
        <w:t>实质性格式）</w:t>
      </w:r>
    </w:p>
    <w:p w14:paraId="13751721">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6418E28">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6BA1A84F">
      <w:pPr>
        <w:numPr>
          <w:ilvl w:val="0"/>
          <w:numId w:val="12"/>
        </w:numPr>
        <w:spacing w:line="360" w:lineRule="auto"/>
        <w:rPr>
          <w:bCs/>
          <w:color w:val="000000"/>
          <w:sz w:val="24"/>
        </w:rPr>
      </w:pPr>
      <w:r>
        <w:rPr>
          <w:bCs/>
          <w:color w:val="000000"/>
          <w:sz w:val="24"/>
        </w:rPr>
        <w:t>由_________牵头，_________、__________参加，组成联合体共同进行招标项目的投标工作。</w:t>
      </w:r>
    </w:p>
    <w:p w14:paraId="393210E3">
      <w:pPr>
        <w:numPr>
          <w:ilvl w:val="0"/>
          <w:numId w:val="12"/>
        </w:numPr>
        <w:spacing w:line="360" w:lineRule="auto"/>
        <w:rPr>
          <w:bCs/>
          <w:color w:val="000000"/>
          <w:sz w:val="24"/>
        </w:rPr>
      </w:pPr>
      <w:r>
        <w:rPr>
          <w:bCs/>
          <w:color w:val="000000"/>
          <w:sz w:val="24"/>
        </w:rPr>
        <w:t>______为本次投标的牵头人，联合体以牵头人的名义参加投标，联合体中标后，联合体各方共同与</w:t>
      </w:r>
      <w:r>
        <w:rPr>
          <w:rFonts w:hint="eastAsia"/>
          <w:bCs/>
          <w:color w:val="000000"/>
          <w:sz w:val="24"/>
          <w:lang w:eastAsia="zh-CN"/>
        </w:rPr>
        <w:t>招标人</w:t>
      </w:r>
      <w:r>
        <w:rPr>
          <w:bCs/>
          <w:color w:val="000000"/>
          <w:sz w:val="24"/>
        </w:rPr>
        <w:t>签订合同，就</w:t>
      </w:r>
      <w:r>
        <w:rPr>
          <w:rFonts w:hint="eastAsia"/>
          <w:bCs/>
          <w:color w:val="000000"/>
          <w:sz w:val="24"/>
        </w:rPr>
        <w:t>采购合同约定的事项</w:t>
      </w:r>
      <w:r>
        <w:rPr>
          <w:bCs/>
          <w:color w:val="000000"/>
          <w:sz w:val="24"/>
        </w:rPr>
        <w:t>对</w:t>
      </w:r>
      <w:r>
        <w:rPr>
          <w:rFonts w:hint="eastAsia"/>
          <w:bCs/>
          <w:color w:val="000000"/>
          <w:sz w:val="24"/>
          <w:lang w:eastAsia="zh-CN"/>
        </w:rPr>
        <w:t>招标人</w:t>
      </w:r>
      <w:r>
        <w:rPr>
          <w:bCs/>
          <w:color w:val="000000"/>
          <w:sz w:val="24"/>
        </w:rPr>
        <w:t>承担连带责任。</w:t>
      </w:r>
    </w:p>
    <w:p w14:paraId="7367EC2A">
      <w:pPr>
        <w:numPr>
          <w:ilvl w:val="0"/>
          <w:numId w:val="12"/>
        </w:numPr>
        <w:spacing w:line="360" w:lineRule="auto"/>
        <w:rPr>
          <w:bCs/>
          <w:color w:val="000000"/>
          <w:sz w:val="24"/>
        </w:rPr>
      </w:pPr>
      <w:r>
        <w:rPr>
          <w:bCs/>
          <w:color w:val="000000"/>
          <w:sz w:val="24"/>
        </w:rPr>
        <w:t>联合体各方均同意由牵头人代表其他联合体成员单位按招标文件要求出具《授权委托书》。</w:t>
      </w:r>
    </w:p>
    <w:p w14:paraId="266A8DB6">
      <w:pPr>
        <w:numPr>
          <w:ilvl w:val="0"/>
          <w:numId w:val="12"/>
        </w:numPr>
        <w:spacing w:line="360" w:lineRule="auto"/>
        <w:rPr>
          <w:bCs/>
          <w:color w:val="000000"/>
          <w:sz w:val="24"/>
        </w:rPr>
      </w:pPr>
      <w:r>
        <w:rPr>
          <w:bCs/>
          <w:color w:val="000000"/>
          <w:sz w:val="24"/>
        </w:rPr>
        <w:t>牵头人为项目的总负责单位；组织各参加方进行项目实施工作。</w:t>
      </w:r>
    </w:p>
    <w:p w14:paraId="10943009">
      <w:pPr>
        <w:numPr>
          <w:ilvl w:val="0"/>
          <w:numId w:val="12"/>
        </w:numPr>
        <w:spacing w:line="360" w:lineRule="auto"/>
        <w:rPr>
          <w:bCs/>
          <w:color w:val="000000"/>
          <w:sz w:val="24"/>
        </w:rPr>
      </w:pPr>
      <w:r>
        <w:rPr>
          <w:bCs/>
          <w:color w:val="000000"/>
          <w:sz w:val="24"/>
        </w:rPr>
        <w:t>______负责_____，具体工作范围、内容以投标文件及合同为准。</w:t>
      </w:r>
    </w:p>
    <w:p w14:paraId="6A1D6E73">
      <w:pPr>
        <w:numPr>
          <w:ilvl w:val="0"/>
          <w:numId w:val="12"/>
        </w:numPr>
        <w:spacing w:line="360" w:lineRule="auto"/>
        <w:rPr>
          <w:bCs/>
          <w:color w:val="000000"/>
          <w:sz w:val="24"/>
        </w:rPr>
      </w:pPr>
      <w:r>
        <w:rPr>
          <w:bCs/>
          <w:color w:val="000000"/>
          <w:sz w:val="24"/>
        </w:rPr>
        <w:t>______负责_____，具体工作范围、内容以投标文件及合同为准。</w:t>
      </w:r>
    </w:p>
    <w:p w14:paraId="0A3E29B1">
      <w:pPr>
        <w:numPr>
          <w:ilvl w:val="0"/>
          <w:numId w:val="12"/>
        </w:numPr>
        <w:spacing w:line="360" w:lineRule="auto"/>
        <w:rPr>
          <w:bCs/>
          <w:color w:val="000000"/>
          <w:sz w:val="24"/>
        </w:rPr>
      </w:pPr>
      <w:r>
        <w:rPr>
          <w:bCs/>
          <w:color w:val="000000"/>
          <w:sz w:val="24"/>
        </w:rPr>
        <w:t>______负责_____（如有），具体工作范围、内容以投标文件及合同为准。</w:t>
      </w:r>
    </w:p>
    <w:p w14:paraId="49729529">
      <w:pPr>
        <w:numPr>
          <w:ilvl w:val="0"/>
          <w:numId w:val="12"/>
        </w:numPr>
        <w:spacing w:line="360" w:lineRule="auto"/>
        <w:rPr>
          <w:sz w:val="24"/>
        </w:rPr>
      </w:pPr>
      <w:r>
        <w:rPr>
          <w:sz w:val="24"/>
        </w:rPr>
        <w:t>本项目联合协议合同总额为________元，联合体各成员按照如下比例分摊（按联合体成员分别列明）：</w:t>
      </w:r>
    </w:p>
    <w:p w14:paraId="7AD0009C">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05230389">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1F7ECB21">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D40A66A">
      <w:pPr>
        <w:numPr>
          <w:ilvl w:val="0"/>
          <w:numId w:val="12"/>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w:t>
      </w:r>
      <w:r>
        <w:rPr>
          <w:rFonts w:hint="eastAsia"/>
          <w:bCs/>
          <w:color w:val="000000"/>
          <w:sz w:val="24"/>
          <w:lang w:eastAsia="zh-CN"/>
        </w:rPr>
        <w:t>投标人</w:t>
      </w:r>
      <w:r>
        <w:rPr>
          <w:rFonts w:hint="eastAsia"/>
          <w:bCs/>
          <w:color w:val="000000"/>
          <w:sz w:val="24"/>
        </w:rPr>
        <w:t>另外组成联合体参加同一合同项下的政府采购活动</w:t>
      </w:r>
      <w:r>
        <w:rPr>
          <w:bCs/>
          <w:color w:val="000000"/>
          <w:sz w:val="24"/>
        </w:rPr>
        <w:t>。</w:t>
      </w:r>
    </w:p>
    <w:p w14:paraId="4C099705">
      <w:pPr>
        <w:numPr>
          <w:ilvl w:val="0"/>
          <w:numId w:val="12"/>
        </w:numPr>
        <w:spacing w:line="360" w:lineRule="auto"/>
        <w:rPr>
          <w:bCs/>
          <w:color w:val="000000"/>
          <w:sz w:val="24"/>
        </w:rPr>
      </w:pPr>
      <w:r>
        <w:rPr>
          <w:bCs/>
          <w:color w:val="000000"/>
          <w:sz w:val="24"/>
        </w:rPr>
        <w:t>其他约定（如有）：_______</w:t>
      </w:r>
      <w:r>
        <w:rPr>
          <w:rFonts w:hint="eastAsia"/>
          <w:bCs/>
          <w:color w:val="000000"/>
          <w:sz w:val="24"/>
        </w:rPr>
        <w:t>。</w:t>
      </w:r>
    </w:p>
    <w:p w14:paraId="248E3559">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3D98D870">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3A79D3B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26BD2E96">
      <w:pPr>
        <w:spacing w:line="360" w:lineRule="auto"/>
        <w:ind w:firstLine="471"/>
        <w:rPr>
          <w:color w:val="000000"/>
          <w:sz w:val="24"/>
        </w:rPr>
      </w:pPr>
    </w:p>
    <w:p w14:paraId="250196D6">
      <w:pPr>
        <w:spacing w:line="360" w:lineRule="auto"/>
        <w:ind w:firstLine="471"/>
        <w:rPr>
          <w:color w:val="000000"/>
          <w:sz w:val="24"/>
        </w:rPr>
      </w:pPr>
    </w:p>
    <w:p w14:paraId="0088C0F1">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64C138E">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26BCE3BB">
      <w:pPr>
        <w:spacing w:line="360" w:lineRule="auto"/>
        <w:ind w:firstLine="471"/>
        <w:rPr>
          <w:color w:val="000000"/>
          <w:sz w:val="24"/>
        </w:rPr>
      </w:pPr>
    </w:p>
    <w:p w14:paraId="15861D7A">
      <w:pPr>
        <w:spacing w:line="360" w:lineRule="auto"/>
        <w:ind w:firstLine="471"/>
        <w:rPr>
          <w:color w:val="000000"/>
          <w:sz w:val="24"/>
        </w:rPr>
      </w:pPr>
    </w:p>
    <w:p w14:paraId="6E7A3813">
      <w:pPr>
        <w:spacing w:line="360" w:lineRule="auto"/>
        <w:ind w:left="480"/>
        <w:jc w:val="right"/>
        <w:rPr>
          <w:color w:val="000000"/>
          <w:sz w:val="24"/>
        </w:rPr>
      </w:pPr>
    </w:p>
    <w:p w14:paraId="45740BF3">
      <w:pPr>
        <w:spacing w:line="360" w:lineRule="auto"/>
        <w:ind w:left="480"/>
        <w:jc w:val="right"/>
        <w:rPr>
          <w:color w:val="000000"/>
          <w:sz w:val="24"/>
        </w:rPr>
      </w:pPr>
      <w:r>
        <w:rPr>
          <w:color w:val="000000"/>
          <w:sz w:val="24"/>
          <w:szCs w:val="20"/>
        </w:rPr>
        <w:t>日期：_____年______月______日</w:t>
      </w:r>
    </w:p>
    <w:p w14:paraId="59F4BC84">
      <w:pPr>
        <w:spacing w:line="360" w:lineRule="auto"/>
        <w:ind w:left="480"/>
        <w:jc w:val="right"/>
        <w:rPr>
          <w:b/>
          <w:color w:val="000000"/>
          <w:sz w:val="24"/>
        </w:rPr>
      </w:pPr>
    </w:p>
    <w:p w14:paraId="2D3927C0">
      <w:pPr>
        <w:tabs>
          <w:tab w:val="left" w:pos="8280"/>
        </w:tabs>
        <w:spacing w:line="360" w:lineRule="auto"/>
        <w:ind w:firstLine="480"/>
        <w:rPr>
          <w:color w:val="000000"/>
          <w:sz w:val="24"/>
        </w:rPr>
      </w:pPr>
    </w:p>
    <w:p w14:paraId="2F4C1318">
      <w:pPr>
        <w:tabs>
          <w:tab w:val="left" w:pos="8280"/>
        </w:tabs>
        <w:spacing w:line="360" w:lineRule="auto"/>
        <w:ind w:firstLine="480"/>
        <w:rPr>
          <w:color w:val="000000"/>
          <w:sz w:val="24"/>
        </w:rPr>
      </w:pPr>
    </w:p>
    <w:p w14:paraId="78430DA0">
      <w:pPr>
        <w:spacing w:line="360" w:lineRule="auto"/>
        <w:ind w:left="719" w:leftChars="228" w:hanging="240" w:hangingChars="100"/>
        <w:rPr>
          <w:sz w:val="24"/>
        </w:rPr>
      </w:pPr>
      <w:r>
        <w:rPr>
          <w:color w:val="000000"/>
          <w:sz w:val="24"/>
        </w:rPr>
        <w:t>注：联合体各方成员应在本协议上共同盖章，不得分别签署协议书。</w:t>
      </w:r>
    </w:p>
    <w:p w14:paraId="7656C906">
      <w:pPr>
        <w:pStyle w:val="2"/>
        <w:rPr>
          <w:sz w:val="24"/>
          <w:szCs w:val="20"/>
        </w:rPr>
      </w:pPr>
    </w:p>
    <w:p w14:paraId="090DBFC5">
      <w:pPr>
        <w:rPr>
          <w:sz w:val="24"/>
          <w:szCs w:val="20"/>
        </w:rPr>
      </w:pPr>
    </w:p>
    <w:p w14:paraId="56CEE1FF">
      <w:pPr>
        <w:pStyle w:val="2"/>
        <w:rPr>
          <w:sz w:val="24"/>
          <w:szCs w:val="20"/>
        </w:rPr>
      </w:pPr>
    </w:p>
    <w:p w14:paraId="61FFFBB7">
      <w:pPr>
        <w:rPr>
          <w:sz w:val="24"/>
          <w:szCs w:val="20"/>
        </w:rPr>
      </w:pPr>
    </w:p>
    <w:p w14:paraId="08B0AE60">
      <w:pPr>
        <w:pStyle w:val="2"/>
        <w:rPr>
          <w:sz w:val="24"/>
          <w:szCs w:val="20"/>
        </w:rPr>
      </w:pPr>
    </w:p>
    <w:p w14:paraId="64E7DA41">
      <w:pPr>
        <w:rPr>
          <w:sz w:val="24"/>
          <w:szCs w:val="20"/>
        </w:rPr>
      </w:pPr>
    </w:p>
    <w:p w14:paraId="499924D0">
      <w:pPr>
        <w:pStyle w:val="2"/>
        <w:rPr>
          <w:sz w:val="24"/>
          <w:szCs w:val="20"/>
        </w:rPr>
      </w:pPr>
    </w:p>
    <w:p w14:paraId="524A4DF1">
      <w:pPr>
        <w:rPr>
          <w:sz w:val="24"/>
          <w:szCs w:val="20"/>
        </w:rPr>
      </w:pPr>
    </w:p>
    <w:p w14:paraId="7ED9094C">
      <w:pPr>
        <w:pStyle w:val="2"/>
        <w:rPr>
          <w:sz w:val="24"/>
          <w:szCs w:val="20"/>
        </w:rPr>
      </w:pPr>
    </w:p>
    <w:p w14:paraId="1ED8104F">
      <w:pPr>
        <w:rPr>
          <w:sz w:val="24"/>
          <w:szCs w:val="20"/>
        </w:rPr>
      </w:pPr>
    </w:p>
    <w:p w14:paraId="03641CDA">
      <w:pPr>
        <w:pStyle w:val="2"/>
        <w:rPr>
          <w:sz w:val="24"/>
          <w:szCs w:val="20"/>
        </w:rPr>
      </w:pPr>
    </w:p>
    <w:p w14:paraId="44949D84">
      <w:pPr>
        <w:rPr>
          <w:sz w:val="24"/>
          <w:szCs w:val="20"/>
        </w:rPr>
      </w:pPr>
    </w:p>
    <w:p w14:paraId="2003336C">
      <w:pPr>
        <w:pStyle w:val="2"/>
        <w:rPr>
          <w:sz w:val="24"/>
          <w:szCs w:val="20"/>
        </w:rPr>
      </w:pPr>
    </w:p>
    <w:p w14:paraId="64A70BF4">
      <w:pPr>
        <w:rPr>
          <w:sz w:val="24"/>
          <w:szCs w:val="20"/>
        </w:rPr>
      </w:pPr>
    </w:p>
    <w:p w14:paraId="6A797490">
      <w:pPr>
        <w:pStyle w:val="2"/>
        <w:rPr>
          <w:sz w:val="24"/>
          <w:szCs w:val="20"/>
        </w:rPr>
      </w:pPr>
    </w:p>
    <w:p w14:paraId="4DF84008">
      <w:pPr>
        <w:rPr>
          <w:sz w:val="24"/>
          <w:szCs w:val="20"/>
        </w:rPr>
      </w:pPr>
    </w:p>
    <w:p w14:paraId="5EA906E5">
      <w:pPr>
        <w:pStyle w:val="2"/>
        <w:rPr>
          <w:sz w:val="24"/>
          <w:szCs w:val="20"/>
        </w:rPr>
      </w:pPr>
    </w:p>
    <w:p w14:paraId="04999F98">
      <w:pPr>
        <w:rPr>
          <w:sz w:val="24"/>
          <w:szCs w:val="20"/>
        </w:rPr>
      </w:pPr>
    </w:p>
    <w:p w14:paraId="7F1345CA">
      <w:pPr>
        <w:pStyle w:val="2"/>
        <w:rPr>
          <w:sz w:val="24"/>
          <w:szCs w:val="20"/>
        </w:rPr>
      </w:pPr>
    </w:p>
    <w:p w14:paraId="6348F5F6">
      <w:pPr>
        <w:rPr>
          <w:sz w:val="24"/>
          <w:szCs w:val="20"/>
        </w:rPr>
      </w:pPr>
    </w:p>
    <w:p w14:paraId="62538C77">
      <w:pPr>
        <w:pStyle w:val="2"/>
        <w:rPr>
          <w:sz w:val="24"/>
          <w:szCs w:val="20"/>
        </w:rPr>
      </w:pPr>
    </w:p>
    <w:p w14:paraId="398E129C">
      <w:pPr>
        <w:rPr>
          <w:sz w:val="24"/>
          <w:szCs w:val="20"/>
        </w:rPr>
      </w:pPr>
    </w:p>
    <w:p w14:paraId="662299E9">
      <w:pPr>
        <w:pStyle w:val="2"/>
        <w:rPr>
          <w:sz w:val="24"/>
          <w:szCs w:val="20"/>
        </w:rPr>
      </w:pPr>
    </w:p>
    <w:p w14:paraId="71036051">
      <w:pPr>
        <w:rPr>
          <w:sz w:val="24"/>
          <w:szCs w:val="20"/>
        </w:rPr>
      </w:pPr>
    </w:p>
    <w:p w14:paraId="56D657F7">
      <w:pPr>
        <w:pStyle w:val="2"/>
        <w:rPr>
          <w:sz w:val="24"/>
          <w:szCs w:val="20"/>
        </w:rPr>
      </w:pPr>
    </w:p>
    <w:p w14:paraId="712D7A7B">
      <w:pPr>
        <w:widowControl/>
        <w:jc w:val="left"/>
        <w:outlineLvl w:val="2"/>
        <w:rPr>
          <w:color w:val="000000"/>
          <w:sz w:val="24"/>
          <w:szCs w:val="20"/>
        </w:rPr>
      </w:pPr>
      <w:bookmarkStart w:id="917" w:name="_Hlt520274393"/>
      <w:bookmarkEnd w:id="917"/>
      <w:bookmarkStart w:id="918" w:name="_Hlt520274407"/>
      <w:bookmarkEnd w:id="918"/>
      <w:bookmarkStart w:id="919" w:name="_Hlt520274065"/>
      <w:bookmarkEnd w:id="919"/>
      <w:bookmarkStart w:id="920" w:name="_Hlt520350918"/>
      <w:bookmarkEnd w:id="920"/>
      <w:bookmarkStart w:id="921" w:name="_Hlt520343000"/>
      <w:bookmarkEnd w:id="921"/>
      <w:bookmarkStart w:id="922" w:name="_Hlt520343392"/>
      <w:bookmarkEnd w:id="922"/>
      <w:bookmarkStart w:id="923" w:name="_Hlt520355504"/>
      <w:bookmarkEnd w:id="923"/>
      <w:bookmarkStart w:id="924" w:name="_Hlt520273711"/>
      <w:bookmarkEnd w:id="924"/>
      <w:bookmarkStart w:id="925" w:name="_Hlt520271212"/>
      <w:bookmarkEnd w:id="925"/>
      <w:bookmarkStart w:id="926" w:name="_Hlt520274121"/>
      <w:bookmarkEnd w:id="926"/>
      <w:bookmarkStart w:id="927" w:name="_Toc480942349"/>
      <w:bookmarkStart w:id="928" w:name="_Ref467988698"/>
      <w:bookmarkStart w:id="929" w:name="_Toc150480794"/>
      <w:bookmarkStart w:id="930" w:name="_Toc127151556"/>
      <w:bookmarkStart w:id="931" w:name="_Toc150774761"/>
      <w:bookmarkStart w:id="932" w:name="_Toc520356217"/>
      <w:bookmarkStart w:id="933" w:name="_Toc142311058"/>
      <w:bookmarkStart w:id="934" w:name="_Toc226337252"/>
      <w:bookmarkStart w:id="935" w:name="_Toc195842921"/>
      <w:bookmarkStart w:id="936" w:name="_Toc226965746"/>
      <w:bookmarkStart w:id="937" w:name="_Toc226965829"/>
      <w:bookmarkStart w:id="938" w:name="_Toc226309800"/>
      <w:r>
        <w:rPr>
          <w:color w:val="000000"/>
          <w:sz w:val="24"/>
          <w:szCs w:val="20"/>
        </w:rPr>
        <w:t xml:space="preserve"> </w:t>
      </w:r>
      <w:r>
        <w:rPr>
          <w:color w:val="000000"/>
          <w:sz w:val="24"/>
        </w:rPr>
        <w:t>投标</w:t>
      </w:r>
      <w:bookmarkEnd w:id="927"/>
      <w:bookmarkEnd w:id="928"/>
      <w:r>
        <w:rPr>
          <w:color w:val="000000"/>
          <w:sz w:val="24"/>
        </w:rPr>
        <w:t>书</w:t>
      </w:r>
      <w:bookmarkEnd w:id="929"/>
      <w:bookmarkEnd w:id="930"/>
      <w:bookmarkEnd w:id="931"/>
      <w:bookmarkEnd w:id="932"/>
      <w:bookmarkEnd w:id="933"/>
      <w:bookmarkEnd w:id="934"/>
      <w:bookmarkEnd w:id="935"/>
      <w:bookmarkEnd w:id="936"/>
      <w:bookmarkEnd w:id="937"/>
      <w:bookmarkEnd w:id="938"/>
      <w:r>
        <w:rPr>
          <w:color w:val="000000"/>
          <w:sz w:val="24"/>
          <w:szCs w:val="20"/>
        </w:rPr>
        <w:t>（实质性格式）</w:t>
      </w:r>
    </w:p>
    <w:p w14:paraId="3754B59E">
      <w:pPr>
        <w:tabs>
          <w:tab w:val="left" w:pos="5580"/>
        </w:tabs>
        <w:spacing w:line="360" w:lineRule="auto"/>
        <w:rPr>
          <w:color w:val="000000"/>
          <w:sz w:val="24"/>
        </w:rPr>
      </w:pPr>
    </w:p>
    <w:p w14:paraId="52E9164F">
      <w:pPr>
        <w:spacing w:line="360" w:lineRule="auto"/>
        <w:jc w:val="center"/>
        <w:rPr>
          <w:b/>
          <w:color w:val="000000"/>
          <w:sz w:val="36"/>
          <w:szCs w:val="36"/>
        </w:rPr>
      </w:pPr>
      <w:r>
        <w:rPr>
          <w:rFonts w:hint="eastAsia"/>
          <w:b/>
          <w:color w:val="000000"/>
          <w:sz w:val="36"/>
          <w:szCs w:val="36"/>
        </w:rPr>
        <w:t>投标书</w:t>
      </w:r>
    </w:p>
    <w:p w14:paraId="1B1D84A7">
      <w:pPr>
        <w:tabs>
          <w:tab w:val="left" w:pos="5580"/>
        </w:tabs>
        <w:spacing w:line="360" w:lineRule="auto"/>
        <w:rPr>
          <w:color w:val="000000"/>
          <w:sz w:val="24"/>
        </w:rPr>
      </w:pPr>
      <w:r>
        <w:rPr>
          <w:color w:val="000000"/>
          <w:sz w:val="24"/>
        </w:rPr>
        <w:t>致：</w:t>
      </w:r>
      <w:r>
        <w:rPr>
          <w:color w:val="000000"/>
          <w:sz w:val="24"/>
          <w:u w:val="single"/>
        </w:rPr>
        <w:t>（</w:t>
      </w:r>
      <w:r>
        <w:rPr>
          <w:rFonts w:hint="eastAsia"/>
          <w:color w:val="000000"/>
          <w:sz w:val="24"/>
          <w:u w:val="single"/>
          <w:lang w:eastAsia="zh-CN"/>
        </w:rPr>
        <w:t>招标人</w:t>
      </w:r>
      <w:r>
        <w:rPr>
          <w:color w:val="000000"/>
          <w:sz w:val="24"/>
          <w:u w:val="single"/>
        </w:rPr>
        <w:t>或</w:t>
      </w:r>
      <w:r>
        <w:rPr>
          <w:rFonts w:hint="eastAsia"/>
          <w:color w:val="000000"/>
          <w:sz w:val="24"/>
          <w:u w:val="single"/>
          <w:lang w:eastAsia="zh-CN"/>
        </w:rPr>
        <w:t>招标代理机构</w:t>
      </w:r>
      <w:r>
        <w:rPr>
          <w:color w:val="000000"/>
          <w:sz w:val="24"/>
          <w:u w:val="single"/>
        </w:rPr>
        <w:t>）</w:t>
      </w:r>
    </w:p>
    <w:p w14:paraId="229CA547">
      <w:pPr>
        <w:tabs>
          <w:tab w:val="left" w:pos="5580"/>
        </w:tabs>
        <w:spacing w:line="360" w:lineRule="auto"/>
        <w:rPr>
          <w:color w:val="000000"/>
          <w:sz w:val="24"/>
          <w:szCs w:val="20"/>
        </w:rPr>
      </w:pPr>
    </w:p>
    <w:p w14:paraId="0E96D4C2">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32AA1899">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2F6E194">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（1）本投标有效期为自提交投标文件的截止之日起个日历日。</w:t>
      </w:r>
    </w:p>
    <w:p w14:paraId="08EC5FCB">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5AEE75B9">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78337A7F">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1622CAAC">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1B745037">
      <w:pPr>
        <w:spacing w:line="360" w:lineRule="auto"/>
        <w:ind w:firstLine="480" w:firstLineChars="200"/>
        <w:rPr>
          <w:color w:val="000000"/>
          <w:sz w:val="24"/>
        </w:rPr>
      </w:pPr>
      <w:r>
        <w:rPr>
          <w:color w:val="000000"/>
          <w:sz w:val="24"/>
        </w:rPr>
        <w:t>与本投标有关的一切正式往来信函请寄：</w:t>
      </w:r>
    </w:p>
    <w:p w14:paraId="7E9134BD">
      <w:pPr>
        <w:tabs>
          <w:tab w:val="left" w:pos="5580"/>
        </w:tabs>
        <w:spacing w:line="360" w:lineRule="auto"/>
        <w:ind w:left="420"/>
        <w:rPr>
          <w:color w:val="000000"/>
          <w:sz w:val="24"/>
          <w:szCs w:val="20"/>
        </w:rPr>
      </w:pPr>
    </w:p>
    <w:p w14:paraId="7EC090E3">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16AD8E1C">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468B9B4">
      <w:pPr>
        <w:tabs>
          <w:tab w:val="left" w:pos="5580"/>
        </w:tabs>
        <w:spacing w:line="360" w:lineRule="auto"/>
        <w:ind w:left="420"/>
        <w:rPr>
          <w:color w:val="000000"/>
          <w:sz w:val="24"/>
          <w:szCs w:val="20"/>
        </w:rPr>
      </w:pPr>
    </w:p>
    <w:p w14:paraId="0D5BE0FA">
      <w:pPr>
        <w:tabs>
          <w:tab w:val="left" w:pos="5580"/>
        </w:tabs>
        <w:spacing w:line="360" w:lineRule="auto"/>
        <w:ind w:left="420"/>
        <w:rPr>
          <w:color w:val="000000"/>
          <w:sz w:val="24"/>
          <w:szCs w:val="20"/>
        </w:rPr>
      </w:pPr>
      <w:r>
        <w:rPr>
          <w:color w:val="000000"/>
          <w:sz w:val="24"/>
          <w:szCs w:val="20"/>
        </w:rPr>
        <w:t>投标人名称（加盖公章） ___________</w:t>
      </w:r>
    </w:p>
    <w:p w14:paraId="7994CA86">
      <w:pPr>
        <w:tabs>
          <w:tab w:val="left" w:pos="5580"/>
        </w:tabs>
        <w:spacing w:line="360" w:lineRule="auto"/>
        <w:ind w:left="420"/>
        <w:rPr>
          <w:color w:val="000000"/>
          <w:sz w:val="24"/>
          <w:szCs w:val="20"/>
        </w:rPr>
      </w:pPr>
      <w:r>
        <w:rPr>
          <w:color w:val="000000"/>
          <w:sz w:val="24"/>
          <w:szCs w:val="20"/>
        </w:rPr>
        <w:t xml:space="preserve">日期：_____年______月______日    </w:t>
      </w:r>
    </w:p>
    <w:p w14:paraId="3A403D31">
      <w:pPr>
        <w:tabs>
          <w:tab w:val="left" w:pos="5580"/>
        </w:tabs>
        <w:spacing w:line="360" w:lineRule="auto"/>
        <w:ind w:left="420"/>
        <w:rPr>
          <w:color w:val="000000"/>
          <w:sz w:val="24"/>
          <w:szCs w:val="20"/>
          <w:u w:val="single"/>
        </w:rPr>
      </w:pPr>
    </w:p>
    <w:p w14:paraId="408E01B3">
      <w:pPr>
        <w:widowControl/>
        <w:jc w:val="left"/>
        <w:outlineLvl w:val="2"/>
        <w:rPr>
          <w:color w:val="000000"/>
          <w:sz w:val="24"/>
        </w:rPr>
      </w:pPr>
      <w:bookmarkStart w:id="939" w:name="_Hlt520355938"/>
      <w:bookmarkEnd w:id="939"/>
      <w:bookmarkStart w:id="940" w:name="_Hlt520356243"/>
      <w:bookmarkEnd w:id="940"/>
      <w:bookmarkStart w:id="941" w:name="_Toc195842922"/>
      <w:bookmarkStart w:id="942" w:name="_Toc305158899"/>
      <w:bookmarkStart w:id="943" w:name="_Toc305158825"/>
      <w:bookmarkStart w:id="944" w:name="_Toc150480795"/>
      <w:bookmarkStart w:id="945" w:name="_Toc226309801"/>
      <w:bookmarkStart w:id="946" w:name="_Toc480942350"/>
      <w:bookmarkStart w:id="947" w:name="_Toc264969247"/>
      <w:bookmarkStart w:id="948" w:name="_Toc265228395"/>
      <w:bookmarkStart w:id="949" w:name="_Toc142311059"/>
      <w:bookmarkStart w:id="950" w:name="_Toc226965747"/>
      <w:bookmarkStart w:id="951" w:name="_Ref467988705"/>
      <w:bookmarkStart w:id="952" w:name="_Toc127151557"/>
      <w:bookmarkStart w:id="953" w:name="_Toc520356218"/>
      <w:bookmarkStart w:id="954" w:name="_Toc226337253"/>
      <w:bookmarkStart w:id="955" w:name="_Toc226965830"/>
      <w:bookmarkStart w:id="956" w:name="_Toc150774762"/>
      <w:r>
        <w:rPr>
          <w:color w:val="000000"/>
          <w:sz w:val="24"/>
        </w:rPr>
        <w:br w:type="page"/>
      </w:r>
      <w:r>
        <w:rPr>
          <w:color w:val="000000"/>
          <w:sz w:val="24"/>
        </w:rPr>
        <w:t>授权委托书（实质性格式）</w:t>
      </w:r>
    </w:p>
    <w:p w14:paraId="60BF14C5">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0DD4CC95">
      <w:pPr>
        <w:spacing w:line="360" w:lineRule="auto"/>
        <w:ind w:firstLine="420"/>
        <w:rPr>
          <w:rFonts w:ascii="宋体" w:hAnsi="宋体"/>
          <w:color w:val="000000"/>
          <w:sz w:val="24"/>
          <w:szCs w:val="20"/>
        </w:rPr>
      </w:pPr>
    </w:p>
    <w:p w14:paraId="068D145A">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3F8E011F">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0904BAEC">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65A520E7">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23AD6DE6">
      <w:pPr>
        <w:spacing w:line="360" w:lineRule="auto"/>
        <w:rPr>
          <w:rFonts w:ascii="宋体" w:hAnsi="宋体"/>
          <w:color w:val="000000"/>
          <w:sz w:val="24"/>
          <w:szCs w:val="20"/>
        </w:rPr>
      </w:pPr>
      <w:r>
        <w:rPr>
          <w:rFonts w:ascii="宋体" w:hAnsi="宋体"/>
          <w:color w:val="000000"/>
          <w:sz w:val="24"/>
          <w:szCs w:val="20"/>
        </w:rPr>
        <w:t>法定代表人（签字</w:t>
      </w:r>
      <w:r>
        <w:rPr>
          <w:rFonts w:hint="eastAsia" w:ascii="宋体" w:hAnsi="宋体"/>
          <w:color w:val="000000"/>
          <w:sz w:val="24"/>
          <w:szCs w:val="20"/>
          <w:lang w:eastAsia="zh-CN"/>
        </w:rPr>
        <w:t>或</w:t>
      </w:r>
      <w:r>
        <w:rPr>
          <w:rFonts w:hint="eastAsia" w:ascii="宋体" w:hAnsi="宋体"/>
          <w:color w:val="000000"/>
          <w:sz w:val="24"/>
          <w:szCs w:val="20"/>
        </w:rPr>
        <w:t>签章）</w:t>
      </w:r>
      <w:r>
        <w:rPr>
          <w:rFonts w:ascii="宋体" w:hAnsi="宋体"/>
          <w:color w:val="000000"/>
          <w:sz w:val="24"/>
          <w:szCs w:val="20"/>
        </w:rPr>
        <w:t>：</w:t>
      </w:r>
      <w:r>
        <w:rPr>
          <w:rFonts w:ascii="宋体" w:hAnsi="宋体"/>
          <w:color w:val="000000"/>
          <w:sz w:val="24"/>
          <w:lang w:val="zh-CN"/>
        </w:rPr>
        <w:t>________________</w:t>
      </w:r>
    </w:p>
    <w:p w14:paraId="321EF11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22F52997">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1CD078F8">
      <w:pPr>
        <w:tabs>
          <w:tab w:val="left" w:pos="5580"/>
        </w:tabs>
        <w:spacing w:line="360" w:lineRule="auto"/>
        <w:ind w:firstLine="480" w:firstLineChars="200"/>
        <w:rPr>
          <w:rFonts w:ascii="宋体" w:hAnsi="宋体"/>
          <w:color w:val="000000"/>
          <w:sz w:val="24"/>
          <w:szCs w:val="20"/>
        </w:rPr>
      </w:pPr>
    </w:p>
    <w:p w14:paraId="2F612AF4">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F2F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0E539ACE">
            <w:pPr>
              <w:tabs>
                <w:tab w:val="left" w:pos="5580"/>
              </w:tabs>
              <w:spacing w:line="360" w:lineRule="auto"/>
              <w:jc w:val="left"/>
              <w:rPr>
                <w:rFonts w:ascii="宋体" w:hAnsi="宋体"/>
                <w:color w:val="000000"/>
                <w:sz w:val="24"/>
                <w:szCs w:val="20"/>
              </w:rPr>
            </w:pPr>
          </w:p>
          <w:p w14:paraId="00EA672E">
            <w:pPr>
              <w:tabs>
                <w:tab w:val="left" w:pos="5580"/>
              </w:tabs>
              <w:spacing w:line="360" w:lineRule="auto"/>
              <w:jc w:val="left"/>
              <w:rPr>
                <w:rFonts w:ascii="宋体" w:hAnsi="宋体"/>
                <w:color w:val="000000"/>
                <w:sz w:val="24"/>
                <w:szCs w:val="20"/>
              </w:rPr>
            </w:pPr>
          </w:p>
          <w:p w14:paraId="30E44A5A">
            <w:pPr>
              <w:tabs>
                <w:tab w:val="left" w:pos="5580"/>
              </w:tabs>
              <w:spacing w:line="360" w:lineRule="auto"/>
              <w:jc w:val="left"/>
              <w:rPr>
                <w:rFonts w:ascii="宋体" w:hAnsi="宋体"/>
                <w:color w:val="000000"/>
                <w:sz w:val="24"/>
                <w:szCs w:val="20"/>
              </w:rPr>
            </w:pPr>
          </w:p>
        </w:tc>
        <w:tc>
          <w:tcPr>
            <w:tcW w:w="4536" w:type="dxa"/>
            <w:noWrap w:val="0"/>
            <w:vAlign w:val="top"/>
          </w:tcPr>
          <w:p w14:paraId="7FB280BF">
            <w:pPr>
              <w:tabs>
                <w:tab w:val="left" w:pos="5580"/>
              </w:tabs>
              <w:spacing w:line="360" w:lineRule="auto"/>
              <w:jc w:val="left"/>
              <w:rPr>
                <w:rFonts w:ascii="宋体" w:hAnsi="宋体"/>
                <w:color w:val="000000"/>
                <w:sz w:val="24"/>
                <w:szCs w:val="20"/>
              </w:rPr>
            </w:pPr>
          </w:p>
          <w:p w14:paraId="32465C61">
            <w:pPr>
              <w:tabs>
                <w:tab w:val="left" w:pos="5580"/>
              </w:tabs>
              <w:spacing w:line="360" w:lineRule="auto"/>
              <w:jc w:val="left"/>
              <w:rPr>
                <w:rFonts w:ascii="宋体" w:hAnsi="宋体"/>
                <w:color w:val="000000"/>
                <w:sz w:val="24"/>
                <w:szCs w:val="20"/>
              </w:rPr>
            </w:pPr>
          </w:p>
          <w:p w14:paraId="6BB42279">
            <w:pPr>
              <w:tabs>
                <w:tab w:val="left" w:pos="5580"/>
              </w:tabs>
              <w:spacing w:line="360" w:lineRule="auto"/>
              <w:jc w:val="left"/>
              <w:rPr>
                <w:rFonts w:ascii="宋体" w:hAnsi="宋体"/>
                <w:color w:val="000000"/>
                <w:sz w:val="24"/>
                <w:szCs w:val="20"/>
              </w:rPr>
            </w:pPr>
          </w:p>
        </w:tc>
      </w:tr>
    </w:tbl>
    <w:p w14:paraId="56D11699">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C394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9941166">
            <w:pPr>
              <w:tabs>
                <w:tab w:val="left" w:pos="5580"/>
              </w:tabs>
              <w:spacing w:line="360" w:lineRule="auto"/>
              <w:jc w:val="left"/>
              <w:rPr>
                <w:rFonts w:ascii="宋体" w:hAnsi="宋体"/>
                <w:color w:val="000000"/>
                <w:sz w:val="24"/>
                <w:szCs w:val="20"/>
              </w:rPr>
            </w:pPr>
          </w:p>
          <w:p w14:paraId="225C1A1D">
            <w:pPr>
              <w:tabs>
                <w:tab w:val="left" w:pos="5580"/>
              </w:tabs>
              <w:spacing w:line="360" w:lineRule="auto"/>
              <w:jc w:val="left"/>
              <w:rPr>
                <w:rFonts w:ascii="宋体" w:hAnsi="宋体"/>
                <w:color w:val="000000"/>
                <w:sz w:val="24"/>
                <w:szCs w:val="20"/>
              </w:rPr>
            </w:pPr>
          </w:p>
          <w:p w14:paraId="17511CD4">
            <w:pPr>
              <w:tabs>
                <w:tab w:val="left" w:pos="5580"/>
              </w:tabs>
              <w:spacing w:line="360" w:lineRule="auto"/>
              <w:jc w:val="left"/>
              <w:rPr>
                <w:rFonts w:ascii="宋体" w:hAnsi="宋体"/>
                <w:color w:val="000000"/>
                <w:sz w:val="24"/>
                <w:szCs w:val="20"/>
              </w:rPr>
            </w:pPr>
          </w:p>
        </w:tc>
        <w:tc>
          <w:tcPr>
            <w:tcW w:w="4536" w:type="dxa"/>
            <w:noWrap w:val="0"/>
            <w:vAlign w:val="top"/>
          </w:tcPr>
          <w:p w14:paraId="0823971E">
            <w:pPr>
              <w:tabs>
                <w:tab w:val="left" w:pos="5580"/>
              </w:tabs>
              <w:spacing w:line="360" w:lineRule="auto"/>
              <w:jc w:val="left"/>
              <w:rPr>
                <w:rFonts w:ascii="宋体" w:hAnsi="宋体"/>
                <w:color w:val="000000"/>
                <w:sz w:val="24"/>
                <w:szCs w:val="20"/>
              </w:rPr>
            </w:pPr>
          </w:p>
          <w:p w14:paraId="32AB9C24">
            <w:pPr>
              <w:tabs>
                <w:tab w:val="left" w:pos="5580"/>
              </w:tabs>
              <w:spacing w:line="360" w:lineRule="auto"/>
              <w:jc w:val="left"/>
              <w:rPr>
                <w:rFonts w:ascii="宋体" w:hAnsi="宋体"/>
                <w:color w:val="000000"/>
                <w:sz w:val="24"/>
                <w:szCs w:val="20"/>
              </w:rPr>
            </w:pPr>
          </w:p>
          <w:p w14:paraId="1A19D7C3">
            <w:pPr>
              <w:tabs>
                <w:tab w:val="left" w:pos="5580"/>
              </w:tabs>
              <w:spacing w:line="360" w:lineRule="auto"/>
              <w:jc w:val="left"/>
              <w:rPr>
                <w:rFonts w:ascii="宋体" w:hAnsi="宋体"/>
                <w:color w:val="000000"/>
                <w:sz w:val="24"/>
                <w:szCs w:val="20"/>
              </w:rPr>
            </w:pPr>
          </w:p>
        </w:tc>
      </w:tr>
    </w:tbl>
    <w:p w14:paraId="00551A18">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612F3091">
      <w:pPr>
        <w:tabs>
          <w:tab w:val="left" w:pos="5580"/>
        </w:tabs>
        <w:spacing w:line="360" w:lineRule="auto"/>
        <w:jc w:val="left"/>
        <w:rPr>
          <w:rFonts w:ascii="宋体" w:hAnsi="宋体"/>
          <w:color w:val="000000"/>
          <w:sz w:val="24"/>
          <w:szCs w:val="20"/>
        </w:rPr>
      </w:pPr>
      <w:r>
        <w:rPr>
          <w:rFonts w:ascii="宋体" w:hAnsi="宋体"/>
          <w:color w:val="000000"/>
          <w:sz w:val="24"/>
          <w:szCs w:val="20"/>
        </w:rPr>
        <w:t>1.若</w:t>
      </w:r>
      <w:r>
        <w:rPr>
          <w:rFonts w:hint="eastAsia" w:ascii="宋体" w:hAnsi="宋体"/>
          <w:color w:val="000000"/>
          <w:sz w:val="24"/>
          <w:szCs w:val="20"/>
          <w:lang w:eastAsia="zh-CN"/>
        </w:rPr>
        <w:t>投标人</w:t>
      </w:r>
      <w:r>
        <w:rPr>
          <w:rFonts w:ascii="宋体" w:hAnsi="宋体"/>
          <w:color w:val="000000"/>
          <w:sz w:val="24"/>
          <w:szCs w:val="20"/>
        </w:rPr>
        <w:t>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14:paraId="3393682E">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14:paraId="10CD78B9">
      <w:pPr>
        <w:tabs>
          <w:tab w:val="left" w:pos="5580"/>
        </w:tabs>
        <w:spacing w:line="360" w:lineRule="auto"/>
        <w:jc w:val="both"/>
        <w:rPr>
          <w:rFonts w:ascii="宋体" w:hAnsi="宋体"/>
          <w:b/>
          <w:color w:val="000000"/>
          <w:sz w:val="36"/>
          <w:szCs w:val="36"/>
        </w:rPr>
      </w:pPr>
      <w:r>
        <w:rPr>
          <w:rFonts w:ascii="宋体" w:hAnsi="宋体"/>
          <w:color w:val="000000"/>
          <w:sz w:val="24"/>
          <w:szCs w:val="20"/>
        </w:rPr>
        <w:t>3.</w:t>
      </w:r>
      <w:r>
        <w:rPr>
          <w:rFonts w:hint="eastAsia" w:ascii="宋体" w:hAnsi="宋体"/>
          <w:color w:val="000000"/>
          <w:sz w:val="24"/>
          <w:szCs w:val="20"/>
          <w:lang w:eastAsia="zh-CN"/>
        </w:rPr>
        <w:t>投标人</w:t>
      </w:r>
      <w:r>
        <w:rPr>
          <w:rFonts w:hint="eastAsia" w:ascii="宋体" w:hAnsi="宋体"/>
          <w:color w:val="000000"/>
          <w:sz w:val="24"/>
          <w:szCs w:val="20"/>
        </w:rPr>
        <w:t>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r>
        <w:rPr>
          <w:rFonts w:hint="eastAsia" w:ascii="宋体" w:hAnsi="宋体"/>
          <w:b/>
          <w:color w:val="000000"/>
          <w:sz w:val="36"/>
          <w:szCs w:val="36"/>
        </w:rPr>
        <w:t>附：</w:t>
      </w:r>
      <w:r>
        <w:rPr>
          <w:rFonts w:ascii="宋体" w:hAnsi="宋体"/>
          <w:b/>
          <w:color w:val="000000"/>
          <w:sz w:val="36"/>
          <w:szCs w:val="36"/>
        </w:rPr>
        <w:t>法定代表人（单位负责人）身份证明</w:t>
      </w:r>
    </w:p>
    <w:p w14:paraId="332E5636">
      <w:pPr>
        <w:kinsoku w:val="0"/>
        <w:overflowPunct w:val="0"/>
        <w:spacing w:line="200" w:lineRule="exact"/>
        <w:rPr>
          <w:rFonts w:ascii="宋体" w:hAnsi="宋体"/>
          <w:sz w:val="20"/>
          <w:szCs w:val="20"/>
        </w:rPr>
      </w:pPr>
    </w:p>
    <w:p w14:paraId="27495F51">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lang w:eastAsia="zh-CN"/>
        </w:rPr>
        <w:t>招标人</w:t>
      </w:r>
      <w:r>
        <w:rPr>
          <w:rFonts w:hint="eastAsia" w:ascii="宋体" w:hAnsi="宋体"/>
          <w:color w:val="000000"/>
          <w:sz w:val="24"/>
          <w:u w:val="single"/>
        </w:rPr>
        <w:t>或</w:t>
      </w:r>
      <w:r>
        <w:rPr>
          <w:rFonts w:hint="eastAsia" w:ascii="宋体" w:hAnsi="宋体"/>
          <w:color w:val="000000"/>
          <w:sz w:val="24"/>
          <w:u w:val="single"/>
          <w:lang w:eastAsia="zh-CN"/>
        </w:rPr>
        <w:t>招标代理机构</w:t>
      </w:r>
      <w:r>
        <w:rPr>
          <w:rFonts w:ascii="宋体" w:hAnsi="宋体"/>
          <w:color w:val="000000"/>
          <w:sz w:val="24"/>
          <w:u w:val="single"/>
        </w:rPr>
        <w:t>）</w:t>
      </w:r>
    </w:p>
    <w:p w14:paraId="4EC1FE4F">
      <w:pPr>
        <w:pStyle w:val="17"/>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77F4F95B">
      <w:pPr>
        <w:pStyle w:val="17"/>
        <w:tabs>
          <w:tab w:val="left" w:pos="1690"/>
          <w:tab w:val="left" w:pos="3400"/>
          <w:tab w:val="left" w:pos="5110"/>
          <w:tab w:val="left" w:pos="6821"/>
        </w:tabs>
        <w:kinsoku w:val="0"/>
        <w:overflowPunct w:val="0"/>
        <w:spacing w:line="335" w:lineRule="exact"/>
      </w:pPr>
      <w:r>
        <w:t>姓名</w:t>
      </w:r>
      <w:r>
        <w:rPr>
          <w:rFonts w:hint="eastAsia"/>
        </w:rPr>
        <w:t>：</w:t>
      </w:r>
      <w:r>
        <w:t>___性别：__年龄：____职务：____</w:t>
      </w:r>
    </w:p>
    <w:p w14:paraId="5155FF83">
      <w:pPr>
        <w:pStyle w:val="17"/>
        <w:tabs>
          <w:tab w:val="left" w:pos="2412"/>
          <w:tab w:val="left" w:pos="3883"/>
          <w:tab w:val="left" w:pos="5352"/>
          <w:tab w:val="left" w:pos="6821"/>
        </w:tabs>
        <w:kinsoku w:val="0"/>
        <w:overflowPunct w:val="0"/>
        <w:spacing w:line="335" w:lineRule="exact"/>
      </w:pPr>
    </w:p>
    <w:p w14:paraId="33733B6D">
      <w:pPr>
        <w:pStyle w:val="17"/>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3ADD1BAE">
      <w:pPr>
        <w:pStyle w:val="17"/>
        <w:tabs>
          <w:tab w:val="left" w:pos="2412"/>
          <w:tab w:val="left" w:pos="3883"/>
          <w:tab w:val="left" w:pos="5352"/>
          <w:tab w:val="left" w:pos="6821"/>
        </w:tabs>
        <w:kinsoku w:val="0"/>
        <w:overflowPunct w:val="0"/>
        <w:spacing w:line="335" w:lineRule="exact"/>
      </w:pPr>
    </w:p>
    <w:p w14:paraId="701B70CB">
      <w:pPr>
        <w:pStyle w:val="17"/>
        <w:tabs>
          <w:tab w:val="left" w:pos="2412"/>
          <w:tab w:val="left" w:pos="3883"/>
          <w:tab w:val="left" w:pos="5352"/>
          <w:tab w:val="left" w:pos="6821"/>
        </w:tabs>
        <w:kinsoku w:val="0"/>
        <w:overflowPunct w:val="0"/>
        <w:spacing w:line="335" w:lineRule="exact"/>
      </w:pPr>
    </w:p>
    <w:p w14:paraId="240B9B62">
      <w:pPr>
        <w:pStyle w:val="17"/>
        <w:tabs>
          <w:tab w:val="left" w:pos="2412"/>
          <w:tab w:val="left" w:pos="3883"/>
          <w:tab w:val="left" w:pos="5352"/>
          <w:tab w:val="left" w:pos="6821"/>
        </w:tabs>
        <w:kinsoku w:val="0"/>
        <w:overflowPunct w:val="0"/>
        <w:spacing w:line="335" w:lineRule="exact"/>
      </w:pPr>
    </w:p>
    <w:p w14:paraId="10CAA248">
      <w:pPr>
        <w:pStyle w:val="17"/>
        <w:kinsoku w:val="0"/>
        <w:overflowPunct w:val="0"/>
        <w:spacing w:line="583" w:lineRule="auto"/>
        <w:ind w:right="-46"/>
        <w:rPr>
          <w:spacing w:val="-3"/>
        </w:rPr>
      </w:pPr>
      <w:r>
        <w:t>附：</w:t>
      </w:r>
      <w:r>
        <w:rPr>
          <w:spacing w:val="-3"/>
        </w:rPr>
        <w:t>法</w:t>
      </w:r>
      <w:r>
        <w:t>定</w:t>
      </w:r>
      <w:r>
        <w:rPr>
          <w:spacing w:val="-3"/>
        </w:rPr>
        <w:t>代</w:t>
      </w:r>
      <w:r>
        <w:t>表</w:t>
      </w:r>
      <w:r>
        <w:rPr>
          <w:spacing w:val="-3"/>
        </w:rPr>
        <w:t>人有效期内的身</w:t>
      </w:r>
      <w:r>
        <w:rPr>
          <w:rFonts w:hint="eastAsia"/>
          <w:spacing w:val="-3"/>
        </w:rPr>
        <w:t>份</w:t>
      </w:r>
      <w:r>
        <w:rPr>
          <w:spacing w:val="-3"/>
        </w:rPr>
        <w:t>证</w:t>
      </w:r>
      <w:r>
        <w:rPr>
          <w:rFonts w:hint="eastAsia"/>
          <w:spacing w:val="-3"/>
          <w:lang w:val="en-US" w:eastAsia="zh-CN"/>
        </w:rPr>
        <w:t>原件扫描版</w:t>
      </w:r>
      <w:r>
        <w:rPr>
          <w:spacing w:val="-3"/>
        </w:rPr>
        <w:t>正反面</w:t>
      </w:r>
      <w:r>
        <w:rPr>
          <w:rFonts w:hint="eastAsia"/>
          <w:spacing w:val="-3"/>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73E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B0CCF79">
            <w:pPr>
              <w:tabs>
                <w:tab w:val="left" w:pos="5580"/>
              </w:tabs>
              <w:spacing w:line="360" w:lineRule="auto"/>
              <w:jc w:val="left"/>
              <w:rPr>
                <w:rFonts w:ascii="宋体" w:hAnsi="宋体"/>
                <w:color w:val="000000"/>
                <w:sz w:val="24"/>
                <w:szCs w:val="20"/>
              </w:rPr>
            </w:pPr>
          </w:p>
          <w:p w14:paraId="49982322">
            <w:pPr>
              <w:tabs>
                <w:tab w:val="left" w:pos="5580"/>
              </w:tabs>
              <w:spacing w:line="360" w:lineRule="auto"/>
              <w:jc w:val="left"/>
              <w:rPr>
                <w:rFonts w:ascii="宋体" w:hAnsi="宋体"/>
                <w:color w:val="000000"/>
                <w:sz w:val="24"/>
                <w:szCs w:val="20"/>
              </w:rPr>
            </w:pPr>
          </w:p>
          <w:p w14:paraId="71A7A702">
            <w:pPr>
              <w:tabs>
                <w:tab w:val="left" w:pos="5580"/>
              </w:tabs>
              <w:spacing w:line="360" w:lineRule="auto"/>
              <w:jc w:val="left"/>
              <w:rPr>
                <w:rFonts w:ascii="宋体" w:hAnsi="宋体"/>
                <w:color w:val="000000"/>
                <w:sz w:val="24"/>
                <w:szCs w:val="20"/>
              </w:rPr>
            </w:pPr>
          </w:p>
        </w:tc>
        <w:tc>
          <w:tcPr>
            <w:tcW w:w="4536" w:type="dxa"/>
            <w:noWrap w:val="0"/>
            <w:vAlign w:val="top"/>
          </w:tcPr>
          <w:p w14:paraId="46DEC2E4">
            <w:pPr>
              <w:tabs>
                <w:tab w:val="left" w:pos="5580"/>
              </w:tabs>
              <w:spacing w:line="360" w:lineRule="auto"/>
              <w:jc w:val="left"/>
              <w:rPr>
                <w:rFonts w:ascii="宋体" w:hAnsi="宋体"/>
                <w:color w:val="000000"/>
                <w:sz w:val="24"/>
                <w:szCs w:val="20"/>
              </w:rPr>
            </w:pPr>
          </w:p>
          <w:p w14:paraId="52070A59">
            <w:pPr>
              <w:tabs>
                <w:tab w:val="left" w:pos="5580"/>
              </w:tabs>
              <w:spacing w:line="360" w:lineRule="auto"/>
              <w:jc w:val="left"/>
              <w:rPr>
                <w:rFonts w:ascii="宋体" w:hAnsi="宋体"/>
                <w:color w:val="000000"/>
                <w:sz w:val="24"/>
                <w:szCs w:val="20"/>
              </w:rPr>
            </w:pPr>
          </w:p>
          <w:p w14:paraId="2776D836">
            <w:pPr>
              <w:tabs>
                <w:tab w:val="left" w:pos="5580"/>
              </w:tabs>
              <w:spacing w:line="360" w:lineRule="auto"/>
              <w:jc w:val="left"/>
              <w:rPr>
                <w:rFonts w:ascii="宋体" w:hAnsi="宋体"/>
                <w:color w:val="000000"/>
                <w:sz w:val="24"/>
                <w:szCs w:val="20"/>
              </w:rPr>
            </w:pPr>
          </w:p>
        </w:tc>
      </w:tr>
    </w:tbl>
    <w:p w14:paraId="6982487F">
      <w:pPr>
        <w:pStyle w:val="17"/>
        <w:kinsoku w:val="0"/>
        <w:overflowPunct w:val="0"/>
        <w:spacing w:line="583" w:lineRule="auto"/>
        <w:ind w:right="4305"/>
        <w:rPr>
          <w:spacing w:val="-3"/>
        </w:rPr>
      </w:pPr>
    </w:p>
    <w:p w14:paraId="5EEADCDC">
      <w:pPr>
        <w:pStyle w:val="17"/>
        <w:kinsoku w:val="0"/>
        <w:overflowPunct w:val="0"/>
        <w:spacing w:line="583" w:lineRule="auto"/>
        <w:ind w:right="4305"/>
        <w:rPr>
          <w:spacing w:val="-3"/>
        </w:rPr>
      </w:pPr>
    </w:p>
    <w:p w14:paraId="57A06E8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2B72035">
      <w:pPr>
        <w:pStyle w:val="17"/>
        <w:kinsoku w:val="0"/>
        <w:overflowPunct w:val="0"/>
        <w:spacing w:line="583" w:lineRule="auto"/>
        <w:ind w:right="95"/>
        <w:rPr>
          <w:spacing w:val="-3"/>
        </w:rPr>
      </w:pPr>
      <w:r>
        <w:rPr>
          <w:rFonts w:hint="eastAsia"/>
          <w:spacing w:val="-3"/>
        </w:rPr>
        <w:t>法定代表人（签字</w:t>
      </w:r>
      <w:r>
        <w:rPr>
          <w:rFonts w:hint="eastAsia"/>
          <w:spacing w:val="-3"/>
          <w:lang w:eastAsia="zh-CN"/>
        </w:rPr>
        <w:t>或</w:t>
      </w:r>
      <w:r>
        <w:rPr>
          <w:rFonts w:hint="eastAsia"/>
          <w:spacing w:val="-3"/>
        </w:rPr>
        <w:t>签章）：_</w:t>
      </w:r>
      <w:r>
        <w:rPr>
          <w:spacing w:val="-3"/>
        </w:rPr>
        <w:t>______</w:t>
      </w:r>
    </w:p>
    <w:p w14:paraId="6352671B">
      <w:pPr>
        <w:autoSpaceDE w:val="0"/>
        <w:autoSpaceDN w:val="0"/>
        <w:adjustRightInd w:val="0"/>
        <w:snapToGrid w:val="0"/>
        <w:spacing w:line="360" w:lineRule="auto"/>
        <w:rPr>
          <w:rFonts w:ascii="宋体" w:hAnsi="宋体"/>
          <w:color w:val="000000"/>
          <w:sz w:val="24"/>
        </w:rPr>
      </w:pPr>
    </w:p>
    <w:p w14:paraId="37DADBF6">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1B2C390D">
      <w:pPr>
        <w:widowControl/>
        <w:jc w:val="left"/>
        <w:rPr>
          <w:rFonts w:ascii="宋体" w:hAnsi="宋体"/>
          <w:i/>
          <w:color w:val="000000"/>
          <w:sz w:val="24"/>
          <w:szCs w:val="20"/>
          <w:u w:val="single"/>
        </w:rPr>
      </w:pPr>
    </w:p>
    <w:p w14:paraId="399E9A83">
      <w:pPr>
        <w:widowControl/>
        <w:jc w:val="left"/>
        <w:outlineLvl w:val="2"/>
        <w:rPr>
          <w:color w:val="000000"/>
          <w:sz w:val="24"/>
          <w:szCs w:val="20"/>
        </w:rPr>
      </w:pPr>
      <w:r>
        <w:rPr>
          <w:color w:val="000000"/>
          <w:sz w:val="24"/>
          <w:szCs w:val="20"/>
        </w:rPr>
        <w:br w:type="page"/>
      </w:r>
      <w:r>
        <w:rPr>
          <w:color w:val="000000"/>
          <w:sz w:val="24"/>
          <w:szCs w:val="20"/>
        </w:rPr>
        <w:t>开标一览表</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color w:val="000000"/>
          <w:sz w:val="24"/>
          <w:szCs w:val="20"/>
        </w:rPr>
        <w:t>（实质性格式）</w:t>
      </w:r>
    </w:p>
    <w:p w14:paraId="284E745D">
      <w:pPr>
        <w:spacing w:line="360" w:lineRule="exact"/>
        <w:jc w:val="center"/>
        <w:rPr>
          <w:b/>
          <w:color w:val="000000"/>
          <w:sz w:val="36"/>
          <w:szCs w:val="36"/>
        </w:rPr>
      </w:pPr>
      <w:bookmarkStart w:id="957" w:name="_Toc226965748"/>
      <w:bookmarkStart w:id="958" w:name="_Toc195842923"/>
      <w:bookmarkStart w:id="959" w:name="_Toc226337254"/>
      <w:bookmarkStart w:id="960" w:name="_Toc305158900"/>
      <w:bookmarkStart w:id="961" w:name="_Toc164608672"/>
      <w:bookmarkStart w:id="962" w:name="_Toc265228396"/>
      <w:bookmarkStart w:id="963" w:name="_Toc226309802"/>
      <w:bookmarkStart w:id="964" w:name="_Toc264969248"/>
      <w:bookmarkStart w:id="965" w:name="_Toc164608827"/>
      <w:bookmarkStart w:id="966" w:name="_Toc305158826"/>
      <w:bookmarkStart w:id="967" w:name="_Toc226965831"/>
      <w:r>
        <w:rPr>
          <w:rFonts w:hint="eastAsia"/>
          <w:b/>
          <w:color w:val="000000"/>
          <w:sz w:val="36"/>
          <w:szCs w:val="36"/>
        </w:rPr>
        <w:t>开标一览表</w:t>
      </w:r>
      <w:bookmarkEnd w:id="957"/>
      <w:bookmarkEnd w:id="958"/>
      <w:bookmarkEnd w:id="959"/>
      <w:bookmarkEnd w:id="960"/>
      <w:bookmarkEnd w:id="961"/>
      <w:bookmarkEnd w:id="962"/>
      <w:bookmarkEnd w:id="963"/>
      <w:bookmarkEnd w:id="964"/>
      <w:bookmarkEnd w:id="965"/>
      <w:bookmarkEnd w:id="966"/>
      <w:bookmarkEnd w:id="967"/>
    </w:p>
    <w:p w14:paraId="6DE453DE">
      <w:pPr>
        <w:tabs>
          <w:tab w:val="left" w:pos="1800"/>
          <w:tab w:val="left" w:pos="5580"/>
        </w:tabs>
        <w:spacing w:line="360" w:lineRule="auto"/>
        <w:jc w:val="left"/>
        <w:rPr>
          <w:i/>
          <w:color w:val="FF0000"/>
          <w:sz w:val="24"/>
        </w:rPr>
      </w:pPr>
    </w:p>
    <w:p w14:paraId="29E146B5">
      <w:pPr>
        <w:tabs>
          <w:tab w:val="left" w:pos="1800"/>
          <w:tab w:val="left" w:pos="5580"/>
        </w:tabs>
        <w:spacing w:line="360" w:lineRule="auto"/>
        <w:jc w:val="left"/>
        <w:rPr>
          <w:i w:val="0"/>
          <w:iCs/>
          <w:color w:val="FF0000"/>
          <w:sz w:val="24"/>
        </w:rPr>
      </w:pPr>
      <w:r>
        <w:rPr>
          <w:rFonts w:hint="eastAsia"/>
          <w:i w:val="0"/>
          <w:iCs/>
          <w:color w:val="FF0000"/>
          <w:sz w:val="24"/>
        </w:rPr>
        <w:t>（格式示例：适用于投报总价的项目）</w:t>
      </w:r>
    </w:p>
    <w:p w14:paraId="49B97CFE">
      <w:pPr>
        <w:tabs>
          <w:tab w:val="left" w:pos="1800"/>
          <w:tab w:val="left" w:pos="5580"/>
        </w:tabs>
        <w:spacing w:line="360" w:lineRule="auto"/>
        <w:ind w:firstLine="240" w:firstLineChars="100"/>
        <w:jc w:val="left"/>
        <w:rPr>
          <w:color w:val="000000"/>
          <w:sz w:val="24"/>
          <w:u w:val="single"/>
        </w:rPr>
      </w:pPr>
      <w:r>
        <w:rPr>
          <w:color w:val="000000"/>
          <w:sz w:val="24"/>
        </w:rPr>
        <w:t>项目编号/包号：_____________________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41D8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14:paraId="6D2BFD2D">
            <w:pPr>
              <w:tabs>
                <w:tab w:val="left" w:pos="5580"/>
              </w:tabs>
              <w:jc w:val="center"/>
              <w:rPr>
                <w:b/>
                <w:sz w:val="24"/>
              </w:rPr>
            </w:pPr>
            <w:r>
              <w:rPr>
                <w:b/>
                <w:sz w:val="24"/>
              </w:rPr>
              <w:t>序号</w:t>
            </w:r>
          </w:p>
        </w:tc>
        <w:tc>
          <w:tcPr>
            <w:tcW w:w="2215" w:type="pct"/>
            <w:vMerge w:val="restart"/>
            <w:noWrap w:val="0"/>
            <w:vAlign w:val="center"/>
          </w:tcPr>
          <w:p w14:paraId="24FCC52F">
            <w:pPr>
              <w:tabs>
                <w:tab w:val="left" w:pos="5580"/>
              </w:tabs>
              <w:jc w:val="center"/>
              <w:rPr>
                <w:b/>
                <w:sz w:val="24"/>
              </w:rPr>
            </w:pPr>
            <w:r>
              <w:rPr>
                <w:b/>
                <w:sz w:val="24"/>
              </w:rPr>
              <w:t>投标人名称</w:t>
            </w:r>
          </w:p>
        </w:tc>
        <w:tc>
          <w:tcPr>
            <w:tcW w:w="2373" w:type="pct"/>
            <w:gridSpan w:val="2"/>
            <w:noWrap w:val="0"/>
            <w:vAlign w:val="center"/>
          </w:tcPr>
          <w:p w14:paraId="5A40B9F0">
            <w:pPr>
              <w:tabs>
                <w:tab w:val="left" w:pos="5580"/>
              </w:tabs>
              <w:jc w:val="center"/>
              <w:rPr>
                <w:b/>
                <w:sz w:val="24"/>
              </w:rPr>
            </w:pPr>
            <w:r>
              <w:rPr>
                <w:b/>
                <w:sz w:val="24"/>
              </w:rPr>
              <w:t>投标报价</w:t>
            </w:r>
          </w:p>
        </w:tc>
      </w:tr>
      <w:tr w14:paraId="7DC3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14:paraId="55C06F48">
            <w:pPr>
              <w:tabs>
                <w:tab w:val="left" w:pos="5580"/>
              </w:tabs>
              <w:jc w:val="center"/>
              <w:rPr>
                <w:sz w:val="24"/>
              </w:rPr>
            </w:pPr>
          </w:p>
        </w:tc>
        <w:tc>
          <w:tcPr>
            <w:tcW w:w="2215" w:type="pct"/>
            <w:vMerge w:val="continue"/>
            <w:noWrap w:val="0"/>
            <w:vAlign w:val="center"/>
          </w:tcPr>
          <w:p w14:paraId="6E4CC546">
            <w:pPr>
              <w:tabs>
                <w:tab w:val="left" w:pos="5580"/>
              </w:tabs>
              <w:jc w:val="center"/>
              <w:rPr>
                <w:sz w:val="24"/>
              </w:rPr>
            </w:pPr>
          </w:p>
        </w:tc>
        <w:tc>
          <w:tcPr>
            <w:tcW w:w="1188" w:type="pct"/>
            <w:noWrap w:val="0"/>
            <w:vAlign w:val="center"/>
          </w:tcPr>
          <w:p w14:paraId="61C81DF5">
            <w:pPr>
              <w:tabs>
                <w:tab w:val="left" w:pos="5580"/>
              </w:tabs>
              <w:jc w:val="center"/>
              <w:rPr>
                <w:b/>
                <w:sz w:val="24"/>
              </w:rPr>
            </w:pPr>
            <w:r>
              <w:rPr>
                <w:b/>
                <w:sz w:val="24"/>
              </w:rPr>
              <w:t>大写</w:t>
            </w:r>
          </w:p>
        </w:tc>
        <w:tc>
          <w:tcPr>
            <w:tcW w:w="1182" w:type="pct"/>
            <w:noWrap w:val="0"/>
            <w:vAlign w:val="center"/>
          </w:tcPr>
          <w:p w14:paraId="7BAED9B4">
            <w:pPr>
              <w:tabs>
                <w:tab w:val="left" w:pos="5580"/>
              </w:tabs>
              <w:jc w:val="center"/>
              <w:rPr>
                <w:b/>
                <w:sz w:val="24"/>
              </w:rPr>
            </w:pPr>
            <w:r>
              <w:rPr>
                <w:b/>
                <w:sz w:val="24"/>
              </w:rPr>
              <w:t>小写</w:t>
            </w:r>
          </w:p>
        </w:tc>
      </w:tr>
      <w:tr w14:paraId="2E77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14:paraId="2E079CA1">
            <w:pPr>
              <w:tabs>
                <w:tab w:val="left" w:pos="5580"/>
              </w:tabs>
              <w:jc w:val="center"/>
              <w:rPr>
                <w:sz w:val="24"/>
              </w:rPr>
            </w:pPr>
          </w:p>
        </w:tc>
        <w:tc>
          <w:tcPr>
            <w:tcW w:w="2215" w:type="pct"/>
            <w:noWrap w:val="0"/>
            <w:vAlign w:val="center"/>
          </w:tcPr>
          <w:p w14:paraId="2CE5A0FA">
            <w:pPr>
              <w:tabs>
                <w:tab w:val="left" w:pos="5580"/>
              </w:tabs>
              <w:jc w:val="center"/>
              <w:rPr>
                <w:sz w:val="24"/>
              </w:rPr>
            </w:pPr>
          </w:p>
        </w:tc>
        <w:tc>
          <w:tcPr>
            <w:tcW w:w="1188" w:type="pct"/>
            <w:noWrap w:val="0"/>
            <w:vAlign w:val="center"/>
          </w:tcPr>
          <w:p w14:paraId="3D363BF0">
            <w:pPr>
              <w:tabs>
                <w:tab w:val="left" w:pos="5580"/>
              </w:tabs>
              <w:jc w:val="center"/>
              <w:rPr>
                <w:sz w:val="24"/>
              </w:rPr>
            </w:pPr>
          </w:p>
        </w:tc>
        <w:tc>
          <w:tcPr>
            <w:tcW w:w="1182" w:type="pct"/>
            <w:noWrap w:val="0"/>
            <w:vAlign w:val="center"/>
          </w:tcPr>
          <w:p w14:paraId="0558B8E8">
            <w:pPr>
              <w:tabs>
                <w:tab w:val="left" w:pos="5580"/>
              </w:tabs>
              <w:jc w:val="center"/>
              <w:rPr>
                <w:sz w:val="24"/>
              </w:rPr>
            </w:pPr>
          </w:p>
        </w:tc>
      </w:tr>
    </w:tbl>
    <w:p w14:paraId="2F5A0A15">
      <w:pPr>
        <w:autoSpaceDE w:val="0"/>
        <w:autoSpaceDN w:val="0"/>
        <w:adjustRightInd w:val="0"/>
        <w:jc w:val="left"/>
        <w:rPr>
          <w:color w:val="000000"/>
          <w:kern w:val="0"/>
          <w:sz w:val="24"/>
        </w:rPr>
      </w:pPr>
    </w:p>
    <w:p w14:paraId="57266EA4">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5F433247">
      <w:pPr>
        <w:tabs>
          <w:tab w:val="left" w:pos="5580"/>
        </w:tabs>
        <w:ind w:firstLine="480" w:firstLineChars="200"/>
        <w:rPr>
          <w:color w:val="000000"/>
          <w:sz w:val="24"/>
          <w:szCs w:val="20"/>
        </w:rPr>
      </w:pPr>
      <w:r>
        <w:rPr>
          <w:color w:val="000000"/>
          <w:sz w:val="24"/>
          <w:szCs w:val="20"/>
        </w:rPr>
        <w:t>2.本表必须按包分别填写。</w:t>
      </w:r>
    </w:p>
    <w:p w14:paraId="7BBCDA2C">
      <w:pPr>
        <w:autoSpaceDE w:val="0"/>
        <w:autoSpaceDN w:val="0"/>
        <w:adjustRightInd w:val="0"/>
        <w:snapToGrid w:val="0"/>
        <w:spacing w:before="25" w:after="25" w:line="360" w:lineRule="auto"/>
        <w:rPr>
          <w:color w:val="000000"/>
          <w:sz w:val="24"/>
          <w:lang w:val="zh-CN"/>
        </w:rPr>
      </w:pPr>
    </w:p>
    <w:p w14:paraId="38D5E5D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CE8CEF5">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4FF922C8">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FEA29D7">
      <w:pPr>
        <w:widowControl/>
        <w:jc w:val="left"/>
        <w:outlineLvl w:val="2"/>
        <w:rPr>
          <w:color w:val="000000"/>
          <w:sz w:val="24"/>
          <w:szCs w:val="20"/>
        </w:rPr>
      </w:pPr>
      <w:bookmarkStart w:id="968" w:name="_Toc127151558"/>
      <w:bookmarkStart w:id="969" w:name="_Toc265228397"/>
      <w:bookmarkStart w:id="970" w:name="_Toc305158901"/>
      <w:bookmarkStart w:id="971" w:name="_Toc264969249"/>
      <w:bookmarkStart w:id="972" w:name="_Toc142311060"/>
      <w:bookmarkStart w:id="973" w:name="_Toc195842924"/>
      <w:bookmarkStart w:id="974" w:name="_Toc150480796"/>
      <w:bookmarkStart w:id="975" w:name="_Toc150774763"/>
      <w:bookmarkStart w:id="976" w:name="_Toc226337255"/>
      <w:bookmarkStart w:id="977" w:name="_Toc305158827"/>
      <w:bookmarkStart w:id="978" w:name="_Toc226309803"/>
      <w:bookmarkStart w:id="979" w:name="_Toc226965749"/>
      <w:bookmarkStart w:id="980" w:name="_Toc226965832"/>
      <w:r>
        <w:rPr>
          <w:color w:val="000000"/>
          <w:sz w:val="24"/>
          <w:szCs w:val="20"/>
        </w:rPr>
        <w:br w:type="page"/>
      </w:r>
      <w:r>
        <w:rPr>
          <w:color w:val="000000"/>
          <w:sz w:val="24"/>
          <w:szCs w:val="20"/>
        </w:rPr>
        <w:t xml:space="preserve"> 投标分项报价表</w:t>
      </w:r>
      <w:bookmarkEnd w:id="968"/>
      <w:bookmarkEnd w:id="969"/>
      <w:bookmarkEnd w:id="970"/>
      <w:bookmarkEnd w:id="971"/>
      <w:bookmarkEnd w:id="972"/>
      <w:bookmarkEnd w:id="973"/>
      <w:bookmarkEnd w:id="974"/>
      <w:bookmarkEnd w:id="975"/>
      <w:bookmarkEnd w:id="976"/>
      <w:bookmarkEnd w:id="977"/>
      <w:bookmarkEnd w:id="978"/>
      <w:bookmarkEnd w:id="979"/>
      <w:bookmarkEnd w:id="980"/>
      <w:r>
        <w:rPr>
          <w:color w:val="000000"/>
          <w:sz w:val="24"/>
          <w:szCs w:val="20"/>
        </w:rPr>
        <w:t>（</w:t>
      </w:r>
      <w:r>
        <w:rPr>
          <w:rFonts w:hint="eastAsia"/>
          <w:color w:val="000000"/>
          <w:sz w:val="24"/>
          <w:szCs w:val="20"/>
          <w:lang w:val="en-US" w:eastAsia="zh-CN"/>
        </w:rPr>
        <w:t>非</w:t>
      </w:r>
      <w:r>
        <w:rPr>
          <w:color w:val="000000"/>
          <w:sz w:val="24"/>
          <w:szCs w:val="20"/>
        </w:rPr>
        <w:t>实质性格式）</w:t>
      </w:r>
    </w:p>
    <w:p w14:paraId="40448BE8">
      <w:pPr>
        <w:spacing w:line="360" w:lineRule="exact"/>
        <w:jc w:val="center"/>
        <w:rPr>
          <w:color w:val="000000"/>
          <w:sz w:val="36"/>
          <w:szCs w:val="36"/>
        </w:rPr>
      </w:pPr>
    </w:p>
    <w:p w14:paraId="2BF6483E">
      <w:pPr>
        <w:spacing w:line="360" w:lineRule="exact"/>
        <w:jc w:val="center"/>
        <w:rPr>
          <w:b/>
          <w:color w:val="000000"/>
          <w:sz w:val="36"/>
          <w:szCs w:val="36"/>
        </w:rPr>
      </w:pPr>
      <w:r>
        <w:rPr>
          <w:rFonts w:hint="eastAsia"/>
          <w:b/>
          <w:color w:val="000000"/>
          <w:sz w:val="36"/>
          <w:szCs w:val="36"/>
        </w:rPr>
        <w:t>投标分项报价表</w:t>
      </w:r>
    </w:p>
    <w:p w14:paraId="294499AD">
      <w:pPr>
        <w:spacing w:line="260" w:lineRule="exact"/>
        <w:jc w:val="center"/>
        <w:rPr>
          <w:color w:val="000000"/>
          <w:sz w:val="36"/>
          <w:szCs w:val="36"/>
        </w:rPr>
      </w:pPr>
    </w:p>
    <w:p w14:paraId="0D275488">
      <w:pPr>
        <w:adjustRightInd w:val="0"/>
        <w:snapToGrid w:val="0"/>
        <w:spacing w:before="240" w:beforeLines="100" w:after="240" w:afterLines="100"/>
        <w:jc w:val="left"/>
        <w:rPr>
          <w:b/>
          <w:i w:val="0"/>
          <w:iCs/>
          <w:color w:val="FF0000"/>
          <w:sz w:val="24"/>
        </w:rPr>
      </w:pPr>
      <w:r>
        <w:rPr>
          <w:rFonts w:hint="eastAsia"/>
          <w:b/>
          <w:i w:val="0"/>
          <w:iCs/>
          <w:color w:val="FF0000"/>
          <w:sz w:val="24"/>
        </w:rPr>
        <w:t>（格式示例一</w:t>
      </w:r>
      <w:r>
        <w:rPr>
          <w:b/>
          <w:i w:val="0"/>
          <w:iCs/>
          <w:color w:val="FF0000"/>
          <w:sz w:val="24"/>
        </w:rPr>
        <w:t>，适用于设备采购</w:t>
      </w:r>
      <w:r>
        <w:rPr>
          <w:rFonts w:hint="eastAsia"/>
          <w:b/>
          <w:i w:val="0"/>
          <w:iCs/>
          <w:color w:val="FF0000"/>
          <w:sz w:val="24"/>
        </w:rPr>
        <w:t>）</w:t>
      </w:r>
    </w:p>
    <w:p w14:paraId="4267C844">
      <w:pPr>
        <w:tabs>
          <w:tab w:val="left" w:pos="1800"/>
          <w:tab w:val="left" w:pos="5580"/>
        </w:tabs>
        <w:rPr>
          <w:color w:val="000000"/>
          <w:sz w:val="24"/>
        </w:rPr>
      </w:pPr>
      <w:r>
        <w:rPr>
          <w:color w:val="000000"/>
          <w:sz w:val="24"/>
        </w:rPr>
        <w:t>项目编号/包号：___________ 项目名称：__________报价单位：人民币元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724"/>
        <w:gridCol w:w="1269"/>
        <w:gridCol w:w="1161"/>
        <w:gridCol w:w="1161"/>
        <w:gridCol w:w="1129"/>
        <w:gridCol w:w="959"/>
        <w:gridCol w:w="1193"/>
      </w:tblGrid>
      <w:tr w14:paraId="21E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2" w:type="pct"/>
            <w:noWrap w:val="0"/>
            <w:vAlign w:val="center"/>
          </w:tcPr>
          <w:p w14:paraId="3FDB8571">
            <w:pPr>
              <w:jc w:val="center"/>
              <w:rPr>
                <w:b/>
                <w:sz w:val="24"/>
              </w:rPr>
            </w:pPr>
            <w:r>
              <w:rPr>
                <w:b/>
                <w:sz w:val="24"/>
              </w:rPr>
              <w:t>序号</w:t>
            </w:r>
          </w:p>
        </w:tc>
        <w:tc>
          <w:tcPr>
            <w:tcW w:w="928" w:type="pct"/>
            <w:noWrap w:val="0"/>
            <w:vAlign w:val="center"/>
          </w:tcPr>
          <w:p w14:paraId="7CAB2C77">
            <w:pPr>
              <w:jc w:val="center"/>
              <w:rPr>
                <w:b/>
                <w:sz w:val="24"/>
              </w:rPr>
            </w:pPr>
            <w:r>
              <w:rPr>
                <w:b/>
                <w:sz w:val="24"/>
              </w:rPr>
              <w:t>分项名称</w:t>
            </w:r>
          </w:p>
        </w:tc>
        <w:tc>
          <w:tcPr>
            <w:tcW w:w="683" w:type="pct"/>
            <w:noWrap w:val="0"/>
            <w:vAlign w:val="center"/>
          </w:tcPr>
          <w:p w14:paraId="197DD0A2">
            <w:pPr>
              <w:jc w:val="center"/>
              <w:rPr>
                <w:b/>
                <w:sz w:val="24"/>
              </w:rPr>
            </w:pPr>
            <w:r>
              <w:rPr>
                <w:b/>
                <w:sz w:val="24"/>
              </w:rPr>
              <w:t>制造商/生产厂家</w:t>
            </w:r>
          </w:p>
        </w:tc>
        <w:tc>
          <w:tcPr>
            <w:tcW w:w="625" w:type="pct"/>
            <w:noWrap w:val="0"/>
            <w:vAlign w:val="center"/>
          </w:tcPr>
          <w:p w14:paraId="06FEE22A">
            <w:pPr>
              <w:jc w:val="center"/>
              <w:rPr>
                <w:b/>
                <w:color w:val="000000"/>
                <w:sz w:val="24"/>
              </w:rPr>
            </w:pPr>
            <w:r>
              <w:rPr>
                <w:b/>
                <w:color w:val="000000"/>
                <w:sz w:val="24"/>
              </w:rPr>
              <w:t>产地</w:t>
            </w:r>
          </w:p>
        </w:tc>
        <w:tc>
          <w:tcPr>
            <w:tcW w:w="625" w:type="pct"/>
            <w:noWrap w:val="0"/>
            <w:vAlign w:val="center"/>
          </w:tcPr>
          <w:p w14:paraId="4F807E1C">
            <w:pPr>
              <w:jc w:val="center"/>
              <w:rPr>
                <w:b/>
                <w:sz w:val="24"/>
              </w:rPr>
            </w:pPr>
            <w:r>
              <w:rPr>
                <w:b/>
                <w:color w:val="000000"/>
                <w:sz w:val="24"/>
              </w:rPr>
              <w:t>规格、型号</w:t>
            </w:r>
          </w:p>
        </w:tc>
        <w:tc>
          <w:tcPr>
            <w:tcW w:w="608" w:type="pct"/>
            <w:noWrap w:val="0"/>
            <w:vAlign w:val="center"/>
          </w:tcPr>
          <w:p w14:paraId="2CDBEC5E">
            <w:pPr>
              <w:jc w:val="center"/>
              <w:rPr>
                <w:b/>
                <w:sz w:val="24"/>
              </w:rPr>
            </w:pPr>
            <w:r>
              <w:rPr>
                <w:b/>
                <w:sz w:val="24"/>
              </w:rPr>
              <w:t>单价（元）</w:t>
            </w:r>
          </w:p>
        </w:tc>
        <w:tc>
          <w:tcPr>
            <w:tcW w:w="516" w:type="pct"/>
            <w:noWrap w:val="0"/>
            <w:vAlign w:val="center"/>
          </w:tcPr>
          <w:p w14:paraId="1ACB0876">
            <w:pPr>
              <w:jc w:val="center"/>
              <w:rPr>
                <w:b/>
                <w:sz w:val="24"/>
              </w:rPr>
            </w:pPr>
            <w:r>
              <w:rPr>
                <w:b/>
                <w:sz w:val="24"/>
              </w:rPr>
              <w:t>数量</w:t>
            </w:r>
          </w:p>
        </w:tc>
        <w:tc>
          <w:tcPr>
            <w:tcW w:w="642" w:type="pct"/>
            <w:noWrap w:val="0"/>
            <w:vAlign w:val="center"/>
          </w:tcPr>
          <w:p w14:paraId="45740EF9">
            <w:pPr>
              <w:jc w:val="center"/>
              <w:rPr>
                <w:b/>
                <w:sz w:val="24"/>
              </w:rPr>
            </w:pPr>
            <w:r>
              <w:rPr>
                <w:b/>
                <w:sz w:val="24"/>
              </w:rPr>
              <w:t>合价（元）</w:t>
            </w:r>
          </w:p>
        </w:tc>
      </w:tr>
      <w:tr w14:paraId="0559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43372F32">
            <w:pPr>
              <w:jc w:val="center"/>
              <w:rPr>
                <w:sz w:val="24"/>
              </w:rPr>
            </w:pPr>
            <w:r>
              <w:rPr>
                <w:sz w:val="24"/>
              </w:rPr>
              <w:t>1</w:t>
            </w:r>
          </w:p>
        </w:tc>
        <w:tc>
          <w:tcPr>
            <w:tcW w:w="928" w:type="pct"/>
            <w:noWrap w:val="0"/>
            <w:vAlign w:val="center"/>
          </w:tcPr>
          <w:p w14:paraId="0DC7EAC3">
            <w:pPr>
              <w:jc w:val="center"/>
              <w:rPr>
                <w:sz w:val="24"/>
              </w:rPr>
            </w:pPr>
            <w:r>
              <w:rPr>
                <w:sz w:val="24"/>
              </w:rPr>
              <w:t>主设备/系统及标准附件</w:t>
            </w:r>
          </w:p>
        </w:tc>
        <w:tc>
          <w:tcPr>
            <w:tcW w:w="683" w:type="pct"/>
            <w:noWrap w:val="0"/>
            <w:vAlign w:val="center"/>
          </w:tcPr>
          <w:p w14:paraId="50995D4D">
            <w:pPr>
              <w:jc w:val="center"/>
              <w:rPr>
                <w:sz w:val="24"/>
              </w:rPr>
            </w:pPr>
          </w:p>
        </w:tc>
        <w:tc>
          <w:tcPr>
            <w:tcW w:w="625" w:type="pct"/>
            <w:noWrap w:val="0"/>
            <w:vAlign w:val="center"/>
          </w:tcPr>
          <w:p w14:paraId="4C3EC946">
            <w:pPr>
              <w:jc w:val="center"/>
              <w:rPr>
                <w:sz w:val="24"/>
              </w:rPr>
            </w:pPr>
          </w:p>
        </w:tc>
        <w:tc>
          <w:tcPr>
            <w:tcW w:w="625" w:type="pct"/>
            <w:noWrap w:val="0"/>
            <w:vAlign w:val="center"/>
          </w:tcPr>
          <w:p w14:paraId="538FA074">
            <w:pPr>
              <w:jc w:val="center"/>
              <w:rPr>
                <w:sz w:val="24"/>
              </w:rPr>
            </w:pPr>
          </w:p>
        </w:tc>
        <w:tc>
          <w:tcPr>
            <w:tcW w:w="608" w:type="pct"/>
            <w:noWrap w:val="0"/>
            <w:vAlign w:val="center"/>
          </w:tcPr>
          <w:p w14:paraId="7AB7DD29">
            <w:pPr>
              <w:jc w:val="center"/>
              <w:rPr>
                <w:sz w:val="24"/>
              </w:rPr>
            </w:pPr>
          </w:p>
        </w:tc>
        <w:tc>
          <w:tcPr>
            <w:tcW w:w="516" w:type="pct"/>
            <w:noWrap w:val="0"/>
            <w:vAlign w:val="center"/>
          </w:tcPr>
          <w:p w14:paraId="17A9158F">
            <w:pPr>
              <w:jc w:val="center"/>
              <w:rPr>
                <w:sz w:val="24"/>
              </w:rPr>
            </w:pPr>
          </w:p>
        </w:tc>
        <w:tc>
          <w:tcPr>
            <w:tcW w:w="642" w:type="pct"/>
            <w:noWrap w:val="0"/>
            <w:vAlign w:val="center"/>
          </w:tcPr>
          <w:p w14:paraId="010853EB">
            <w:pPr>
              <w:jc w:val="center"/>
              <w:rPr>
                <w:sz w:val="24"/>
              </w:rPr>
            </w:pPr>
          </w:p>
        </w:tc>
      </w:tr>
      <w:tr w14:paraId="4E2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8B88C50">
            <w:pPr>
              <w:jc w:val="center"/>
              <w:rPr>
                <w:sz w:val="24"/>
              </w:rPr>
            </w:pPr>
            <w:r>
              <w:rPr>
                <w:sz w:val="24"/>
              </w:rPr>
              <w:t>1.1</w:t>
            </w:r>
          </w:p>
        </w:tc>
        <w:tc>
          <w:tcPr>
            <w:tcW w:w="928" w:type="pct"/>
            <w:noWrap w:val="0"/>
            <w:vAlign w:val="center"/>
          </w:tcPr>
          <w:p w14:paraId="09971499">
            <w:pPr>
              <w:jc w:val="center"/>
              <w:rPr>
                <w:sz w:val="24"/>
              </w:rPr>
            </w:pPr>
            <w:r>
              <w:rPr>
                <w:sz w:val="24"/>
              </w:rPr>
              <w:t>……</w:t>
            </w:r>
          </w:p>
        </w:tc>
        <w:tc>
          <w:tcPr>
            <w:tcW w:w="683" w:type="pct"/>
            <w:noWrap w:val="0"/>
            <w:vAlign w:val="center"/>
          </w:tcPr>
          <w:p w14:paraId="16FE7570">
            <w:pPr>
              <w:jc w:val="center"/>
              <w:rPr>
                <w:sz w:val="24"/>
              </w:rPr>
            </w:pPr>
          </w:p>
        </w:tc>
        <w:tc>
          <w:tcPr>
            <w:tcW w:w="625" w:type="pct"/>
            <w:noWrap w:val="0"/>
            <w:vAlign w:val="center"/>
          </w:tcPr>
          <w:p w14:paraId="51C0182D">
            <w:pPr>
              <w:jc w:val="center"/>
              <w:rPr>
                <w:sz w:val="24"/>
              </w:rPr>
            </w:pPr>
          </w:p>
        </w:tc>
        <w:tc>
          <w:tcPr>
            <w:tcW w:w="625" w:type="pct"/>
            <w:noWrap w:val="0"/>
            <w:vAlign w:val="center"/>
          </w:tcPr>
          <w:p w14:paraId="61CBDCD7">
            <w:pPr>
              <w:jc w:val="center"/>
              <w:rPr>
                <w:sz w:val="24"/>
              </w:rPr>
            </w:pPr>
          </w:p>
        </w:tc>
        <w:tc>
          <w:tcPr>
            <w:tcW w:w="608" w:type="pct"/>
            <w:noWrap w:val="0"/>
            <w:vAlign w:val="center"/>
          </w:tcPr>
          <w:p w14:paraId="67D1592C">
            <w:pPr>
              <w:jc w:val="center"/>
              <w:rPr>
                <w:sz w:val="24"/>
              </w:rPr>
            </w:pPr>
          </w:p>
        </w:tc>
        <w:tc>
          <w:tcPr>
            <w:tcW w:w="516" w:type="pct"/>
            <w:noWrap w:val="0"/>
            <w:vAlign w:val="center"/>
          </w:tcPr>
          <w:p w14:paraId="34D5C88F">
            <w:pPr>
              <w:jc w:val="center"/>
              <w:rPr>
                <w:sz w:val="24"/>
              </w:rPr>
            </w:pPr>
          </w:p>
        </w:tc>
        <w:tc>
          <w:tcPr>
            <w:tcW w:w="642" w:type="pct"/>
            <w:noWrap w:val="0"/>
            <w:vAlign w:val="center"/>
          </w:tcPr>
          <w:p w14:paraId="46375FF7">
            <w:pPr>
              <w:jc w:val="center"/>
              <w:rPr>
                <w:sz w:val="24"/>
              </w:rPr>
            </w:pPr>
          </w:p>
        </w:tc>
      </w:tr>
      <w:tr w14:paraId="2B9E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9D4645B">
            <w:pPr>
              <w:jc w:val="center"/>
              <w:rPr>
                <w:sz w:val="24"/>
              </w:rPr>
            </w:pPr>
            <w:r>
              <w:rPr>
                <w:sz w:val="24"/>
              </w:rPr>
              <w:t>1.2</w:t>
            </w:r>
          </w:p>
        </w:tc>
        <w:tc>
          <w:tcPr>
            <w:tcW w:w="928" w:type="pct"/>
            <w:noWrap w:val="0"/>
            <w:vAlign w:val="center"/>
          </w:tcPr>
          <w:p w14:paraId="75CBDAB7">
            <w:pPr>
              <w:jc w:val="center"/>
              <w:rPr>
                <w:sz w:val="24"/>
              </w:rPr>
            </w:pPr>
            <w:r>
              <w:rPr>
                <w:sz w:val="24"/>
              </w:rPr>
              <w:t>……</w:t>
            </w:r>
          </w:p>
        </w:tc>
        <w:tc>
          <w:tcPr>
            <w:tcW w:w="683" w:type="pct"/>
            <w:noWrap w:val="0"/>
            <w:vAlign w:val="center"/>
          </w:tcPr>
          <w:p w14:paraId="4A9AE9E4">
            <w:pPr>
              <w:jc w:val="center"/>
              <w:rPr>
                <w:sz w:val="24"/>
              </w:rPr>
            </w:pPr>
          </w:p>
        </w:tc>
        <w:tc>
          <w:tcPr>
            <w:tcW w:w="625" w:type="pct"/>
            <w:noWrap w:val="0"/>
            <w:vAlign w:val="center"/>
          </w:tcPr>
          <w:p w14:paraId="08988D2A">
            <w:pPr>
              <w:jc w:val="center"/>
              <w:rPr>
                <w:sz w:val="24"/>
              </w:rPr>
            </w:pPr>
          </w:p>
        </w:tc>
        <w:tc>
          <w:tcPr>
            <w:tcW w:w="625" w:type="pct"/>
            <w:noWrap w:val="0"/>
            <w:vAlign w:val="center"/>
          </w:tcPr>
          <w:p w14:paraId="1FF93818">
            <w:pPr>
              <w:jc w:val="center"/>
              <w:rPr>
                <w:sz w:val="24"/>
              </w:rPr>
            </w:pPr>
          </w:p>
        </w:tc>
        <w:tc>
          <w:tcPr>
            <w:tcW w:w="608" w:type="pct"/>
            <w:noWrap w:val="0"/>
            <w:vAlign w:val="center"/>
          </w:tcPr>
          <w:p w14:paraId="35A36C17">
            <w:pPr>
              <w:jc w:val="center"/>
              <w:rPr>
                <w:sz w:val="24"/>
              </w:rPr>
            </w:pPr>
          </w:p>
        </w:tc>
        <w:tc>
          <w:tcPr>
            <w:tcW w:w="516" w:type="pct"/>
            <w:noWrap w:val="0"/>
            <w:vAlign w:val="center"/>
          </w:tcPr>
          <w:p w14:paraId="70265CA1">
            <w:pPr>
              <w:jc w:val="center"/>
              <w:rPr>
                <w:sz w:val="24"/>
              </w:rPr>
            </w:pPr>
          </w:p>
        </w:tc>
        <w:tc>
          <w:tcPr>
            <w:tcW w:w="642" w:type="pct"/>
            <w:noWrap w:val="0"/>
            <w:vAlign w:val="center"/>
          </w:tcPr>
          <w:p w14:paraId="373A6B92">
            <w:pPr>
              <w:jc w:val="center"/>
              <w:rPr>
                <w:sz w:val="24"/>
              </w:rPr>
            </w:pPr>
          </w:p>
        </w:tc>
      </w:tr>
      <w:tr w14:paraId="421B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BC69C26">
            <w:pPr>
              <w:jc w:val="center"/>
              <w:rPr>
                <w:sz w:val="24"/>
              </w:rPr>
            </w:pPr>
            <w:r>
              <w:rPr>
                <w:sz w:val="24"/>
              </w:rPr>
              <w:t>2</w:t>
            </w:r>
          </w:p>
        </w:tc>
        <w:tc>
          <w:tcPr>
            <w:tcW w:w="928" w:type="pct"/>
            <w:noWrap w:val="0"/>
            <w:vAlign w:val="center"/>
          </w:tcPr>
          <w:p w14:paraId="3978FDB3">
            <w:pPr>
              <w:jc w:val="center"/>
              <w:rPr>
                <w:sz w:val="24"/>
              </w:rPr>
            </w:pPr>
            <w:r>
              <w:rPr>
                <w:sz w:val="24"/>
              </w:rPr>
              <w:t>备品备件</w:t>
            </w:r>
          </w:p>
        </w:tc>
        <w:tc>
          <w:tcPr>
            <w:tcW w:w="683" w:type="pct"/>
            <w:noWrap w:val="0"/>
            <w:vAlign w:val="center"/>
          </w:tcPr>
          <w:p w14:paraId="5858F7B5">
            <w:pPr>
              <w:jc w:val="center"/>
              <w:rPr>
                <w:sz w:val="24"/>
              </w:rPr>
            </w:pPr>
          </w:p>
        </w:tc>
        <w:tc>
          <w:tcPr>
            <w:tcW w:w="625" w:type="pct"/>
            <w:noWrap w:val="0"/>
            <w:vAlign w:val="center"/>
          </w:tcPr>
          <w:p w14:paraId="41D12797">
            <w:pPr>
              <w:jc w:val="center"/>
              <w:rPr>
                <w:sz w:val="24"/>
              </w:rPr>
            </w:pPr>
          </w:p>
        </w:tc>
        <w:tc>
          <w:tcPr>
            <w:tcW w:w="625" w:type="pct"/>
            <w:noWrap w:val="0"/>
            <w:vAlign w:val="center"/>
          </w:tcPr>
          <w:p w14:paraId="669D53F9">
            <w:pPr>
              <w:jc w:val="center"/>
              <w:rPr>
                <w:sz w:val="24"/>
              </w:rPr>
            </w:pPr>
          </w:p>
        </w:tc>
        <w:tc>
          <w:tcPr>
            <w:tcW w:w="608" w:type="pct"/>
            <w:noWrap w:val="0"/>
            <w:vAlign w:val="center"/>
          </w:tcPr>
          <w:p w14:paraId="4C2F3555">
            <w:pPr>
              <w:jc w:val="center"/>
              <w:rPr>
                <w:sz w:val="24"/>
              </w:rPr>
            </w:pPr>
          </w:p>
        </w:tc>
        <w:tc>
          <w:tcPr>
            <w:tcW w:w="516" w:type="pct"/>
            <w:noWrap w:val="0"/>
            <w:vAlign w:val="center"/>
          </w:tcPr>
          <w:p w14:paraId="02A7F304">
            <w:pPr>
              <w:jc w:val="center"/>
              <w:rPr>
                <w:sz w:val="24"/>
              </w:rPr>
            </w:pPr>
          </w:p>
        </w:tc>
        <w:tc>
          <w:tcPr>
            <w:tcW w:w="642" w:type="pct"/>
            <w:noWrap w:val="0"/>
            <w:vAlign w:val="center"/>
          </w:tcPr>
          <w:p w14:paraId="04ADCFED">
            <w:pPr>
              <w:jc w:val="center"/>
              <w:rPr>
                <w:sz w:val="24"/>
              </w:rPr>
            </w:pPr>
          </w:p>
        </w:tc>
      </w:tr>
      <w:tr w14:paraId="6AA1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F038CBF">
            <w:pPr>
              <w:jc w:val="center"/>
              <w:rPr>
                <w:sz w:val="24"/>
              </w:rPr>
            </w:pPr>
            <w:r>
              <w:rPr>
                <w:sz w:val="24"/>
              </w:rPr>
              <w:t>3</w:t>
            </w:r>
          </w:p>
        </w:tc>
        <w:tc>
          <w:tcPr>
            <w:tcW w:w="928" w:type="pct"/>
            <w:noWrap w:val="0"/>
            <w:vAlign w:val="center"/>
          </w:tcPr>
          <w:p w14:paraId="4C9B25AD">
            <w:pPr>
              <w:jc w:val="center"/>
              <w:rPr>
                <w:sz w:val="24"/>
              </w:rPr>
            </w:pPr>
            <w:r>
              <w:rPr>
                <w:sz w:val="24"/>
              </w:rPr>
              <w:t>专用工具</w:t>
            </w:r>
          </w:p>
        </w:tc>
        <w:tc>
          <w:tcPr>
            <w:tcW w:w="683" w:type="pct"/>
            <w:noWrap w:val="0"/>
            <w:vAlign w:val="center"/>
          </w:tcPr>
          <w:p w14:paraId="1C23B7A5">
            <w:pPr>
              <w:jc w:val="center"/>
              <w:rPr>
                <w:sz w:val="24"/>
              </w:rPr>
            </w:pPr>
          </w:p>
        </w:tc>
        <w:tc>
          <w:tcPr>
            <w:tcW w:w="625" w:type="pct"/>
            <w:noWrap w:val="0"/>
            <w:vAlign w:val="center"/>
          </w:tcPr>
          <w:p w14:paraId="726EF944">
            <w:pPr>
              <w:jc w:val="center"/>
              <w:rPr>
                <w:sz w:val="24"/>
              </w:rPr>
            </w:pPr>
          </w:p>
        </w:tc>
        <w:tc>
          <w:tcPr>
            <w:tcW w:w="625" w:type="pct"/>
            <w:noWrap w:val="0"/>
            <w:vAlign w:val="center"/>
          </w:tcPr>
          <w:p w14:paraId="0A6E6310">
            <w:pPr>
              <w:jc w:val="center"/>
              <w:rPr>
                <w:sz w:val="24"/>
              </w:rPr>
            </w:pPr>
          </w:p>
        </w:tc>
        <w:tc>
          <w:tcPr>
            <w:tcW w:w="608" w:type="pct"/>
            <w:noWrap w:val="0"/>
            <w:vAlign w:val="center"/>
          </w:tcPr>
          <w:p w14:paraId="22E6275B">
            <w:pPr>
              <w:jc w:val="center"/>
              <w:rPr>
                <w:sz w:val="24"/>
              </w:rPr>
            </w:pPr>
          </w:p>
        </w:tc>
        <w:tc>
          <w:tcPr>
            <w:tcW w:w="516" w:type="pct"/>
            <w:noWrap w:val="0"/>
            <w:vAlign w:val="center"/>
          </w:tcPr>
          <w:p w14:paraId="5485EC87">
            <w:pPr>
              <w:jc w:val="center"/>
              <w:rPr>
                <w:sz w:val="24"/>
              </w:rPr>
            </w:pPr>
          </w:p>
        </w:tc>
        <w:tc>
          <w:tcPr>
            <w:tcW w:w="642" w:type="pct"/>
            <w:noWrap w:val="0"/>
            <w:vAlign w:val="center"/>
          </w:tcPr>
          <w:p w14:paraId="14D703E5">
            <w:pPr>
              <w:jc w:val="center"/>
              <w:rPr>
                <w:sz w:val="24"/>
              </w:rPr>
            </w:pPr>
          </w:p>
        </w:tc>
      </w:tr>
      <w:tr w14:paraId="5B9C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6118514">
            <w:pPr>
              <w:jc w:val="center"/>
              <w:rPr>
                <w:sz w:val="24"/>
              </w:rPr>
            </w:pPr>
            <w:r>
              <w:rPr>
                <w:sz w:val="24"/>
              </w:rPr>
              <w:t>4</w:t>
            </w:r>
          </w:p>
        </w:tc>
        <w:tc>
          <w:tcPr>
            <w:tcW w:w="928" w:type="pct"/>
            <w:noWrap w:val="0"/>
            <w:vAlign w:val="center"/>
          </w:tcPr>
          <w:p w14:paraId="1E84A203">
            <w:pPr>
              <w:jc w:val="center"/>
              <w:rPr>
                <w:sz w:val="24"/>
              </w:rPr>
            </w:pPr>
            <w:r>
              <w:rPr>
                <w:sz w:val="24"/>
              </w:rPr>
              <w:t>安装、调试、检验</w:t>
            </w:r>
          </w:p>
        </w:tc>
        <w:tc>
          <w:tcPr>
            <w:tcW w:w="683" w:type="pct"/>
            <w:noWrap w:val="0"/>
            <w:vAlign w:val="center"/>
          </w:tcPr>
          <w:p w14:paraId="5AF7A15B">
            <w:pPr>
              <w:jc w:val="center"/>
              <w:rPr>
                <w:sz w:val="24"/>
              </w:rPr>
            </w:pPr>
          </w:p>
        </w:tc>
        <w:tc>
          <w:tcPr>
            <w:tcW w:w="625" w:type="pct"/>
            <w:noWrap w:val="0"/>
            <w:vAlign w:val="center"/>
          </w:tcPr>
          <w:p w14:paraId="10A28908">
            <w:pPr>
              <w:jc w:val="center"/>
              <w:rPr>
                <w:sz w:val="24"/>
              </w:rPr>
            </w:pPr>
          </w:p>
        </w:tc>
        <w:tc>
          <w:tcPr>
            <w:tcW w:w="625" w:type="pct"/>
            <w:noWrap w:val="0"/>
            <w:vAlign w:val="center"/>
          </w:tcPr>
          <w:p w14:paraId="1E1EDA67">
            <w:pPr>
              <w:jc w:val="center"/>
              <w:rPr>
                <w:sz w:val="24"/>
              </w:rPr>
            </w:pPr>
          </w:p>
        </w:tc>
        <w:tc>
          <w:tcPr>
            <w:tcW w:w="608" w:type="pct"/>
            <w:noWrap w:val="0"/>
            <w:vAlign w:val="center"/>
          </w:tcPr>
          <w:p w14:paraId="21272E98">
            <w:pPr>
              <w:jc w:val="center"/>
              <w:rPr>
                <w:sz w:val="24"/>
              </w:rPr>
            </w:pPr>
          </w:p>
        </w:tc>
        <w:tc>
          <w:tcPr>
            <w:tcW w:w="516" w:type="pct"/>
            <w:noWrap w:val="0"/>
            <w:vAlign w:val="center"/>
          </w:tcPr>
          <w:p w14:paraId="7542DFA4">
            <w:pPr>
              <w:jc w:val="center"/>
              <w:rPr>
                <w:sz w:val="24"/>
              </w:rPr>
            </w:pPr>
          </w:p>
        </w:tc>
        <w:tc>
          <w:tcPr>
            <w:tcW w:w="642" w:type="pct"/>
            <w:noWrap w:val="0"/>
            <w:vAlign w:val="center"/>
          </w:tcPr>
          <w:p w14:paraId="30EC8D1F">
            <w:pPr>
              <w:jc w:val="center"/>
              <w:rPr>
                <w:sz w:val="24"/>
              </w:rPr>
            </w:pPr>
          </w:p>
        </w:tc>
      </w:tr>
      <w:tr w14:paraId="6E24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0C06FDD">
            <w:pPr>
              <w:jc w:val="center"/>
              <w:rPr>
                <w:sz w:val="24"/>
              </w:rPr>
            </w:pPr>
            <w:r>
              <w:rPr>
                <w:sz w:val="24"/>
              </w:rPr>
              <w:t>5</w:t>
            </w:r>
          </w:p>
        </w:tc>
        <w:tc>
          <w:tcPr>
            <w:tcW w:w="928" w:type="pct"/>
            <w:noWrap w:val="0"/>
            <w:vAlign w:val="center"/>
          </w:tcPr>
          <w:p w14:paraId="284B9DA6">
            <w:pPr>
              <w:jc w:val="center"/>
              <w:rPr>
                <w:sz w:val="24"/>
              </w:rPr>
            </w:pPr>
            <w:r>
              <w:rPr>
                <w:sz w:val="24"/>
              </w:rPr>
              <w:t>培训</w:t>
            </w:r>
          </w:p>
        </w:tc>
        <w:tc>
          <w:tcPr>
            <w:tcW w:w="683" w:type="pct"/>
            <w:noWrap w:val="0"/>
            <w:vAlign w:val="center"/>
          </w:tcPr>
          <w:p w14:paraId="50E1393D">
            <w:pPr>
              <w:jc w:val="center"/>
              <w:rPr>
                <w:sz w:val="24"/>
              </w:rPr>
            </w:pPr>
          </w:p>
        </w:tc>
        <w:tc>
          <w:tcPr>
            <w:tcW w:w="625" w:type="pct"/>
            <w:noWrap w:val="0"/>
            <w:vAlign w:val="center"/>
          </w:tcPr>
          <w:p w14:paraId="242907F8">
            <w:pPr>
              <w:jc w:val="center"/>
              <w:rPr>
                <w:sz w:val="24"/>
              </w:rPr>
            </w:pPr>
          </w:p>
        </w:tc>
        <w:tc>
          <w:tcPr>
            <w:tcW w:w="625" w:type="pct"/>
            <w:noWrap w:val="0"/>
            <w:vAlign w:val="center"/>
          </w:tcPr>
          <w:p w14:paraId="4806F151">
            <w:pPr>
              <w:jc w:val="center"/>
              <w:rPr>
                <w:sz w:val="24"/>
              </w:rPr>
            </w:pPr>
          </w:p>
        </w:tc>
        <w:tc>
          <w:tcPr>
            <w:tcW w:w="608" w:type="pct"/>
            <w:noWrap w:val="0"/>
            <w:vAlign w:val="center"/>
          </w:tcPr>
          <w:p w14:paraId="3EB3738C">
            <w:pPr>
              <w:jc w:val="center"/>
              <w:rPr>
                <w:sz w:val="24"/>
              </w:rPr>
            </w:pPr>
          </w:p>
        </w:tc>
        <w:tc>
          <w:tcPr>
            <w:tcW w:w="516" w:type="pct"/>
            <w:noWrap w:val="0"/>
            <w:vAlign w:val="center"/>
          </w:tcPr>
          <w:p w14:paraId="1E82F00D">
            <w:pPr>
              <w:jc w:val="center"/>
              <w:rPr>
                <w:sz w:val="24"/>
              </w:rPr>
            </w:pPr>
          </w:p>
        </w:tc>
        <w:tc>
          <w:tcPr>
            <w:tcW w:w="642" w:type="pct"/>
            <w:noWrap w:val="0"/>
            <w:vAlign w:val="center"/>
          </w:tcPr>
          <w:p w14:paraId="29FA3882">
            <w:pPr>
              <w:jc w:val="center"/>
              <w:rPr>
                <w:sz w:val="24"/>
              </w:rPr>
            </w:pPr>
          </w:p>
        </w:tc>
      </w:tr>
      <w:tr w14:paraId="4527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42EF3B65">
            <w:pPr>
              <w:jc w:val="center"/>
              <w:rPr>
                <w:sz w:val="24"/>
              </w:rPr>
            </w:pPr>
            <w:r>
              <w:rPr>
                <w:sz w:val="24"/>
              </w:rPr>
              <w:t>6</w:t>
            </w:r>
          </w:p>
        </w:tc>
        <w:tc>
          <w:tcPr>
            <w:tcW w:w="928" w:type="pct"/>
            <w:noWrap w:val="0"/>
            <w:vAlign w:val="center"/>
          </w:tcPr>
          <w:p w14:paraId="740AF1EB">
            <w:pPr>
              <w:jc w:val="center"/>
              <w:rPr>
                <w:sz w:val="24"/>
              </w:rPr>
            </w:pPr>
            <w:r>
              <w:rPr>
                <w:sz w:val="24"/>
              </w:rPr>
              <w:t>售后服务</w:t>
            </w:r>
          </w:p>
        </w:tc>
        <w:tc>
          <w:tcPr>
            <w:tcW w:w="683" w:type="pct"/>
            <w:noWrap w:val="0"/>
            <w:vAlign w:val="center"/>
          </w:tcPr>
          <w:p w14:paraId="07ED7817">
            <w:pPr>
              <w:jc w:val="center"/>
              <w:rPr>
                <w:sz w:val="24"/>
              </w:rPr>
            </w:pPr>
          </w:p>
        </w:tc>
        <w:tc>
          <w:tcPr>
            <w:tcW w:w="625" w:type="pct"/>
            <w:noWrap w:val="0"/>
            <w:vAlign w:val="center"/>
          </w:tcPr>
          <w:p w14:paraId="1E1E9E69">
            <w:pPr>
              <w:jc w:val="center"/>
              <w:rPr>
                <w:sz w:val="24"/>
              </w:rPr>
            </w:pPr>
          </w:p>
        </w:tc>
        <w:tc>
          <w:tcPr>
            <w:tcW w:w="625" w:type="pct"/>
            <w:noWrap w:val="0"/>
            <w:vAlign w:val="center"/>
          </w:tcPr>
          <w:p w14:paraId="7309311A">
            <w:pPr>
              <w:jc w:val="center"/>
              <w:rPr>
                <w:sz w:val="24"/>
              </w:rPr>
            </w:pPr>
          </w:p>
        </w:tc>
        <w:tc>
          <w:tcPr>
            <w:tcW w:w="608" w:type="pct"/>
            <w:noWrap w:val="0"/>
            <w:vAlign w:val="center"/>
          </w:tcPr>
          <w:p w14:paraId="0EE0F05E">
            <w:pPr>
              <w:jc w:val="center"/>
              <w:rPr>
                <w:sz w:val="24"/>
              </w:rPr>
            </w:pPr>
          </w:p>
        </w:tc>
        <w:tc>
          <w:tcPr>
            <w:tcW w:w="516" w:type="pct"/>
            <w:noWrap w:val="0"/>
            <w:vAlign w:val="center"/>
          </w:tcPr>
          <w:p w14:paraId="42947E02">
            <w:pPr>
              <w:jc w:val="center"/>
              <w:rPr>
                <w:sz w:val="24"/>
              </w:rPr>
            </w:pPr>
          </w:p>
        </w:tc>
        <w:tc>
          <w:tcPr>
            <w:tcW w:w="642" w:type="pct"/>
            <w:noWrap w:val="0"/>
            <w:vAlign w:val="center"/>
          </w:tcPr>
          <w:p w14:paraId="23E4AC69">
            <w:pPr>
              <w:jc w:val="center"/>
              <w:rPr>
                <w:sz w:val="24"/>
              </w:rPr>
            </w:pPr>
          </w:p>
        </w:tc>
      </w:tr>
      <w:tr w14:paraId="787B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2438CC4C">
            <w:pPr>
              <w:jc w:val="center"/>
              <w:rPr>
                <w:sz w:val="24"/>
              </w:rPr>
            </w:pPr>
            <w:r>
              <w:rPr>
                <w:sz w:val="24"/>
              </w:rPr>
              <w:t>7</w:t>
            </w:r>
          </w:p>
        </w:tc>
        <w:tc>
          <w:tcPr>
            <w:tcW w:w="928" w:type="pct"/>
            <w:noWrap w:val="0"/>
            <w:vAlign w:val="center"/>
          </w:tcPr>
          <w:p w14:paraId="466D9BED">
            <w:pPr>
              <w:jc w:val="center"/>
              <w:rPr>
                <w:sz w:val="24"/>
              </w:rPr>
            </w:pPr>
            <w:r>
              <w:rPr>
                <w:sz w:val="24"/>
              </w:rPr>
              <w:t>其他</w:t>
            </w:r>
          </w:p>
        </w:tc>
        <w:tc>
          <w:tcPr>
            <w:tcW w:w="683" w:type="pct"/>
            <w:noWrap w:val="0"/>
            <w:vAlign w:val="center"/>
          </w:tcPr>
          <w:p w14:paraId="54F55CC0">
            <w:pPr>
              <w:jc w:val="center"/>
              <w:rPr>
                <w:sz w:val="24"/>
              </w:rPr>
            </w:pPr>
          </w:p>
        </w:tc>
        <w:tc>
          <w:tcPr>
            <w:tcW w:w="625" w:type="pct"/>
            <w:noWrap w:val="0"/>
            <w:vAlign w:val="center"/>
          </w:tcPr>
          <w:p w14:paraId="37662697">
            <w:pPr>
              <w:jc w:val="center"/>
              <w:rPr>
                <w:sz w:val="24"/>
              </w:rPr>
            </w:pPr>
          </w:p>
        </w:tc>
        <w:tc>
          <w:tcPr>
            <w:tcW w:w="625" w:type="pct"/>
            <w:noWrap w:val="0"/>
            <w:vAlign w:val="center"/>
          </w:tcPr>
          <w:p w14:paraId="5822AC85">
            <w:pPr>
              <w:jc w:val="center"/>
              <w:rPr>
                <w:sz w:val="24"/>
              </w:rPr>
            </w:pPr>
          </w:p>
        </w:tc>
        <w:tc>
          <w:tcPr>
            <w:tcW w:w="608" w:type="pct"/>
            <w:noWrap w:val="0"/>
            <w:vAlign w:val="center"/>
          </w:tcPr>
          <w:p w14:paraId="6DFD220C">
            <w:pPr>
              <w:jc w:val="center"/>
              <w:rPr>
                <w:sz w:val="24"/>
              </w:rPr>
            </w:pPr>
          </w:p>
        </w:tc>
        <w:tc>
          <w:tcPr>
            <w:tcW w:w="516" w:type="pct"/>
            <w:noWrap w:val="0"/>
            <w:vAlign w:val="center"/>
          </w:tcPr>
          <w:p w14:paraId="220C30B0">
            <w:pPr>
              <w:jc w:val="center"/>
              <w:rPr>
                <w:sz w:val="24"/>
              </w:rPr>
            </w:pPr>
          </w:p>
        </w:tc>
        <w:tc>
          <w:tcPr>
            <w:tcW w:w="642" w:type="pct"/>
            <w:noWrap w:val="0"/>
            <w:vAlign w:val="center"/>
          </w:tcPr>
          <w:p w14:paraId="471F0B18">
            <w:pPr>
              <w:jc w:val="center"/>
              <w:rPr>
                <w:sz w:val="24"/>
              </w:rPr>
            </w:pPr>
          </w:p>
        </w:tc>
      </w:tr>
      <w:tr w14:paraId="02FB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43B3C25">
            <w:pPr>
              <w:jc w:val="center"/>
              <w:rPr>
                <w:sz w:val="24"/>
              </w:rPr>
            </w:pPr>
            <w:r>
              <w:rPr>
                <w:sz w:val="24"/>
              </w:rPr>
              <w:t>8</w:t>
            </w:r>
          </w:p>
        </w:tc>
        <w:tc>
          <w:tcPr>
            <w:tcW w:w="928" w:type="pct"/>
            <w:noWrap w:val="0"/>
            <w:vAlign w:val="center"/>
          </w:tcPr>
          <w:p w14:paraId="7E756A2C">
            <w:pPr>
              <w:jc w:val="center"/>
              <w:rPr>
                <w:sz w:val="24"/>
              </w:rPr>
            </w:pPr>
            <w:r>
              <w:rPr>
                <w:sz w:val="24"/>
              </w:rPr>
              <w:t>至最终目的地运保费</w:t>
            </w:r>
          </w:p>
        </w:tc>
        <w:tc>
          <w:tcPr>
            <w:tcW w:w="683" w:type="pct"/>
            <w:noWrap w:val="0"/>
            <w:vAlign w:val="center"/>
          </w:tcPr>
          <w:p w14:paraId="2D25B74B">
            <w:pPr>
              <w:jc w:val="center"/>
              <w:rPr>
                <w:sz w:val="24"/>
              </w:rPr>
            </w:pPr>
          </w:p>
        </w:tc>
        <w:tc>
          <w:tcPr>
            <w:tcW w:w="625" w:type="pct"/>
            <w:noWrap w:val="0"/>
            <w:vAlign w:val="center"/>
          </w:tcPr>
          <w:p w14:paraId="63572E65">
            <w:pPr>
              <w:jc w:val="center"/>
              <w:rPr>
                <w:sz w:val="24"/>
              </w:rPr>
            </w:pPr>
          </w:p>
        </w:tc>
        <w:tc>
          <w:tcPr>
            <w:tcW w:w="625" w:type="pct"/>
            <w:noWrap w:val="0"/>
            <w:vAlign w:val="center"/>
          </w:tcPr>
          <w:p w14:paraId="513C6E39">
            <w:pPr>
              <w:jc w:val="center"/>
              <w:rPr>
                <w:sz w:val="24"/>
              </w:rPr>
            </w:pPr>
          </w:p>
        </w:tc>
        <w:tc>
          <w:tcPr>
            <w:tcW w:w="608" w:type="pct"/>
            <w:noWrap w:val="0"/>
            <w:vAlign w:val="center"/>
          </w:tcPr>
          <w:p w14:paraId="51DCF104">
            <w:pPr>
              <w:jc w:val="center"/>
              <w:rPr>
                <w:sz w:val="24"/>
              </w:rPr>
            </w:pPr>
          </w:p>
        </w:tc>
        <w:tc>
          <w:tcPr>
            <w:tcW w:w="516" w:type="pct"/>
            <w:noWrap w:val="0"/>
            <w:vAlign w:val="center"/>
          </w:tcPr>
          <w:p w14:paraId="48E01E91">
            <w:pPr>
              <w:jc w:val="center"/>
              <w:rPr>
                <w:sz w:val="24"/>
              </w:rPr>
            </w:pPr>
          </w:p>
        </w:tc>
        <w:tc>
          <w:tcPr>
            <w:tcW w:w="642" w:type="pct"/>
            <w:noWrap w:val="0"/>
            <w:vAlign w:val="center"/>
          </w:tcPr>
          <w:p w14:paraId="43E58E1B">
            <w:pPr>
              <w:jc w:val="center"/>
              <w:rPr>
                <w:sz w:val="24"/>
              </w:rPr>
            </w:pPr>
          </w:p>
        </w:tc>
      </w:tr>
      <w:tr w14:paraId="0352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 w:type="pct"/>
            <w:gridSpan w:val="7"/>
            <w:noWrap w:val="0"/>
            <w:vAlign w:val="top"/>
          </w:tcPr>
          <w:p w14:paraId="33A513E4">
            <w:pPr>
              <w:jc w:val="right"/>
              <w:rPr>
                <w:b/>
                <w:sz w:val="24"/>
              </w:rPr>
            </w:pPr>
            <w:r>
              <w:rPr>
                <w:b/>
                <w:sz w:val="24"/>
              </w:rPr>
              <w:t>总价（元）</w:t>
            </w:r>
          </w:p>
        </w:tc>
        <w:tc>
          <w:tcPr>
            <w:tcW w:w="642" w:type="pct"/>
            <w:noWrap w:val="0"/>
            <w:vAlign w:val="center"/>
          </w:tcPr>
          <w:p w14:paraId="129E0488">
            <w:pPr>
              <w:jc w:val="center"/>
              <w:rPr>
                <w:sz w:val="24"/>
              </w:rPr>
            </w:pPr>
          </w:p>
        </w:tc>
      </w:tr>
    </w:tbl>
    <w:p w14:paraId="3F89E9BF">
      <w:pPr>
        <w:adjustRightInd w:val="0"/>
        <w:snapToGrid w:val="0"/>
        <w:spacing w:before="240" w:beforeLines="100" w:after="240" w:afterLines="100"/>
        <w:jc w:val="left"/>
        <w:rPr>
          <w:b/>
          <w:i w:val="0"/>
          <w:iCs/>
          <w:color w:val="FF0000"/>
          <w:sz w:val="24"/>
        </w:rPr>
      </w:pPr>
      <w:r>
        <w:rPr>
          <w:rFonts w:hint="eastAsia"/>
          <w:b/>
          <w:i w:val="0"/>
          <w:iCs/>
          <w:color w:val="FF0000"/>
          <w:sz w:val="24"/>
        </w:rPr>
        <w:t>（格式示例</w:t>
      </w:r>
      <w:r>
        <w:rPr>
          <w:b/>
          <w:i w:val="0"/>
          <w:iCs/>
          <w:color w:val="FF0000"/>
          <w:sz w:val="24"/>
        </w:rPr>
        <w:t>二，适用于多种设备报价</w:t>
      </w:r>
      <w:r>
        <w:rPr>
          <w:rFonts w:hint="eastAsia"/>
          <w:b/>
          <w:i w:val="0"/>
          <w:iCs/>
          <w:color w:val="FF0000"/>
          <w:sz w:val="24"/>
        </w:rPr>
        <w:t>）</w:t>
      </w:r>
    </w:p>
    <w:p w14:paraId="63708D26">
      <w:pPr>
        <w:tabs>
          <w:tab w:val="left" w:pos="1800"/>
          <w:tab w:val="left" w:pos="5580"/>
        </w:tabs>
        <w:rPr>
          <w:color w:val="000000"/>
          <w:sz w:val="24"/>
        </w:rPr>
      </w:pPr>
      <w:r>
        <w:rPr>
          <w:color w:val="000000"/>
          <w:sz w:val="24"/>
        </w:rPr>
        <w:t>项目编号/包号：________ 项目名称：__________报价单位：人民币元</w:t>
      </w:r>
    </w:p>
    <w:tbl>
      <w:tblPr>
        <w:tblStyle w:val="4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14:paraId="391A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noWrap w:val="0"/>
            <w:vAlign w:val="center"/>
          </w:tcPr>
          <w:p w14:paraId="7A266A0B">
            <w:pPr>
              <w:adjustRightInd w:val="0"/>
              <w:snapToGrid w:val="0"/>
              <w:jc w:val="left"/>
              <w:rPr>
                <w:b/>
                <w:color w:val="000000"/>
                <w:sz w:val="24"/>
              </w:rPr>
            </w:pPr>
            <w:r>
              <w:rPr>
                <w:b/>
                <w:color w:val="000000"/>
                <w:sz w:val="24"/>
              </w:rPr>
              <w:t>序号</w:t>
            </w:r>
          </w:p>
        </w:tc>
        <w:tc>
          <w:tcPr>
            <w:tcW w:w="1050" w:type="pct"/>
            <w:noWrap w:val="0"/>
            <w:vAlign w:val="center"/>
          </w:tcPr>
          <w:p w14:paraId="39AA1BB7">
            <w:pPr>
              <w:adjustRightInd w:val="0"/>
              <w:snapToGrid w:val="0"/>
              <w:jc w:val="left"/>
              <w:rPr>
                <w:b/>
                <w:color w:val="000000"/>
                <w:sz w:val="24"/>
              </w:rPr>
            </w:pPr>
            <w:r>
              <w:rPr>
                <w:b/>
                <w:color w:val="000000"/>
                <w:sz w:val="24"/>
              </w:rPr>
              <w:t>分项名称</w:t>
            </w:r>
          </w:p>
        </w:tc>
        <w:tc>
          <w:tcPr>
            <w:tcW w:w="737" w:type="pct"/>
            <w:noWrap w:val="0"/>
            <w:vAlign w:val="center"/>
          </w:tcPr>
          <w:p w14:paraId="3F67B3A9">
            <w:pPr>
              <w:adjustRightInd w:val="0"/>
              <w:snapToGrid w:val="0"/>
              <w:jc w:val="left"/>
              <w:rPr>
                <w:b/>
                <w:color w:val="000000"/>
                <w:sz w:val="24"/>
              </w:rPr>
            </w:pPr>
            <w:r>
              <w:rPr>
                <w:b/>
                <w:color w:val="000000"/>
                <w:sz w:val="24"/>
              </w:rPr>
              <w:t>制造商/</w:t>
            </w:r>
          </w:p>
          <w:p w14:paraId="57C45685">
            <w:pPr>
              <w:adjustRightInd w:val="0"/>
              <w:snapToGrid w:val="0"/>
              <w:jc w:val="left"/>
              <w:rPr>
                <w:b/>
                <w:color w:val="000000"/>
                <w:sz w:val="24"/>
              </w:rPr>
            </w:pPr>
            <w:r>
              <w:rPr>
                <w:b/>
                <w:color w:val="000000"/>
                <w:sz w:val="24"/>
              </w:rPr>
              <w:t>生产厂家</w:t>
            </w:r>
          </w:p>
        </w:tc>
        <w:tc>
          <w:tcPr>
            <w:tcW w:w="690" w:type="pct"/>
            <w:noWrap w:val="0"/>
            <w:vAlign w:val="center"/>
          </w:tcPr>
          <w:p w14:paraId="08F19859">
            <w:pPr>
              <w:adjustRightInd w:val="0"/>
              <w:snapToGrid w:val="0"/>
              <w:jc w:val="left"/>
              <w:rPr>
                <w:b/>
                <w:color w:val="000000"/>
                <w:sz w:val="24"/>
              </w:rPr>
            </w:pPr>
            <w:r>
              <w:rPr>
                <w:b/>
                <w:color w:val="000000"/>
                <w:sz w:val="24"/>
              </w:rPr>
              <w:t>产地</w:t>
            </w:r>
          </w:p>
        </w:tc>
        <w:tc>
          <w:tcPr>
            <w:tcW w:w="820" w:type="pct"/>
            <w:noWrap w:val="0"/>
            <w:vAlign w:val="center"/>
          </w:tcPr>
          <w:p w14:paraId="0727A6A7">
            <w:pPr>
              <w:adjustRightInd w:val="0"/>
              <w:snapToGrid w:val="0"/>
              <w:jc w:val="left"/>
              <w:rPr>
                <w:b/>
                <w:color w:val="000000"/>
                <w:sz w:val="24"/>
              </w:rPr>
            </w:pPr>
            <w:r>
              <w:rPr>
                <w:b/>
                <w:color w:val="000000"/>
                <w:sz w:val="24"/>
              </w:rPr>
              <w:t>品牌、规格、型号</w:t>
            </w:r>
          </w:p>
        </w:tc>
        <w:tc>
          <w:tcPr>
            <w:tcW w:w="570" w:type="pct"/>
            <w:noWrap w:val="0"/>
            <w:vAlign w:val="center"/>
          </w:tcPr>
          <w:p w14:paraId="38E9BF2E">
            <w:pPr>
              <w:adjustRightInd w:val="0"/>
              <w:snapToGrid w:val="0"/>
              <w:jc w:val="left"/>
              <w:rPr>
                <w:b/>
                <w:color w:val="000000"/>
                <w:sz w:val="24"/>
              </w:rPr>
            </w:pPr>
            <w:r>
              <w:rPr>
                <w:b/>
                <w:color w:val="000000"/>
                <w:sz w:val="24"/>
              </w:rPr>
              <w:t>单价（元）</w:t>
            </w:r>
          </w:p>
        </w:tc>
        <w:tc>
          <w:tcPr>
            <w:tcW w:w="280" w:type="pct"/>
            <w:noWrap w:val="0"/>
            <w:vAlign w:val="center"/>
          </w:tcPr>
          <w:p w14:paraId="79B8F4B8">
            <w:pPr>
              <w:adjustRightInd w:val="0"/>
              <w:snapToGrid w:val="0"/>
              <w:jc w:val="left"/>
              <w:rPr>
                <w:b/>
                <w:color w:val="000000"/>
                <w:sz w:val="24"/>
              </w:rPr>
            </w:pPr>
            <w:r>
              <w:rPr>
                <w:b/>
                <w:color w:val="000000"/>
                <w:sz w:val="24"/>
              </w:rPr>
              <w:t>数量</w:t>
            </w:r>
          </w:p>
        </w:tc>
        <w:tc>
          <w:tcPr>
            <w:tcW w:w="572" w:type="pct"/>
            <w:gridSpan w:val="2"/>
            <w:noWrap w:val="0"/>
            <w:vAlign w:val="center"/>
          </w:tcPr>
          <w:p w14:paraId="10C21898">
            <w:pPr>
              <w:adjustRightInd w:val="0"/>
              <w:snapToGrid w:val="0"/>
              <w:jc w:val="left"/>
              <w:rPr>
                <w:b/>
                <w:color w:val="000000"/>
                <w:sz w:val="24"/>
              </w:rPr>
            </w:pPr>
            <w:r>
              <w:rPr>
                <w:b/>
                <w:color w:val="000000"/>
                <w:sz w:val="24"/>
              </w:rPr>
              <w:t>合价（元）</w:t>
            </w:r>
          </w:p>
        </w:tc>
      </w:tr>
      <w:tr w14:paraId="718D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14:paraId="71DAB590">
            <w:pPr>
              <w:adjustRightInd w:val="0"/>
              <w:snapToGrid w:val="0"/>
              <w:jc w:val="left"/>
              <w:rPr>
                <w:color w:val="000000"/>
                <w:sz w:val="24"/>
              </w:rPr>
            </w:pPr>
            <w:r>
              <w:rPr>
                <w:color w:val="000000"/>
                <w:sz w:val="24"/>
              </w:rPr>
              <w:t>1</w:t>
            </w:r>
          </w:p>
        </w:tc>
        <w:tc>
          <w:tcPr>
            <w:tcW w:w="1050" w:type="pct"/>
            <w:noWrap w:val="0"/>
            <w:vAlign w:val="center"/>
          </w:tcPr>
          <w:p w14:paraId="0B7FD4D7">
            <w:pPr>
              <w:adjustRightInd w:val="0"/>
              <w:snapToGrid w:val="0"/>
              <w:jc w:val="left"/>
              <w:rPr>
                <w:color w:val="000000"/>
                <w:sz w:val="24"/>
              </w:rPr>
            </w:pPr>
          </w:p>
        </w:tc>
        <w:tc>
          <w:tcPr>
            <w:tcW w:w="737" w:type="pct"/>
            <w:noWrap w:val="0"/>
            <w:vAlign w:val="center"/>
          </w:tcPr>
          <w:p w14:paraId="34356323">
            <w:pPr>
              <w:adjustRightInd w:val="0"/>
              <w:snapToGrid w:val="0"/>
              <w:jc w:val="left"/>
              <w:rPr>
                <w:color w:val="000000"/>
                <w:sz w:val="24"/>
              </w:rPr>
            </w:pPr>
          </w:p>
        </w:tc>
        <w:tc>
          <w:tcPr>
            <w:tcW w:w="690" w:type="pct"/>
            <w:noWrap w:val="0"/>
            <w:vAlign w:val="top"/>
          </w:tcPr>
          <w:p w14:paraId="50245645">
            <w:pPr>
              <w:adjustRightInd w:val="0"/>
              <w:snapToGrid w:val="0"/>
              <w:jc w:val="left"/>
              <w:rPr>
                <w:color w:val="000000"/>
                <w:sz w:val="24"/>
              </w:rPr>
            </w:pPr>
          </w:p>
        </w:tc>
        <w:tc>
          <w:tcPr>
            <w:tcW w:w="820" w:type="pct"/>
            <w:noWrap w:val="0"/>
            <w:vAlign w:val="center"/>
          </w:tcPr>
          <w:p w14:paraId="68014BD0">
            <w:pPr>
              <w:adjustRightInd w:val="0"/>
              <w:snapToGrid w:val="0"/>
              <w:jc w:val="left"/>
              <w:rPr>
                <w:color w:val="000000"/>
                <w:sz w:val="24"/>
              </w:rPr>
            </w:pPr>
          </w:p>
        </w:tc>
        <w:tc>
          <w:tcPr>
            <w:tcW w:w="570" w:type="pct"/>
            <w:noWrap w:val="0"/>
            <w:vAlign w:val="center"/>
          </w:tcPr>
          <w:p w14:paraId="4C8BD9AD">
            <w:pPr>
              <w:adjustRightInd w:val="0"/>
              <w:snapToGrid w:val="0"/>
              <w:jc w:val="left"/>
              <w:rPr>
                <w:color w:val="000000"/>
                <w:sz w:val="24"/>
              </w:rPr>
            </w:pPr>
          </w:p>
        </w:tc>
        <w:tc>
          <w:tcPr>
            <w:tcW w:w="280" w:type="pct"/>
            <w:noWrap w:val="0"/>
            <w:vAlign w:val="center"/>
          </w:tcPr>
          <w:p w14:paraId="6D6D71A3">
            <w:pPr>
              <w:adjustRightInd w:val="0"/>
              <w:snapToGrid w:val="0"/>
              <w:jc w:val="left"/>
              <w:rPr>
                <w:color w:val="000000"/>
                <w:sz w:val="24"/>
              </w:rPr>
            </w:pPr>
          </w:p>
        </w:tc>
        <w:tc>
          <w:tcPr>
            <w:tcW w:w="572" w:type="pct"/>
            <w:gridSpan w:val="2"/>
            <w:noWrap w:val="0"/>
            <w:vAlign w:val="center"/>
          </w:tcPr>
          <w:p w14:paraId="7D94447C">
            <w:pPr>
              <w:adjustRightInd w:val="0"/>
              <w:snapToGrid w:val="0"/>
              <w:jc w:val="left"/>
              <w:rPr>
                <w:color w:val="000000"/>
                <w:sz w:val="24"/>
              </w:rPr>
            </w:pPr>
          </w:p>
        </w:tc>
      </w:tr>
      <w:tr w14:paraId="2C9E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14:paraId="4D07EDAB">
            <w:pPr>
              <w:adjustRightInd w:val="0"/>
              <w:snapToGrid w:val="0"/>
              <w:jc w:val="left"/>
              <w:rPr>
                <w:color w:val="000000"/>
                <w:sz w:val="24"/>
              </w:rPr>
            </w:pPr>
            <w:r>
              <w:rPr>
                <w:color w:val="000000"/>
                <w:sz w:val="24"/>
              </w:rPr>
              <w:t>2</w:t>
            </w:r>
          </w:p>
        </w:tc>
        <w:tc>
          <w:tcPr>
            <w:tcW w:w="1050" w:type="pct"/>
            <w:noWrap w:val="0"/>
            <w:vAlign w:val="center"/>
          </w:tcPr>
          <w:p w14:paraId="52345D43">
            <w:pPr>
              <w:adjustRightInd w:val="0"/>
              <w:snapToGrid w:val="0"/>
              <w:jc w:val="left"/>
              <w:rPr>
                <w:color w:val="000000"/>
                <w:sz w:val="24"/>
              </w:rPr>
            </w:pPr>
          </w:p>
        </w:tc>
        <w:tc>
          <w:tcPr>
            <w:tcW w:w="737" w:type="pct"/>
            <w:noWrap w:val="0"/>
            <w:vAlign w:val="center"/>
          </w:tcPr>
          <w:p w14:paraId="114CC1D7">
            <w:pPr>
              <w:adjustRightInd w:val="0"/>
              <w:snapToGrid w:val="0"/>
              <w:jc w:val="left"/>
              <w:rPr>
                <w:color w:val="000000"/>
                <w:sz w:val="24"/>
              </w:rPr>
            </w:pPr>
          </w:p>
        </w:tc>
        <w:tc>
          <w:tcPr>
            <w:tcW w:w="690" w:type="pct"/>
            <w:noWrap w:val="0"/>
            <w:vAlign w:val="top"/>
          </w:tcPr>
          <w:p w14:paraId="4871EEFD">
            <w:pPr>
              <w:adjustRightInd w:val="0"/>
              <w:snapToGrid w:val="0"/>
              <w:jc w:val="left"/>
              <w:rPr>
                <w:color w:val="000000"/>
                <w:sz w:val="24"/>
              </w:rPr>
            </w:pPr>
          </w:p>
        </w:tc>
        <w:tc>
          <w:tcPr>
            <w:tcW w:w="820" w:type="pct"/>
            <w:noWrap w:val="0"/>
            <w:vAlign w:val="center"/>
          </w:tcPr>
          <w:p w14:paraId="6CABB9DE">
            <w:pPr>
              <w:adjustRightInd w:val="0"/>
              <w:snapToGrid w:val="0"/>
              <w:jc w:val="left"/>
              <w:rPr>
                <w:color w:val="000000"/>
                <w:sz w:val="24"/>
              </w:rPr>
            </w:pPr>
          </w:p>
        </w:tc>
        <w:tc>
          <w:tcPr>
            <w:tcW w:w="570" w:type="pct"/>
            <w:noWrap w:val="0"/>
            <w:vAlign w:val="center"/>
          </w:tcPr>
          <w:p w14:paraId="06A657C4">
            <w:pPr>
              <w:adjustRightInd w:val="0"/>
              <w:snapToGrid w:val="0"/>
              <w:jc w:val="left"/>
              <w:rPr>
                <w:color w:val="000000"/>
                <w:sz w:val="24"/>
              </w:rPr>
            </w:pPr>
          </w:p>
        </w:tc>
        <w:tc>
          <w:tcPr>
            <w:tcW w:w="280" w:type="pct"/>
            <w:noWrap w:val="0"/>
            <w:vAlign w:val="center"/>
          </w:tcPr>
          <w:p w14:paraId="75101D0B">
            <w:pPr>
              <w:adjustRightInd w:val="0"/>
              <w:snapToGrid w:val="0"/>
              <w:jc w:val="left"/>
              <w:rPr>
                <w:color w:val="000000"/>
                <w:sz w:val="24"/>
              </w:rPr>
            </w:pPr>
          </w:p>
        </w:tc>
        <w:tc>
          <w:tcPr>
            <w:tcW w:w="572" w:type="pct"/>
            <w:gridSpan w:val="2"/>
            <w:noWrap w:val="0"/>
            <w:vAlign w:val="center"/>
          </w:tcPr>
          <w:p w14:paraId="7D268113">
            <w:pPr>
              <w:adjustRightInd w:val="0"/>
              <w:snapToGrid w:val="0"/>
              <w:jc w:val="left"/>
              <w:rPr>
                <w:color w:val="000000"/>
                <w:sz w:val="24"/>
              </w:rPr>
            </w:pPr>
          </w:p>
        </w:tc>
      </w:tr>
      <w:tr w14:paraId="5060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14:paraId="7D54E30B">
            <w:pPr>
              <w:adjustRightInd w:val="0"/>
              <w:snapToGrid w:val="0"/>
              <w:jc w:val="left"/>
              <w:rPr>
                <w:color w:val="000000"/>
                <w:sz w:val="24"/>
              </w:rPr>
            </w:pPr>
            <w:r>
              <w:rPr>
                <w:color w:val="000000"/>
                <w:sz w:val="24"/>
              </w:rPr>
              <w:t>3</w:t>
            </w:r>
          </w:p>
        </w:tc>
        <w:tc>
          <w:tcPr>
            <w:tcW w:w="1050" w:type="pct"/>
            <w:noWrap w:val="0"/>
            <w:vAlign w:val="center"/>
          </w:tcPr>
          <w:p w14:paraId="5075543C">
            <w:pPr>
              <w:adjustRightInd w:val="0"/>
              <w:snapToGrid w:val="0"/>
              <w:jc w:val="left"/>
              <w:rPr>
                <w:color w:val="000000"/>
                <w:sz w:val="24"/>
              </w:rPr>
            </w:pPr>
          </w:p>
        </w:tc>
        <w:tc>
          <w:tcPr>
            <w:tcW w:w="737" w:type="pct"/>
            <w:noWrap w:val="0"/>
            <w:vAlign w:val="center"/>
          </w:tcPr>
          <w:p w14:paraId="1C0738C7">
            <w:pPr>
              <w:adjustRightInd w:val="0"/>
              <w:snapToGrid w:val="0"/>
              <w:jc w:val="left"/>
              <w:rPr>
                <w:color w:val="000000"/>
                <w:sz w:val="24"/>
              </w:rPr>
            </w:pPr>
          </w:p>
        </w:tc>
        <w:tc>
          <w:tcPr>
            <w:tcW w:w="690" w:type="pct"/>
            <w:noWrap w:val="0"/>
            <w:vAlign w:val="top"/>
          </w:tcPr>
          <w:p w14:paraId="2D4A293E">
            <w:pPr>
              <w:adjustRightInd w:val="0"/>
              <w:snapToGrid w:val="0"/>
              <w:jc w:val="left"/>
              <w:rPr>
                <w:color w:val="000000"/>
                <w:sz w:val="24"/>
              </w:rPr>
            </w:pPr>
          </w:p>
        </w:tc>
        <w:tc>
          <w:tcPr>
            <w:tcW w:w="820" w:type="pct"/>
            <w:noWrap w:val="0"/>
            <w:vAlign w:val="center"/>
          </w:tcPr>
          <w:p w14:paraId="24B7378B">
            <w:pPr>
              <w:adjustRightInd w:val="0"/>
              <w:snapToGrid w:val="0"/>
              <w:jc w:val="left"/>
              <w:rPr>
                <w:color w:val="000000"/>
                <w:sz w:val="24"/>
              </w:rPr>
            </w:pPr>
          </w:p>
        </w:tc>
        <w:tc>
          <w:tcPr>
            <w:tcW w:w="570" w:type="pct"/>
            <w:noWrap w:val="0"/>
            <w:vAlign w:val="center"/>
          </w:tcPr>
          <w:p w14:paraId="2A2AF86D">
            <w:pPr>
              <w:adjustRightInd w:val="0"/>
              <w:snapToGrid w:val="0"/>
              <w:jc w:val="left"/>
              <w:rPr>
                <w:color w:val="000000"/>
                <w:sz w:val="24"/>
              </w:rPr>
            </w:pPr>
          </w:p>
        </w:tc>
        <w:tc>
          <w:tcPr>
            <w:tcW w:w="280" w:type="pct"/>
            <w:noWrap w:val="0"/>
            <w:vAlign w:val="center"/>
          </w:tcPr>
          <w:p w14:paraId="371D14CF">
            <w:pPr>
              <w:adjustRightInd w:val="0"/>
              <w:snapToGrid w:val="0"/>
              <w:jc w:val="left"/>
              <w:rPr>
                <w:color w:val="000000"/>
                <w:sz w:val="24"/>
              </w:rPr>
            </w:pPr>
          </w:p>
        </w:tc>
        <w:tc>
          <w:tcPr>
            <w:tcW w:w="572" w:type="pct"/>
            <w:gridSpan w:val="2"/>
            <w:noWrap w:val="0"/>
            <w:vAlign w:val="center"/>
          </w:tcPr>
          <w:p w14:paraId="153F7F5B">
            <w:pPr>
              <w:adjustRightInd w:val="0"/>
              <w:snapToGrid w:val="0"/>
              <w:jc w:val="left"/>
              <w:rPr>
                <w:color w:val="000000"/>
                <w:sz w:val="24"/>
              </w:rPr>
            </w:pPr>
          </w:p>
        </w:tc>
      </w:tr>
      <w:tr w14:paraId="21CB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14:paraId="6D3F779C">
            <w:pPr>
              <w:adjustRightInd w:val="0"/>
              <w:snapToGrid w:val="0"/>
              <w:jc w:val="left"/>
              <w:rPr>
                <w:color w:val="000000"/>
                <w:sz w:val="24"/>
              </w:rPr>
            </w:pPr>
            <w:r>
              <w:rPr>
                <w:color w:val="000000"/>
                <w:sz w:val="24"/>
              </w:rPr>
              <w:t>4</w:t>
            </w:r>
          </w:p>
        </w:tc>
        <w:tc>
          <w:tcPr>
            <w:tcW w:w="1050" w:type="pct"/>
            <w:noWrap w:val="0"/>
            <w:vAlign w:val="center"/>
          </w:tcPr>
          <w:p w14:paraId="73F6AAAB">
            <w:pPr>
              <w:adjustRightInd w:val="0"/>
              <w:snapToGrid w:val="0"/>
              <w:jc w:val="left"/>
              <w:rPr>
                <w:color w:val="000000"/>
                <w:sz w:val="24"/>
              </w:rPr>
            </w:pPr>
          </w:p>
        </w:tc>
        <w:tc>
          <w:tcPr>
            <w:tcW w:w="737" w:type="pct"/>
            <w:noWrap w:val="0"/>
            <w:vAlign w:val="center"/>
          </w:tcPr>
          <w:p w14:paraId="2F1CCB5A">
            <w:pPr>
              <w:adjustRightInd w:val="0"/>
              <w:snapToGrid w:val="0"/>
              <w:jc w:val="left"/>
              <w:rPr>
                <w:color w:val="000000"/>
                <w:sz w:val="24"/>
              </w:rPr>
            </w:pPr>
          </w:p>
        </w:tc>
        <w:tc>
          <w:tcPr>
            <w:tcW w:w="690" w:type="pct"/>
            <w:noWrap w:val="0"/>
            <w:vAlign w:val="top"/>
          </w:tcPr>
          <w:p w14:paraId="6C579694">
            <w:pPr>
              <w:adjustRightInd w:val="0"/>
              <w:snapToGrid w:val="0"/>
              <w:jc w:val="left"/>
              <w:rPr>
                <w:color w:val="000000"/>
                <w:sz w:val="24"/>
              </w:rPr>
            </w:pPr>
          </w:p>
        </w:tc>
        <w:tc>
          <w:tcPr>
            <w:tcW w:w="820" w:type="pct"/>
            <w:noWrap w:val="0"/>
            <w:vAlign w:val="center"/>
          </w:tcPr>
          <w:p w14:paraId="7F728E81">
            <w:pPr>
              <w:adjustRightInd w:val="0"/>
              <w:snapToGrid w:val="0"/>
              <w:jc w:val="left"/>
              <w:rPr>
                <w:color w:val="000000"/>
                <w:sz w:val="24"/>
              </w:rPr>
            </w:pPr>
          </w:p>
        </w:tc>
        <w:tc>
          <w:tcPr>
            <w:tcW w:w="570" w:type="pct"/>
            <w:noWrap w:val="0"/>
            <w:vAlign w:val="center"/>
          </w:tcPr>
          <w:p w14:paraId="742C36FE">
            <w:pPr>
              <w:adjustRightInd w:val="0"/>
              <w:snapToGrid w:val="0"/>
              <w:jc w:val="left"/>
              <w:rPr>
                <w:color w:val="000000"/>
                <w:sz w:val="24"/>
              </w:rPr>
            </w:pPr>
          </w:p>
        </w:tc>
        <w:tc>
          <w:tcPr>
            <w:tcW w:w="280" w:type="pct"/>
            <w:noWrap w:val="0"/>
            <w:vAlign w:val="center"/>
          </w:tcPr>
          <w:p w14:paraId="3D1158C0">
            <w:pPr>
              <w:adjustRightInd w:val="0"/>
              <w:snapToGrid w:val="0"/>
              <w:jc w:val="left"/>
              <w:rPr>
                <w:color w:val="000000"/>
                <w:sz w:val="24"/>
              </w:rPr>
            </w:pPr>
          </w:p>
        </w:tc>
        <w:tc>
          <w:tcPr>
            <w:tcW w:w="572" w:type="pct"/>
            <w:gridSpan w:val="2"/>
            <w:noWrap w:val="0"/>
            <w:vAlign w:val="center"/>
          </w:tcPr>
          <w:p w14:paraId="6A00A61B">
            <w:pPr>
              <w:adjustRightInd w:val="0"/>
              <w:snapToGrid w:val="0"/>
              <w:jc w:val="left"/>
              <w:rPr>
                <w:color w:val="000000"/>
                <w:sz w:val="24"/>
              </w:rPr>
            </w:pPr>
          </w:p>
        </w:tc>
      </w:tr>
      <w:tr w14:paraId="302E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14:paraId="3E63CEF4">
            <w:pPr>
              <w:adjustRightInd w:val="0"/>
              <w:snapToGrid w:val="0"/>
              <w:jc w:val="left"/>
              <w:rPr>
                <w:color w:val="000000"/>
                <w:sz w:val="24"/>
              </w:rPr>
            </w:pPr>
            <w:r>
              <w:rPr>
                <w:color w:val="000000"/>
                <w:sz w:val="24"/>
              </w:rPr>
              <w:t>…</w:t>
            </w:r>
          </w:p>
        </w:tc>
        <w:tc>
          <w:tcPr>
            <w:tcW w:w="1050" w:type="pct"/>
            <w:noWrap w:val="0"/>
            <w:vAlign w:val="center"/>
          </w:tcPr>
          <w:p w14:paraId="582CEFAA">
            <w:pPr>
              <w:adjustRightInd w:val="0"/>
              <w:snapToGrid w:val="0"/>
              <w:jc w:val="left"/>
              <w:rPr>
                <w:color w:val="000000"/>
                <w:sz w:val="24"/>
              </w:rPr>
            </w:pPr>
          </w:p>
        </w:tc>
        <w:tc>
          <w:tcPr>
            <w:tcW w:w="737" w:type="pct"/>
            <w:noWrap w:val="0"/>
            <w:vAlign w:val="center"/>
          </w:tcPr>
          <w:p w14:paraId="14307FD5">
            <w:pPr>
              <w:adjustRightInd w:val="0"/>
              <w:snapToGrid w:val="0"/>
              <w:jc w:val="left"/>
              <w:rPr>
                <w:color w:val="000000"/>
                <w:sz w:val="24"/>
              </w:rPr>
            </w:pPr>
          </w:p>
        </w:tc>
        <w:tc>
          <w:tcPr>
            <w:tcW w:w="690" w:type="pct"/>
            <w:noWrap w:val="0"/>
            <w:vAlign w:val="top"/>
          </w:tcPr>
          <w:p w14:paraId="73373BD1">
            <w:pPr>
              <w:adjustRightInd w:val="0"/>
              <w:snapToGrid w:val="0"/>
              <w:jc w:val="left"/>
              <w:rPr>
                <w:color w:val="000000"/>
                <w:sz w:val="24"/>
              </w:rPr>
            </w:pPr>
          </w:p>
        </w:tc>
        <w:tc>
          <w:tcPr>
            <w:tcW w:w="820" w:type="pct"/>
            <w:noWrap w:val="0"/>
            <w:vAlign w:val="center"/>
          </w:tcPr>
          <w:p w14:paraId="379E15A0">
            <w:pPr>
              <w:adjustRightInd w:val="0"/>
              <w:snapToGrid w:val="0"/>
              <w:jc w:val="left"/>
              <w:rPr>
                <w:color w:val="000000"/>
                <w:sz w:val="24"/>
              </w:rPr>
            </w:pPr>
          </w:p>
        </w:tc>
        <w:tc>
          <w:tcPr>
            <w:tcW w:w="570" w:type="pct"/>
            <w:noWrap w:val="0"/>
            <w:vAlign w:val="center"/>
          </w:tcPr>
          <w:p w14:paraId="3A8FA566">
            <w:pPr>
              <w:adjustRightInd w:val="0"/>
              <w:snapToGrid w:val="0"/>
              <w:jc w:val="left"/>
              <w:rPr>
                <w:color w:val="000000"/>
                <w:sz w:val="24"/>
              </w:rPr>
            </w:pPr>
          </w:p>
        </w:tc>
        <w:tc>
          <w:tcPr>
            <w:tcW w:w="280" w:type="pct"/>
            <w:noWrap w:val="0"/>
            <w:vAlign w:val="center"/>
          </w:tcPr>
          <w:p w14:paraId="1903C71D">
            <w:pPr>
              <w:adjustRightInd w:val="0"/>
              <w:snapToGrid w:val="0"/>
              <w:jc w:val="left"/>
              <w:rPr>
                <w:color w:val="000000"/>
                <w:sz w:val="24"/>
              </w:rPr>
            </w:pPr>
          </w:p>
        </w:tc>
        <w:tc>
          <w:tcPr>
            <w:tcW w:w="572" w:type="pct"/>
            <w:gridSpan w:val="2"/>
            <w:noWrap w:val="0"/>
            <w:vAlign w:val="center"/>
          </w:tcPr>
          <w:p w14:paraId="704B3A99">
            <w:pPr>
              <w:adjustRightInd w:val="0"/>
              <w:snapToGrid w:val="0"/>
              <w:jc w:val="left"/>
              <w:rPr>
                <w:color w:val="000000"/>
                <w:sz w:val="24"/>
              </w:rPr>
            </w:pPr>
          </w:p>
        </w:tc>
      </w:tr>
      <w:tr w14:paraId="729D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noWrap w:val="0"/>
            <w:vAlign w:val="top"/>
          </w:tcPr>
          <w:p w14:paraId="573A60B6">
            <w:pPr>
              <w:jc w:val="right"/>
              <w:rPr>
                <w:b/>
                <w:sz w:val="24"/>
              </w:rPr>
            </w:pPr>
            <w:r>
              <w:rPr>
                <w:b/>
                <w:sz w:val="24"/>
              </w:rPr>
              <w:t>总价（元）</w:t>
            </w:r>
          </w:p>
        </w:tc>
        <w:tc>
          <w:tcPr>
            <w:tcW w:w="569" w:type="pct"/>
            <w:gridSpan w:val="2"/>
            <w:noWrap w:val="0"/>
            <w:vAlign w:val="center"/>
          </w:tcPr>
          <w:p w14:paraId="299508C1">
            <w:pPr>
              <w:adjustRightInd w:val="0"/>
              <w:snapToGrid w:val="0"/>
              <w:jc w:val="left"/>
              <w:rPr>
                <w:color w:val="000000"/>
                <w:sz w:val="24"/>
              </w:rPr>
            </w:pPr>
          </w:p>
        </w:tc>
      </w:tr>
    </w:tbl>
    <w:p w14:paraId="78E869F5">
      <w:pPr>
        <w:adjustRightInd w:val="0"/>
        <w:snapToGrid w:val="0"/>
        <w:spacing w:before="240" w:beforeLines="100" w:after="240" w:afterLines="100"/>
        <w:jc w:val="left"/>
        <w:rPr>
          <w:b/>
          <w:i/>
          <w:color w:val="FF0000"/>
          <w:sz w:val="24"/>
        </w:rPr>
      </w:pPr>
      <w:r>
        <w:rPr>
          <w:b/>
          <w:i/>
          <w:color w:val="FF0000"/>
          <w:sz w:val="24"/>
        </w:rPr>
        <w:br w:type="page"/>
      </w:r>
      <w:r>
        <w:rPr>
          <w:rFonts w:hint="eastAsia"/>
          <w:b/>
          <w:i w:val="0"/>
          <w:iCs/>
          <w:color w:val="FF0000"/>
          <w:sz w:val="24"/>
        </w:rPr>
        <w:t>（格式示例</w:t>
      </w:r>
      <w:r>
        <w:rPr>
          <w:b/>
          <w:i w:val="0"/>
          <w:iCs/>
          <w:color w:val="FF0000"/>
          <w:sz w:val="24"/>
        </w:rPr>
        <w:t>三，适用于服务类项目</w:t>
      </w:r>
      <w:r>
        <w:rPr>
          <w:rFonts w:hint="eastAsia"/>
          <w:b/>
          <w:i w:val="0"/>
          <w:iCs/>
          <w:color w:val="FF0000"/>
          <w:sz w:val="24"/>
        </w:rPr>
        <w:t>）</w:t>
      </w:r>
    </w:p>
    <w:p w14:paraId="4BA56C86">
      <w:pPr>
        <w:tabs>
          <w:tab w:val="left" w:pos="1800"/>
          <w:tab w:val="left" w:pos="5580"/>
        </w:tabs>
        <w:rPr>
          <w:color w:val="000000"/>
          <w:sz w:val="24"/>
        </w:rPr>
      </w:pPr>
      <w:r>
        <w:rPr>
          <w:color w:val="000000"/>
          <w:sz w:val="24"/>
        </w:rPr>
        <w:t>项目编号/包号：___________ 项目名称：__________报价单位：人民币元</w:t>
      </w:r>
    </w:p>
    <w:tbl>
      <w:tblPr>
        <w:tblStyle w:val="42"/>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14:paraId="6550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14:paraId="165AE35D">
            <w:pPr>
              <w:adjustRightInd w:val="0"/>
              <w:snapToGrid w:val="0"/>
              <w:jc w:val="left"/>
              <w:rPr>
                <w:b/>
                <w:color w:val="000000"/>
                <w:sz w:val="24"/>
              </w:rPr>
            </w:pPr>
            <w:r>
              <w:rPr>
                <w:b/>
                <w:color w:val="000000"/>
                <w:sz w:val="24"/>
              </w:rPr>
              <w:t>序号</w:t>
            </w:r>
          </w:p>
        </w:tc>
        <w:tc>
          <w:tcPr>
            <w:tcW w:w="1847" w:type="pct"/>
            <w:noWrap w:val="0"/>
            <w:vAlign w:val="center"/>
          </w:tcPr>
          <w:p w14:paraId="45410CE6">
            <w:pPr>
              <w:adjustRightInd w:val="0"/>
              <w:snapToGrid w:val="0"/>
              <w:jc w:val="left"/>
              <w:rPr>
                <w:b/>
                <w:color w:val="000000"/>
                <w:sz w:val="24"/>
              </w:rPr>
            </w:pPr>
            <w:r>
              <w:rPr>
                <w:b/>
                <w:color w:val="000000"/>
                <w:sz w:val="24"/>
              </w:rPr>
              <w:t>分项名称</w:t>
            </w:r>
          </w:p>
        </w:tc>
        <w:tc>
          <w:tcPr>
            <w:tcW w:w="848" w:type="pct"/>
            <w:noWrap w:val="0"/>
            <w:vAlign w:val="center"/>
          </w:tcPr>
          <w:p w14:paraId="73475567">
            <w:pPr>
              <w:adjustRightInd w:val="0"/>
              <w:snapToGrid w:val="0"/>
              <w:jc w:val="left"/>
              <w:rPr>
                <w:b/>
                <w:color w:val="000000"/>
                <w:sz w:val="24"/>
              </w:rPr>
            </w:pPr>
            <w:r>
              <w:rPr>
                <w:b/>
                <w:color w:val="000000"/>
                <w:sz w:val="24"/>
              </w:rPr>
              <w:t>单价（元）</w:t>
            </w:r>
          </w:p>
        </w:tc>
        <w:tc>
          <w:tcPr>
            <w:tcW w:w="847" w:type="pct"/>
            <w:noWrap w:val="0"/>
            <w:vAlign w:val="center"/>
          </w:tcPr>
          <w:p w14:paraId="5D4263B0">
            <w:pPr>
              <w:adjustRightInd w:val="0"/>
              <w:snapToGrid w:val="0"/>
              <w:jc w:val="left"/>
              <w:rPr>
                <w:b/>
                <w:color w:val="000000"/>
                <w:sz w:val="24"/>
              </w:rPr>
            </w:pPr>
            <w:r>
              <w:rPr>
                <w:b/>
                <w:color w:val="000000"/>
                <w:sz w:val="24"/>
              </w:rPr>
              <w:t>合价（元）</w:t>
            </w:r>
          </w:p>
        </w:tc>
        <w:tc>
          <w:tcPr>
            <w:tcW w:w="1076" w:type="pct"/>
            <w:noWrap w:val="0"/>
            <w:vAlign w:val="center"/>
          </w:tcPr>
          <w:p w14:paraId="38982ABA">
            <w:pPr>
              <w:adjustRightInd w:val="0"/>
              <w:snapToGrid w:val="0"/>
              <w:jc w:val="left"/>
              <w:rPr>
                <w:b/>
                <w:color w:val="000000"/>
                <w:sz w:val="24"/>
              </w:rPr>
            </w:pPr>
            <w:r>
              <w:rPr>
                <w:b/>
                <w:color w:val="000000"/>
                <w:sz w:val="24"/>
              </w:rPr>
              <w:t>备注/说明</w:t>
            </w:r>
          </w:p>
        </w:tc>
      </w:tr>
      <w:tr w14:paraId="070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14:paraId="04E911F6">
            <w:pPr>
              <w:adjustRightInd w:val="0"/>
              <w:snapToGrid w:val="0"/>
              <w:jc w:val="center"/>
              <w:rPr>
                <w:color w:val="000000"/>
                <w:sz w:val="24"/>
              </w:rPr>
            </w:pPr>
            <w:r>
              <w:rPr>
                <w:color w:val="000000"/>
                <w:sz w:val="24"/>
              </w:rPr>
              <w:t>1</w:t>
            </w:r>
          </w:p>
        </w:tc>
        <w:tc>
          <w:tcPr>
            <w:tcW w:w="1847" w:type="pct"/>
            <w:noWrap w:val="0"/>
            <w:vAlign w:val="center"/>
          </w:tcPr>
          <w:p w14:paraId="2C683197">
            <w:pPr>
              <w:adjustRightInd w:val="0"/>
              <w:snapToGrid w:val="0"/>
              <w:jc w:val="left"/>
              <w:rPr>
                <w:color w:val="000000"/>
                <w:sz w:val="24"/>
              </w:rPr>
            </w:pPr>
          </w:p>
        </w:tc>
        <w:tc>
          <w:tcPr>
            <w:tcW w:w="848" w:type="pct"/>
            <w:noWrap w:val="0"/>
            <w:vAlign w:val="center"/>
          </w:tcPr>
          <w:p w14:paraId="1D777114">
            <w:pPr>
              <w:adjustRightInd w:val="0"/>
              <w:snapToGrid w:val="0"/>
              <w:jc w:val="left"/>
              <w:rPr>
                <w:color w:val="000000"/>
                <w:sz w:val="24"/>
              </w:rPr>
            </w:pPr>
          </w:p>
        </w:tc>
        <w:tc>
          <w:tcPr>
            <w:tcW w:w="847" w:type="pct"/>
            <w:noWrap w:val="0"/>
            <w:vAlign w:val="center"/>
          </w:tcPr>
          <w:p w14:paraId="1A67FFFF">
            <w:pPr>
              <w:adjustRightInd w:val="0"/>
              <w:snapToGrid w:val="0"/>
              <w:jc w:val="left"/>
              <w:rPr>
                <w:color w:val="000000"/>
                <w:sz w:val="24"/>
              </w:rPr>
            </w:pPr>
          </w:p>
        </w:tc>
        <w:tc>
          <w:tcPr>
            <w:tcW w:w="1076" w:type="pct"/>
            <w:noWrap w:val="0"/>
            <w:vAlign w:val="center"/>
          </w:tcPr>
          <w:p w14:paraId="39916879">
            <w:pPr>
              <w:adjustRightInd w:val="0"/>
              <w:snapToGrid w:val="0"/>
              <w:jc w:val="left"/>
              <w:rPr>
                <w:color w:val="000000"/>
                <w:sz w:val="24"/>
              </w:rPr>
            </w:pPr>
          </w:p>
        </w:tc>
      </w:tr>
      <w:tr w14:paraId="3923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14:paraId="5B18F7C9">
            <w:pPr>
              <w:adjustRightInd w:val="0"/>
              <w:snapToGrid w:val="0"/>
              <w:jc w:val="center"/>
              <w:rPr>
                <w:color w:val="000000"/>
                <w:sz w:val="24"/>
              </w:rPr>
            </w:pPr>
            <w:r>
              <w:rPr>
                <w:color w:val="000000"/>
                <w:sz w:val="24"/>
              </w:rPr>
              <w:t>2</w:t>
            </w:r>
          </w:p>
        </w:tc>
        <w:tc>
          <w:tcPr>
            <w:tcW w:w="1847" w:type="pct"/>
            <w:noWrap w:val="0"/>
            <w:vAlign w:val="center"/>
          </w:tcPr>
          <w:p w14:paraId="4693A9B3">
            <w:pPr>
              <w:adjustRightInd w:val="0"/>
              <w:snapToGrid w:val="0"/>
              <w:jc w:val="left"/>
              <w:rPr>
                <w:color w:val="000000"/>
                <w:sz w:val="24"/>
              </w:rPr>
            </w:pPr>
          </w:p>
        </w:tc>
        <w:tc>
          <w:tcPr>
            <w:tcW w:w="848" w:type="pct"/>
            <w:noWrap w:val="0"/>
            <w:vAlign w:val="center"/>
          </w:tcPr>
          <w:p w14:paraId="3A53CF26">
            <w:pPr>
              <w:adjustRightInd w:val="0"/>
              <w:snapToGrid w:val="0"/>
              <w:jc w:val="left"/>
              <w:rPr>
                <w:color w:val="000000"/>
                <w:sz w:val="24"/>
              </w:rPr>
            </w:pPr>
          </w:p>
        </w:tc>
        <w:tc>
          <w:tcPr>
            <w:tcW w:w="847" w:type="pct"/>
            <w:noWrap w:val="0"/>
            <w:vAlign w:val="center"/>
          </w:tcPr>
          <w:p w14:paraId="5EF3A066">
            <w:pPr>
              <w:adjustRightInd w:val="0"/>
              <w:snapToGrid w:val="0"/>
              <w:jc w:val="left"/>
              <w:rPr>
                <w:color w:val="000000"/>
                <w:sz w:val="24"/>
              </w:rPr>
            </w:pPr>
          </w:p>
        </w:tc>
        <w:tc>
          <w:tcPr>
            <w:tcW w:w="1076" w:type="pct"/>
            <w:noWrap w:val="0"/>
            <w:vAlign w:val="center"/>
          </w:tcPr>
          <w:p w14:paraId="5EE19BD8">
            <w:pPr>
              <w:adjustRightInd w:val="0"/>
              <w:snapToGrid w:val="0"/>
              <w:jc w:val="left"/>
              <w:rPr>
                <w:color w:val="000000"/>
                <w:sz w:val="24"/>
              </w:rPr>
            </w:pPr>
          </w:p>
        </w:tc>
      </w:tr>
      <w:tr w14:paraId="00DD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14:paraId="5B862066">
            <w:pPr>
              <w:adjustRightInd w:val="0"/>
              <w:snapToGrid w:val="0"/>
              <w:jc w:val="center"/>
              <w:rPr>
                <w:color w:val="000000"/>
                <w:sz w:val="24"/>
              </w:rPr>
            </w:pPr>
            <w:r>
              <w:rPr>
                <w:color w:val="000000"/>
                <w:sz w:val="24"/>
              </w:rPr>
              <w:t>3</w:t>
            </w:r>
          </w:p>
        </w:tc>
        <w:tc>
          <w:tcPr>
            <w:tcW w:w="1847" w:type="pct"/>
            <w:noWrap w:val="0"/>
            <w:vAlign w:val="center"/>
          </w:tcPr>
          <w:p w14:paraId="108D309C">
            <w:pPr>
              <w:adjustRightInd w:val="0"/>
              <w:snapToGrid w:val="0"/>
              <w:jc w:val="left"/>
              <w:rPr>
                <w:color w:val="000000"/>
                <w:sz w:val="24"/>
              </w:rPr>
            </w:pPr>
            <w:r>
              <w:rPr>
                <w:color w:val="000000"/>
                <w:sz w:val="24"/>
              </w:rPr>
              <w:t>…</w:t>
            </w:r>
          </w:p>
        </w:tc>
        <w:tc>
          <w:tcPr>
            <w:tcW w:w="848" w:type="pct"/>
            <w:noWrap w:val="0"/>
            <w:vAlign w:val="center"/>
          </w:tcPr>
          <w:p w14:paraId="6D28A5C9">
            <w:pPr>
              <w:adjustRightInd w:val="0"/>
              <w:snapToGrid w:val="0"/>
              <w:jc w:val="left"/>
              <w:rPr>
                <w:color w:val="000000"/>
                <w:sz w:val="24"/>
              </w:rPr>
            </w:pPr>
          </w:p>
        </w:tc>
        <w:tc>
          <w:tcPr>
            <w:tcW w:w="847" w:type="pct"/>
            <w:noWrap w:val="0"/>
            <w:vAlign w:val="center"/>
          </w:tcPr>
          <w:p w14:paraId="3169CDAF">
            <w:pPr>
              <w:adjustRightInd w:val="0"/>
              <w:snapToGrid w:val="0"/>
              <w:jc w:val="left"/>
              <w:rPr>
                <w:color w:val="000000"/>
                <w:sz w:val="24"/>
              </w:rPr>
            </w:pPr>
          </w:p>
        </w:tc>
        <w:tc>
          <w:tcPr>
            <w:tcW w:w="1076" w:type="pct"/>
            <w:noWrap w:val="0"/>
            <w:vAlign w:val="center"/>
          </w:tcPr>
          <w:p w14:paraId="3DF0DAFD">
            <w:pPr>
              <w:adjustRightInd w:val="0"/>
              <w:snapToGrid w:val="0"/>
              <w:jc w:val="left"/>
              <w:rPr>
                <w:color w:val="000000"/>
                <w:sz w:val="24"/>
              </w:rPr>
            </w:pPr>
          </w:p>
        </w:tc>
      </w:tr>
      <w:tr w14:paraId="6CA5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14:paraId="688953DE">
            <w:pPr>
              <w:adjustRightInd w:val="0"/>
              <w:snapToGrid w:val="0"/>
              <w:jc w:val="right"/>
              <w:rPr>
                <w:b/>
                <w:color w:val="000000"/>
                <w:sz w:val="24"/>
              </w:rPr>
            </w:pPr>
            <w:r>
              <w:rPr>
                <w:b/>
                <w:color w:val="000000"/>
                <w:sz w:val="24"/>
              </w:rPr>
              <w:t>总价（元）</w:t>
            </w:r>
          </w:p>
        </w:tc>
        <w:tc>
          <w:tcPr>
            <w:tcW w:w="847" w:type="pct"/>
            <w:noWrap w:val="0"/>
            <w:vAlign w:val="center"/>
          </w:tcPr>
          <w:p w14:paraId="6D434E6B">
            <w:pPr>
              <w:adjustRightInd w:val="0"/>
              <w:snapToGrid w:val="0"/>
              <w:jc w:val="left"/>
              <w:rPr>
                <w:color w:val="000000"/>
                <w:sz w:val="24"/>
              </w:rPr>
            </w:pPr>
          </w:p>
        </w:tc>
        <w:tc>
          <w:tcPr>
            <w:tcW w:w="1076" w:type="pct"/>
            <w:noWrap w:val="0"/>
            <w:vAlign w:val="center"/>
          </w:tcPr>
          <w:p w14:paraId="0EF58196">
            <w:pPr>
              <w:adjustRightInd w:val="0"/>
              <w:snapToGrid w:val="0"/>
              <w:jc w:val="left"/>
              <w:rPr>
                <w:color w:val="000000"/>
                <w:sz w:val="24"/>
              </w:rPr>
            </w:pPr>
          </w:p>
        </w:tc>
      </w:tr>
    </w:tbl>
    <w:p w14:paraId="69030DB1">
      <w:pPr>
        <w:tabs>
          <w:tab w:val="left" w:pos="1800"/>
          <w:tab w:val="left" w:pos="5580"/>
        </w:tabs>
        <w:jc w:val="left"/>
        <w:rPr>
          <w:color w:val="000000"/>
          <w:sz w:val="24"/>
        </w:rPr>
      </w:pPr>
    </w:p>
    <w:p w14:paraId="78637200">
      <w:pPr>
        <w:tabs>
          <w:tab w:val="left" w:pos="1800"/>
          <w:tab w:val="left" w:pos="5580"/>
        </w:tabs>
        <w:jc w:val="left"/>
        <w:rPr>
          <w:color w:val="000000"/>
          <w:sz w:val="24"/>
        </w:rPr>
      </w:pPr>
    </w:p>
    <w:p w14:paraId="3DE40FA6">
      <w:pPr>
        <w:tabs>
          <w:tab w:val="left" w:pos="1800"/>
          <w:tab w:val="left" w:pos="5580"/>
        </w:tabs>
        <w:jc w:val="left"/>
        <w:rPr>
          <w:color w:val="000000"/>
          <w:sz w:val="24"/>
        </w:rPr>
      </w:pPr>
    </w:p>
    <w:p w14:paraId="52DD226F">
      <w:pPr>
        <w:tabs>
          <w:tab w:val="left" w:pos="1800"/>
          <w:tab w:val="left" w:pos="5580"/>
        </w:tabs>
        <w:jc w:val="left"/>
        <w:rPr>
          <w:color w:val="000000"/>
          <w:sz w:val="24"/>
        </w:rPr>
      </w:pPr>
    </w:p>
    <w:p w14:paraId="728F15E8">
      <w:pPr>
        <w:tabs>
          <w:tab w:val="left" w:pos="1800"/>
          <w:tab w:val="left" w:pos="5580"/>
        </w:tabs>
        <w:jc w:val="left"/>
        <w:rPr>
          <w:color w:val="000000"/>
          <w:sz w:val="24"/>
        </w:rPr>
      </w:pPr>
      <w:r>
        <w:rPr>
          <w:color w:val="000000"/>
          <w:sz w:val="24"/>
        </w:rPr>
        <w:t>注：1.本表应按包分别填写。</w:t>
      </w:r>
    </w:p>
    <w:p w14:paraId="4DBB5158">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2AE0FA95">
      <w:pPr>
        <w:tabs>
          <w:tab w:val="left" w:pos="1800"/>
          <w:tab w:val="left" w:pos="5580"/>
        </w:tabs>
        <w:ind w:firstLine="480" w:firstLineChars="200"/>
        <w:jc w:val="left"/>
        <w:rPr>
          <w:color w:val="000000"/>
          <w:sz w:val="24"/>
        </w:rPr>
      </w:pPr>
      <w:r>
        <w:rPr>
          <w:color w:val="000000"/>
          <w:sz w:val="24"/>
        </w:rPr>
        <w:t>3.上述各项的详细规格（如有），可另页描述。</w:t>
      </w:r>
    </w:p>
    <w:p w14:paraId="3C9BB1C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C00805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5F3A3CB0">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241DF2E">
      <w:pPr>
        <w:spacing w:line="360" w:lineRule="auto"/>
        <w:outlineLvl w:val="2"/>
        <w:rPr>
          <w:color w:val="000000"/>
          <w:sz w:val="24"/>
          <w:szCs w:val="20"/>
        </w:rPr>
      </w:pPr>
      <w:bookmarkStart w:id="981" w:name="_Toc226337258"/>
      <w:bookmarkStart w:id="982" w:name="_Toc150480798"/>
      <w:bookmarkStart w:id="983" w:name="_Toc226965752"/>
      <w:bookmarkStart w:id="984" w:name="_Toc195842927"/>
      <w:bookmarkStart w:id="985" w:name="_Toc305158830"/>
      <w:bookmarkStart w:id="986" w:name="_Toc150774765"/>
      <w:bookmarkStart w:id="987" w:name="_Toc226309806"/>
      <w:bookmarkStart w:id="988" w:name="_Toc142311062"/>
      <w:bookmarkStart w:id="989" w:name="_Toc265228400"/>
      <w:bookmarkStart w:id="990" w:name="_Toc226965835"/>
      <w:bookmarkStart w:id="991" w:name="_Toc264969252"/>
      <w:bookmarkStart w:id="992" w:name="_Toc127151562"/>
      <w:bookmarkStart w:id="993" w:name="_Toc305158904"/>
      <w:bookmarkStart w:id="994" w:name="_Toc150774764"/>
      <w:bookmarkStart w:id="995" w:name="_Toc150480797"/>
      <w:bookmarkStart w:id="996" w:name="_Toc226337257"/>
      <w:bookmarkStart w:id="997" w:name="_Toc142311061"/>
      <w:bookmarkStart w:id="998" w:name="_Toc264969251"/>
      <w:bookmarkStart w:id="999" w:name="_Toc305158903"/>
      <w:bookmarkStart w:id="1000" w:name="_Toc226309805"/>
      <w:bookmarkStart w:id="1001" w:name="_Toc226965751"/>
      <w:bookmarkStart w:id="1002" w:name="_Toc127151561"/>
      <w:bookmarkStart w:id="1003" w:name="_Toc265228399"/>
      <w:bookmarkStart w:id="1004" w:name="_Toc305158829"/>
      <w:bookmarkStart w:id="1005" w:name="_Toc226965834"/>
      <w:bookmarkStart w:id="1006" w:name="_Toc195842926"/>
      <w:r>
        <w:rPr>
          <w:color w:val="000000"/>
          <w:sz w:val="24"/>
          <w:szCs w:val="20"/>
        </w:rPr>
        <w:br w:type="page"/>
      </w:r>
      <w:r>
        <w:rPr>
          <w:color w:val="000000"/>
          <w:sz w:val="24"/>
          <w:szCs w:val="20"/>
        </w:rPr>
        <w:t>合同条款偏离表</w:t>
      </w:r>
      <w:bookmarkEnd w:id="981"/>
      <w:bookmarkEnd w:id="982"/>
      <w:bookmarkEnd w:id="983"/>
      <w:bookmarkEnd w:id="984"/>
      <w:bookmarkEnd w:id="985"/>
      <w:bookmarkEnd w:id="986"/>
      <w:bookmarkEnd w:id="987"/>
      <w:bookmarkEnd w:id="988"/>
      <w:bookmarkEnd w:id="989"/>
      <w:bookmarkEnd w:id="990"/>
      <w:bookmarkEnd w:id="991"/>
      <w:bookmarkEnd w:id="992"/>
      <w:bookmarkEnd w:id="993"/>
      <w:r>
        <w:rPr>
          <w:color w:val="000000"/>
          <w:sz w:val="24"/>
          <w:szCs w:val="20"/>
        </w:rPr>
        <w:t>（实质性格式）</w:t>
      </w:r>
    </w:p>
    <w:p w14:paraId="2E72CF14">
      <w:pPr>
        <w:spacing w:line="360" w:lineRule="auto"/>
        <w:rPr>
          <w:color w:val="000000"/>
          <w:sz w:val="24"/>
          <w:szCs w:val="20"/>
        </w:rPr>
      </w:pPr>
    </w:p>
    <w:p w14:paraId="50FB87FC">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2F8F4405">
      <w:pPr>
        <w:spacing w:line="360" w:lineRule="auto"/>
        <w:rPr>
          <w:color w:val="000000"/>
          <w:sz w:val="24"/>
          <w:szCs w:val="20"/>
        </w:rPr>
      </w:pPr>
    </w:p>
    <w:p w14:paraId="1797AA9E">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30F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459B55EC">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14:paraId="5B2ED171">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14:paraId="7C5D433A">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14:paraId="5BEA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0DBA0F3A">
            <w:pPr>
              <w:adjustRightInd w:val="0"/>
              <w:snapToGrid w:val="0"/>
              <w:jc w:val="center"/>
              <w:rPr>
                <w:color w:val="000000"/>
                <w:sz w:val="24"/>
              </w:rPr>
            </w:pPr>
            <w:r>
              <w:rPr>
                <w:color w:val="000000"/>
                <w:sz w:val="24"/>
              </w:rPr>
              <w:t>序号</w:t>
            </w:r>
          </w:p>
        </w:tc>
        <w:tc>
          <w:tcPr>
            <w:tcW w:w="1301" w:type="dxa"/>
            <w:noWrap w:val="0"/>
            <w:vAlign w:val="center"/>
          </w:tcPr>
          <w:p w14:paraId="3953A291">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noWrap w:val="0"/>
            <w:vAlign w:val="center"/>
          </w:tcPr>
          <w:p w14:paraId="2CB8A875">
            <w:pPr>
              <w:adjustRightInd w:val="0"/>
              <w:snapToGrid w:val="0"/>
              <w:jc w:val="center"/>
              <w:rPr>
                <w:color w:val="000000"/>
                <w:sz w:val="24"/>
              </w:rPr>
            </w:pPr>
            <w:r>
              <w:rPr>
                <w:color w:val="000000"/>
                <w:sz w:val="24"/>
                <w:szCs w:val="21"/>
              </w:rPr>
              <w:t>招标文件</w:t>
            </w:r>
            <w:r>
              <w:rPr>
                <w:color w:val="000000"/>
                <w:sz w:val="24"/>
              </w:rPr>
              <w:t>要求</w:t>
            </w:r>
          </w:p>
        </w:tc>
        <w:tc>
          <w:tcPr>
            <w:tcW w:w="2008" w:type="dxa"/>
            <w:noWrap w:val="0"/>
            <w:vAlign w:val="center"/>
          </w:tcPr>
          <w:p w14:paraId="244B5C98">
            <w:pPr>
              <w:adjustRightInd w:val="0"/>
              <w:snapToGrid w:val="0"/>
              <w:jc w:val="center"/>
              <w:rPr>
                <w:color w:val="000000"/>
                <w:sz w:val="24"/>
              </w:rPr>
            </w:pPr>
            <w:r>
              <w:rPr>
                <w:color w:val="000000"/>
                <w:sz w:val="24"/>
              </w:rPr>
              <w:t>投标文件内容</w:t>
            </w:r>
          </w:p>
        </w:tc>
        <w:tc>
          <w:tcPr>
            <w:tcW w:w="2458" w:type="dxa"/>
            <w:noWrap w:val="0"/>
            <w:vAlign w:val="center"/>
          </w:tcPr>
          <w:p w14:paraId="6FD9128B">
            <w:pPr>
              <w:adjustRightInd w:val="0"/>
              <w:snapToGrid w:val="0"/>
              <w:jc w:val="center"/>
              <w:rPr>
                <w:color w:val="000000"/>
                <w:sz w:val="24"/>
              </w:rPr>
            </w:pPr>
            <w:r>
              <w:rPr>
                <w:color w:val="000000"/>
                <w:sz w:val="24"/>
              </w:rPr>
              <w:t>偏离情况</w:t>
            </w:r>
          </w:p>
        </w:tc>
        <w:tc>
          <w:tcPr>
            <w:tcW w:w="788" w:type="dxa"/>
            <w:noWrap w:val="0"/>
            <w:vAlign w:val="center"/>
          </w:tcPr>
          <w:p w14:paraId="551EACF5">
            <w:pPr>
              <w:adjustRightInd w:val="0"/>
              <w:snapToGrid w:val="0"/>
              <w:jc w:val="center"/>
              <w:rPr>
                <w:color w:val="000000"/>
                <w:sz w:val="24"/>
              </w:rPr>
            </w:pPr>
            <w:r>
              <w:rPr>
                <w:color w:val="000000"/>
                <w:sz w:val="24"/>
              </w:rPr>
              <w:t>说明</w:t>
            </w:r>
          </w:p>
        </w:tc>
      </w:tr>
      <w:tr w14:paraId="336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0C2CE7EA">
            <w:pPr>
              <w:adjustRightInd w:val="0"/>
              <w:snapToGrid w:val="0"/>
              <w:jc w:val="center"/>
              <w:rPr>
                <w:color w:val="000000"/>
                <w:sz w:val="24"/>
              </w:rPr>
            </w:pPr>
          </w:p>
        </w:tc>
        <w:tc>
          <w:tcPr>
            <w:tcW w:w="1301" w:type="dxa"/>
            <w:noWrap w:val="0"/>
            <w:vAlign w:val="center"/>
          </w:tcPr>
          <w:p w14:paraId="6E389E01">
            <w:pPr>
              <w:adjustRightInd w:val="0"/>
              <w:snapToGrid w:val="0"/>
              <w:jc w:val="center"/>
              <w:rPr>
                <w:color w:val="000000"/>
                <w:sz w:val="24"/>
              </w:rPr>
            </w:pPr>
          </w:p>
        </w:tc>
        <w:tc>
          <w:tcPr>
            <w:tcW w:w="2007" w:type="dxa"/>
            <w:noWrap w:val="0"/>
            <w:vAlign w:val="center"/>
          </w:tcPr>
          <w:p w14:paraId="69265975">
            <w:pPr>
              <w:adjustRightInd w:val="0"/>
              <w:snapToGrid w:val="0"/>
              <w:jc w:val="center"/>
              <w:rPr>
                <w:color w:val="000000"/>
                <w:sz w:val="24"/>
              </w:rPr>
            </w:pPr>
          </w:p>
        </w:tc>
        <w:tc>
          <w:tcPr>
            <w:tcW w:w="2008" w:type="dxa"/>
            <w:noWrap w:val="0"/>
            <w:vAlign w:val="center"/>
          </w:tcPr>
          <w:p w14:paraId="7AF7B7BF">
            <w:pPr>
              <w:adjustRightInd w:val="0"/>
              <w:snapToGrid w:val="0"/>
              <w:jc w:val="center"/>
              <w:rPr>
                <w:color w:val="000000"/>
                <w:sz w:val="24"/>
              </w:rPr>
            </w:pPr>
          </w:p>
        </w:tc>
        <w:tc>
          <w:tcPr>
            <w:tcW w:w="2458" w:type="dxa"/>
            <w:noWrap w:val="0"/>
            <w:vAlign w:val="center"/>
          </w:tcPr>
          <w:p w14:paraId="1CA92A50">
            <w:pPr>
              <w:adjustRightInd w:val="0"/>
              <w:snapToGrid w:val="0"/>
              <w:jc w:val="center"/>
              <w:rPr>
                <w:color w:val="000000"/>
                <w:sz w:val="24"/>
              </w:rPr>
            </w:pPr>
          </w:p>
        </w:tc>
        <w:tc>
          <w:tcPr>
            <w:tcW w:w="788" w:type="dxa"/>
            <w:noWrap w:val="0"/>
            <w:vAlign w:val="center"/>
          </w:tcPr>
          <w:p w14:paraId="1D5F20D1">
            <w:pPr>
              <w:adjustRightInd w:val="0"/>
              <w:snapToGrid w:val="0"/>
              <w:jc w:val="center"/>
              <w:rPr>
                <w:color w:val="000000"/>
                <w:sz w:val="24"/>
              </w:rPr>
            </w:pPr>
          </w:p>
        </w:tc>
      </w:tr>
      <w:tr w14:paraId="0E7B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06AFF3B3">
            <w:pPr>
              <w:adjustRightInd w:val="0"/>
              <w:snapToGrid w:val="0"/>
              <w:jc w:val="center"/>
              <w:rPr>
                <w:color w:val="000000"/>
                <w:sz w:val="24"/>
              </w:rPr>
            </w:pPr>
          </w:p>
        </w:tc>
        <w:tc>
          <w:tcPr>
            <w:tcW w:w="1301" w:type="dxa"/>
            <w:noWrap w:val="0"/>
            <w:vAlign w:val="center"/>
          </w:tcPr>
          <w:p w14:paraId="67B4EE87">
            <w:pPr>
              <w:adjustRightInd w:val="0"/>
              <w:snapToGrid w:val="0"/>
              <w:jc w:val="center"/>
              <w:rPr>
                <w:color w:val="000000"/>
                <w:sz w:val="24"/>
              </w:rPr>
            </w:pPr>
          </w:p>
        </w:tc>
        <w:tc>
          <w:tcPr>
            <w:tcW w:w="2007" w:type="dxa"/>
            <w:noWrap w:val="0"/>
            <w:vAlign w:val="center"/>
          </w:tcPr>
          <w:p w14:paraId="1441D152">
            <w:pPr>
              <w:adjustRightInd w:val="0"/>
              <w:snapToGrid w:val="0"/>
              <w:jc w:val="center"/>
              <w:rPr>
                <w:color w:val="000000"/>
                <w:sz w:val="24"/>
              </w:rPr>
            </w:pPr>
          </w:p>
        </w:tc>
        <w:tc>
          <w:tcPr>
            <w:tcW w:w="2008" w:type="dxa"/>
            <w:noWrap w:val="0"/>
            <w:vAlign w:val="center"/>
          </w:tcPr>
          <w:p w14:paraId="458D9153">
            <w:pPr>
              <w:adjustRightInd w:val="0"/>
              <w:snapToGrid w:val="0"/>
              <w:jc w:val="center"/>
              <w:rPr>
                <w:color w:val="000000"/>
                <w:sz w:val="24"/>
              </w:rPr>
            </w:pPr>
          </w:p>
        </w:tc>
        <w:tc>
          <w:tcPr>
            <w:tcW w:w="2458" w:type="dxa"/>
            <w:noWrap w:val="0"/>
            <w:vAlign w:val="center"/>
          </w:tcPr>
          <w:p w14:paraId="266EB4E3">
            <w:pPr>
              <w:adjustRightInd w:val="0"/>
              <w:snapToGrid w:val="0"/>
              <w:jc w:val="center"/>
              <w:rPr>
                <w:color w:val="000000"/>
                <w:sz w:val="24"/>
              </w:rPr>
            </w:pPr>
          </w:p>
        </w:tc>
        <w:tc>
          <w:tcPr>
            <w:tcW w:w="788" w:type="dxa"/>
            <w:noWrap w:val="0"/>
            <w:vAlign w:val="center"/>
          </w:tcPr>
          <w:p w14:paraId="59796A37">
            <w:pPr>
              <w:adjustRightInd w:val="0"/>
              <w:snapToGrid w:val="0"/>
              <w:jc w:val="center"/>
              <w:rPr>
                <w:color w:val="000000"/>
                <w:sz w:val="24"/>
              </w:rPr>
            </w:pPr>
          </w:p>
        </w:tc>
      </w:tr>
      <w:tr w14:paraId="34E1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50BED788">
            <w:pPr>
              <w:adjustRightInd w:val="0"/>
              <w:snapToGrid w:val="0"/>
              <w:jc w:val="center"/>
              <w:rPr>
                <w:color w:val="000000"/>
                <w:sz w:val="24"/>
              </w:rPr>
            </w:pPr>
          </w:p>
        </w:tc>
        <w:tc>
          <w:tcPr>
            <w:tcW w:w="1301" w:type="dxa"/>
            <w:noWrap w:val="0"/>
            <w:vAlign w:val="center"/>
          </w:tcPr>
          <w:p w14:paraId="1F4F77BD">
            <w:pPr>
              <w:adjustRightInd w:val="0"/>
              <w:snapToGrid w:val="0"/>
              <w:jc w:val="center"/>
              <w:rPr>
                <w:color w:val="000000"/>
                <w:sz w:val="24"/>
              </w:rPr>
            </w:pPr>
          </w:p>
        </w:tc>
        <w:tc>
          <w:tcPr>
            <w:tcW w:w="2007" w:type="dxa"/>
            <w:noWrap w:val="0"/>
            <w:vAlign w:val="center"/>
          </w:tcPr>
          <w:p w14:paraId="4348761D">
            <w:pPr>
              <w:adjustRightInd w:val="0"/>
              <w:snapToGrid w:val="0"/>
              <w:jc w:val="center"/>
              <w:rPr>
                <w:color w:val="000000"/>
                <w:sz w:val="24"/>
              </w:rPr>
            </w:pPr>
          </w:p>
        </w:tc>
        <w:tc>
          <w:tcPr>
            <w:tcW w:w="2008" w:type="dxa"/>
            <w:noWrap w:val="0"/>
            <w:vAlign w:val="center"/>
          </w:tcPr>
          <w:p w14:paraId="54DF5CEA">
            <w:pPr>
              <w:adjustRightInd w:val="0"/>
              <w:snapToGrid w:val="0"/>
              <w:jc w:val="center"/>
              <w:rPr>
                <w:color w:val="000000"/>
                <w:sz w:val="24"/>
              </w:rPr>
            </w:pPr>
          </w:p>
        </w:tc>
        <w:tc>
          <w:tcPr>
            <w:tcW w:w="2458" w:type="dxa"/>
            <w:noWrap w:val="0"/>
            <w:vAlign w:val="center"/>
          </w:tcPr>
          <w:p w14:paraId="2A69710B">
            <w:pPr>
              <w:adjustRightInd w:val="0"/>
              <w:snapToGrid w:val="0"/>
              <w:jc w:val="center"/>
              <w:rPr>
                <w:color w:val="000000"/>
                <w:sz w:val="24"/>
              </w:rPr>
            </w:pPr>
          </w:p>
        </w:tc>
        <w:tc>
          <w:tcPr>
            <w:tcW w:w="788" w:type="dxa"/>
            <w:noWrap w:val="0"/>
            <w:vAlign w:val="center"/>
          </w:tcPr>
          <w:p w14:paraId="07ED06CD">
            <w:pPr>
              <w:adjustRightInd w:val="0"/>
              <w:snapToGrid w:val="0"/>
              <w:jc w:val="center"/>
              <w:rPr>
                <w:color w:val="000000"/>
                <w:sz w:val="24"/>
              </w:rPr>
            </w:pPr>
          </w:p>
        </w:tc>
      </w:tr>
      <w:tr w14:paraId="0384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D3F823E">
            <w:pPr>
              <w:adjustRightInd w:val="0"/>
              <w:snapToGrid w:val="0"/>
              <w:jc w:val="center"/>
              <w:rPr>
                <w:color w:val="000000"/>
                <w:sz w:val="24"/>
              </w:rPr>
            </w:pPr>
          </w:p>
        </w:tc>
        <w:tc>
          <w:tcPr>
            <w:tcW w:w="1301" w:type="dxa"/>
            <w:noWrap w:val="0"/>
            <w:vAlign w:val="center"/>
          </w:tcPr>
          <w:p w14:paraId="23680967">
            <w:pPr>
              <w:adjustRightInd w:val="0"/>
              <w:snapToGrid w:val="0"/>
              <w:jc w:val="center"/>
              <w:rPr>
                <w:color w:val="000000"/>
                <w:sz w:val="24"/>
              </w:rPr>
            </w:pPr>
          </w:p>
        </w:tc>
        <w:tc>
          <w:tcPr>
            <w:tcW w:w="2007" w:type="dxa"/>
            <w:noWrap w:val="0"/>
            <w:vAlign w:val="center"/>
          </w:tcPr>
          <w:p w14:paraId="10984AFA">
            <w:pPr>
              <w:adjustRightInd w:val="0"/>
              <w:snapToGrid w:val="0"/>
              <w:jc w:val="center"/>
              <w:rPr>
                <w:color w:val="000000"/>
                <w:sz w:val="24"/>
              </w:rPr>
            </w:pPr>
          </w:p>
        </w:tc>
        <w:tc>
          <w:tcPr>
            <w:tcW w:w="2008" w:type="dxa"/>
            <w:noWrap w:val="0"/>
            <w:vAlign w:val="center"/>
          </w:tcPr>
          <w:p w14:paraId="446C9372">
            <w:pPr>
              <w:adjustRightInd w:val="0"/>
              <w:snapToGrid w:val="0"/>
              <w:jc w:val="center"/>
              <w:rPr>
                <w:color w:val="000000"/>
                <w:sz w:val="24"/>
              </w:rPr>
            </w:pPr>
          </w:p>
        </w:tc>
        <w:tc>
          <w:tcPr>
            <w:tcW w:w="2458" w:type="dxa"/>
            <w:noWrap w:val="0"/>
            <w:vAlign w:val="center"/>
          </w:tcPr>
          <w:p w14:paraId="14AC90E1">
            <w:pPr>
              <w:adjustRightInd w:val="0"/>
              <w:snapToGrid w:val="0"/>
              <w:jc w:val="center"/>
              <w:rPr>
                <w:color w:val="000000"/>
                <w:sz w:val="24"/>
              </w:rPr>
            </w:pPr>
          </w:p>
        </w:tc>
        <w:tc>
          <w:tcPr>
            <w:tcW w:w="788" w:type="dxa"/>
            <w:noWrap w:val="0"/>
            <w:vAlign w:val="center"/>
          </w:tcPr>
          <w:p w14:paraId="052CDC55">
            <w:pPr>
              <w:adjustRightInd w:val="0"/>
              <w:snapToGrid w:val="0"/>
              <w:jc w:val="center"/>
              <w:rPr>
                <w:color w:val="000000"/>
                <w:sz w:val="24"/>
              </w:rPr>
            </w:pPr>
          </w:p>
        </w:tc>
      </w:tr>
    </w:tbl>
    <w:p w14:paraId="2480A966">
      <w:pPr>
        <w:tabs>
          <w:tab w:val="left" w:pos="1800"/>
          <w:tab w:val="left" w:pos="5580"/>
        </w:tabs>
        <w:jc w:val="left"/>
        <w:rPr>
          <w:color w:val="000000"/>
          <w:sz w:val="24"/>
        </w:rPr>
      </w:pPr>
    </w:p>
    <w:p w14:paraId="5F5D54F9">
      <w:pPr>
        <w:tabs>
          <w:tab w:val="left" w:pos="1800"/>
          <w:tab w:val="left" w:pos="5580"/>
        </w:tabs>
        <w:jc w:val="left"/>
        <w:rPr>
          <w:color w:val="000000"/>
          <w:sz w:val="24"/>
        </w:rPr>
      </w:pPr>
      <w:r>
        <w:rPr>
          <w:color w:val="000000"/>
          <w:sz w:val="24"/>
        </w:rPr>
        <w:t>注：</w:t>
      </w:r>
    </w:p>
    <w:p w14:paraId="3547400B">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w:t>
      </w:r>
      <w:r>
        <w:rPr>
          <w:rFonts w:hint="eastAsia"/>
          <w:sz w:val="24"/>
          <w:lang w:eastAsia="zh-CN"/>
        </w:rPr>
        <w:t>投标人</w:t>
      </w:r>
      <w:r>
        <w:rPr>
          <w:sz w:val="24"/>
        </w:rPr>
        <w:t>已对之理解和</w:t>
      </w:r>
      <w:r>
        <w:rPr>
          <w:rFonts w:hint="eastAsia"/>
          <w:sz w:val="24"/>
        </w:rPr>
        <w:t>响应</w:t>
      </w:r>
      <w:r>
        <w:rPr>
          <w:sz w:val="24"/>
        </w:rPr>
        <w:t>。</w:t>
      </w:r>
    </w:p>
    <w:p w14:paraId="33CE57A6">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w:t>
      </w:r>
      <w:r>
        <w:rPr>
          <w:rFonts w:hint="eastAsia"/>
          <w:sz w:val="24"/>
          <w:lang w:eastAsia="zh-CN"/>
        </w:rPr>
        <w:t>或</w:t>
      </w:r>
      <w:r>
        <w:rPr>
          <w:rFonts w:hint="eastAsia"/>
          <w:sz w:val="24"/>
        </w:rPr>
        <w:t>“负偏离”。</w:t>
      </w:r>
    </w:p>
    <w:p w14:paraId="4E27DCC1">
      <w:pPr>
        <w:spacing w:line="360" w:lineRule="auto"/>
        <w:rPr>
          <w:color w:val="000000"/>
          <w:sz w:val="24"/>
          <w:szCs w:val="20"/>
        </w:rPr>
      </w:pPr>
    </w:p>
    <w:p w14:paraId="32BA86A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EF89857">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3EF108D2">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AA95685">
      <w:pPr>
        <w:spacing w:line="360" w:lineRule="auto"/>
        <w:outlineLvl w:val="2"/>
        <w:rPr>
          <w:color w:val="000000"/>
          <w:sz w:val="24"/>
          <w:szCs w:val="20"/>
        </w:rPr>
      </w:pPr>
      <w:r>
        <w:rPr>
          <w:color w:val="000000"/>
          <w:sz w:val="24"/>
          <w:szCs w:val="20"/>
        </w:rPr>
        <w:br w:type="page"/>
      </w:r>
      <w:bookmarkEnd w:id="994"/>
      <w:bookmarkEnd w:id="995"/>
      <w:bookmarkEnd w:id="996"/>
      <w:bookmarkEnd w:id="997"/>
      <w:bookmarkEnd w:id="998"/>
      <w:bookmarkEnd w:id="999"/>
      <w:bookmarkEnd w:id="1000"/>
      <w:bookmarkEnd w:id="1001"/>
      <w:bookmarkEnd w:id="1002"/>
      <w:bookmarkEnd w:id="1003"/>
      <w:bookmarkEnd w:id="1004"/>
      <w:bookmarkEnd w:id="1005"/>
      <w:bookmarkEnd w:id="1006"/>
      <w:r>
        <w:rPr>
          <w:color w:val="000000"/>
          <w:sz w:val="24"/>
          <w:szCs w:val="20"/>
        </w:rPr>
        <w:t>采购需求偏离表（实质性格式）</w:t>
      </w:r>
    </w:p>
    <w:p w14:paraId="4BA5DBB6">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BB91F85">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B59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4F2A6244">
            <w:pPr>
              <w:adjustRightInd w:val="0"/>
              <w:snapToGrid w:val="0"/>
              <w:jc w:val="center"/>
              <w:rPr>
                <w:color w:val="000000"/>
                <w:sz w:val="24"/>
              </w:rPr>
            </w:pPr>
            <w:r>
              <w:rPr>
                <w:color w:val="000000"/>
                <w:sz w:val="24"/>
              </w:rPr>
              <w:t>序号</w:t>
            </w:r>
          </w:p>
        </w:tc>
        <w:tc>
          <w:tcPr>
            <w:tcW w:w="1482" w:type="dxa"/>
            <w:noWrap w:val="0"/>
            <w:vAlign w:val="center"/>
          </w:tcPr>
          <w:p w14:paraId="5EF731F4">
            <w:pPr>
              <w:adjustRightInd w:val="0"/>
              <w:snapToGrid w:val="0"/>
              <w:jc w:val="center"/>
              <w:rPr>
                <w:color w:val="000000"/>
                <w:sz w:val="24"/>
              </w:rPr>
            </w:pPr>
            <w:r>
              <w:rPr>
                <w:color w:val="000000"/>
                <w:sz w:val="24"/>
              </w:rPr>
              <w:t>招标文件条目号(页码)</w:t>
            </w:r>
          </w:p>
        </w:tc>
        <w:tc>
          <w:tcPr>
            <w:tcW w:w="2384" w:type="dxa"/>
            <w:noWrap w:val="0"/>
            <w:vAlign w:val="center"/>
          </w:tcPr>
          <w:p w14:paraId="7E52C7EE">
            <w:pPr>
              <w:adjustRightInd w:val="0"/>
              <w:snapToGrid w:val="0"/>
              <w:jc w:val="center"/>
              <w:rPr>
                <w:color w:val="000000"/>
                <w:sz w:val="24"/>
              </w:rPr>
            </w:pPr>
            <w:r>
              <w:rPr>
                <w:color w:val="000000"/>
                <w:sz w:val="24"/>
              </w:rPr>
              <w:t>招标文件要求</w:t>
            </w:r>
          </w:p>
        </w:tc>
        <w:tc>
          <w:tcPr>
            <w:tcW w:w="2126" w:type="dxa"/>
            <w:noWrap w:val="0"/>
            <w:vAlign w:val="center"/>
          </w:tcPr>
          <w:p w14:paraId="7F4DADC3">
            <w:pPr>
              <w:adjustRightInd w:val="0"/>
              <w:snapToGrid w:val="0"/>
              <w:jc w:val="center"/>
              <w:rPr>
                <w:color w:val="000000"/>
                <w:sz w:val="24"/>
              </w:rPr>
            </w:pPr>
            <w:r>
              <w:rPr>
                <w:color w:val="000000"/>
                <w:sz w:val="24"/>
              </w:rPr>
              <w:t>投标响应内容</w:t>
            </w:r>
          </w:p>
        </w:tc>
        <w:tc>
          <w:tcPr>
            <w:tcW w:w="1875" w:type="dxa"/>
            <w:noWrap w:val="0"/>
            <w:vAlign w:val="center"/>
          </w:tcPr>
          <w:p w14:paraId="16C0CCE6">
            <w:pPr>
              <w:adjustRightInd w:val="0"/>
              <w:snapToGrid w:val="0"/>
              <w:jc w:val="center"/>
              <w:rPr>
                <w:color w:val="000000"/>
                <w:sz w:val="24"/>
              </w:rPr>
            </w:pPr>
            <w:r>
              <w:rPr>
                <w:color w:val="000000"/>
                <w:sz w:val="24"/>
              </w:rPr>
              <w:t>偏离情况</w:t>
            </w:r>
          </w:p>
        </w:tc>
        <w:tc>
          <w:tcPr>
            <w:tcW w:w="1009" w:type="dxa"/>
            <w:noWrap w:val="0"/>
            <w:vAlign w:val="center"/>
          </w:tcPr>
          <w:p w14:paraId="43D39268">
            <w:pPr>
              <w:adjustRightInd w:val="0"/>
              <w:snapToGrid w:val="0"/>
              <w:jc w:val="center"/>
              <w:rPr>
                <w:color w:val="000000"/>
                <w:sz w:val="24"/>
              </w:rPr>
            </w:pPr>
            <w:r>
              <w:rPr>
                <w:color w:val="000000"/>
                <w:sz w:val="24"/>
              </w:rPr>
              <w:t>说明</w:t>
            </w:r>
          </w:p>
        </w:tc>
      </w:tr>
      <w:tr w14:paraId="052C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B2D995">
            <w:pPr>
              <w:adjustRightInd w:val="0"/>
              <w:snapToGrid w:val="0"/>
              <w:jc w:val="center"/>
              <w:rPr>
                <w:color w:val="000000"/>
                <w:sz w:val="24"/>
              </w:rPr>
            </w:pPr>
          </w:p>
        </w:tc>
        <w:tc>
          <w:tcPr>
            <w:tcW w:w="1482" w:type="dxa"/>
            <w:noWrap w:val="0"/>
            <w:vAlign w:val="center"/>
          </w:tcPr>
          <w:p w14:paraId="74DC5A59">
            <w:pPr>
              <w:adjustRightInd w:val="0"/>
              <w:snapToGrid w:val="0"/>
              <w:jc w:val="center"/>
              <w:rPr>
                <w:color w:val="000000"/>
                <w:sz w:val="24"/>
              </w:rPr>
            </w:pPr>
          </w:p>
        </w:tc>
        <w:tc>
          <w:tcPr>
            <w:tcW w:w="2384" w:type="dxa"/>
            <w:noWrap w:val="0"/>
            <w:vAlign w:val="center"/>
          </w:tcPr>
          <w:p w14:paraId="1663D917">
            <w:pPr>
              <w:adjustRightInd w:val="0"/>
              <w:snapToGrid w:val="0"/>
              <w:jc w:val="center"/>
              <w:rPr>
                <w:color w:val="000000"/>
                <w:sz w:val="24"/>
              </w:rPr>
            </w:pPr>
          </w:p>
        </w:tc>
        <w:tc>
          <w:tcPr>
            <w:tcW w:w="2126" w:type="dxa"/>
            <w:noWrap w:val="0"/>
            <w:vAlign w:val="center"/>
          </w:tcPr>
          <w:p w14:paraId="43EEEBB5">
            <w:pPr>
              <w:adjustRightInd w:val="0"/>
              <w:snapToGrid w:val="0"/>
              <w:jc w:val="center"/>
              <w:rPr>
                <w:color w:val="000000"/>
                <w:sz w:val="24"/>
              </w:rPr>
            </w:pPr>
          </w:p>
        </w:tc>
        <w:tc>
          <w:tcPr>
            <w:tcW w:w="1875" w:type="dxa"/>
            <w:noWrap w:val="0"/>
            <w:vAlign w:val="center"/>
          </w:tcPr>
          <w:p w14:paraId="4014EC0C">
            <w:pPr>
              <w:adjustRightInd w:val="0"/>
              <w:snapToGrid w:val="0"/>
              <w:jc w:val="center"/>
              <w:rPr>
                <w:color w:val="000000"/>
                <w:sz w:val="24"/>
              </w:rPr>
            </w:pPr>
          </w:p>
        </w:tc>
        <w:tc>
          <w:tcPr>
            <w:tcW w:w="1009" w:type="dxa"/>
            <w:noWrap w:val="0"/>
            <w:vAlign w:val="center"/>
          </w:tcPr>
          <w:p w14:paraId="53EF7421">
            <w:pPr>
              <w:adjustRightInd w:val="0"/>
              <w:snapToGrid w:val="0"/>
              <w:jc w:val="center"/>
              <w:rPr>
                <w:color w:val="000000"/>
                <w:sz w:val="24"/>
              </w:rPr>
            </w:pPr>
          </w:p>
        </w:tc>
      </w:tr>
      <w:tr w14:paraId="043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419A39B">
            <w:pPr>
              <w:adjustRightInd w:val="0"/>
              <w:snapToGrid w:val="0"/>
              <w:jc w:val="center"/>
              <w:rPr>
                <w:color w:val="000000"/>
                <w:sz w:val="24"/>
              </w:rPr>
            </w:pPr>
          </w:p>
        </w:tc>
        <w:tc>
          <w:tcPr>
            <w:tcW w:w="1482" w:type="dxa"/>
            <w:noWrap w:val="0"/>
            <w:vAlign w:val="center"/>
          </w:tcPr>
          <w:p w14:paraId="698BC358">
            <w:pPr>
              <w:adjustRightInd w:val="0"/>
              <w:snapToGrid w:val="0"/>
              <w:jc w:val="center"/>
              <w:rPr>
                <w:color w:val="000000"/>
                <w:sz w:val="24"/>
              </w:rPr>
            </w:pPr>
          </w:p>
        </w:tc>
        <w:tc>
          <w:tcPr>
            <w:tcW w:w="2384" w:type="dxa"/>
            <w:noWrap w:val="0"/>
            <w:vAlign w:val="center"/>
          </w:tcPr>
          <w:p w14:paraId="01AA8BE0">
            <w:pPr>
              <w:adjustRightInd w:val="0"/>
              <w:snapToGrid w:val="0"/>
              <w:jc w:val="center"/>
              <w:rPr>
                <w:color w:val="000000"/>
                <w:sz w:val="24"/>
              </w:rPr>
            </w:pPr>
          </w:p>
        </w:tc>
        <w:tc>
          <w:tcPr>
            <w:tcW w:w="2126" w:type="dxa"/>
            <w:noWrap w:val="0"/>
            <w:vAlign w:val="center"/>
          </w:tcPr>
          <w:p w14:paraId="4E2595B4">
            <w:pPr>
              <w:adjustRightInd w:val="0"/>
              <w:snapToGrid w:val="0"/>
              <w:jc w:val="center"/>
              <w:rPr>
                <w:color w:val="000000"/>
                <w:sz w:val="24"/>
              </w:rPr>
            </w:pPr>
          </w:p>
        </w:tc>
        <w:tc>
          <w:tcPr>
            <w:tcW w:w="1875" w:type="dxa"/>
            <w:noWrap w:val="0"/>
            <w:vAlign w:val="center"/>
          </w:tcPr>
          <w:p w14:paraId="545364BC">
            <w:pPr>
              <w:adjustRightInd w:val="0"/>
              <w:snapToGrid w:val="0"/>
              <w:jc w:val="center"/>
              <w:rPr>
                <w:color w:val="000000"/>
                <w:sz w:val="24"/>
              </w:rPr>
            </w:pPr>
          </w:p>
        </w:tc>
        <w:tc>
          <w:tcPr>
            <w:tcW w:w="1009" w:type="dxa"/>
            <w:noWrap w:val="0"/>
            <w:vAlign w:val="center"/>
          </w:tcPr>
          <w:p w14:paraId="3A578984">
            <w:pPr>
              <w:adjustRightInd w:val="0"/>
              <w:snapToGrid w:val="0"/>
              <w:jc w:val="center"/>
              <w:rPr>
                <w:color w:val="000000"/>
                <w:sz w:val="24"/>
              </w:rPr>
            </w:pPr>
          </w:p>
        </w:tc>
      </w:tr>
      <w:tr w14:paraId="7F8D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0F76DE">
            <w:pPr>
              <w:adjustRightInd w:val="0"/>
              <w:snapToGrid w:val="0"/>
              <w:jc w:val="center"/>
              <w:rPr>
                <w:color w:val="000000"/>
                <w:sz w:val="24"/>
              </w:rPr>
            </w:pPr>
          </w:p>
        </w:tc>
        <w:tc>
          <w:tcPr>
            <w:tcW w:w="1482" w:type="dxa"/>
            <w:noWrap w:val="0"/>
            <w:vAlign w:val="center"/>
          </w:tcPr>
          <w:p w14:paraId="592619D5">
            <w:pPr>
              <w:adjustRightInd w:val="0"/>
              <w:snapToGrid w:val="0"/>
              <w:jc w:val="center"/>
              <w:rPr>
                <w:color w:val="000000"/>
                <w:sz w:val="24"/>
              </w:rPr>
            </w:pPr>
          </w:p>
        </w:tc>
        <w:tc>
          <w:tcPr>
            <w:tcW w:w="2384" w:type="dxa"/>
            <w:noWrap w:val="0"/>
            <w:vAlign w:val="center"/>
          </w:tcPr>
          <w:p w14:paraId="0EB2F90E">
            <w:pPr>
              <w:adjustRightInd w:val="0"/>
              <w:snapToGrid w:val="0"/>
              <w:jc w:val="center"/>
              <w:rPr>
                <w:color w:val="000000"/>
                <w:sz w:val="24"/>
              </w:rPr>
            </w:pPr>
          </w:p>
        </w:tc>
        <w:tc>
          <w:tcPr>
            <w:tcW w:w="2126" w:type="dxa"/>
            <w:noWrap w:val="0"/>
            <w:vAlign w:val="center"/>
          </w:tcPr>
          <w:p w14:paraId="790C25C1">
            <w:pPr>
              <w:adjustRightInd w:val="0"/>
              <w:snapToGrid w:val="0"/>
              <w:jc w:val="center"/>
              <w:rPr>
                <w:color w:val="000000"/>
                <w:sz w:val="24"/>
              </w:rPr>
            </w:pPr>
          </w:p>
        </w:tc>
        <w:tc>
          <w:tcPr>
            <w:tcW w:w="1875" w:type="dxa"/>
            <w:noWrap w:val="0"/>
            <w:vAlign w:val="center"/>
          </w:tcPr>
          <w:p w14:paraId="7FF64679">
            <w:pPr>
              <w:adjustRightInd w:val="0"/>
              <w:snapToGrid w:val="0"/>
              <w:jc w:val="center"/>
              <w:rPr>
                <w:color w:val="000000"/>
                <w:sz w:val="24"/>
              </w:rPr>
            </w:pPr>
          </w:p>
        </w:tc>
        <w:tc>
          <w:tcPr>
            <w:tcW w:w="1009" w:type="dxa"/>
            <w:noWrap w:val="0"/>
            <w:vAlign w:val="center"/>
          </w:tcPr>
          <w:p w14:paraId="364422A2">
            <w:pPr>
              <w:adjustRightInd w:val="0"/>
              <w:snapToGrid w:val="0"/>
              <w:jc w:val="center"/>
              <w:rPr>
                <w:color w:val="000000"/>
                <w:sz w:val="24"/>
              </w:rPr>
            </w:pPr>
          </w:p>
        </w:tc>
      </w:tr>
      <w:tr w14:paraId="0B6C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9087B92">
            <w:pPr>
              <w:adjustRightInd w:val="0"/>
              <w:snapToGrid w:val="0"/>
              <w:jc w:val="center"/>
              <w:rPr>
                <w:color w:val="000000"/>
                <w:sz w:val="24"/>
              </w:rPr>
            </w:pPr>
          </w:p>
        </w:tc>
        <w:tc>
          <w:tcPr>
            <w:tcW w:w="1482" w:type="dxa"/>
            <w:noWrap w:val="0"/>
            <w:vAlign w:val="center"/>
          </w:tcPr>
          <w:p w14:paraId="42AF16E9">
            <w:pPr>
              <w:adjustRightInd w:val="0"/>
              <w:snapToGrid w:val="0"/>
              <w:jc w:val="center"/>
              <w:rPr>
                <w:color w:val="000000"/>
                <w:sz w:val="24"/>
              </w:rPr>
            </w:pPr>
          </w:p>
        </w:tc>
        <w:tc>
          <w:tcPr>
            <w:tcW w:w="2384" w:type="dxa"/>
            <w:noWrap w:val="0"/>
            <w:vAlign w:val="center"/>
          </w:tcPr>
          <w:p w14:paraId="51572053">
            <w:pPr>
              <w:adjustRightInd w:val="0"/>
              <w:snapToGrid w:val="0"/>
              <w:jc w:val="center"/>
              <w:rPr>
                <w:color w:val="000000"/>
                <w:sz w:val="24"/>
              </w:rPr>
            </w:pPr>
          </w:p>
        </w:tc>
        <w:tc>
          <w:tcPr>
            <w:tcW w:w="2126" w:type="dxa"/>
            <w:noWrap w:val="0"/>
            <w:vAlign w:val="center"/>
          </w:tcPr>
          <w:p w14:paraId="667AB3A5">
            <w:pPr>
              <w:adjustRightInd w:val="0"/>
              <w:snapToGrid w:val="0"/>
              <w:jc w:val="center"/>
              <w:rPr>
                <w:color w:val="000000"/>
                <w:sz w:val="24"/>
              </w:rPr>
            </w:pPr>
          </w:p>
        </w:tc>
        <w:tc>
          <w:tcPr>
            <w:tcW w:w="1875" w:type="dxa"/>
            <w:noWrap w:val="0"/>
            <w:vAlign w:val="center"/>
          </w:tcPr>
          <w:p w14:paraId="6DAFEBBD">
            <w:pPr>
              <w:adjustRightInd w:val="0"/>
              <w:snapToGrid w:val="0"/>
              <w:jc w:val="center"/>
              <w:rPr>
                <w:color w:val="000000"/>
                <w:sz w:val="24"/>
              </w:rPr>
            </w:pPr>
          </w:p>
        </w:tc>
        <w:tc>
          <w:tcPr>
            <w:tcW w:w="1009" w:type="dxa"/>
            <w:noWrap w:val="0"/>
            <w:vAlign w:val="center"/>
          </w:tcPr>
          <w:p w14:paraId="534F4C4D">
            <w:pPr>
              <w:adjustRightInd w:val="0"/>
              <w:snapToGrid w:val="0"/>
              <w:jc w:val="center"/>
              <w:rPr>
                <w:color w:val="000000"/>
                <w:sz w:val="24"/>
              </w:rPr>
            </w:pPr>
          </w:p>
        </w:tc>
      </w:tr>
      <w:tr w14:paraId="0F83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C71E8E7">
            <w:pPr>
              <w:adjustRightInd w:val="0"/>
              <w:snapToGrid w:val="0"/>
              <w:jc w:val="center"/>
              <w:rPr>
                <w:color w:val="000000"/>
                <w:sz w:val="24"/>
              </w:rPr>
            </w:pPr>
          </w:p>
        </w:tc>
        <w:tc>
          <w:tcPr>
            <w:tcW w:w="1482" w:type="dxa"/>
            <w:noWrap w:val="0"/>
            <w:vAlign w:val="center"/>
          </w:tcPr>
          <w:p w14:paraId="3E4E9313">
            <w:pPr>
              <w:adjustRightInd w:val="0"/>
              <w:snapToGrid w:val="0"/>
              <w:jc w:val="center"/>
              <w:rPr>
                <w:color w:val="000000"/>
                <w:sz w:val="24"/>
              </w:rPr>
            </w:pPr>
          </w:p>
        </w:tc>
        <w:tc>
          <w:tcPr>
            <w:tcW w:w="2384" w:type="dxa"/>
            <w:noWrap w:val="0"/>
            <w:vAlign w:val="center"/>
          </w:tcPr>
          <w:p w14:paraId="16E267FE">
            <w:pPr>
              <w:adjustRightInd w:val="0"/>
              <w:snapToGrid w:val="0"/>
              <w:jc w:val="center"/>
              <w:rPr>
                <w:color w:val="000000"/>
                <w:sz w:val="24"/>
              </w:rPr>
            </w:pPr>
          </w:p>
        </w:tc>
        <w:tc>
          <w:tcPr>
            <w:tcW w:w="2126" w:type="dxa"/>
            <w:noWrap w:val="0"/>
            <w:vAlign w:val="center"/>
          </w:tcPr>
          <w:p w14:paraId="68805F0C">
            <w:pPr>
              <w:adjustRightInd w:val="0"/>
              <w:snapToGrid w:val="0"/>
              <w:jc w:val="center"/>
              <w:rPr>
                <w:color w:val="000000"/>
                <w:sz w:val="24"/>
              </w:rPr>
            </w:pPr>
          </w:p>
        </w:tc>
        <w:tc>
          <w:tcPr>
            <w:tcW w:w="1875" w:type="dxa"/>
            <w:noWrap w:val="0"/>
            <w:vAlign w:val="center"/>
          </w:tcPr>
          <w:p w14:paraId="12A7F377">
            <w:pPr>
              <w:adjustRightInd w:val="0"/>
              <w:snapToGrid w:val="0"/>
              <w:jc w:val="center"/>
              <w:rPr>
                <w:color w:val="000000"/>
                <w:sz w:val="24"/>
              </w:rPr>
            </w:pPr>
          </w:p>
        </w:tc>
        <w:tc>
          <w:tcPr>
            <w:tcW w:w="1009" w:type="dxa"/>
            <w:noWrap w:val="0"/>
            <w:vAlign w:val="center"/>
          </w:tcPr>
          <w:p w14:paraId="08D19E2E">
            <w:pPr>
              <w:adjustRightInd w:val="0"/>
              <w:snapToGrid w:val="0"/>
              <w:jc w:val="center"/>
              <w:rPr>
                <w:color w:val="000000"/>
                <w:sz w:val="24"/>
              </w:rPr>
            </w:pPr>
          </w:p>
        </w:tc>
      </w:tr>
      <w:tr w14:paraId="48EB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E56F6E4">
            <w:pPr>
              <w:adjustRightInd w:val="0"/>
              <w:snapToGrid w:val="0"/>
              <w:jc w:val="center"/>
              <w:rPr>
                <w:color w:val="000000"/>
                <w:sz w:val="24"/>
              </w:rPr>
            </w:pPr>
          </w:p>
        </w:tc>
        <w:tc>
          <w:tcPr>
            <w:tcW w:w="1482" w:type="dxa"/>
            <w:noWrap w:val="0"/>
            <w:vAlign w:val="center"/>
          </w:tcPr>
          <w:p w14:paraId="76FAA86B">
            <w:pPr>
              <w:adjustRightInd w:val="0"/>
              <w:snapToGrid w:val="0"/>
              <w:jc w:val="center"/>
              <w:rPr>
                <w:color w:val="000000"/>
                <w:sz w:val="24"/>
              </w:rPr>
            </w:pPr>
          </w:p>
        </w:tc>
        <w:tc>
          <w:tcPr>
            <w:tcW w:w="2384" w:type="dxa"/>
            <w:noWrap w:val="0"/>
            <w:vAlign w:val="center"/>
          </w:tcPr>
          <w:p w14:paraId="5CB5432D">
            <w:pPr>
              <w:adjustRightInd w:val="0"/>
              <w:snapToGrid w:val="0"/>
              <w:jc w:val="center"/>
              <w:rPr>
                <w:color w:val="000000"/>
                <w:sz w:val="24"/>
              </w:rPr>
            </w:pPr>
          </w:p>
        </w:tc>
        <w:tc>
          <w:tcPr>
            <w:tcW w:w="2126" w:type="dxa"/>
            <w:noWrap w:val="0"/>
            <w:vAlign w:val="center"/>
          </w:tcPr>
          <w:p w14:paraId="3A9329C7">
            <w:pPr>
              <w:adjustRightInd w:val="0"/>
              <w:snapToGrid w:val="0"/>
              <w:jc w:val="center"/>
              <w:rPr>
                <w:color w:val="000000"/>
                <w:sz w:val="24"/>
              </w:rPr>
            </w:pPr>
          </w:p>
        </w:tc>
        <w:tc>
          <w:tcPr>
            <w:tcW w:w="1875" w:type="dxa"/>
            <w:noWrap w:val="0"/>
            <w:vAlign w:val="center"/>
          </w:tcPr>
          <w:p w14:paraId="1DFB4992">
            <w:pPr>
              <w:adjustRightInd w:val="0"/>
              <w:snapToGrid w:val="0"/>
              <w:jc w:val="center"/>
              <w:rPr>
                <w:color w:val="000000"/>
                <w:sz w:val="24"/>
              </w:rPr>
            </w:pPr>
          </w:p>
        </w:tc>
        <w:tc>
          <w:tcPr>
            <w:tcW w:w="1009" w:type="dxa"/>
            <w:noWrap w:val="0"/>
            <w:vAlign w:val="center"/>
          </w:tcPr>
          <w:p w14:paraId="29000D61">
            <w:pPr>
              <w:adjustRightInd w:val="0"/>
              <w:snapToGrid w:val="0"/>
              <w:jc w:val="center"/>
              <w:rPr>
                <w:color w:val="000000"/>
                <w:sz w:val="24"/>
              </w:rPr>
            </w:pPr>
          </w:p>
        </w:tc>
      </w:tr>
    </w:tbl>
    <w:p w14:paraId="610D76E6">
      <w:pPr>
        <w:tabs>
          <w:tab w:val="left" w:pos="1800"/>
          <w:tab w:val="left" w:pos="5580"/>
        </w:tabs>
        <w:spacing w:line="360" w:lineRule="auto"/>
        <w:ind w:firstLine="360" w:firstLineChars="150"/>
        <w:jc w:val="left"/>
        <w:rPr>
          <w:color w:val="000000"/>
          <w:sz w:val="24"/>
          <w:u w:val="single"/>
        </w:rPr>
      </w:pPr>
    </w:p>
    <w:p w14:paraId="7B89B514">
      <w:pPr>
        <w:tabs>
          <w:tab w:val="left" w:pos="1800"/>
          <w:tab w:val="left" w:pos="5580"/>
        </w:tabs>
        <w:spacing w:line="360" w:lineRule="auto"/>
        <w:ind w:firstLine="360" w:firstLineChars="150"/>
        <w:jc w:val="left"/>
        <w:rPr>
          <w:color w:val="000000"/>
          <w:sz w:val="24"/>
          <w:u w:val="single"/>
        </w:rPr>
      </w:pPr>
    </w:p>
    <w:p w14:paraId="5B13EFB2">
      <w:pPr>
        <w:tabs>
          <w:tab w:val="left" w:pos="1800"/>
          <w:tab w:val="left" w:pos="5580"/>
        </w:tabs>
        <w:jc w:val="left"/>
        <w:rPr>
          <w:color w:val="000000"/>
          <w:sz w:val="24"/>
        </w:rPr>
      </w:pPr>
      <w:r>
        <w:rPr>
          <w:color w:val="000000"/>
          <w:sz w:val="24"/>
        </w:rPr>
        <w:t>注：</w:t>
      </w:r>
    </w:p>
    <w:p w14:paraId="36002DEE">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w:t>
      </w:r>
      <w:r>
        <w:rPr>
          <w:color w:val="000000"/>
          <w:sz w:val="24"/>
        </w:rPr>
        <w:t>逐一列明</w:t>
      </w:r>
      <w:r>
        <w:rPr>
          <w:rFonts w:hint="eastAsia"/>
          <w:color w:val="000000"/>
          <w:sz w:val="24"/>
          <w:lang w:val="en-US" w:eastAsia="zh-CN"/>
        </w:rPr>
        <w:t>偏离情况，</w:t>
      </w:r>
      <w:r>
        <w:rPr>
          <w:sz w:val="24"/>
        </w:rPr>
        <w:t>均视作</w:t>
      </w:r>
      <w:r>
        <w:rPr>
          <w:rFonts w:hint="eastAsia"/>
          <w:sz w:val="24"/>
          <w:lang w:eastAsia="zh-CN"/>
        </w:rPr>
        <w:t>投标人</w:t>
      </w:r>
      <w:r>
        <w:rPr>
          <w:sz w:val="24"/>
        </w:rPr>
        <w:t>已对之理解和</w:t>
      </w:r>
      <w:r>
        <w:rPr>
          <w:rFonts w:hint="eastAsia"/>
          <w:sz w:val="24"/>
        </w:rPr>
        <w:t>响应</w:t>
      </w:r>
      <w:r>
        <w:rPr>
          <w:sz w:val="24"/>
        </w:rPr>
        <w:t>。</w:t>
      </w:r>
      <w:r>
        <w:rPr>
          <w:rFonts w:hint="eastAsia"/>
          <w:sz w:val="24"/>
        </w:rPr>
        <w:t>此表中若无任何文字说明，内容为空白，</w:t>
      </w:r>
      <w:r>
        <w:rPr>
          <w:rFonts w:hint="eastAsia"/>
          <w:b w:val="0"/>
          <w:bCs/>
          <w:sz w:val="24"/>
        </w:rPr>
        <w:t>投标无效。</w:t>
      </w:r>
    </w:p>
    <w:p w14:paraId="1BE703BB">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w:t>
      </w:r>
      <w:r>
        <w:rPr>
          <w:rFonts w:hint="eastAsia"/>
          <w:sz w:val="24"/>
          <w:lang w:eastAsia="zh-CN"/>
        </w:rPr>
        <w:t>、</w:t>
      </w:r>
      <w:r>
        <w:rPr>
          <w:rFonts w:hint="eastAsia"/>
          <w:sz w:val="24"/>
        </w:rPr>
        <w:t>“负偏离”</w:t>
      </w:r>
      <w:r>
        <w:rPr>
          <w:rFonts w:hint="eastAsia"/>
          <w:sz w:val="24"/>
          <w:lang w:eastAsia="zh-CN"/>
        </w:rPr>
        <w:t>或“无偏离”</w:t>
      </w:r>
      <w:r>
        <w:rPr>
          <w:rFonts w:hint="eastAsia"/>
          <w:sz w:val="24"/>
        </w:rPr>
        <w:t>。</w:t>
      </w:r>
    </w:p>
    <w:p w14:paraId="508D7282">
      <w:pPr>
        <w:tabs>
          <w:tab w:val="left" w:pos="1800"/>
          <w:tab w:val="left" w:pos="5580"/>
        </w:tabs>
        <w:jc w:val="left"/>
        <w:rPr>
          <w:sz w:val="24"/>
        </w:rPr>
      </w:pPr>
    </w:p>
    <w:p w14:paraId="506665AC">
      <w:pPr>
        <w:tabs>
          <w:tab w:val="left" w:pos="1800"/>
          <w:tab w:val="left" w:pos="5580"/>
        </w:tabs>
        <w:jc w:val="left"/>
        <w:rPr>
          <w:color w:val="000000"/>
          <w:sz w:val="24"/>
        </w:rPr>
      </w:pPr>
    </w:p>
    <w:p w14:paraId="5DCFCD56">
      <w:pPr>
        <w:rPr>
          <w:color w:val="000000"/>
          <w:sz w:val="24"/>
          <w:szCs w:val="20"/>
        </w:rPr>
      </w:pPr>
    </w:p>
    <w:p w14:paraId="7DFBEB7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C4D4B4F">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72C20B4E">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72123B9">
      <w:pPr>
        <w:autoSpaceDE w:val="0"/>
        <w:autoSpaceDN w:val="0"/>
        <w:adjustRightInd w:val="0"/>
        <w:jc w:val="left"/>
        <w:rPr>
          <w:sz w:val="24"/>
        </w:rPr>
      </w:pPr>
    </w:p>
    <w:p w14:paraId="38568A68">
      <w:pPr>
        <w:spacing w:line="360" w:lineRule="auto"/>
        <w:ind w:right="360"/>
        <w:jc w:val="both"/>
        <w:rPr>
          <w:color w:val="000000"/>
          <w:sz w:val="24"/>
        </w:rPr>
      </w:pPr>
    </w:p>
    <w:p w14:paraId="1FB5232E">
      <w:pPr>
        <w:spacing w:line="360" w:lineRule="auto"/>
        <w:ind w:right="360" w:firstLine="480"/>
        <w:jc w:val="right"/>
        <w:rPr>
          <w:color w:val="000000"/>
          <w:sz w:val="24"/>
        </w:rPr>
      </w:pPr>
    </w:p>
    <w:p w14:paraId="4A3FAEB8">
      <w:pPr>
        <w:widowControl/>
        <w:jc w:val="left"/>
        <w:outlineLvl w:val="2"/>
        <w:rPr>
          <w:rFonts w:hint="eastAsia" w:ascii="宋体" w:hAnsi="宋体" w:eastAsia="宋体" w:cs="宋体"/>
          <w:b w:val="0"/>
          <w:bCs w:val="0"/>
          <w:sz w:val="24"/>
          <w:lang w:val="en-US" w:eastAsia="zh-CN"/>
        </w:rPr>
      </w:pPr>
      <w:r>
        <w:rPr>
          <w:color w:val="000000"/>
          <w:sz w:val="24"/>
          <w:szCs w:val="20"/>
        </w:rPr>
        <w:br w:type="page"/>
      </w:r>
      <w:bookmarkStart w:id="1007" w:name="_Toc2243"/>
      <w:r>
        <w:rPr>
          <w:rFonts w:hint="eastAsia" w:ascii="宋体" w:hAnsi="宋体" w:eastAsia="宋体" w:cs="宋体"/>
          <w:b w:val="0"/>
          <w:bCs w:val="0"/>
          <w:sz w:val="24"/>
          <w:lang w:val="en-US" w:eastAsia="zh-CN"/>
        </w:rPr>
        <w:t xml:space="preserve">政府采购诚信承诺函 </w:t>
      </w:r>
      <w:r>
        <w:rPr>
          <w:rFonts w:hint="eastAsia" w:ascii="宋体" w:hAnsi="宋体" w:eastAsia="宋体" w:cs="宋体"/>
          <w:color w:val="000000"/>
          <w:sz w:val="24"/>
          <w:lang w:eastAsia="zh-CN"/>
        </w:rPr>
        <w:t>（</w:t>
      </w:r>
      <w:r>
        <w:rPr>
          <w:rFonts w:hint="eastAsia" w:ascii="宋体" w:hAnsi="宋体" w:eastAsia="宋体" w:cs="宋体"/>
          <w:color w:val="000000"/>
          <w:kern w:val="0"/>
          <w:sz w:val="24"/>
        </w:rPr>
        <w:t>实质性格式</w:t>
      </w:r>
      <w:r>
        <w:rPr>
          <w:rFonts w:hint="eastAsia" w:ascii="宋体" w:hAnsi="宋体" w:eastAsia="宋体" w:cs="宋体"/>
          <w:color w:val="000000"/>
          <w:kern w:val="0"/>
          <w:sz w:val="24"/>
          <w:lang w:eastAsia="zh-CN"/>
        </w:rPr>
        <w:t>）</w:t>
      </w:r>
      <w:bookmarkEnd w:id="1007"/>
    </w:p>
    <w:p w14:paraId="481F8992">
      <w:pPr>
        <w:pStyle w:val="41"/>
        <w:ind w:firstLine="2867" w:firstLineChars="896"/>
        <w:jc w:val="left"/>
        <w:rPr>
          <w:rFonts w:hint="eastAsia" w:ascii="宋体" w:hAnsi="宋体" w:eastAsia="宋体" w:cs="宋体"/>
          <w:sz w:val="32"/>
          <w:szCs w:val="32"/>
          <w:lang w:eastAsia="zh-CN"/>
        </w:rPr>
      </w:pPr>
      <w:r>
        <w:rPr>
          <w:rFonts w:hint="eastAsia" w:ascii="宋体" w:hAnsi="宋体" w:eastAsia="宋体" w:cs="宋体"/>
          <w:sz w:val="32"/>
          <w:szCs w:val="32"/>
        </w:rPr>
        <w:t>政府采购诚信承诺函</w:t>
      </w:r>
    </w:p>
    <w:p w14:paraId="63C7975F">
      <w:pPr>
        <w:pStyle w:val="41"/>
        <w:ind w:firstLine="2867" w:firstLineChars="896"/>
        <w:jc w:val="left"/>
        <w:rPr>
          <w:rFonts w:hint="eastAsia" w:ascii="宋体" w:hAnsi="宋体" w:eastAsia="宋体" w:cs="宋体"/>
          <w:sz w:val="32"/>
          <w:szCs w:val="32"/>
          <w:lang w:eastAsia="zh-CN"/>
        </w:rPr>
      </w:pPr>
    </w:p>
    <w:p w14:paraId="47007263">
      <w:pPr>
        <w:pStyle w:val="41"/>
        <w:ind w:left="0" w:leftChars="0" w:firstLine="0" w:firstLineChars="0"/>
        <w:jc w:val="left"/>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u w:val="single"/>
          <w:lang w:val="en-US" w:eastAsia="zh-CN" w:bidi="ar-SA"/>
        </w:rPr>
        <w:t>招标人/招标代理机构</w:t>
      </w:r>
      <w:r>
        <w:rPr>
          <w:rStyle w:val="251"/>
          <w:rFonts w:hint="eastAsia" w:ascii="宋体" w:hAnsi="宋体" w:eastAsia="宋体" w:cs="宋体"/>
          <w:sz w:val="24"/>
          <w:szCs w:val="24"/>
          <w:lang w:val="en-US" w:eastAsia="zh-CN" w:bidi="ar-SA"/>
        </w:rPr>
        <w:t>：</w:t>
      </w:r>
    </w:p>
    <w:p w14:paraId="3F59306B">
      <w:pPr>
        <w:pStyle w:val="41"/>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我是</w:t>
      </w:r>
      <w:r>
        <w:rPr>
          <w:rStyle w:val="251"/>
          <w:rFonts w:hint="eastAsia" w:ascii="宋体" w:hAnsi="宋体" w:eastAsia="宋体" w:cs="宋体"/>
          <w:sz w:val="24"/>
          <w:szCs w:val="24"/>
          <w:u w:val="single"/>
          <w:lang w:val="en-US" w:eastAsia="zh-CN" w:bidi="ar-SA"/>
        </w:rPr>
        <w:t>         </w:t>
      </w:r>
      <w:r>
        <w:rPr>
          <w:rStyle w:val="251"/>
          <w:rFonts w:hint="eastAsia" w:ascii="宋体" w:hAnsi="宋体" w:eastAsia="宋体" w:cs="宋体"/>
          <w:sz w:val="24"/>
          <w:szCs w:val="24"/>
          <w:lang w:val="en-US" w:eastAsia="zh-CN" w:bidi="ar-SA"/>
        </w:rPr>
        <w:t>公司的法定代表人</w:t>
      </w:r>
      <w:r>
        <w:rPr>
          <w:rStyle w:val="251"/>
          <w:rFonts w:hint="eastAsia" w:ascii="宋体" w:hAnsi="宋体" w:eastAsia="宋体" w:cs="宋体"/>
          <w:sz w:val="24"/>
          <w:szCs w:val="24"/>
          <w:u w:val="single"/>
          <w:lang w:val="en-US" w:eastAsia="zh-CN" w:bidi="ar-SA"/>
        </w:rPr>
        <w:t>     </w:t>
      </w:r>
      <w:r>
        <w:rPr>
          <w:rStyle w:val="251"/>
          <w:rFonts w:hint="eastAsia" w:ascii="宋体" w:hAnsi="宋体" w:eastAsia="宋体" w:cs="宋体"/>
          <w:sz w:val="24"/>
          <w:szCs w:val="24"/>
          <w:lang w:val="en-US" w:eastAsia="zh-CN" w:bidi="ar-SA"/>
        </w:rPr>
        <w:t>，我代表本公司郑重承诺：在阿克苏市</w:t>
      </w:r>
      <w:r>
        <w:rPr>
          <w:rStyle w:val="251"/>
          <w:rFonts w:hint="eastAsia" w:ascii="宋体" w:hAnsi="宋体" w:eastAsia="宋体" w:cs="宋体"/>
          <w:sz w:val="24"/>
          <w:szCs w:val="24"/>
          <w:u w:val="single"/>
          <w:lang w:val="en-US" w:eastAsia="zh-CN" w:bidi="ar-SA"/>
        </w:rPr>
        <w:t>      </w:t>
      </w:r>
      <w:r>
        <w:rPr>
          <w:rStyle w:val="251"/>
          <w:rFonts w:hint="eastAsia" w:ascii="宋体" w:hAnsi="宋体" w:eastAsia="宋体" w:cs="宋体"/>
          <w:sz w:val="24"/>
          <w:szCs w:val="24"/>
          <w:lang w:val="en-US" w:eastAsia="zh-CN" w:bidi="ar-SA"/>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3757B8FE">
      <w:pPr>
        <w:pStyle w:val="41"/>
        <w:ind w:firstLine="2150" w:firstLineChars="896"/>
        <w:jc w:val="left"/>
        <w:rPr>
          <w:rStyle w:val="251"/>
          <w:rFonts w:hint="eastAsia" w:ascii="宋体" w:hAnsi="宋体" w:eastAsia="宋体" w:cs="宋体"/>
          <w:sz w:val="24"/>
          <w:szCs w:val="24"/>
          <w:lang w:val="en-US" w:eastAsia="zh-CN" w:bidi="ar-SA"/>
        </w:rPr>
      </w:pPr>
    </w:p>
    <w:p w14:paraId="3C1F17A8">
      <w:pPr>
        <w:pStyle w:val="41"/>
        <w:ind w:firstLine="2150" w:firstLineChars="896"/>
        <w:jc w:val="left"/>
        <w:rPr>
          <w:rStyle w:val="251"/>
          <w:rFonts w:hint="eastAsia" w:ascii="宋体" w:hAnsi="宋体" w:eastAsia="宋体" w:cs="宋体"/>
          <w:sz w:val="24"/>
          <w:szCs w:val="24"/>
          <w:lang w:val="en-US" w:eastAsia="zh-CN" w:bidi="ar-SA"/>
        </w:rPr>
      </w:pPr>
    </w:p>
    <w:p w14:paraId="44156C5E">
      <w:pPr>
        <w:pStyle w:val="41"/>
        <w:ind w:firstLine="2150" w:firstLineChars="896"/>
        <w:jc w:val="left"/>
        <w:rPr>
          <w:rFonts w:hint="eastAsia" w:ascii="宋体" w:hAnsi="宋体" w:eastAsia="宋体" w:cs="宋体"/>
          <w:sz w:val="24"/>
          <w:szCs w:val="24"/>
          <w:lang w:eastAsia="zh-CN"/>
        </w:rPr>
      </w:pPr>
    </w:p>
    <w:p w14:paraId="7123C45F">
      <w:pPr>
        <w:pStyle w:val="41"/>
        <w:ind w:firstLine="2150" w:firstLineChars="896"/>
        <w:jc w:val="left"/>
        <w:rPr>
          <w:rFonts w:hint="eastAsia" w:ascii="宋体" w:hAnsi="宋体" w:eastAsia="宋体" w:cs="宋体"/>
          <w:sz w:val="24"/>
          <w:szCs w:val="24"/>
          <w:lang w:eastAsia="zh-CN"/>
        </w:rPr>
      </w:pPr>
    </w:p>
    <w:p w14:paraId="4BAE9C50">
      <w:pPr>
        <w:pStyle w:val="41"/>
        <w:ind w:firstLine="2150" w:firstLineChars="896"/>
        <w:jc w:val="left"/>
        <w:rPr>
          <w:rFonts w:hint="eastAsia" w:ascii="宋体" w:hAnsi="宋体" w:eastAsia="宋体" w:cs="宋体"/>
          <w:sz w:val="24"/>
          <w:szCs w:val="24"/>
          <w:lang w:eastAsia="zh-CN"/>
        </w:rPr>
      </w:pPr>
    </w:p>
    <w:p w14:paraId="4E35A191">
      <w:pPr>
        <w:pStyle w:val="41"/>
        <w:ind w:firstLine="2150" w:firstLineChars="89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       （签字） </w:t>
      </w:r>
    </w:p>
    <w:p w14:paraId="5477A258">
      <w:pPr>
        <w:pStyle w:val="41"/>
        <w:ind w:firstLine="2150" w:firstLineChars="89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或</w:t>
      </w:r>
    </w:p>
    <w:p w14:paraId="64B1F142">
      <w:pPr>
        <w:pStyle w:val="41"/>
        <w:ind w:firstLine="2150" w:firstLineChars="89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委托全权代理人：     （签字）</w:t>
      </w:r>
    </w:p>
    <w:p w14:paraId="3332EC31">
      <w:pPr>
        <w:pStyle w:val="41"/>
        <w:ind w:firstLine="2150" w:firstLineChars="896"/>
        <w:jc w:val="left"/>
        <w:rPr>
          <w:rFonts w:hint="eastAsia" w:ascii="宋体" w:hAnsi="宋体" w:eastAsia="宋体" w:cs="宋体"/>
          <w:sz w:val="24"/>
          <w:szCs w:val="24"/>
          <w:lang w:eastAsia="zh-CN"/>
        </w:rPr>
      </w:pPr>
      <w:r>
        <w:rPr>
          <w:rFonts w:hint="eastAsia" w:ascii="宋体" w:hAnsi="宋体" w:eastAsia="宋体" w:cs="宋体"/>
          <w:sz w:val="24"/>
          <w:szCs w:val="24"/>
        </w:rPr>
        <w:t>        </w:t>
      </w:r>
    </w:p>
    <w:p w14:paraId="47547B7C">
      <w:pPr>
        <w:pStyle w:val="41"/>
        <w:ind w:firstLine="2150" w:firstLineChars="896"/>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签署日期：    年   月   日</w:t>
      </w:r>
    </w:p>
    <w:p w14:paraId="526D5108">
      <w:pPr>
        <w:pStyle w:val="41"/>
        <w:ind w:firstLine="2150" w:firstLineChars="896"/>
        <w:jc w:val="left"/>
        <w:rPr>
          <w:rFonts w:hint="eastAsia" w:ascii="宋体" w:hAnsi="宋体" w:eastAsia="宋体" w:cs="宋体"/>
          <w:sz w:val="24"/>
          <w:szCs w:val="24"/>
        </w:rPr>
      </w:pPr>
    </w:p>
    <w:p w14:paraId="698136DD">
      <w:pPr>
        <w:pStyle w:val="41"/>
        <w:ind w:firstLine="2150" w:firstLineChars="896"/>
        <w:jc w:val="left"/>
        <w:rPr>
          <w:rFonts w:hint="eastAsia" w:ascii="宋体" w:hAnsi="宋体" w:eastAsia="宋体" w:cs="宋体"/>
          <w:sz w:val="24"/>
          <w:szCs w:val="24"/>
        </w:rPr>
      </w:pPr>
    </w:p>
    <w:p w14:paraId="51154680">
      <w:pPr>
        <w:pStyle w:val="41"/>
        <w:ind w:firstLine="2150" w:firstLineChars="896"/>
        <w:jc w:val="left"/>
        <w:rPr>
          <w:rFonts w:hint="eastAsia" w:ascii="宋体" w:hAnsi="宋体" w:eastAsia="宋体" w:cs="宋体"/>
          <w:sz w:val="24"/>
          <w:szCs w:val="24"/>
        </w:rPr>
      </w:pPr>
    </w:p>
    <w:p w14:paraId="2CF28F2F">
      <w:pPr>
        <w:pStyle w:val="41"/>
        <w:ind w:firstLine="2150" w:firstLineChars="896"/>
        <w:jc w:val="both"/>
        <w:rPr>
          <w:rFonts w:hint="eastAsia" w:ascii="宋体" w:hAnsi="宋体" w:eastAsia="宋体" w:cs="宋体"/>
          <w:sz w:val="24"/>
          <w:szCs w:val="24"/>
        </w:rPr>
      </w:pPr>
    </w:p>
    <w:p w14:paraId="29ABAFA3">
      <w:pPr>
        <w:pStyle w:val="41"/>
        <w:ind w:firstLine="2150" w:firstLineChars="896"/>
        <w:jc w:val="left"/>
        <w:rPr>
          <w:rFonts w:hint="eastAsia" w:ascii="宋体" w:hAnsi="宋体" w:eastAsia="宋体" w:cs="宋体"/>
          <w:sz w:val="24"/>
          <w:szCs w:val="24"/>
        </w:rPr>
      </w:pPr>
    </w:p>
    <w:p w14:paraId="27FF7353">
      <w:pPr>
        <w:widowControl/>
        <w:jc w:val="left"/>
        <w:outlineLvl w:val="2"/>
        <w:rPr>
          <w:rFonts w:hint="eastAsia" w:ascii="宋体" w:hAnsi="宋体" w:eastAsia="宋体" w:cs="宋体"/>
          <w:b w:val="0"/>
          <w:bCs w:val="0"/>
          <w:sz w:val="24"/>
          <w:lang w:val="en-US" w:eastAsia="zh-CN"/>
        </w:rPr>
      </w:pPr>
      <w:bookmarkStart w:id="1008" w:name="_Toc12132"/>
      <w:r>
        <w:rPr>
          <w:rFonts w:hint="eastAsia" w:ascii="宋体" w:hAnsi="宋体" w:eastAsia="宋体" w:cs="宋体"/>
          <w:b w:val="0"/>
          <w:bCs w:val="0"/>
          <w:sz w:val="24"/>
          <w:lang w:val="en-US" w:eastAsia="zh-CN"/>
        </w:rPr>
        <w:t>政府采购诚信承诺书</w:t>
      </w:r>
      <w:r>
        <w:rPr>
          <w:rFonts w:hint="eastAsia" w:ascii="宋体" w:hAnsi="宋体" w:eastAsia="宋体" w:cs="宋体"/>
          <w:color w:val="000000"/>
          <w:sz w:val="24"/>
          <w:lang w:eastAsia="zh-CN"/>
        </w:rPr>
        <w:t>（</w:t>
      </w:r>
      <w:r>
        <w:rPr>
          <w:rFonts w:hint="eastAsia" w:ascii="宋体" w:hAnsi="宋体" w:eastAsia="宋体" w:cs="宋体"/>
          <w:color w:val="000000"/>
          <w:kern w:val="0"/>
          <w:sz w:val="24"/>
        </w:rPr>
        <w:t>实质性格式</w:t>
      </w:r>
      <w:r>
        <w:rPr>
          <w:rFonts w:hint="eastAsia" w:ascii="宋体" w:hAnsi="宋体" w:eastAsia="宋体" w:cs="宋体"/>
          <w:color w:val="000000"/>
          <w:kern w:val="0"/>
          <w:sz w:val="24"/>
          <w:lang w:eastAsia="zh-CN"/>
        </w:rPr>
        <w:t>）</w:t>
      </w:r>
      <w:bookmarkEnd w:id="1008"/>
    </w:p>
    <w:p w14:paraId="3220277D">
      <w:pPr>
        <w:pStyle w:val="41"/>
        <w:ind w:firstLine="2867" w:firstLineChars="896"/>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政府采购诚信承诺书</w:t>
      </w:r>
    </w:p>
    <w:p w14:paraId="51EAC932">
      <w:pPr>
        <w:pStyle w:val="41"/>
        <w:ind w:left="0" w:leftChars="0" w:firstLine="0" w:firstLineChars="0"/>
        <w:jc w:val="left"/>
        <w:rPr>
          <w:rStyle w:val="251"/>
          <w:rFonts w:hint="eastAsia" w:ascii="宋体" w:hAnsi="宋体" w:eastAsia="宋体" w:cs="宋体"/>
          <w:sz w:val="24"/>
          <w:szCs w:val="24"/>
          <w:lang w:val="en-US" w:eastAsia="zh-CN" w:bidi="ar-SA"/>
        </w:rPr>
      </w:pPr>
    </w:p>
    <w:p w14:paraId="0180D8E9">
      <w:pPr>
        <w:pStyle w:val="41"/>
        <w:ind w:left="0" w:leftChars="0" w:firstLine="0" w:firstLineChars="0"/>
        <w:jc w:val="left"/>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u w:val="single"/>
          <w:lang w:val="en-US" w:eastAsia="zh-CN" w:bidi="ar-SA"/>
        </w:rPr>
        <w:t xml:space="preserve">      （招标人）</w:t>
      </w:r>
      <w:r>
        <w:rPr>
          <w:rStyle w:val="251"/>
          <w:rFonts w:hint="eastAsia" w:ascii="宋体" w:hAnsi="宋体" w:eastAsia="宋体" w:cs="宋体"/>
          <w:sz w:val="24"/>
          <w:szCs w:val="24"/>
          <w:lang w:val="en-US" w:eastAsia="zh-CN" w:bidi="ar-SA"/>
        </w:rPr>
        <w:t xml:space="preserve"> ：</w:t>
      </w:r>
    </w:p>
    <w:p w14:paraId="061E1B9C">
      <w:pPr>
        <w:pStyle w:val="41"/>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我公司</w:t>
      </w:r>
      <w:r>
        <w:rPr>
          <w:rStyle w:val="251"/>
          <w:rFonts w:hint="eastAsia" w:ascii="宋体" w:hAnsi="宋体" w:eastAsia="宋体" w:cs="宋体"/>
          <w:sz w:val="24"/>
          <w:szCs w:val="24"/>
          <w:u w:val="single"/>
          <w:lang w:val="en-US" w:eastAsia="zh-CN" w:bidi="ar-SA"/>
        </w:rPr>
        <w:t xml:space="preserve">             （投标人名称）</w:t>
      </w:r>
      <w:r>
        <w:rPr>
          <w:rStyle w:val="251"/>
          <w:rFonts w:hint="eastAsia" w:ascii="宋体" w:hAnsi="宋体" w:eastAsia="宋体" w:cs="宋体"/>
          <w:sz w:val="24"/>
          <w:szCs w:val="24"/>
          <w:lang w:val="en-US" w:eastAsia="zh-CN" w:bidi="ar-SA"/>
        </w:rPr>
        <w:t>已详细阅读了项目（项目编号）招标文件，自愿参加本次投标，现就有关事项做出郑重承诺如下：</w:t>
      </w:r>
    </w:p>
    <w:p w14:paraId="2B549654">
      <w:pPr>
        <w:pStyle w:val="41"/>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一、诚信投标，材料真实。我公司保证所提供的全部材料、投标内容均真实、合法、有效，保证不出借或者借用其他企业资质，不以他人名义投标，不弄虚作假；</w:t>
      </w:r>
    </w:p>
    <w:p w14:paraId="3C2A484E">
      <w:pPr>
        <w:pStyle w:val="41"/>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二、遵纪守法，公平竞争。不与其他投标人相互串通、哄抬价格，不排挤其他投标人，不损害招标人的合法权益；不向评标委员会、招标人提供利益以牟取成交。</w:t>
      </w:r>
    </w:p>
    <w:p w14:paraId="03565876">
      <w:pPr>
        <w:pStyle w:val="41"/>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三、若成交后，将按照规定及时与招标人签订政府采购合同，不与招标人订立有悖于采购结果的合同或协议；严格履行政府采购合同，不降低合同约定的产品质量和服务，不擅自变更、中止、终止合同，或者拒绝履行合同义务；</w:t>
      </w:r>
    </w:p>
    <w:p w14:paraId="0E935C83">
      <w:pPr>
        <w:pStyle w:val="41"/>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若有违反以上承诺内容的行为，我公司自愿接受取消投标资格、记入信用档案、媒体通报、1-3年内禁止参与政府采购等处罚；如已成交的，自动放弃成交资格，并承担全部法律责任；给招标人造成损失的，依法承担赔偿责任。</w:t>
      </w:r>
    </w:p>
    <w:p w14:paraId="7AA3CA35">
      <w:pPr>
        <w:pStyle w:val="41"/>
        <w:ind w:left="0" w:leftChars="0" w:firstLine="0" w:firstLineChars="0"/>
        <w:jc w:val="left"/>
        <w:rPr>
          <w:rStyle w:val="251"/>
          <w:rFonts w:hint="eastAsia" w:ascii="宋体" w:hAnsi="宋体" w:eastAsia="宋体" w:cs="宋体"/>
          <w:sz w:val="24"/>
          <w:szCs w:val="24"/>
          <w:lang w:val="en-US" w:eastAsia="zh-CN" w:bidi="ar-SA"/>
        </w:rPr>
      </w:pPr>
    </w:p>
    <w:p w14:paraId="57A92F7F">
      <w:pPr>
        <w:pStyle w:val="41"/>
        <w:ind w:left="0" w:leftChars="0" w:firstLine="0" w:firstLineChars="0"/>
        <w:jc w:val="left"/>
        <w:rPr>
          <w:rStyle w:val="251"/>
          <w:rFonts w:hint="eastAsia" w:ascii="宋体" w:hAnsi="宋体" w:eastAsia="宋体" w:cs="宋体"/>
          <w:sz w:val="24"/>
          <w:szCs w:val="24"/>
          <w:lang w:val="en-US" w:eastAsia="zh-CN" w:bidi="ar-SA"/>
        </w:rPr>
      </w:pPr>
    </w:p>
    <w:p w14:paraId="71607254">
      <w:pPr>
        <w:pStyle w:val="41"/>
        <w:ind w:left="0" w:leftChars="0" w:firstLine="0" w:firstLineChars="0"/>
        <w:jc w:val="left"/>
        <w:rPr>
          <w:rStyle w:val="251"/>
          <w:rFonts w:hint="eastAsia" w:ascii="宋体" w:hAnsi="宋体" w:eastAsia="宋体" w:cs="宋体"/>
          <w:sz w:val="24"/>
          <w:szCs w:val="24"/>
          <w:lang w:val="en-US" w:eastAsia="zh-CN" w:bidi="ar-SA"/>
        </w:rPr>
      </w:pPr>
    </w:p>
    <w:p w14:paraId="60CABAD4">
      <w:pPr>
        <w:pStyle w:val="41"/>
        <w:ind w:left="0" w:leftChars="0" w:firstLine="0" w:firstLineChars="0"/>
        <w:jc w:val="right"/>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供  应  商：                （盖单位公章）</w:t>
      </w:r>
    </w:p>
    <w:p w14:paraId="54A37FFB">
      <w:pPr>
        <w:pStyle w:val="41"/>
        <w:ind w:left="0" w:leftChars="0" w:firstLine="0" w:firstLineChars="0"/>
        <w:jc w:val="right"/>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法定代表人：                （签字或盖章）</w:t>
      </w:r>
    </w:p>
    <w:p w14:paraId="605DF425">
      <w:pPr>
        <w:pStyle w:val="41"/>
        <w:ind w:left="0" w:leftChars="0" w:firstLine="0" w:firstLineChars="0"/>
        <w:jc w:val="center"/>
        <w:rPr>
          <w:rStyle w:val="251"/>
          <w:rFonts w:hint="eastAsia" w:ascii="宋体" w:hAnsi="宋体" w:eastAsia="宋体" w:cs="宋体"/>
          <w:sz w:val="24"/>
          <w:szCs w:val="24"/>
          <w:lang w:val="en-US" w:eastAsia="zh-CN" w:bidi="ar-SA"/>
        </w:rPr>
      </w:pPr>
      <w:r>
        <w:rPr>
          <w:rStyle w:val="251"/>
          <w:rFonts w:hint="eastAsia" w:ascii="宋体" w:hAnsi="宋体" w:eastAsia="宋体" w:cs="宋体"/>
          <w:sz w:val="24"/>
          <w:szCs w:val="24"/>
          <w:lang w:val="en-US" w:eastAsia="zh-CN" w:bidi="ar-SA"/>
        </w:rPr>
        <w:t xml:space="preserve">                        日      期：      年    月     日</w:t>
      </w:r>
    </w:p>
    <w:p w14:paraId="209DE07C">
      <w:pPr>
        <w:pStyle w:val="41"/>
        <w:ind w:left="0" w:leftChars="0" w:firstLine="0" w:firstLineChars="0"/>
        <w:jc w:val="left"/>
        <w:outlineLvl w:val="2"/>
        <w:rPr>
          <w:rFonts w:hint="default" w:ascii="宋体" w:hAnsi="宋体" w:eastAsia="宋体" w:cs="宋体"/>
          <w:b w:val="0"/>
          <w:bCs w:val="0"/>
          <w:sz w:val="24"/>
          <w:lang w:val="en-US" w:eastAsia="zh-CN"/>
        </w:rPr>
      </w:pPr>
      <w:r>
        <w:rPr>
          <w:rStyle w:val="251"/>
          <w:rFonts w:hint="eastAsia" w:ascii="宋体" w:hAnsi="宋体" w:eastAsia="宋体" w:cs="宋体"/>
          <w:sz w:val="24"/>
          <w:szCs w:val="24"/>
          <w:lang w:val="en-US" w:eastAsia="zh-CN" w:bidi="ar-SA"/>
        </w:rPr>
        <w:br w:type="page"/>
      </w:r>
      <w:bookmarkStart w:id="1009" w:name="_Toc14234"/>
      <w:r>
        <w:rPr>
          <w:rFonts w:hint="default" w:ascii="宋体" w:hAnsi="宋体" w:eastAsia="宋体" w:cs="宋体"/>
          <w:b w:val="0"/>
          <w:bCs w:val="0"/>
          <w:kern w:val="2"/>
          <w:sz w:val="24"/>
          <w:szCs w:val="24"/>
          <w:lang w:val="en-US" w:eastAsia="zh-CN" w:bidi="ar-SA"/>
        </w:rPr>
        <w:t>质疑函范本</w:t>
      </w:r>
      <w:bookmarkEnd w:id="1009"/>
    </w:p>
    <w:p w14:paraId="76B8664E">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一、质疑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基本信息</w:t>
      </w:r>
    </w:p>
    <w:p w14:paraId="073A2706">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28CCAB6D">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地址：</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邮编：</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4DBDF3DD">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联系人：</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联系电话：</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5CF504C9">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授权代表：</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4444D1FF">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联系电话：</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05FA7FB7">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地址：</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邮编：</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115613B4">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二、质疑项目基本情况</w:t>
      </w:r>
    </w:p>
    <w:p w14:paraId="540C0596">
      <w:pPr>
        <w:pStyle w:val="41"/>
        <w:ind w:left="0" w:leftChars="0" w:firstLine="0" w:firstLineChars="0"/>
        <w:jc w:val="left"/>
        <w:outlineLvl w:val="9"/>
        <w:rPr>
          <w:rFonts w:hint="default" w:ascii="宋体" w:hAnsi="宋体" w:eastAsia="宋体" w:cs="宋体"/>
          <w:b w:val="0"/>
          <w:bCs w:val="0"/>
          <w:sz w:val="24"/>
          <w:u w:val="single"/>
          <w:lang w:val="en-US" w:eastAsia="zh-CN"/>
        </w:rPr>
      </w:pPr>
      <w:r>
        <w:rPr>
          <w:rFonts w:hint="default" w:ascii="宋体" w:hAnsi="宋体" w:eastAsia="宋体" w:cs="宋体"/>
          <w:b w:val="0"/>
          <w:bCs w:val="0"/>
          <w:sz w:val="24"/>
          <w:lang w:val="en-US" w:eastAsia="zh-CN"/>
        </w:rPr>
        <w:t>质疑项目的名称：</w:t>
      </w:r>
      <w:r>
        <w:rPr>
          <w:rFonts w:hint="default" w:ascii="宋体" w:hAnsi="宋体" w:eastAsia="宋体" w:cs="宋体"/>
          <w:b w:val="0"/>
          <w:bCs w:val="0"/>
          <w:sz w:val="24"/>
          <w:u w:val="single"/>
          <w:lang w:val="en-US" w:eastAsia="zh-CN"/>
        </w:rPr>
        <w:t xml:space="preserve">                                      </w:t>
      </w:r>
    </w:p>
    <w:p w14:paraId="3622A37F">
      <w:pPr>
        <w:pStyle w:val="41"/>
        <w:ind w:left="0" w:leftChars="0" w:firstLine="0" w:firstLineChars="0"/>
        <w:jc w:val="left"/>
        <w:outlineLvl w:val="9"/>
        <w:rPr>
          <w:rFonts w:hint="default" w:ascii="宋体" w:hAnsi="宋体" w:eastAsia="宋体" w:cs="宋体"/>
          <w:b w:val="0"/>
          <w:bCs w:val="0"/>
          <w:sz w:val="24"/>
          <w:u w:val="single"/>
          <w:lang w:val="en-US" w:eastAsia="zh-CN"/>
        </w:rPr>
      </w:pPr>
      <w:r>
        <w:rPr>
          <w:rFonts w:hint="default" w:ascii="宋体" w:hAnsi="宋体" w:eastAsia="宋体" w:cs="宋体"/>
          <w:b w:val="0"/>
          <w:bCs w:val="0"/>
          <w:sz w:val="24"/>
          <w:lang w:val="en-US" w:eastAsia="zh-CN"/>
        </w:rPr>
        <w:t>质疑项目的编号：</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包号：</w:t>
      </w:r>
      <w:r>
        <w:rPr>
          <w:rFonts w:hint="default" w:ascii="宋体" w:hAnsi="宋体" w:eastAsia="宋体" w:cs="宋体"/>
          <w:b w:val="0"/>
          <w:bCs w:val="0"/>
          <w:sz w:val="24"/>
          <w:u w:val="single"/>
          <w:lang w:val="en-US" w:eastAsia="zh-CN"/>
        </w:rPr>
        <w:t xml:space="preserve">                 </w:t>
      </w:r>
    </w:p>
    <w:p w14:paraId="431A85FB">
      <w:pPr>
        <w:pStyle w:val="41"/>
        <w:ind w:left="0" w:leftChars="0" w:firstLine="0" w:firstLineChars="0"/>
        <w:jc w:val="left"/>
        <w:outlineLvl w:val="9"/>
        <w:rPr>
          <w:rFonts w:hint="default" w:ascii="宋体" w:hAnsi="宋体" w:eastAsia="宋体" w:cs="宋体"/>
          <w:b w:val="0"/>
          <w:bCs w:val="0"/>
          <w:sz w:val="24"/>
          <w:u w:val="single"/>
          <w:lang w:val="en-US" w:eastAsia="zh-CN"/>
        </w:rPr>
      </w:pPr>
      <w:r>
        <w:rPr>
          <w:rFonts w:hint="eastAsia" w:ascii="宋体" w:hAnsi="宋体" w:eastAsia="宋体" w:cs="宋体"/>
          <w:b w:val="0"/>
          <w:bCs w:val="0"/>
          <w:sz w:val="24"/>
          <w:lang w:val="en-US" w:eastAsia="zh-CN"/>
        </w:rPr>
        <w:t>招标人</w:t>
      </w:r>
      <w:r>
        <w:rPr>
          <w:rFonts w:hint="default" w:ascii="宋体" w:hAnsi="宋体" w:eastAsia="宋体" w:cs="宋体"/>
          <w:b w:val="0"/>
          <w:bCs w:val="0"/>
          <w:sz w:val="24"/>
          <w:lang w:val="en-US" w:eastAsia="zh-CN"/>
        </w:rPr>
        <w:t>名称：</w:t>
      </w:r>
      <w:r>
        <w:rPr>
          <w:rFonts w:hint="default" w:ascii="宋体" w:hAnsi="宋体" w:eastAsia="宋体" w:cs="宋体"/>
          <w:b w:val="0"/>
          <w:bCs w:val="0"/>
          <w:sz w:val="24"/>
          <w:u w:val="single"/>
          <w:lang w:val="en-US" w:eastAsia="zh-CN"/>
        </w:rPr>
        <w:t xml:space="preserve">                                         </w:t>
      </w:r>
    </w:p>
    <w:p w14:paraId="1A5B1E5D">
      <w:pPr>
        <w:pStyle w:val="41"/>
        <w:ind w:left="0" w:leftChars="0" w:firstLine="0" w:firstLineChars="0"/>
        <w:jc w:val="left"/>
        <w:outlineLvl w:val="9"/>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招标文件</w:t>
      </w:r>
      <w:r>
        <w:rPr>
          <w:rFonts w:hint="default" w:ascii="宋体" w:hAnsi="宋体" w:eastAsia="宋体" w:cs="宋体"/>
          <w:b w:val="0"/>
          <w:bCs w:val="0"/>
          <w:sz w:val="24"/>
          <w:lang w:val="en-US" w:eastAsia="zh-CN"/>
        </w:rPr>
        <w:t>获取日期：</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06E59702">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三、质疑事项具体内容</w:t>
      </w:r>
    </w:p>
    <w:p w14:paraId="25E30CED">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质疑事项1：</w:t>
      </w:r>
      <w:r>
        <w:rPr>
          <w:rFonts w:hint="default" w:ascii="宋体" w:hAnsi="宋体" w:eastAsia="宋体" w:cs="宋体"/>
          <w:b w:val="0"/>
          <w:bCs w:val="0"/>
          <w:sz w:val="24"/>
          <w:u w:val="single"/>
          <w:lang w:val="en-US" w:eastAsia="zh-CN"/>
        </w:rPr>
        <w:t xml:space="preserve">                             </w:t>
      </w:r>
      <w:r>
        <w:rPr>
          <w:rFonts w:hint="default" w:ascii="宋体" w:hAnsi="宋体" w:eastAsia="宋体" w:cs="宋体"/>
          <w:b w:val="0"/>
          <w:bCs w:val="0"/>
          <w:sz w:val="24"/>
          <w:lang w:val="en-US" w:eastAsia="zh-CN"/>
        </w:rPr>
        <w:t xml:space="preserve">            </w:t>
      </w:r>
    </w:p>
    <w:p w14:paraId="770C0A7C">
      <w:pPr>
        <w:pStyle w:val="41"/>
        <w:ind w:left="0" w:leftChars="0" w:firstLine="0" w:firstLineChars="0"/>
        <w:jc w:val="left"/>
        <w:outlineLvl w:val="9"/>
        <w:rPr>
          <w:rFonts w:hint="default" w:ascii="宋体" w:hAnsi="宋体" w:eastAsia="宋体" w:cs="宋体"/>
          <w:b w:val="0"/>
          <w:bCs w:val="0"/>
          <w:sz w:val="24"/>
          <w:u w:val="single"/>
          <w:lang w:val="en-US" w:eastAsia="zh-CN"/>
        </w:rPr>
      </w:pPr>
      <w:r>
        <w:rPr>
          <w:rFonts w:hint="default" w:ascii="宋体" w:hAnsi="宋体" w:eastAsia="宋体" w:cs="宋体"/>
          <w:b w:val="0"/>
          <w:bCs w:val="0"/>
          <w:sz w:val="24"/>
          <w:lang w:val="en-US" w:eastAsia="zh-CN"/>
        </w:rPr>
        <w:t>事实依据：</w:t>
      </w:r>
      <w:r>
        <w:rPr>
          <w:rFonts w:hint="default" w:ascii="宋体" w:hAnsi="宋体" w:eastAsia="宋体" w:cs="宋体"/>
          <w:b w:val="0"/>
          <w:bCs w:val="0"/>
          <w:sz w:val="24"/>
          <w:u w:val="single"/>
          <w:lang w:val="en-US" w:eastAsia="zh-CN"/>
        </w:rPr>
        <w:t xml:space="preserve">                                          </w:t>
      </w:r>
    </w:p>
    <w:p w14:paraId="1633BE61">
      <w:pPr>
        <w:pStyle w:val="41"/>
        <w:ind w:left="0" w:leftChars="0" w:firstLine="0" w:firstLineChars="0"/>
        <w:jc w:val="left"/>
        <w:outlineLvl w:val="9"/>
        <w:rPr>
          <w:rFonts w:hint="default" w:ascii="宋体" w:hAnsi="宋体" w:eastAsia="宋体" w:cs="宋体"/>
          <w:b w:val="0"/>
          <w:bCs w:val="0"/>
          <w:sz w:val="24"/>
          <w:u w:val="single"/>
          <w:lang w:val="en-US" w:eastAsia="zh-CN"/>
        </w:rPr>
      </w:pPr>
      <w:r>
        <w:rPr>
          <w:rFonts w:hint="default" w:ascii="宋体" w:hAnsi="宋体" w:eastAsia="宋体" w:cs="宋体"/>
          <w:b w:val="0"/>
          <w:bCs w:val="0"/>
          <w:sz w:val="24"/>
          <w:lang w:val="en-US" w:eastAsia="zh-CN"/>
        </w:rPr>
        <w:t>法律依据：</w:t>
      </w:r>
      <w:r>
        <w:rPr>
          <w:rFonts w:hint="default" w:ascii="宋体" w:hAnsi="宋体" w:eastAsia="宋体" w:cs="宋体"/>
          <w:b w:val="0"/>
          <w:bCs w:val="0"/>
          <w:sz w:val="24"/>
          <w:u w:val="single"/>
          <w:lang w:val="en-US" w:eastAsia="zh-CN"/>
        </w:rPr>
        <w:t xml:space="preserve">                                          </w:t>
      </w:r>
    </w:p>
    <w:p w14:paraId="6A37A3EA">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质疑事项2</w:t>
      </w:r>
      <w:r>
        <w:rPr>
          <w:rFonts w:hint="eastAsia" w:ascii="宋体" w:hAnsi="宋体" w:eastAsia="宋体" w:cs="宋体"/>
          <w:b w:val="0"/>
          <w:bCs w:val="0"/>
          <w:sz w:val="24"/>
          <w:lang w:val="en-US" w:eastAsia="zh-CN"/>
        </w:rPr>
        <w:t>：</w:t>
      </w:r>
    </w:p>
    <w:p w14:paraId="59FF6810">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四、与质疑事项相关的质疑请求</w:t>
      </w:r>
    </w:p>
    <w:p w14:paraId="563A92EE">
      <w:pPr>
        <w:pStyle w:val="41"/>
        <w:ind w:left="0" w:leftChars="0" w:firstLine="0" w:firstLineChars="0"/>
        <w:jc w:val="left"/>
        <w:outlineLvl w:val="9"/>
        <w:rPr>
          <w:rFonts w:hint="default" w:ascii="宋体" w:hAnsi="宋体" w:eastAsia="宋体" w:cs="宋体"/>
          <w:b w:val="0"/>
          <w:bCs w:val="0"/>
          <w:sz w:val="24"/>
          <w:u w:val="single"/>
          <w:lang w:val="en-US" w:eastAsia="zh-CN"/>
        </w:rPr>
      </w:pPr>
      <w:r>
        <w:rPr>
          <w:rFonts w:hint="default" w:ascii="宋体" w:hAnsi="宋体" w:eastAsia="宋体" w:cs="宋体"/>
          <w:b w:val="0"/>
          <w:bCs w:val="0"/>
          <w:sz w:val="24"/>
          <w:lang w:val="en-US" w:eastAsia="zh-CN"/>
        </w:rPr>
        <w:t>请求：</w:t>
      </w:r>
      <w:r>
        <w:rPr>
          <w:rFonts w:hint="default" w:ascii="宋体" w:hAnsi="宋体" w:eastAsia="宋体" w:cs="宋体"/>
          <w:b w:val="0"/>
          <w:bCs w:val="0"/>
          <w:sz w:val="24"/>
          <w:u w:val="single"/>
          <w:lang w:val="en-US" w:eastAsia="zh-CN"/>
        </w:rPr>
        <w:t xml:space="preserve">                                               </w:t>
      </w:r>
    </w:p>
    <w:p w14:paraId="0E783FEC">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 xml:space="preserve">签字(签章)：                   公章：                   </w:t>
      </w:r>
    </w:p>
    <w:p w14:paraId="3C0D2FFA">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 xml:space="preserve">日期：    </w:t>
      </w:r>
    </w:p>
    <w:p w14:paraId="15491DD6">
      <w:pPr>
        <w:pStyle w:val="41"/>
        <w:ind w:left="0" w:leftChars="0" w:firstLine="0" w:firstLineChars="0"/>
        <w:jc w:val="left"/>
        <w:outlineLvl w:val="9"/>
        <w:rPr>
          <w:rFonts w:hint="default" w:ascii="宋体" w:hAnsi="宋体" w:eastAsia="宋体" w:cs="宋体"/>
          <w:b w:val="0"/>
          <w:bCs w:val="0"/>
          <w:sz w:val="24"/>
          <w:lang w:val="en-US" w:eastAsia="zh-CN"/>
        </w:rPr>
      </w:pPr>
    </w:p>
    <w:p w14:paraId="117A757F">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质疑函制作说明：</w:t>
      </w:r>
    </w:p>
    <w:p w14:paraId="5F94D08F">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1.</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提出质疑时，应提交质疑函和必要的证明材料。</w:t>
      </w:r>
    </w:p>
    <w:p w14:paraId="1C817454">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2.质疑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若委托代理人进行质疑的，质疑函应按要求列明“授权代表”的有关内容，并在附件中提交由质疑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签署的授权委托书。授权委托书应载明代理人的姓名或者名称、代理事项、具体权限、期限和相关事项。</w:t>
      </w:r>
    </w:p>
    <w:p w14:paraId="498AB390">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3.质疑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若对项目的某一分包进行质疑，质疑函中应列明具体分包号。</w:t>
      </w:r>
    </w:p>
    <w:p w14:paraId="33EBDC7E">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4.质疑函的质疑事项应具体、明确，并有必要的事实依据和法律依据。</w:t>
      </w:r>
    </w:p>
    <w:p w14:paraId="11D5A71F">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5.质疑函的质疑请求应与质疑事项相关。</w:t>
      </w:r>
    </w:p>
    <w:p w14:paraId="3906B5B4">
      <w:pPr>
        <w:pStyle w:val="41"/>
        <w:ind w:left="0" w:leftChars="0" w:firstLine="0" w:firstLineChars="0"/>
        <w:jc w:val="left"/>
        <w:outlineLvl w:val="9"/>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6.质疑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为自然人的，质疑函应由本人签字；质疑</w:t>
      </w:r>
      <w:r>
        <w:rPr>
          <w:rFonts w:hint="eastAsia" w:ascii="宋体" w:hAnsi="宋体" w:eastAsia="宋体" w:cs="宋体"/>
          <w:b w:val="0"/>
          <w:bCs w:val="0"/>
          <w:sz w:val="24"/>
          <w:lang w:val="en-US" w:eastAsia="zh-CN"/>
        </w:rPr>
        <w:t>投标人</w:t>
      </w:r>
      <w:r>
        <w:rPr>
          <w:rFonts w:hint="default" w:ascii="宋体" w:hAnsi="宋体" w:eastAsia="宋体" w:cs="宋体"/>
          <w:b w:val="0"/>
          <w:bCs w:val="0"/>
          <w:sz w:val="24"/>
          <w:lang w:val="en-US" w:eastAsia="zh-CN"/>
        </w:rPr>
        <w:t>为法人或者其他组织的，质疑函应由法定代表人、主要负责人，或者其授权代表签字或者盖章，并加盖公章。</w:t>
      </w:r>
    </w:p>
    <w:p w14:paraId="111F872F">
      <w:pPr>
        <w:pStyle w:val="41"/>
        <w:ind w:left="0" w:leftChars="0" w:firstLine="0" w:firstLineChars="0"/>
        <w:jc w:val="center"/>
        <w:rPr>
          <w:rStyle w:val="251"/>
          <w:rFonts w:hint="eastAsia" w:ascii="宋体" w:hAnsi="宋体" w:eastAsia="宋体" w:cs="宋体"/>
          <w:sz w:val="24"/>
          <w:szCs w:val="24"/>
          <w:lang w:val="en-US" w:eastAsia="zh-CN" w:bidi="ar-SA"/>
        </w:rPr>
      </w:pPr>
    </w:p>
    <w:sectPr>
      <w:headerReference r:id="rId15" w:type="first"/>
      <w:footerReference r:id="rId17" w:type="first"/>
      <w:headerReference r:id="rId14" w:type="even"/>
      <w:footerReference r:id="rId16" w:type="even"/>
      <w:pgSz w:w="11907" w:h="16840"/>
      <w:pgMar w:top="1418" w:right="1134" w:bottom="1418" w:left="1701" w:header="1134" w:footer="1134"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NewRomanPS-BoldM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1041">
    <w:pPr>
      <w:pStyle w:val="28"/>
      <w:framePr w:wrap="around" w:vAnchor="text" w:hAnchor="margin" w:y="1"/>
      <w:ind w:right="360"/>
      <w:rPr>
        <w:rStyle w:val="47"/>
      </w:rPr>
    </w:pPr>
  </w:p>
  <w:p w14:paraId="2EC41EA5">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340F">
    <w:pPr>
      <w:pStyle w:val="28"/>
      <w:framePr w:wrap="around" w:vAnchor="text" w:hAnchor="margin" w:xAlign="center" w:y="1"/>
      <w:rPr>
        <w:rStyle w:val="47"/>
      </w:rPr>
    </w:pPr>
    <w:r>
      <w:fldChar w:fldCharType="begin"/>
    </w:r>
    <w:r>
      <w:rPr>
        <w:rStyle w:val="47"/>
      </w:rPr>
      <w:instrText xml:space="preserve">PAGE  </w:instrText>
    </w:r>
    <w:r>
      <w:fldChar w:fldCharType="end"/>
    </w:r>
  </w:p>
  <w:p w14:paraId="19A395EB">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5DCE">
    <w:pPr>
      <w:pStyle w:val="28"/>
      <w:framePr w:wrap="around" w:vAnchor="text" w:hAnchor="margin" w:xAlign="right" w:y="1"/>
      <w:rPr>
        <w:rStyle w:val="47"/>
      </w:rPr>
    </w:pPr>
  </w:p>
  <w:p w14:paraId="7C301A11">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A8E9A">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541A">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1EDE9E11">
    <w:pPr>
      <w:pStyle w:val="28"/>
      <w:ind w:right="360"/>
    </w:pPr>
  </w:p>
  <w:p w14:paraId="5BDF32C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3C4F">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161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0EE7663">
    <w:pPr>
      <w:pStyle w:val="28"/>
      <w:ind w:right="360"/>
    </w:pPr>
  </w:p>
  <w:p w14:paraId="7028369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262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769D">
    <w:pPr>
      <w:pStyle w:val="29"/>
      <w:pBdr>
        <w:bottom w:val="none" w:color="auto" w:sz="0" w:space="1"/>
      </w:pBdr>
      <w:jc w:val="right"/>
    </w:pPr>
    <w:r>
      <w:rPr>
        <w:rFonts w:hint="eastAsia"/>
        <w:lang w:eastAsia="zh-CN"/>
      </w:rPr>
      <w:t>柯坪县工人文化宫整体搬迁设备采购安装项目招标文件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93B3">
    <w:pPr>
      <w:pStyle w:val="29"/>
      <w:pBdr>
        <w:bottom w:val="none" w:color="auto" w:sz="0" w:space="0"/>
      </w:pBdr>
      <w:jc w:val="right"/>
      <w:rPr>
        <w:rFonts w:hint="eastAsia" w:eastAsia="宋体"/>
        <w:lang w:eastAsia="zh-CN"/>
      </w:rPr>
    </w:pPr>
    <w:r>
      <w:rPr>
        <w:rFonts w:hint="eastAsia"/>
        <w:lang w:val="en-US" w:eastAsia="zh-CN"/>
      </w:rPr>
      <w:t>柯坪县工人文化宫整体搬迁设备采购安装项目招标文件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AA1C">
    <w:pPr>
      <w:pStyle w:val="29"/>
      <w:pBdr>
        <w:bottom w:val="none" w:color="auto" w:sz="0" w:space="1"/>
      </w:pBdr>
      <w:jc w:val="right"/>
    </w:pPr>
    <w:r>
      <w:rPr>
        <w:rFonts w:hint="eastAsia"/>
        <w:lang w:eastAsia="zh-CN"/>
      </w:rPr>
      <w:t>柯坪县工人文化宫整体搬迁设备采购安装项目招标文件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A39D">
    <w:pPr>
      <w:pStyle w:val="29"/>
    </w:pPr>
  </w:p>
  <w:p w14:paraId="1607C9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C55E">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BC4C">
    <w:pPr>
      <w:pStyle w:val="29"/>
    </w:pPr>
  </w:p>
  <w:p w14:paraId="2F66AF1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1CEB">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C278"/>
    <w:multiLevelType w:val="singleLevel"/>
    <w:tmpl w:val="97F6C278"/>
    <w:lvl w:ilvl="0" w:tentative="0">
      <w:start w:val="1"/>
      <w:numFmt w:val="chineseCounting"/>
      <w:suff w:val="space"/>
      <w:lvlText w:val="第%1部分"/>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9"/>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zdhNzhlNjUyYWQ2NTUwNThlNTFhOWRiNjU2MTJjY2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709"/>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473B7"/>
    <w:rsid w:val="014C6B51"/>
    <w:rsid w:val="026F2EBF"/>
    <w:rsid w:val="03D34D01"/>
    <w:rsid w:val="0449381C"/>
    <w:rsid w:val="04C80151"/>
    <w:rsid w:val="056D353A"/>
    <w:rsid w:val="060A0D89"/>
    <w:rsid w:val="0647735D"/>
    <w:rsid w:val="068B1EC9"/>
    <w:rsid w:val="068C79F0"/>
    <w:rsid w:val="06FC3487"/>
    <w:rsid w:val="07CD6512"/>
    <w:rsid w:val="08145258"/>
    <w:rsid w:val="0913538C"/>
    <w:rsid w:val="092F52F0"/>
    <w:rsid w:val="09395AB6"/>
    <w:rsid w:val="097053A7"/>
    <w:rsid w:val="097B0722"/>
    <w:rsid w:val="099A0675"/>
    <w:rsid w:val="0A1C72DC"/>
    <w:rsid w:val="0A4C3162"/>
    <w:rsid w:val="0A8A61FF"/>
    <w:rsid w:val="0B660C1A"/>
    <w:rsid w:val="0C360B29"/>
    <w:rsid w:val="0C41302A"/>
    <w:rsid w:val="0D0E73B0"/>
    <w:rsid w:val="0DE93979"/>
    <w:rsid w:val="0E1E1875"/>
    <w:rsid w:val="0E5B6625"/>
    <w:rsid w:val="0F3550C8"/>
    <w:rsid w:val="101A1275"/>
    <w:rsid w:val="113E3FDC"/>
    <w:rsid w:val="126709D4"/>
    <w:rsid w:val="127952CC"/>
    <w:rsid w:val="12B5355F"/>
    <w:rsid w:val="1354332B"/>
    <w:rsid w:val="13631B14"/>
    <w:rsid w:val="13710955"/>
    <w:rsid w:val="13954387"/>
    <w:rsid w:val="13C46A1B"/>
    <w:rsid w:val="15404DF7"/>
    <w:rsid w:val="16F47617"/>
    <w:rsid w:val="176F4EEF"/>
    <w:rsid w:val="17F93E0B"/>
    <w:rsid w:val="18BF1EA7"/>
    <w:rsid w:val="1A352420"/>
    <w:rsid w:val="1A9B2B28"/>
    <w:rsid w:val="1B8C1063"/>
    <w:rsid w:val="1C455CA5"/>
    <w:rsid w:val="1D2C69D2"/>
    <w:rsid w:val="1DAD7D1C"/>
    <w:rsid w:val="1DEF28E6"/>
    <w:rsid w:val="1E3D7AF5"/>
    <w:rsid w:val="1F122D30"/>
    <w:rsid w:val="1F282554"/>
    <w:rsid w:val="21350F58"/>
    <w:rsid w:val="221943D6"/>
    <w:rsid w:val="2250591D"/>
    <w:rsid w:val="225657BB"/>
    <w:rsid w:val="22965A26"/>
    <w:rsid w:val="22A46395"/>
    <w:rsid w:val="22C77B52"/>
    <w:rsid w:val="23871813"/>
    <w:rsid w:val="239E00B4"/>
    <w:rsid w:val="23E553E4"/>
    <w:rsid w:val="240870F2"/>
    <w:rsid w:val="241E3F25"/>
    <w:rsid w:val="24C820E3"/>
    <w:rsid w:val="251E74A4"/>
    <w:rsid w:val="257A33DD"/>
    <w:rsid w:val="266B424C"/>
    <w:rsid w:val="26D60AE7"/>
    <w:rsid w:val="27843CE5"/>
    <w:rsid w:val="28CC2787"/>
    <w:rsid w:val="298A3E0B"/>
    <w:rsid w:val="299A2266"/>
    <w:rsid w:val="2A636B36"/>
    <w:rsid w:val="2AF53506"/>
    <w:rsid w:val="2AF7727E"/>
    <w:rsid w:val="2B7A31CA"/>
    <w:rsid w:val="2B902C70"/>
    <w:rsid w:val="2BBC720D"/>
    <w:rsid w:val="2BDC1404"/>
    <w:rsid w:val="2C570661"/>
    <w:rsid w:val="2CBA3423"/>
    <w:rsid w:val="2D1C121E"/>
    <w:rsid w:val="2DA449D3"/>
    <w:rsid w:val="2E1979C9"/>
    <w:rsid w:val="2E766A63"/>
    <w:rsid w:val="2E7F1A64"/>
    <w:rsid w:val="2F191EB9"/>
    <w:rsid w:val="2F880DEC"/>
    <w:rsid w:val="2FD8767E"/>
    <w:rsid w:val="32382656"/>
    <w:rsid w:val="32437DF0"/>
    <w:rsid w:val="32D1780D"/>
    <w:rsid w:val="32EB653A"/>
    <w:rsid w:val="32FD11AA"/>
    <w:rsid w:val="34360E17"/>
    <w:rsid w:val="366A3FA3"/>
    <w:rsid w:val="36AA789A"/>
    <w:rsid w:val="371511B8"/>
    <w:rsid w:val="37505DA9"/>
    <w:rsid w:val="38B92017"/>
    <w:rsid w:val="3986014B"/>
    <w:rsid w:val="39F552D0"/>
    <w:rsid w:val="3A064DE8"/>
    <w:rsid w:val="3A655477"/>
    <w:rsid w:val="3AA7481D"/>
    <w:rsid w:val="3B3B4F65"/>
    <w:rsid w:val="3B691AD2"/>
    <w:rsid w:val="3BC46D08"/>
    <w:rsid w:val="3BCB6780"/>
    <w:rsid w:val="3BEE7189"/>
    <w:rsid w:val="3C08753D"/>
    <w:rsid w:val="3C4936B2"/>
    <w:rsid w:val="3C941962"/>
    <w:rsid w:val="3D516CC2"/>
    <w:rsid w:val="3D842BF3"/>
    <w:rsid w:val="3DA0043E"/>
    <w:rsid w:val="3E135908"/>
    <w:rsid w:val="3EAD487E"/>
    <w:rsid w:val="400F46B5"/>
    <w:rsid w:val="409D1EB1"/>
    <w:rsid w:val="40C8577C"/>
    <w:rsid w:val="4196032A"/>
    <w:rsid w:val="41EC4C77"/>
    <w:rsid w:val="423544BC"/>
    <w:rsid w:val="42731488"/>
    <w:rsid w:val="42CD0A98"/>
    <w:rsid w:val="430F11B1"/>
    <w:rsid w:val="431A0C09"/>
    <w:rsid w:val="433A7477"/>
    <w:rsid w:val="43F54C8B"/>
    <w:rsid w:val="44B26298"/>
    <w:rsid w:val="45274CB7"/>
    <w:rsid w:val="45E125F7"/>
    <w:rsid w:val="462E61DA"/>
    <w:rsid w:val="4645313C"/>
    <w:rsid w:val="47535FF2"/>
    <w:rsid w:val="47AA76FA"/>
    <w:rsid w:val="48007DC3"/>
    <w:rsid w:val="480E2158"/>
    <w:rsid w:val="48E924A4"/>
    <w:rsid w:val="49995C33"/>
    <w:rsid w:val="4B3F63AB"/>
    <w:rsid w:val="4B65373A"/>
    <w:rsid w:val="4B842EB6"/>
    <w:rsid w:val="4BA601D9"/>
    <w:rsid w:val="4BCB5E91"/>
    <w:rsid w:val="4C2537F3"/>
    <w:rsid w:val="4C373527"/>
    <w:rsid w:val="4C980AC9"/>
    <w:rsid w:val="4CB66B41"/>
    <w:rsid w:val="4D00163A"/>
    <w:rsid w:val="4D063625"/>
    <w:rsid w:val="4E4C267F"/>
    <w:rsid w:val="4F0F5BE3"/>
    <w:rsid w:val="50841F29"/>
    <w:rsid w:val="51366664"/>
    <w:rsid w:val="518014CC"/>
    <w:rsid w:val="51F06651"/>
    <w:rsid w:val="52422029"/>
    <w:rsid w:val="5281233A"/>
    <w:rsid w:val="531C6FD2"/>
    <w:rsid w:val="53B21F5C"/>
    <w:rsid w:val="54010943"/>
    <w:rsid w:val="541514C3"/>
    <w:rsid w:val="5488491F"/>
    <w:rsid w:val="55040901"/>
    <w:rsid w:val="5516017D"/>
    <w:rsid w:val="552A00CC"/>
    <w:rsid w:val="557430F6"/>
    <w:rsid w:val="55763D8B"/>
    <w:rsid w:val="565753CA"/>
    <w:rsid w:val="56A270C7"/>
    <w:rsid w:val="56DF05DE"/>
    <w:rsid w:val="56F70118"/>
    <w:rsid w:val="57EA3B43"/>
    <w:rsid w:val="57FC6189"/>
    <w:rsid w:val="58151646"/>
    <w:rsid w:val="58BA52C3"/>
    <w:rsid w:val="58F5279F"/>
    <w:rsid w:val="593761CC"/>
    <w:rsid w:val="598C4EB2"/>
    <w:rsid w:val="5B1B51E7"/>
    <w:rsid w:val="5BB94622"/>
    <w:rsid w:val="5BCD4EE3"/>
    <w:rsid w:val="5BF8682E"/>
    <w:rsid w:val="5D577585"/>
    <w:rsid w:val="5DF43025"/>
    <w:rsid w:val="5EC742B8"/>
    <w:rsid w:val="5F073306"/>
    <w:rsid w:val="5F5F73B9"/>
    <w:rsid w:val="5F7E10AF"/>
    <w:rsid w:val="5F954E6D"/>
    <w:rsid w:val="607C1773"/>
    <w:rsid w:val="60E455D3"/>
    <w:rsid w:val="60F670B5"/>
    <w:rsid w:val="61B825BC"/>
    <w:rsid w:val="6245254A"/>
    <w:rsid w:val="62497BC8"/>
    <w:rsid w:val="62742987"/>
    <w:rsid w:val="636A79F9"/>
    <w:rsid w:val="641F4B74"/>
    <w:rsid w:val="64A713DC"/>
    <w:rsid w:val="64D85F48"/>
    <w:rsid w:val="655E55FD"/>
    <w:rsid w:val="655F16CC"/>
    <w:rsid w:val="682B7F8C"/>
    <w:rsid w:val="6838144E"/>
    <w:rsid w:val="68420E31"/>
    <w:rsid w:val="68A607CC"/>
    <w:rsid w:val="68AA7398"/>
    <w:rsid w:val="6931512E"/>
    <w:rsid w:val="694F3806"/>
    <w:rsid w:val="6A420C92"/>
    <w:rsid w:val="6A902328"/>
    <w:rsid w:val="6ABA73A5"/>
    <w:rsid w:val="6AC65D4A"/>
    <w:rsid w:val="6B204C6E"/>
    <w:rsid w:val="6BF568E6"/>
    <w:rsid w:val="6C53185F"/>
    <w:rsid w:val="6CE93F71"/>
    <w:rsid w:val="6D061626"/>
    <w:rsid w:val="6D1234C8"/>
    <w:rsid w:val="6DBD1686"/>
    <w:rsid w:val="6E073DC4"/>
    <w:rsid w:val="6E7449D1"/>
    <w:rsid w:val="6EA91C0A"/>
    <w:rsid w:val="6EF65730"/>
    <w:rsid w:val="6F0F157E"/>
    <w:rsid w:val="6F97D24A"/>
    <w:rsid w:val="6FBE01C3"/>
    <w:rsid w:val="7036571F"/>
    <w:rsid w:val="703D4241"/>
    <w:rsid w:val="707B1384"/>
    <w:rsid w:val="70C90342"/>
    <w:rsid w:val="71AC3EEB"/>
    <w:rsid w:val="71E909FE"/>
    <w:rsid w:val="71ED62B2"/>
    <w:rsid w:val="72146BC2"/>
    <w:rsid w:val="72BF37AA"/>
    <w:rsid w:val="73326848"/>
    <w:rsid w:val="742C597A"/>
    <w:rsid w:val="74502CFA"/>
    <w:rsid w:val="75BC0475"/>
    <w:rsid w:val="75DE488F"/>
    <w:rsid w:val="779D7E32"/>
    <w:rsid w:val="78F148D9"/>
    <w:rsid w:val="794977DD"/>
    <w:rsid w:val="797846B3"/>
    <w:rsid w:val="7AF81F4F"/>
    <w:rsid w:val="7B7470FC"/>
    <w:rsid w:val="7BC506FF"/>
    <w:rsid w:val="7BF5023D"/>
    <w:rsid w:val="7C42641E"/>
    <w:rsid w:val="7F97D7F2"/>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5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next w:val="1"/>
    <w:link w:val="66"/>
    <w:qFormat/>
    <w:uiPriority w:val="0"/>
    <w:pPr>
      <w:tabs>
        <w:tab w:val="left" w:pos="567"/>
      </w:tabs>
      <w:spacing w:before="120" w:line="22" w:lineRule="atLeast"/>
    </w:pPr>
    <w:rPr>
      <w:rFonts w:ascii="宋体" w:hAnsi="宋体"/>
      <w:sz w:val="24"/>
    </w:rPr>
  </w:style>
  <w:style w:type="paragraph" w:styleId="18">
    <w:name w:val="Body Text Indent"/>
    <w:basedOn w:val="1"/>
    <w:next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9"/>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正文缩进 字符"/>
    <w:link w:val="2"/>
    <w:autoRedefine/>
    <w:qFormat/>
    <w:uiPriority w:val="0"/>
    <w:rPr>
      <w:rFonts w:ascii="宋体" w:eastAsia="宋体"/>
      <w:kern w:val="2"/>
      <w:sz w:val="24"/>
      <w:szCs w:val="24"/>
      <w:lang w:val="en-US" w:eastAsia="zh-CN" w:bidi="ar-SA"/>
    </w:rPr>
  </w:style>
  <w:style w:type="character" w:customStyle="1" w:styleId="54">
    <w:name w:val="标题 1 字符"/>
    <w:basedOn w:val="45"/>
    <w:link w:val="3"/>
    <w:autoRedefine/>
    <w:qFormat/>
    <w:uiPriority w:val="0"/>
    <w:rPr>
      <w:rFonts w:ascii="宋体"/>
      <w:b/>
      <w:kern w:val="44"/>
      <w:sz w:val="32"/>
    </w:rPr>
  </w:style>
  <w:style w:type="character" w:customStyle="1" w:styleId="55">
    <w:name w:val="标题 2 字符"/>
    <w:link w:val="4"/>
    <w:autoRedefine/>
    <w:qFormat/>
    <w:uiPriority w:val="0"/>
    <w:rPr>
      <w:rFonts w:ascii="Arial" w:hAnsi="Arial" w:eastAsia="黑体"/>
      <w:b/>
      <w:sz w:val="30"/>
      <w:lang w:val="en-US" w:eastAsia="zh-CN" w:bidi="ar-SA"/>
    </w:rPr>
  </w:style>
  <w:style w:type="character" w:customStyle="1" w:styleId="56">
    <w:name w:val="标题 3 字符"/>
    <w:link w:val="5"/>
    <w:autoRedefine/>
    <w:qFormat/>
    <w:uiPriority w:val="0"/>
    <w:rPr>
      <w:rFonts w:ascii="宋体" w:eastAsia="宋体"/>
      <w:b/>
      <w:sz w:val="24"/>
      <w:u w:val="single"/>
      <w:lang w:val="en-US" w:eastAsia="zh-CN" w:bidi="ar-SA"/>
    </w:rPr>
  </w:style>
  <w:style w:type="character" w:customStyle="1" w:styleId="57">
    <w:name w:val="标题 4 字符"/>
    <w:basedOn w:val="45"/>
    <w:link w:val="6"/>
    <w:qFormat/>
    <w:uiPriority w:val="0"/>
    <w:rPr>
      <w:rFonts w:ascii="Arial" w:hAnsi="Arial" w:eastAsia="黑体"/>
      <w:b/>
      <w:sz w:val="28"/>
    </w:rPr>
  </w:style>
  <w:style w:type="character" w:customStyle="1" w:styleId="58">
    <w:name w:val="标题 5 字符"/>
    <w:basedOn w:val="45"/>
    <w:link w:val="7"/>
    <w:autoRedefine/>
    <w:qFormat/>
    <w:uiPriority w:val="0"/>
    <w:rPr>
      <w:b/>
      <w:sz w:val="28"/>
    </w:rPr>
  </w:style>
  <w:style w:type="character" w:customStyle="1" w:styleId="59">
    <w:name w:val="标题 6 字符"/>
    <w:basedOn w:val="45"/>
    <w:link w:val="8"/>
    <w:autoRedefine/>
    <w:qFormat/>
    <w:uiPriority w:val="0"/>
    <w:rPr>
      <w:rFonts w:ascii="Arial" w:hAnsi="Arial" w:eastAsia="黑体"/>
      <w:b/>
      <w:sz w:val="24"/>
    </w:rPr>
  </w:style>
  <w:style w:type="character" w:customStyle="1" w:styleId="60">
    <w:name w:val="标题 7 字符"/>
    <w:basedOn w:val="45"/>
    <w:link w:val="9"/>
    <w:autoRedefine/>
    <w:qFormat/>
    <w:uiPriority w:val="0"/>
    <w:rPr>
      <w:b/>
      <w:sz w:val="24"/>
    </w:rPr>
  </w:style>
  <w:style w:type="character" w:customStyle="1" w:styleId="61">
    <w:name w:val="标题 8 字符"/>
    <w:basedOn w:val="45"/>
    <w:link w:val="10"/>
    <w:autoRedefine/>
    <w:qFormat/>
    <w:uiPriority w:val="0"/>
    <w:rPr>
      <w:rFonts w:ascii="Arial" w:hAnsi="Arial" w:eastAsia="黑体"/>
      <w:sz w:val="24"/>
    </w:rPr>
  </w:style>
  <w:style w:type="character" w:customStyle="1" w:styleId="62">
    <w:name w:val="标题 9 字符"/>
    <w:basedOn w:val="45"/>
    <w:link w:val="11"/>
    <w:autoRedefine/>
    <w:qFormat/>
    <w:uiPriority w:val="0"/>
    <w:rPr>
      <w:rFonts w:ascii="Arial" w:hAnsi="Arial" w:eastAsia="黑体"/>
      <w:sz w:val="21"/>
    </w:rPr>
  </w:style>
  <w:style w:type="character" w:customStyle="1" w:styleId="63">
    <w:name w:val="文档结构图 字符"/>
    <w:basedOn w:val="45"/>
    <w:link w:val="14"/>
    <w:autoRedefine/>
    <w:qFormat/>
    <w:uiPriority w:val="0"/>
    <w:rPr>
      <w:kern w:val="2"/>
      <w:sz w:val="21"/>
      <w:szCs w:val="24"/>
      <w:shd w:val="clear" w:color="auto" w:fill="000080"/>
    </w:rPr>
  </w:style>
  <w:style w:type="character" w:customStyle="1" w:styleId="64">
    <w:name w:val="批注文字 字符1"/>
    <w:link w:val="15"/>
    <w:autoRedefine/>
    <w:qFormat/>
    <w:uiPriority w:val="99"/>
    <w:rPr>
      <w:kern w:val="2"/>
      <w:sz w:val="21"/>
      <w:szCs w:val="24"/>
    </w:rPr>
  </w:style>
  <w:style w:type="character" w:customStyle="1" w:styleId="65">
    <w:name w:val="正文文本 3 字符"/>
    <w:basedOn w:val="45"/>
    <w:link w:val="16"/>
    <w:autoRedefine/>
    <w:qFormat/>
    <w:uiPriority w:val="0"/>
    <w:rPr>
      <w:kern w:val="2"/>
      <w:sz w:val="16"/>
      <w:szCs w:val="16"/>
    </w:rPr>
  </w:style>
  <w:style w:type="character" w:customStyle="1" w:styleId="66">
    <w:name w:val="正文文本 字符"/>
    <w:basedOn w:val="45"/>
    <w:link w:val="17"/>
    <w:autoRedefine/>
    <w:qFormat/>
    <w:uiPriority w:val="0"/>
    <w:rPr>
      <w:rFonts w:ascii="宋体" w:hAnsi="宋体"/>
      <w:kern w:val="2"/>
      <w:sz w:val="24"/>
      <w:szCs w:val="24"/>
    </w:rPr>
  </w:style>
  <w:style w:type="character" w:customStyle="1" w:styleId="67">
    <w:name w:val="正文文本缩进 字符"/>
    <w:link w:val="18"/>
    <w:autoRedefine/>
    <w:qFormat/>
    <w:uiPriority w:val="0"/>
    <w:rPr>
      <w:rFonts w:eastAsia="宋体"/>
      <w:kern w:val="2"/>
      <w:sz w:val="24"/>
      <w:szCs w:val="24"/>
      <w:lang w:val="en-US" w:eastAsia="zh-CN" w:bidi="ar-SA"/>
    </w:rPr>
  </w:style>
  <w:style w:type="character" w:customStyle="1" w:styleId="68">
    <w:name w:val="纯文本 字符2"/>
    <w:basedOn w:val="45"/>
    <w:link w:val="23"/>
    <w:autoRedefine/>
    <w:qFormat/>
    <w:uiPriority w:val="0"/>
    <w:rPr>
      <w:rFonts w:hint="eastAsia" w:ascii="宋体" w:hAnsi="Courier New" w:eastAsia="宋体" w:cs="宋体"/>
      <w:kern w:val="2"/>
      <w:sz w:val="21"/>
    </w:rPr>
  </w:style>
  <w:style w:type="character" w:customStyle="1" w:styleId="69">
    <w:name w:val="日期 字符"/>
    <w:basedOn w:val="45"/>
    <w:link w:val="25"/>
    <w:autoRedefine/>
    <w:qFormat/>
    <w:uiPriority w:val="0"/>
    <w:rPr>
      <w:rFonts w:ascii="仿宋_GB2312" w:hAnsi="宋体" w:eastAsia="仿宋_GB2312"/>
      <w:color w:val="000000"/>
      <w:kern w:val="2"/>
      <w:sz w:val="24"/>
      <w:szCs w:val="24"/>
    </w:rPr>
  </w:style>
  <w:style w:type="character" w:customStyle="1" w:styleId="70">
    <w:name w:val="正文文本缩进 2 字符"/>
    <w:basedOn w:val="45"/>
    <w:link w:val="26"/>
    <w:autoRedefine/>
    <w:qFormat/>
    <w:uiPriority w:val="0"/>
    <w:rPr>
      <w:rFonts w:ascii="仿宋_GB2312" w:eastAsia="仿宋_GB2312"/>
      <w:kern w:val="2"/>
      <w:sz w:val="24"/>
      <w:szCs w:val="24"/>
    </w:rPr>
  </w:style>
  <w:style w:type="character" w:customStyle="1" w:styleId="71">
    <w:name w:val="批注框文本 字符"/>
    <w:basedOn w:val="45"/>
    <w:link w:val="27"/>
    <w:autoRedefine/>
    <w:qFormat/>
    <w:uiPriority w:val="0"/>
    <w:rPr>
      <w:kern w:val="2"/>
      <w:sz w:val="18"/>
      <w:szCs w:val="18"/>
    </w:rPr>
  </w:style>
  <w:style w:type="character" w:customStyle="1" w:styleId="72">
    <w:name w:val="页脚 字符"/>
    <w:link w:val="28"/>
    <w:autoRedefine/>
    <w:qFormat/>
    <w:uiPriority w:val="99"/>
    <w:rPr>
      <w:rFonts w:ascii="宋体" w:eastAsia="宋体"/>
      <w:sz w:val="18"/>
      <w:lang w:val="en-US" w:eastAsia="zh-CN" w:bidi="ar-SA"/>
    </w:rPr>
  </w:style>
  <w:style w:type="character" w:customStyle="1" w:styleId="73">
    <w:name w:val="页眉 字符"/>
    <w:link w:val="29"/>
    <w:autoRedefine/>
    <w:qFormat/>
    <w:uiPriority w:val="0"/>
    <w:rPr>
      <w:rFonts w:eastAsia="宋体"/>
      <w:kern w:val="2"/>
      <w:sz w:val="18"/>
      <w:szCs w:val="18"/>
      <w:lang w:val="en-US" w:eastAsia="zh-CN" w:bidi="ar-SA"/>
    </w:rPr>
  </w:style>
  <w:style w:type="character" w:customStyle="1" w:styleId="74">
    <w:name w:val="正文文本缩进 3 字符"/>
    <w:basedOn w:val="45"/>
    <w:link w:val="33"/>
    <w:autoRedefine/>
    <w:qFormat/>
    <w:uiPriority w:val="0"/>
    <w:rPr>
      <w:rFonts w:ascii="宋体"/>
      <w:sz w:val="24"/>
    </w:rPr>
  </w:style>
  <w:style w:type="character" w:customStyle="1" w:styleId="75">
    <w:name w:val="HTML 预设格式 字符"/>
    <w:basedOn w:val="45"/>
    <w:link w:val="36"/>
    <w:autoRedefine/>
    <w:qFormat/>
    <w:uiPriority w:val="0"/>
    <w:rPr>
      <w:rFonts w:ascii="宋体" w:hAnsi="宋体" w:cs="宋体"/>
      <w:sz w:val="24"/>
      <w:szCs w:val="24"/>
    </w:rPr>
  </w:style>
  <w:style w:type="character" w:customStyle="1" w:styleId="76">
    <w:name w:val="标题 字符"/>
    <w:link w:val="39"/>
    <w:autoRedefine/>
    <w:qFormat/>
    <w:uiPriority w:val="0"/>
    <w:rPr>
      <w:b/>
      <w:kern w:val="2"/>
      <w:sz w:val="32"/>
    </w:rPr>
  </w:style>
  <w:style w:type="character" w:customStyle="1" w:styleId="77">
    <w:name w:val="批注主题 字符"/>
    <w:basedOn w:val="78"/>
    <w:link w:val="40"/>
    <w:autoRedefine/>
    <w:qFormat/>
    <w:uiPriority w:val="0"/>
    <w:rPr>
      <w:rFonts w:ascii="Times New Roman" w:hAnsi="Times New Roman" w:eastAsia="宋体" w:cs="Times New Roman"/>
      <w:b/>
      <w:bCs/>
      <w:kern w:val="2"/>
      <w:sz w:val="21"/>
      <w:szCs w:val="24"/>
      <w:lang w:val="en-US" w:eastAsia="zh-CN" w:bidi="ar-SA"/>
    </w:rPr>
  </w:style>
  <w:style w:type="character" w:customStyle="1" w:styleId="78">
    <w:name w:val="批注文字 字符"/>
    <w:autoRedefine/>
    <w:qFormat/>
    <w:uiPriority w:val="99"/>
    <w:rPr>
      <w:rFonts w:ascii="Times New Roman" w:hAnsi="Times New Roman" w:eastAsia="宋体" w:cs="Times New Roman"/>
      <w:sz w:val="24"/>
      <w:lang w:val="en-US" w:eastAsia="zh-CN" w:bidi="ar-SA"/>
    </w:rPr>
  </w:style>
  <w:style w:type="character" w:customStyle="1" w:styleId="79">
    <w:name w:val="正文首行缩进 2 字符"/>
    <w:basedOn w:val="67"/>
    <w:link w:val="41"/>
    <w:autoRedefine/>
    <w:qFormat/>
    <w:uiPriority w:val="0"/>
    <w:rPr>
      <w:rFonts w:eastAsia="宋体"/>
      <w:kern w:val="2"/>
      <w:sz w:val="24"/>
      <w:szCs w:val="24"/>
      <w:lang w:val="en-US" w:eastAsia="zh-CN" w:bidi="ar-SA"/>
    </w:rPr>
  </w:style>
  <w:style w:type="character" w:customStyle="1" w:styleId="80">
    <w:name w:val="c21"/>
    <w:autoRedefine/>
    <w:qFormat/>
    <w:uiPriority w:val="0"/>
    <w:rPr>
      <w:rFonts w:hint="default" w:ascii="ˎ̥" w:hAnsi="ˎ̥"/>
      <w:color w:val="000000"/>
      <w:sz w:val="20"/>
      <w:szCs w:val="20"/>
      <w:u w:val="none"/>
    </w:rPr>
  </w:style>
  <w:style w:type="character" w:customStyle="1" w:styleId="81">
    <w:name w:val="title4"/>
    <w:autoRedefine/>
    <w:qFormat/>
    <w:uiPriority w:val="0"/>
    <w:rPr>
      <w:b/>
      <w:bCs/>
      <w:color w:val="1D87B3"/>
      <w:sz w:val="15"/>
      <w:szCs w:val="15"/>
    </w:rPr>
  </w:style>
  <w:style w:type="character" w:customStyle="1" w:styleId="82">
    <w:name w:val="标题 2 Char Char"/>
    <w:autoRedefine/>
    <w:qFormat/>
    <w:uiPriority w:val="0"/>
    <w:rPr>
      <w:rFonts w:ascii="Arial" w:hAnsi="Arial" w:eastAsia="黑体"/>
      <w:b/>
      <w:bCs/>
      <w:kern w:val="2"/>
      <w:sz w:val="32"/>
      <w:szCs w:val="32"/>
      <w:lang w:val="en-US" w:eastAsia="zh-CN" w:bidi="ar-SA"/>
    </w:rPr>
  </w:style>
  <w:style w:type="character" w:customStyle="1" w:styleId="83">
    <w:name w:val="black1"/>
    <w:autoRedefine/>
    <w:qFormat/>
    <w:uiPriority w:val="0"/>
    <w:rPr>
      <w:color w:val="000000"/>
    </w:rPr>
  </w:style>
  <w:style w:type="character" w:customStyle="1" w:styleId="84">
    <w:name w:val="street-address"/>
    <w:basedOn w:val="45"/>
    <w:autoRedefine/>
    <w:qFormat/>
    <w:uiPriority w:val="0"/>
  </w:style>
  <w:style w:type="character" w:customStyle="1" w:styleId="85">
    <w:name w:val="locality"/>
    <w:basedOn w:val="45"/>
    <w:autoRedefine/>
    <w:qFormat/>
    <w:uiPriority w:val="0"/>
  </w:style>
  <w:style w:type="character" w:customStyle="1" w:styleId="86">
    <w:name w:val="正文文本缩进 Char1"/>
    <w:link w:val="87"/>
    <w:autoRedefine/>
    <w:qFormat/>
    <w:uiPriority w:val="0"/>
    <w:rPr>
      <w:rFonts w:ascii="宋体" w:hAnsi="宋体" w:eastAsia="宋体"/>
      <w:sz w:val="24"/>
      <w:szCs w:val="24"/>
      <w:lang w:bidi="ar-SA"/>
    </w:rPr>
  </w:style>
  <w:style w:type="paragraph" w:customStyle="1" w:styleId="87">
    <w:name w:val="正文文本缩进1"/>
    <w:basedOn w:val="1"/>
    <w:link w:val="86"/>
    <w:autoRedefine/>
    <w:qFormat/>
    <w:uiPriority w:val="0"/>
    <w:pPr>
      <w:spacing w:line="480" w:lineRule="exact"/>
      <w:ind w:firstLine="480" w:firstLineChars="200"/>
    </w:pPr>
    <w:rPr>
      <w:rFonts w:ascii="宋体" w:hAnsi="宋体"/>
      <w:kern w:val="0"/>
      <w:sz w:val="24"/>
    </w:rPr>
  </w:style>
  <w:style w:type="character" w:customStyle="1" w:styleId="88">
    <w:name w:val="Char Char11"/>
    <w:autoRedefine/>
    <w:qFormat/>
    <w:uiPriority w:val="0"/>
    <w:rPr>
      <w:rFonts w:ascii="宋体" w:eastAsia="宋体"/>
      <w:b/>
      <w:sz w:val="24"/>
      <w:u w:val="single"/>
      <w:lang w:val="en-US" w:eastAsia="zh-CN" w:bidi="ar-SA"/>
    </w:rPr>
  </w:style>
  <w:style w:type="character" w:customStyle="1" w:styleId="89">
    <w:name w:val="txt"/>
    <w:basedOn w:val="45"/>
    <w:autoRedefine/>
    <w:qFormat/>
    <w:uiPriority w:val="0"/>
  </w:style>
  <w:style w:type="character" w:customStyle="1" w:styleId="90">
    <w:name w:val="正文缩进 Char Char"/>
    <w:link w:val="91"/>
    <w:autoRedefine/>
    <w:qFormat/>
    <w:uiPriority w:val="0"/>
    <w:rPr>
      <w:rFonts w:ascii="宋体" w:eastAsia="宋体"/>
      <w:snapToGrid w:val="0"/>
      <w:color w:val="000000"/>
      <w:kern w:val="28"/>
      <w:sz w:val="28"/>
      <w:lang w:bidi="ar-SA"/>
    </w:rPr>
  </w:style>
  <w:style w:type="paragraph" w:customStyle="1" w:styleId="91">
    <w:name w:val="正文缩进1"/>
    <w:basedOn w:val="1"/>
    <w:link w:val="90"/>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autoRedefine/>
    <w:qFormat/>
    <w:uiPriority w:val="0"/>
    <w:rPr>
      <w:rFonts w:ascii="宋体" w:hAnsi="Courier New" w:eastAsia="宋体"/>
      <w:kern w:val="2"/>
      <w:sz w:val="21"/>
      <w:lang w:val="en-US" w:eastAsia="zh-CN" w:bidi="ar-SA"/>
    </w:rPr>
  </w:style>
  <w:style w:type="character" w:customStyle="1" w:styleId="93">
    <w:name w:val="chanpin1"/>
    <w:autoRedefine/>
    <w:qFormat/>
    <w:uiPriority w:val="0"/>
    <w:rPr>
      <w:rFonts w:hint="default" w:ascii="ˎ̥" w:hAnsi="ˎ̥"/>
      <w:color w:val="000000"/>
      <w:sz w:val="20"/>
      <w:szCs w:val="20"/>
      <w:u w:val="none"/>
    </w:rPr>
  </w:style>
  <w:style w:type="character" w:customStyle="1" w:styleId="94">
    <w:name w:val="列出段落 字符"/>
    <w:link w:val="95"/>
    <w:autoRedefine/>
    <w:qFormat/>
    <w:uiPriority w:val="34"/>
    <w:rPr>
      <w:rFonts w:ascii="Calibri" w:hAnsi="Calibri" w:eastAsia="宋体"/>
      <w:kern w:val="2"/>
      <w:sz w:val="21"/>
      <w:szCs w:val="22"/>
      <w:lang w:val="en-US" w:eastAsia="zh-CN" w:bidi="ar-SA"/>
    </w:rPr>
  </w:style>
  <w:style w:type="paragraph" w:styleId="95">
    <w:name w:val="List Paragraph"/>
    <w:basedOn w:val="1"/>
    <w:link w:val="94"/>
    <w:autoRedefine/>
    <w:qFormat/>
    <w:uiPriority w:val="34"/>
    <w:pPr>
      <w:ind w:firstLine="420" w:firstLineChars="200"/>
    </w:pPr>
    <w:rPr>
      <w:rFonts w:ascii="Calibri" w:hAnsi="Calibri"/>
      <w:szCs w:val="22"/>
    </w:rPr>
  </w:style>
  <w:style w:type="character" w:customStyle="1" w:styleId="96">
    <w:name w:val="标题 3 Char Char"/>
    <w:autoRedefine/>
    <w:qFormat/>
    <w:uiPriority w:val="0"/>
    <w:rPr>
      <w:rFonts w:eastAsia="宋体"/>
      <w:b/>
      <w:bCs/>
      <w:kern w:val="2"/>
      <w:sz w:val="32"/>
      <w:szCs w:val="32"/>
      <w:lang w:val="en-US" w:eastAsia="zh-CN" w:bidi="ar-SA"/>
    </w:rPr>
  </w:style>
  <w:style w:type="character" w:customStyle="1" w:styleId="97">
    <w:name w:val="段1 Char"/>
    <w:autoRedefine/>
    <w:qFormat/>
    <w:uiPriority w:val="0"/>
    <w:rPr>
      <w:rFonts w:ascii="宋体" w:eastAsia="宋体"/>
      <w:sz w:val="24"/>
      <w:lang w:val="en-US" w:eastAsia="zh-CN" w:bidi="ar-SA"/>
    </w:rPr>
  </w:style>
  <w:style w:type="character" w:customStyle="1" w:styleId="98">
    <w:name w:val="chanpin拷贝"/>
    <w:basedOn w:val="45"/>
    <w:autoRedefine/>
    <w:qFormat/>
    <w:uiPriority w:val="0"/>
  </w:style>
  <w:style w:type="character" w:customStyle="1" w:styleId="99">
    <w:name w:val="纯文本 Char1"/>
    <w:autoRedefine/>
    <w:qFormat/>
    <w:uiPriority w:val="0"/>
    <w:rPr>
      <w:rFonts w:ascii="宋体" w:hAnsi="Courier New" w:eastAsia="宋体"/>
      <w:kern w:val="2"/>
      <w:sz w:val="21"/>
      <w:lang w:val="en-US" w:eastAsia="zh-CN" w:bidi="ar-SA"/>
    </w:rPr>
  </w:style>
  <w:style w:type="character" w:customStyle="1" w:styleId="100">
    <w:name w:val="apple-style-span"/>
    <w:autoRedefine/>
    <w:qFormat/>
    <w:uiPriority w:val="0"/>
    <w:rPr>
      <w:rFonts w:cs="Times New Roman"/>
    </w:rPr>
  </w:style>
  <w:style w:type="paragraph" w:customStyle="1" w:styleId="101">
    <w:name w:val="二级条标题"/>
    <w:basedOn w:val="102"/>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autoRedefine/>
    <w:qFormat/>
    <w:uiPriority w:val="0"/>
    <w:pPr>
      <w:numPr>
        <w:ilvl w:val="1"/>
      </w:numPr>
      <w:tabs>
        <w:tab w:val="left" w:pos="360"/>
        <w:tab w:val="left" w:pos="840"/>
      </w:tabs>
      <w:ind w:left="0" w:hanging="840"/>
      <w:outlineLvl w:val="1"/>
    </w:pPr>
  </w:style>
  <w:style w:type="paragraph" w:customStyle="1" w:styleId="103">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autoRedefine/>
    <w:qFormat/>
    <w:uiPriority w:val="0"/>
    <w:rPr>
      <w:rFonts w:ascii="Tahoma" w:hAnsi="Tahoma"/>
      <w:sz w:val="24"/>
      <w:szCs w:val="20"/>
    </w:rPr>
  </w:style>
  <w:style w:type="paragraph" w:customStyle="1" w:styleId="106">
    <w:name w:val="Char3 Char Char Char"/>
    <w:basedOn w:val="1"/>
    <w:autoRedefine/>
    <w:qFormat/>
    <w:uiPriority w:val="0"/>
    <w:rPr>
      <w:rFonts w:ascii="Tahoma" w:hAnsi="Tahoma"/>
      <w:sz w:val="24"/>
      <w:szCs w:val="20"/>
    </w:rPr>
  </w:style>
  <w:style w:type="paragraph" w:customStyle="1" w:styleId="10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autoRedefine/>
    <w:qFormat/>
    <w:uiPriority w:val="0"/>
    <w:pPr>
      <w:numPr>
        <w:numId w:val="2"/>
      </w:numPr>
    </w:pPr>
  </w:style>
  <w:style w:type="paragraph" w:customStyle="1" w:styleId="109">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autoRedefine/>
    <w:qFormat/>
    <w:uiPriority w:val="0"/>
    <w:pPr>
      <w:adjustRightInd w:val="0"/>
      <w:snapToGrid w:val="0"/>
      <w:spacing w:line="0" w:lineRule="atLeast"/>
      <w:jc w:val="center"/>
    </w:pPr>
    <w:rPr>
      <w:sz w:val="24"/>
      <w:szCs w:val="20"/>
    </w:rPr>
  </w:style>
  <w:style w:type="paragraph" w:customStyle="1" w:styleId="111">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autoRedefine/>
    <w:qFormat/>
    <w:uiPriority w:val="0"/>
    <w:rPr>
      <w:rFonts w:ascii="Tahoma" w:hAnsi="Tahoma"/>
      <w:sz w:val="24"/>
      <w:szCs w:val="20"/>
    </w:rPr>
  </w:style>
  <w:style w:type="paragraph" w:customStyle="1" w:styleId="114">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autoRedefine/>
    <w:qFormat/>
    <w:uiPriority w:val="0"/>
    <w:pPr>
      <w:widowControl/>
      <w:spacing w:before="100" w:beforeAutospacing="1" w:after="100" w:afterAutospacing="1"/>
      <w:jc w:val="left"/>
    </w:pPr>
    <w:rPr>
      <w:kern w:val="0"/>
      <w:sz w:val="36"/>
      <w:szCs w:val="36"/>
    </w:rPr>
  </w:style>
  <w:style w:type="paragraph" w:customStyle="1" w:styleId="128">
    <w:name w:val="Char"/>
    <w:basedOn w:val="1"/>
    <w:autoRedefine/>
    <w:qFormat/>
    <w:uiPriority w:val="0"/>
    <w:pPr>
      <w:tabs>
        <w:tab w:val="left" w:pos="360"/>
      </w:tabs>
    </w:pPr>
    <w:rPr>
      <w:sz w:val="24"/>
    </w:rPr>
  </w:style>
  <w:style w:type="paragraph" w:customStyle="1" w:styleId="12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autoRedefine/>
    <w:qFormat/>
    <w:uiPriority w:val="0"/>
    <w:rPr>
      <w:rFonts w:ascii="Tahoma" w:hAnsi="Tahoma"/>
      <w:sz w:val="24"/>
    </w:rPr>
  </w:style>
  <w:style w:type="paragraph" w:customStyle="1" w:styleId="13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37">
    <w:name w:val="Char1 Char Char Char1"/>
    <w:basedOn w:val="1"/>
    <w:autoRedefine/>
    <w:qFormat/>
    <w:uiPriority w:val="0"/>
    <w:rPr>
      <w:rFonts w:ascii="Tahoma" w:hAnsi="Tahoma" w:cs="仿宋_GB2312"/>
      <w:sz w:val="24"/>
      <w:szCs w:val="28"/>
    </w:rPr>
  </w:style>
  <w:style w:type="paragraph" w:customStyle="1" w:styleId="138">
    <w:name w:val="四级条标题"/>
    <w:basedOn w:val="139"/>
    <w:next w:val="1"/>
    <w:autoRedefine/>
    <w:qFormat/>
    <w:uiPriority w:val="0"/>
    <w:pPr>
      <w:numPr>
        <w:ilvl w:val="4"/>
      </w:numPr>
      <w:tabs>
        <w:tab w:val="left" w:pos="360"/>
        <w:tab w:val="left" w:pos="840"/>
      </w:tabs>
      <w:ind w:left="0" w:hanging="840"/>
      <w:outlineLvl w:val="4"/>
    </w:pPr>
  </w:style>
  <w:style w:type="paragraph" w:customStyle="1" w:styleId="139">
    <w:name w:val="三级条标题"/>
    <w:basedOn w:val="101"/>
    <w:next w:val="1"/>
    <w:autoRedefine/>
    <w:qFormat/>
    <w:uiPriority w:val="0"/>
    <w:pPr>
      <w:numPr>
        <w:ilvl w:val="3"/>
        <w:numId w:val="1"/>
      </w:numPr>
      <w:ind w:left="0" w:hanging="840"/>
      <w:outlineLvl w:val="3"/>
    </w:pPr>
  </w:style>
  <w:style w:type="paragraph" w:customStyle="1" w:styleId="14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autoRedefine/>
    <w:qFormat/>
    <w:uiPriority w:val="0"/>
    <w:pPr>
      <w:ind w:firstLine="420" w:firstLineChars="200"/>
    </w:pPr>
    <w:rPr>
      <w:rFonts w:ascii="Calibri" w:hAnsi="Calibri"/>
      <w:szCs w:val="22"/>
    </w:rPr>
  </w:style>
  <w:style w:type="paragraph" w:customStyle="1" w:styleId="143">
    <w:name w:val="项目符号1"/>
    <w:basedOn w:val="144"/>
    <w:autoRedefine/>
    <w:qFormat/>
    <w:uiPriority w:val="0"/>
    <w:pPr>
      <w:ind w:left="-25" w:firstLine="0"/>
    </w:pPr>
  </w:style>
  <w:style w:type="paragraph" w:customStyle="1" w:styleId="144">
    <w:name w:val="正文文本样式"/>
    <w:basedOn w:val="1"/>
    <w:autoRedefine/>
    <w:qFormat/>
    <w:uiPriority w:val="0"/>
    <w:pPr>
      <w:spacing w:line="360" w:lineRule="auto"/>
      <w:ind w:firstLine="482"/>
    </w:pPr>
    <w:rPr>
      <w:rFonts w:cs="宋体"/>
      <w:sz w:val="24"/>
      <w:szCs w:val="20"/>
    </w:rPr>
  </w:style>
  <w:style w:type="paragraph" w:customStyle="1" w:styleId="14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autoRedefine/>
    <w:qFormat/>
    <w:uiPriority w:val="0"/>
    <w:pPr>
      <w:numPr>
        <w:ilvl w:val="5"/>
      </w:numPr>
      <w:ind w:left="0" w:hanging="840"/>
      <w:outlineLvl w:val="5"/>
    </w:pPr>
  </w:style>
  <w:style w:type="paragraph" w:customStyle="1" w:styleId="14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autoRedefine/>
    <w:qFormat/>
    <w:uiPriority w:val="0"/>
    <w:pPr>
      <w:snapToGrid w:val="0"/>
      <w:spacing w:before="120" w:after="120" w:line="180" w:lineRule="auto"/>
    </w:pPr>
    <w:rPr>
      <w:rFonts w:ascii="Arial" w:hAnsi="Arial"/>
      <w:szCs w:val="20"/>
    </w:rPr>
  </w:style>
  <w:style w:type="paragraph" w:customStyle="1" w:styleId="15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autoRedefine/>
    <w:qFormat/>
    <w:uiPriority w:val="0"/>
    <w:rPr>
      <w:rFonts w:ascii="Tahoma" w:hAnsi="Tahoma"/>
      <w:sz w:val="24"/>
      <w:szCs w:val="20"/>
    </w:rPr>
  </w:style>
  <w:style w:type="paragraph" w:customStyle="1" w:styleId="15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autoRedefine/>
    <w:qFormat/>
    <w:uiPriority w:val="0"/>
    <w:pPr>
      <w:numPr>
        <w:ilvl w:val="0"/>
        <w:numId w:val="5"/>
      </w:numPr>
      <w:spacing w:before="120"/>
    </w:pPr>
    <w:rPr>
      <w:rFonts w:ascii="宋体"/>
      <w:sz w:val="28"/>
      <w:szCs w:val="20"/>
    </w:rPr>
  </w:style>
  <w:style w:type="paragraph" w:customStyle="1" w:styleId="15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autoRedefine/>
    <w:qFormat/>
    <w:uiPriority w:val="0"/>
    <w:rPr>
      <w:rFonts w:ascii="Tahoma" w:hAnsi="Tahoma"/>
      <w:sz w:val="24"/>
      <w:szCs w:val="20"/>
    </w:rPr>
  </w:style>
  <w:style w:type="paragraph" w:customStyle="1" w:styleId="157">
    <w:name w:val="Char Char Char Char Char Char Char Char Char Char"/>
    <w:basedOn w:val="1"/>
    <w:autoRedefine/>
    <w:qFormat/>
    <w:uiPriority w:val="0"/>
  </w:style>
  <w:style w:type="paragraph" w:customStyle="1" w:styleId="158">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autoRedefine/>
    <w:qFormat/>
    <w:uiPriority w:val="0"/>
    <w:pPr>
      <w:tabs>
        <w:tab w:val="left" w:pos="360"/>
      </w:tabs>
    </w:pPr>
    <w:rPr>
      <w:sz w:val="24"/>
    </w:rPr>
  </w:style>
  <w:style w:type="paragraph" w:customStyle="1" w:styleId="160">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autoRedefine/>
    <w:qFormat/>
    <w:uiPriority w:val="0"/>
    <w:rPr>
      <w:rFonts w:ascii="Arial" w:hAnsi="Arial" w:cs="Arial"/>
      <w:szCs w:val="21"/>
    </w:rPr>
  </w:style>
  <w:style w:type="paragraph" w:customStyle="1" w:styleId="16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autoRedefine/>
    <w:qFormat/>
    <w:uiPriority w:val="0"/>
    <w:pPr>
      <w:autoSpaceDE w:val="0"/>
      <w:autoSpaceDN w:val="0"/>
      <w:adjustRightInd w:val="0"/>
      <w:jc w:val="left"/>
    </w:pPr>
    <w:rPr>
      <w:kern w:val="0"/>
      <w:sz w:val="24"/>
    </w:rPr>
  </w:style>
  <w:style w:type="paragraph" w:customStyle="1" w:styleId="170">
    <w:name w:val="Char Char Char1"/>
    <w:basedOn w:val="1"/>
    <w:autoRedefine/>
    <w:qFormat/>
    <w:uiPriority w:val="0"/>
    <w:rPr>
      <w:rFonts w:ascii="Tahoma" w:hAnsi="Tahoma"/>
      <w:sz w:val="24"/>
      <w:szCs w:val="20"/>
    </w:rPr>
  </w:style>
  <w:style w:type="paragraph" w:customStyle="1" w:styleId="17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2">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autoRedefine/>
    <w:qFormat/>
    <w:uiPriority w:val="0"/>
    <w:pPr>
      <w:spacing w:line="360" w:lineRule="auto"/>
      <w:jc w:val="center"/>
    </w:pPr>
    <w:rPr>
      <w:sz w:val="24"/>
    </w:rPr>
  </w:style>
  <w:style w:type="paragraph" w:customStyle="1" w:styleId="17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autoRedefine/>
    <w:qFormat/>
    <w:uiPriority w:val="0"/>
    <w:pPr>
      <w:widowControl/>
      <w:jc w:val="left"/>
    </w:pPr>
    <w:rPr>
      <w:rFonts w:ascii="楷体_GB2312" w:eastAsia="楷体_GB2312" w:cs="Arial"/>
      <w:kern w:val="0"/>
      <w:sz w:val="24"/>
    </w:rPr>
  </w:style>
  <w:style w:type="paragraph" w:customStyle="1" w:styleId="17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autoRedefine/>
    <w:qFormat/>
    <w:uiPriority w:val="0"/>
    <w:rPr>
      <w:rFonts w:ascii="Tahoma" w:hAnsi="Tahoma"/>
      <w:sz w:val="24"/>
      <w:szCs w:val="20"/>
    </w:rPr>
  </w:style>
  <w:style w:type="paragraph" w:customStyle="1" w:styleId="17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autoRedefine/>
    <w:qFormat/>
    <w:uiPriority w:val="0"/>
    <w:pPr>
      <w:ind w:firstLine="420" w:firstLineChars="200"/>
    </w:pPr>
    <w:rPr>
      <w:rFonts w:ascii="Calibri" w:hAnsi="Calibri"/>
      <w:szCs w:val="22"/>
    </w:rPr>
  </w:style>
  <w:style w:type="paragraph" w:customStyle="1" w:styleId="18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autoRedefine/>
    <w:qFormat/>
    <w:uiPriority w:val="0"/>
    <w:rPr>
      <w:rFonts w:ascii="Tahoma" w:hAnsi="Tahoma"/>
      <w:sz w:val="24"/>
      <w:szCs w:val="20"/>
    </w:rPr>
  </w:style>
  <w:style w:type="paragraph" w:customStyle="1" w:styleId="183">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autoRedefine/>
    <w:qFormat/>
    <w:uiPriority w:val="0"/>
    <w:pPr>
      <w:numPr>
        <w:ilvl w:val="0"/>
        <w:numId w:val="6"/>
      </w:numPr>
    </w:pPr>
  </w:style>
  <w:style w:type="paragraph" w:customStyle="1" w:styleId="185">
    <w:name w:val="Char21"/>
    <w:basedOn w:val="1"/>
    <w:autoRedefine/>
    <w:qFormat/>
    <w:uiPriority w:val="0"/>
    <w:rPr>
      <w:rFonts w:ascii="Tahoma" w:hAnsi="Tahoma"/>
      <w:sz w:val="24"/>
      <w:szCs w:val="20"/>
    </w:rPr>
  </w:style>
  <w:style w:type="paragraph" w:customStyle="1" w:styleId="186">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autoRedefine/>
    <w:qFormat/>
    <w:uiPriority w:val="0"/>
    <w:rPr>
      <w:rFonts w:ascii="宋体" w:hAnsi="宋体" w:cs="Courier New"/>
      <w:sz w:val="32"/>
      <w:szCs w:val="32"/>
    </w:rPr>
  </w:style>
  <w:style w:type="paragraph" w:customStyle="1" w:styleId="188">
    <w:name w:val="正文文本样式 加粗"/>
    <w:basedOn w:val="144"/>
    <w:autoRedefine/>
    <w:qFormat/>
    <w:uiPriority w:val="0"/>
    <w:rPr>
      <w:b/>
    </w:rPr>
  </w:style>
  <w:style w:type="paragraph" w:customStyle="1" w:styleId="189">
    <w:name w:val="Char2 Char Char Char Char Char Char"/>
    <w:basedOn w:val="1"/>
    <w:autoRedefine/>
    <w:qFormat/>
    <w:uiPriority w:val="0"/>
    <w:pPr>
      <w:widowControl/>
      <w:spacing w:line="400" w:lineRule="exact"/>
      <w:jc w:val="center"/>
    </w:pPr>
  </w:style>
  <w:style w:type="paragraph" w:customStyle="1" w:styleId="190">
    <w:name w:val="Char Char4"/>
    <w:basedOn w:val="1"/>
    <w:autoRedefine/>
    <w:qFormat/>
    <w:uiPriority w:val="0"/>
    <w:pPr>
      <w:widowControl/>
      <w:spacing w:line="400" w:lineRule="exact"/>
      <w:jc w:val="center"/>
    </w:pPr>
  </w:style>
  <w:style w:type="paragraph" w:customStyle="1" w:styleId="191">
    <w:name w:val="Char3 Char Char Char1"/>
    <w:basedOn w:val="1"/>
    <w:autoRedefine/>
    <w:qFormat/>
    <w:uiPriority w:val="0"/>
    <w:rPr>
      <w:rFonts w:ascii="Tahoma" w:hAnsi="Tahoma"/>
      <w:sz w:val="24"/>
      <w:szCs w:val="20"/>
    </w:rPr>
  </w:style>
  <w:style w:type="paragraph" w:styleId="192">
    <w:name w:val="No Spacing"/>
    <w:basedOn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autoRedefine/>
    <w:qFormat/>
    <w:uiPriority w:val="0"/>
    <w:rPr>
      <w:kern w:val="2"/>
      <w:sz w:val="21"/>
      <w:szCs w:val="24"/>
      <w:lang w:val="zh-CN" w:eastAsia="zh-CN"/>
    </w:rPr>
  </w:style>
  <w:style w:type="paragraph" w:customStyle="1" w:styleId="195">
    <w:name w:val="1"/>
    <w:link w:val="194"/>
    <w:autoRedefine/>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autoRedefine/>
    <w:qFormat/>
    <w:uiPriority w:val="0"/>
    <w:pPr>
      <w:adjustRightInd w:val="0"/>
      <w:snapToGrid w:val="0"/>
      <w:spacing w:after="50" w:line="360" w:lineRule="auto"/>
    </w:pPr>
    <w:rPr>
      <w:sz w:val="24"/>
    </w:rPr>
  </w:style>
  <w:style w:type="paragraph" w:customStyle="1" w:styleId="19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autoRedefine/>
    <w:qFormat/>
    <w:uiPriority w:val="0"/>
    <w:pPr>
      <w:adjustRightInd w:val="0"/>
      <w:snapToGrid w:val="0"/>
      <w:jc w:val="left"/>
    </w:pPr>
    <w:rPr>
      <w:rFonts w:ascii="宋体" w:hAnsi="宋体"/>
      <w:color w:val="000000"/>
      <w:szCs w:val="21"/>
    </w:rPr>
  </w:style>
  <w:style w:type="character" w:customStyle="1" w:styleId="199">
    <w:name w:val="正文表格 Char"/>
    <w:link w:val="198"/>
    <w:autoRedefine/>
    <w:qFormat/>
    <w:uiPriority w:val="0"/>
    <w:rPr>
      <w:rFonts w:ascii="宋体" w:hAnsi="宋体"/>
      <w:color w:val="000000"/>
      <w:kern w:val="2"/>
      <w:sz w:val="21"/>
      <w:szCs w:val="21"/>
    </w:rPr>
  </w:style>
  <w:style w:type="paragraph" w:customStyle="1" w:styleId="200">
    <w:name w:val="正文重点"/>
    <w:basedOn w:val="1"/>
    <w:link w:val="201"/>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autoRedefine/>
    <w:qFormat/>
    <w:uiPriority w:val="0"/>
    <w:rPr>
      <w:b/>
      <w:sz w:val="24"/>
    </w:rPr>
  </w:style>
  <w:style w:type="paragraph" w:customStyle="1" w:styleId="202">
    <w:name w:val="标题1-附件"/>
    <w:basedOn w:val="3"/>
    <w:autoRedefine/>
    <w:qFormat/>
    <w:uiPriority w:val="0"/>
    <w:pPr>
      <w:jc w:val="left"/>
    </w:pPr>
    <w:rPr>
      <w:sz w:val="24"/>
      <w:szCs w:val="24"/>
    </w:rPr>
  </w:style>
  <w:style w:type="paragraph" w:customStyle="1" w:styleId="203">
    <w:name w:val="正文小标题"/>
    <w:basedOn w:val="1"/>
    <w:next w:val="2"/>
    <w:link w:val="204"/>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autoRedefine/>
    <w:qFormat/>
    <w:uiPriority w:val="0"/>
    <w:rPr>
      <w:rFonts w:ascii="宋体" w:hAnsi="宋体"/>
      <w:b/>
      <w:i/>
      <w:color w:val="FF0000"/>
      <w:kern w:val="2"/>
      <w:sz w:val="24"/>
    </w:rPr>
  </w:style>
  <w:style w:type="paragraph" w:customStyle="1" w:styleId="205">
    <w:name w:val="正文大标题"/>
    <w:basedOn w:val="203"/>
    <w:next w:val="2"/>
    <w:link w:val="206"/>
    <w:autoRedefine/>
    <w:qFormat/>
    <w:uiPriority w:val="0"/>
    <w:pPr>
      <w:jc w:val="center"/>
    </w:pPr>
    <w:rPr>
      <w:i w:val="0"/>
      <w:color w:val="000000"/>
      <w:sz w:val="28"/>
      <w:szCs w:val="21"/>
    </w:rPr>
  </w:style>
  <w:style w:type="character" w:customStyle="1" w:styleId="206">
    <w:name w:val="正文大标题 Char"/>
    <w:link w:val="205"/>
    <w:autoRedefine/>
    <w:qFormat/>
    <w:uiPriority w:val="0"/>
    <w:rPr>
      <w:rFonts w:ascii="宋体" w:hAnsi="宋体"/>
      <w:b/>
      <w:color w:val="000000"/>
      <w:kern w:val="2"/>
      <w:sz w:val="28"/>
      <w:szCs w:val="21"/>
    </w:rPr>
  </w:style>
  <w:style w:type="paragraph" w:customStyle="1" w:styleId="207">
    <w:name w:val="注释"/>
    <w:basedOn w:val="1"/>
    <w:link w:val="208"/>
    <w:autoRedefine/>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autoRedefine/>
    <w:qFormat/>
    <w:uiPriority w:val="0"/>
    <w:rPr>
      <w:rFonts w:ascii="宋体" w:hAnsi="宋体"/>
      <w:kern w:val="2"/>
      <w:sz w:val="21"/>
      <w:szCs w:val="21"/>
    </w:rPr>
  </w:style>
  <w:style w:type="paragraph" w:customStyle="1" w:styleId="209">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3">
    <w:name w:val="表格1"/>
    <w:basedOn w:val="1"/>
    <w:autoRedefine/>
    <w:qFormat/>
    <w:uiPriority w:val="0"/>
    <w:pPr>
      <w:ind w:firstLine="480" w:firstLineChars="200"/>
      <w:jc w:val="center"/>
    </w:pPr>
    <w:rPr>
      <w:sz w:val="24"/>
      <w:szCs w:val="20"/>
    </w:rPr>
  </w:style>
  <w:style w:type="character" w:customStyle="1" w:styleId="214">
    <w:name w:val="纯文本 字符1"/>
    <w:autoRedefine/>
    <w:qFormat/>
    <w:uiPriority w:val="0"/>
    <w:rPr>
      <w:rFonts w:ascii="宋体" w:hAnsi="Courier New"/>
    </w:rPr>
  </w:style>
  <w:style w:type="character" w:customStyle="1" w:styleId="215">
    <w:name w:val="bjh-p"/>
    <w:autoRedefine/>
    <w:qFormat/>
    <w:uiPriority w:val="0"/>
  </w:style>
  <w:style w:type="paragraph" w:customStyle="1" w:styleId="216">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autoRedefine/>
    <w:qFormat/>
    <w:locked/>
    <w:uiPriority w:val="0"/>
    <w:rPr>
      <w:rFonts w:ascii="宋体" w:hAnsi="宋体"/>
      <w:sz w:val="24"/>
      <w:szCs w:val="24"/>
      <w:lang w:val="en-GB"/>
    </w:rPr>
  </w:style>
  <w:style w:type="paragraph" w:customStyle="1" w:styleId="218">
    <w:name w:val="正文格式"/>
    <w:basedOn w:val="1"/>
    <w:link w:val="217"/>
    <w:autoRedefine/>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autoRedefine/>
    <w:qFormat/>
    <w:uiPriority w:val="0"/>
    <w:rPr>
      <w:rFonts w:ascii="宋体" w:eastAsia="宋体"/>
      <w:b/>
      <w:sz w:val="24"/>
      <w:u w:val="single"/>
      <w:lang w:val="en-US" w:eastAsia="zh-CN" w:bidi="ar-SA"/>
    </w:rPr>
  </w:style>
  <w:style w:type="character" w:customStyle="1" w:styleId="220">
    <w:name w:val="正文缩进 Char"/>
    <w:autoRedefine/>
    <w:qFormat/>
    <w:uiPriority w:val="0"/>
    <w:rPr>
      <w:rFonts w:ascii="宋体" w:eastAsia="宋体"/>
      <w:kern w:val="2"/>
      <w:sz w:val="24"/>
      <w:szCs w:val="24"/>
      <w:lang w:val="en-US" w:eastAsia="zh-CN" w:bidi="ar-SA"/>
    </w:rPr>
  </w:style>
  <w:style w:type="character" w:customStyle="1" w:styleId="221">
    <w:name w:val="Char Char111"/>
    <w:autoRedefine/>
    <w:qFormat/>
    <w:uiPriority w:val="0"/>
    <w:rPr>
      <w:rFonts w:ascii="宋体" w:eastAsia="宋体"/>
      <w:b/>
      <w:sz w:val="24"/>
      <w:u w:val="single"/>
      <w:lang w:val="en-US" w:eastAsia="zh-CN" w:bidi="ar-SA"/>
    </w:rPr>
  </w:style>
  <w:style w:type="character" w:customStyle="1" w:styleId="222">
    <w:name w:val="正文文本缩进 Char"/>
    <w:autoRedefine/>
    <w:qFormat/>
    <w:uiPriority w:val="0"/>
    <w:rPr>
      <w:rFonts w:eastAsia="宋体"/>
      <w:kern w:val="2"/>
      <w:sz w:val="24"/>
      <w:szCs w:val="24"/>
      <w:lang w:val="en-US" w:eastAsia="zh-CN" w:bidi="ar-SA"/>
    </w:rPr>
  </w:style>
  <w:style w:type="character" w:customStyle="1" w:styleId="223">
    <w:name w:val="列出段落 Char"/>
    <w:autoRedefine/>
    <w:qFormat/>
    <w:uiPriority w:val="0"/>
    <w:rPr>
      <w:rFonts w:ascii="Calibri" w:hAnsi="Calibri" w:eastAsia="宋体"/>
      <w:kern w:val="2"/>
      <w:sz w:val="21"/>
      <w:szCs w:val="22"/>
      <w:lang w:val="en-US" w:eastAsia="zh-CN" w:bidi="ar-SA"/>
    </w:rPr>
  </w:style>
  <w:style w:type="character" w:customStyle="1" w:styleId="224">
    <w:name w:val="页眉 Char"/>
    <w:autoRedefine/>
    <w:qFormat/>
    <w:uiPriority w:val="0"/>
    <w:rPr>
      <w:rFonts w:eastAsia="宋体"/>
      <w:kern w:val="2"/>
      <w:sz w:val="18"/>
      <w:szCs w:val="18"/>
      <w:lang w:val="en-US" w:eastAsia="zh-CN" w:bidi="ar-SA"/>
    </w:rPr>
  </w:style>
  <w:style w:type="character" w:customStyle="1" w:styleId="225">
    <w:name w:val="标题 2 Char"/>
    <w:autoRedefine/>
    <w:qFormat/>
    <w:uiPriority w:val="0"/>
    <w:rPr>
      <w:rFonts w:ascii="Arial" w:hAnsi="Arial" w:eastAsia="黑体"/>
      <w:b/>
      <w:sz w:val="30"/>
      <w:lang w:val="en-US" w:eastAsia="zh-CN" w:bidi="ar-SA"/>
    </w:rPr>
  </w:style>
  <w:style w:type="paragraph" w:customStyle="1" w:styleId="226">
    <w:name w:val="字元 字元2"/>
    <w:basedOn w:val="1"/>
    <w:autoRedefine/>
    <w:qFormat/>
    <w:uiPriority w:val="0"/>
    <w:rPr>
      <w:rFonts w:ascii="Tahoma" w:hAnsi="Tahoma"/>
      <w:sz w:val="24"/>
      <w:szCs w:val="20"/>
    </w:rPr>
  </w:style>
  <w:style w:type="paragraph" w:customStyle="1" w:styleId="227">
    <w:name w:val="Char3 Char Char Char2"/>
    <w:basedOn w:val="1"/>
    <w:autoRedefine/>
    <w:qFormat/>
    <w:uiPriority w:val="0"/>
    <w:rPr>
      <w:rFonts w:ascii="Tahoma" w:hAnsi="Tahoma"/>
      <w:sz w:val="24"/>
      <w:szCs w:val="20"/>
    </w:rPr>
  </w:style>
  <w:style w:type="paragraph" w:customStyle="1" w:styleId="228">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autoRedefine/>
    <w:qFormat/>
    <w:uiPriority w:val="0"/>
    <w:pPr>
      <w:tabs>
        <w:tab w:val="left" w:pos="360"/>
      </w:tabs>
    </w:pPr>
    <w:rPr>
      <w:sz w:val="24"/>
    </w:rPr>
  </w:style>
  <w:style w:type="paragraph" w:customStyle="1" w:styleId="230">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autoRedefine/>
    <w:qFormat/>
    <w:uiPriority w:val="0"/>
    <w:pPr>
      <w:ind w:firstLine="420" w:firstLineChars="200"/>
    </w:pPr>
    <w:rPr>
      <w:rFonts w:ascii="Calibri" w:hAnsi="Calibri"/>
      <w:szCs w:val="22"/>
    </w:rPr>
  </w:style>
  <w:style w:type="paragraph" w:customStyle="1" w:styleId="233">
    <w:name w:val="Char Char Char1 Char2"/>
    <w:basedOn w:val="1"/>
    <w:autoRedefine/>
    <w:qFormat/>
    <w:uiPriority w:val="0"/>
    <w:rPr>
      <w:rFonts w:ascii="Tahoma" w:hAnsi="Tahoma"/>
      <w:sz w:val="24"/>
      <w:szCs w:val="20"/>
    </w:rPr>
  </w:style>
  <w:style w:type="paragraph" w:customStyle="1" w:styleId="234">
    <w:name w:val="Char Char Char2"/>
    <w:basedOn w:val="1"/>
    <w:autoRedefine/>
    <w:qFormat/>
    <w:uiPriority w:val="0"/>
    <w:rPr>
      <w:rFonts w:ascii="Tahoma" w:hAnsi="Tahoma"/>
      <w:sz w:val="24"/>
      <w:szCs w:val="20"/>
    </w:rPr>
  </w:style>
  <w:style w:type="paragraph" w:customStyle="1" w:styleId="235">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6">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autoRedefine/>
    <w:qFormat/>
    <w:uiPriority w:val="0"/>
    <w:rPr>
      <w:rFonts w:ascii="Tahoma" w:hAnsi="Tahoma"/>
      <w:sz w:val="24"/>
      <w:szCs w:val="20"/>
    </w:rPr>
  </w:style>
  <w:style w:type="paragraph" w:customStyle="1" w:styleId="239">
    <w:name w:val="Char Char Char Char Char Char Char Char Char Char2"/>
    <w:basedOn w:val="1"/>
    <w:autoRedefine/>
    <w:qFormat/>
    <w:uiPriority w:val="0"/>
    <w:rPr>
      <w:rFonts w:ascii="宋体" w:hAnsi="宋体" w:cs="Courier New"/>
      <w:sz w:val="32"/>
      <w:szCs w:val="32"/>
    </w:rPr>
  </w:style>
  <w:style w:type="paragraph" w:customStyle="1" w:styleId="240">
    <w:name w:val="Char2 Char Char Char Char Char Char1"/>
    <w:basedOn w:val="1"/>
    <w:autoRedefine/>
    <w:qFormat/>
    <w:uiPriority w:val="0"/>
    <w:pPr>
      <w:widowControl/>
      <w:spacing w:line="400" w:lineRule="exact"/>
      <w:jc w:val="center"/>
    </w:pPr>
  </w:style>
  <w:style w:type="character" w:customStyle="1" w:styleId="241">
    <w:name w:val="页脚 Char"/>
    <w:autoRedefine/>
    <w:qFormat/>
    <w:uiPriority w:val="0"/>
    <w:rPr>
      <w:rFonts w:ascii="宋体" w:eastAsia="宋体"/>
      <w:sz w:val="18"/>
      <w:lang w:val="en-US" w:eastAsia="zh-CN" w:bidi="ar-SA"/>
    </w:rPr>
  </w:style>
  <w:style w:type="paragraph" w:customStyle="1" w:styleId="242">
    <w:name w:val="Char Char41"/>
    <w:basedOn w:val="1"/>
    <w:autoRedefine/>
    <w:qFormat/>
    <w:uiPriority w:val="0"/>
    <w:pPr>
      <w:widowControl/>
      <w:spacing w:line="400" w:lineRule="exact"/>
      <w:jc w:val="center"/>
    </w:pPr>
  </w:style>
  <w:style w:type="character" w:customStyle="1" w:styleId="243">
    <w:name w:val="批注文字 Char"/>
    <w:autoRedefine/>
    <w:qFormat/>
    <w:uiPriority w:val="99"/>
    <w:rPr>
      <w:kern w:val="2"/>
      <w:sz w:val="21"/>
      <w:szCs w:val="24"/>
    </w:rPr>
  </w:style>
  <w:style w:type="character" w:customStyle="1" w:styleId="244">
    <w:name w:val="标题 Char"/>
    <w:autoRedefine/>
    <w:qFormat/>
    <w:uiPriority w:val="0"/>
    <w:rPr>
      <w:b/>
      <w:kern w:val="2"/>
      <w:sz w:val="32"/>
    </w:rPr>
  </w:style>
  <w:style w:type="paragraph" w:customStyle="1" w:styleId="245">
    <w:name w:val="图例"/>
    <w:basedOn w:val="1"/>
    <w:autoRedefine/>
    <w:qFormat/>
    <w:uiPriority w:val="0"/>
    <w:pPr>
      <w:spacing w:before="120" w:after="120" w:line="360" w:lineRule="auto"/>
      <w:jc w:val="center"/>
    </w:pPr>
    <w:rPr>
      <w:rFonts w:eastAsia="仿宋_GB2312"/>
      <w:b/>
      <w:sz w:val="24"/>
      <w:szCs w:val="20"/>
    </w:rPr>
  </w:style>
  <w:style w:type="table" w:customStyle="1" w:styleId="246">
    <w:name w:val="Table Normal"/>
    <w:autoRedefine/>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47">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4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纯文本1"/>
    <w:basedOn w:val="1"/>
    <w:autoRedefine/>
    <w:qFormat/>
    <w:uiPriority w:val="0"/>
    <w:rPr>
      <w:rFonts w:ascii="宋体" w:hAnsi="Courier New" w:eastAsia="宋体" w:cs="Times New Roman"/>
      <w:szCs w:val="22"/>
    </w:rPr>
  </w:style>
  <w:style w:type="character" w:customStyle="1" w:styleId="251">
    <w:name w:val="样式 仿宋"/>
    <w:autoRedefine/>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140</Pages>
  <Words>5681</Words>
  <Characters>6194</Characters>
  <Lines>217</Lines>
  <Paragraphs>61</Paragraphs>
  <TotalTime>3</TotalTime>
  <ScaleCrop>false</ScaleCrop>
  <LinksUpToDate>false</LinksUpToDate>
  <CharactersWithSpaces>6373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Administrator</cp:lastModifiedBy>
  <cp:lastPrinted>2023-08-07T09:54:00Z</cp:lastPrinted>
  <dcterms:modified xsi:type="dcterms:W3CDTF">2024-12-09T04:07:49Z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B3F6D26F37334CDCAF76F1C3BA3D1743_13</vt:lpwstr>
  </property>
</Properties>
</file>