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 w:hAnsi="仿宋" w:eastAsia="仿宋" w:cs="仿宋"/>
          <w:color w:val="auto"/>
          <w:sz w:val="44"/>
          <w:szCs w:val="44"/>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color w:val="auto"/>
          <w:sz w:val="44"/>
          <w:szCs w:val="44"/>
          <w:lang w:val="en-US" w:eastAsia="zh-CN"/>
        </w:rPr>
        <w:t>阿瓦提县中等职业技术学校采购供用电技术专业实训基地项目</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项目编号：AWT-ZFCG-2025（GK）-004号 </w:t>
      </w:r>
      <w:r>
        <w:rPr>
          <w:rFonts w:hint="eastAsia" w:ascii="仿宋_GB2312" w:hAnsi="仿宋_GB2312" w:eastAsia="仿宋_GB2312" w:cs="仿宋_GB2312"/>
          <w:color w:val="auto"/>
          <w:sz w:val="36"/>
          <w:szCs w:val="32"/>
          <w:lang w:eastAsia="zh-CN"/>
        </w:rPr>
        <w:t>）</w:t>
      </w: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阿瓦提县中等职业技术学校</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2</w:t>
      </w:r>
      <w:r>
        <w:rPr>
          <w:rFonts w:hint="eastAsia" w:ascii="仿宋_GB2312" w:hAnsi="仿宋_GB2312" w:eastAsia="仿宋_GB2312" w:cs="仿宋_GB2312"/>
          <w:spacing w:val="40"/>
          <w:kern w:val="0"/>
          <w:sz w:val="32"/>
          <w:szCs w:val="32"/>
        </w:rPr>
        <w:t>月</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pPr>
        <w:jc w:val="both"/>
        <w:rPr>
          <w:rFonts w:hint="default"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pPr>
        <w:spacing w:line="700" w:lineRule="exact"/>
        <w:rPr>
          <w:rFonts w:hint="eastAsia" w:ascii="仿宋_GB2312" w:hAnsi="仿宋_GB2312" w:eastAsia="仿宋_GB2312" w:cs="仿宋_GB2312"/>
          <w:sz w:val="32"/>
        </w:rPr>
      </w:pPr>
    </w:p>
    <w:p>
      <w:pPr>
        <w:pStyle w:val="7"/>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pPr>
        <w:pStyle w:val="16"/>
        <w:ind w:left="560" w:firstLine="560"/>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pPr>
        <w:pStyle w:val="6"/>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pPr>
        <w:spacing w:line="400" w:lineRule="exact"/>
        <w:rPr>
          <w:rFonts w:hint="eastAsia" w:ascii="仿宋_GB2312" w:hAnsi="仿宋_GB2312" w:eastAsia="仿宋_GB2312" w:cs="仿宋_GB2312"/>
          <w:b/>
          <w:sz w:val="32"/>
        </w:rPr>
      </w:pPr>
    </w:p>
    <w:p>
      <w:pPr>
        <w:pStyle w:val="7"/>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both"/>
        <w:rPr>
          <w:rFonts w:hint="eastAsia" w:ascii="仿宋_GB2312" w:eastAsia="仿宋_GB2312" w:cs="Arial"/>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0" w:name="OLE_LINK2"/>
      <w:r>
        <w:rPr>
          <w:rFonts w:hint="eastAsia" w:ascii="仿宋_GB2312" w:hAnsi="仿宋_GB2312" w:eastAsia="仿宋_GB2312" w:cs="仿宋_GB2312"/>
          <w:b/>
          <w:color w:val="000000"/>
          <w:sz w:val="36"/>
          <w:szCs w:val="36"/>
        </w:rPr>
        <w:t xml:space="preserve"> </w:t>
      </w:r>
      <w:bookmarkStart w:id="1" w:name="OLE_LINK5"/>
      <w:bookmarkStart w:id="2" w:name="OLE_LINK1"/>
      <w:r>
        <w:rPr>
          <w:rFonts w:hint="eastAsia" w:ascii="仿宋_GB2312" w:hAnsi="仿宋_GB2312" w:eastAsia="仿宋_GB2312" w:cs="仿宋_GB2312"/>
          <w:b/>
          <w:sz w:val="36"/>
          <w:szCs w:val="36"/>
        </w:rPr>
        <w:t>招标公告</w:t>
      </w:r>
    </w:p>
    <w:p>
      <w:pPr>
        <w:pStyle w:val="4"/>
        <w:keepNext w:val="0"/>
        <w:keepLines w:val="0"/>
        <w:pageBreakBefore w:val="0"/>
        <w:kinsoku/>
        <w:overflowPunct/>
        <w:topLinePunct w:val="0"/>
        <w:bidi w:val="0"/>
        <w:spacing w:line="500" w:lineRule="exact"/>
        <w:textAlignment w:val="auto"/>
        <w:rPr>
          <w:rFonts w:hint="eastAsia" w:ascii="仿宋_GB2312" w:hAnsi="仿宋_GB2312" w:eastAsia="仿宋_GB2312" w:cs="仿宋_GB2312"/>
        </w:rPr>
      </w:pPr>
    </w:p>
    <w:bookmarkEnd w:id="0"/>
    <w:bookmarkEnd w:id="1"/>
    <w:bookmarkEnd w:id="2"/>
    <w:p>
      <w:pPr>
        <w:pStyle w:val="20"/>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u w:val="single"/>
          <w:lang w:val="en-US" w:eastAsia="zh-CN"/>
        </w:rPr>
        <w:t>阿瓦提县中等职业技术学校采购供用电技术专业实训基地项目</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3</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17</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16</w:t>
      </w:r>
      <w:r>
        <w:rPr>
          <w:rFonts w:hint="eastAsia" w:ascii="仿宋_GB2312" w:hAnsi="仿宋_GB2312" w:eastAsia="仿宋_GB2312" w:cs="仿宋_GB2312"/>
          <w:color w:val="auto"/>
          <w:kern w:val="2"/>
          <w:sz w:val="28"/>
          <w:szCs w:val="28"/>
          <w:highlight w:val="none"/>
          <w:u w:val="single"/>
        </w:rPr>
        <w:t>:</w:t>
      </w:r>
      <w:r>
        <w:rPr>
          <w:rFonts w:hint="eastAsia" w:ascii="仿宋_GB2312" w:hAnsi="仿宋_GB2312" w:eastAsia="仿宋_GB2312" w:cs="仿宋_GB2312"/>
          <w:color w:val="auto"/>
          <w:kern w:val="2"/>
          <w:sz w:val="28"/>
          <w:szCs w:val="28"/>
          <w:highlight w:val="none"/>
          <w:u w:val="single"/>
          <w:lang w:val="en-US" w:eastAsia="zh-CN"/>
        </w:rPr>
        <w:t>00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bookmarkStart w:id="3" w:name="_Toc28359002"/>
      <w:bookmarkStart w:id="4" w:name="_Toc35393621"/>
      <w:bookmarkStart w:id="5" w:name="_Toc28359079"/>
      <w:bookmarkStart w:id="6" w:name="_Toc35393790"/>
      <w:r>
        <w:rPr>
          <w:rFonts w:hint="eastAsia" w:ascii="黑体" w:hAnsi="黑体" w:eastAsia="黑体" w:cs="黑体"/>
          <w:b w:val="0"/>
          <w:bCs w:val="0"/>
          <w:color w:val="auto"/>
          <w:sz w:val="30"/>
          <w:szCs w:val="30"/>
          <w:highlight w:val="none"/>
        </w:rPr>
        <w:t>一、项目基本情况</w:t>
      </w:r>
    </w:p>
    <w:bookmarkEnd w:id="3"/>
    <w:bookmarkEnd w:id="4"/>
    <w:bookmarkEnd w:id="5"/>
    <w:bookmarkEnd w:id="6"/>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04</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阿瓦提县中等职业技术学校采购供用电技术专业实训基地项目</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3800000</w:t>
      </w:r>
      <w:r>
        <w:rPr>
          <w:rFonts w:hint="eastAsia" w:ascii="仿宋_GB2312" w:hAnsi="仿宋_GB2312" w:eastAsia="仿宋_GB2312" w:cs="仿宋_GB2312"/>
          <w:color w:val="auto"/>
          <w:sz w:val="28"/>
          <w:szCs w:val="28"/>
          <w:highlight w:val="none"/>
        </w:rPr>
        <w:t>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pPr>
        <w:keepNext w:val="0"/>
        <w:keepLines w:val="0"/>
        <w:pageBreakBefore w:val="0"/>
        <w:kinsoku/>
        <w:overflowPunct/>
        <w:topLinePunct w:val="0"/>
        <w:bidi w:val="0"/>
        <w:snapToGrid w:val="0"/>
        <w:spacing w:line="500" w:lineRule="exact"/>
        <w:ind w:firstLine="562" w:firstLineChars="200"/>
        <w:textAlignment w:val="auto"/>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b/>
          <w:bCs/>
          <w:color w:val="auto"/>
          <w:sz w:val="28"/>
          <w:szCs w:val="28"/>
          <w:highlight w:val="none"/>
          <w:u w:val="single"/>
          <w:lang w:val="en-US" w:eastAsia="zh-CN"/>
        </w:rPr>
        <w:t>自合同签订之日起40日历天</w:t>
      </w:r>
      <w:r>
        <w:rPr>
          <w:rFonts w:hint="eastAsia" w:ascii="仿宋_GB2312" w:hAnsi="仿宋_GB2312" w:eastAsia="仿宋_GB2312" w:cs="仿宋_GB2312"/>
          <w:b/>
          <w:bCs/>
          <w:color w:val="auto"/>
          <w:sz w:val="28"/>
          <w:szCs w:val="28"/>
          <w:highlight w:val="none"/>
          <w:u w:val="singl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）《国务院办公厅关于建立政府强制采购节能产品制度的通知》（国办发〔2007〕51号）。根据《政府采购促进中小企业发展管理办法》（财库〔2020〕46号）要求，本项目</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不专门面向中小企业，</w:t>
      </w:r>
      <w:r>
        <w:rPr>
          <w:rFonts w:hint="eastAsia" w:ascii="仿宋_GB2312" w:hAnsi="仿宋_GB2312" w:eastAsia="仿宋_GB2312" w:cs="仿宋_GB2312"/>
          <w:b/>
          <w:bCs/>
          <w:color w:val="000000"/>
          <w:spacing w:val="0"/>
          <w:kern w:val="2"/>
          <w:sz w:val="28"/>
          <w:szCs w:val="28"/>
          <w:highlight w:val="none"/>
          <w:u w:val="none"/>
          <w:lang w:val="en-US" w:eastAsia="zh-CN" w:bidi="ar-SA"/>
        </w:rPr>
        <w:t>给予符合政策的小微企业10%的价格扣除</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 </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需提供身份证明及身份证、投标企业</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授权委托人参与开标全过程的，参加的授权委托人提供附有</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2022年-2023年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highlight w:val="none"/>
          <w:lang w:val="en-US" w:eastAsia="zh-CN"/>
        </w:rPr>
        <w:t>、授权委托人近三个月盖有社保局公章的社保缴纳证明（退休人员提供退休证）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（5）根据《政府采购促进中小企业发展管理办法》（财库〔2020〕46号）要求，供应商如需可上传《中小企业声明函》（模板详见招标文件）。</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：2025年3月3日至2025年3月7日（法定节假日除外）。</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截止时间：20</w:t>
      </w:r>
      <w:r>
        <w:rPr>
          <w:rFonts w:hint="eastAsia" w:ascii="仿宋_GB2312" w:hAnsi="仿宋_GB2312" w:eastAsia="仿宋_GB2312" w:cs="仿宋_GB2312"/>
          <w:color w:val="auto"/>
          <w:sz w:val="28"/>
          <w:szCs w:val="28"/>
          <w:highlight w:val="none"/>
          <w:lang w:val="en-US" w:eastAsia="zh-CN"/>
        </w:rPr>
        <w:t>25年3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pPr>
        <w:pStyle w:val="4"/>
        <w:keepNext w:val="0"/>
        <w:keepLines w:val="0"/>
        <w:pageBreakBefore w:val="0"/>
        <w:kinsoku/>
        <w:overflowPunct/>
        <w:topLinePunct w:val="0"/>
        <w:bidi w:val="0"/>
        <w:spacing w:line="500" w:lineRule="exact"/>
        <w:ind w:firstLine="640"/>
        <w:jc w:val="both"/>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w:t>
      </w:r>
      <w:r>
        <w:rPr>
          <w:rFonts w:hint="eastAsia" w:ascii="仿宋_GB2312" w:hAnsi="仿宋_GB2312" w:eastAsia="仿宋_GB2312" w:cs="仿宋_GB2312"/>
          <w:color w:val="auto"/>
          <w:sz w:val="28"/>
          <w:szCs w:val="28"/>
          <w:highlight w:val="none"/>
          <w:lang w:val="en-US" w:eastAsia="zh-CN"/>
        </w:rPr>
        <w:t>25年3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pPr>
        <w:pStyle w:val="4"/>
        <w:keepNext w:val="0"/>
        <w:keepLines w:val="0"/>
        <w:pageBreakBefore w:val="0"/>
        <w:kinsoku/>
        <w:overflowPunct/>
        <w:topLinePunct w:val="0"/>
        <w:bidi w:val="0"/>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pPr>
        <w:pStyle w:val="7"/>
        <w:keepNext w:val="0"/>
        <w:keepLines w:val="0"/>
        <w:pageBreakBefore w:val="0"/>
        <w:kinsoku/>
        <w:overflowPunct/>
        <w:topLinePunct w:val="0"/>
        <w:bidi w:val="0"/>
        <w:spacing w:after="0"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w:t>
      </w:r>
      <w:bookmarkStart w:id="29" w:name="_GoBack"/>
      <w:bookmarkEnd w:id="29"/>
      <w:r>
        <w:rPr>
          <w:rFonts w:hint="eastAsia" w:ascii="仿宋_GB2312" w:hAnsi="仿宋_GB2312" w:eastAsia="仿宋_GB2312" w:cs="仿宋_GB2312"/>
          <w:color w:val="auto"/>
          <w:sz w:val="28"/>
          <w:szCs w:val="28"/>
        </w:rPr>
        <w:t>资料的真实性，以使其对货物（服务）参数作出实质性响应。否则，视为不响应招标文件，将拒绝其投标。开标时，投标人对招标公告要求提供的资质证明文件缺项或不真实，将拒绝其投标。</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pPr>
        <w:pStyle w:val="14"/>
        <w:keepNext w:val="0"/>
        <w:keepLines w:val="0"/>
        <w:pageBreakBefore w:val="0"/>
        <w:kinsoku/>
        <w:overflowPunct/>
        <w:topLinePunct w:val="0"/>
        <w:bidi w:val="0"/>
        <w:spacing w:before="0" w:beforeAutospacing="0" w:after="0" w:afterAutospacing="0" w:line="50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中等职业技术学校</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：阿瓦提县拜什艾日克镇工业园区</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pStyle w:val="4"/>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spacing w:line="360" w:lineRule="auto"/>
        <w:jc w:val="both"/>
        <w:rPr>
          <w:rFonts w:hint="eastAsia" w:ascii="仿宋_GB2312" w:hAnsi="仿宋_GB2312" w:eastAsia="仿宋_GB2312" w:cs="仿宋_GB2312"/>
          <w:b/>
          <w:color w:val="000000"/>
          <w:sz w:val="36"/>
          <w:szCs w:val="36"/>
        </w:rPr>
      </w:pPr>
    </w:p>
    <w:p>
      <w:pPr>
        <w:pStyle w:val="16"/>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6"/>
          <w:szCs w:val="36"/>
        </w:rPr>
        <w:br w:type="page"/>
      </w:r>
      <w:r>
        <w:rPr>
          <w:rFonts w:hint="eastAsia" w:ascii="仿宋_GB2312" w:hAnsi="仿宋_GB2312" w:eastAsia="仿宋_GB2312" w:cs="仿宋_GB2312"/>
          <w:b/>
          <w:color w:val="000000"/>
          <w:sz w:val="36"/>
          <w:szCs w:val="36"/>
        </w:rPr>
        <w:t>第二部分 投标须知</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7" w:name="_Toc239047318"/>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7"/>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质疑书的递交应当采取当面递交的形式。</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8" w:name="_Toc239047319"/>
      <w:r>
        <w:rPr>
          <w:rFonts w:hint="eastAsia" w:ascii="仿宋_GB2312" w:hAnsi="仿宋_GB2312" w:eastAsia="仿宋_GB2312" w:cs="仿宋_GB2312"/>
          <w:b w:val="0"/>
          <w:bCs w:val="0"/>
          <w:sz w:val="28"/>
          <w:szCs w:val="28"/>
        </w:rPr>
        <w:t>6.2 对招标文件的澄清和质疑</w:t>
      </w:r>
      <w:bookmarkEnd w:id="8"/>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分支机构负责人）或授权投标人（必须为法定代表人（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分支机构负责人）授权进行该项目投标的被授权人）以书面形式向招标人递交澄清或质疑函(原件)，并登记备案。澄清或质疑函须由法定代表人（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澄清函应说明需要澄清的内容，质疑函除应说明需要质疑的内容外，还应提供能够证明质疑内容的相关书面印证材料。澄清或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分支机构负责人）递交澄清或质疑函时，提供法定代表人（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分支机构负责人）身份证复印件；由授权投标人递交澄清或质疑函时，还须提供法定代表人（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阿瓦提县中等职业技术学校采购供用电技术专业实训基地项目</w:t>
      </w:r>
      <w:r>
        <w:rPr>
          <w:rFonts w:hint="eastAsia" w:ascii="仿宋_GB2312" w:hAnsi="仿宋_GB2312" w:eastAsia="仿宋_GB2312" w:cs="仿宋_GB2312"/>
          <w:b/>
          <w:bCs/>
          <w:sz w:val="28"/>
          <w:szCs w:val="28"/>
        </w:rPr>
        <w:t>澄清或质疑使用”</w:t>
      </w:r>
      <w:r>
        <w:rPr>
          <w:rFonts w:hint="eastAsia" w:ascii="仿宋_GB2312" w:hAnsi="仿宋_GB2312" w:eastAsia="仿宋_GB2312" w:cs="仿宋_GB2312"/>
          <w:sz w:val="28"/>
          <w:szCs w:val="28"/>
        </w:rPr>
        <w:t>字样，并由身份证持有人签字确认。上述资料均须加盖公章。</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9" w:name="_Toc239047320"/>
      <w:r>
        <w:rPr>
          <w:rFonts w:hint="eastAsia" w:ascii="仿宋_GB2312" w:hAnsi="仿宋_GB2312" w:eastAsia="仿宋_GB2312" w:cs="仿宋_GB2312"/>
          <w:b w:val="0"/>
          <w:bCs w:val="0"/>
          <w:sz w:val="28"/>
          <w:szCs w:val="28"/>
        </w:rPr>
        <w:t xml:space="preserve">6.3 </w:t>
      </w:r>
      <w:bookmarkEnd w:id="9"/>
      <w:r>
        <w:rPr>
          <w:rFonts w:hint="eastAsia" w:ascii="仿宋_GB2312" w:hAnsi="仿宋_GB2312" w:eastAsia="仿宋_GB2312" w:cs="仿宋_GB2312"/>
          <w:b w:val="0"/>
          <w:bCs w:val="0"/>
          <w:sz w:val="28"/>
          <w:szCs w:val="28"/>
        </w:rPr>
        <w:t>对招标项目质疑的答复</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分支机构负责人）或授权投标人以书面形式向招标人递交质疑函（原件），并登记备案。质疑函须由法定代表人（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分支机构负责人）亲笔签名，除应说明需要质疑的内容外，还应提供能够证明质疑内容的相关书面印证材料。质疑函应内容真实，理由充分，不得进行恶意质疑。由法定代表人（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分支机构负责人）递交质疑函时，须提供法定代表人（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阿瓦提县中等职业技术学校采购供用电技术专业实训基地项目</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0" w:name="_Toc239047321"/>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0"/>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pPr>
        <w:adjustRightInd w:val="0"/>
        <w:spacing w:line="480" w:lineRule="exact"/>
        <w:ind w:firstLine="560" w:firstLineChars="200"/>
        <w:rPr>
          <w:rFonts w:hint="eastAsia" w:ascii="仿宋_GB2312" w:hAnsi="仿宋_GB2312" w:eastAsia="仿宋_GB2312" w:cs="仿宋_GB2312"/>
          <w:sz w:val="28"/>
          <w:szCs w:val="28"/>
        </w:rPr>
      </w:pPr>
      <w:bookmarkStart w:id="11" w:name="_Toc239047322"/>
      <w:r>
        <w:rPr>
          <w:rFonts w:hint="eastAsia" w:ascii="仿宋_GB2312" w:hAnsi="仿宋_GB2312" w:eastAsia="仿宋_GB2312" w:cs="仿宋_GB2312"/>
          <w:sz w:val="28"/>
          <w:szCs w:val="28"/>
        </w:rPr>
        <w:t>6.5 其</w:t>
      </w:r>
      <w:bookmarkEnd w:id="11"/>
      <w:r>
        <w:rPr>
          <w:rFonts w:hint="eastAsia" w:ascii="仿宋_GB2312" w:hAnsi="仿宋_GB2312" w:eastAsia="仿宋_GB2312" w:cs="仿宋_GB2312"/>
          <w:sz w:val="28"/>
          <w:szCs w:val="28"/>
        </w:rPr>
        <w:t>它</w:t>
      </w:r>
    </w:p>
    <w:p>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pPr>
        <w:spacing w:line="480" w:lineRule="exact"/>
        <w:ind w:firstLine="560"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pPr>
        <w:spacing w:line="480" w:lineRule="exact"/>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lang w:val="en-US" w:eastAsia="zh-CN"/>
        </w:rPr>
        <w:t>、授权委托人近三个月盖有社保局公章的社保缴纳证明（退休人员提供退休证）等材料的原件扫描件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pPr>
        <w:tabs>
          <w:tab w:val="left" w:pos="0"/>
        </w:tabs>
        <w:spacing w:line="48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本项目投入管理及从业人员配备情况表</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4）应急预案及突发事件的处理措施；</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5）质量保证方案；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（6）售后服务保障；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（7）安装验收方案；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（8）产品配件服务供应方案；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（9）培训方案；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）投标人认为需要提供的其他文件或证书。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pPr>
        <w:spacing w:line="480" w:lineRule="exact"/>
        <w:ind w:firstLine="562" w:firstLineChars="200"/>
        <w:rPr>
          <w:rFonts w:hint="eastAsia" w:ascii="仿宋_GB2312" w:hAnsi="仿宋_GB2312" w:eastAsia="仿宋_GB2312" w:cs="仿宋_GB2312"/>
          <w:b/>
          <w:color w:val="000000"/>
          <w:sz w:val="28"/>
          <w:szCs w:val="28"/>
          <w:highlight w:val="none"/>
          <w:lang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p>
    <w:p>
      <w:pPr>
        <w:spacing w:line="480" w:lineRule="exact"/>
        <w:ind w:firstLine="562" w:firstLineChars="200"/>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lang w:val="en-US" w:eastAsia="zh-CN"/>
        </w:rPr>
        <w:t>14.1</w:t>
      </w:r>
    </w:p>
    <w:tbl>
      <w:tblPr>
        <w:tblStyle w:val="18"/>
        <w:tblW w:w="1078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1170"/>
        <w:gridCol w:w="1215"/>
        <w:gridCol w:w="1335"/>
        <w:gridCol w:w="1320"/>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1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50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170" w:type="dxa"/>
            <w:noWrap w:val="0"/>
            <w:vAlign w:val="top"/>
          </w:tcPr>
          <w:p>
            <w:pPr>
              <w:spacing w:line="4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投标保证金金额（元）</w:t>
            </w:r>
          </w:p>
        </w:tc>
        <w:tc>
          <w:tcPr>
            <w:tcW w:w="121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开户银行</w:t>
            </w:r>
          </w:p>
        </w:tc>
        <w:tc>
          <w:tcPr>
            <w:tcW w:w="133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收款户名</w:t>
            </w:r>
          </w:p>
        </w:tc>
        <w:tc>
          <w:tcPr>
            <w:tcW w:w="132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收款账号</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交付方式</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投标保证金截止时间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10" w:type="dxa"/>
            <w:noWrap w:val="0"/>
            <w:vAlign w:val="top"/>
          </w:tcPr>
          <w:p>
            <w:pPr>
              <w:spacing w:line="480" w:lineRule="exact"/>
              <w:jc w:val="both"/>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color w:val="000000"/>
                <w:sz w:val="24"/>
                <w:szCs w:val="24"/>
                <w:lang w:val="en-US" w:eastAsia="zh-CN"/>
              </w:rPr>
              <w:t xml:space="preserve"> 1</w:t>
            </w:r>
          </w:p>
        </w:tc>
        <w:tc>
          <w:tcPr>
            <w:tcW w:w="1500" w:type="dxa"/>
            <w:noWrap w:val="0"/>
            <w:vAlign w:val="top"/>
          </w:tcPr>
          <w:p>
            <w:pPr>
              <w:spacing w:line="480" w:lineRule="exact"/>
              <w:jc w:val="both"/>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vertAlign w:val="baseline"/>
                <w:lang w:eastAsia="zh-CN"/>
              </w:rPr>
              <w:t>阿瓦提县中等职业技术学校采购供用电技术专业实训基地项目</w:t>
            </w:r>
          </w:p>
        </w:tc>
        <w:tc>
          <w:tcPr>
            <w:tcW w:w="1170" w:type="dxa"/>
            <w:noWrap w:val="0"/>
            <w:vAlign w:val="top"/>
          </w:tcPr>
          <w:p>
            <w:pPr>
              <w:spacing w:line="480" w:lineRule="exact"/>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38000</w:t>
            </w:r>
          </w:p>
        </w:tc>
        <w:tc>
          <w:tcPr>
            <w:tcW w:w="121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中国农业银行阿瓦提县支行营业部</w:t>
            </w:r>
          </w:p>
        </w:tc>
        <w:tc>
          <w:tcPr>
            <w:tcW w:w="133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阿瓦提县政务服务和公共资源交易中心</w:t>
            </w:r>
          </w:p>
        </w:tc>
        <w:tc>
          <w:tcPr>
            <w:tcW w:w="1320"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30400201040010381</w:t>
            </w: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应当以支票、汇票、本票或者金融机构、担保机构出具的保函等非现金形式提交。投标人未按照招标文件要求提交保证金的，</w:t>
            </w:r>
            <w:r>
              <w:rPr>
                <w:rFonts w:hint="eastAsia" w:ascii="仿宋_GB2312" w:hAnsi="仿宋_GB2312" w:eastAsia="仿宋_GB2312" w:cs="仿宋_GB2312"/>
                <w:b/>
                <w:bCs/>
                <w:sz w:val="24"/>
                <w:szCs w:val="24"/>
                <w:vertAlign w:val="baseline"/>
                <w:lang w:val="en-US" w:eastAsia="zh-CN"/>
              </w:rPr>
              <w:t>投标无效。</w:t>
            </w:r>
          </w:p>
          <w:p>
            <w:pPr>
              <w:spacing w:line="480" w:lineRule="exact"/>
              <w:rPr>
                <w:rFonts w:hint="eastAsia" w:ascii="仿宋_GB2312" w:hAnsi="仿宋_GB2312" w:eastAsia="仿宋_GB2312" w:cs="仿宋_GB2312"/>
                <w:b/>
                <w:bCs/>
                <w:sz w:val="24"/>
                <w:szCs w:val="24"/>
                <w:vertAlign w:val="baseline"/>
                <w:lang w:val="en-US" w:eastAsia="zh-CN"/>
              </w:rPr>
            </w:pP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同递交投标文件截止时间（以到账时间为准）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780" w:type="dxa"/>
            <w:gridSpan w:val="8"/>
            <w:noWrap w:val="0"/>
            <w:vAlign w:val="top"/>
          </w:tcPr>
          <w:p>
            <w:pPr>
              <w:widowControl/>
              <w:wordWrap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保证金以支票形式递交的，须提前递交到阿瓦提县政务服务和公共资源交易中心财务室（地址：新疆阿克苏地区阿瓦提县政务服务和公共资源交易中心311室，联系人及电话：热比艳木·乌力亚尔，13279095557），且保证于保证金递交截止时间前到账，并承担支票退票等情况带来的一切后果；使用支票、本票或汇票形式提交保证金的需提供中国人民银行颁发的《基本银行账户开户证明》原件（或复印件）扫描件。2.</w:t>
            </w:r>
            <w:r>
              <w:rPr>
                <w:rFonts w:hint="eastAsia" w:ascii="仿宋_GB2312" w:hAnsi="仿宋_GB2312" w:eastAsia="仿宋_GB2312" w:cs="仿宋_GB2312"/>
                <w:b w:val="0"/>
                <w:bCs w:val="0"/>
                <w:sz w:val="24"/>
                <w:szCs w:val="24"/>
                <w:lang w:eastAsia="zh-CN"/>
              </w:rPr>
              <w:t>供应商制作投标文件时，</w:t>
            </w:r>
            <w:r>
              <w:rPr>
                <w:rFonts w:hint="eastAsia" w:ascii="仿宋_GB2312" w:hAnsi="仿宋_GB2312" w:eastAsia="仿宋_GB2312" w:cs="仿宋_GB2312"/>
                <w:b/>
                <w:bCs/>
                <w:sz w:val="24"/>
                <w:szCs w:val="24"/>
                <w:lang w:eastAsia="zh-CN"/>
              </w:rPr>
              <w:t>须将保证金缴纳凭证</w:t>
            </w:r>
            <w:r>
              <w:rPr>
                <w:rFonts w:hint="eastAsia" w:ascii="仿宋_GB2312" w:hAnsi="仿宋_GB2312" w:eastAsia="仿宋_GB2312" w:cs="仿宋_GB2312"/>
                <w:b/>
                <w:bCs/>
                <w:sz w:val="24"/>
                <w:szCs w:val="24"/>
                <w:lang w:val="en-US" w:eastAsia="zh-CN"/>
              </w:rPr>
              <w:t>原件扫描件</w:t>
            </w:r>
            <w:r>
              <w:rPr>
                <w:rFonts w:hint="eastAsia" w:ascii="仿宋_GB2312" w:hAnsi="仿宋_GB2312" w:eastAsia="仿宋_GB2312" w:cs="仿宋_GB2312"/>
                <w:b/>
                <w:bCs/>
                <w:sz w:val="24"/>
                <w:szCs w:val="24"/>
                <w:lang w:eastAsia="zh-CN"/>
              </w:rPr>
              <w:t>编制到响应文件中提交，</w:t>
            </w: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注明</w:t>
            </w:r>
            <w:r>
              <w:rPr>
                <w:rFonts w:hint="eastAsia" w:ascii="仿宋_GB2312" w:hAnsi="仿宋_GB2312" w:eastAsia="仿宋_GB2312" w:cs="仿宋_GB2312"/>
                <w:sz w:val="24"/>
                <w:szCs w:val="24"/>
                <w:lang w:eastAsia="zh-CN"/>
              </w:rPr>
              <w:t>投标或响应</w:t>
            </w:r>
            <w:r>
              <w:rPr>
                <w:rFonts w:hint="eastAsia" w:ascii="仿宋_GB2312" w:hAnsi="仿宋_GB2312" w:eastAsia="仿宋_GB2312" w:cs="仿宋_GB2312"/>
                <w:sz w:val="24"/>
                <w:szCs w:val="24"/>
              </w:rPr>
              <w:t>保证金项目名称</w:t>
            </w:r>
            <w:r>
              <w:rPr>
                <w:rFonts w:hint="eastAsia" w:ascii="仿宋_GB2312" w:hAnsi="仿宋_GB2312" w:eastAsia="仿宋_GB2312" w:cs="仿宋_GB2312"/>
                <w:sz w:val="24"/>
                <w:szCs w:val="24"/>
                <w:lang w:eastAsia="zh-CN"/>
              </w:rPr>
              <w:t>，未注明</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的不作废标处理。重新开展采购活动的项目，若供应商告知</w:t>
            </w:r>
            <w:r>
              <w:rPr>
                <w:rFonts w:hint="eastAsia" w:ascii="仿宋_GB2312" w:hAnsi="仿宋_GB2312" w:eastAsia="仿宋_GB2312" w:cs="仿宋_GB2312"/>
                <w:sz w:val="24"/>
                <w:szCs w:val="24"/>
                <w:lang w:val="en-US" w:eastAsia="zh-CN"/>
              </w:rPr>
              <w:t>代理机构</w:t>
            </w:r>
            <w:r>
              <w:rPr>
                <w:rFonts w:hint="eastAsia" w:ascii="仿宋_GB2312" w:hAnsi="仿宋_GB2312" w:eastAsia="仿宋_GB2312" w:cs="仿宋_GB2312"/>
                <w:sz w:val="24"/>
                <w:szCs w:val="24"/>
                <w:lang w:eastAsia="zh-CN"/>
              </w:rPr>
              <w:t>再次进行投标或响应的，未退还的投标或响应</w:t>
            </w: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CN"/>
              </w:rPr>
              <w:t>则自动转为新项目的投标保证金</w:t>
            </w:r>
            <w:r>
              <w:rPr>
                <w:rFonts w:hint="eastAsia" w:ascii="仿宋_GB2312" w:hAnsi="仿宋_GB2312" w:eastAsia="仿宋_GB2312" w:cs="仿宋_GB2312"/>
                <w:sz w:val="24"/>
                <w:szCs w:val="24"/>
              </w:rPr>
              <w:t>。</w:t>
            </w:r>
          </w:p>
        </w:tc>
      </w:tr>
    </w:tbl>
    <w:p>
      <w:pPr>
        <w:spacing w:line="480" w:lineRule="exact"/>
        <w:rPr>
          <w:rFonts w:hint="eastAsia" w:ascii="仿宋_GB2312" w:hAnsi="仿宋_GB2312" w:eastAsia="仿宋_GB2312" w:cs="仿宋_GB2312"/>
          <w:b/>
          <w:bCs/>
        </w:rPr>
      </w:pPr>
    </w:p>
    <w:p>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中标人在招标结果公告发布后，应主动与采购单位联系，及时签订合同，并持双方签订合同的原件及复印件到</w:t>
      </w:r>
      <w:r>
        <w:rPr>
          <w:rFonts w:hint="eastAsia" w:ascii="仿宋_GB2312" w:hAnsi="仿宋_GB2312" w:eastAsia="仿宋_GB2312" w:cs="仿宋_GB2312"/>
          <w:b/>
          <w:bCs/>
          <w:sz w:val="28"/>
          <w:szCs w:val="28"/>
          <w:lang w:val="en-US" w:eastAsia="zh-CN"/>
        </w:rPr>
        <w:t>阿瓦提县政务服务和公共资源交易中心</w:t>
      </w:r>
      <w:r>
        <w:rPr>
          <w:rFonts w:hint="eastAsia" w:ascii="仿宋_GB2312" w:hAnsi="仿宋_GB2312" w:eastAsia="仿宋_GB2312" w:cs="仿宋_GB2312"/>
          <w:b/>
          <w:sz w:val="28"/>
          <w:szCs w:val="28"/>
        </w:rPr>
        <w:t>办理退还投标保证金票据。</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pPr>
        <w:spacing w:line="480" w:lineRule="exact"/>
        <w:jc w:val="both"/>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（四）投标文件的递交</w:t>
      </w:r>
    </w:p>
    <w:p>
      <w:pPr>
        <w:pStyle w:val="4"/>
        <w:spacing w:line="480" w:lineRule="exact"/>
        <w:rPr>
          <w:rFonts w:hint="eastAsia" w:ascii="仿宋_GB2312" w:hAnsi="仿宋_GB2312" w:eastAsia="仿宋_GB2312" w:cs="仿宋_GB2312"/>
          <w:sz w:val="28"/>
          <w:szCs w:val="28"/>
        </w:rPr>
      </w:pP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pPr>
        <w:spacing w:line="480" w:lineRule="exact"/>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outlineLvl w:val="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2"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2"/>
    </w:p>
    <w:p>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16"/>
        <w:gridCol w:w="701"/>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bookmarkStart w:id="13" w:name="OLE_LINK3"/>
            <w:r>
              <w:rPr>
                <w:rFonts w:hint="eastAsia" w:ascii="仿宋_GB2312" w:hAnsi="仿宋_GB2312" w:eastAsia="仿宋_GB2312" w:cs="仿宋_GB2312"/>
                <w:b/>
                <w:bCs w:val="0"/>
                <w:sz w:val="21"/>
                <w:szCs w:val="21"/>
                <w:highlight w:val="none"/>
              </w:rPr>
              <w:t>序号</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bidi="ar"/>
              </w:rPr>
              <w:t>报价部分（</w:t>
            </w:r>
            <w:r>
              <w:rPr>
                <w:rFonts w:hint="eastAsia" w:ascii="仿宋_GB2312" w:hAnsi="仿宋_GB2312" w:eastAsia="仿宋_GB2312" w:cs="仿宋_GB2312"/>
                <w:b/>
                <w:color w:val="000000"/>
                <w:sz w:val="24"/>
                <w:szCs w:val="24"/>
                <w:highlight w:val="none"/>
                <w:shd w:val="clear" w:color="auto" w:fill="FFFFFF"/>
                <w:lang w:val="en-US" w:eastAsia="zh-CN" w:bidi="ar"/>
              </w:rPr>
              <w:t>30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采购需求中标带“▲”项为重要技术参数，全部满足无偏离或正偏离的得20分，每1项不满足扣2分，扣完为止。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供货方案</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提供完整可行的供货实施方案(①运输方案，②安全管理制度，③质量保证措 施，④产品包装措施，⑤安装调试方案，⑥供货时间节点，⑦服务质量措施， ⑧配送安全保障措施等，针对以上 8 项内容进行评审，逐项打分，每项 2.5 分， 共 20 分：每缺一项的扣 2.5 分每有一项内容有缺陷或不符合项目需求的扣0.5-2分，直至扣完为止，未提供不得分。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pPr>
              <w:pStyle w:val="21"/>
              <w:spacing w:before="65" w:line="232" w:lineRule="auto"/>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应急预案及突发事件的处理措施</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noWrap w:val="0"/>
            <w:vAlign w:val="top"/>
          </w:tcPr>
          <w:p>
            <w:pPr>
              <w:pStyle w:val="21"/>
              <w:spacing w:before="53" w:line="278" w:lineRule="auto"/>
              <w:ind w:right="37"/>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针对本项目提供有优质的质量保证措施方案并提供相关服务及承诺的得 5 分；提供质量保证措施方案，但方案简单，存在缺漏项得0.5-4 分；未提供质量保证措施方案、服务承诺得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针对本项目制定的详细售后服务方案：</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①售后服务承诺和保障措施；②项目机构设置；③售后人员安排、响应时间； ④售后服务体系；⑤售后服务网点。上述 5 项内容，描述详细明确完全符合项目需求的得 5 分，每缺一项的扣 1 分，每有一项内容有缺陷或不符合项目需求的扣0.5-1 分，直至扣完为止，未提供不得分。</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针对本项目制定安装验收方案：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①配送车辆安排；②货物到指定地点的时间；③能承诺按用户要求配送到指定地点；④安装人员安排；⑤安装实施方案。针对以上5 项内容进行评审，逐项打分，每项1分， 共5分：每缺一项的扣 1分，每有一项内容有缺陷或不符合项目需求的扣0.5-1分，直至扣完为止，未提供不得分。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8</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1.针对各投标人提供产品配件的库存充裕且种类齐全，能够及时满足使用单位产品配件更换需求，并提供相关服务及承诺的得2分；未提供服务承诺得 0 分。 2.承诺在质保期内免费更换并安装配件得3分，没有配件或不免费更换并安装的不得分。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内容详细全面。上述5项内容，描述详细明确完全符合项目需求的得5分，每缺一项的扣1分，每有一项内容有缺陷或不符合项目需求的扣0.5-1分，直至扣完为止，未提供不得分。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bookmarkEnd w:id="13"/>
    </w:tbl>
    <w:p>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w:t>
      </w:r>
      <w:r>
        <w:rPr>
          <w:rFonts w:hint="eastAsia" w:ascii="仿宋_GB2312" w:hAnsi="仿宋_GB2312" w:eastAsia="仿宋_GB2312" w:cs="仿宋_GB2312"/>
          <w:color w:val="auto"/>
          <w:kern w:val="2"/>
          <w:sz w:val="28"/>
          <w:szCs w:val="28"/>
          <w:lang w:val="en-US" w:eastAsia="zh-CN" w:bidi="ar-SA"/>
        </w:rPr>
        <w:t>如</w:t>
      </w:r>
      <w:r>
        <w:rPr>
          <w:rFonts w:hint="eastAsia" w:ascii="仿宋_GB2312" w:hAnsi="仿宋_GB2312" w:eastAsia="仿宋_GB2312" w:cs="仿宋_GB2312"/>
          <w:color w:val="auto"/>
          <w:kern w:val="2"/>
          <w:sz w:val="28"/>
          <w:szCs w:val="28"/>
          <w:lang w:val="zh-CN" w:eastAsia="zh-CN" w:bidi="ar-SA"/>
        </w:rPr>
        <w:t>需</w:t>
      </w:r>
      <w:r>
        <w:rPr>
          <w:rFonts w:hint="eastAsia" w:ascii="仿宋_GB2312" w:hAnsi="仿宋_GB2312" w:eastAsia="仿宋_GB2312" w:cs="仿宋_GB2312"/>
          <w:color w:val="auto"/>
          <w:kern w:val="2"/>
          <w:sz w:val="28"/>
          <w:szCs w:val="28"/>
          <w:lang w:val="en-US" w:eastAsia="zh-CN" w:bidi="ar-SA"/>
        </w:rPr>
        <w:t>请</w:t>
      </w:r>
      <w:r>
        <w:rPr>
          <w:rFonts w:hint="eastAsia" w:ascii="仿宋_GB2312" w:hAnsi="仿宋_GB2312" w:eastAsia="仿宋_GB2312" w:cs="仿宋_GB2312"/>
          <w:color w:val="auto"/>
          <w:kern w:val="2"/>
          <w:sz w:val="28"/>
          <w:szCs w:val="28"/>
          <w:lang w:val="zh-CN" w:eastAsia="zh-CN" w:bidi="ar-SA"/>
        </w:rPr>
        <w:t>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pPr>
        <w:numPr>
          <w:ilvl w:val="0"/>
          <w:numId w:val="0"/>
        </w:numPr>
        <w:snapToGrid w:val="0"/>
        <w:spacing w:line="50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lang w:val="zh-CN" w:eastAsia="zh-CN"/>
        </w:rPr>
        <w:t>本项目</w:t>
      </w:r>
      <w:r>
        <w:rPr>
          <w:rFonts w:hint="eastAsia" w:ascii="仿宋_GB2312" w:hAnsi="仿宋_GB2312" w:eastAsia="仿宋_GB2312" w:cs="仿宋_GB2312"/>
          <w:color w:val="000000"/>
          <w:sz w:val="28"/>
          <w:szCs w:val="28"/>
          <w:shd w:val="clear" w:color="auto" w:fill="FFFFFF"/>
          <w:lang w:val="en-US" w:eastAsia="zh-CN"/>
        </w:rPr>
        <w:t>不专门面向中小企业，给予符合政策的小微企业10%的价格扣除</w:t>
      </w:r>
      <w:r>
        <w:rPr>
          <w:rFonts w:hint="eastAsia" w:ascii="仿宋_GB2312" w:hAnsi="仿宋_GB2312" w:eastAsia="仿宋_GB2312" w:cs="仿宋_GB2312"/>
          <w:color w:val="000000"/>
          <w:sz w:val="28"/>
          <w:szCs w:val="28"/>
          <w:shd w:val="clear" w:color="auto" w:fill="FFFFFF"/>
          <w:lang w:val="zh-CN" w:eastAsia="zh-CN"/>
        </w:rPr>
        <w:t>。</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.2 如中标人未按招标文件规定的时间、地点与采购人签订合同，则按违约处理，并没收其全部投标保证金。</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招标结束后，如发现投标产品瑕疵应作废标处理的未被及时发现，由招标人向同级政府采购监管部门提起废标处理意见，监管部门批准后采取相应的补救措施。</w:t>
      </w:r>
    </w:p>
    <w:p>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pPr>
        <w:spacing w:line="360" w:lineRule="auto"/>
        <w:jc w:val="center"/>
        <w:rPr>
          <w:rFonts w:hint="eastAsia" w:ascii="仿宋_GB2312" w:hAnsi="仿宋_GB2312" w:eastAsia="仿宋_GB2312" w:cs="仿宋_GB2312"/>
          <w:b/>
          <w:bCs/>
          <w:sz w:val="16"/>
          <w:szCs w:val="16"/>
        </w:rPr>
      </w:pPr>
      <w:bookmarkStart w:id="14" w:name="_Toc228245828"/>
      <w:r>
        <w:rPr>
          <w:rFonts w:hint="eastAsia" w:ascii="仿宋_GB2312" w:hAnsi="仿宋_GB2312" w:eastAsia="仿宋_GB2312" w:cs="仿宋_GB2312"/>
          <w:b/>
          <w:color w:val="000000"/>
          <w:sz w:val="36"/>
          <w:szCs w:val="36"/>
        </w:rPr>
        <w:t>第三部分 采购需求说明</w:t>
      </w:r>
      <w:bookmarkEnd w:id="14"/>
      <w:bookmarkStart w:id="15" w:name="_Toc48"/>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p>
      <w:pPr>
        <w:pStyle w:val="16"/>
        <w:ind w:left="0" w:leftChars="0" w:firstLine="720" w:firstLineChars="200"/>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详见附件清单。</w:t>
      </w:r>
    </w:p>
    <w:p>
      <w:pPr>
        <w:pStyle w:val="16"/>
        <w:ind w:left="0" w:leftChars="0"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仿宋_GB2312" w:hAnsi="仿宋_GB2312" w:eastAsia="仿宋_GB2312" w:cs="仿宋_GB2312"/>
          <w:b w:val="0"/>
          <w:bCs w:val="0"/>
          <w:kern w:val="2"/>
          <w:sz w:val="28"/>
          <w:szCs w:val="28"/>
          <w:highlight w:val="none"/>
          <w:lang w:val="en-US" w:eastAsia="zh-CN" w:bidi="ar-SA"/>
        </w:rPr>
        <w:t>可编程控制器系统应用实训考核装置</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w:t>
      </w:r>
    </w:p>
    <w:p>
      <w:pPr>
        <w:keepNext w:val="0"/>
        <w:keepLines w:val="0"/>
        <w:widowControl/>
        <w:suppressLineNumbers w:val="0"/>
        <w:jc w:val="left"/>
        <w:rPr>
          <w:rFonts w:hint="default" w:ascii="仿宋_GB2312" w:hAnsi="仿宋_GB2312" w:eastAsia="仿宋_GB2312" w:cs="仿宋_GB2312"/>
          <w:b/>
          <w:bCs/>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标的所属行业：</w:t>
      </w:r>
      <w:r>
        <w:rPr>
          <w:rFonts w:hint="eastAsia" w:ascii="仿宋_GB2312" w:hAnsi="仿宋_GB2312" w:eastAsia="仿宋_GB2312" w:cs="仿宋_GB2312"/>
          <w:b w:val="0"/>
          <w:bCs w:val="0"/>
          <w:sz w:val="28"/>
          <w:szCs w:val="28"/>
          <w:highlight w:val="none"/>
          <w:lang w:val="en-US" w:eastAsia="zh-CN"/>
        </w:rPr>
        <w:t>本项目</w:t>
      </w:r>
      <w:r>
        <w:rPr>
          <w:rFonts w:hint="eastAsia" w:ascii="仿宋_GB2312" w:hAnsi="仿宋_GB2312" w:eastAsia="仿宋_GB2312" w:cs="仿宋_GB2312"/>
          <w:b w:val="0"/>
          <w:bCs w:val="0"/>
          <w:sz w:val="28"/>
          <w:szCs w:val="28"/>
          <w:lang w:val="en-US" w:eastAsia="zh-CN"/>
        </w:rPr>
        <w:t>采购标的对应的中小企业划分标准所属行业：</w:t>
      </w:r>
      <w:r>
        <w:rPr>
          <w:rFonts w:hint="eastAsia" w:ascii="仿宋_GB2312" w:hAnsi="仿宋_GB2312" w:eastAsia="仿宋_GB2312" w:cs="仿宋_GB2312"/>
          <w:b/>
          <w:bCs/>
          <w:sz w:val="28"/>
          <w:szCs w:val="28"/>
          <w:lang w:val="en-US" w:eastAsia="zh-CN"/>
        </w:rPr>
        <w:t xml:space="preserve"> 工业</w:t>
      </w:r>
    </w:p>
    <w:p>
      <w:pPr>
        <w:spacing w:line="44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098"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交货期或完工期</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09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28"/>
                <w:szCs w:val="28"/>
                <w:highlight w:val="none"/>
                <w:vertAlign w:val="baseline"/>
                <w:lang w:val="en-US" w:eastAsia="zh-CN"/>
              </w:rPr>
            </w:pPr>
            <w:bookmarkStart w:id="16" w:name="OLE_LINK4"/>
            <w:r>
              <w:rPr>
                <w:rFonts w:hint="eastAsia" w:ascii="仿宋_GB2312" w:hAnsi="仿宋_GB2312" w:eastAsia="仿宋_GB2312" w:cs="仿宋_GB2312"/>
                <w:color w:val="auto"/>
                <w:sz w:val="28"/>
                <w:szCs w:val="28"/>
                <w:highlight w:val="none"/>
                <w:u w:val="none"/>
                <w:lang w:val="en-US" w:eastAsia="zh-CN"/>
              </w:rPr>
              <w:t>合同签订后，采购人向中标供应商支付合同总金额的30%，项目经验收合格后支付合同总金额的70%。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阿瓦提县中等职业技术学校采取分阶段验收方式，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售后服务</w:t>
            </w:r>
          </w:p>
        </w:tc>
        <w:tc>
          <w:tcPr>
            <w:tcW w:w="7098" w:type="dxa"/>
            <w:noWrap w:val="0"/>
            <w:vAlign w:val="center"/>
          </w:tcPr>
          <w:p>
            <w:pPr>
              <w:spacing w:after="60" w:afterLines="25" w:line="360" w:lineRule="exac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提供免费质保一年</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阿瓦提县</w:t>
      </w:r>
      <w:r>
        <w:rPr>
          <w:rFonts w:hint="eastAsia" w:ascii="仿宋_GB2312" w:hAnsi="仿宋_GB2312" w:eastAsia="仿宋_GB2312" w:cs="仿宋_GB2312"/>
          <w:bCs/>
          <w:sz w:val="28"/>
          <w:szCs w:val="28"/>
          <w:highlight w:val="none"/>
          <w:lang w:val="en-US" w:eastAsia="zh-CN"/>
        </w:rPr>
        <w:t>中等职业技术学校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p>
      <w:pPr>
        <w:pStyle w:val="4"/>
        <w:rPr>
          <w:rFonts w:hint="eastAsia" w:ascii="仿宋_GB2312" w:hAnsi="仿宋_GB2312" w:eastAsia="仿宋_GB2312" w:cs="仿宋_GB2312"/>
          <w:sz w:val="24"/>
          <w:szCs w:val="24"/>
        </w:rPr>
      </w:pPr>
    </w:p>
    <w:bookmarkEnd w:id="15"/>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r>
        <w:rPr>
          <w:rFonts w:hint="eastAsia" w:ascii="仿宋_GB2312" w:hAnsi="仿宋_GB2312" w:eastAsia="仿宋_GB2312" w:cs="仿宋_GB2312"/>
          <w:b/>
          <w:kern w:val="2"/>
          <w:sz w:val="40"/>
          <w:szCs w:val="40"/>
          <w:lang w:val="en-US" w:eastAsia="zh-CN" w:bidi="ar-SA"/>
        </w:rPr>
        <w:t>第四部分</w:t>
      </w:r>
    </w:p>
    <w:p>
      <w:pPr>
        <w:numPr>
          <w:ilvl w:val="0"/>
          <w:numId w:val="0"/>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pPr>
        <w:pStyle w:val="6"/>
        <w:spacing w:after="0"/>
        <w:jc w:val="center"/>
        <w:rPr>
          <w:rFonts w:ascii="宋体" w:hAnsi="宋体" w:cs="宋体"/>
          <w:b/>
          <w:bCs/>
          <w:spacing w:val="-20"/>
          <w:kern w:val="44"/>
          <w:sz w:val="48"/>
          <w:szCs w:val="48"/>
        </w:rPr>
      </w:pPr>
    </w:p>
    <w:p>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pPr>
        <w:pStyle w:val="3"/>
        <w:adjustRightInd w:val="0"/>
        <w:snapToGrid w:val="0"/>
        <w:spacing w:beforeLines="0" w:line="400" w:lineRule="exact"/>
        <w:jc w:val="center"/>
        <w:rPr>
          <w:rFonts w:hint="eastAsia" w:ascii="黑体" w:hAnsi="黑体" w:eastAsia="黑体" w:cs="黑体"/>
          <w:b w:val="0"/>
          <w:bCs w:val="0"/>
          <w:sz w:val="30"/>
          <w:szCs w:val="30"/>
        </w:rPr>
      </w:pPr>
      <w:bookmarkStart w:id="17" w:name="_Toc22209"/>
      <w:r>
        <w:rPr>
          <w:rFonts w:hint="eastAsia" w:ascii="黑体" w:hAnsi="黑体" w:eastAsia="黑体" w:cs="黑体"/>
          <w:b w:val="0"/>
          <w:bCs w:val="0"/>
          <w:sz w:val="30"/>
          <w:szCs w:val="30"/>
        </w:rPr>
        <w:t>第一节 政府采购合同协议书</w:t>
      </w:r>
      <w:bookmarkEnd w:id="17"/>
    </w:p>
    <w:p>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spacing w:beforeLines="0" w:line="400" w:lineRule="exact"/>
        <w:rPr>
          <w:rFonts w:hint="eastAsia" w:ascii="仿宋_GB2312" w:hAnsi="仿宋_GB2312" w:eastAsia="仿宋_GB2312" w:cs="仿宋_GB2312"/>
          <w:lang w:val="en-US" w:eastAsia="zh-CN"/>
        </w:rPr>
      </w:pP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pPr>
        <w:pStyle w:val="8"/>
        <w:numPr>
          <w:ilvl w:val="0"/>
          <w:numId w:val="4"/>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pPr>
        <w:numPr>
          <w:ilvl w:val="0"/>
          <w:numId w:val="5"/>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pPr>
        <w:pStyle w:val="24"/>
        <w:spacing w:beforeLines="0" w:line="400" w:lineRule="exact"/>
        <w:rPr>
          <w:rFonts w:hint="eastAsia" w:ascii="仿宋_GB2312" w:hAnsi="仿宋_GB2312" w:eastAsia="仿宋_GB2312" w:cs="仿宋_GB2312"/>
        </w:rPr>
      </w:pPr>
    </w:p>
    <w:p>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8" w:name="_Toc27624"/>
      <w:r>
        <w:rPr>
          <w:rFonts w:hint="eastAsia" w:ascii="黑体" w:hAnsi="黑体" w:eastAsia="黑体" w:cs="黑体"/>
          <w:b w:val="0"/>
          <w:bCs w:val="0"/>
          <w:sz w:val="30"/>
          <w:szCs w:val="30"/>
        </w:rPr>
        <w:t>第二节 政府采购合同通用条款</w:t>
      </w:r>
      <w:bookmarkEnd w:id="18"/>
    </w:p>
    <w:p>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合同约定的货物及其相关服务的法人、非法人组织或者自然人</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两个以上的自然人、法人或者</w:t>
      </w:r>
      <w:r>
        <w:rPr>
          <w:rFonts w:hint="eastAsia" w:ascii="仿宋_GB2312" w:hAnsi="仿宋_GB2312" w:eastAsia="仿宋_GB2312" w:cs="仿宋_GB2312"/>
          <w:szCs w:val="21"/>
          <w:lang w:val="en-US" w:eastAsia="zh-CN"/>
        </w:rPr>
        <w:t>非法人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pPr>
        <w:pStyle w:val="10"/>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pPr>
        <w:pStyle w:val="10"/>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19"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19"/>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0" w:name="_Toc20313"/>
    </w:p>
    <w:p>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vAlign w:val="center"/>
          </w:tcPr>
          <w:p>
            <w:pPr>
              <w:adjustRightInd w:val="0"/>
              <w:snapToGrid w:val="0"/>
              <w:jc w:val="center"/>
              <w:rPr>
                <w:rFonts w:hint="eastAsia" w:ascii="仿宋_GB2312" w:hAnsi="仿宋_GB2312" w:eastAsia="仿宋_GB2312" w:cs="仿宋_GB2312"/>
                <w:szCs w:val="21"/>
              </w:rPr>
            </w:pP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pPr>
              <w:adjustRightInd w:val="0"/>
              <w:snapToGrid w:val="0"/>
              <w:jc w:val="left"/>
              <w:rPr>
                <w:rFonts w:hint="eastAsia" w:ascii="仿宋_GB2312" w:hAnsi="仿宋_GB2312" w:eastAsia="仿宋_GB2312" w:cs="仿宋_GB2312"/>
                <w:szCs w:val="21"/>
                <w:lang w:val="en-US" w:eastAsia="zh-CN"/>
              </w:rPr>
            </w:pPr>
          </w:p>
        </w:tc>
      </w:tr>
    </w:tbl>
    <w:p/>
    <w:p/>
    <w:p>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pPr>
        <w:spacing w:line="360" w:lineRule="auto"/>
        <w:ind w:firstLine="361" w:firstLineChars="200"/>
        <w:rPr>
          <w:rFonts w:hint="eastAsia" w:ascii="仿宋_GB2312" w:hAnsi="仿宋_GB2312" w:eastAsia="仿宋_GB2312" w:cs="仿宋_GB2312"/>
          <w:b/>
          <w:bCs/>
          <w:color w:val="000000"/>
          <w:sz w:val="18"/>
          <w:szCs w:val="18"/>
        </w:rPr>
      </w:pPr>
    </w:p>
    <w:p>
      <w:pPr>
        <w:pStyle w:val="8"/>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pPr>
        <w:pStyle w:val="8"/>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pPr>
        <w:ind w:firstLine="281" w:firstLineChars="100"/>
        <w:rPr>
          <w:rFonts w:hint="eastAsia" w:ascii="仿宋_GB2312" w:hAnsi="仿宋_GB2312" w:eastAsia="仿宋_GB2312" w:cs="仿宋_GB2312"/>
          <w:b/>
          <w:bCs/>
          <w:color w:val="000000"/>
          <w:sz w:val="28"/>
          <w:szCs w:val="28"/>
        </w:rPr>
      </w:pPr>
    </w:p>
    <w:p>
      <w:pPr>
        <w:pStyle w:val="9"/>
        <w:ind w:left="1120"/>
        <w:rPr>
          <w:rFonts w:hint="eastAsia" w:ascii="仿宋_GB2312" w:hAnsi="仿宋_GB2312" w:eastAsia="仿宋_GB2312" w:cs="仿宋_GB2312"/>
          <w:b/>
          <w:bCs/>
          <w:color w:val="000000"/>
          <w:szCs w:val="36"/>
        </w:rPr>
      </w:pP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pPr>
        <w:pStyle w:val="16"/>
        <w:ind w:left="560" w:firstLine="560"/>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pStyle w:val="9"/>
        <w:ind w:left="11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w:t>
      </w:r>
      <w:r>
        <w:rPr>
          <w:rFonts w:hint="eastAsia" w:ascii="仿宋_GB2312" w:hAnsi="仿宋_GB2312" w:eastAsia="仿宋_GB2312" w:cs="仿宋_GB2312"/>
          <w:b/>
          <w:sz w:val="36"/>
          <w:szCs w:val="36"/>
          <w:lang w:val="en-US" w:eastAsia="zh-CN"/>
        </w:rPr>
        <w:t>或</w:t>
      </w:r>
      <w:r>
        <w:rPr>
          <w:rFonts w:hint="eastAsia" w:ascii="仿宋_GB2312" w:hAnsi="仿宋_GB2312" w:eastAsia="仿宋_GB2312" w:cs="仿宋_GB2312"/>
          <w:b/>
          <w:sz w:val="36"/>
          <w:szCs w:val="36"/>
        </w:rPr>
        <w:t>分支机构负责人）资格证明文件</w:t>
      </w:r>
    </w:p>
    <w:p>
      <w:pPr>
        <w:spacing w:line="520" w:lineRule="exact"/>
        <w:ind w:firstLine="360" w:firstLineChars="100"/>
        <w:rPr>
          <w:rFonts w:hint="eastAsia" w:ascii="仿宋_GB2312" w:hAnsi="仿宋_GB2312" w:eastAsia="仿宋_GB2312" w:cs="仿宋_GB2312"/>
          <w:sz w:val="36"/>
          <w:szCs w:val="36"/>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pStyle w:val="4"/>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spacing w:line="460" w:lineRule="exact"/>
        <w:jc w:val="both"/>
        <w:rPr>
          <w:rFonts w:hint="eastAsia" w:ascii="仿宋_GB2312" w:hAnsi="仿宋_GB2312" w:eastAsia="仿宋_GB2312" w:cs="仿宋_GB2312"/>
          <w:b/>
          <w:sz w:val="28"/>
          <w:szCs w:val="28"/>
        </w:rPr>
      </w:pPr>
    </w:p>
    <w:p>
      <w:pPr>
        <w:spacing w:line="460" w:lineRule="exact"/>
        <w:jc w:val="both"/>
        <w:rPr>
          <w:rFonts w:hint="eastAsia" w:ascii="仿宋_GB2312" w:hAnsi="仿宋_GB2312" w:eastAsia="仿宋_GB2312" w:cs="仿宋_GB2312"/>
          <w:b/>
          <w:sz w:val="28"/>
          <w:szCs w:val="28"/>
        </w:rPr>
      </w:pPr>
    </w:p>
    <w:p>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w:t>
      </w:r>
      <w:r>
        <w:rPr>
          <w:rFonts w:hint="eastAsia" w:ascii="仿宋_GB2312" w:hAnsi="仿宋_GB2312" w:eastAsia="仿宋_GB2312" w:cs="仿宋_GB2312"/>
          <w:b/>
          <w:bCs/>
          <w:sz w:val="36"/>
          <w:szCs w:val="36"/>
          <w:lang w:val="en-US" w:eastAsia="zh-CN"/>
        </w:rPr>
        <w:t>或</w:t>
      </w:r>
      <w:r>
        <w:rPr>
          <w:rFonts w:hint="eastAsia" w:ascii="仿宋_GB2312" w:hAnsi="仿宋_GB2312" w:eastAsia="仿宋_GB2312" w:cs="仿宋_GB2312"/>
          <w:b/>
          <w:bCs/>
          <w:sz w:val="36"/>
          <w:szCs w:val="36"/>
        </w:rPr>
        <w:t>分支机构负责人）授权委托书</w:t>
      </w:r>
      <w:r>
        <w:rPr>
          <w:rFonts w:hint="eastAsia" w:ascii="仿宋_GB2312" w:hAnsi="仿宋_GB2312" w:eastAsia="仿宋_GB2312" w:cs="仿宋_GB2312"/>
          <w:b w:val="0"/>
          <w:bCs w:val="0"/>
          <w:sz w:val="28"/>
          <w:szCs w:val="28"/>
          <w:lang w:val="en-US" w:eastAsia="zh-CN"/>
        </w:rPr>
        <w:t>（适用于有委托代理人的情况）</w:t>
      </w: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说明：应附法定代表人（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分支机构负责人）和委托全权代理人身份证复印件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分支机构负责人）身份证复印件粘贴处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p>
    <w:p>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pPr>
        <w:spacing w:before="120" w:after="120"/>
        <w:jc w:val="center"/>
        <w:outlineLvl w:val="0"/>
        <w:rPr>
          <w:rFonts w:hint="eastAsia" w:ascii="仿宋_GB2312" w:hAnsi="仿宋_GB2312" w:eastAsia="仿宋_GB2312" w:cs="仿宋_GB2312"/>
          <w:b/>
          <w:color w:val="000000"/>
          <w:sz w:val="28"/>
          <w:szCs w:val="28"/>
        </w:rPr>
      </w:pPr>
      <w:bookmarkStart w:id="21" w:name="_Toc2708"/>
      <w:bookmarkStart w:id="22" w:name="_Toc4"/>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1"/>
      <w:bookmarkEnd w:id="22"/>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2022年-2023年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pPr>
        <w:pStyle w:val="16"/>
        <w:ind w:left="0" w:leftChars="0" w:firstLine="0" w:firstLineChars="0"/>
        <w:rPr>
          <w:rFonts w:hint="eastAsia" w:ascii="仿宋_GB2312" w:hAnsi="仿宋_GB2312" w:eastAsia="仿宋_GB2312" w:cs="仿宋_GB2312"/>
        </w:rPr>
      </w:pPr>
    </w:p>
    <w:p>
      <w:pPr>
        <w:pStyle w:val="16"/>
        <w:ind w:left="0" w:leftChars="0" w:firstLine="0" w:firstLineChars="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pPr>
        <w:pStyle w:val="6"/>
        <w:jc w:val="center"/>
        <w:rPr>
          <w:rFonts w:hint="eastAsia" w:ascii="仿宋_GB2312" w:hAnsi="仿宋_GB2312" w:eastAsia="仿宋_GB2312" w:cs="仿宋_GB2312"/>
          <w:b/>
          <w:bCs/>
          <w:sz w:val="28"/>
          <w:szCs w:val="28"/>
        </w:rPr>
      </w:pPr>
    </w:p>
    <w:p>
      <w:pPr>
        <w:pStyle w:val="6"/>
        <w:jc w:val="center"/>
        <w:rPr>
          <w:rFonts w:hint="eastAsia" w:ascii="仿宋_GB2312" w:hAnsi="仿宋_GB2312" w:eastAsia="仿宋_GB2312" w:cs="仿宋_GB2312"/>
          <w:b/>
          <w:bCs/>
          <w:sz w:val="28"/>
          <w:szCs w:val="28"/>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pPr>
              <w:spacing w:line="440" w:lineRule="exact"/>
              <w:jc w:val="center"/>
              <w:rPr>
                <w:rFonts w:hint="eastAsia" w:ascii="仿宋_GB2312" w:hAnsi="仿宋_GB2312" w:eastAsia="仿宋_GB2312" w:cs="仿宋_GB2312"/>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rPr>
          <w:rFonts w:hint="eastAsia" w:ascii="仿宋_GB2312" w:hAnsi="仿宋_GB2312" w:eastAsia="仿宋_GB2312" w:cs="仿宋_GB2312"/>
          <w:b/>
          <w:color w:val="000000"/>
          <w:sz w:val="24"/>
        </w:rPr>
      </w:pPr>
    </w:p>
    <w:p>
      <w:pPr>
        <w:pStyle w:val="7"/>
        <w:rPr>
          <w:rFonts w:hint="eastAsia" w:ascii="仿宋_GB2312" w:hAnsi="仿宋_GB2312" w:eastAsia="仿宋_GB2312" w:cs="仿宋_GB2312"/>
        </w:rPr>
      </w:pPr>
    </w:p>
    <w:p>
      <w:pPr>
        <w:spacing w:line="600" w:lineRule="exact"/>
        <w:ind w:firstLine="420" w:firstLineChars="200"/>
        <w:rPr>
          <w:rFonts w:hint="eastAsia" w:ascii="仿宋_GB2312" w:hAnsi="仿宋_GB2312" w:eastAsia="仿宋_GB2312" w:cs="仿宋_GB2312"/>
        </w:rPr>
      </w:pPr>
    </w:p>
    <w:p>
      <w:pPr>
        <w:pStyle w:val="10"/>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pPr>
        <w:pStyle w:val="10"/>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kern w:val="2"/>
          <w:sz w:val="28"/>
          <w:szCs w:val="28"/>
          <w:lang w:val="en-US" w:eastAsia="zh-CN" w:bidi="ar-SA"/>
        </w:rPr>
        <w:t xml:space="preserve">或授权委托人（签字或签章）:                      </w:t>
      </w:r>
    </w:p>
    <w:p>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pPr>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13"/>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pPr>
        <w:rPr>
          <w:rFonts w:hint="eastAsia" w:ascii="仿宋_GB2312" w:hAnsi="仿宋_GB2312" w:eastAsia="仿宋_GB2312" w:cs="仿宋_GB2312"/>
          <w:sz w:val="28"/>
          <w:szCs w:val="28"/>
        </w:rPr>
      </w:pPr>
    </w:p>
    <w:p>
      <w:pPr>
        <w:spacing w:before="120" w:after="120"/>
        <w:jc w:val="center"/>
        <w:outlineLvl w:val="0"/>
        <w:rPr>
          <w:rFonts w:hint="eastAsia" w:ascii="仿宋_GB2312" w:hAnsi="仿宋_GB2312" w:eastAsia="仿宋_GB2312" w:cs="仿宋_GB2312"/>
          <w:b/>
          <w:color w:val="000000"/>
          <w:sz w:val="36"/>
          <w:szCs w:val="36"/>
          <w:lang w:val="en-US" w:eastAsia="zh-CN"/>
        </w:rPr>
      </w:pPr>
      <w:bookmarkStart w:id="23" w:name="_Toc21005"/>
      <w:bookmarkStart w:id="24" w:name="_Toc4606"/>
      <w:r>
        <w:rPr>
          <w:rFonts w:hint="eastAsia" w:ascii="仿宋_GB2312" w:hAnsi="仿宋_GB2312" w:eastAsia="仿宋_GB2312" w:cs="仿宋_GB2312"/>
          <w:b/>
          <w:color w:val="000000"/>
          <w:sz w:val="36"/>
          <w:szCs w:val="36"/>
        </w:rPr>
        <w:t>投标分项报价</w:t>
      </w:r>
      <w:bookmarkEnd w:id="23"/>
      <w:bookmarkEnd w:id="24"/>
      <w:r>
        <w:rPr>
          <w:rFonts w:hint="eastAsia" w:ascii="仿宋_GB2312" w:hAnsi="仿宋_GB2312" w:eastAsia="仿宋_GB2312" w:cs="仿宋_GB2312"/>
          <w:b/>
          <w:color w:val="000000"/>
          <w:sz w:val="36"/>
          <w:szCs w:val="36"/>
          <w:lang w:val="en-US" w:eastAsia="zh-CN"/>
        </w:rPr>
        <w:t>清单</w:t>
      </w:r>
    </w:p>
    <w:p>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货物名称</w:t>
            </w:r>
          </w:p>
        </w:tc>
        <w:tc>
          <w:tcPr>
            <w:tcW w:w="191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规格及型号</w:t>
            </w:r>
          </w:p>
        </w:tc>
        <w:tc>
          <w:tcPr>
            <w:tcW w:w="115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pPr>
        <w:tabs>
          <w:tab w:val="left" w:pos="720"/>
        </w:tabs>
        <w:rPr>
          <w:rFonts w:hint="eastAsia" w:ascii="仿宋_GB2312" w:hAnsi="仿宋_GB2312" w:eastAsia="仿宋_GB2312" w:cs="仿宋_GB2312"/>
          <w:b/>
          <w:bCs w:val="0"/>
          <w:color w:val="auto"/>
          <w:highlight w:val="none"/>
        </w:rPr>
      </w:pPr>
    </w:p>
    <w:p>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pPr>
        <w:bidi w:val="0"/>
        <w:rPr>
          <w:rFonts w:hint="eastAsia" w:ascii="仿宋_GB2312" w:hAnsi="仿宋_GB2312" w:eastAsia="仿宋_GB2312" w:cs="仿宋_GB2312"/>
          <w:kern w:val="2"/>
          <w:sz w:val="28"/>
          <w:szCs w:val="28"/>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rPr>
          <w:rFonts w:hint="eastAsia" w:ascii="仿宋_GB2312" w:hAnsi="仿宋_GB2312" w:eastAsia="仿宋_GB2312" w:cs="仿宋_GB2312"/>
          <w:b/>
          <w:color w:val="000000"/>
          <w:lang w:val="en-US" w:eastAsia="zh-CN"/>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pPr>
        <w:jc w:val="center"/>
        <w:rPr>
          <w:rFonts w:hint="eastAsia" w:ascii="仿宋_GB2312" w:hAnsi="仿宋_GB2312" w:eastAsia="仿宋_GB2312" w:cs="仿宋_GB2312"/>
          <w:b/>
          <w:color w:val="000000"/>
          <w:lang w:val="en-US" w:eastAsia="zh-CN"/>
        </w:rPr>
      </w:pPr>
    </w:p>
    <w:p>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rPr>
          <w:rFonts w:hint="eastAsia" w:ascii="仿宋_GB2312" w:hAnsi="仿宋_GB2312" w:eastAsia="仿宋_GB2312" w:cs="仿宋_GB2312"/>
          <w:color w:val="FF0000"/>
          <w:sz w:val="24"/>
          <w:szCs w:val="24"/>
        </w:rPr>
      </w:pPr>
    </w:p>
    <w:p>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ind w:left="0" w:leftChars="0" w:firstLine="0" w:firstLineChars="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pPr>
              <w:spacing w:line="360" w:lineRule="auto"/>
              <w:rPr>
                <w:rFonts w:hint="eastAsia" w:ascii="仿宋_GB2312" w:hAnsi="仿宋_GB2312" w:eastAsia="仿宋_GB2312" w:cs="仿宋_GB2312"/>
                <w:b/>
                <w:bCs/>
                <w:sz w:val="28"/>
                <w:szCs w:val="28"/>
                <w:vertAlign w:val="baseline"/>
              </w:rPr>
            </w:pPr>
          </w:p>
        </w:tc>
      </w:tr>
    </w:tbl>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default"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rPr>
        <w:t>中小企业声明函(货物)</w:t>
      </w: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若需）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5"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5"/>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4、货物类型的项目，声明函需逐一列明所有投标产品（标的名称）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所属企业类型，采购标的名称相同且为同一制造商的，可以不重复填写；</w:t>
      </w:r>
      <w:bookmarkStart w:id="26" w:name="OLE_LINK6"/>
      <w:r>
        <w:rPr>
          <w:rFonts w:hint="eastAsia" w:ascii="仿宋_GB2312" w:hAnsi="仿宋_GB2312" w:eastAsia="仿宋_GB2312" w:cs="仿宋_GB2312"/>
          <w:color w:val="auto"/>
          <w:sz w:val="24"/>
          <w:szCs w:val="24"/>
          <w:highlight w:val="none"/>
          <w:lang w:val="en-US" w:eastAsia="zh-CN"/>
        </w:rPr>
        <w:t>辅材、零配件</w:t>
      </w:r>
      <w:bookmarkEnd w:id="26"/>
      <w:r>
        <w:rPr>
          <w:rFonts w:hint="eastAsia" w:ascii="仿宋_GB2312" w:hAnsi="仿宋_GB2312" w:eastAsia="仿宋_GB2312" w:cs="仿宋_GB2312"/>
          <w:color w:val="auto"/>
          <w:sz w:val="24"/>
          <w:szCs w:val="24"/>
          <w:highlight w:val="none"/>
          <w:lang w:val="en-US" w:eastAsia="zh-CN"/>
        </w:rPr>
        <w:t>及货物安装、运输等所需的工程、服务、装饰装修工程不作具体要求。</w:t>
      </w:r>
      <w:r>
        <w:rPr>
          <w:rFonts w:hint="eastAsia" w:ascii="仿宋_GB2312" w:hAnsi="仿宋_GB2312" w:eastAsia="仿宋_GB2312" w:cs="仿宋_GB2312"/>
          <w:color w:val="auto"/>
          <w:sz w:val="24"/>
          <w:szCs w:val="24"/>
          <w:highlight w:val="none"/>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7" w:name="OLE_LINK14"/>
      <w:bookmarkStart w:id="28" w:name="OLE_LINK13"/>
      <w:r>
        <w:rPr>
          <w:rFonts w:hint="eastAsia" w:ascii="仿宋_GB2312" w:hAnsi="仿宋_GB2312" w:eastAsia="仿宋_GB2312" w:cs="仿宋_GB2312"/>
          <w:b/>
          <w:color w:val="000000"/>
          <w:szCs w:val="28"/>
          <w:lang w:val="en-US" w:eastAsia="zh-CN"/>
        </w:rPr>
        <w:t>附件：10</w:t>
      </w:r>
    </w:p>
    <w:p>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7"/>
    <w:bookmarkEnd w:id="28"/>
    <w:p>
      <w:pPr>
        <w:spacing w:line="588" w:lineRule="exact"/>
        <w:rPr>
          <w:rFonts w:hint="eastAsia" w:ascii="仿宋_GB2312" w:hAnsi="仿宋_GB2312" w:eastAsia="仿宋_GB2312" w:cs="仿宋_GB2312"/>
          <w:b/>
          <w:spacing w:val="6"/>
          <w:sz w:val="30"/>
          <w:szCs w:val="30"/>
        </w:rPr>
      </w:pP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pPr>
        <w:spacing w:line="588" w:lineRule="exact"/>
        <w:ind w:firstLine="584" w:firstLineChars="200"/>
        <w:rPr>
          <w:rFonts w:hint="eastAsia" w:ascii="仿宋_GB2312" w:hAnsi="仿宋_GB2312" w:eastAsia="仿宋_GB2312" w:cs="仿宋_GB2312"/>
          <w:spacing w:val="6"/>
          <w:sz w:val="28"/>
          <w:szCs w:val="28"/>
        </w:rPr>
      </w:pPr>
    </w:p>
    <w:p>
      <w:pPr>
        <w:spacing w:line="588" w:lineRule="exact"/>
        <w:ind w:firstLine="584" w:firstLineChars="200"/>
        <w:rPr>
          <w:rFonts w:hint="eastAsia" w:ascii="仿宋_GB2312" w:hAnsi="仿宋_GB2312" w:eastAsia="仿宋_GB2312" w:cs="仿宋_GB2312"/>
          <w:spacing w:val="6"/>
          <w:sz w:val="28"/>
          <w:szCs w:val="28"/>
        </w:rPr>
      </w:pP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jc w:val="center"/>
        <w:outlineLvl w:val="4"/>
        <w:rPr>
          <w:rFonts w:hint="eastAsia" w:ascii="仿宋_GB2312" w:hAnsi="仿宋_GB2312" w:eastAsia="仿宋_GB2312" w:cs="仿宋_GB2312"/>
          <w:b/>
        </w:rPr>
      </w:pP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pPr>
        <w:spacing w:after="60" w:afterLines="25" w:line="300" w:lineRule="auto"/>
        <w:ind w:firstLine="420" w:firstLineChars="200"/>
        <w:rPr>
          <w:rFonts w:hint="eastAsia" w:ascii="仿宋_GB2312" w:hAnsi="仿宋_GB2312" w:eastAsia="仿宋_GB2312" w:cs="仿宋_GB2312"/>
          <w:b w:val="0"/>
          <w:bCs/>
          <w:szCs w:val="21"/>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模板见附件。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val="zh-CN" w:eastAsia="zh-CN"/>
        </w:rPr>
        <w:t>本项目投入管理及从业人员配备情况表</w:t>
      </w:r>
      <w:r>
        <w:rPr>
          <w:rFonts w:hint="eastAsia" w:ascii="仿宋_GB2312" w:hAnsi="仿宋_GB2312" w:eastAsia="仿宋_GB2312" w:cs="仿宋_GB2312"/>
          <w:b/>
          <w:bCs/>
          <w:sz w:val="28"/>
          <w:szCs w:val="28"/>
          <w:lang w:val="en-US" w:eastAsia="zh-CN"/>
        </w:rPr>
        <w:t>；</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3.供货方案；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4.应急预案及突发事件的处理措施；</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5.质量保证方案；</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6.售后服务保障；</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7.安装验收方案；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8.产品配件服务供应方案；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9.培训方案；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10.投标人认为需要提供的其他文件或证书。</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val="0"/>
          <w:sz w:val="28"/>
          <w:szCs w:val="28"/>
          <w:lang w:val="en-US" w:eastAsia="zh-CN"/>
        </w:rPr>
        <w:t>自行填写，无参考格式及要求。</w:t>
      </w:r>
    </w:p>
    <w:p>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pPr>
        <w:spacing w:line="240" w:lineRule="exact"/>
        <w:outlineLvl w:val="2"/>
        <w:rPr>
          <w:rFonts w:hint="eastAsia" w:ascii="仿宋_GB2312" w:hAnsi="仿宋_GB2312" w:eastAsia="仿宋_GB2312" w:cs="仿宋_GB2312"/>
          <w:bCs/>
          <w:color w:val="000000"/>
          <w:szCs w:val="21"/>
        </w:rPr>
      </w:pPr>
    </w:p>
    <w:p>
      <w:pPr>
        <w:pStyle w:val="7"/>
        <w:rPr>
          <w:rFonts w:hint="eastAsia" w:ascii="仿宋_GB2312" w:hAnsi="仿宋_GB2312" w:eastAsia="仿宋_GB2312" w:cs="仿宋_GB2312"/>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法定代表人（或分支机构负责人）或授权委托人（签字或签章）: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pPr>
        <w:bidi w:val="0"/>
        <w:jc w:val="left"/>
        <w:rPr>
          <w:rFonts w:hint="eastAsia" w:ascii="仿宋_GB2312" w:hAnsi="仿宋_GB2312" w:eastAsia="仿宋_GB2312" w:cs="仿宋_GB231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5C6ADC"/>
    <w:rsid w:val="00815F0D"/>
    <w:rsid w:val="031970FE"/>
    <w:rsid w:val="03F93B0D"/>
    <w:rsid w:val="05410997"/>
    <w:rsid w:val="06110369"/>
    <w:rsid w:val="0AA277E2"/>
    <w:rsid w:val="0B0D3FE7"/>
    <w:rsid w:val="0B394DDC"/>
    <w:rsid w:val="0CA27F6D"/>
    <w:rsid w:val="0CC87A86"/>
    <w:rsid w:val="0EFB6069"/>
    <w:rsid w:val="134F427F"/>
    <w:rsid w:val="155F1BA1"/>
    <w:rsid w:val="15FA690A"/>
    <w:rsid w:val="161C4E4C"/>
    <w:rsid w:val="19DE6968"/>
    <w:rsid w:val="1A850730"/>
    <w:rsid w:val="1F3C1B5B"/>
    <w:rsid w:val="1F8B2AE2"/>
    <w:rsid w:val="202D1DEC"/>
    <w:rsid w:val="248D2E59"/>
    <w:rsid w:val="24DE35D8"/>
    <w:rsid w:val="276518DC"/>
    <w:rsid w:val="27BE0330"/>
    <w:rsid w:val="285A12A4"/>
    <w:rsid w:val="2955794C"/>
    <w:rsid w:val="298E7457"/>
    <w:rsid w:val="2B2F678E"/>
    <w:rsid w:val="2B3260A2"/>
    <w:rsid w:val="2B364A3C"/>
    <w:rsid w:val="2B391645"/>
    <w:rsid w:val="2B3F5170"/>
    <w:rsid w:val="2E164B36"/>
    <w:rsid w:val="2E60513A"/>
    <w:rsid w:val="30142680"/>
    <w:rsid w:val="30CE0A81"/>
    <w:rsid w:val="30F06C49"/>
    <w:rsid w:val="336D632F"/>
    <w:rsid w:val="357C6459"/>
    <w:rsid w:val="36BD312A"/>
    <w:rsid w:val="37927BAD"/>
    <w:rsid w:val="38E30E42"/>
    <w:rsid w:val="39D2513E"/>
    <w:rsid w:val="3AEC222F"/>
    <w:rsid w:val="3BB1258C"/>
    <w:rsid w:val="3E7F574E"/>
    <w:rsid w:val="3ED471B1"/>
    <w:rsid w:val="42324A15"/>
    <w:rsid w:val="42B619FD"/>
    <w:rsid w:val="445D419E"/>
    <w:rsid w:val="45582BA9"/>
    <w:rsid w:val="4629430D"/>
    <w:rsid w:val="46E0556A"/>
    <w:rsid w:val="47863A0C"/>
    <w:rsid w:val="486378A9"/>
    <w:rsid w:val="4A69564B"/>
    <w:rsid w:val="4D677E3B"/>
    <w:rsid w:val="4DD827BB"/>
    <w:rsid w:val="4E5A3961"/>
    <w:rsid w:val="4F632FBB"/>
    <w:rsid w:val="4F796049"/>
    <w:rsid w:val="50053C5D"/>
    <w:rsid w:val="505D5F37"/>
    <w:rsid w:val="53EE096F"/>
    <w:rsid w:val="54901A26"/>
    <w:rsid w:val="54F63F7F"/>
    <w:rsid w:val="5FE61094"/>
    <w:rsid w:val="5FF967BF"/>
    <w:rsid w:val="61F40A0D"/>
    <w:rsid w:val="638D7235"/>
    <w:rsid w:val="63AF7393"/>
    <w:rsid w:val="64B33C3A"/>
    <w:rsid w:val="66E36F8F"/>
    <w:rsid w:val="6732696D"/>
    <w:rsid w:val="688356D2"/>
    <w:rsid w:val="69F66377"/>
    <w:rsid w:val="6ABA55F7"/>
    <w:rsid w:val="6ACE4BFE"/>
    <w:rsid w:val="6DD56C75"/>
    <w:rsid w:val="6E8757F0"/>
    <w:rsid w:val="6F8441BD"/>
    <w:rsid w:val="70AE5DD6"/>
    <w:rsid w:val="72BF780C"/>
    <w:rsid w:val="73C72F6F"/>
    <w:rsid w:val="74CE1F23"/>
    <w:rsid w:val="75E15FAD"/>
    <w:rsid w:val="76C54280"/>
    <w:rsid w:val="787678E8"/>
    <w:rsid w:val="787A6A7A"/>
    <w:rsid w:val="7A680BCB"/>
    <w:rsid w:val="7CEF40A5"/>
    <w:rsid w:val="7D1666BD"/>
    <w:rsid w:val="7E663674"/>
    <w:rsid w:val="7EBE0645"/>
    <w:rsid w:val="7F66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autoRedefine/>
    <w:qFormat/>
    <w:uiPriority w:val="99"/>
    <w:pPr>
      <w:spacing w:before="120"/>
      <w:ind w:firstLine="0" w:firstLineChars="0"/>
    </w:pPr>
    <w:rPr>
      <w:rFonts w:ascii="Arial" w:hAnsi="Arial" w:cs="Arial"/>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semiHidden/>
    <w:qFormat/>
    <w:uiPriority w:val="0"/>
    <w:pPr>
      <w:tabs>
        <w:tab w:val="right" w:leader="dot" w:pos="8777"/>
      </w:tabs>
      <w:ind w:left="840" w:leftChars="400"/>
    </w:pPr>
    <w:rPr>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unhideWhenUsed/>
    <w:qFormat/>
    <w:uiPriority w:val="0"/>
    <w:pPr>
      <w:ind w:left="630"/>
      <w:jc w:val="left"/>
    </w:pPr>
    <w:rPr>
      <w:rFonts w:ascii="Calibri" w:hAnsi="Calibri"/>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27317</Words>
  <Characters>28744</Characters>
  <Lines>0</Lines>
  <Paragraphs>0</Paragraphs>
  <TotalTime>24</TotalTime>
  <ScaleCrop>false</ScaleCrop>
  <LinksUpToDate>false</LinksUpToDate>
  <CharactersWithSpaces>32091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2024-09-12T09:07:00Z</dcterms:created>
  <dc:creator>Administrator</dc:creator>
  <cp:lastModifiedBy>Fashion</cp:lastModifiedBy>
  <dcterms:modified xsi:type="dcterms:W3CDTF">2025-02-28T12:32:19Z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34EF9FEA757E4195A5591050A5A1452C_13</vt:lpwstr>
  </property>
</Properties>
</file>