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baseline"/>
        <w:rPr>
          <w:rFonts w:hint="eastAsia" w:ascii="仿宋_GB2312" w:hAnsi="仿宋_GB2312" w:eastAsia="仿宋_GB2312" w:cs="仿宋_GB2312"/>
          <w:color w:val="auto"/>
          <w:sz w:val="21"/>
          <w:szCs w:val="24"/>
          <w:highlight w:val="none"/>
          <w:lang w:val="en-US" w:eastAsia="zh-CN"/>
        </w:rPr>
      </w:pPr>
      <w:r>
        <w:rPr>
          <w:rFonts w:hint="eastAsia" w:ascii="仿宋_GB2312" w:hAnsi="仿宋_GB2312" w:eastAsia="仿宋_GB2312" w:cs="仿宋_GB2312"/>
          <w:bCs/>
          <w:color w:val="auto"/>
          <w:kern w:val="44"/>
          <w:sz w:val="48"/>
          <w:szCs w:val="48"/>
          <w:highlight w:val="none"/>
          <w:lang w:val="en-US" w:eastAsia="zh-CN"/>
        </w:rPr>
        <w:t>中共阿瓦提县委组织部采购阿瓦提县绍阿人才培训交流中心建设</w:t>
      </w:r>
      <w:r>
        <w:rPr>
          <w:rFonts w:hint="eastAsia" w:ascii="仿宋_GB2312" w:hAnsi="仿宋_GB2312" w:eastAsia="仿宋_GB2312" w:cs="仿宋_GB2312"/>
          <w:bCs/>
          <w:color w:val="auto"/>
          <w:kern w:val="44"/>
          <w:sz w:val="48"/>
          <w:szCs w:val="48"/>
          <w:highlight w:val="none"/>
          <w:lang w:val="zh-CN"/>
        </w:rPr>
        <w:t>项目</w:t>
      </w:r>
    </w:p>
    <w:p>
      <w:pPr>
        <w:rPr>
          <w:rFonts w:hint="eastAsia" w:ascii="仿宋_GB2312" w:hAnsi="仿宋_GB2312" w:eastAsia="仿宋_GB2312" w:cs="仿宋_GB2312"/>
          <w:color w:val="auto"/>
          <w:lang w:val="en-US" w:eastAsia="zh-CN"/>
        </w:rPr>
      </w:pPr>
    </w:p>
    <w:p>
      <w:pPr>
        <w:snapToGrid w:val="0"/>
        <w:spacing w:line="360" w:lineRule="auto"/>
        <w:jc w:val="center"/>
        <w:rPr>
          <w:rFonts w:hint="eastAsia" w:ascii="仿宋_GB2312" w:hAnsi="仿宋_GB2312" w:eastAsia="仿宋_GB2312" w:cs="仿宋_GB2312"/>
          <w:b/>
          <w:color w:val="auto"/>
          <w:sz w:val="48"/>
          <w:szCs w:val="48"/>
          <w:lang w:eastAsia="zh-CN"/>
        </w:rPr>
      </w:pPr>
    </w:p>
    <w:p>
      <w:pPr>
        <w:pStyle w:val="6"/>
        <w:rPr>
          <w:rFonts w:hint="eastAsia" w:ascii="仿宋_GB2312" w:hAnsi="仿宋_GB2312" w:eastAsia="仿宋_GB2312" w:cs="仿宋_GB2312"/>
          <w:b/>
          <w:color w:val="auto"/>
          <w:sz w:val="48"/>
          <w:szCs w:val="48"/>
          <w:lang w:eastAsia="zh-CN"/>
        </w:rPr>
      </w:pPr>
    </w:p>
    <w:p>
      <w:pPr>
        <w:rPr>
          <w:rFonts w:hint="eastAsia" w:ascii="仿宋_GB2312" w:hAnsi="仿宋_GB2312" w:eastAsia="仿宋_GB2312" w:cs="仿宋_GB2312"/>
          <w:color w:val="auto"/>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pacing w:val="11"/>
          <w:sz w:val="84"/>
          <w:szCs w:val="84"/>
          <w:lang w:eastAsia="zh-CN"/>
        </w:rPr>
        <w:t>竞争性</w:t>
      </w:r>
      <w:r>
        <w:rPr>
          <w:rFonts w:hint="eastAsia" w:ascii="仿宋_GB2312" w:hAnsi="仿宋_GB2312" w:eastAsia="仿宋_GB2312" w:cs="仿宋_GB2312"/>
          <w:b/>
          <w:bCs/>
          <w:color w:val="auto"/>
          <w:spacing w:val="11"/>
          <w:sz w:val="84"/>
          <w:szCs w:val="84"/>
        </w:rPr>
        <w:t>磋商文件</w:t>
      </w:r>
    </w:p>
    <w:p>
      <w:pPr>
        <w:snapToGrid w:val="0"/>
        <w:jc w:val="left"/>
        <w:rPr>
          <w:rFonts w:hint="eastAsia" w:ascii="仿宋_GB2312" w:hAnsi="仿宋_GB2312" w:eastAsia="仿宋_GB2312" w:cs="仿宋_GB2312"/>
          <w:b/>
          <w:color w:val="auto"/>
          <w:sz w:val="32"/>
          <w:szCs w:val="36"/>
        </w:rPr>
      </w:pPr>
    </w:p>
    <w:p>
      <w:pPr>
        <w:snapToGrid w:val="0"/>
        <w:jc w:val="center"/>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spacing w:val="20"/>
          <w:sz w:val="36"/>
          <w:szCs w:val="36"/>
        </w:rPr>
        <w:t>项目编号</w:t>
      </w: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kern w:val="44"/>
          <w:sz w:val="36"/>
          <w:szCs w:val="36"/>
          <w:lang w:val="zh-CN"/>
        </w:rPr>
        <w:t>AWT-ZFCG-20</w:t>
      </w:r>
      <w:r>
        <w:rPr>
          <w:rFonts w:hint="eastAsia" w:ascii="仿宋_GB2312" w:hAnsi="仿宋_GB2312" w:eastAsia="仿宋_GB2312" w:cs="仿宋_GB2312"/>
          <w:b w:val="0"/>
          <w:bCs/>
          <w:color w:val="auto"/>
          <w:kern w:val="44"/>
          <w:sz w:val="36"/>
          <w:szCs w:val="36"/>
          <w:lang w:val="en-US" w:eastAsia="zh-CN"/>
        </w:rPr>
        <w:t>24</w:t>
      </w:r>
      <w:r>
        <w:rPr>
          <w:rFonts w:hint="eastAsia" w:ascii="仿宋_GB2312" w:hAnsi="仿宋_GB2312" w:eastAsia="仿宋_GB2312" w:cs="仿宋_GB2312"/>
          <w:b w:val="0"/>
          <w:bCs/>
          <w:color w:val="auto"/>
          <w:kern w:val="44"/>
          <w:sz w:val="36"/>
          <w:szCs w:val="36"/>
          <w:lang w:val="zh-CN"/>
        </w:rPr>
        <w:t>（JZX</w:t>
      </w:r>
      <w:r>
        <w:rPr>
          <w:rFonts w:hint="eastAsia" w:ascii="仿宋_GB2312" w:hAnsi="仿宋_GB2312" w:eastAsia="仿宋_GB2312" w:cs="仿宋_GB2312"/>
          <w:b w:val="0"/>
          <w:bCs/>
          <w:color w:val="auto"/>
          <w:kern w:val="44"/>
          <w:sz w:val="36"/>
          <w:szCs w:val="36"/>
          <w:lang w:val="en-US" w:eastAsia="zh-CN"/>
        </w:rPr>
        <w:t>CS</w:t>
      </w:r>
      <w:r>
        <w:rPr>
          <w:rFonts w:hint="eastAsia" w:ascii="仿宋_GB2312" w:hAnsi="仿宋_GB2312" w:eastAsia="仿宋_GB2312" w:cs="仿宋_GB2312"/>
          <w:b w:val="0"/>
          <w:bCs/>
          <w:color w:val="auto"/>
          <w:kern w:val="44"/>
          <w:sz w:val="36"/>
          <w:szCs w:val="36"/>
          <w:lang w:val="zh-CN"/>
        </w:rPr>
        <w:t>）-0</w:t>
      </w:r>
      <w:r>
        <w:rPr>
          <w:rFonts w:hint="eastAsia" w:ascii="仿宋_GB2312" w:hAnsi="仿宋_GB2312" w:eastAsia="仿宋_GB2312" w:cs="仿宋_GB2312"/>
          <w:b w:val="0"/>
          <w:bCs/>
          <w:color w:val="auto"/>
          <w:kern w:val="44"/>
          <w:sz w:val="36"/>
          <w:szCs w:val="36"/>
          <w:lang w:val="en-US" w:eastAsia="zh-CN"/>
        </w:rPr>
        <w:t>09号</w:t>
      </w:r>
      <w:r>
        <w:rPr>
          <w:rFonts w:hint="eastAsia" w:ascii="仿宋_GB2312" w:hAnsi="仿宋_GB2312" w:eastAsia="仿宋_GB2312" w:cs="仿宋_GB2312"/>
          <w:b w:val="0"/>
          <w:bCs/>
          <w:color w:val="auto"/>
          <w:spacing w:val="20"/>
          <w:sz w:val="36"/>
          <w:szCs w:val="36"/>
          <w:lang w:eastAsia="zh-CN"/>
        </w:rPr>
        <w:t>）</w:t>
      </w:r>
    </w:p>
    <w:p>
      <w:pPr>
        <w:pStyle w:val="6"/>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snapToGrid w:val="0"/>
        <w:jc w:val="left"/>
        <w:rPr>
          <w:rFonts w:hint="eastAsia" w:ascii="仿宋_GB2312" w:hAnsi="仿宋_GB2312" w:eastAsia="仿宋_GB2312" w:cs="仿宋_GB2312"/>
          <w:b/>
          <w:color w:val="auto"/>
          <w:sz w:val="32"/>
          <w:szCs w:val="36"/>
        </w:rPr>
      </w:pPr>
    </w:p>
    <w:p>
      <w:pPr>
        <w:snapToGrid w:val="0"/>
        <w:spacing w:line="360" w:lineRule="auto"/>
        <w:ind w:right="-44" w:rightChars="-21" w:firstLine="849" w:firstLineChars="302"/>
        <w:jc w:val="left"/>
        <w:rPr>
          <w:rFonts w:hint="eastAsia" w:ascii="仿宋_GB2312" w:hAnsi="仿宋_GB2312" w:eastAsia="仿宋_GB2312" w:cs="仿宋_GB2312"/>
          <w:b/>
          <w:color w:val="auto"/>
          <w:sz w:val="28"/>
          <w:szCs w:val="36"/>
        </w:rPr>
      </w:pPr>
    </w:p>
    <w:p>
      <w:pPr>
        <w:spacing w:line="500" w:lineRule="exact"/>
        <w:rPr>
          <w:rFonts w:hint="eastAsia" w:ascii="仿宋_GB2312" w:hAnsi="仿宋_GB2312" w:eastAsia="仿宋_GB2312" w:cs="仿宋_GB2312"/>
          <w:b/>
          <w:color w:val="auto"/>
          <w:spacing w:val="20"/>
          <w:sz w:val="32"/>
          <w:szCs w:val="32"/>
        </w:rPr>
      </w:pPr>
    </w:p>
    <w:p>
      <w:pPr>
        <w:spacing w:line="500" w:lineRule="exact"/>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bCs/>
          <w:color w:val="auto"/>
          <w:kern w:val="44"/>
          <w:sz w:val="32"/>
          <w:szCs w:val="32"/>
          <w:lang w:val="zh-CN" w:eastAsia="zh-CN"/>
        </w:rPr>
      </w:pPr>
      <w:r>
        <w:rPr>
          <w:rFonts w:hint="eastAsia" w:ascii="仿宋_GB2312" w:hAnsi="仿宋_GB2312" w:eastAsia="仿宋_GB2312" w:cs="仿宋_GB2312"/>
          <w:b/>
          <w:color w:val="auto"/>
          <w:spacing w:val="20"/>
          <w:sz w:val="32"/>
          <w:szCs w:val="32"/>
          <w:lang w:val="en-US" w:eastAsia="zh-CN"/>
        </w:rPr>
        <w:t xml:space="preserve"> </w:t>
      </w:r>
    </w:p>
    <w:p>
      <w:pPr>
        <w:snapToGrid w:val="0"/>
        <w:spacing w:line="500" w:lineRule="exact"/>
        <w:rPr>
          <w:rFonts w:hint="eastAsia" w:ascii="仿宋_GB2312" w:hAnsi="仿宋_GB2312" w:eastAsia="仿宋_GB2312" w:cs="仿宋_GB2312"/>
          <w:bCs/>
          <w:color w:val="auto"/>
          <w:kern w:val="44"/>
          <w:sz w:val="32"/>
          <w:szCs w:val="32"/>
          <w:lang w:val="en-US" w:eastAsia="zh-CN"/>
        </w:rPr>
      </w:pPr>
      <w:r>
        <w:rPr>
          <w:rFonts w:hint="eastAsia" w:ascii="仿宋_GB2312" w:hAnsi="仿宋_GB2312" w:eastAsia="仿宋_GB2312" w:cs="仿宋_GB2312"/>
          <w:b/>
          <w:color w:val="auto"/>
          <w:spacing w:val="20"/>
          <w:sz w:val="32"/>
          <w:szCs w:val="32"/>
        </w:rPr>
        <w:t>采</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购</w:t>
      </w:r>
      <w:r>
        <w:rPr>
          <w:rFonts w:hint="eastAsia" w:ascii="仿宋_GB2312" w:hAnsi="仿宋_GB2312" w:eastAsia="仿宋_GB2312" w:cs="仿宋_GB2312"/>
          <w:b/>
          <w:color w:val="auto"/>
          <w:spacing w:val="20"/>
          <w:sz w:val="32"/>
          <w:szCs w:val="32"/>
          <w:lang w:val="en-US" w:eastAsia="zh-CN"/>
        </w:rPr>
        <w:t xml:space="preserve"> 人</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lang w:val="en-US" w:eastAsia="zh-CN"/>
        </w:rPr>
        <w:t>中共阿瓦提县委组织部</w:t>
      </w:r>
    </w:p>
    <w:p>
      <w:pPr>
        <w:snapToGrid w:val="0"/>
        <w:spacing w:line="500" w:lineRule="exact"/>
        <w:rPr>
          <w:rFonts w:hint="eastAsia" w:ascii="仿宋_GB2312" w:hAnsi="仿宋_GB2312" w:eastAsia="仿宋_GB2312" w:cs="仿宋_GB2312"/>
          <w:b/>
          <w:color w:val="auto"/>
          <w:spacing w:val="20"/>
          <w:sz w:val="32"/>
          <w:szCs w:val="32"/>
          <w:lang w:val="en-US" w:eastAsia="zh-CN"/>
        </w:rPr>
      </w:pPr>
    </w:p>
    <w:p>
      <w:pPr>
        <w:snapToGrid w:val="0"/>
        <w:spacing w:line="500" w:lineRule="exact"/>
        <w:rPr>
          <w:rFonts w:hint="eastAsia" w:ascii="仿宋_GB2312" w:hAnsi="仿宋_GB2312" w:eastAsia="仿宋_GB2312" w:cs="仿宋_GB2312"/>
          <w:b/>
          <w:bCs/>
          <w:color w:val="auto"/>
          <w:kern w:val="44"/>
          <w:sz w:val="32"/>
          <w:szCs w:val="32"/>
          <w:lang w:eastAsia="zh-CN"/>
        </w:rPr>
      </w:pPr>
      <w:r>
        <w:rPr>
          <w:rFonts w:hint="eastAsia" w:ascii="仿宋_GB2312" w:hAnsi="仿宋_GB2312" w:eastAsia="仿宋_GB2312" w:cs="仿宋_GB2312"/>
          <w:b/>
          <w:color w:val="auto"/>
          <w:spacing w:val="20"/>
          <w:sz w:val="32"/>
          <w:szCs w:val="32"/>
          <w:lang w:val="en-US" w:eastAsia="zh-CN"/>
        </w:rPr>
        <w:t>代理机构</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阿瓦提县</w:t>
      </w:r>
      <w:r>
        <w:rPr>
          <w:rFonts w:hint="eastAsia" w:ascii="仿宋_GB2312" w:hAnsi="仿宋_GB2312" w:eastAsia="仿宋_GB2312" w:cs="仿宋_GB2312"/>
          <w:bCs/>
          <w:color w:val="auto"/>
          <w:kern w:val="44"/>
          <w:sz w:val="32"/>
          <w:szCs w:val="32"/>
          <w:lang w:eastAsia="zh-CN"/>
        </w:rPr>
        <w:t>政务服务和公共资源交易中心</w:t>
      </w: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z w:val="28"/>
          <w:szCs w:val="36"/>
          <w:lang w:val="en-US"/>
        </w:rPr>
      </w:pPr>
      <w:r>
        <w:rPr>
          <w:rFonts w:hint="eastAsia" w:ascii="仿宋_GB2312" w:hAnsi="仿宋_GB2312" w:eastAsia="仿宋_GB2312" w:cs="仿宋_GB2312"/>
          <w:b/>
          <w:color w:val="auto"/>
          <w:spacing w:val="20"/>
          <w:sz w:val="32"/>
          <w:szCs w:val="32"/>
        </w:rPr>
        <w:t xml:space="preserve">时  </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间：</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20</w:t>
      </w:r>
      <w:r>
        <w:rPr>
          <w:rFonts w:hint="eastAsia" w:ascii="仿宋_GB2312" w:hAnsi="仿宋_GB2312" w:eastAsia="仿宋_GB2312" w:cs="仿宋_GB2312"/>
          <w:bCs/>
          <w:color w:val="auto"/>
          <w:kern w:val="44"/>
          <w:sz w:val="32"/>
          <w:szCs w:val="32"/>
          <w:lang w:val="en-US" w:eastAsia="zh-CN"/>
        </w:rPr>
        <w:t>24年9月</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6"/>
          <w:szCs w:val="44"/>
        </w:rPr>
      </w:pPr>
      <w:r>
        <w:rPr>
          <w:rFonts w:hint="eastAsia" w:ascii="仿宋_GB2312" w:hAnsi="仿宋_GB2312" w:eastAsia="仿宋_GB2312" w:cs="仿宋_GB2312"/>
          <w:color w:val="auto"/>
          <w:sz w:val="48"/>
          <w:szCs w:val="56"/>
        </w:rPr>
        <w:br w:type="page"/>
      </w:r>
      <w:r>
        <w:rPr>
          <w:rFonts w:hint="eastAsia" w:ascii="仿宋_GB2312" w:hAnsi="仿宋_GB2312" w:eastAsia="仿宋_GB2312" w:cs="仿宋_GB2312"/>
          <w:b/>
          <w:bCs/>
          <w:color w:val="auto"/>
          <w:sz w:val="48"/>
          <w:szCs w:val="56"/>
        </w:rPr>
        <w:t>目</w:t>
      </w:r>
      <w:r>
        <w:rPr>
          <w:rFonts w:hint="eastAsia" w:ascii="仿宋_GB2312" w:hAnsi="仿宋_GB2312" w:eastAsia="仿宋_GB2312" w:cs="仿宋_GB2312"/>
          <w:b/>
          <w:bCs/>
          <w:color w:val="auto"/>
          <w:sz w:val="48"/>
          <w:szCs w:val="56"/>
          <w:lang w:val="en-US" w:eastAsia="zh-CN"/>
        </w:rPr>
        <w:t xml:space="preserve">  </w:t>
      </w:r>
      <w:r>
        <w:rPr>
          <w:rFonts w:hint="eastAsia" w:ascii="仿宋_GB2312" w:hAnsi="仿宋_GB2312" w:eastAsia="仿宋_GB2312" w:cs="仿宋_GB2312"/>
          <w:b/>
          <w:bCs/>
          <w:color w:val="auto"/>
          <w:sz w:val="48"/>
          <w:szCs w:val="56"/>
        </w:rPr>
        <w:t>录</w:t>
      </w:r>
    </w:p>
    <w:p>
      <w:pPr>
        <w:pStyle w:val="21"/>
        <w:tabs>
          <w:tab w:val="right" w:leader="dot" w:pos="8312"/>
        </w:tabs>
        <w:rPr>
          <w:rFonts w:hint="eastAsia" w:ascii="仿宋_GB2312" w:hAnsi="仿宋_GB2312" w:eastAsia="仿宋_GB2312" w:cs="仿宋_GB2312"/>
          <w:color w:val="auto"/>
          <w:sz w:val="32"/>
          <w:szCs w:val="32"/>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TOC \o "1-1" \h \u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_Toc19918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第一章 </w:t>
      </w:r>
      <w:r>
        <w:rPr>
          <w:rFonts w:hint="eastAsia" w:ascii="仿宋_GB2312" w:hAnsi="仿宋_GB2312" w:eastAsia="仿宋_GB2312" w:cs="仿宋_GB2312"/>
          <w:b w:val="0"/>
          <w:bCs w:val="0"/>
          <w:kern w:val="2"/>
          <w:sz w:val="32"/>
          <w:szCs w:val="32"/>
          <w:lang w:val="en-US" w:eastAsia="zh-CN" w:bidi="ar-SA"/>
        </w:rPr>
        <w:t>竞争性磋商公告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第二章 </w:t>
      </w:r>
      <w:r>
        <w:rPr>
          <w:rFonts w:hint="eastAsia" w:ascii="仿宋_GB2312" w:hAnsi="仿宋_GB2312" w:eastAsia="仿宋_GB2312" w:cs="仿宋_GB2312"/>
          <w:b w:val="0"/>
          <w:bCs w:val="0"/>
          <w:kern w:val="2"/>
          <w:sz w:val="32"/>
          <w:szCs w:val="32"/>
          <w:lang w:val="en-US" w:eastAsia="zh-CN" w:bidi="ar-SA"/>
        </w:rPr>
        <w:t>供应商须知</w:t>
      </w:r>
      <w:r>
        <w:rPr>
          <w:rFonts w:hint="eastAsia" w:ascii="仿宋_GB2312" w:hAnsi="仿宋_GB2312" w:eastAsia="仿宋_GB2312" w:cs="仿宋_GB2312"/>
          <w:b w:val="0"/>
          <w:bCs w:val="0"/>
          <w:kern w:val="2"/>
          <w:sz w:val="32"/>
          <w:szCs w:val="32"/>
          <w:lang w:val="en-US" w:eastAsia="zh-CN" w:bidi="ar-SA"/>
        </w:rPr>
        <w:tab/>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_Toc21245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第三章 </w:t>
      </w:r>
      <w:r>
        <w:rPr>
          <w:rFonts w:hint="eastAsia" w:ascii="仿宋_GB2312" w:hAnsi="仿宋_GB2312" w:eastAsia="仿宋_GB2312" w:cs="仿宋_GB2312"/>
          <w:b w:val="0"/>
          <w:bCs w:val="0"/>
          <w:kern w:val="2"/>
          <w:sz w:val="32"/>
          <w:szCs w:val="32"/>
          <w:lang w:val="en-US" w:eastAsia="zh-CN" w:bidi="ar-SA"/>
        </w:rPr>
        <w:t>采购需求说明</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_Toc5281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第四章 </w:t>
      </w:r>
      <w:r>
        <w:rPr>
          <w:rFonts w:hint="eastAsia" w:ascii="仿宋_GB2312" w:hAnsi="仿宋_GB2312" w:eastAsia="仿宋_GB2312" w:cs="仿宋_GB2312"/>
          <w:kern w:val="2"/>
          <w:sz w:val="32"/>
          <w:szCs w:val="32"/>
          <w:lang w:val="en-US" w:eastAsia="zh-CN" w:bidi="ar-SA"/>
        </w:rPr>
        <w:t>合同条款及格式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_Toc4667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w:t>
      </w:r>
      <w:r>
        <w:rPr>
          <w:rFonts w:hint="eastAsia" w:ascii="仿宋_GB2312" w:hAnsi="仿宋_GB2312" w:eastAsia="仿宋_GB2312" w:cs="仿宋_GB2312"/>
          <w:b w:val="0"/>
          <w:bCs w:val="0"/>
          <w:kern w:val="2"/>
          <w:sz w:val="32"/>
          <w:szCs w:val="32"/>
          <w:lang w:val="en-US" w:eastAsia="zh-CN" w:bidi="ar-SA"/>
        </w:rPr>
        <w:t xml:space="preserve"> 响应文件及格式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sectPr>
          <w:headerReference r:id="rId4" w:type="default"/>
          <w:pgSz w:w="11906" w:h="16838"/>
          <w:pgMar w:top="1440" w:right="1797" w:bottom="1440" w:left="1797" w:header="1089" w:footer="754" w:gutter="0"/>
          <w:pgNumType w:fmt="numberInDash"/>
          <w:cols w:space="720" w:num="1"/>
          <w:titlePg/>
          <w:docGrid w:linePitch="312" w:charSpace="0"/>
        </w:sectPr>
      </w:pPr>
      <w:r>
        <w:rPr>
          <w:rFonts w:hint="eastAsia" w:ascii="仿宋_GB2312" w:hAnsi="仿宋_GB2312" w:eastAsia="仿宋_GB2312" w:cs="仿宋_GB2312"/>
          <w:b/>
          <w:bCs/>
          <w:kern w:val="2"/>
          <w:sz w:val="32"/>
          <w:szCs w:val="32"/>
          <w:lang w:val="en-US" w:eastAsia="zh-CN" w:bidi="ar-SA"/>
        </w:rPr>
        <w:fldChar w:fldCharType="end"/>
      </w:r>
    </w:p>
    <w:p>
      <w:pPr>
        <w:pStyle w:val="3"/>
        <w:numPr>
          <w:ilvl w:val="0"/>
          <w:numId w:val="0"/>
        </w:numPr>
        <w:tabs>
          <w:tab w:val="left" w:pos="0"/>
        </w:tabs>
        <w:autoSpaceDE w:val="0"/>
        <w:autoSpaceDN w:val="0"/>
        <w:adjustRightInd w:val="0"/>
        <w:spacing w:before="0" w:after="0" w:line="360" w:lineRule="auto"/>
        <w:jc w:val="center"/>
        <w:rPr>
          <w:rFonts w:hint="eastAsia" w:ascii="仿宋_GB2312" w:hAnsi="仿宋_GB2312" w:eastAsia="仿宋_GB2312" w:cs="仿宋_GB2312"/>
          <w:b/>
          <w:bCs w:val="0"/>
          <w:color w:val="auto"/>
          <w:spacing w:val="0"/>
          <w:kern w:val="44"/>
          <w:sz w:val="36"/>
          <w:szCs w:val="36"/>
          <w:lang w:val="en-US" w:eastAsia="zh-CN"/>
        </w:rPr>
      </w:pPr>
      <w:r>
        <w:rPr>
          <w:rFonts w:hint="eastAsia" w:ascii="仿宋_GB2312" w:hAnsi="仿宋_GB2312" w:eastAsia="仿宋_GB2312" w:cs="仿宋_GB2312"/>
          <w:b/>
          <w:bCs w:val="0"/>
          <w:color w:val="auto"/>
          <w:spacing w:val="0"/>
          <w:kern w:val="44"/>
          <w:sz w:val="36"/>
          <w:szCs w:val="36"/>
          <w:lang w:val="en-US" w:eastAsia="zh-CN"/>
        </w:rPr>
        <w:t>第一章竞争性磋商公告</w:t>
      </w:r>
    </w:p>
    <w:p>
      <w:pPr>
        <w:rPr>
          <w:rFonts w:hint="eastAsia" w:ascii="仿宋_GB2312" w:hAnsi="仿宋_GB2312" w:eastAsia="仿宋_GB2312" w:cs="仿宋_GB231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single"/>
          <w:lang w:val="en-US" w:eastAsia="zh-CN" w:bidi="ar-SA"/>
        </w:rPr>
        <w:t>中共阿瓦提县委组织部采购阿瓦提县绍阿人才培训交流中心建设项目</w:t>
      </w:r>
      <w:r>
        <w:rPr>
          <w:rFonts w:hint="eastAsia" w:ascii="仿宋_GB2312" w:hAnsi="仿宋_GB2312" w:eastAsia="仿宋_GB2312" w:cs="仿宋_GB2312"/>
          <w:b w:val="0"/>
          <w:bCs w:val="0"/>
          <w:color w:val="000000"/>
          <w:spacing w:val="0"/>
          <w:kern w:val="2"/>
          <w:sz w:val="28"/>
          <w:szCs w:val="28"/>
          <w:highlight w:val="none"/>
          <w:lang w:val="en-US" w:eastAsia="zh-CN" w:bidi="ar-SA"/>
        </w:rPr>
        <w:t>的潜在供应商应在政府采购云平台获取采购文件，并于</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2024年9月14日</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10</w:t>
      </w:r>
      <w:r>
        <w:rPr>
          <w:rFonts w:hint="eastAsia" w:ascii="仿宋_GB2312" w:hAnsi="仿宋_GB2312" w:eastAsia="仿宋_GB2312" w:cs="仿宋_GB2312"/>
          <w:b w:val="0"/>
          <w:bCs w:val="0"/>
          <w:i w:val="0"/>
          <w:iCs w:val="0"/>
          <w:caps w:val="0"/>
          <w:color w:val="auto"/>
          <w:spacing w:val="0"/>
          <w:sz w:val="28"/>
          <w:szCs w:val="28"/>
          <w:highlight w:val="none"/>
          <w:u w:val="single"/>
        </w:rPr>
        <w:t>:</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30</w:t>
      </w:r>
      <w:r>
        <w:rPr>
          <w:rFonts w:hint="eastAsia" w:ascii="仿宋_GB2312" w:hAnsi="仿宋_GB2312" w:eastAsia="仿宋_GB2312" w:cs="仿宋_GB2312"/>
          <w:b w:val="0"/>
          <w:bCs w:val="0"/>
          <w:color w:val="000000"/>
          <w:spacing w:val="0"/>
          <w:kern w:val="2"/>
          <w:sz w:val="28"/>
          <w:szCs w:val="28"/>
          <w:highlight w:val="none"/>
          <w:lang w:val="en-US" w:eastAsia="zh-CN" w:bidi="ar-SA"/>
        </w:rPr>
        <w:t>前上传电子加密响应文件（JMBS格式）至政府采购云平台投标客户端。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一、项目基本情况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项目编号：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AWT-ZFCG-20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（JZX</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CS</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09号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singl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项目名称：中共阿瓦提县委组织部采购阿瓦提县绍阿人才培训交流中心建设项目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采购方式：竞争性磋商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预算金额：2000000元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最高限价2000000元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项目类型：工程类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采购需求：具体详见磋商文件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合同履行期限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：自合同签订之日起40日历天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bCs/>
          <w:color w:val="FF0000"/>
          <w:sz w:val="24"/>
          <w:szCs w:val="24"/>
          <w:highlight w:val="yellow"/>
          <w:u w:val="single"/>
          <w:lang w:eastAsia="zh-CN"/>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本项目（否）接受联合体。</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FF0000"/>
          <w:sz w:val="24"/>
          <w:szCs w:val="24"/>
          <w:highlight w:val="yellow"/>
          <w:u w:val="single"/>
          <w:lang w:eastAsia="zh-CN"/>
        </w:rPr>
        <w:t>备注：</w:t>
      </w:r>
      <w:r>
        <w:rPr>
          <w:rFonts w:hint="eastAsia" w:ascii="仿宋_GB2312" w:hAnsi="仿宋_GB2312" w:eastAsia="仿宋_GB2312" w:cs="仿宋_GB2312"/>
          <w:color w:val="FF0000"/>
          <w:sz w:val="24"/>
          <w:szCs w:val="24"/>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4"/>
          <w:szCs w:val="24"/>
          <w:highlight w:val="yellow"/>
          <w:u w:val="single"/>
          <w:lang w:eastAsia="zh-CN"/>
        </w:rPr>
        <w:t>。</w:t>
      </w:r>
      <w:r>
        <w:rPr>
          <w:rFonts w:hint="eastAsia" w:ascii="仿宋_GB2312" w:hAnsi="仿宋_GB2312" w:eastAsia="仿宋_GB2312" w:cs="仿宋_GB2312"/>
          <w:color w:val="FF0000"/>
          <w:sz w:val="24"/>
          <w:szCs w:val="24"/>
          <w:highlight w:val="yellow"/>
          <w:u w:val="single"/>
        </w:rPr>
        <w:t>本项目不允许进口产品参与投标。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numPr>
          <w:ilvl w:val="0"/>
          <w:numId w:val="0"/>
        </w:numPr>
        <w:snapToGrid w:val="0"/>
        <w:spacing w:line="500" w:lineRule="exact"/>
        <w:ind w:firstLine="560" w:firstLineChars="200"/>
        <w:rPr>
          <w:rFonts w:hint="eastAsia" w:ascii="仿宋_GB2312" w:hAnsi="仿宋_GB2312" w:eastAsia="仿宋_GB2312" w:cs="仿宋_GB2312"/>
          <w:b/>
          <w:bCs/>
          <w:color w:val="auto"/>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pacing w:val="0"/>
          <w:kern w:val="2"/>
          <w:sz w:val="28"/>
          <w:szCs w:val="28"/>
          <w:highlight w:val="none"/>
          <w:u w:val="none"/>
          <w:lang w:val="zh-CN" w:eastAsia="zh-CN" w:bidi="ar-SA"/>
        </w:rPr>
        <w:t>本项目</w:t>
      </w:r>
      <w:r>
        <w:rPr>
          <w:rFonts w:hint="eastAsia" w:ascii="仿宋_GB2312" w:hAnsi="仿宋_GB2312" w:eastAsia="仿宋_GB2312" w:cs="仿宋_GB2312"/>
          <w:b/>
          <w:bCs/>
          <w:color w:val="auto"/>
          <w:spacing w:val="0"/>
          <w:kern w:val="2"/>
          <w:sz w:val="28"/>
          <w:szCs w:val="28"/>
          <w:highlight w:val="none"/>
          <w:u w:val="none"/>
          <w:lang w:val="en-US" w:eastAsia="zh-CN" w:bidi="ar-SA"/>
        </w:rPr>
        <w:t>专门</w:t>
      </w:r>
      <w:r>
        <w:rPr>
          <w:rFonts w:hint="eastAsia" w:ascii="仿宋_GB2312" w:hAnsi="仿宋_GB2312" w:eastAsia="仿宋_GB2312" w:cs="仿宋_GB2312"/>
          <w:b/>
          <w:bCs/>
          <w:color w:val="auto"/>
          <w:spacing w:val="0"/>
          <w:kern w:val="2"/>
          <w:sz w:val="28"/>
          <w:szCs w:val="28"/>
          <w:highlight w:val="none"/>
          <w:u w:val="none"/>
          <w:lang w:val="zh-CN" w:eastAsia="zh-CN" w:bidi="ar-SA"/>
        </w:rPr>
        <w:t>面向中小企业，</w:t>
      </w:r>
      <w:r>
        <w:rPr>
          <w:rFonts w:hint="eastAsia" w:ascii="仿宋_GB2312" w:hAnsi="仿宋_GB2312" w:eastAsia="仿宋_GB2312" w:cs="仿宋_GB2312"/>
          <w:b/>
          <w:bCs/>
          <w:color w:val="auto"/>
          <w:spacing w:val="0"/>
          <w:kern w:val="2"/>
          <w:sz w:val="28"/>
          <w:szCs w:val="28"/>
          <w:highlight w:val="none"/>
          <w:u w:val="none"/>
          <w:lang w:val="en-US" w:eastAsia="zh-CN" w:bidi="ar-SA"/>
        </w:rPr>
        <w:t>即</w:t>
      </w:r>
      <w:r>
        <w:rPr>
          <w:rFonts w:hint="eastAsia" w:ascii="仿宋_GB2312" w:hAnsi="仿宋_GB2312" w:eastAsia="仿宋_GB2312" w:cs="仿宋_GB2312"/>
          <w:b/>
          <w:bCs/>
          <w:color w:val="auto"/>
          <w:spacing w:val="0"/>
          <w:kern w:val="2"/>
          <w:sz w:val="28"/>
          <w:szCs w:val="28"/>
          <w:highlight w:val="none"/>
          <w:u w:val="none"/>
          <w:lang w:val="zh-CN" w:eastAsia="zh-CN" w:bidi="ar-SA"/>
        </w:rPr>
        <w:t>工程的施工单位全部为符合政策要求的中</w:t>
      </w:r>
      <w:r>
        <w:rPr>
          <w:rFonts w:hint="eastAsia" w:ascii="仿宋_GB2312" w:hAnsi="仿宋_GB2312" w:eastAsia="仿宋_GB2312" w:cs="仿宋_GB2312"/>
          <w:b/>
          <w:bCs/>
          <w:color w:val="auto"/>
          <w:spacing w:val="0"/>
          <w:kern w:val="2"/>
          <w:sz w:val="28"/>
          <w:szCs w:val="28"/>
          <w:highlight w:val="none"/>
          <w:u w:val="none"/>
          <w:lang w:val="en-US" w:eastAsia="zh-CN" w:bidi="ar-SA"/>
        </w:rPr>
        <w:t>型/小型/微型</w:t>
      </w:r>
      <w:r>
        <w:rPr>
          <w:rFonts w:hint="eastAsia" w:ascii="仿宋_GB2312" w:hAnsi="仿宋_GB2312" w:eastAsia="仿宋_GB2312" w:cs="仿宋_GB2312"/>
          <w:b/>
          <w:bCs/>
          <w:color w:val="auto"/>
          <w:spacing w:val="0"/>
          <w:kern w:val="2"/>
          <w:sz w:val="28"/>
          <w:szCs w:val="28"/>
          <w:highlight w:val="none"/>
          <w:u w:val="none"/>
          <w:lang w:val="zh-CN" w:eastAsia="zh-CN" w:bidi="ar-SA"/>
        </w:rPr>
        <w:t>企业</w:t>
      </w:r>
      <w:r>
        <w:rPr>
          <w:rFonts w:hint="eastAsia" w:ascii="仿宋_GB2312" w:hAnsi="仿宋_GB2312" w:eastAsia="仿宋_GB2312" w:cs="仿宋_GB2312"/>
          <w:b/>
          <w:bCs/>
          <w:color w:val="auto"/>
          <w:spacing w:val="0"/>
          <w:kern w:val="2"/>
          <w:sz w:val="28"/>
          <w:szCs w:val="28"/>
          <w:highlight w:val="none"/>
          <w:u w:val="none"/>
          <w:lang w:val="en-US" w:eastAsia="zh-CN" w:bidi="ar-SA"/>
        </w:rPr>
        <w:t>承建</w:t>
      </w:r>
      <w:r>
        <w:rPr>
          <w:rFonts w:hint="eastAsia" w:ascii="仿宋_GB2312" w:hAnsi="仿宋_GB2312" w:eastAsia="仿宋_GB2312" w:cs="仿宋_GB2312"/>
          <w:b/>
          <w:bCs/>
          <w:color w:val="auto"/>
          <w:spacing w:val="0"/>
          <w:kern w:val="2"/>
          <w:sz w:val="28"/>
          <w:szCs w:val="28"/>
          <w:highlight w:val="none"/>
          <w:u w:val="none"/>
          <w:lang w:val="zh-CN" w:eastAsia="zh-CN" w:bidi="ar-SA"/>
        </w:rPr>
        <w:t>。</w:t>
      </w:r>
    </w:p>
    <w:p>
      <w:pPr>
        <w:snapToGrid w:val="0"/>
        <w:spacing w:line="500" w:lineRule="exact"/>
        <w:ind w:firstLine="562"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bCs/>
          <w:color w:val="000000"/>
          <w:spacing w:val="0"/>
          <w:kern w:val="2"/>
          <w:sz w:val="28"/>
          <w:szCs w:val="28"/>
          <w:highlight w:val="none"/>
          <w:u w:val="none"/>
          <w:lang w:val="en-US" w:eastAsia="zh-CN" w:bidi="ar-SA"/>
        </w:rPr>
        <w:t>并上传以下资料：</w:t>
      </w:r>
    </w:p>
    <w:p>
      <w:pPr>
        <w:numPr>
          <w:ilvl w:val="0"/>
          <w:numId w:val="0"/>
        </w:numPr>
        <w:snapToGrid w:val="0"/>
        <w:spacing w:line="500" w:lineRule="exact"/>
        <w:ind w:firstLine="56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highlight w:val="none"/>
          <w:lang w:val="en-US" w:eastAsia="zh-CN"/>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在处罚</w:t>
      </w:r>
      <w:r>
        <w:rPr>
          <w:rFonts w:hint="eastAsia" w:ascii="仿宋_GB2312" w:hAnsi="仿宋_GB2312" w:eastAsia="仿宋_GB2312" w:cs="仿宋_GB2312"/>
          <w:color w:val="auto"/>
          <w:sz w:val="28"/>
          <w:szCs w:val="28"/>
          <w:lang w:eastAsia="zh-CN"/>
        </w:rPr>
        <w:t>期内（专家评委通过系统查询进行资格审查）</w:t>
      </w:r>
      <w:r>
        <w:rPr>
          <w:rFonts w:hint="eastAsia" w:ascii="仿宋_GB2312" w:hAnsi="仿宋_GB2312" w:eastAsia="仿宋_GB2312" w:cs="仿宋_GB2312"/>
          <w:color w:val="auto"/>
          <w:sz w:val="28"/>
          <w:szCs w:val="28"/>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）法定代表人需提供身份证明及身份证、投标企业法定代表人授权委托人参与开标全过程的，参加的授权委托人提供附有法定代表人身份证明的授权委托书（模板详见</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lang w:eastAsia="zh-CN"/>
        </w:rPr>
        <w:t>文件）及被委托人身份证原件。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）投标企业对年度财务审计报告</w:t>
      </w:r>
      <w:r>
        <w:rPr>
          <w:rFonts w:hint="eastAsia" w:ascii="仿宋_GB2312" w:hAnsi="仿宋_GB2312" w:eastAsia="仿宋_GB2312" w:cs="仿宋_GB2312"/>
          <w:color w:val="auto"/>
          <w:sz w:val="28"/>
          <w:szCs w:val="28"/>
          <w:lang w:eastAsia="zh-CN"/>
        </w:rPr>
        <w:t>或财务报表</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年任意一年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rPr>
        <w:t>完税证明（如未缴税的需提供其相关税务部门开具的资料证明）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法人、授权委托人近三个月盖有社保局公章的社保缴纳证明（退休人员提供退休证）</w:t>
      </w:r>
      <w:r>
        <w:rPr>
          <w:rFonts w:hint="eastAsia" w:ascii="仿宋_GB2312" w:hAnsi="仿宋_GB2312" w:eastAsia="仿宋_GB2312" w:cs="仿宋_GB2312"/>
          <w:color w:val="auto"/>
          <w:sz w:val="28"/>
          <w:szCs w:val="28"/>
          <w:lang w:eastAsia="zh-CN"/>
        </w:rPr>
        <w:t>等材料的原件扫描件。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lang w:val="en-US" w:eastAsia="zh-CN"/>
        </w:rPr>
        <w:t>传《中小企业声明函》原件。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0000"/>
          <w:spacing w:val="0"/>
          <w:kern w:val="2"/>
          <w:sz w:val="28"/>
          <w:szCs w:val="28"/>
          <w:highlight w:val="none"/>
          <w:u w:val="none"/>
          <w:lang w:val="en-US" w:eastAsia="zh-CN" w:bidi="ar-SA"/>
        </w:rPr>
      </w:pPr>
      <w:r>
        <w:rPr>
          <w:rFonts w:hint="eastAsia" w:ascii="仿宋_GB2312" w:hAnsi="仿宋_GB2312" w:eastAsia="仿宋_GB2312" w:cs="仿宋_GB2312"/>
          <w:b w:val="0"/>
          <w:bCs w:val="0"/>
          <w:color w:val="FF0000"/>
          <w:spacing w:val="0"/>
          <w:kern w:val="2"/>
          <w:sz w:val="28"/>
          <w:szCs w:val="28"/>
          <w:highlight w:val="none"/>
          <w:u w:val="none"/>
          <w:lang w:val="en-US" w:eastAsia="zh-CN" w:bidi="ar-SA"/>
        </w:rPr>
        <w:t>注：上述证件齐全、满足要求的投标人为有效投标人。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zh-CN"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三、</w:t>
      </w:r>
      <w:r>
        <w:rPr>
          <w:rFonts w:hint="eastAsia" w:ascii="黑体" w:hAnsi="黑体" w:eastAsia="黑体" w:cs="黑体"/>
          <w:b w:val="0"/>
          <w:bCs w:val="0"/>
          <w:color w:val="000000"/>
          <w:spacing w:val="0"/>
          <w:kern w:val="2"/>
          <w:sz w:val="28"/>
          <w:szCs w:val="28"/>
          <w:highlight w:val="none"/>
          <w:u w:val="none"/>
          <w:lang w:val="zh-CN" w:eastAsia="zh-CN" w:bidi="ar-SA"/>
        </w:rPr>
        <w:t>获取采购文件</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时间：</w:t>
      </w:r>
      <w:bookmarkStart w:id="0" w:name="OLE_LINK9"/>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2024年9月7日至2024年9月13日（法定节假日除外）</w:t>
      </w:r>
      <w:bookmarkEnd w:id="0"/>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地点：</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新疆政府采购网（政采云一站式政府采购云平台）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方式：供应商登录政采云平台https://</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sz w:val="28"/>
          <w:szCs w:val="28"/>
          <w:lang w:val="en-US" w:eastAsia="zh-CN"/>
        </w:rPr>
        <w:t>四、</w:t>
      </w:r>
      <w:r>
        <w:rPr>
          <w:rFonts w:hint="eastAsia" w:ascii="仿宋_GB2312" w:hAnsi="仿宋_GB2312" w:eastAsia="仿宋_GB2312" w:cs="仿宋_GB2312"/>
          <w:b w:val="0"/>
          <w:sz w:val="28"/>
          <w:szCs w:val="28"/>
        </w:rPr>
        <w:t>响应文件提交</w:t>
      </w:r>
      <w:r>
        <w:rPr>
          <w:rFonts w:hint="eastAsia" w:ascii="仿宋_GB2312" w:hAnsi="仿宋_GB2312" w:eastAsia="仿宋_GB2312" w:cs="仿宋_GB2312"/>
          <w:b w:val="0"/>
          <w:sz w:val="28"/>
          <w:szCs w:val="28"/>
          <w:lang w:eastAsia="zh-CN"/>
        </w:rPr>
        <w:t>截止时间</w:t>
      </w:r>
      <w:r>
        <w:rPr>
          <w:rFonts w:hint="eastAsia" w:ascii="仿宋_GB2312" w:hAnsi="仿宋_GB2312" w:eastAsia="仿宋_GB2312" w:cs="仿宋_GB2312"/>
          <w:b w:val="0"/>
          <w:sz w:val="28"/>
          <w:szCs w:val="28"/>
        </w:rPr>
        <w:t>、地点：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000000"/>
          <w:spacing w:val="0"/>
          <w:sz w:val="28"/>
          <w:szCs w:val="28"/>
          <w:highlight w:val="none"/>
        </w:rPr>
        <w:t>截止时间：</w:t>
      </w:r>
      <w:bookmarkStart w:id="1" w:name="OLE_LINK10"/>
      <w:bookmarkStart w:id="10" w:name="_GoBack"/>
      <w:r>
        <w:rPr>
          <w:rFonts w:hint="eastAsia" w:ascii="仿宋_GB2312" w:hAnsi="仿宋_GB2312" w:eastAsia="仿宋_GB2312" w:cs="仿宋_GB2312"/>
          <w:i w:val="0"/>
          <w:iCs w:val="0"/>
          <w:caps w:val="0"/>
          <w:color w:val="000000"/>
          <w:spacing w:val="0"/>
          <w:sz w:val="28"/>
          <w:szCs w:val="28"/>
          <w:highlight w:val="none"/>
          <w:lang w:val="en-US" w:eastAsia="zh-CN"/>
        </w:rPr>
        <w:t>2024年9月14日10</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i w:val="0"/>
          <w:iCs w:val="0"/>
          <w:caps w:val="0"/>
          <w:color w:val="000000"/>
          <w:spacing w:val="0"/>
          <w:sz w:val="28"/>
          <w:szCs w:val="28"/>
          <w:highlight w:val="none"/>
        </w:rPr>
        <w:t>（北京时间）</w:t>
      </w:r>
      <w:bookmarkEnd w:id="1"/>
      <w:bookmarkEnd w:id="1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i w:val="0"/>
          <w:iCs w:val="0"/>
          <w:caps w:val="0"/>
          <w:color w:val="000000"/>
          <w:spacing w:val="0"/>
          <w:sz w:val="28"/>
          <w:szCs w:val="28"/>
        </w:rPr>
        <w:t>响应文件提交</w:t>
      </w:r>
      <w:r>
        <w:rPr>
          <w:rFonts w:hint="eastAsia" w:ascii="仿宋_GB2312" w:hAnsi="仿宋_GB2312" w:eastAsia="仿宋_GB2312" w:cs="仿宋_GB2312"/>
          <w:color w:val="000000"/>
          <w:sz w:val="28"/>
          <w:szCs w:val="28"/>
        </w:rPr>
        <w:t>地点</w:t>
      </w:r>
      <w:r>
        <w:rPr>
          <w:rFonts w:hint="eastAsia" w:ascii="仿宋_GB2312" w:hAnsi="仿宋_GB2312" w:eastAsia="仿宋_GB2312" w:cs="仿宋_GB2312"/>
          <w:color w:val="000000"/>
          <w:sz w:val="28"/>
          <w:szCs w:val="28"/>
          <w:lang w:eastAsia="zh-CN"/>
        </w:rPr>
        <w:t>及格式</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b w:val="0"/>
          <w:bCs w:val="0"/>
          <w:color w:val="000000"/>
          <w:kern w:val="2"/>
          <w:sz w:val="28"/>
          <w:szCs w:val="28"/>
          <w:highlight w:val="none"/>
          <w:lang w:val="en-US" w:eastAsia="zh-CN" w:bidi="ar-SA"/>
        </w:rPr>
        <w:t>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b w:val="0"/>
          <w:bCs w:val="0"/>
          <w:color w:val="000000"/>
          <w:kern w:val="2"/>
          <w:sz w:val="28"/>
          <w:szCs w:val="28"/>
          <w:highlight w:val="none"/>
          <w:lang w:val="en-US" w:eastAsia="zh-CN" w:bidi="ar-SA"/>
        </w:rPr>
        <w:t>）上传至</w:t>
      </w:r>
      <w:r>
        <w:rPr>
          <w:rFonts w:hint="eastAsia" w:ascii="仿宋_GB2312" w:hAnsi="仿宋_GB2312" w:eastAsia="仿宋_GB2312" w:cs="仿宋_GB2312"/>
          <w:color w:val="000000"/>
          <w:sz w:val="28"/>
          <w:szCs w:val="28"/>
          <w:highlight w:val="none"/>
          <w:lang w:val="en-US" w:eastAsia="zh-CN"/>
        </w:rPr>
        <w:t>政府采购云平台投标客户端</w:t>
      </w:r>
      <w:r>
        <w:rPr>
          <w:rFonts w:hint="eastAsia" w:ascii="仿宋_GB2312" w:hAnsi="仿宋_GB2312" w:eastAsia="仿宋_GB2312" w:cs="仿宋_GB2312"/>
          <w:color w:val="000000"/>
          <w:kern w:val="2"/>
          <w:sz w:val="28"/>
          <w:szCs w:val="28"/>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五、开标时间、地点及响应文件解密时长：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开标时</w:t>
      </w:r>
      <w:r>
        <w:rPr>
          <w:rFonts w:hint="eastAsia" w:ascii="仿宋_GB2312" w:hAnsi="仿宋_GB2312" w:eastAsia="仿宋_GB2312" w:cs="仿宋_GB2312"/>
          <w:sz w:val="28"/>
          <w:szCs w:val="28"/>
          <w:highlight w:val="none"/>
        </w:rPr>
        <w:t>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2024年9月14日</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10</w:t>
      </w:r>
      <w:r>
        <w:rPr>
          <w:rFonts w:hint="eastAsia" w:ascii="仿宋_GB2312" w:hAnsi="仿宋_GB2312" w:eastAsia="仿宋_GB2312" w:cs="仿宋_GB2312"/>
          <w:b w:val="0"/>
          <w:bCs w:val="0"/>
          <w:i w:val="0"/>
          <w:iCs w:val="0"/>
          <w:caps w:val="0"/>
          <w:color w:val="auto"/>
          <w:spacing w:val="0"/>
          <w:sz w:val="28"/>
          <w:szCs w:val="28"/>
          <w:highlight w:val="none"/>
          <w:u w:val="none"/>
        </w:rPr>
        <w:t>:</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30</w:t>
      </w:r>
      <w:r>
        <w:rPr>
          <w:rFonts w:hint="eastAsia" w:ascii="仿宋_GB2312" w:hAnsi="仿宋_GB2312" w:eastAsia="仿宋_GB2312" w:cs="仿宋_GB2312"/>
          <w:i w:val="0"/>
          <w:iCs w:val="0"/>
          <w:caps w:val="0"/>
          <w:color w:val="000000"/>
          <w:spacing w:val="0"/>
          <w:kern w:val="0"/>
          <w:sz w:val="28"/>
          <w:szCs w:val="28"/>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地点：</w:t>
      </w:r>
      <w:r>
        <w:rPr>
          <w:rFonts w:hint="eastAsia" w:ascii="仿宋_GB2312" w:hAnsi="仿宋_GB2312" w:eastAsia="仿宋_GB2312" w:cs="仿宋_GB2312"/>
          <w:color w:val="000000"/>
          <w:sz w:val="28"/>
          <w:szCs w:val="28"/>
          <w:highlight w:val="none"/>
        </w:rPr>
        <w:t>政采云一站式政府采购云平台</w:t>
      </w:r>
    </w:p>
    <w:p>
      <w:pPr>
        <w:pStyle w:val="16"/>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2"/>
          <w:sz w:val="28"/>
          <w:szCs w:val="28"/>
          <w:lang w:val="en-US" w:eastAsia="zh-CN" w:bidi="ar-SA"/>
        </w:rPr>
        <w:t>响应文件</w:t>
      </w:r>
      <w:r>
        <w:rPr>
          <w:rFonts w:hint="eastAsia" w:ascii="仿宋_GB2312" w:hAnsi="仿宋_GB2312" w:eastAsia="仿宋_GB2312" w:cs="仿宋_GB2312"/>
          <w:color w:val="000000"/>
          <w:sz w:val="28"/>
          <w:szCs w:val="28"/>
          <w:lang w:val="en-US" w:eastAsia="zh-CN"/>
        </w:rPr>
        <w:t>解密时长：30分钟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六、公告期限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28"/>
          <w:szCs w:val="28"/>
        </w:rPr>
        <w:t>自本公告发布之日起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.本公告同时在新疆政府采购网和阿瓦提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县</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人民政府网发布。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采购文件的答疑、澄清将在新疆政府采购网和阿瓦提人民政府网上发布，采购人在新疆政府采购网和阿瓦提人民政府网上发出澄清或修改通知即视为所有供应商收到该澄清或修改通知。请供应商每天自行登录新疆政府采购网和阿瓦提人民政府网随时关注本项目的变更、答疑、澄清文件。</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实行不见面开标（网上投标，网上开标、评标），投标人需办理CA锁。已办理CA锁的，需添加在政府采购云平台使用的功能，登录政采云电子投标客户端制作响应文件，若供应商参与投标,自行承担与投标有关的一切费用。CA锁办理或升级地址：阿克苏市行政服务中心一号楼二楼D5数字证书窗口（地址位于阿克苏市多浪河二期），联系人：卢海霞，咨询电话：0997-2151777，22999746069,17767696492（监督）。或潜在投标人自行登录新疆数字认证中心网站https://www.xjca.com.cn/办理。供应商因未注册入政府采购云平台“供应商库”、或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供应商在开标时须携带制作加密电子响应文件（JMBS格式）所使用的CA锁，电脑须提前配置好浏览器（建议使用360浏览器或谷歌浏览器），以便开标时在线解密。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7.</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投标供应商应当在投标截止时间前，将生成的“电子加密响应文件（JMBS格式）”上传递交至“政府采购云平台”，投标截止时间以后上传递交的响应文件将被“政府采购云平台”拒收。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8.</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本项目响应文件解密时间定为30分钟，如因自身原因导致无法正常解密，后果由供应商自行承担。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9.</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企业下载采购文件后请仔细阅读，如对采购文件内容有质疑，投标人应在采购文件规定的质疑及澄清时间内以书面形式通知采购人。采购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10.</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相互关联的存在实际控制、管理关系的两个企业，不得同时参加同一项目的投标。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11.本项目实行远程异地评标 (主会场: 阿瓦提县政务服务和公共资源交易中心四楼评标室;副会场:温宿县政务服务和公共资源交易中心评标室。磋商小组人数:主会场2人，副会场1人。)</w:t>
      </w:r>
    </w:p>
    <w:p>
      <w:pPr>
        <w:pStyle w:val="14"/>
        <w:spacing w:before="0" w:beforeAutospacing="0" w:after="0" w:afterAutospacing="0" w:line="500" w:lineRule="exact"/>
        <w:ind w:firstLine="560" w:firstLineChars="200"/>
        <w:rPr>
          <w:rFonts w:hint="eastAsia" w:ascii="仿宋_GB2312" w:hAnsi="仿宋_GB2312" w:eastAsia="仿宋_GB2312" w:cs="仿宋_GB2312"/>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必须完成采购范围内所有的工程内容，要求达到安全及其相关规范要求，供应商须对磋商文件、工程量清单所有本工程涉及到的内容作出全部响应，须通过相关部门验收。（报价若有遗漏，供应商均应免费提供遗漏的项目，总报价即为交付使用的价格，总报价为供应商在响应文件中提出的各项支付金额的总和，包括按工程量清单和谈判文件要求内容所报综合单价和合价，以及完成本工程所需要的全部费用，施工期间如遇材料涨价等一切风险，均由供应商自行承担。本项目只允许一个方案报价，所有工作内容必须报全，采购人不接受任何选择的报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工程的投标报价采用工程量清单固定综合单价的方式进行报价。投标报价为供应商在响应文件中提出的各项支付金额的总和，应是完成本须知所列招标工程范围及工期的全部，不得以任何理由予以重复，作为供应商计算单价或总价的依据。</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工程量清单中列明的所有需要填报的单价和合价，供应商均应填报。除纳入投标价格中的非竞争性费用金额（暂定金额、以项为单位设立的暂估价、预备费等）以及规费和安全文明施工费外，未填写的单价和合价，视为此项费用己包括在工程量清单的其他单价和合价中。供应商不得进行投标总价优惠、让利，供应商对投标报价的任何优惠、让利均应体现在清单项目的综合单价中。</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供应商应按采购人提供的统一表格格式按规定的内容填写、签字、盖章，并按采购人提供的工程量清单的内容和计价要求填报投标价，供应商填写的项目编码、项目名称、项目特征、计量单位和工程量必须与采购人提供的一致。</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3供应商的投标总价应与分部分项工程费、措施项目费、其他项目费和规费、税金的合计金额一致，各部分的合计金额应与其中的各分项之和一致。否则评审委员会有权根据实际情况做出不利于供应商的评审决定。</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采购人在签订合同时如对采购内容的数量和服务予以减少，须经财政部门批准后，按成交单价相应调整总价。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质量及验收：国产设备按国家标准（无国家标准的按部标或行业标准）要求制造、验收；需进口的应执行原产地国家有关部门最新颁布的相应正式标准。</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采购人不组织统一考察现场。无论供应商对现场考察与否，都将被视为熟悉履行合同有关的一切情况，并承担一切与报价有关的风险、责任和义务。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pacing w:val="0"/>
          <w:kern w:val="2"/>
          <w:sz w:val="28"/>
          <w:szCs w:val="28"/>
          <w:highlight w:val="none"/>
          <w:u w:val="none"/>
          <w:lang w:val="zh-CN" w:eastAsia="zh-CN" w:bidi="ar-SA"/>
        </w:rPr>
      </w:pPr>
      <w:r>
        <w:rPr>
          <w:rFonts w:hint="eastAsia" w:ascii="仿宋_GB2312" w:hAnsi="仿宋_GB2312" w:eastAsia="仿宋_GB2312" w:cs="仿宋_GB2312"/>
          <w:b/>
          <w:bCs/>
          <w:color w:val="000000"/>
          <w:spacing w:val="0"/>
          <w:kern w:val="2"/>
          <w:sz w:val="28"/>
          <w:szCs w:val="28"/>
          <w:highlight w:val="none"/>
          <w:u w:val="none"/>
          <w:lang w:val="zh-CN" w:eastAsia="zh-CN" w:bidi="ar-SA"/>
        </w:rPr>
        <w:t>特别提示：</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采购限额标准以上，200万元以下的货物和服务采购项目、400万元以下的工程采购项目，适宜由中小企业提供的，采购人应当专门面向中小企业采购。</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超过200万元的货物和服务采购项目，预留该部分采购项目预算总额的30%以上专门面向中小企业采购，其中预留给小微企业的比例不低于60%。</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超过400万元的工程采购项目中适宜由中小企业提供的，预留该部分采购项目预算总额的40%以上专门面向中小企业采购，其中预留给小微企业的比例不低于60%。</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名 称：中共阿瓦提县委组织部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址：阿瓦提县光明中路56号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王亚军 18399219926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采购代理机构信息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名 称：阿瓦提县政务服务和公共资源交易中心（采购中心）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址：新疆阿瓦提县政务服务和公共资源交易中心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联系方式：0997-5122717</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王亚军 18399219926</w:t>
      </w:r>
    </w:p>
    <w:p>
      <w:pPr>
        <w:spacing w:line="360" w:lineRule="auto"/>
        <w:jc w:val="center"/>
        <w:outlineLvl w:val="0"/>
        <w:rPr>
          <w:rFonts w:hint="eastAsia" w:ascii="仿宋_GB2312" w:hAnsi="仿宋_GB2312" w:eastAsia="仿宋_GB2312" w:cs="仿宋_GB2312"/>
          <w:b/>
          <w:bCs/>
          <w:color w:val="auto"/>
          <w:sz w:val="32"/>
          <w:szCs w:val="32"/>
          <w:lang w:val="en-US" w:eastAsia="zh-CN"/>
        </w:rPr>
      </w:pPr>
    </w:p>
    <w:p>
      <w:pPr>
        <w:keepNext w:val="0"/>
        <w:keepLines w:val="0"/>
        <w:widowControl/>
        <w:suppressLineNumbers w:val="0"/>
        <w:jc w:val="left"/>
        <w:rPr>
          <w:rFonts w:hint="eastAsia" w:ascii="仿宋_GB2312" w:hAnsi="仿宋_GB2312" w:eastAsia="仿宋_GB2312" w:cs="仿宋_GB2312"/>
          <w:color w:val="auto"/>
        </w:rPr>
      </w:pPr>
    </w:p>
    <w:p>
      <w:pPr>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供应商</w:t>
      </w:r>
      <w:r>
        <w:rPr>
          <w:rFonts w:hint="eastAsia" w:ascii="仿宋_GB2312" w:hAnsi="仿宋_GB2312" w:eastAsia="仿宋_GB2312" w:cs="仿宋_GB2312"/>
          <w:b/>
          <w:bCs/>
          <w:color w:val="auto"/>
          <w:sz w:val="32"/>
          <w:szCs w:val="32"/>
        </w:rPr>
        <w:t>须知</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须知前附表</w:t>
      </w:r>
    </w:p>
    <w:tbl>
      <w:tblPr>
        <w:tblStyle w:val="17"/>
        <w:tblW w:w="53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37"/>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项号</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pct"/>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kern w:val="2"/>
                <w:sz w:val="28"/>
                <w:szCs w:val="28"/>
                <w:lang w:val="en-US" w:eastAsia="zh-CN" w:bidi="ar-SA"/>
              </w:rPr>
              <w:t>项目名称</w:t>
            </w:r>
          </w:p>
        </w:tc>
        <w:tc>
          <w:tcPr>
            <w:tcW w:w="3355" w:type="pct"/>
            <w:noWrap w:val="0"/>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kern w:val="2"/>
                <w:sz w:val="28"/>
                <w:szCs w:val="28"/>
                <w:lang w:val="en-US" w:eastAsia="zh-CN" w:bidi="ar-SA"/>
              </w:rPr>
              <w:t>中共阿瓦提县委组织部采购阿瓦提县绍阿人才培训交流中心建设项目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eastAsia="zh-CN"/>
              </w:rPr>
              <w:t>采购人</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kern w:val="2"/>
                <w:sz w:val="28"/>
                <w:szCs w:val="28"/>
                <w:lang w:val="en-US" w:eastAsia="zh-CN" w:bidi="ar-SA"/>
              </w:rPr>
              <w:t>中共阿瓦提县委组织部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val="en-US" w:eastAsia="zh-CN"/>
              </w:rPr>
              <w:t>采购</w:t>
            </w:r>
            <w:r>
              <w:rPr>
                <w:rFonts w:hint="eastAsia" w:ascii="仿宋_GB2312" w:hAnsi="仿宋_GB2312" w:eastAsia="仿宋_GB2312" w:cs="仿宋_GB2312"/>
                <w:b/>
                <w:bCs w:val="0"/>
                <w:color w:val="auto"/>
                <w:sz w:val="28"/>
                <w:szCs w:val="28"/>
              </w:rPr>
              <w:t>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竞争性</w:t>
            </w:r>
            <w:r>
              <w:rPr>
                <w:rFonts w:hint="eastAsia" w:ascii="仿宋_GB2312" w:hAnsi="仿宋_GB2312" w:eastAsia="仿宋_GB2312" w:cs="仿宋_GB2312"/>
                <w:color w:val="auto"/>
                <w:sz w:val="28"/>
                <w:szCs w:val="28"/>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审查方式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资格后审</w:t>
            </w: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lang w:val="en-US" w:eastAsia="zh-CN"/>
              </w:rPr>
              <w:t>采购</w:t>
            </w:r>
            <w:r>
              <w:rPr>
                <w:rFonts w:hint="eastAsia" w:ascii="仿宋_GB2312" w:hAnsi="仿宋_GB2312" w:eastAsia="仿宋_GB2312" w:cs="仿宋_GB2312"/>
                <w:b/>
                <w:bCs w:val="0"/>
                <w:color w:val="auto"/>
                <w:kern w:val="0"/>
                <w:sz w:val="28"/>
                <w:szCs w:val="28"/>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资金来源</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2024年援疆资金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代理机构</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阿瓦提县政务服务和公共资源交易中心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项目地点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项目类型</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中小企业划分标准所属行业</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rPr>
              <w:t>本项目属于</w:t>
            </w:r>
            <w:r>
              <w:rPr>
                <w:rFonts w:hint="eastAsia" w:ascii="仿宋_GB2312" w:hAnsi="仿宋_GB2312" w:eastAsia="仿宋_GB2312" w:cs="仿宋_GB2312"/>
                <w:sz w:val="28"/>
                <w:szCs w:val="28"/>
                <w:lang w:val="en-US" w:eastAsia="zh-CN"/>
              </w:rPr>
              <w:t>建筑业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验收标准</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因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量问题发生争议时，以质量技术检验检测机构检验结果为准，如产生检验费用，则该费用由过失方承担。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工期要求</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分包和转包</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本项目不允许分包和转包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eastAsia="zh-CN"/>
              </w:rPr>
              <w:t>供应商</w:t>
            </w:r>
            <w:r>
              <w:rPr>
                <w:rFonts w:hint="eastAsia" w:ascii="仿宋_GB2312" w:hAnsi="仿宋_GB2312" w:eastAsia="仿宋_GB2312" w:cs="仿宋_GB2312"/>
                <w:b/>
                <w:bCs w:val="0"/>
                <w:color w:val="auto"/>
                <w:sz w:val="28"/>
                <w:szCs w:val="28"/>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仿宋_GB2312" w:hAnsi="仿宋_GB2312" w:eastAsia="仿宋_GB2312" w:cs="仿宋_GB2312"/>
                <w:b/>
                <w:bCs w:val="0"/>
                <w:color w:val="auto"/>
                <w:kern w:val="0"/>
                <w:sz w:val="28"/>
                <w:szCs w:val="28"/>
                <w:lang w:val="zh-CN" w:eastAsia="zh-CN"/>
              </w:rPr>
            </w:pP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与采购人存在利害关系可能影响招标公正性的单位，不得参加投标。</w:t>
            </w:r>
            <w:r>
              <w:rPr>
                <w:rFonts w:hint="eastAsia" w:ascii="仿宋_GB2312" w:hAnsi="仿宋_GB2312" w:eastAsia="仿宋_GB2312" w:cs="仿宋_GB2312"/>
                <w:color w:val="auto"/>
                <w:sz w:val="28"/>
                <w:szCs w:val="28"/>
                <w:lang w:val="en-US" w:eastAsia="zh-CN"/>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.落实政府采购政策需满足的资格要求：（1）《政府采购促进中小企业发展暂行办法》（财库〔2020〕46号）；（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）《财政部民政部中国残疾人联合会关于促进残疾人就业政府采购政策的通知》财库〔2017〕141号；（</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z w:val="28"/>
                <w:szCs w:val="28"/>
                <w:highlight w:val="none"/>
                <w:lang w:val="zh-CN" w:eastAsia="zh-CN"/>
              </w:rPr>
              <w:t>本项目</w:t>
            </w:r>
            <w:r>
              <w:rPr>
                <w:rFonts w:hint="eastAsia" w:ascii="仿宋_GB2312" w:hAnsi="仿宋_GB2312" w:eastAsia="仿宋_GB2312" w:cs="仿宋_GB2312"/>
                <w:b/>
                <w:bCs/>
                <w:color w:val="auto"/>
                <w:sz w:val="28"/>
                <w:szCs w:val="28"/>
                <w:highlight w:val="none"/>
                <w:lang w:val="en-US" w:eastAsia="zh-CN"/>
              </w:rPr>
              <w:t>专门</w:t>
            </w:r>
            <w:r>
              <w:rPr>
                <w:rFonts w:hint="eastAsia" w:ascii="仿宋_GB2312" w:hAnsi="仿宋_GB2312" w:eastAsia="仿宋_GB2312" w:cs="仿宋_GB2312"/>
                <w:b/>
                <w:bCs/>
                <w:color w:val="auto"/>
                <w:sz w:val="28"/>
                <w:szCs w:val="28"/>
                <w:highlight w:val="none"/>
                <w:lang w:val="zh-CN" w:eastAsia="zh-CN"/>
              </w:rPr>
              <w:t>面向中小企业，</w:t>
            </w:r>
            <w:r>
              <w:rPr>
                <w:rFonts w:hint="eastAsia" w:ascii="仿宋_GB2312" w:hAnsi="仿宋_GB2312" w:eastAsia="仿宋_GB2312" w:cs="仿宋_GB2312"/>
                <w:b/>
                <w:bCs/>
                <w:color w:val="auto"/>
                <w:sz w:val="28"/>
                <w:szCs w:val="28"/>
                <w:highlight w:val="none"/>
                <w:lang w:val="en-US" w:eastAsia="zh-CN"/>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工程的施工单位全部为符合政策要求的中</w:t>
            </w:r>
            <w:r>
              <w:rPr>
                <w:rFonts w:hint="eastAsia" w:ascii="仿宋_GB2312" w:hAnsi="仿宋_GB2312" w:eastAsia="仿宋_GB2312" w:cs="仿宋_GB2312"/>
                <w:b/>
                <w:bCs/>
                <w:color w:val="000000"/>
                <w:spacing w:val="0"/>
                <w:kern w:val="2"/>
                <w:sz w:val="28"/>
                <w:szCs w:val="28"/>
                <w:highlight w:val="none"/>
                <w:u w:val="none"/>
                <w:lang w:val="en-US" w:eastAsia="zh-CN" w:bidi="ar-SA"/>
              </w:rPr>
              <w:t>型/小型/微型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z w:val="28"/>
                <w:szCs w:val="28"/>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i w:val="0"/>
                <w:caps w:val="0"/>
                <w:color w:val="auto"/>
                <w:spacing w:val="0"/>
                <w:sz w:val="28"/>
                <w:szCs w:val="28"/>
                <w:highlight w:val="none"/>
                <w:u w:val="none"/>
                <w:lang w:val="en-US" w:eastAsia="zh-CN"/>
              </w:rPr>
            </w:pPr>
            <w:r>
              <w:rPr>
                <w:rFonts w:hint="eastAsia" w:ascii="仿宋_GB2312" w:hAnsi="仿宋_GB2312" w:eastAsia="仿宋_GB2312" w:cs="仿宋_GB2312"/>
                <w:b/>
                <w:bCs w:val="0"/>
                <w:i w:val="0"/>
                <w:caps w:val="0"/>
                <w:color w:val="auto"/>
                <w:spacing w:val="0"/>
                <w:sz w:val="28"/>
                <w:szCs w:val="28"/>
                <w:highlight w:val="none"/>
                <w:u w:val="none"/>
                <w:lang w:val="en-US" w:eastAsia="zh-CN"/>
              </w:rPr>
              <w:t>付款方式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eastAsia="zh-CN"/>
              </w:rPr>
              <w:t>合同签订后，采购人向中标供应商支付合同总金额的30%，项目</w:t>
            </w:r>
            <w:r>
              <w:rPr>
                <w:rFonts w:hint="eastAsia" w:ascii="仿宋_GB2312" w:hAnsi="仿宋_GB2312" w:eastAsia="仿宋_GB2312" w:cs="仿宋_GB2312"/>
                <w:color w:val="auto"/>
                <w:sz w:val="28"/>
                <w:szCs w:val="28"/>
                <w:lang w:val="en-US" w:eastAsia="zh-CN"/>
              </w:rPr>
              <w:t>完工</w:t>
            </w:r>
            <w:r>
              <w:rPr>
                <w:rFonts w:hint="eastAsia" w:ascii="仿宋_GB2312" w:hAnsi="仿宋_GB2312" w:eastAsia="仿宋_GB2312" w:cs="仿宋_GB2312"/>
                <w:color w:val="auto"/>
                <w:sz w:val="28"/>
                <w:szCs w:val="28"/>
                <w:lang w:val="zh-CN" w:eastAsia="zh-CN"/>
              </w:rPr>
              <w:t>经验收合格后支付</w:t>
            </w:r>
            <w:r>
              <w:rPr>
                <w:rFonts w:hint="eastAsia" w:ascii="仿宋_GB2312" w:hAnsi="仿宋_GB2312" w:eastAsia="仿宋_GB2312" w:cs="仿宋_GB2312"/>
                <w:color w:val="auto"/>
                <w:sz w:val="28"/>
                <w:szCs w:val="28"/>
                <w:lang w:val="en-US" w:eastAsia="zh-CN"/>
              </w:rPr>
              <w:t>至</w:t>
            </w:r>
            <w:r>
              <w:rPr>
                <w:rFonts w:hint="eastAsia" w:ascii="仿宋_GB2312" w:hAnsi="仿宋_GB2312" w:eastAsia="仿宋_GB2312" w:cs="仿宋_GB2312"/>
                <w:color w:val="auto"/>
                <w:sz w:val="28"/>
                <w:szCs w:val="28"/>
                <w:lang w:val="zh-CN" w:eastAsia="zh-CN"/>
              </w:rPr>
              <w:t>合同总金额的</w:t>
            </w: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 xml:space="preserve">根据评审结果，支付审计价的17%（保留3%作为质保金，质保期结束后予以支付） </w:t>
            </w:r>
            <w:r>
              <w:rPr>
                <w:rFonts w:hint="eastAsia" w:ascii="仿宋_GB2312" w:hAnsi="仿宋_GB2312" w:eastAsia="仿宋_GB2312" w:cs="仿宋_GB2312"/>
                <w:color w:val="auto"/>
                <w:sz w:val="28"/>
                <w:szCs w:val="28"/>
                <w:lang w:val="zh-CN" w:eastAsia="zh-CN"/>
              </w:rPr>
              <w:t>。</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1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i w:val="0"/>
                <w:caps w:val="0"/>
                <w:color w:val="auto"/>
                <w:spacing w:val="0"/>
                <w:sz w:val="28"/>
                <w:szCs w:val="28"/>
                <w:highlight w:val="none"/>
                <w:u w:val="none"/>
                <w:lang w:val="zh-CN" w:eastAsia="zh-CN"/>
              </w:rPr>
            </w:pPr>
            <w:r>
              <w:rPr>
                <w:rFonts w:hint="eastAsia" w:ascii="仿宋_GB2312" w:hAnsi="仿宋_GB2312" w:eastAsia="仿宋_GB2312" w:cs="仿宋_GB2312"/>
                <w:b/>
                <w:bCs w:val="0"/>
                <w:i w:val="0"/>
                <w:caps w:val="0"/>
                <w:color w:val="auto"/>
                <w:spacing w:val="0"/>
                <w:sz w:val="28"/>
                <w:szCs w:val="28"/>
                <w:highlight w:val="none"/>
                <w:u w:val="none"/>
                <w:lang w:val="zh-CN" w:eastAsia="zh-CN"/>
              </w:rPr>
              <w:t>投标保证金</w:t>
            </w:r>
          </w:p>
          <w:p>
            <w:pPr>
              <w:jc w:val="center"/>
              <w:rPr>
                <w:rFonts w:hint="eastAsia" w:ascii="仿宋_GB2312" w:hAnsi="仿宋_GB2312" w:eastAsia="仿宋_GB2312" w:cs="仿宋_GB2312"/>
                <w:b/>
                <w:bCs w:val="0"/>
                <w:sz w:val="24"/>
                <w:szCs w:val="24"/>
              </w:rPr>
            </w:pPr>
          </w:p>
        </w:tc>
        <w:tc>
          <w:tcPr>
            <w:tcW w:w="3355" w:type="pct"/>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color w:val="auto"/>
                <w:sz w:val="28"/>
                <w:szCs w:val="28"/>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eastAsia="zh-CN"/>
              </w:rPr>
              <w:t>响应文件</w:t>
            </w:r>
            <w:r>
              <w:rPr>
                <w:rFonts w:hint="eastAsia" w:ascii="仿宋_GB2312" w:hAnsi="仿宋_GB2312" w:eastAsia="仿宋_GB2312" w:cs="仿宋_GB2312"/>
                <w:b/>
                <w:bCs w:val="0"/>
                <w:color w:val="auto"/>
                <w:sz w:val="28"/>
                <w:szCs w:val="28"/>
                <w:lang w:val="en-US" w:eastAsia="zh-CN"/>
              </w:rPr>
              <w:t>递交</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3.供应商可前往新疆政府采购网</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4.供应商在开标时须携带制作加密电子响应文件（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5、投标供应商应当在投标截止时间前，将生成的“电子加密响应文件（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）”上传递交至“政府采购云平台”，投标截止时间以后上传递交的响应文件将被“政府采购云平台”拒收。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lang w:eastAsia="zh-CN"/>
              </w:rPr>
              <w:t>响应文件递交截止时间（</w:t>
            </w:r>
            <w:r>
              <w:rPr>
                <w:rFonts w:hint="eastAsia" w:ascii="仿宋_GB2312" w:hAnsi="仿宋_GB2312" w:eastAsia="仿宋_GB2312" w:cs="仿宋_GB2312"/>
                <w:b/>
                <w:bCs w:val="0"/>
                <w:color w:val="auto"/>
                <w:sz w:val="28"/>
                <w:szCs w:val="28"/>
                <w:lang w:val="en-US" w:eastAsia="zh-CN"/>
              </w:rPr>
              <w:t>开标时间）</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val="en-US" w:eastAsia="zh-CN"/>
              </w:rPr>
              <w:t>2024年9月14日10</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color w:val="auto"/>
                <w:sz w:val="28"/>
                <w:szCs w:val="28"/>
                <w:highlight w:val="none"/>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投标有效期</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i w:val="0"/>
                <w:caps w:val="0"/>
                <w:color w:val="auto"/>
                <w:spacing w:val="0"/>
                <w:sz w:val="28"/>
                <w:szCs w:val="28"/>
                <w:highlight w:val="none"/>
                <w:u w:val="none"/>
                <w:lang w:val="en-US" w:eastAsia="zh-CN"/>
              </w:rPr>
              <w:t>60</w:t>
            </w:r>
            <w:r>
              <w:rPr>
                <w:rFonts w:hint="eastAsia" w:ascii="仿宋_GB2312" w:hAnsi="仿宋_GB2312" w:eastAsia="仿宋_GB2312" w:cs="仿宋_GB2312"/>
                <w:i w:val="0"/>
                <w:caps w:val="0"/>
                <w:color w:val="auto"/>
                <w:spacing w:val="0"/>
                <w:sz w:val="28"/>
                <w:szCs w:val="28"/>
                <w:highlight w:val="none"/>
                <w:u w:val="none"/>
                <w:lang w:eastAsia="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评标方法</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val="en-US" w:eastAsia="zh-CN"/>
              </w:rPr>
              <w:t>最高限价</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2000000</w:t>
            </w:r>
            <w:r>
              <w:rPr>
                <w:rFonts w:hint="eastAsia" w:ascii="仿宋_GB2312" w:hAnsi="仿宋_GB2312" w:eastAsia="仿宋_GB2312" w:cs="仿宋_GB2312"/>
                <w:b w:val="0"/>
                <w:bCs/>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履约保证金</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i w:val="0"/>
                <w:iCs w:val="0"/>
                <w:color w:val="auto"/>
                <w:sz w:val="28"/>
                <w:szCs w:val="28"/>
                <w:highlight w:val="none"/>
                <w:lang w:val="en-US" w:eastAsia="zh-CN"/>
              </w:rPr>
              <w:t xml:space="preserve">与采购人签订合同约定，履约保证金的数额不得超出政府采购合同金额的10%，以非现金形式提交至采购人，项目按时履约、按质履约后无息退还。为进一步推进“放管服”改革，优化营商环境，采购人可根据项目特点、投标人诚信等情况免收履约保证金或降低缴纳比例，具体细节中标投标人与采购人商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i w:val="0"/>
                <w:iCs w:val="0"/>
                <w:color w:val="auto"/>
                <w:sz w:val="28"/>
                <w:szCs w:val="28"/>
                <w:highlight w:val="none"/>
                <w:lang w:val="en-US" w:eastAsia="zh-CN"/>
              </w:rPr>
              <w:t>21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sz w:val="28"/>
                <w:szCs w:val="28"/>
                <w:highlight w:val="none"/>
                <w:lang w:val="en-US" w:eastAsia="zh-CN"/>
              </w:rPr>
            </w:pPr>
            <w:r>
              <w:rPr>
                <w:rFonts w:hint="eastAsia" w:ascii="仿宋_GB2312" w:hAnsi="仿宋_GB2312" w:eastAsia="仿宋_GB2312" w:cs="仿宋_GB2312"/>
                <w:b/>
                <w:bCs w:val="0"/>
                <w:i w:val="0"/>
                <w:iCs w:val="0"/>
                <w:color w:val="auto"/>
                <w:sz w:val="28"/>
                <w:szCs w:val="28"/>
                <w:highlight w:val="none"/>
                <w:lang w:val="en-US" w:eastAsia="zh-CN"/>
              </w:rPr>
              <w:t>投标人资质证明材料</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须上传的资格证明文件：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（1）有效经年检的三证合一营业执照正本或副本原件扫描件。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供应商须具有良好的信誉，未在“信用中国”网站（www.creditchina.gov.cn）、中国政府采购网（www.ccgp.gov.cn）被列入失信被执行人、重大税收违法案件当事人名单、政府采购违法失信名单且在处罚期内（专家评委通过系统查询进行资格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（3）法定代表人需提供身份证明及身份证、投标企业法定代表人授权委托人参与开标全过程的，参加的授权委托人提供附有法定代表人身份证明的授权委托书（模板详见磋商文件）及被委托人身份证原件。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4）投标企业对年度财务审计报告或财务报表（2022年-2023年任意一年，企业成立不足1年的提供企业成立至今的财务报表，包含资产负债表、现金流量表、利润表）；近三个月完税证明（如未缴税的需提供其相关税务部门开具的资料证明）；法人、授权委托人近三个月盖有社保局公章的社保缴纳证明（退休人员提供退休证）等材料的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（5）根据《政府采购促进中小企业发展管理办法》（财库〔2020〕46号）要求，供应商须上传《中小企业声明函》原件。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kern w:val="2"/>
                <w:sz w:val="28"/>
                <w:szCs w:val="28"/>
                <w:highlight w:val="none"/>
                <w:lang w:val="en-US" w:eastAsia="zh-CN" w:bidi="ar-SA"/>
              </w:rPr>
            </w:pPr>
            <w:r>
              <w:rPr>
                <w:rFonts w:hint="eastAsia" w:ascii="仿宋_GB2312" w:hAnsi="仿宋_GB2312" w:eastAsia="仿宋_GB2312" w:cs="仿宋_GB2312"/>
                <w:b/>
                <w:bCs w:val="0"/>
                <w:i w:val="0"/>
                <w:iCs w:val="0"/>
                <w:color w:val="auto"/>
                <w:sz w:val="28"/>
                <w:szCs w:val="28"/>
                <w:highlight w:val="none"/>
                <w:lang w:val="en-US" w:eastAsia="zh-CN"/>
              </w:rPr>
              <w:t>政府采购其他政策</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1、政府采购强制采购：（1）标记*符号的节能产品；（2）其他采购《节能产品政府采购清单》内的产品。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2、政府采购优先采购：(1)非标记*符号的节能产品；(2)环境标志产品；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3、采购产品为《节能产品政府采购清单》内非标记*符号的节能产品及《环境标志产品政府采购清单》内的产品：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ind w:left="-118" w:leftChars="-56" w:firstLine="137" w:firstLineChars="49"/>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i w:val="0"/>
                <w:iCs w:val="0"/>
                <w:color w:val="auto"/>
                <w:sz w:val="28"/>
                <w:szCs w:val="28"/>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bl>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b/>
          <w:color w:val="auto"/>
          <w:sz w:val="28"/>
          <w:szCs w:val="28"/>
        </w:rPr>
      </w:pPr>
    </w:p>
    <w:p>
      <w:pPr>
        <w:pageBreakBefore w:val="0"/>
        <w:widowControl w:val="0"/>
        <w:numPr>
          <w:ilvl w:val="0"/>
          <w:numId w:val="4"/>
        </w:numPr>
        <w:kinsoku/>
        <w:wordWrap/>
        <w:overflowPunct/>
        <w:topLinePunct w:val="0"/>
        <w:autoSpaceDE/>
        <w:autoSpaceDN/>
        <w:bidi w:val="0"/>
        <w:adjustRightInd/>
        <w:snapToGrid w:val="0"/>
        <w:spacing w:line="500" w:lineRule="exact"/>
        <w:ind w:left="602" w:leftChars="0" w:hanging="602" w:hanging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0"/>
          <w:szCs w:val="30"/>
        </w:rPr>
        <w:br w:type="page"/>
      </w:r>
      <w:r>
        <w:rPr>
          <w:rFonts w:hint="eastAsia" w:ascii="仿宋_GB2312" w:hAnsi="仿宋_GB2312" w:eastAsia="仿宋_GB2312" w:cs="仿宋_GB2312"/>
          <w:b/>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制定本项目招标的依据为：《中华人民共和国</w:t>
      </w:r>
      <w:r>
        <w:rPr>
          <w:rFonts w:hint="eastAsia" w:ascii="仿宋_GB2312" w:hAnsi="仿宋_GB2312" w:eastAsia="仿宋_GB2312" w:cs="仿宋_GB2312"/>
          <w:color w:val="auto"/>
          <w:sz w:val="28"/>
          <w:szCs w:val="28"/>
          <w:lang w:val="en-US" w:eastAsia="zh-CN"/>
        </w:rPr>
        <w:t>政府采购法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财政部《政府采购竞争性磋商采购方式管理暂行办法》（财库[2014]214号</w:t>
      </w:r>
      <w:r>
        <w:rPr>
          <w:rFonts w:hint="eastAsia" w:ascii="仿宋_GB2312" w:hAnsi="仿宋_GB2312" w:eastAsia="仿宋_GB2312" w:cs="仿宋_GB2312"/>
          <w:color w:val="auto"/>
          <w:sz w:val="28"/>
          <w:szCs w:val="28"/>
        </w:rPr>
        <w:t>等有关法律、法规。</w:t>
      </w:r>
    </w:p>
    <w:p>
      <w:pPr>
        <w:pageBreakBefore w:val="0"/>
        <w:widowControl w:val="0"/>
        <w:numPr>
          <w:ilvl w:val="0"/>
          <w:numId w:val="0"/>
        </w:numPr>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lang w:eastAsia="zh-CN"/>
        </w:rPr>
        <w:t>采购人</w:t>
      </w:r>
      <w:r>
        <w:rPr>
          <w:rFonts w:hint="eastAsia" w:ascii="仿宋_GB2312" w:hAnsi="仿宋_GB2312" w:eastAsia="仿宋_GB2312" w:cs="仿宋_GB2312"/>
          <w:b/>
          <w:color w:val="auto"/>
          <w:sz w:val="28"/>
          <w:szCs w:val="28"/>
        </w:rPr>
        <w:t>、合格的</w:t>
      </w: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及合格的服务</w:t>
      </w:r>
    </w:p>
    <w:p>
      <w:pPr>
        <w:pStyle w:val="22"/>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是指提出国内招标采购货物服务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和工程</w:t>
      </w:r>
      <w:r>
        <w:rPr>
          <w:rFonts w:hint="eastAsia" w:ascii="仿宋_GB2312" w:hAnsi="仿宋_GB2312" w:eastAsia="仿宋_GB2312" w:cs="仿宋_GB2312"/>
          <w:color w:val="auto"/>
          <w:sz w:val="28"/>
          <w:szCs w:val="28"/>
        </w:rPr>
        <w:t>的国家机关、企业、事业单位或其他组织，本《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指</w:t>
      </w:r>
      <w:r>
        <w:rPr>
          <w:rFonts w:hint="eastAsia" w:ascii="仿宋_GB2312" w:hAnsi="仿宋_GB2312" w:eastAsia="仿宋_GB2312" w:cs="仿宋_GB2312"/>
          <w:color w:val="auto"/>
          <w:sz w:val="28"/>
          <w:szCs w:val="28"/>
          <w:highlight w:val="none"/>
          <w:lang w:val="en-US" w:eastAsia="zh-CN"/>
        </w:rPr>
        <w:t>中共阿瓦提县委组织部。</w:t>
      </w:r>
    </w:p>
    <w:p>
      <w:pPr>
        <w:pStyle w:val="22"/>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合格的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kern w:val="0"/>
          <w:sz w:val="28"/>
          <w:szCs w:val="28"/>
          <w:lang w:eastAsia="zh-CN"/>
        </w:rPr>
        <w:t>供应商</w:t>
      </w:r>
      <w:r>
        <w:rPr>
          <w:rFonts w:hint="eastAsia" w:ascii="仿宋_GB2312" w:hAnsi="仿宋_GB2312" w:eastAsia="仿宋_GB2312" w:cs="仿宋_GB2312"/>
          <w:b w:val="0"/>
          <w:bCs w:val="0"/>
          <w:color w:val="auto"/>
          <w:kern w:val="0"/>
          <w:sz w:val="28"/>
          <w:szCs w:val="28"/>
        </w:rPr>
        <w:t>必须符合《中华人民共和国政府采购法》第二十二条规定的条件；</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kern w:val="0"/>
          <w:sz w:val="28"/>
          <w:szCs w:val="28"/>
        </w:rPr>
        <w:t>具备独立法人资格，并有相应</w:t>
      </w:r>
      <w:r>
        <w:rPr>
          <w:rFonts w:hint="eastAsia" w:ascii="仿宋_GB2312" w:hAnsi="仿宋_GB2312" w:eastAsia="仿宋_GB2312" w:cs="仿宋_GB2312"/>
          <w:color w:val="auto"/>
          <w:sz w:val="28"/>
          <w:szCs w:val="28"/>
        </w:rPr>
        <w:t>的经营范围和</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rPr>
        <w:t>能力的企业。</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pacing w:val="-20"/>
          <w:kern w:val="0"/>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）供</w:t>
      </w:r>
      <w:r>
        <w:rPr>
          <w:rFonts w:hint="eastAsia" w:ascii="仿宋_GB2312" w:hAnsi="仿宋_GB2312" w:eastAsia="仿宋_GB2312" w:cs="仿宋_GB2312"/>
          <w:b w:val="0"/>
          <w:bCs w:val="0"/>
          <w:color w:val="auto"/>
          <w:spacing w:val="-20"/>
          <w:kern w:val="0"/>
          <w:sz w:val="28"/>
          <w:szCs w:val="28"/>
          <w:lang w:eastAsia="zh-CN"/>
        </w:rPr>
        <w:t>应商</w:t>
      </w:r>
      <w:r>
        <w:rPr>
          <w:rFonts w:hint="eastAsia" w:ascii="仿宋_GB2312" w:hAnsi="仿宋_GB2312" w:eastAsia="仿宋_GB2312" w:cs="仿宋_GB2312"/>
          <w:b w:val="0"/>
          <w:bCs w:val="0"/>
          <w:color w:val="auto"/>
          <w:spacing w:val="-20"/>
          <w:kern w:val="0"/>
          <w:sz w:val="28"/>
          <w:szCs w:val="28"/>
        </w:rPr>
        <w:t>近三年无违约或不恰当履约引起的合同终止、纠纷、争议、仲裁和公诉纪录；</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）法人代表或其委托代理人应提交本人身份证原件，委托代理人还应提交《法人代表授权委托书》原件；</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（5）营业执照原件或副本扫描件；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（6）投标企业年度财务审计报告（2022年-2023年任意一年，企业成立不足1年的提供企业成立至今的财务报表，包含资产负债表、现金流量表、利润表）；</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auto"/>
          <w:sz w:val="28"/>
          <w:szCs w:val="28"/>
          <w:lang w:eastAsia="zh-CN"/>
        </w:rPr>
        <w:t>近六个月内任意三个月</w:t>
      </w:r>
      <w:r>
        <w:rPr>
          <w:rFonts w:hint="eastAsia" w:ascii="仿宋_GB2312" w:hAnsi="仿宋_GB2312" w:eastAsia="仿宋_GB2312" w:cs="仿宋_GB2312"/>
          <w:color w:val="auto"/>
          <w:sz w:val="28"/>
          <w:szCs w:val="28"/>
          <w:lang w:val="en-US" w:eastAsia="zh-CN"/>
        </w:rPr>
        <w:t>社保缴纳证明和</w:t>
      </w:r>
      <w:r>
        <w:rPr>
          <w:rFonts w:hint="eastAsia" w:ascii="仿宋_GB2312" w:hAnsi="仿宋_GB2312" w:eastAsia="仿宋_GB2312" w:cs="仿宋_GB2312"/>
          <w:color w:val="auto"/>
          <w:sz w:val="28"/>
          <w:szCs w:val="28"/>
          <w:lang w:eastAsia="zh-CN"/>
        </w:rPr>
        <w:t>完税证明（</w:t>
      </w:r>
      <w:r>
        <w:rPr>
          <w:rFonts w:hint="eastAsia" w:ascii="仿宋_GB2312" w:hAnsi="仿宋_GB2312" w:eastAsia="仿宋_GB2312" w:cs="仿宋_GB2312"/>
          <w:color w:val="auto"/>
          <w:sz w:val="28"/>
          <w:szCs w:val="28"/>
          <w:lang w:val="en-US" w:eastAsia="zh-CN"/>
        </w:rPr>
        <w:t>需提供相关人员社保明细)；</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如在“信用中国”网站（http://www.creditchina.gov.cn）、中国政府采购网（http://www.ccgp.gov.cn）、国家企业信息系统（http://www.gsxt.gov.cn）受过处罚的、被列入失信被执行人、重大税收违法案件当事人名单、政府采购严重违法失信行为记录名单的（尚在处罚期内的），将拒绝其参本次采购活动；</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）与采购人存在利害关系可能影响招标公正性的单位，不得参加投标。单位负责人为同一人或存在控股、管理关系的不同单位，不得参加同一标段投标，否则，相关投标均无效。</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合格的服务应至少包括如下：</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（1）项目服务组：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保险人应成立专门项目服务组，承诺在整个保险期限内负责受理所有涉及本合同的出单、承保、日常维护及理赔等事宜。</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（2）建立投诉制度：</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保险人项目服务组应设立专项投诉受理电话，指定投诉受理人，并确保接到有关投诉后24小时内书面答复针对投诉的初步处理建议，在3个工作日内书面答复对投诉的调查和处理结果。</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（3）防灾防损：</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1）保险人需为投保人举办防灾防损或风险管理或保险方面的技术交流与培训；</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2）承保人需于每年至少组织一次由业主、保险人参加的交流会；</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（4）保险人理赔方面至少包括：</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保险人设立理赔绿色通道；被保险人有权指定损失理算人；损失证明和赔款支付或预付；成立项目协调小组，负责赔案的指导与协调；预付赔款机制的制定与响应等。</w:t>
      </w:r>
    </w:p>
    <w:p>
      <w:pPr>
        <w:pStyle w:val="22"/>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2、投标费用</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应承担其投标书编制与递交所涉及的一切费用。在任何情况下</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对上述费用均不负任何责任。</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》说明</w:t>
      </w:r>
    </w:p>
    <w:p>
      <w:pPr>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的组成</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》后，应仔细检查《</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》的所有内容，如有残缺等问题应在获得《</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》后2个工作日内及时向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提出，否则，由此引起的损失由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自己承担。</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同时应认真审阅《</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》中所有的事项、格式、条款和规范要求等，若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》要求提交全部资料，或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没有对《</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》做出实质性响应，其风险由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自行承担，并根据有关条款规定，该投标有可能被拒绝。</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包括本文件以及所有按照以下第5条发出的补充通知和第4条所述的招标答疑纪要。</w:t>
      </w:r>
    </w:p>
    <w:p>
      <w:pPr>
        <w:pageBreakBefore w:val="0"/>
        <w:widowControl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应认真阅读和理解</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的所有内容，尤其应注意有“无效</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”、“拒绝评审”字样的条款，如果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不能符合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负责。</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b/>
          <w:color w:val="auto"/>
          <w:sz w:val="28"/>
          <w:szCs w:val="28"/>
          <w:lang w:eastAsia="zh-CN"/>
        </w:rPr>
        <w:t>竞争性磋商文件的澄清和质疑</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1、综合说明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对政府采购活动事项有疑问的，可以向被质疑人提出询问，被质疑人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供应商名称、地址及联系方式；质疑日期。质疑书的递交应当采取当面递交的形式。</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2、对竞争性磋商文件的澄清和质疑</w:t>
      </w:r>
    </w:p>
    <w:p>
      <w:pPr>
        <w:pStyle w:val="15"/>
        <w:pageBreakBefore w:val="0"/>
        <w:kinsoku/>
        <w:wordWrap/>
        <w:overflowPunct/>
        <w:topLinePunct w:val="0"/>
        <w:autoSpaceDE/>
        <w:autoSpaceDN/>
        <w:bidi w:val="0"/>
        <w:adjustRightInd/>
        <w:spacing w:after="0" w:line="500" w:lineRule="exact"/>
        <w:ind w:left="0" w:lef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尽早领取竞争性磋商文件，若对竞争性磋商文件有疑问需要澄清或质疑，须在领取竞争性磋商文件5个工作日内，由澄清或质疑方的法定代表人或授权供应商（必须为法定代表人授权进行该项目投标的被授权人）以书面形式向采购人及集采机构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供应商递交澄清或质疑函时，还须提供法人投标授权函和质疑授权函（均为原件）及被授权供应商的身份证复印件。身份证复印件</w:t>
      </w:r>
      <w:r>
        <w:rPr>
          <w:rFonts w:hint="eastAsia" w:ascii="仿宋_GB2312" w:hAnsi="仿宋_GB2312" w:eastAsia="仿宋_GB2312" w:cs="仿宋_GB2312"/>
          <w:b w:val="0"/>
          <w:bCs w:val="0"/>
          <w:color w:val="auto"/>
          <w:sz w:val="28"/>
          <w:szCs w:val="28"/>
        </w:rPr>
        <w:t>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该复印件用于在</w:t>
      </w:r>
      <w:r>
        <w:rPr>
          <w:rFonts w:hint="eastAsia" w:ascii="仿宋_GB2312" w:hAnsi="仿宋_GB2312" w:eastAsia="仿宋_GB2312" w:cs="仿宋_GB2312"/>
          <w:b/>
          <w:bCs/>
          <w:color w:val="auto"/>
          <w:sz w:val="28"/>
          <w:szCs w:val="28"/>
          <w:u w:val="single"/>
          <w:lang w:val="en-US" w:eastAsia="zh-CN"/>
        </w:rPr>
        <w:t>中共阿瓦提县委组织部采购阿瓦提县绍阿人才培训交流中心建设项目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视采购具体情况，延长投标截止时间和开标时间，但至少应当在竞争性磋商文件要求提交响应文件的截止时间三日前，将变更时间书面通知所有竞争性磋商文件收受人，并在财政部门指定的政府采购信息发布媒体上发布变更公告。</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3、对磋商过程和拟中标结果的质疑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招标采购过程和拟中标结果使自己的权益受到损害的，可以在拟中标结果发布之日起7个工作日内，由质疑方的法定代表人或授权供应商以书面形式向采购人及集采机构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供应商递交质疑函时，还须提供法人投标授权函和质疑授权函（均为原件）及被授权供应商的身份证复印件。身份证复印件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中共阿瓦提县委组织部采购阿瓦提县绍阿人才培训交流中心建设项目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集采机构应在受理供应商的书面质疑后，根据质疑函的具体内容及时向递交质疑函的供应商作出答复或不予答复，答复内容不得涉及商业秘密。作出答复的以书面形式通知递交质疑的供应商和其他有关供应商。递交质疑的供应商和其他有关供应商在被告知、收到上述公告、通知或答疑书后，应立即向采购人及集采机构回函确认。未确认情况应当视为对质疑答复的知晓，也将视为对质疑答复内容接受的默认。</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4、澄清或质疑不予受理的情况，有下列情形之一的，属于无效质疑，被质疑人不予受理，由此产生的影响由供应商自行承担：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(一)不是参与该政府采购项目活动供应商的;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(二)被质疑人为采购人或政府集采机构之外的；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(三)所有质疑事项超过质疑有效期的；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(四)以具有法律效力的文书送达之外方式提出的；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未按上述规定递交澄清或质疑函的；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其它不符合受理条件的情形。</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的修改</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在投标截止日前的任何时候，无论出于何种原因，采购人及集采机构可主动地或在解答供应商提出的问题时对竞争性磋商文件进行修改，据此发出的补遗书将</w:t>
      </w:r>
      <w:r>
        <w:rPr>
          <w:rFonts w:hint="eastAsia" w:ascii="仿宋_GB2312" w:hAnsi="仿宋_GB2312" w:eastAsia="仿宋_GB2312" w:cs="仿宋_GB2312"/>
          <w:color w:val="auto"/>
          <w:sz w:val="28"/>
          <w:szCs w:val="28"/>
          <w:lang w:val="en-US" w:eastAsia="zh-CN"/>
        </w:rPr>
        <w:t>构成竞争性磋商文件的一部分。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2、竞争性磋商文件的修改将在新疆政府采购网站以变更通知的形式予以公布或以书面形式通知所有获取竞争性磋商文件的供应商，采购人及集采机构可以酌情延长投标日期。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供应商的风险</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供应商没有按照竞争性磋商文件要求提供全部资料，或者供应商没有对竞争性磋商文件在各方面作出实质性响应是供应商的风险，并可能导致其投标被拒绝。</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的编写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的语言</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与投标活动有关的所有文件均使用汉语。</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7、计量单位</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除另有规定外，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使用的度量衡单位，均应使用中华人民共和国法定计量单位。</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pPr>
        <w:pStyle w:val="22"/>
        <w:pageBreakBefore w:val="0"/>
        <w:widowControl w:val="0"/>
        <w:tabs>
          <w:tab w:val="left" w:pos="54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w:t>
      </w:r>
    </w:p>
    <w:p>
      <w:pPr>
        <w:pageBreakBefore w:val="0"/>
        <w:widowControl w:val="0"/>
        <w:tabs>
          <w:tab w:val="left" w:pos="126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（1）投标函（模板见附件）；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（2）开标/报价一览表（模板见附件）；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（3）投标报价明细表（模板见附件）；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（4）法定代表人资格证明文件、法定代表人授权委托书（模板见附件）；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（5）投标人资料表（模板见附件）；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法人、授权委托人近三个月盖有社保局公章的社保缴纳证明（退休人员提供退休证）等材料的原件扫描件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keepNext w:val="0"/>
        <w:keepLines w:val="0"/>
        <w:pageBreakBefore w:val="0"/>
        <w:widowControl w:val="0"/>
        <w:kinsoku/>
        <w:wordWrap w:val="0"/>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（6）商务（服务）</w:t>
      </w:r>
      <w:r>
        <w:rPr>
          <w:rFonts w:hint="eastAsia" w:ascii="仿宋_GB2312" w:hAnsi="仿宋_GB2312" w:eastAsia="仿宋_GB2312" w:cs="仿宋_GB2312"/>
          <w:sz w:val="28"/>
          <w:szCs w:val="28"/>
          <w:lang w:val="en-US" w:eastAsia="zh-CN"/>
        </w:rPr>
        <w:t>条</w:t>
      </w:r>
      <w:r>
        <w:rPr>
          <w:rFonts w:hint="eastAsia" w:ascii="仿宋_GB2312" w:hAnsi="仿宋_GB2312" w:eastAsia="仿宋_GB2312" w:cs="仿宋_GB2312"/>
          <w:color w:val="auto"/>
          <w:sz w:val="28"/>
          <w:szCs w:val="28"/>
          <w:highlight w:val="none"/>
          <w:lang w:val="en-US" w:eastAsia="zh-CN"/>
        </w:rPr>
        <w:t>款偏离表；</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（7）项目管理机构组成表、项目经理简历表（模板见附件）；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（8）中小企业声明函（工程、服务）（模板见附件）；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（9）残疾人福利性单位声明函（若需）（模板见附件）；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（10）监狱企业声明函（若需）（模板见附件）；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（11）反商业贿赂承诺书（模板见附件）。</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（12）技术文件（模板见附件）（格式自拟）。</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9、投标书要求</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lang w:val="en-US" w:eastAsia="zh-CN"/>
        </w:rPr>
        <w:t>投标人应按竞争性磋商文件提供的格式完整地填写所提供的货物、服务、数量及价格。</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电子版响应文件编辑完成后，在公告规定的开标时间前将电子加密响应文件（JMBS格式）上传至政府采购云平台投标客户端（政府采购云平台投标客户端下载地址：</w:t>
      </w: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"https://customer.zcygov.cn/CA-driver-download?utm=web-ca-front."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https://customer.zcygov.cn/CA-driver-download?utm=web-ca-front.</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3ddc8fbb.0.0.744734903d5911ec80b1370c1c0d466e）。响应文件正本均须在《磋商文件》要求的地方签章，且均需签章原迹（红章）。</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应尽量避免</w:t>
      </w:r>
      <w:r>
        <w:rPr>
          <w:rFonts w:hint="eastAsia" w:ascii="仿宋_GB2312" w:hAnsi="仿宋_GB2312" w:eastAsia="仿宋_GB2312" w:cs="仿宋_GB2312"/>
          <w:color w:val="auto"/>
          <w:sz w:val="28"/>
          <w:szCs w:val="28"/>
          <w:lang w:val="en-US" w:eastAsia="zh-CN"/>
        </w:rPr>
        <w:t>错字</w:t>
      </w:r>
      <w:r>
        <w:rPr>
          <w:rFonts w:hint="eastAsia" w:ascii="仿宋_GB2312" w:hAnsi="仿宋_GB2312" w:eastAsia="仿宋_GB2312" w:cs="仿宋_GB2312"/>
          <w:color w:val="auto"/>
          <w:sz w:val="28"/>
          <w:szCs w:val="28"/>
        </w:rPr>
        <w:t>和插字，除了按</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书面指示进行修改的以外，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中的修改均应由法定代表人（或委托代理人）在修改处签名确认。</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递交截止时间前</w:t>
      </w:r>
      <w:r>
        <w:rPr>
          <w:rFonts w:hint="eastAsia" w:ascii="仿宋_GB2312" w:hAnsi="仿宋_GB2312" w:eastAsia="仿宋_GB2312" w:cs="仿宋_GB2312"/>
          <w:color w:val="auto"/>
          <w:sz w:val="28"/>
          <w:szCs w:val="28"/>
          <w:lang w:val="en-US" w:eastAsia="zh-CN"/>
        </w:rPr>
        <w:t>在投标截止前递交至政采云网上不见面开标系统。</w:t>
      </w:r>
      <w:r>
        <w:rPr>
          <w:rFonts w:hint="eastAsia" w:ascii="仿宋_GB2312" w:hAnsi="仿宋_GB2312" w:eastAsia="仿宋_GB2312" w:cs="仿宋_GB2312"/>
          <w:color w:val="auto"/>
          <w:sz w:val="28"/>
          <w:szCs w:val="28"/>
        </w:rPr>
        <w:t>并记录递交时间，超过时间送达投标书，</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将不再受理。</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10、投标报价</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10.1 </w:t>
      </w:r>
      <w:r>
        <w:rPr>
          <w:rFonts w:hint="eastAsia" w:ascii="仿宋_GB2312" w:hAnsi="仿宋_GB2312" w:eastAsia="仿宋_GB2312" w:cs="仿宋_GB2312"/>
          <w:i w:val="0"/>
          <w:iCs w:val="0"/>
          <w:color w:val="auto"/>
          <w:kern w:val="2"/>
          <w:sz w:val="28"/>
          <w:szCs w:val="28"/>
          <w:highlight w:val="none"/>
          <w:lang w:val="en-US" w:eastAsia="zh-CN" w:bidi="ar-SA"/>
        </w:rPr>
        <w:t xml:space="preserve"> 投标人应按竞争性磋商文件要求，标明拟提供服务的单价和总价。如单价和总价不符，以单价累计为准</w:t>
      </w:r>
      <w:r>
        <w:rPr>
          <w:rFonts w:hint="eastAsia" w:ascii="仿宋_GB2312" w:hAnsi="仿宋_GB2312" w:eastAsia="仿宋_GB2312" w:cs="仿宋_GB2312"/>
          <w:color w:val="auto"/>
          <w:sz w:val="28"/>
          <w:szCs w:val="28"/>
        </w:rPr>
        <w:t>。</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10.2</w:t>
      </w:r>
      <w:r>
        <w:rPr>
          <w:rFonts w:hint="eastAsia" w:ascii="仿宋_GB2312" w:hAnsi="仿宋_GB2312" w:eastAsia="仿宋_GB2312" w:cs="仿宋_GB2312"/>
          <w:i w:val="0"/>
          <w:iCs w:val="0"/>
          <w:color w:val="auto"/>
          <w:kern w:val="2"/>
          <w:sz w:val="28"/>
          <w:szCs w:val="28"/>
          <w:highlight w:val="none"/>
          <w:lang w:val="en-US" w:eastAsia="zh-CN" w:bidi="ar-SA"/>
        </w:rPr>
        <w:t>本标针对每种服务只接受一个报价，不接受备选方案，但不拒绝优惠声明。</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lang w:val="en-US" w:eastAsia="zh-CN"/>
        </w:rPr>
        <w:t>投标人应按竞争性磋商文件的要求对有关采购文件、服务的全部内容进行报价。</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10.4 在合同实施期间，本项目合同价不随国家政策或法规、标准及市场因素的变化而进行调整。</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10.5 除非</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对《磋商文件》予以修改，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应按本《磋商文件》进行报价。任何有选择的报价将不予接受。</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10.6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应充分了解项目内容及任何其他足以影响其提交服务方案的可实现性和投标报价的情况。任何因中标人忽视或误解项目基本情况，而使</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在项目实施过程中蒙受的损失，将由中标人对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进行赔偿。</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11、投标保证金</w:t>
      </w:r>
      <w:r>
        <w:rPr>
          <w:rFonts w:hint="eastAsia" w:ascii="仿宋_GB2312" w:hAnsi="仿宋_GB2312" w:eastAsia="仿宋_GB2312" w:cs="仿宋_GB2312"/>
          <w:b/>
          <w:color w:val="auto"/>
          <w:sz w:val="28"/>
          <w:szCs w:val="28"/>
          <w:lang w:val="en-US" w:eastAsia="zh-CN"/>
        </w:rPr>
        <w:t xml:space="preserve"> （见《</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w:t>
      </w:r>
      <w:r>
        <w:rPr>
          <w:rFonts w:hint="eastAsia" w:ascii="仿宋_GB2312" w:hAnsi="仿宋_GB2312" w:eastAsia="仿宋_GB2312" w:cs="仿宋_GB2312"/>
          <w:b/>
          <w:color w:val="auto"/>
          <w:sz w:val="28"/>
          <w:szCs w:val="28"/>
          <w:lang w:val="en-US" w:eastAsia="zh-CN"/>
        </w:rPr>
        <w:t>前附表》）</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301"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pacing w:val="10"/>
          <w:sz w:val="28"/>
          <w:szCs w:val="28"/>
          <w:lang w:val="en-US" w:eastAsia="zh-CN"/>
        </w:rPr>
        <w:t>12、代理服务费：无</w:t>
      </w:r>
      <w:r>
        <w:rPr>
          <w:rFonts w:hint="eastAsia" w:ascii="仿宋_GB2312" w:hAnsi="仿宋_GB2312" w:eastAsia="仿宋_GB2312" w:cs="仿宋_GB2312"/>
          <w:color w:val="auto"/>
          <w:sz w:val="28"/>
          <w:szCs w:val="28"/>
          <w:lang w:val="en-US" w:eastAsia="zh-CN"/>
        </w:rPr>
        <w:t xml:space="preserve">  </w:t>
      </w:r>
    </w:p>
    <w:p>
      <w:pPr>
        <w:pStyle w:val="22"/>
        <w:keepNext/>
        <w:keepLines/>
        <w:pageBreakBefore w:val="0"/>
        <w:widowControl w:val="0"/>
        <w:tabs>
          <w:tab w:val="left" w:pos="720"/>
        </w:tabs>
        <w:kinsoku/>
        <w:wordWrap/>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、投标书的效力</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自提交之日起</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天内有效，中标签订合同者，有效期随合同。未中标者，自动失效。投标书全部条款对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具有约束力；</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在投标截止前可以作适当补充、修改。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的补充或修改，应使用与投标书相同的密封和标志方式递交，在封面上标明“修改”字样，并作为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的组成部份。</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响应文件递交的格式</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14.4、供应商在开标时须携带制作加密电子响应文件所使用的CA锁，电脑须提前配置好浏览器（建议使用360浏览器或谷歌浏览器），以便开标时在线解密。</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14.5、投标供应商应当在投标截止时间前，将生成的“电子加密响应文件（JMBS格式）”上传递交至“政府采购云平台”，投标截止时间以后上传递交的响应文件将被“政府采购云平台”拒收。</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6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的编制必须按照本《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》规定的有关格式及要求填报。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须知前附表”第</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项所规定的地点，于截止时间前提交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i w:val="0"/>
          <w:iCs w:val="0"/>
          <w:color w:val="auto"/>
          <w:kern w:val="2"/>
          <w:sz w:val="28"/>
          <w:szCs w:val="28"/>
          <w:highlight w:val="none"/>
          <w:lang w:val="en-US" w:eastAsia="zh-CN" w:bidi="ar-SA"/>
        </w:rPr>
        <w:t>投标人不得在投标截止时间起至响应文件有效期满前撤销响应文件。</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.3 </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可按第5条（《磋商文件》的修改）规定以修改补充通知的方式</w:t>
      </w:r>
      <w:r>
        <w:rPr>
          <w:rFonts w:hint="eastAsia" w:ascii="仿宋_GB2312" w:hAnsi="仿宋_GB2312" w:eastAsia="仿宋_GB2312" w:cs="仿宋_GB2312"/>
          <w:color w:val="auto"/>
          <w:sz w:val="28"/>
          <w:szCs w:val="28"/>
          <w:lang w:eastAsia="zh-CN"/>
        </w:rPr>
        <w:t>。酌情延长提交响应文件的截止时间。在此情况下，供应商的所有权利和义务及供应商受制约的截止时间，均以延长后新的投标截止时间为准。</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六、开标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6</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bCs/>
          <w:color w:val="auto"/>
          <w:sz w:val="28"/>
          <w:szCs w:val="28"/>
        </w:rPr>
        <w:t>开标会程序</w:t>
      </w:r>
    </w:p>
    <w:p>
      <w:pPr>
        <w:pStyle w:val="16"/>
        <w:keepNext w:val="0"/>
        <w:keepLines w:val="0"/>
        <w:pageBreakBefore w:val="0"/>
        <w:widowControl w:val="0"/>
        <w:kinsoku/>
        <w:wordWrap w:val="0"/>
        <w:overflowPunct/>
        <w:topLinePunct w:val="0"/>
        <w:autoSpaceDE/>
        <w:autoSpaceDN/>
        <w:bidi w:val="0"/>
        <w:adjustRightInd/>
        <w:snapToGrid/>
        <w:spacing w:after="0" w:line="500" w:lineRule="exact"/>
        <w:ind w:left="0" w:leftChars="0" w:firstLine="300" w:firstLineChars="1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spacing w:val="10"/>
          <w:sz w:val="28"/>
          <w:szCs w:val="28"/>
          <w:lang w:val="en-US" w:eastAsia="zh-CN" w:bidi="ar-SA"/>
        </w:rPr>
        <w:t>代理机构在公告或变更通知的规定日期、时间和地点组织开标会。</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七、评标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1 7</w:t>
      </w:r>
      <w:r>
        <w:rPr>
          <w:rFonts w:hint="eastAsia" w:ascii="仿宋_GB2312" w:hAnsi="仿宋_GB2312" w:eastAsia="仿宋_GB2312" w:cs="仿宋_GB2312"/>
          <w:b/>
          <w:color w:val="auto"/>
          <w:sz w:val="28"/>
          <w:szCs w:val="28"/>
          <w:highlight w:val="none"/>
        </w:rPr>
        <w:t>、评标</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.1 评标委员会</w:t>
      </w:r>
    </w:p>
    <w:p>
      <w:pPr>
        <w:pStyle w:val="14"/>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spacing w:val="10"/>
          <w:sz w:val="28"/>
          <w:szCs w:val="28"/>
          <w:lang w:eastAsia="zh-CN"/>
        </w:rPr>
        <w:t>招标人</w:t>
      </w:r>
      <w:r>
        <w:rPr>
          <w:rFonts w:hint="eastAsia" w:ascii="仿宋_GB2312" w:hAnsi="仿宋_GB2312" w:eastAsia="仿宋_GB2312" w:cs="仿宋_GB2312"/>
          <w:spacing w:val="10"/>
          <w:sz w:val="28"/>
          <w:szCs w:val="28"/>
        </w:rPr>
        <w:t>根据有关法律法规和本</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文件的规定，结合本采购项目的特点组建</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小组，对</w:t>
      </w:r>
      <w:r>
        <w:rPr>
          <w:rFonts w:hint="eastAsia" w:ascii="仿宋_GB2312" w:hAnsi="仿宋_GB2312" w:eastAsia="仿宋_GB2312" w:cs="仿宋_GB2312"/>
          <w:spacing w:val="10"/>
          <w:sz w:val="28"/>
          <w:szCs w:val="28"/>
          <w:lang w:val="en-US" w:eastAsia="zh-CN"/>
        </w:rPr>
        <w:t>响应</w:t>
      </w:r>
      <w:r>
        <w:rPr>
          <w:rFonts w:hint="eastAsia" w:ascii="仿宋_GB2312" w:hAnsi="仿宋_GB2312" w:eastAsia="仿宋_GB2312" w:cs="仿宋_GB2312"/>
          <w:spacing w:val="10"/>
          <w:sz w:val="28"/>
          <w:szCs w:val="28"/>
        </w:rPr>
        <w:t>文件进行评估和比较。</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小组由三人以上单数组成。</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.2 评标原则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1）评标委员会将严格按照《中华人民共和国招标投标法》、《中华人民共和国招标投标法实施条例》、《中华人民共和国政府采购法》、《中华人民共和国政府采购法实施条例》、《政府采购竞争性磋商采购方式管理暂行办法》（财库[2014]214号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（2）不徇私情，不明招暗定。</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（3）资格审查合格的投标人，均有同等机会参加竞争。</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（4）评标人员不得私自泄露评标内容，不得进行旨在影响评标结果公正、公平的任何活动。</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（5）对于响应文件中含义不明确、同类问题表述不一致或者有明显文字和计算错误的内容，评标委员会应当以书面形式要求投标人作出必要的澄清、说明或者补正。</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.3 评标方法</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（1）本次采购项目的评标方法为综合评分法。</w:t>
      </w:r>
      <w:r>
        <w:rPr>
          <w:rFonts w:hint="eastAsia" w:ascii="仿宋_GB2312" w:hAnsi="仿宋_GB2312" w:eastAsia="仿宋_GB2312" w:cs="仿宋_GB2312"/>
          <w:color w:val="auto"/>
          <w:sz w:val="28"/>
          <w:szCs w:val="28"/>
          <w:lang w:val="en-US" w:eastAsia="zh-CN"/>
        </w:rPr>
        <w:t>评标分初步评审和详细评审两个阶段。</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（2）评委按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规定的评标办法进行综合评审，按得分高低排序确定中标候选人。</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的综合得分为：所有评委成员对其的评标的算术平均值。</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（4）计算过程中，算术平均值保留2位小数，第三位小数四舍五入。</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.4 评标过程的保密</w:t>
      </w:r>
      <w:r>
        <w:rPr>
          <w:rFonts w:hint="eastAsia" w:ascii="仿宋_GB2312" w:hAnsi="仿宋_GB2312" w:eastAsia="仿宋_GB2312" w:cs="仿宋_GB2312"/>
          <w:b/>
          <w:bCs/>
          <w:color w:val="auto"/>
          <w:sz w:val="28"/>
          <w:szCs w:val="28"/>
          <w:lang w:val="en-US" w:eastAsia="zh-CN"/>
        </w:rPr>
        <w:t>和评标准则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（1）公开开标后，直到宣布授予中标单位为止，凡属于审查、澄清、评价和比较投标的所有资料，有关授予合同的信息，都不应向</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或与评标无关的其他人泄露。</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审查、澄清、评价和比较以及授予合同的过程中，</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和评标委员会成员施加影响的任何行为，都将导致取消其投标资格。</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（4）计分权值及评分内容</w:t>
      </w:r>
    </w:p>
    <w:p>
      <w:pPr>
        <w:pStyle w:val="22"/>
        <w:pageBreakBefore w:val="0"/>
        <w:widowControl w:val="0"/>
        <w:numPr>
          <w:ilvl w:val="0"/>
          <w:numId w:val="0"/>
        </w:numPr>
        <w:tabs>
          <w:tab w:val="left" w:pos="720"/>
        </w:tabs>
        <w:kinsoku/>
        <w:wordWrap/>
        <w:overflowPunct/>
        <w:topLinePunct w:val="0"/>
        <w:autoSpaceDE/>
        <w:autoSpaceDN/>
        <w:bidi w:val="0"/>
        <w:adjustRightInd/>
        <w:spacing w:line="500" w:lineRule="exact"/>
        <w:ind w:leftChars="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一、初步评审标准</w:t>
      </w:r>
    </w:p>
    <w:p>
      <w:pPr>
        <w:pStyle w:val="22"/>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42"/>
        <w:gridCol w:w="7215"/>
        <w:gridCol w:w="524"/>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7757" w:type="dxa"/>
            <w:gridSpan w:val="2"/>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评审内容</w:t>
            </w:r>
          </w:p>
        </w:tc>
        <w:tc>
          <w:tcPr>
            <w:tcW w:w="1079" w:type="dxa"/>
            <w:gridSpan w:val="2"/>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w:t>
            </w:r>
          </w:p>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7757" w:type="dxa"/>
            <w:gridSpan w:val="2"/>
            <w:vMerge w:val="continue"/>
            <w:noWrap w:val="0"/>
            <w:vAlign w:val="top"/>
          </w:tcPr>
          <w:p>
            <w:pPr>
              <w:outlineLvl w:val="9"/>
              <w:rPr>
                <w:rFonts w:hint="eastAsia" w:ascii="仿宋_GB2312" w:hAnsi="仿宋_GB2312" w:eastAsia="仿宋_GB2312" w:cs="仿宋_GB2312"/>
                <w:color w:val="auto"/>
                <w:sz w:val="24"/>
                <w:szCs w:val="24"/>
              </w:rPr>
            </w:pPr>
          </w:p>
        </w:tc>
        <w:tc>
          <w:tcPr>
            <w:tcW w:w="524"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w:t>
            </w:r>
          </w:p>
        </w:tc>
        <w:tc>
          <w:tcPr>
            <w:tcW w:w="555"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31" w:type="dxa"/>
            <w:vMerge w:val="restart"/>
            <w:noWrap w:val="0"/>
            <w:textDirection w:val="tbRlV"/>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形式评审</w:t>
            </w: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响应文件按照磋商文件规定要求签署、盖章的；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投标人报价低于磋商文件规定的预算金额（最高限价）；</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投标有效期符合磋商文件中规定；</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供货期符合磋商文件规定期限的；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5</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响应文件中没有招标人不能接受的附加条件的；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6</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响应文件的构成或格式符合磋商文件要求的；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7</w:t>
            </w:r>
          </w:p>
        </w:tc>
        <w:tc>
          <w:tcPr>
            <w:tcW w:w="7215" w:type="dxa"/>
            <w:noWrap w:val="0"/>
            <w:vAlign w:val="center"/>
          </w:tcPr>
          <w:p>
            <w:pPr>
              <w:jc w:val="both"/>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不存在不符合法律、法规及本磋商文件规定的其他情形。</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1" w:type="dxa"/>
            <w:vMerge w:val="restart"/>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w:t>
            </w:r>
          </w:p>
          <w:p>
            <w:pPr>
              <w:jc w:val="both"/>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b w:val="0"/>
                <w:bCs/>
                <w:color w:val="auto"/>
                <w:sz w:val="24"/>
                <w:szCs w:val="24"/>
              </w:rPr>
              <w:t>适</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用</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于</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资</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格</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后</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审)</w:t>
            </w:r>
          </w:p>
        </w:tc>
        <w:tc>
          <w:tcPr>
            <w:tcW w:w="542" w:type="dxa"/>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15" w:type="dxa"/>
            <w:noWrap w:val="0"/>
            <w:vAlign w:val="center"/>
          </w:tcPr>
          <w:p>
            <w:pPr>
              <w:pStyle w:val="22"/>
              <w:pageBreakBefore w:val="0"/>
              <w:widowControl w:val="0"/>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kern w:val="2"/>
                <w:sz w:val="24"/>
                <w:szCs w:val="24"/>
                <w:lang w:val="en-US" w:eastAsia="zh-CN" w:bidi="ar-SA"/>
              </w:rPr>
              <w:t>营业执照原件或副本扫描件；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15" w:type="dxa"/>
            <w:noWrap w:val="0"/>
            <w:vAlign w:val="center"/>
          </w:tcPr>
          <w:p>
            <w:pPr>
              <w:outlineLvl w:val="9"/>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企业信誉是否满足</w:t>
            </w:r>
            <w:r>
              <w:rPr>
                <w:rFonts w:hint="eastAsia" w:ascii="仿宋_GB2312" w:hAnsi="仿宋_GB2312" w:eastAsia="仿宋_GB2312" w:cs="仿宋_GB2312"/>
                <w:color w:val="auto"/>
                <w:spacing w:val="-11"/>
                <w:sz w:val="24"/>
                <w:szCs w:val="24"/>
                <w:lang w:eastAsia="zh-CN"/>
              </w:rPr>
              <w:t>磋商文件</w:t>
            </w:r>
            <w:r>
              <w:rPr>
                <w:rFonts w:hint="eastAsia" w:ascii="仿宋_GB2312" w:hAnsi="仿宋_GB2312" w:eastAsia="仿宋_GB2312" w:cs="仿宋_GB2312"/>
                <w:color w:val="auto"/>
                <w:spacing w:val="-11"/>
                <w:sz w:val="24"/>
                <w:szCs w:val="24"/>
              </w:rPr>
              <w:t>的要求；</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lang w:val="en-US" w:eastAsia="zh-CN"/>
              </w:rPr>
              <w:t>法定代表人需提供身份证明及身份证、投标企业法定代表人授权委托人参与开标全过程的，参加的授权委托人提供附有法定代表人身份证明的授权委托书（模板详见招标文件）及被委托人身份证原件。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参加政府采购活动近三年内,在经营活动中无重大违法记录；</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15" w:type="dxa"/>
            <w:noWrap w:val="0"/>
            <w:vAlign w:val="center"/>
          </w:tcPr>
          <w:p>
            <w:pPr>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投标企业年度财务审计报告或财务报表（2022年-2023年任意一年，企业成立不足1年的提供企业成立至今的财务报表，包含资产负债表、现金流量表、利润表）；</w:t>
            </w:r>
            <w:r>
              <w:rPr>
                <w:rFonts w:hint="eastAsia" w:ascii="仿宋_GB2312" w:hAnsi="仿宋_GB2312" w:eastAsia="仿宋_GB2312" w:cs="仿宋_GB2312"/>
                <w:color w:val="auto"/>
                <w:spacing w:val="-11"/>
                <w:sz w:val="24"/>
                <w:szCs w:val="24"/>
                <w:lang w:val="en-US" w:eastAsia="zh-CN"/>
              </w:rPr>
              <w:t>提供</w:t>
            </w:r>
            <w:r>
              <w:rPr>
                <w:rFonts w:hint="eastAsia" w:ascii="仿宋_GB2312" w:hAnsi="仿宋_GB2312" w:eastAsia="仿宋_GB2312" w:cs="仿宋_GB2312"/>
                <w:color w:val="auto"/>
                <w:spacing w:val="-11"/>
                <w:sz w:val="24"/>
                <w:szCs w:val="24"/>
                <w:lang w:eastAsia="zh-CN"/>
              </w:rPr>
              <w:t>近三个月</w:t>
            </w:r>
            <w:r>
              <w:rPr>
                <w:rFonts w:hint="eastAsia" w:ascii="仿宋_GB2312" w:hAnsi="仿宋_GB2312" w:eastAsia="仿宋_GB2312" w:cs="仿宋_GB2312"/>
                <w:color w:val="auto"/>
                <w:spacing w:val="-11"/>
                <w:sz w:val="24"/>
                <w:szCs w:val="24"/>
                <w:lang w:val="en-US" w:eastAsia="zh-CN"/>
              </w:rPr>
              <w:t>内社保缴纳证明和</w:t>
            </w:r>
            <w:r>
              <w:rPr>
                <w:rFonts w:hint="eastAsia" w:ascii="仿宋_GB2312" w:hAnsi="仿宋_GB2312" w:eastAsia="仿宋_GB2312" w:cs="仿宋_GB2312"/>
                <w:color w:val="auto"/>
                <w:spacing w:val="-11"/>
                <w:sz w:val="24"/>
                <w:szCs w:val="24"/>
                <w:lang w:eastAsia="zh-CN"/>
              </w:rPr>
              <w:t>完税证明（</w:t>
            </w:r>
            <w:r>
              <w:rPr>
                <w:rFonts w:hint="eastAsia" w:ascii="仿宋_GB2312" w:hAnsi="仿宋_GB2312" w:eastAsia="仿宋_GB2312" w:cs="仿宋_GB2312"/>
                <w:color w:val="auto"/>
                <w:spacing w:val="-11"/>
                <w:sz w:val="24"/>
                <w:szCs w:val="24"/>
                <w:lang w:val="en-US" w:eastAsia="zh-CN"/>
              </w:rPr>
              <w:t>需提供相关人员社保明细)</w:t>
            </w:r>
            <w:r>
              <w:rPr>
                <w:rFonts w:hint="eastAsia" w:ascii="仿宋_GB2312" w:hAnsi="仿宋_GB2312" w:eastAsia="仿宋_GB2312" w:cs="仿宋_GB2312"/>
                <w:color w:val="auto"/>
                <w:spacing w:val="-11"/>
                <w:kern w:val="2"/>
                <w:sz w:val="24"/>
                <w:szCs w:val="24"/>
                <w:lang w:val="en-US" w:eastAsia="zh-CN" w:bidi="ar-SA"/>
              </w:rPr>
              <w:t>。</w:t>
            </w:r>
          </w:p>
        </w:tc>
        <w:tc>
          <w:tcPr>
            <w:tcW w:w="524" w:type="dxa"/>
            <w:noWrap w:val="0"/>
            <w:vAlign w:val="top"/>
          </w:tcPr>
          <w:p>
            <w:pPr>
              <w:pStyle w:val="16"/>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15" w:type="dxa"/>
            <w:noWrap w:val="0"/>
            <w:vAlign w:val="center"/>
          </w:tcPr>
          <w:p>
            <w:pPr>
              <w:jc w:val="both"/>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eastAsia="zh-CN"/>
              </w:rPr>
              <w:t>不符合竞争性磋商文件中规定的其他实质性要求；</w:t>
            </w:r>
          </w:p>
        </w:tc>
        <w:tc>
          <w:tcPr>
            <w:tcW w:w="524" w:type="dxa"/>
            <w:noWrap w:val="0"/>
            <w:vAlign w:val="top"/>
          </w:tcPr>
          <w:p>
            <w:pPr>
              <w:pStyle w:val="16"/>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eastAsia="zh-CN"/>
              </w:rPr>
            </w:pPr>
            <w:r>
              <w:rPr>
                <w:rFonts w:hint="eastAsia" w:ascii="仿宋_GB2312" w:hAnsi="仿宋_GB2312" w:eastAsia="仿宋_GB2312" w:cs="仿宋_GB2312"/>
                <w:color w:val="auto"/>
                <w:spacing w:val="-11"/>
                <w:sz w:val="24"/>
                <w:szCs w:val="24"/>
                <w:lang w:val="en-US" w:eastAsia="zh-CN"/>
              </w:rPr>
              <w:t>符合落实中小企业政策要求。</w:t>
            </w:r>
          </w:p>
        </w:tc>
        <w:tc>
          <w:tcPr>
            <w:tcW w:w="524" w:type="dxa"/>
            <w:noWrap w:val="0"/>
            <w:vAlign w:val="top"/>
          </w:tcPr>
          <w:p>
            <w:pPr>
              <w:pStyle w:val="16"/>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noWrap w:val="0"/>
            <w:vAlign w:val="center"/>
          </w:tcPr>
          <w:p>
            <w:pPr>
              <w:jc w:val="center"/>
              <w:outlineLvl w:val="9"/>
              <w:rPr>
                <w:rFonts w:hint="eastAsia" w:ascii="仿宋_GB2312" w:hAnsi="仿宋_GB2312" w:eastAsia="仿宋_GB2312" w:cs="仿宋_GB2312"/>
                <w:color w:val="auto"/>
                <w:sz w:val="24"/>
                <w:szCs w:val="24"/>
              </w:rPr>
            </w:pPr>
          </w:p>
        </w:tc>
        <w:tc>
          <w:tcPr>
            <w:tcW w:w="7757" w:type="dxa"/>
            <w:gridSpan w:val="2"/>
            <w:noWrap w:val="0"/>
            <w:vAlign w:val="center"/>
          </w:tcPr>
          <w:p>
            <w:pP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结论：是否通过评审</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rPr>
              <w:t>初步评审合格后方可进入详细评审阶段</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bl>
    <w:p>
      <w:pPr>
        <w:pStyle w:val="22"/>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sectPr>
          <w:headerReference r:id="rId5" w:type="default"/>
          <w:footerReference r:id="rId6" w:type="default"/>
          <w:pgSz w:w="11906" w:h="16838"/>
          <w:pgMar w:top="1417" w:right="1440" w:bottom="1440" w:left="1440" w:header="851" w:footer="992" w:gutter="0"/>
          <w:pgNumType w:fmt="numberInDash"/>
          <w:cols w:space="720" w:num="1"/>
          <w:rtlGutter w:val="0"/>
          <w:docGrid w:linePitch="312" w:charSpace="0"/>
        </w:sect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Chars="0" w:firstLine="562"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二、详细评审（技术标评分标准）</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161"/>
        <w:gridCol w:w="998"/>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项目分值</w:t>
            </w:r>
          </w:p>
        </w:tc>
        <w:tc>
          <w:tcPr>
            <w:tcW w:w="628" w:type="pct"/>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评分因素</w:t>
            </w:r>
          </w:p>
        </w:tc>
        <w:tc>
          <w:tcPr>
            <w:tcW w:w="540" w:type="pct"/>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分值</w:t>
            </w:r>
          </w:p>
        </w:tc>
        <w:tc>
          <w:tcPr>
            <w:tcW w:w="3266" w:type="pct"/>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restart"/>
          </w:tcPr>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技</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术</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标</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70</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21" w:firstLineChars="100"/>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bCs/>
                <w:sz w:val="22"/>
                <w:szCs w:val="22"/>
                <w:highlight w:val="none"/>
                <w:lang w:val="en-US" w:eastAsia="zh-CN"/>
              </w:rPr>
              <w:t>分</w:t>
            </w:r>
          </w:p>
        </w:tc>
        <w:tc>
          <w:tcPr>
            <w:tcW w:w="628" w:type="pct"/>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企业资质</w:t>
            </w:r>
          </w:p>
        </w:tc>
        <w:tc>
          <w:tcPr>
            <w:tcW w:w="540" w:type="pct"/>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5</w:t>
            </w:r>
          </w:p>
        </w:tc>
        <w:tc>
          <w:tcPr>
            <w:tcW w:w="3266" w:type="pct"/>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为保证投标供应商具有履行本项目的能力，需提供以下能力认证：</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1.投标供应商需具备房屋建筑工程施工总承包叁级(含)以上资质，提供原件扫描件，满足的得3分，不满足或未提供的不得分；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2.项目经理具有注册二级建造师（含）以上资质，并提供资质证书、身份证、近三个月社保缴纳证明、学历证书原件扫描件，满足的得2分，不满足或未提供的不得分。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项目实施经验</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4</w:t>
            </w:r>
          </w:p>
        </w:tc>
        <w:tc>
          <w:tcPr>
            <w:tcW w:w="3266"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根据供应商近三年（2021 年1月1日以来至投标截止日）的与本项目相同或相似的质量合格的项目业绩（标书内附中标通知书或合同扫描件），有一项得 1 分，最高 2 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项目经理业绩：项目经理须提供近三年（2021 年1月1日以来至投标截止日）承担过类似或相近工程项目业绩，（标书内附中标通知书或合同扫描件）。每一项得 1 分，最多得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实施团队</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6</w:t>
            </w:r>
          </w:p>
        </w:tc>
        <w:tc>
          <w:tcPr>
            <w:tcW w:w="3266"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项目应配备技术负责人、施工员、安全员、资料员、材料员、质检员等岗位配备齐全，满足要求等方面进行评审（6 分）；附有效的人员岗位证书、以及近三个月的社保证明、学历证书、身份证、进行认定。缺一人扣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投标人同类项目履约情况</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3</w:t>
            </w:r>
          </w:p>
        </w:tc>
        <w:tc>
          <w:tcPr>
            <w:tcW w:w="3266" w:type="pct"/>
            <w:vAlign w:val="top"/>
          </w:tcPr>
          <w:p>
            <w:pPr>
              <w:rPr>
                <w:rFonts w:hint="eastAsia" w:ascii="仿宋_GB2312" w:hAnsi="仿宋_GB2312" w:eastAsia="仿宋_GB2312" w:cs="仿宋_GB2312"/>
                <w:sz w:val="22"/>
                <w:szCs w:val="22"/>
                <w:highlight w:val="none"/>
              </w:rPr>
            </w:pPr>
            <w:bookmarkStart w:id="2" w:name="OLE_LINK1"/>
            <w:r>
              <w:rPr>
                <w:rFonts w:hint="eastAsia" w:ascii="仿宋_GB2312" w:hAnsi="仿宋_GB2312" w:eastAsia="仿宋_GB2312" w:cs="仿宋_GB2312"/>
                <w:sz w:val="22"/>
                <w:szCs w:val="22"/>
                <w:highlight w:val="none"/>
              </w:rPr>
              <w:t>投标人提供</w:t>
            </w:r>
            <w:r>
              <w:rPr>
                <w:rFonts w:hint="eastAsia" w:ascii="仿宋_GB2312" w:hAnsi="仿宋_GB2312" w:eastAsia="仿宋_GB2312" w:cs="仿宋_GB2312"/>
                <w:sz w:val="22"/>
                <w:szCs w:val="22"/>
                <w:highlight w:val="none"/>
                <w:lang w:val="en-US" w:eastAsia="zh-CN"/>
              </w:rPr>
              <w:t>的</w:t>
            </w:r>
            <w:r>
              <w:rPr>
                <w:rFonts w:hint="eastAsia" w:ascii="仿宋_GB2312" w:hAnsi="仿宋_GB2312" w:eastAsia="仿宋_GB2312" w:cs="仿宋_GB2312"/>
                <w:b w:val="0"/>
                <w:bCs w:val="0"/>
                <w:color w:val="auto"/>
                <w:sz w:val="22"/>
                <w:szCs w:val="22"/>
                <w:highlight w:val="none"/>
                <w:vertAlign w:val="baseline"/>
                <w:lang w:val="en-US" w:eastAsia="zh-CN"/>
              </w:rPr>
              <w:t>近三年（2021 年1月1日以来至投标截止日）</w:t>
            </w:r>
            <w:r>
              <w:rPr>
                <w:rFonts w:hint="eastAsia" w:ascii="仿宋_GB2312" w:hAnsi="仿宋_GB2312" w:eastAsia="仿宋_GB2312" w:cs="仿宋_GB2312"/>
                <w:sz w:val="22"/>
                <w:szCs w:val="22"/>
                <w:highlight w:val="none"/>
              </w:rPr>
              <w:t>至投标截止之日前已完成的类似相关项目，甲方评价为优秀（满意）的，每提供一个有效项目履约评价得1分，满分</w:t>
            </w:r>
            <w:r>
              <w:rPr>
                <w:rFonts w:hint="eastAsia" w:ascii="仿宋_GB2312" w:hAnsi="仿宋_GB2312" w:eastAsia="仿宋_GB2312" w:cs="仿宋_GB2312"/>
                <w:sz w:val="22"/>
                <w:szCs w:val="22"/>
                <w:highlight w:val="none"/>
                <w:lang w:val="en-US" w:eastAsia="zh-CN"/>
              </w:rPr>
              <w:t>3</w:t>
            </w:r>
            <w:r>
              <w:rPr>
                <w:rFonts w:hint="eastAsia" w:ascii="仿宋_GB2312" w:hAnsi="仿宋_GB2312" w:eastAsia="仿宋_GB2312" w:cs="仿宋_GB2312"/>
                <w:sz w:val="22"/>
                <w:szCs w:val="22"/>
                <w:highlight w:val="none"/>
              </w:rPr>
              <w:t>分。</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1.除甲方盖章确认的履约服务评价外，还要求同时提供合同关键信息</w:t>
            </w:r>
            <w:r>
              <w:rPr>
                <w:rFonts w:hint="eastAsia" w:ascii="仿宋_GB2312" w:hAnsi="仿宋_GB2312" w:eastAsia="仿宋_GB2312" w:cs="仿宋_GB2312"/>
                <w:sz w:val="22"/>
                <w:szCs w:val="22"/>
                <w:highlight w:val="none"/>
                <w:lang w:eastAsia="zh-CN"/>
              </w:rPr>
              <w:t>（</w:t>
            </w:r>
            <w:r>
              <w:rPr>
                <w:rFonts w:hint="eastAsia" w:ascii="仿宋_GB2312" w:hAnsi="仿宋_GB2312" w:eastAsia="仿宋_GB2312" w:cs="仿宋_GB2312"/>
                <w:sz w:val="22"/>
                <w:szCs w:val="22"/>
                <w:highlight w:val="none"/>
                <w:lang w:val="en-US" w:eastAsia="zh-CN"/>
              </w:rPr>
              <w:t>项目信息、金额、甲乙方信息、并加盖公章信息等）</w:t>
            </w:r>
            <w:r>
              <w:rPr>
                <w:rFonts w:hint="eastAsia" w:ascii="仿宋_GB2312" w:hAnsi="仿宋_GB2312" w:eastAsia="仿宋_GB2312" w:cs="仿宋_GB2312"/>
                <w:sz w:val="22"/>
                <w:szCs w:val="22"/>
                <w:highlight w:val="none"/>
              </w:rPr>
              <w:t>证明文件作为得分依据。</w:t>
            </w:r>
          </w:p>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2.通过甲方盖章确认的履约服务评价无法判断是否得分的，还须同时提供能证明得分的其它证明资料，如项目验收报告或合同甲方出具的其他证明文件等。</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3.以上资料均要求提供扫描件加盖投标人公章，原件备查。评分中出现无证明资料或专家无法凭所提供资料判断是否得分的情况，一律作不得分处理。</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color w:val="000000"/>
                <w:sz w:val="22"/>
                <w:szCs w:val="22"/>
                <w:highlight w:val="none"/>
                <w:lang w:val="en-US" w:eastAsia="zh-CN"/>
              </w:rPr>
              <w:t>项目实施方案</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14</w:t>
            </w:r>
          </w:p>
        </w:tc>
        <w:tc>
          <w:tcPr>
            <w:tcW w:w="3266" w:type="pct"/>
            <w:vAlign w:val="top"/>
          </w:tcPr>
          <w:p>
            <w:pPr>
              <w:pStyle w:val="27"/>
              <w:spacing w:before="65" w:line="273" w:lineRule="auto"/>
              <w:ind w:left="139" w:right="117" w:hanging="8"/>
              <w:jc w:val="both"/>
              <w:rPr>
                <w:rFonts w:hint="eastAsia" w:ascii="仿宋_GB2312" w:hAnsi="仿宋_GB2312" w:eastAsia="仿宋_GB2312" w:cs="仿宋_GB2312"/>
                <w:kern w:val="2"/>
                <w:sz w:val="22"/>
                <w:szCs w:val="22"/>
                <w:highlight w:val="none"/>
                <w:lang w:val="en-US" w:eastAsia="zh-CN" w:bidi="ar-SA"/>
              </w:rPr>
            </w:pPr>
            <w:bookmarkStart w:id="3" w:name="OLE_LINK2"/>
            <w:r>
              <w:rPr>
                <w:rFonts w:hint="eastAsia" w:ascii="仿宋_GB2312" w:hAnsi="仿宋_GB2312" w:eastAsia="仿宋_GB2312" w:cs="仿宋_GB2312"/>
                <w:color w:val="000000"/>
                <w:sz w:val="22"/>
                <w:szCs w:val="22"/>
                <w:highlight w:val="none"/>
                <w:lang w:val="en-US" w:eastAsia="zh-CN"/>
              </w:rPr>
              <w:t>实施</w:t>
            </w:r>
            <w:r>
              <w:rPr>
                <w:rFonts w:hint="eastAsia" w:ascii="仿宋_GB2312" w:hAnsi="仿宋_GB2312" w:eastAsia="仿宋_GB2312" w:cs="仿宋_GB2312"/>
                <w:color w:val="000000"/>
                <w:sz w:val="22"/>
                <w:szCs w:val="22"/>
                <w:highlight w:val="none"/>
                <w:lang w:val="zh-CN" w:eastAsia="zh-CN"/>
              </w:rPr>
              <w:t>方案</w:t>
            </w:r>
            <w:r>
              <w:rPr>
                <w:rFonts w:hint="eastAsia" w:ascii="仿宋_GB2312" w:hAnsi="仿宋_GB2312" w:eastAsia="仿宋_GB2312" w:cs="仿宋_GB2312"/>
                <w:color w:val="000000"/>
                <w:sz w:val="22"/>
                <w:szCs w:val="22"/>
                <w:highlight w:val="none"/>
                <w:lang w:val="en-US" w:eastAsia="zh-CN"/>
              </w:rPr>
              <w:t>包括①有完善的管理架构、②有详细合理的施工计划（</w:t>
            </w:r>
            <w:r>
              <w:rPr>
                <w:rFonts w:hint="eastAsia" w:ascii="仿宋_GB2312" w:hAnsi="仿宋_GB2312" w:eastAsia="仿宋_GB2312" w:cs="仿宋_GB2312"/>
                <w:color w:val="000000"/>
                <w:sz w:val="22"/>
                <w:szCs w:val="22"/>
                <w:highlight w:val="none"/>
              </w:rPr>
              <w:t>确保按照工期要求完成施工的具体计划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、③质量服务计划表、④人员配备、⑤机械设备使用、⑥资金使用计划及其⑦保证措施</w:t>
            </w:r>
            <w:r>
              <w:rPr>
                <w:rFonts w:hint="eastAsia" w:ascii="仿宋_GB2312" w:hAnsi="仿宋_GB2312" w:eastAsia="仿宋_GB2312" w:cs="仿宋_GB2312"/>
                <w:kern w:val="2"/>
                <w:sz w:val="22"/>
                <w:szCs w:val="22"/>
                <w:highlight w:val="none"/>
                <w:lang w:val="en-US" w:eastAsia="zh-CN" w:bidi="ar-SA"/>
              </w:rPr>
              <w:t>全部可行且满足；对以上7项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每缺一项的扣2分，扣完为止；每有一项内容不完整、有缺陷、逻辑不清晰、不满足实际情况的扣1分，直至扣完为止，未提供不得分。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bookmarkStart w:id="4" w:name="OLE_LINK3"/>
            <w:r>
              <w:rPr>
                <w:rFonts w:hint="eastAsia" w:ascii="仿宋_GB2312" w:hAnsi="仿宋_GB2312" w:eastAsia="仿宋_GB2312" w:cs="仿宋_GB2312"/>
                <w:sz w:val="22"/>
                <w:szCs w:val="22"/>
                <w:highlight w:val="none"/>
              </w:rPr>
              <w:t>施工组织计划、技术、工艺及相关的合理化建议</w:t>
            </w:r>
            <w:bookmarkEnd w:id="4"/>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66" w:type="pct"/>
            <w:vAlign w:val="top"/>
          </w:tcPr>
          <w:p>
            <w:pPr>
              <w:pStyle w:val="27"/>
              <w:spacing w:before="65" w:line="273" w:lineRule="auto"/>
              <w:ind w:left="139" w:right="117" w:hanging="8"/>
              <w:jc w:val="both"/>
              <w:rPr>
                <w:rFonts w:hint="eastAsia" w:ascii="仿宋_GB2312" w:hAnsi="仿宋_GB2312" w:eastAsia="仿宋_GB2312" w:cs="仿宋_GB2312"/>
                <w:kern w:val="2"/>
                <w:sz w:val="22"/>
                <w:szCs w:val="22"/>
                <w:highlight w:val="none"/>
                <w:lang w:val="en-US" w:eastAsia="zh-CN" w:bidi="ar-SA"/>
              </w:rPr>
            </w:pPr>
            <w:bookmarkStart w:id="5" w:name="OLE_LINK4"/>
            <w:r>
              <w:rPr>
                <w:rFonts w:hint="eastAsia" w:ascii="仿宋_GB2312" w:hAnsi="仿宋_GB2312" w:eastAsia="仿宋_GB2312" w:cs="仿宋_GB2312"/>
                <w:color w:val="000000"/>
                <w:sz w:val="22"/>
                <w:szCs w:val="22"/>
                <w:highlight w:val="none"/>
              </w:rPr>
              <w:t>结合项目本身条件、</w:t>
            </w:r>
            <w:r>
              <w:rPr>
                <w:rFonts w:hint="eastAsia" w:ascii="仿宋_GB2312" w:hAnsi="仿宋_GB2312" w:eastAsia="仿宋_GB2312" w:cs="仿宋_GB2312"/>
                <w:sz w:val="22"/>
                <w:szCs w:val="22"/>
                <w:highlight w:val="none"/>
              </w:rPr>
              <w:t>建筑安装部分以及装饰部分</w:t>
            </w:r>
            <w:r>
              <w:rPr>
                <w:rFonts w:hint="eastAsia" w:ascii="仿宋_GB2312" w:hAnsi="仿宋_GB2312" w:eastAsia="仿宋_GB2312" w:cs="仿宋_GB2312"/>
                <w:color w:val="000000"/>
                <w:sz w:val="22"/>
                <w:szCs w:val="22"/>
                <w:highlight w:val="none"/>
              </w:rPr>
              <w:t>、施工时间、场地受限等因素，编制</w:t>
            </w:r>
            <w:r>
              <w:rPr>
                <w:rFonts w:hint="eastAsia" w:ascii="仿宋_GB2312" w:hAnsi="仿宋_GB2312" w:eastAsia="仿宋_GB2312" w:cs="仿宋_GB2312"/>
                <w:color w:val="000000"/>
                <w:sz w:val="22"/>
                <w:szCs w:val="22"/>
                <w:highlight w:val="none"/>
                <w:lang w:val="en-US" w:eastAsia="zh-CN"/>
              </w:rPr>
              <w:t>①</w:t>
            </w:r>
            <w:r>
              <w:rPr>
                <w:rFonts w:hint="eastAsia" w:ascii="仿宋_GB2312" w:hAnsi="仿宋_GB2312" w:eastAsia="仿宋_GB2312" w:cs="仿宋_GB2312"/>
                <w:color w:val="000000"/>
                <w:sz w:val="22"/>
                <w:szCs w:val="22"/>
                <w:highlight w:val="none"/>
              </w:rPr>
              <w:t>施工组织计划、</w:t>
            </w:r>
            <w:r>
              <w:rPr>
                <w:rFonts w:hint="eastAsia" w:ascii="仿宋_GB2312" w:hAnsi="仿宋_GB2312" w:eastAsia="仿宋_GB2312" w:cs="仿宋_GB2312"/>
                <w:color w:val="000000"/>
                <w:sz w:val="22"/>
                <w:szCs w:val="22"/>
                <w:highlight w:val="none"/>
                <w:lang w:val="en-US" w:eastAsia="zh-CN"/>
              </w:rPr>
              <w:t>②</w:t>
            </w:r>
            <w:r>
              <w:rPr>
                <w:rFonts w:hint="eastAsia" w:ascii="仿宋_GB2312" w:hAnsi="仿宋_GB2312" w:eastAsia="仿宋_GB2312" w:cs="仿宋_GB2312"/>
                <w:color w:val="000000"/>
                <w:sz w:val="22"/>
                <w:szCs w:val="22"/>
                <w:highlight w:val="none"/>
              </w:rPr>
              <w:t>施工技术、</w:t>
            </w:r>
            <w:r>
              <w:rPr>
                <w:rFonts w:hint="eastAsia" w:ascii="仿宋_GB2312" w:hAnsi="仿宋_GB2312" w:eastAsia="仿宋_GB2312" w:cs="仿宋_GB2312"/>
                <w:color w:val="000000"/>
                <w:sz w:val="22"/>
                <w:szCs w:val="22"/>
                <w:highlight w:val="none"/>
                <w:lang w:val="en-US" w:eastAsia="zh-CN"/>
              </w:rPr>
              <w:t>③新型的</w:t>
            </w:r>
            <w:r>
              <w:rPr>
                <w:rFonts w:hint="eastAsia" w:ascii="仿宋_GB2312" w:hAnsi="仿宋_GB2312" w:eastAsia="仿宋_GB2312" w:cs="仿宋_GB2312"/>
                <w:color w:val="000000"/>
                <w:sz w:val="22"/>
                <w:szCs w:val="22"/>
                <w:highlight w:val="none"/>
              </w:rPr>
              <w:t>施工工艺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④</w:t>
            </w:r>
            <w:r>
              <w:rPr>
                <w:rFonts w:hint="eastAsia" w:ascii="仿宋_GB2312" w:hAnsi="仿宋_GB2312" w:eastAsia="仿宋_GB2312" w:cs="仿宋_GB2312"/>
                <w:color w:val="000000"/>
                <w:sz w:val="22"/>
                <w:szCs w:val="22"/>
                <w:highlight w:val="none"/>
              </w:rPr>
              <w:t>工程特点</w:t>
            </w:r>
            <w:r>
              <w:rPr>
                <w:rFonts w:hint="eastAsia" w:ascii="仿宋_GB2312" w:hAnsi="仿宋_GB2312" w:eastAsia="仿宋_GB2312" w:cs="仿宋_GB2312"/>
                <w:color w:val="000000"/>
                <w:sz w:val="22"/>
                <w:szCs w:val="22"/>
                <w:highlight w:val="none"/>
                <w:lang w:val="en-US" w:eastAsia="zh-CN"/>
              </w:rPr>
              <w:t>⑤</w:t>
            </w:r>
            <w:r>
              <w:rPr>
                <w:rFonts w:hint="eastAsia" w:ascii="仿宋_GB2312" w:hAnsi="仿宋_GB2312" w:eastAsia="仿宋_GB2312" w:cs="仿宋_GB2312"/>
                <w:color w:val="000000"/>
                <w:sz w:val="22"/>
                <w:szCs w:val="22"/>
                <w:highlight w:val="none"/>
              </w:rPr>
              <w:t>并提出合理化建议，</w:t>
            </w:r>
            <w:r>
              <w:rPr>
                <w:rFonts w:hint="eastAsia" w:ascii="仿宋_GB2312" w:hAnsi="仿宋_GB2312" w:eastAsia="仿宋_GB2312" w:cs="仿宋_GB2312"/>
                <w:kern w:val="2"/>
                <w:sz w:val="22"/>
                <w:szCs w:val="22"/>
                <w:highlight w:val="none"/>
                <w:lang w:val="en-US" w:eastAsia="zh-CN" w:bidi="ar-SA"/>
              </w:rPr>
              <w:t>对以上5项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：每缺一项的扣2分，扣完为止；每有一项内容不完整、有缺陷、逻辑不清晰、不满足实际情况的扣1分，直至扣完为止，未提供不得分。</w:t>
            </w:r>
          </w:p>
          <w:p>
            <w:pPr>
              <w:spacing w:line="240" w:lineRule="atLeas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项目实施关键施工技术（重点难点）分析及解决方案</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66" w:type="pct"/>
            <w:vAlign w:val="top"/>
          </w:tcPr>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文件中提供项目实施关键施工技术（重点难点、</w:t>
            </w:r>
            <w:r>
              <w:rPr>
                <w:rFonts w:hint="eastAsia" w:ascii="仿宋_GB2312" w:hAnsi="仿宋_GB2312" w:eastAsia="仿宋_GB2312" w:cs="仿宋_GB2312"/>
                <w:sz w:val="22"/>
                <w:szCs w:val="22"/>
                <w:highlight w:val="none"/>
              </w:rPr>
              <w:t>建筑安装部分以及装饰部分</w:t>
            </w:r>
            <w:r>
              <w:rPr>
                <w:rFonts w:hint="eastAsia" w:ascii="仿宋_GB2312" w:hAnsi="仿宋_GB2312" w:eastAsia="仿宋_GB2312" w:cs="仿宋_GB2312"/>
                <w:color w:val="000000"/>
                <w:sz w:val="22"/>
                <w:szCs w:val="22"/>
                <w:highlight w:val="none"/>
              </w:rPr>
              <w:t>等）分析及解决方案，评审内容包括：</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1、项目总体安排与资源配置、进度计划控制、质量控制；</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2、各项费用控制，各类经济技术指标、估算，资料齐全程度；</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3、项目实施重点、难点和解决方案及进度保证措施。 </w:t>
            </w:r>
          </w:p>
          <w:p>
            <w:pPr>
              <w:pStyle w:val="27"/>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对以上3项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：每缺一项的扣2分，扣完为止；每有一项内容不完整、有缺陷、逻辑不清晰、不满足实际情况的扣1分，直至扣完为止，未提供不得分。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施工质量（安全、环保、工期、售后服务）保障措施及相关的违约承诺</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66" w:type="pct"/>
            <w:vAlign w:val="top"/>
          </w:tcPr>
          <w:p>
            <w:pPr>
              <w:rPr>
                <w:rFonts w:hint="eastAsia" w:ascii="仿宋_GB2312" w:hAnsi="仿宋_GB2312" w:eastAsia="仿宋_GB2312" w:cs="仿宋_GB2312"/>
                <w:color w:val="000000"/>
                <w:sz w:val="22"/>
                <w:szCs w:val="22"/>
                <w:highlight w:val="none"/>
              </w:rPr>
            </w:pPr>
            <w:bookmarkStart w:id="6" w:name="OLE_LINK5"/>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w:t>
            </w:r>
            <w:r>
              <w:rPr>
                <w:rFonts w:hint="eastAsia" w:ascii="仿宋_GB2312" w:hAnsi="仿宋_GB2312" w:eastAsia="仿宋_GB2312" w:cs="仿宋_GB2312"/>
                <w:color w:val="000000"/>
                <w:sz w:val="22"/>
                <w:szCs w:val="22"/>
                <w:highlight w:val="none"/>
                <w:lang w:val="en-US" w:eastAsia="zh-CN"/>
              </w:rPr>
              <w:t>科学合理的（1）</w:t>
            </w:r>
            <w:r>
              <w:rPr>
                <w:rFonts w:hint="eastAsia" w:ascii="仿宋_GB2312" w:hAnsi="仿宋_GB2312" w:eastAsia="仿宋_GB2312" w:cs="仿宋_GB2312"/>
                <w:color w:val="000000"/>
                <w:sz w:val="22"/>
                <w:szCs w:val="22"/>
                <w:highlight w:val="none"/>
              </w:rPr>
              <w:t>施工质量（安全、环保、工期、售后服务）保障措施及</w:t>
            </w:r>
            <w:r>
              <w:rPr>
                <w:rFonts w:hint="eastAsia" w:ascii="仿宋_GB2312" w:hAnsi="仿宋_GB2312" w:eastAsia="仿宋_GB2312" w:cs="仿宋_GB2312"/>
                <w:color w:val="000000"/>
                <w:sz w:val="22"/>
                <w:szCs w:val="22"/>
                <w:highlight w:val="none"/>
                <w:lang w:val="en-US" w:eastAsia="zh-CN"/>
              </w:rPr>
              <w:t>（2）</w:t>
            </w:r>
            <w:r>
              <w:rPr>
                <w:rFonts w:hint="eastAsia" w:ascii="仿宋_GB2312" w:hAnsi="仿宋_GB2312" w:eastAsia="仿宋_GB2312" w:cs="仿宋_GB2312"/>
                <w:color w:val="000000"/>
                <w:sz w:val="22"/>
                <w:szCs w:val="22"/>
                <w:highlight w:val="none"/>
              </w:rPr>
              <w:t>相关的违约承诺。</w:t>
            </w:r>
          </w:p>
          <w:p>
            <w:pP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以上第（1）项内容全部满足得4分，</w:t>
            </w:r>
            <w:r>
              <w:rPr>
                <w:rFonts w:hint="eastAsia" w:ascii="仿宋_GB2312" w:hAnsi="仿宋_GB2312" w:eastAsia="仿宋_GB2312" w:cs="仿宋_GB2312"/>
                <w:kern w:val="2"/>
                <w:sz w:val="22"/>
                <w:szCs w:val="22"/>
                <w:highlight w:val="none"/>
                <w:lang w:val="en-US" w:eastAsia="zh-CN" w:bidi="ar-SA"/>
              </w:rPr>
              <w:t>每缺一项的扣1分，扣完为止；每有一项内容不完整、有缺陷、逻辑不清晰、不满足实际情况的扣1分，直至扣完为止，未提供不得分。第（2）内容</w:t>
            </w:r>
            <w:r>
              <w:rPr>
                <w:rFonts w:hint="eastAsia" w:ascii="仿宋_GB2312" w:hAnsi="仿宋_GB2312" w:eastAsia="仿宋_GB2312" w:cs="仿宋_GB2312"/>
                <w:color w:val="000000"/>
                <w:sz w:val="22"/>
                <w:szCs w:val="22"/>
                <w:highlight w:val="none"/>
              </w:rPr>
              <w:t>违约承诺</w:t>
            </w:r>
            <w:r>
              <w:rPr>
                <w:rFonts w:hint="eastAsia" w:ascii="仿宋_GB2312" w:hAnsi="仿宋_GB2312" w:eastAsia="仿宋_GB2312" w:cs="仿宋_GB2312"/>
                <w:color w:val="000000"/>
                <w:sz w:val="22"/>
                <w:szCs w:val="22"/>
                <w:highlight w:val="none"/>
                <w:lang w:val="en-US" w:eastAsia="zh-CN"/>
              </w:rPr>
              <w:t>内容需</w:t>
            </w:r>
            <w:r>
              <w:rPr>
                <w:rFonts w:hint="eastAsia" w:ascii="仿宋_GB2312" w:hAnsi="仿宋_GB2312" w:eastAsia="仿宋_GB2312" w:cs="仿宋_GB2312"/>
                <w:color w:val="000000"/>
                <w:sz w:val="22"/>
                <w:szCs w:val="22"/>
                <w:highlight w:val="none"/>
              </w:rPr>
              <w:t>明确</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rPr>
              <w:t>包含竣工验收后的质保期承诺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供应商出现违约情况的处理方案等，满足的得2分，不满足的不得分。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劳动力、机械设备、材料投入计划及其保证措施</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8</w:t>
            </w:r>
          </w:p>
        </w:tc>
        <w:tc>
          <w:tcPr>
            <w:tcW w:w="3266" w:type="pct"/>
            <w:vAlign w:val="top"/>
          </w:tcPr>
          <w:p>
            <w:pPr>
              <w:rPr>
                <w:rFonts w:hint="eastAsia" w:ascii="仿宋_GB2312" w:hAnsi="仿宋_GB2312" w:eastAsia="仿宋_GB2312" w:cs="仿宋_GB2312"/>
                <w:color w:val="000000"/>
                <w:sz w:val="22"/>
                <w:szCs w:val="22"/>
                <w:highlight w:val="none"/>
              </w:rPr>
            </w:pPr>
            <w:bookmarkStart w:id="7" w:name="OLE_LINK6"/>
            <w:r>
              <w:rPr>
                <w:rFonts w:hint="eastAsia" w:ascii="仿宋_GB2312" w:hAnsi="仿宋_GB2312" w:eastAsia="仿宋_GB2312" w:cs="仿宋_GB2312"/>
                <w:color w:val="000000"/>
                <w:sz w:val="22"/>
                <w:szCs w:val="22"/>
                <w:highlight w:val="none"/>
              </w:rPr>
              <w:t>项目实施使用的</w:t>
            </w:r>
            <w:r>
              <w:rPr>
                <w:rFonts w:hint="eastAsia" w:ascii="仿宋_GB2312" w:hAnsi="仿宋_GB2312" w:eastAsia="仿宋_GB2312" w:cs="仿宋_GB2312"/>
                <w:color w:val="000000"/>
                <w:sz w:val="22"/>
                <w:szCs w:val="22"/>
                <w:highlight w:val="none"/>
                <w:lang w:val="en-US" w:eastAsia="zh-CN"/>
              </w:rPr>
              <w:t>①</w:t>
            </w:r>
            <w:r>
              <w:rPr>
                <w:rFonts w:hint="eastAsia" w:ascii="仿宋_GB2312" w:hAnsi="仿宋_GB2312" w:eastAsia="仿宋_GB2312" w:cs="仿宋_GB2312"/>
                <w:color w:val="000000"/>
                <w:sz w:val="22"/>
                <w:szCs w:val="22"/>
                <w:highlight w:val="none"/>
              </w:rPr>
              <w:t>机械设备配备方案、</w:t>
            </w:r>
            <w:r>
              <w:rPr>
                <w:rFonts w:hint="eastAsia" w:ascii="仿宋_GB2312" w:hAnsi="仿宋_GB2312" w:eastAsia="仿宋_GB2312" w:cs="仿宋_GB2312"/>
                <w:color w:val="000000"/>
                <w:sz w:val="22"/>
                <w:szCs w:val="22"/>
                <w:highlight w:val="none"/>
                <w:lang w:val="en-US" w:eastAsia="zh-CN"/>
              </w:rPr>
              <w:t>②</w:t>
            </w:r>
            <w:r>
              <w:rPr>
                <w:rFonts w:hint="eastAsia" w:ascii="仿宋_GB2312" w:hAnsi="仿宋_GB2312" w:eastAsia="仿宋_GB2312" w:cs="仿宋_GB2312"/>
                <w:color w:val="000000"/>
                <w:sz w:val="22"/>
                <w:szCs w:val="22"/>
                <w:highlight w:val="none"/>
              </w:rPr>
              <w:t>劳动力备置方案</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w:t>
            </w:r>
            <w:r>
              <w:rPr>
                <w:rFonts w:hint="eastAsia" w:ascii="仿宋_GB2312" w:hAnsi="仿宋_GB2312" w:eastAsia="仿宋_GB2312" w:cs="仿宋_GB2312"/>
                <w:color w:val="000000"/>
                <w:sz w:val="22"/>
                <w:szCs w:val="22"/>
                <w:highlight w:val="none"/>
              </w:rPr>
              <w:t>材料投入计划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④</w:t>
            </w:r>
            <w:r>
              <w:rPr>
                <w:rFonts w:hint="eastAsia" w:ascii="仿宋_GB2312" w:hAnsi="仿宋_GB2312" w:eastAsia="仿宋_GB2312" w:cs="仿宋_GB2312"/>
                <w:color w:val="000000"/>
                <w:sz w:val="22"/>
                <w:szCs w:val="22"/>
                <w:highlight w:val="none"/>
              </w:rPr>
              <w:t>项目实施其配套保证措施方案；</w:t>
            </w:r>
          </w:p>
          <w:p>
            <w:pPr>
              <w:pStyle w:val="27"/>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对以上4项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：每缺一项的扣2分，扣完为止；每有一项内容不完整、有缺陷、逻辑不清晰、不满足实际情况的扣1分，直至扣完为止，未提供不得分。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材料设备性能</w:t>
            </w:r>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66" w:type="pct"/>
            <w:vAlign w:val="top"/>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响应文件提供①</w:t>
            </w:r>
            <w:r>
              <w:rPr>
                <w:rFonts w:hint="eastAsia" w:ascii="仿宋_GB2312" w:hAnsi="仿宋_GB2312" w:eastAsia="仿宋_GB2312" w:cs="仿宋_GB2312"/>
                <w:sz w:val="22"/>
                <w:szCs w:val="22"/>
                <w:highlight w:val="none"/>
              </w:rPr>
              <w:t>列明材料等的采购地点。</w:t>
            </w:r>
            <w:r>
              <w:rPr>
                <w:rFonts w:hint="eastAsia" w:ascii="仿宋_GB2312" w:hAnsi="仿宋_GB2312" w:eastAsia="仿宋_GB2312" w:cs="仿宋_GB2312"/>
                <w:sz w:val="22"/>
                <w:szCs w:val="22"/>
                <w:highlight w:val="none"/>
                <w:lang w:val="en-US" w:eastAsia="zh-CN"/>
              </w:rPr>
              <w:t>②</w:t>
            </w:r>
            <w:r>
              <w:rPr>
                <w:rFonts w:hint="eastAsia" w:ascii="仿宋_GB2312" w:hAnsi="仿宋_GB2312" w:eastAsia="仿宋_GB2312" w:cs="仿宋_GB2312"/>
                <w:sz w:val="22"/>
                <w:szCs w:val="22"/>
                <w:highlight w:val="none"/>
              </w:rPr>
              <w:t>提供供应材料性能优于需求的承诺书。</w:t>
            </w:r>
            <w:r>
              <w:rPr>
                <w:rFonts w:hint="eastAsia" w:ascii="仿宋_GB2312" w:hAnsi="仿宋_GB2312" w:eastAsia="仿宋_GB2312" w:cs="仿宋_GB2312"/>
                <w:sz w:val="22"/>
                <w:szCs w:val="22"/>
                <w:highlight w:val="none"/>
                <w:lang w:val="en-US" w:eastAsia="zh-CN"/>
              </w:rPr>
              <w:t>③</w:t>
            </w:r>
            <w:r>
              <w:rPr>
                <w:rFonts w:hint="eastAsia" w:ascii="仿宋_GB2312" w:hAnsi="仿宋_GB2312" w:eastAsia="仿宋_GB2312" w:cs="仿宋_GB2312"/>
                <w:sz w:val="22"/>
                <w:szCs w:val="22"/>
                <w:highlight w:val="none"/>
              </w:rPr>
              <w:t>质量违约经济赔偿承诺书。</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满足以上3项的得</w:t>
            </w:r>
            <w:r>
              <w:rPr>
                <w:rFonts w:hint="eastAsia" w:ascii="仿宋_GB2312" w:hAnsi="仿宋_GB2312" w:eastAsia="仿宋_GB2312" w:cs="仿宋_GB2312"/>
                <w:sz w:val="22"/>
                <w:szCs w:val="22"/>
                <w:highlight w:val="none"/>
                <w:lang w:val="en-US" w:eastAsia="zh-CN"/>
              </w:rPr>
              <w:t>6</w:t>
            </w:r>
            <w:r>
              <w:rPr>
                <w:rFonts w:hint="eastAsia" w:ascii="仿宋_GB2312" w:hAnsi="仿宋_GB2312" w:eastAsia="仿宋_GB2312" w:cs="仿宋_GB2312"/>
                <w:sz w:val="22"/>
                <w:szCs w:val="22"/>
                <w:highlight w:val="none"/>
              </w:rPr>
              <w:t>分；满足以上2项的得</w:t>
            </w:r>
            <w:r>
              <w:rPr>
                <w:rFonts w:hint="eastAsia" w:ascii="仿宋_GB2312" w:hAnsi="仿宋_GB2312" w:eastAsia="仿宋_GB2312" w:cs="仿宋_GB2312"/>
                <w:sz w:val="22"/>
                <w:szCs w:val="22"/>
                <w:highlight w:val="none"/>
                <w:lang w:val="en-US" w:eastAsia="zh-CN"/>
              </w:rPr>
              <w:t>4</w:t>
            </w:r>
            <w:r>
              <w:rPr>
                <w:rFonts w:hint="eastAsia" w:ascii="仿宋_GB2312" w:hAnsi="仿宋_GB2312" w:eastAsia="仿宋_GB2312" w:cs="仿宋_GB2312"/>
                <w:sz w:val="22"/>
                <w:szCs w:val="22"/>
                <w:highlight w:val="none"/>
              </w:rPr>
              <w:t>分；满足以上1项得</w:t>
            </w:r>
            <w:r>
              <w:rPr>
                <w:rFonts w:hint="eastAsia" w:ascii="仿宋_GB2312" w:hAnsi="仿宋_GB2312" w:eastAsia="仿宋_GB2312" w:cs="仿宋_GB2312"/>
                <w:sz w:val="22"/>
                <w:szCs w:val="22"/>
                <w:highlight w:val="none"/>
                <w:lang w:val="en-US" w:eastAsia="zh-CN"/>
              </w:rPr>
              <w:t>2</w:t>
            </w:r>
            <w:r>
              <w:rPr>
                <w:rFonts w:hint="eastAsia" w:ascii="仿宋_GB2312" w:hAnsi="仿宋_GB2312" w:eastAsia="仿宋_GB2312" w:cs="仿宋_GB2312"/>
                <w:sz w:val="22"/>
                <w:szCs w:val="22"/>
                <w:highlight w:val="none"/>
              </w:rPr>
              <w:t>分；其他不得分。提供真实的材料证明文件，并加盖投标人单位公章。承诺格式自拟，有明确的承诺事项，并加盖投标人单位公章。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bookmarkStart w:id="8" w:name="OLE_LINK7"/>
            <w:r>
              <w:rPr>
                <w:rFonts w:hint="eastAsia" w:ascii="仿宋_GB2312" w:hAnsi="仿宋_GB2312" w:eastAsia="仿宋_GB2312" w:cs="仿宋_GB2312"/>
                <w:sz w:val="22"/>
                <w:szCs w:val="22"/>
                <w:highlight w:val="none"/>
              </w:rPr>
              <w:t>免费质量保证期情况</w:t>
            </w:r>
            <w:bookmarkEnd w:id="8"/>
          </w:p>
        </w:tc>
        <w:tc>
          <w:tcPr>
            <w:tcW w:w="540" w:type="pct"/>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2</w:t>
            </w:r>
          </w:p>
        </w:tc>
        <w:tc>
          <w:tcPr>
            <w:tcW w:w="3266" w:type="pct"/>
            <w:vAlign w:val="top"/>
          </w:tcPr>
          <w:p>
            <w:pPr>
              <w:jc w:val="left"/>
              <w:rPr>
                <w:rFonts w:hint="eastAsia" w:ascii="仿宋_GB2312" w:hAnsi="仿宋_GB2312" w:eastAsia="仿宋_GB2312" w:cs="仿宋_GB2312"/>
                <w:bCs/>
                <w:sz w:val="22"/>
                <w:szCs w:val="22"/>
                <w:highlight w:val="none"/>
              </w:rPr>
            </w:pPr>
            <w:bookmarkStart w:id="9" w:name="OLE_LINK8"/>
            <w:r>
              <w:rPr>
                <w:rFonts w:hint="eastAsia" w:ascii="仿宋_GB2312" w:hAnsi="仿宋_GB2312" w:eastAsia="仿宋_GB2312" w:cs="仿宋_GB2312"/>
                <w:bCs/>
                <w:sz w:val="22"/>
                <w:szCs w:val="22"/>
                <w:highlight w:val="none"/>
              </w:rPr>
              <w:t>在本项目免费质量保证期要求的基础上，全部质量保证期同步每延长一年的保修期，得1分，最高得2分。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Cs/>
                <w:sz w:val="22"/>
                <w:szCs w:val="22"/>
                <w:highlight w:val="none"/>
              </w:rPr>
              <w:t>提供承诺函原件加盖投标人单位公章（格式自拟），未提供或提供的不符合要求的不得分</w:t>
            </w:r>
            <w:bookmarkEnd w:id="9"/>
          </w:p>
        </w:tc>
      </w:tr>
    </w:tbl>
    <w:p>
      <w:pPr>
        <w:pStyle w:val="22"/>
        <w:pageBreakBefore w:val="0"/>
        <w:widowControl w:val="0"/>
        <w:tabs>
          <w:tab w:val="left" w:pos="720"/>
        </w:tabs>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投标报价得分评分标准（30分）</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财政部《财库2007（2）》文件，综合评分法中的价格分统一采用低价优先法计算，即满足磋商文件要求且投标价格最低的投标报价为评标基准价，其价格分为满分。其他供应商的价格分统一按照下列公式计算：投标报价得分=（评标基准价／投标报价）×30</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（注：1.实质性响应磋商文件要求且最低评标价为评标基准价；2.供应商报价低于成本的除外。）</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17.5、磋商程序</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17.5.1 初审结束后，磋商小组所有成员集中与供应商同时在线上进行磋商，并给予所有参加磋商的供应商平等的磋商机会。供应商应派其法定代表人或授权代表参加磋商。</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17.5.2 在磋商过程中，磋商小组可以根据磋商文件和磋商情况实质性变动采购需求中的技术、服务要求以及合同草案条款，但不得变动磋商文件中的其他内容。实质性变动的内容，须经采购人代表确认。</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17.5.3 对磋商文件作出的实质性变动是磋商文件的有效组成部分，磋商小组应当及时以书面形式同时通知所有参加磋商的供应商。</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17.5.4 供应商应当按照磋商文件的变动情况和磋商小组的要求重新提交响应文件，并由其法定代表人或授权代表签字或者加盖公章。由授权代表签字的，应当附法定代表人授权书。</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17.6 最后报价</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17.6.1 磋商小组按照磋商文件规定的审查标准对供应商递交的响应文件进行资格审查和完备性符合审查。通过审查的供应商按顺序进入二次（或多次）报价。</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17.6.2 本次采购方式为竞争性磋商，共有二次（或多次）报价机会，响应单位在截止时间内递交的响应文件中的报价作为第一次报价；经查看供应商响应文件之后，磋商小组要求所有实质性响应竞争性磋商文件和采购方要求的供应商在规定的时间内提交最后报价，供应商的最后报价进入投标报价评审。</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17.6.3 最后报价是供应商响应文件的有效组成部分，每轮报价不得高于上轮报价。</w:t>
      </w:r>
    </w:p>
    <w:p>
      <w:pPr>
        <w:pStyle w:val="2"/>
        <w:rPr>
          <w:rFonts w:hint="eastAsia"/>
          <w:lang w:val="en-US" w:eastAsia="zh-CN"/>
        </w:rPr>
      </w:pP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商务评分标准（K</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994"/>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标准分</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投标报价 </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投标报价得分=（评标基准价/投标报价）*价格权重*100</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注：基准价=响应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有效的最低投标报价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报价明显低于市场成本价的除外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价格权重=</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8" w:type="dxa"/>
            <w:gridSpan w:val="2"/>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6991" w:type="dxa"/>
            <w:gridSpan w:val="2"/>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259" w:type="dxa"/>
            <w:gridSpan w:val="4"/>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注：上述相关文件，如有弄虚作假者，一经发现，则按废标处理。</w:t>
            </w:r>
          </w:p>
        </w:tc>
      </w:tr>
    </w:tbl>
    <w:p>
      <w:pPr>
        <w:keepNext w:val="0"/>
        <w:keepLines w:val="0"/>
        <w:pageBreakBefore w:val="0"/>
        <w:kinsoku/>
        <w:overflowPunct/>
        <w:topLinePunct w:val="0"/>
        <w:autoSpaceDE/>
        <w:autoSpaceDN/>
        <w:bidi w:val="0"/>
        <w:adjustRightInd/>
        <w:snapToGrid w:val="0"/>
        <w:spacing w:line="500" w:lineRule="exact"/>
        <w:jc w:val="both"/>
        <w:textAlignment w:val="auto"/>
        <w:outlineLvl w:val="1"/>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7 定标原则</w:t>
      </w:r>
    </w:p>
    <w:p>
      <w:pPr>
        <w:keepNext w:val="0"/>
        <w:keepLines w:val="0"/>
        <w:pageBreakBefore w:val="0"/>
        <w:widowControl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.7.1初步评审：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是否有重大偏差：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中出现以下情况之一的，属于重大偏差，作为废标处理，不进入下阶段的评审：</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资格不满足</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不能满足服务要求的</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未按</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要求提供投标保证金；</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附有</w:t>
      </w:r>
      <w:r>
        <w:rPr>
          <w:rFonts w:hint="eastAsia" w:ascii="仿宋_GB2312" w:hAnsi="仿宋_GB2312" w:eastAsia="仿宋_GB2312" w:cs="仿宋_GB2312"/>
          <w:b/>
          <w:bCs/>
          <w:color w:val="auto"/>
          <w:sz w:val="28"/>
          <w:szCs w:val="28"/>
          <w:lang w:eastAsia="zh-CN"/>
        </w:rPr>
        <w:t>采购人</w:t>
      </w:r>
      <w:r>
        <w:rPr>
          <w:rFonts w:hint="eastAsia" w:ascii="仿宋_GB2312" w:hAnsi="仿宋_GB2312" w:eastAsia="仿宋_GB2312" w:cs="仿宋_GB2312"/>
          <w:b/>
          <w:bCs/>
          <w:color w:val="auto"/>
          <w:sz w:val="28"/>
          <w:szCs w:val="28"/>
        </w:rPr>
        <w:t>不能接受的条件；</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中关键处出现书写、字迹模糊、涂擦或修改处无法定代表人或委托代理人小签及加盖被授权投标单位公章；</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未按照采购文件规定要求密封、签署、盖章的；</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规定的其它废标情况。</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.7.2 详细评审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评标委员会对</w:t>
      </w:r>
      <w:r>
        <w:rPr>
          <w:rFonts w:hint="eastAsia" w:ascii="仿宋_GB2312" w:hAnsi="仿宋_GB2312" w:eastAsia="仿宋_GB2312" w:cs="仿宋_GB2312"/>
          <w:color w:val="auto"/>
          <w:sz w:val="28"/>
          <w:szCs w:val="28"/>
          <w:lang w:eastAsia="zh-CN"/>
        </w:rPr>
        <w:t>供应商响应文件</w:t>
      </w:r>
      <w:r>
        <w:rPr>
          <w:rFonts w:hint="eastAsia" w:ascii="仿宋_GB2312" w:hAnsi="仿宋_GB2312" w:eastAsia="仿宋_GB2312" w:cs="仿宋_GB2312"/>
          <w:color w:val="auto"/>
          <w:sz w:val="28"/>
          <w:szCs w:val="28"/>
        </w:rPr>
        <w:t>的资格证明资料的提交情况进行审查。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实质上不响应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的要求，应作为废标。如果实质上与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有重大偏差，不允许</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通过修正或撤消其不符合要求的差异或保留，使之成为具有响应性的投标。所谓实质上响应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的要求，就是</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应该与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的所有商务条款、条件规定相符，无显著差异或保留。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评标委员会要审查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是否响应了</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的要求。响应的投标应该是满足或优于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要求的全部条款。</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（2）对投标报价评估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进行比较和评价。</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.7.3综合评价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依据评分的标准，评委根据投标单位的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按照评分表进行综合评价。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磋商小组对通过资格审查、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完备性及符合性审查标准的合格投标单位，以技术商务评审部分得分加最终二次（或多次）报价评审得分高者，确定出前三名作为中标候选人推荐给</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从三名中标候选人中确定出最终的中标人。</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.7.4评标报告</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评标委员会完成评标后，全体评委要在书面评标报告上签字，对评标结论有不同意见的可书面阐述不同意见和理由。</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提交书面评标报告后，评标委员会即告解散。</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5定标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根据评标委员会评标报告进行定标。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（2）中标结果公布：中标人确定后,</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将在刊登本次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公告的网络上发布中标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根据中标通知书要求的时间、地点与</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商签合同。</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的澄清</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评标委员会可以用书面形式要求存在细微偏差的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中含义不明确的内容作出必要的澄清或说明，并且补正这些遗漏或者不完整不会对其他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造成不公平的结果。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应在评标结束前予以补正。当采用书面形式进行澄清或说明，其澄清或者说明不得超出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的范围或者改变</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的实质性内容。</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八、保密与纪律事项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19.1 磋商小组成员以及与评审工作有关的人员不得泄露评审情况以及磋商过程中获悉的国家秘密、商业秘密。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磋商过程保密是指磋商开始后磋商小组对投标人资格审查开始至成交公告期结束、成交通知书发 出等与项目相关所有的文字、磋商小组的对话、音视频等相关资料的保密，如与采购项目相关的采购人、采购代理机构、磋商小组及其他相关人员泄密，从而导致评审结果出现不公正性，我单位将根据《政府采购法》《政府采购法实施条例》及相关法律法规规定将责任人提请上级行政主管部门追究其责任；构成犯罪的，将提请司法机关依法追究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19.2 投标人不得与采购人、采购代理机构、其他投标人恶意串通；不得向采购人、采购代理机构或者磋商小组成员行贿或者提供其他不正当利益；不得提供虚假材料谋取成交；不得以任何方式干扰、影响采购工作。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19.3 有下列情形之一的，属于恶意串通，成交无效，并依照《政府采购法》第七十七条的规定追究法律责任：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19.3.1 投标人直接或者间接从采购人、采购代理机构获得其他投标人的情况，并修改其响应文件的；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19.3.2 采购人、采购代理机构授意投标人撤换、修改响应文件的；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19.3.3 投标人之间协商技术方案、合同条款以及报价等响应文件实质性内容的;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19.3.4 属于同一集团、协会、商会等组织成员的投标人按照该组织要求协同参加政府采购活动的；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19.3.5 投标人之间事先约定由某一特定投标人成交的；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19.3.6 投标人之间商定部分投标人放弃提交响应文件或者退出磋商或者放弃成交的；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19.3.7 投标人与采购人、采购代理机构以及评标委员会成员之间、投标人相互之间，为谋求特定投标人成交或者排斥其他投标人的其他串通行为的。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19.3.8 法律、行政法规或规章规定的其他串通行为。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（一）提供虚假材料谋取成交的；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（二）采取不正当手段诋毁、排挤其他投标人的；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（三）与采购人、其他投标人或者采购代理机构恶意串通的；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（四）向采购人、采购代理机构行贿或者提供其他不正当利益的；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（五）在采购过程中与采购人进行协商磋商的；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（六）拒绝有关部门监督检查或者提供虚假情况的。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投标人有上述第（一）至（五）项情形之一的，成交无效。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19.5 投标人有下列情形之一的，依照《政府采购法》第七十七条第一款的规定追究法律责任：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（一）向磋商小组成员行贿或者提供其他不正当利益；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（二）成交后无正当理由拒不与采购人签订政府采购合同；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（三）未按照磋商文件确定的事项签订政府采购合同；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（四）将政府采购合同转包；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（五）擅自变更、中止或者终止政府采购合同。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投标人有上述第一项规定情形的，成交无效。评审阶段资格发生变化，投标人未依照《政府采购法实施条例》第二十一条的规定通知采购人和采购代理机构的，处以采购金额 5‰的罚款，列入不良行为记录名单，成交无效。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19.6 投标人捏造事实、提供虚假材料或者以非法手段取得证明材料进行投诉的，由财政部门列入不良行为记录名单，禁止其1至3年内参加政府采购活动。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九、磋商终止</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20.1 出现下列情形之一的，采购人或者采购代理机构应当终止竞争性磋商采购活动，发布项目终止公告并说明原因，重新开展采购活动：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（一）因情况变化，不再符合规定的竞争性磋商采购方式适用情形的；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（二）出现影响采购公正的违法、违规行为的；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（三）在采购过程中符合竞争要求的投标人或者报价未超过采购预算的投标人不足 3 家的，但技术复杂或者性质特殊，不能确定详细规格或者具体要求的情形除外。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（四）未在规定时间内按时解密的；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（五）不具备采购文件中规定资格要求的；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（六）投标文件未按规定由投标人法定代表人或其授权代理人签字和加盖公章的；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（七）投标文件未按照采购文件规定要求签章的；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（八）投标文件载明的采购项目供货期限超过采购文件规定期限的；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（九）评标过程中拒绝澄清相关事宜和问题的；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（十）投标文件附有采购人和组织采购方不能接受的其它条件的；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20.2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21.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22.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十、成交结果信息公布与授予合同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b/>
          <w:bCs/>
          <w:color w:val="auto"/>
          <w:sz w:val="28"/>
          <w:szCs w:val="28"/>
          <w:lang w:val="en-US" w:eastAsia="zh-CN"/>
        </w:rPr>
        <w:t>成交信息的公布</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23.1 采购人或者采购代理机构应当在成交投标人确定后 2 个工作日内，在省级以上财政部门指定的媒体上公告成交结果，同时向成交投标人发出成交通知书。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23.2 成交通知书对采购人和成交投标人具有同等法律效力。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24.成交通知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24.1 成交投标人确定后，采购人或采购代理机构将以书面形式向成交投标人发出成交通知书。成交通知书对采购人和成交投标人具有同等法律效力。成交通知书发出后，采购人不得违法改变成交结果，成交投标人无正当理由不得放弃成交。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 成交投标人在收到采购代理机构的成交通知书后 10 日内，应按照投标人须知前附表的规定，向采购人提交履约担保。联合体成交的，履约担保由联合体各方或联合体中牵头人的名义提交。</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24.3 竞争性磋商要求成交投标人提交履约保证金的，投标人应当以支票、汇票、本票或者金融机构、担保机构出具的保函等非现金形式提交。成交投标人没有按照规定提交履约担保的，视为放弃成交资格，其磋商保证金不予退还。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25. 签订合同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 采购人与成交投标人应当在成交通知书发出之日起 30 日内，按照磋商文件确定的合同文本以及采购标的、规格、采购金额、采购数量、技术和服务要求等事项签订政府采购合同。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采购人不得向成交投标人提出超出磋商文件以外的任何要求作为签订合同的条件，不得与成交投标人订立背离磋商文件确定的合同文本以及采购标的、规格、采购金额、采购数量、技术和服务要求等实质性内容的协议。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25.2 政府采购合同应当包括采购人与成交投标人的名称和住所、标的、数量、质量、价款或者报酬、履行期限及地点和方式、验收要求、违约责任、解决争议的方法等内容。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25.3 采购人与成交投标人应当根据合同的约定依法履行合同义务。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政府采购合同的履行、违约责任和解决争议的方法等适用《中华人民共和国合同法》。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除不可抗力等因素外，成交通知书发出后，采购人改变成交结果，或者成交投标人拒绝签订政府采购合同的，应当承担相应的法律责任。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成交投标人拒绝签订政府采购合同的，采购人可以按照财政部令第 74 号《政府采购非招标采购方式管理办法》第三十六条第二款、第四十九条第二款规定的原则确定其他投标人作为成交投标人并签订政府采购合同，也可以重新开展采购活动。拒绝签订政府采购合同的成交投标人不得参加对该项目重新开展的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25.4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25.5 采购人或者采购代理机构应当按照采购合同规定的技术、服务等要求组织对投标人履约的验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收，并出具验收书。验收书应当包括每一项技术、服务等要求的履约情况。大型或者复杂的项目，应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当邀请国家认可的质量检测机构参加验收。验收方成员应当在验收书上签字，并承担相应的法律责任。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25.6 采购人应当加强对成交投标人的履约管理，并按照采购合同约定，及时向成交投标人支付采购资金。对于成交投标人违反采购合同约定的行为，采购人应当及时处理，依法追究其违约责任。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24.7 成交投标人应当按照合同约定履行义务。成交投标人不得向他人转让成交项目，也不得将成交项目分包后分别向他人转让。合同分包需在响应文件中予以说明，并需经采购人同意。否则，采购人有权取消成交投标人的成交资格。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25.8 成交投标人有下列情形之一的，责令限期改正，情节严重的，列入不良行为记录名单，在1至3年内禁止参加政府采购活动，并予以通报：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（一）未按照磋商文件确定的事项签订政府采购合同，或者与采购人另行订立背离合同实质性内容的协议的；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（二）成交后无正当理由不与采购人签订合同的；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（三）拒绝履行合同义务的。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25.9 政府采购合同的双方当事人不得擅自变更、中止或者终止合同。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政府采购合同继续履行将损害国家利益和社会公共利益的，双方当事人应当变更、中止或者终止合同。有过错的一方应当承担赔偿责任，双方都有过错的，各自承担相应的责任。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25.10 采购人应当自政府采购合同签订之日起 2 个工作日内,将政府采购合同在省级以上人民政府财政部门指定的媒体上公告,但政府采购合同中涉及国家秘密、商业秘密的内容除外。 </w:t>
      </w:r>
    </w:p>
    <w:p>
      <w:pPr>
        <w:keepNext w:val="0"/>
        <w:keepLines w:val="0"/>
        <w:pageBreakBefore w:val="0"/>
        <w:widowControl w:val="0"/>
        <w:kinsoku/>
        <w:wordWrap w:val="0"/>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25.11 评标结束后 5 个工作日内，在新疆政府采购网（http://www.ccgp-xinjiang.gov.cn/）上公布成交结果。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 </w:t>
      </w:r>
      <w:r>
        <w:rPr>
          <w:rFonts w:hint="eastAsia" w:ascii="仿宋_GB2312" w:hAnsi="仿宋_GB2312" w:eastAsia="仿宋_GB2312" w:cs="仿宋_GB2312"/>
          <w:b/>
          <w:bCs/>
          <w:color w:val="auto"/>
          <w:sz w:val="28"/>
          <w:szCs w:val="28"/>
          <w:lang w:val="en-US" w:eastAsia="zh-CN"/>
        </w:rPr>
        <w:t xml:space="preserve">政府采购合同履行中数量的变更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26.1 政府采购合同履行中，采购人需追加与合同标的相同的货物、工程或者服务的，在不改变合同其他条款的前提下，可以与成交投标人协商签订补充合同，但所有补充合同的采购金额不得高于采购金额的 10%。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十一、项目验收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27.2 对投标人履约和项目完成情况，由采购人组织验收人员进行验收，以确认政府采购项目是否符合合同的要求。</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27.3 验收人员根据政府采购合同条款认真核对服务内容和投标人等情况，现场检验设备运行状况或货物、服务质量。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27.4 项目验收应有验收记录，验收结束后，所有验收人员应当在验收书上签字，并承担相应的法律责任。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numPr>
          <w:ilvl w:val="0"/>
          <w:numId w:val="0"/>
        </w:numPr>
        <w:spacing w:line="360" w:lineRule="auto"/>
        <w:jc w:val="center"/>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r>
        <w:rPr>
          <w:rFonts w:hint="eastAsia" w:ascii="仿宋_GB2312" w:hAnsi="仿宋_GB2312" w:eastAsia="仿宋_GB2312" w:cs="仿宋_GB2312"/>
          <w:b/>
          <w:bCs/>
          <w:color w:val="auto"/>
          <w:sz w:val="36"/>
          <w:szCs w:val="36"/>
          <w:lang w:val="en-US" w:eastAsia="zh-CN"/>
        </w:rPr>
        <w:t>第三章 采购需求说明</w:t>
      </w: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一、工程量清单</w:t>
      </w:r>
      <w:r>
        <w:rPr>
          <w:rFonts w:hint="eastAsia" w:ascii="仿宋_GB2312" w:hAnsi="仿宋_GB2312" w:eastAsia="仿宋_GB2312" w:cs="仿宋_GB2312"/>
          <w:b/>
          <w:bCs/>
          <w:sz w:val="40"/>
          <w:szCs w:val="40"/>
          <w:lang w:val="en-US" w:eastAsia="zh-CN"/>
        </w:rPr>
        <w:t>（另</w:t>
      </w:r>
      <w:r>
        <w:rPr>
          <w:rFonts w:hint="eastAsia" w:ascii="仿宋_GB2312" w:hAnsi="仿宋_GB2312" w:eastAsia="仿宋_GB2312" w:cs="仿宋_GB2312"/>
          <w:b/>
          <w:bCs/>
          <w:color w:val="auto"/>
          <w:sz w:val="40"/>
          <w:szCs w:val="40"/>
          <w:lang w:val="en-US" w:eastAsia="zh-CN"/>
        </w:rPr>
        <w:t>附）</w:t>
      </w:r>
    </w:p>
    <w:p>
      <w:pPr>
        <w:spacing w:line="440" w:lineRule="exact"/>
        <w:ind w:firstLine="562" w:firstLineChars="200"/>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pacing w:val="-11"/>
          <w:sz w:val="28"/>
          <w:szCs w:val="28"/>
          <w:lang w:val="en-US" w:eastAsia="zh-CN"/>
        </w:rPr>
        <w:t>标的所属行业：</w:t>
      </w:r>
      <w:r>
        <w:rPr>
          <w:rFonts w:hint="eastAsia" w:ascii="仿宋_GB2312" w:hAnsi="仿宋_GB2312" w:eastAsia="仿宋_GB2312" w:cs="仿宋_GB2312"/>
          <w:spacing w:val="-11"/>
          <w:sz w:val="28"/>
          <w:szCs w:val="28"/>
          <w:lang w:val="en-US" w:eastAsia="zh-CN"/>
        </w:rPr>
        <w:t>本项目采购标的对应的中小企业划分标准所属行业：</w:t>
      </w:r>
    </w:p>
    <w:tbl>
      <w:tblPr>
        <w:tblStyle w:val="18"/>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759"/>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95"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759"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标的名称</w:t>
            </w:r>
          </w:p>
        </w:tc>
        <w:tc>
          <w:tcPr>
            <w:tcW w:w="2756"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中小企业划分标准所属行业</w:t>
            </w:r>
          </w:p>
          <w:p>
            <w:pPr>
              <w:spacing w:line="440" w:lineRule="exact"/>
              <w:jc w:val="center"/>
              <w:rPr>
                <w:rFonts w:hint="eastAsia" w:ascii="仿宋_GB2312" w:hAnsi="仿宋_GB2312" w:eastAsia="仿宋_GB2312" w:cs="仿宋_GB2312"/>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ind w:firstLine="560" w:firstLineChars="200"/>
              <w:rPr>
                <w:rFonts w:hint="eastAsia" w:ascii="仿宋_GB2312" w:hAnsi="仿宋_GB2312" w:eastAsia="仿宋_GB2312" w:cs="仿宋_GB2312"/>
                <w:sz w:val="28"/>
                <w:szCs w:val="28"/>
                <w:highlight w:val="none"/>
                <w:lang w:val="en-US" w:eastAsia="zh-CN"/>
              </w:rPr>
            </w:pPr>
          </w:p>
          <w:p>
            <w:pPr>
              <w:spacing w:line="440" w:lineRule="exact"/>
              <w:ind w:firstLine="560" w:firstLineChars="200"/>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1</w:t>
            </w:r>
          </w:p>
        </w:tc>
        <w:tc>
          <w:tcPr>
            <w:tcW w:w="4759" w:type="dxa"/>
            <w:noWrap w:val="0"/>
            <w:vAlign w:val="top"/>
          </w:tcPr>
          <w:p>
            <w:pPr>
              <w:bidi w:val="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中共阿瓦提县委组织部采购阿瓦提县绍阿人才培训交流中心建设项目</w:t>
            </w:r>
          </w:p>
        </w:tc>
        <w:tc>
          <w:tcPr>
            <w:tcW w:w="2756" w:type="dxa"/>
            <w:noWrap w:val="0"/>
            <w:vAlign w:val="center"/>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建筑业</w:t>
            </w:r>
          </w:p>
        </w:tc>
      </w:tr>
    </w:tbl>
    <w:p>
      <w:pPr>
        <w:spacing w:line="440" w:lineRule="exact"/>
        <w:rPr>
          <w:rFonts w:hint="eastAsia" w:ascii="仿宋_GB2312" w:hAnsi="仿宋_GB2312" w:eastAsia="仿宋_GB2312" w:cs="仿宋_GB2312"/>
          <w:b/>
          <w:bCs/>
          <w:sz w:val="28"/>
          <w:szCs w:val="28"/>
        </w:rPr>
      </w:pP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724"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服务地点</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服务期限</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724"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zh-CN" w:eastAsia="zh-CN"/>
              </w:rPr>
              <w:t>合同签订后，采购人向中标供应商支付合同总金额的30%，项目</w:t>
            </w:r>
            <w:r>
              <w:rPr>
                <w:rFonts w:hint="eastAsia" w:ascii="仿宋_GB2312" w:hAnsi="仿宋_GB2312" w:eastAsia="仿宋_GB2312" w:cs="仿宋_GB2312"/>
                <w:color w:val="auto"/>
                <w:sz w:val="28"/>
                <w:szCs w:val="28"/>
                <w:highlight w:val="none"/>
                <w:lang w:val="en-US" w:eastAsia="zh-CN"/>
              </w:rPr>
              <w:t>完工</w:t>
            </w:r>
            <w:r>
              <w:rPr>
                <w:rFonts w:hint="eastAsia" w:ascii="仿宋_GB2312" w:hAnsi="仿宋_GB2312" w:eastAsia="仿宋_GB2312" w:cs="仿宋_GB2312"/>
                <w:color w:val="auto"/>
                <w:sz w:val="28"/>
                <w:szCs w:val="28"/>
                <w:highlight w:val="none"/>
                <w:lang w:val="zh-CN" w:eastAsia="zh-CN"/>
              </w:rPr>
              <w:t>经验收合格后支付</w:t>
            </w:r>
            <w:r>
              <w:rPr>
                <w:rFonts w:hint="eastAsia" w:ascii="仿宋_GB2312" w:hAnsi="仿宋_GB2312" w:eastAsia="仿宋_GB2312" w:cs="仿宋_GB2312"/>
                <w:color w:val="auto"/>
                <w:sz w:val="28"/>
                <w:szCs w:val="28"/>
                <w:highlight w:val="none"/>
                <w:lang w:val="en-US" w:eastAsia="zh-CN"/>
              </w:rPr>
              <w:t>至</w:t>
            </w:r>
            <w:r>
              <w:rPr>
                <w:rFonts w:hint="eastAsia" w:ascii="仿宋_GB2312" w:hAnsi="仿宋_GB2312" w:eastAsia="仿宋_GB2312" w:cs="仿宋_GB2312"/>
                <w:color w:val="auto"/>
                <w:sz w:val="28"/>
                <w:szCs w:val="28"/>
                <w:highlight w:val="none"/>
                <w:lang w:val="zh-CN" w:eastAsia="zh-CN"/>
              </w:rPr>
              <w:t>合同总金额的</w:t>
            </w:r>
            <w:r>
              <w:rPr>
                <w:rFonts w:hint="eastAsia" w:ascii="仿宋_GB2312" w:hAnsi="仿宋_GB2312" w:eastAsia="仿宋_GB2312" w:cs="仿宋_GB2312"/>
                <w:color w:val="auto"/>
                <w:sz w:val="28"/>
                <w:szCs w:val="28"/>
                <w:highlight w:val="none"/>
                <w:lang w:val="en-US" w:eastAsia="zh-CN"/>
              </w:rPr>
              <w:t>80</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 xml:space="preserve">根据评审结果，支付审计价的17%（保留3%作为质保金，质保期结束后予以支付） </w:t>
            </w:r>
            <w:r>
              <w:rPr>
                <w:rFonts w:hint="eastAsia" w:ascii="仿宋_GB2312" w:hAnsi="仿宋_GB2312" w:eastAsia="仿宋_GB2312" w:cs="仿宋_GB2312"/>
                <w:color w:val="auto"/>
                <w:sz w:val="28"/>
                <w:szCs w:val="28"/>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中共阿瓦提县委组织部采取分阶段验收方式，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lang w:val="en-US" w:eastAsia="zh-CN"/>
        </w:rPr>
      </w:pPr>
    </w:p>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40"/>
          <w:szCs w:val="40"/>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pPr>
        <w:numPr>
          <w:ilvl w:val="0"/>
          <w:numId w:val="0"/>
        </w:numPr>
        <w:spacing w:line="360" w:lineRule="auto"/>
        <w:jc w:val="both"/>
        <w:outlineLvl w:val="0"/>
        <w:rPr>
          <w:rFonts w:hint="eastAsia" w:ascii="仿宋_GB2312" w:hAnsi="仿宋_GB2312" w:eastAsia="仿宋_GB2312" w:cs="仿宋_GB2312"/>
          <w:b/>
          <w:bCs/>
          <w:color w:val="auto"/>
          <w:sz w:val="32"/>
          <w:szCs w:val="32"/>
          <w:lang w:val="en-US" w:eastAsia="zh-CN"/>
        </w:rPr>
      </w:pPr>
    </w:p>
    <w:p>
      <w:pPr>
        <w:pStyle w:val="23"/>
        <w:numPr>
          <w:ilvl w:val="0"/>
          <w:numId w:val="0"/>
        </w:numPr>
        <w:rPr>
          <w:rFonts w:hint="eastAsia" w:ascii="仿宋_GB2312" w:hAnsi="仿宋_GB2312" w:eastAsia="仿宋_GB2312" w:cs="仿宋_GB2312"/>
          <w:color w:val="auto"/>
          <w:lang w:eastAsia="zh-CN"/>
        </w:rPr>
      </w:pPr>
    </w:p>
    <w:p>
      <w:pPr>
        <w:bidi w:val="0"/>
        <w:jc w:val="center"/>
        <w:outlineLvl w:val="0"/>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四</w:t>
      </w:r>
      <w:r>
        <w:rPr>
          <w:rFonts w:hint="eastAsia" w:ascii="仿宋_GB2312" w:hAnsi="仿宋_GB2312" w:eastAsia="仿宋_GB2312" w:cs="仿宋_GB2312"/>
          <w:b/>
          <w:bCs/>
          <w:color w:val="auto"/>
          <w:sz w:val="36"/>
          <w:szCs w:val="36"/>
        </w:rPr>
        <w:t>章  合同</w:t>
      </w:r>
      <w:r>
        <w:rPr>
          <w:rFonts w:hint="eastAsia" w:ascii="仿宋_GB2312" w:hAnsi="仿宋_GB2312" w:eastAsia="仿宋_GB2312" w:cs="仿宋_GB2312"/>
          <w:b/>
          <w:bCs/>
          <w:color w:val="auto"/>
          <w:sz w:val="36"/>
          <w:szCs w:val="36"/>
          <w:lang w:eastAsia="zh-CN"/>
        </w:rPr>
        <w:t>条款及格式</w:t>
      </w: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采购合同编号：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采购人（全称）：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（甲方）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供应商（全称）：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（乙方）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为了保护甲、乙双方合法权益，根据《中华人民共和国民法典》、《中华人民共和国政府采购法》及其他有关法律、法规、规章，双方签订本合同协议书。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 项目信息</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（1）采购项目名称：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（2）采购计划编号：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（3）项目内容：</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（工程项目）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承包范围：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项目经理：</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 合同金额</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（1）合同金额小写：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大写：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(合同金额为含税金额，并包括乙方履行全部合同义务过程中产生的所有费用。）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（2）具体标的见附件。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（3）合同价格形式：</w:t>
      </w:r>
      <w:r>
        <w:rPr>
          <w:rFonts w:hint="eastAsia" w:ascii="仿宋_GB2312" w:hAnsi="仿宋_GB2312" w:eastAsia="仿宋_GB2312" w:cs="仿宋_GB2312"/>
          <w:color w:val="000000"/>
          <w:sz w:val="24"/>
          <w:szCs w:val="24"/>
          <w:u w:val="single"/>
          <w:shd w:val="clear" w:color="auto" w:fill="FFFFFF"/>
        </w:rPr>
        <w:t>固定总价</w:t>
      </w:r>
      <w:r>
        <w:rPr>
          <w:rFonts w:hint="eastAsia" w:ascii="仿宋_GB2312" w:hAnsi="仿宋_GB2312" w:eastAsia="仿宋_GB2312" w:cs="仿宋_GB2312"/>
          <w:color w:val="000000"/>
          <w:sz w:val="24"/>
          <w:szCs w:val="24"/>
          <w:u w:val="single"/>
          <w:shd w:val="clear" w:color="auto" w:fill="FFFFFF"/>
          <w:lang w:val="en-US" w:eastAsia="zh-CN"/>
        </w:rPr>
        <w:t>合</w:t>
      </w:r>
      <w:r>
        <w:rPr>
          <w:rFonts w:hint="eastAsia" w:ascii="仿宋_GB2312" w:hAnsi="仿宋_GB2312" w:eastAsia="仿宋_GB2312" w:cs="仿宋_GB2312"/>
          <w:color w:val="000000"/>
          <w:sz w:val="24"/>
          <w:szCs w:val="24"/>
          <w:u w:val="single"/>
          <w:shd w:val="clear" w:color="auto" w:fill="FFFFFF"/>
        </w:rPr>
        <w:t>同</w:t>
      </w:r>
      <w:r>
        <w:rPr>
          <w:rFonts w:hint="eastAsia" w:ascii="仿宋_GB2312" w:hAnsi="仿宋_GB2312" w:eastAsia="仿宋_GB2312" w:cs="仿宋_GB2312"/>
          <w:color w:val="000000"/>
          <w:sz w:val="24"/>
          <w:szCs w:val="24"/>
          <w:u w:val="singl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 履行合同的时间、地点及方式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起始日期：</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日，完成日期：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完工期：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天。</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地点 ：</w:t>
      </w:r>
      <w:r>
        <w:rPr>
          <w:rFonts w:hint="eastAsia" w:ascii="仿宋_GB2312" w:hAnsi="仿宋_GB2312" w:eastAsia="仿宋_GB2312" w:cs="仿宋_GB2312"/>
          <w:color w:val="000000"/>
          <w:sz w:val="24"/>
          <w:szCs w:val="24"/>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方式：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付款</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shd w:val="clear" w:color="auto" w:fill="FFFFFF"/>
          <w:lang w:val="en-US"/>
        </w:rPr>
      </w:pPr>
      <w:r>
        <w:rPr>
          <w:rFonts w:hint="eastAsia" w:ascii="仿宋_GB2312" w:hAnsi="仿宋_GB2312" w:eastAsia="仿宋_GB2312" w:cs="仿宋_GB2312"/>
          <w:color w:val="000000"/>
          <w:sz w:val="24"/>
          <w:szCs w:val="24"/>
          <w:u w:val="none"/>
          <w:shd w:val="clear" w:color="auto" w:fill="FFFFFF"/>
          <w:lang w:val="en-US" w:eastAsia="zh-CN"/>
        </w:rPr>
        <w:t>2、履约保证金：</w:t>
      </w:r>
      <w:r>
        <w:rPr>
          <w:rFonts w:hint="eastAsia" w:ascii="仿宋_GB2312" w:hAnsi="仿宋_GB2312" w:eastAsia="仿宋_GB2312" w:cs="仿宋_GB2312"/>
          <w:b w:val="0"/>
          <w:bCs w:val="0"/>
          <w:kern w:val="2"/>
          <w:sz w:val="24"/>
          <w:szCs w:val="24"/>
          <w:lang w:val="en-US" w:eastAsia="zh-CN" w:bidi="ar-SA"/>
        </w:rPr>
        <w:t>供应商向采购单位缴纳</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u w:val="none"/>
          <w:lang w:val="en-US" w:eastAsia="zh-CN" w:bidi="ar-SA"/>
        </w:rPr>
        <w:t>的履约保证金。履约保证金应当以非现金形式向采购单位提交。项目按时履约、按质履约后无息退还。</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 解决合同纠纷方式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提请仲裁 □ 向人民法院提起诉讼</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 组成合同的文件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（2）成交通知书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（3）响应文件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（4）政府采购合同格式条款及其附件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（5）专用合同条款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（6）通用合同条款（如果有）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（7）标准、规范及有关技术文件，图纸，已标价工程量清单或工程预算书。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（8）其他合同文件。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 合同生效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本合同自</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 合同份数</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本合同一式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份，甲方执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份，乙方执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份，交易中心执</w:t>
      </w:r>
      <w:r>
        <w:rPr>
          <w:rFonts w:hint="eastAsia" w:ascii="仿宋_GB2312" w:hAnsi="仿宋_GB2312" w:eastAsia="仿宋_GB2312" w:cs="仿宋_GB2312"/>
          <w:color w:val="000000"/>
          <w:sz w:val="24"/>
          <w:szCs w:val="24"/>
          <w:u w:val="single"/>
          <w:shd w:val="clear" w:color="auto" w:fill="FFFFFF"/>
        </w:rPr>
        <w:t xml:space="preserve"> 壹 </w:t>
      </w:r>
      <w:r>
        <w:rPr>
          <w:rFonts w:hint="eastAsia" w:ascii="仿宋_GB2312" w:hAnsi="仿宋_GB2312" w:eastAsia="仿宋_GB2312" w:cs="仿宋_GB2312"/>
          <w:color w:val="000000"/>
          <w:sz w:val="24"/>
          <w:szCs w:val="24"/>
          <w:shd w:val="clear" w:color="auto" w:fill="FFFFFF"/>
        </w:rPr>
        <w:t>份，该合同经甲方、乙方法定代表人（或经营者/执行事务合伙人/负责人/自然人）或委托代理人签字并加盖公章后开始生效，均具有同等法律效力。</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注：在不改变合同实质性条款前提下，双方可就合同条款进行补充、修订或增加内容，具体以甲乙双方签订的合同内容为准。</w:t>
      </w: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甲 方：（公章）</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rPr>
        <w:t>乙 方：（公章）</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法定代表人（或经营者/执行事务合伙人/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法定代表人（或经营者/执行负责人/自然人）（负责人）：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负责人/自然人）（负责人）</w:t>
      </w:r>
      <w:r>
        <w:rPr>
          <w:rFonts w:hint="eastAsia" w:ascii="仿宋_GB2312" w:hAnsi="仿宋_GB2312" w:eastAsia="仿宋_GB2312" w:cs="仿宋_GB2312"/>
          <w:color w:val="000000"/>
          <w:sz w:val="24"/>
          <w:szCs w:val="24"/>
          <w:shd w:val="clear" w:color="auto" w:fill="FFFFFF"/>
          <w:lang w:eastAsia="zh-CN"/>
        </w:rPr>
        <w:t>：</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委托代理人：</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委托代理人：</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电 话：</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电 话：</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传 真：</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传 真：</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开 户 银 行：</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开 户 银 行：</w:t>
      </w:r>
    </w:p>
    <w:p>
      <w:pPr>
        <w:spacing w:line="360" w:lineRule="auto"/>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账 号：</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账 号：</w:t>
      </w:r>
    </w:p>
    <w:p>
      <w:pPr>
        <w:tabs>
          <w:tab w:val="left" w:pos="3799"/>
        </w:tabs>
        <w:spacing w:line="360" w:lineRule="auto"/>
        <w:jc w:val="left"/>
        <w:rPr>
          <w:rFonts w:hint="eastAsia" w:ascii="仿宋_GB2312" w:hAnsi="仿宋_GB2312" w:eastAsia="仿宋_GB2312" w:cs="仿宋_GB2312"/>
          <w:color w:val="000000"/>
          <w:sz w:val="24"/>
          <w:szCs w:val="24"/>
          <w:shd w:val="clear" w:color="auto" w:fill="FFFFFF"/>
          <w:lang w:eastAsia="zh-CN"/>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政府采购合同通用条款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政府采购合同专用条款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lang w:eastAsia="zh-CN"/>
        </w:rPr>
        <w:sectPr>
          <w:headerReference r:id="rId7" w:type="default"/>
          <w:footerReference r:id="rId8" w:type="default"/>
          <w:pgSz w:w="11906" w:h="16838"/>
          <w:pgMar w:top="1440" w:right="1440" w:bottom="2098" w:left="1440" w:header="851" w:footer="992" w:gutter="0"/>
          <w:pgNumType w:fmt="numberInDash"/>
          <w:cols w:space="720" w:num="1"/>
          <w:docGrid w:linePitch="312" w:charSpace="0"/>
        </w:sect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r>
        <w:rPr>
          <w:rFonts w:hint="eastAsia" w:ascii="仿宋_GB2312" w:hAnsi="仿宋_GB2312" w:eastAsia="仿宋_GB2312" w:cs="仿宋_GB2312"/>
          <w:color w:val="000000"/>
          <w:sz w:val="24"/>
          <w:szCs w:val="24"/>
          <w:shd w:val="clear" w:color="auto" w:fill="FFFFFF"/>
          <w:lang w:eastAsia="zh-CN"/>
        </w:rPr>
        <w:t>。</w:t>
      </w:r>
    </w:p>
    <w:p>
      <w:pPr>
        <w:snapToGrid w:val="0"/>
        <w:spacing w:line="360" w:lineRule="auto"/>
        <w:jc w:val="center"/>
        <w:outlineLvl w:val="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五</w:t>
      </w:r>
      <w:r>
        <w:rPr>
          <w:rFonts w:hint="eastAsia" w:ascii="仿宋_GB2312" w:hAnsi="仿宋_GB2312" w:eastAsia="仿宋_GB2312" w:cs="仿宋_GB2312"/>
          <w:b/>
          <w:bCs/>
          <w:color w:val="auto"/>
          <w:sz w:val="36"/>
          <w:szCs w:val="36"/>
        </w:rPr>
        <w:t xml:space="preserve">章  </w:t>
      </w:r>
      <w:r>
        <w:rPr>
          <w:rFonts w:hint="eastAsia" w:ascii="仿宋_GB2312" w:hAnsi="仿宋_GB2312" w:eastAsia="仿宋_GB2312" w:cs="仿宋_GB2312"/>
          <w:b/>
          <w:bCs/>
          <w:color w:val="auto"/>
          <w:sz w:val="36"/>
          <w:szCs w:val="36"/>
          <w:lang w:eastAsia="zh-CN"/>
        </w:rPr>
        <w:t>响应文件</w:t>
      </w:r>
      <w:r>
        <w:rPr>
          <w:rFonts w:hint="eastAsia" w:ascii="仿宋_GB2312" w:hAnsi="仿宋_GB2312" w:eastAsia="仿宋_GB2312" w:cs="仿宋_GB2312"/>
          <w:b/>
          <w:bCs/>
          <w:color w:val="auto"/>
          <w:sz w:val="36"/>
          <w:szCs w:val="36"/>
        </w:rPr>
        <w:t>及格式</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color w:val="auto"/>
          <w:spacing w:val="20"/>
          <w:sz w:val="28"/>
          <w:szCs w:val="28"/>
          <w:lang w:val="en-US" w:eastAsia="zh-CN" w:bidi="ar-SA"/>
        </w:rPr>
        <w:t>附件1</w:t>
      </w:r>
    </w:p>
    <w:p>
      <w:pPr>
        <w:pStyle w:val="24"/>
        <w:numPr>
          <w:ilvl w:val="0"/>
          <w:numId w:val="0"/>
        </w:numPr>
        <w:snapToGrid w:val="0"/>
        <w:spacing w:line="500" w:lineRule="exact"/>
        <w:ind w:left="624" w:lef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pacing w:val="20"/>
          <w:sz w:val="32"/>
          <w:szCs w:val="32"/>
          <w:lang w:val="en-US" w:eastAsia="zh-CN" w:bidi="ar-SA"/>
        </w:rPr>
        <w:t>投  标  函</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阿瓦提县政务服务和公共资源交易中心：</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文件的有效期为开标后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天；一旦中标将投标文件转为合同附件。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（加盖单位公章）      </w:t>
      </w:r>
    </w:p>
    <w:p>
      <w:pPr>
        <w:keepNext w:val="0"/>
        <w:keepLines w:val="0"/>
        <w:pageBreakBefore w:val="0"/>
        <w:widowControl w:val="0"/>
        <w:kinsoku/>
        <w:wordWrap/>
        <w:overflowPunct/>
        <w:topLinePunct w:val="0"/>
        <w:autoSpaceDE/>
        <w:autoSpaceDN/>
        <w:bidi w:val="0"/>
        <w:adjustRightInd/>
        <w:spacing w:line="440" w:lineRule="exact"/>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napToGrid w:val="0"/>
        <w:spacing w:line="500" w:lineRule="exact"/>
        <w:rPr>
          <w:rFonts w:hint="eastAsia" w:ascii="仿宋_GB2312" w:hAnsi="仿宋_GB2312" w:eastAsia="仿宋_GB2312" w:cs="仿宋_GB2312"/>
          <w:b/>
          <w:spacing w:val="20"/>
          <w:sz w:val="24"/>
          <w:szCs w:val="24"/>
        </w:rPr>
      </w:pPr>
    </w:p>
    <w:p>
      <w:pPr>
        <w:widowControl/>
        <w:spacing w:line="360" w:lineRule="auto"/>
        <w:jc w:val="left"/>
        <w:outlineLvl w:val="0"/>
        <w:rPr>
          <w:rFonts w:hint="eastAsia" w:ascii="仿宋_GB2312" w:hAnsi="仿宋_GB2312" w:eastAsia="仿宋_GB2312" w:cs="仿宋_GB2312"/>
          <w:b/>
          <w:bCs/>
          <w:color w:val="auto"/>
          <w:spacing w:val="20"/>
          <w:sz w:val="24"/>
          <w:szCs w:val="24"/>
          <w:lang w:val="en-US" w:eastAsia="zh-CN" w:bidi="ar-SA"/>
        </w:rPr>
      </w:pPr>
      <w:r>
        <w:rPr>
          <w:rFonts w:hint="eastAsia" w:ascii="仿宋_GB2312" w:hAnsi="仿宋_GB2312" w:eastAsia="仿宋_GB2312" w:cs="仿宋_GB2312"/>
          <w:b/>
          <w:bCs/>
          <w:color w:val="auto"/>
          <w:spacing w:val="20"/>
          <w:sz w:val="28"/>
          <w:szCs w:val="28"/>
          <w:lang w:val="en-US" w:eastAsia="zh-CN" w:bidi="ar-SA"/>
        </w:rPr>
        <w:t>附件2</w:t>
      </w:r>
    </w:p>
    <w:p>
      <w:pPr>
        <w:spacing w:line="520" w:lineRule="exact"/>
        <w:ind w:firstLine="361" w:firstLineChars="100"/>
        <w:jc w:val="center"/>
        <w:rPr>
          <w:rFonts w:hint="eastAsia"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32"/>
          <w:szCs w:val="32"/>
          <w:lang w:val="en-US" w:eastAsia="zh-CN" w:bidi="ar-SA"/>
        </w:rPr>
        <w:t>开标/报价一览表（格式）</w:t>
      </w:r>
    </w:p>
    <w:p>
      <w:pPr>
        <w:spacing w:line="50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bCs/>
          <w:sz w:val="28"/>
          <w:szCs w:val="28"/>
        </w:rPr>
        <w:t>货币：人民币/元</w:t>
      </w:r>
    </w:p>
    <w:tbl>
      <w:tblPr>
        <w:tblStyle w:val="17"/>
        <w:tblW w:w="0" w:type="auto"/>
        <w:tblInd w:w="-252" w:type="dxa"/>
        <w:tblLayout w:type="fixed"/>
        <w:tblCellMar>
          <w:top w:w="0" w:type="dxa"/>
          <w:left w:w="108" w:type="dxa"/>
          <w:bottom w:w="0" w:type="dxa"/>
          <w:right w:w="108" w:type="dxa"/>
        </w:tblCellMar>
      </w:tblPr>
      <w:tblGrid>
        <w:gridCol w:w="885"/>
        <w:gridCol w:w="3586"/>
        <w:gridCol w:w="5103"/>
      </w:tblGrid>
      <w:tr>
        <w:tblPrEx>
          <w:tblCellMar>
            <w:top w:w="0" w:type="dxa"/>
            <w:left w:w="108" w:type="dxa"/>
            <w:bottom w:w="0" w:type="dxa"/>
            <w:right w:w="108" w:type="dxa"/>
          </w:tblCellMar>
        </w:tblPrEx>
        <w:trPr>
          <w:trHeight w:val="6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　</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tblPrEx>
          <w:tblCellMar>
            <w:top w:w="0" w:type="dxa"/>
            <w:left w:w="108" w:type="dxa"/>
            <w:bottom w:w="0" w:type="dxa"/>
            <w:right w:w="108" w:type="dxa"/>
          </w:tblCellMar>
        </w:tblPrEx>
        <w:trPr>
          <w:trHeight w:val="1001"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期</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w:t>
            </w:r>
          </w:p>
        </w:tc>
      </w:tr>
    </w:tbl>
    <w:p>
      <w:pPr>
        <w:spacing w:line="5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备注：1、单价及总价中包括税费等项目。</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pPr>
        <w:spacing w:line="500" w:lineRule="exact"/>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ab/>
      </w:r>
      <w:r>
        <w:rPr>
          <w:rFonts w:hint="eastAsia" w:ascii="仿宋_GB2312" w:hAnsi="仿宋_GB2312" w:eastAsia="仿宋_GB2312" w:cs="仿宋_GB2312"/>
          <w:spacing w:val="20"/>
          <w:sz w:val="28"/>
          <w:szCs w:val="28"/>
        </w:rPr>
        <w:t>　</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报价人（加盖公章）：</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报价人代表签名：</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职务：</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  年   月  日</w:t>
      </w:r>
    </w:p>
    <w:p>
      <w:pPr>
        <w:spacing w:line="500" w:lineRule="exact"/>
        <w:jc w:val="center"/>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widowControl/>
        <w:spacing w:line="360" w:lineRule="auto"/>
        <w:jc w:val="left"/>
        <w:rPr>
          <w:rFonts w:hint="eastAsia" w:ascii="仿宋_GB2312" w:hAnsi="仿宋_GB2312" w:eastAsia="仿宋_GB2312" w:cs="仿宋_GB2312"/>
          <w:b/>
          <w:color w:val="auto"/>
          <w:sz w:val="28"/>
          <w:szCs w:val="28"/>
        </w:rPr>
      </w:pPr>
    </w:p>
    <w:p>
      <w:pPr>
        <w:widowControl/>
        <w:spacing w:line="360" w:lineRule="auto"/>
        <w:ind w:firstLine="424" w:firstLineChars="151"/>
        <w:jc w:val="left"/>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3</w:t>
      </w:r>
    </w:p>
    <w:p>
      <w:pPr>
        <w:keepNext w:val="0"/>
        <w:keepLines w:val="0"/>
        <w:widowControl/>
        <w:suppressLineNumbers w:val="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投标报价明细表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已标价的工程量清单</w:t>
      </w:r>
      <w:r>
        <w:rPr>
          <w:rFonts w:hint="eastAsia" w:ascii="仿宋_GB2312" w:hAnsi="仿宋_GB2312" w:eastAsia="仿宋_GB2312" w:cs="仿宋_GB2312"/>
          <w:b/>
          <w:color w:val="auto"/>
          <w:sz w:val="28"/>
          <w:szCs w:val="28"/>
          <w:lang w:eastAsia="zh-CN"/>
        </w:rPr>
        <w:t>）</w:t>
      </w: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546" w:firstLineChars="151"/>
        <w:jc w:val="left"/>
        <w:rPr>
          <w:rFonts w:hint="eastAsia" w:ascii="仿宋_GB2312" w:hAnsi="仿宋_GB2312" w:eastAsia="仿宋_GB2312" w:cs="仿宋_GB2312"/>
          <w:b/>
          <w:color w:val="auto"/>
          <w:sz w:val="36"/>
          <w:szCs w:val="36"/>
        </w:rPr>
      </w:pPr>
    </w:p>
    <w:p>
      <w:pPr>
        <w:widowControl/>
        <w:spacing w:line="360" w:lineRule="auto"/>
        <w:ind w:firstLine="364" w:firstLineChars="151"/>
        <w:jc w:val="left"/>
        <w:rPr>
          <w:rFonts w:hint="eastAsia"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eastAsia="zh-CN"/>
        </w:rPr>
        <w:t>供应商</w:t>
      </w:r>
      <w:r>
        <w:rPr>
          <w:rFonts w:hint="eastAsia" w:ascii="仿宋_GB2312" w:hAnsi="仿宋_GB2312" w:eastAsia="仿宋_GB2312" w:cs="仿宋_GB2312"/>
          <w:b/>
          <w:color w:val="auto"/>
          <w:sz w:val="24"/>
          <w:szCs w:val="32"/>
        </w:rPr>
        <w:t>针对报价需要说明的其他文件或说明（详细填写，若有偏离详细说明）（格式自拟）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 ：1.供应商参考招标需求，以其为准详细编写响应文件不可遗漏；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2.投标人编制经济标严格按照采购人发布的工程量清单提供的表格填列，并不得改动表 中的任何地方，表格顺序也不得变动，否则按重大偏差处理。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3.投标人不允许改变招标人所发工程量清单的结构格式、清单编号、名称、工程量、单位、招标人给出的费率及提供的主材顺序。</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17" w:right="1440" w:bottom="1440" w:left="1440" w:header="851" w:footer="992" w:gutter="0"/>
          <w:pgNumType w:fmt="numberInDash"/>
          <w:cols w:space="720" w:num="1"/>
          <w:rtlGutter w:val="0"/>
          <w:docGrid w:linePitch="312" w:charSpace="0"/>
        </w:sectPr>
      </w:pPr>
    </w:p>
    <w:p>
      <w:pPr>
        <w:widowControl/>
        <w:spacing w:line="360" w:lineRule="auto"/>
        <w:ind w:firstLine="424" w:firstLineChars="151"/>
        <w:jc w:val="left"/>
        <w:outlineLvl w:val="0"/>
        <w:rPr>
          <w:rFonts w:hint="eastAsia" w:ascii="仿宋_GB2312" w:hAnsi="仿宋_GB2312" w:eastAsia="仿宋_GB2312" w:cs="仿宋_GB2312"/>
          <w:b/>
          <w:sz w:val="36"/>
          <w:szCs w:val="36"/>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4</w:t>
      </w:r>
    </w:p>
    <w:p>
      <w:pPr>
        <w:spacing w:line="52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法定代表人资格证明文件</w:t>
      </w:r>
    </w:p>
    <w:p>
      <w:pPr>
        <w:spacing w:line="520" w:lineRule="exact"/>
        <w:ind w:firstLine="280" w:firstLineChars="100"/>
        <w:rPr>
          <w:rFonts w:hint="eastAsia" w:ascii="仿宋_GB2312" w:hAnsi="仿宋_GB2312" w:eastAsia="仿宋_GB2312" w:cs="仿宋_GB2312"/>
          <w:sz w:val="28"/>
          <w:szCs w:val="32"/>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widowControl/>
        <w:spacing w:line="360" w:lineRule="auto"/>
        <w:jc w:val="left"/>
        <w:outlineLvl w:val="0"/>
        <w:rPr>
          <w:rFonts w:hint="eastAsia" w:ascii="仿宋_GB2312" w:hAnsi="仿宋_GB2312" w:eastAsia="仿宋_GB2312" w:cs="仿宋_GB2312"/>
          <w:b/>
          <w:color w:val="auto"/>
          <w:kern w:val="0"/>
          <w:sz w:val="24"/>
          <w:szCs w:val="28"/>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pPr>
        <w:spacing w:line="460" w:lineRule="exact"/>
        <w:jc w:val="center"/>
        <w:rPr>
          <w:rFonts w:hint="eastAsia" w:ascii="仿宋_GB2312" w:hAnsi="仿宋_GB2312" w:eastAsia="仿宋_GB2312" w:cs="仿宋_GB2312"/>
          <w:b/>
          <w:bCs/>
          <w:sz w:val="32"/>
          <w:szCs w:val="32"/>
        </w:rPr>
      </w:pP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spacing w:line="360" w:lineRule="auto"/>
        <w:ind w:firstLine="424" w:firstLineChars="151"/>
        <w:jc w:val="left"/>
        <w:rPr>
          <w:rFonts w:hint="eastAsia" w:ascii="仿宋_GB2312" w:hAnsi="仿宋_GB2312" w:eastAsia="仿宋_GB2312" w:cs="仿宋_GB2312"/>
          <w:b/>
          <w:color w:val="auto"/>
          <w:sz w:val="28"/>
          <w:szCs w:val="28"/>
        </w:rPr>
      </w:pPr>
    </w:p>
    <w:p>
      <w:pPr>
        <w:spacing w:before="120" w:after="120"/>
        <w:jc w:val="both"/>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auto"/>
          <w:spacing w:val="20"/>
          <w:sz w:val="28"/>
          <w:szCs w:val="28"/>
          <w:lang w:val="en-US" w:eastAsia="zh-CN" w:bidi="ar-SA"/>
        </w:rPr>
        <w:t>附件5</w:t>
      </w:r>
    </w:p>
    <w:p>
      <w:pPr>
        <w:spacing w:before="120" w:after="120"/>
        <w:jc w:val="center"/>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color w:val="000000"/>
          <w:sz w:val="32"/>
          <w:szCs w:val="32"/>
        </w:rPr>
        <w:t>投标人资料表</w:t>
      </w:r>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法定代表人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合计</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（20</w:t>
      </w:r>
      <w:r>
        <w:rPr>
          <w:rFonts w:hint="eastAsia" w:ascii="仿宋_GB2312" w:hAnsi="仿宋_GB2312" w:eastAsia="仿宋_GB2312" w:cs="仿宋_GB2312"/>
          <w:b w:val="0"/>
          <w:bCs w:val="0"/>
          <w:color w:val="auto"/>
          <w:sz w:val="24"/>
          <w:szCs w:val="32"/>
          <w:highlight w:val="none"/>
          <w:lang w:val="en-US" w:eastAsia="zh-CN"/>
        </w:rPr>
        <w:t>22</w:t>
      </w:r>
      <w:r>
        <w:rPr>
          <w:rFonts w:hint="eastAsia" w:ascii="仿宋_GB2312" w:hAnsi="仿宋_GB2312" w:eastAsia="仿宋_GB2312" w:cs="仿宋_GB2312"/>
          <w:b w:val="0"/>
          <w:bCs w:val="0"/>
          <w:color w:val="auto"/>
          <w:sz w:val="24"/>
          <w:szCs w:val="32"/>
          <w:highlight w:val="none"/>
        </w:rPr>
        <w:t>年-202</w:t>
      </w:r>
      <w:r>
        <w:rPr>
          <w:rFonts w:hint="eastAsia" w:ascii="仿宋_GB2312" w:hAnsi="仿宋_GB2312" w:eastAsia="仿宋_GB2312" w:cs="仿宋_GB2312"/>
          <w:b w:val="0"/>
          <w:bCs w:val="0"/>
          <w:color w:val="auto"/>
          <w:sz w:val="24"/>
          <w:szCs w:val="32"/>
          <w:highlight w:val="none"/>
          <w:lang w:val="en-US" w:eastAsia="zh-CN"/>
        </w:rPr>
        <w:t>3</w:t>
      </w:r>
      <w:r>
        <w:rPr>
          <w:rFonts w:hint="eastAsia" w:ascii="仿宋_GB2312" w:hAnsi="仿宋_GB2312" w:eastAsia="仿宋_GB2312" w:cs="仿宋_GB2312"/>
          <w:b w:val="0"/>
          <w:bCs w:val="0"/>
          <w:color w:val="auto"/>
          <w:sz w:val="24"/>
          <w:szCs w:val="32"/>
          <w:highlight w:val="none"/>
        </w:rPr>
        <w:t>年任意一年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、企业良好的信誉等须上传的资格证明材料。</w:t>
      </w:r>
    </w:p>
    <w:p>
      <w:pPr>
        <w:spacing w:line="360" w:lineRule="auto"/>
        <w:ind w:firstLine="482" w:firstLineChars="200"/>
        <w:rPr>
          <w:rFonts w:hint="eastAsia" w:ascii="仿宋_GB2312" w:hAnsi="仿宋_GB2312" w:eastAsia="仿宋_GB2312" w:cs="仿宋_GB2312"/>
          <w:sz w:val="24"/>
          <w:szCs w:val="32"/>
        </w:rPr>
      </w:pPr>
      <w:r>
        <w:rPr>
          <w:rFonts w:hint="eastAsia" w:ascii="仿宋_GB2312" w:hAnsi="仿宋_GB2312" w:eastAsia="仿宋_GB2312" w:cs="仿宋_GB2312"/>
          <w:b/>
          <w:bCs/>
          <w:color w:val="000000"/>
          <w:sz w:val="24"/>
          <w:szCs w:val="32"/>
        </w:rPr>
        <w:t>投标人认为需要声明的其它情况</w:t>
      </w:r>
    </w:p>
    <w:p>
      <w:pPr>
        <w:pStyle w:val="16"/>
        <w:ind w:left="0" w:leftChars="0" w:firstLine="0" w:firstLineChars="0"/>
        <w:rPr>
          <w:rFonts w:hint="eastAsia" w:ascii="仿宋_GB2312" w:hAnsi="仿宋_GB2312" w:eastAsia="仿宋_GB2312" w:cs="仿宋_GB2312"/>
          <w:sz w:val="24"/>
          <w:szCs w:val="32"/>
        </w:rPr>
      </w:pPr>
    </w:p>
    <w:p>
      <w:pPr>
        <w:pStyle w:val="16"/>
        <w:ind w:left="0" w:leftChars="0" w:firstLine="0" w:firstLineChars="0"/>
        <w:rPr>
          <w:rFonts w:hint="eastAsia" w:ascii="仿宋_GB2312" w:hAnsi="仿宋_GB2312" w:eastAsia="仿宋_GB2312" w:cs="仿宋_GB2312"/>
          <w:sz w:val="24"/>
          <w:szCs w:val="32"/>
        </w:rPr>
      </w:pPr>
    </w:p>
    <w:p>
      <w:pPr>
        <w:spacing w:line="36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我单位保证以上声明内容真实、准确。否则，我单位愿意承担由此产生的一切经济责任和法律责任。</w:t>
      </w:r>
    </w:p>
    <w:p>
      <w:pPr>
        <w:widowControl/>
        <w:spacing w:line="360" w:lineRule="auto"/>
        <w:jc w:val="left"/>
        <w:outlineLvl w:val="0"/>
        <w:rPr>
          <w:rFonts w:hint="eastAsia" w:ascii="仿宋_GB2312" w:hAnsi="仿宋_GB2312" w:eastAsia="仿宋_GB2312" w:cs="仿宋_GB2312"/>
          <w:b/>
          <w:color w:val="auto"/>
          <w:kern w:val="0"/>
          <w:sz w:val="32"/>
          <w:szCs w:val="36"/>
        </w:rPr>
        <w:sectPr>
          <w:pgSz w:w="11906" w:h="16838"/>
          <w:pgMar w:top="1417" w:right="1440" w:bottom="1440" w:left="1440" w:header="851" w:footer="992" w:gutter="0"/>
          <w:pgNumType w:fmt="numberInDash"/>
          <w:cols w:space="720" w:num="1"/>
          <w:rtlGutter w:val="0"/>
          <w:docGrid w:linePitch="312" w:charSpace="0"/>
        </w:sectPr>
      </w:pPr>
    </w:p>
    <w:p>
      <w:pPr>
        <w:spacing w:before="120" w:after="120"/>
        <w:jc w:val="both"/>
        <w:outlineLvl w:val="0"/>
        <w:rPr>
          <w:rFonts w:hint="default"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附件6</w:t>
      </w:r>
    </w:p>
    <w:p>
      <w:pPr>
        <w:jc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31"/>
        <w:gridCol w:w="2213"/>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val="0"/>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keepNext w:val="0"/>
        <w:keepLines w:val="0"/>
        <w:widowControl/>
        <w:numPr>
          <w:ilvl w:val="0"/>
          <w:numId w:val="0"/>
        </w:numPr>
        <w:suppressLineNumbers w:val="0"/>
        <w:jc w:val="both"/>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keepNext w:val="0"/>
        <w:keepLines w:val="0"/>
        <w:widowControl/>
        <w:numPr>
          <w:ilvl w:val="0"/>
          <w:numId w:val="0"/>
        </w:numPr>
        <w:suppressLineNumbers w:val="0"/>
        <w:jc w:val="both"/>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color w:val="FF0000"/>
          <w:sz w:val="24"/>
          <w:szCs w:val="24"/>
        </w:rPr>
        <w:br w:type="page"/>
      </w:r>
      <w:r>
        <w:rPr>
          <w:rFonts w:hint="eastAsia" w:ascii="仿宋_GB2312" w:hAnsi="仿宋_GB2312" w:eastAsia="仿宋_GB2312" w:cs="仿宋_GB2312"/>
          <w:b/>
          <w:bCs/>
          <w:color w:val="auto"/>
          <w:spacing w:val="20"/>
          <w:sz w:val="28"/>
          <w:szCs w:val="28"/>
          <w:lang w:val="en-US" w:eastAsia="zh-CN" w:bidi="ar-SA"/>
        </w:rPr>
        <w:t>附件7</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项目管理机构组成表</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tbl>
      <w:tblPr>
        <w:tblStyle w:val="18"/>
        <w:tblW w:w="9795"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50"/>
        <w:gridCol w:w="1290"/>
        <w:gridCol w:w="1380"/>
        <w:gridCol w:w="1080"/>
        <w:gridCol w:w="900"/>
        <w:gridCol w:w="975"/>
        <w:gridCol w:w="18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75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29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ind w:firstLine="480" w:firstLineChars="20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6210" w:type="dxa"/>
            <w:gridSpan w:val="5"/>
            <w:noWrap w:val="0"/>
            <w:vAlign w:val="top"/>
          </w:tcPr>
          <w:p>
            <w:pPr>
              <w:keepNext w:val="0"/>
              <w:keepLines w:val="0"/>
              <w:widowControl/>
              <w:suppressLineNumbers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color w:val="000000"/>
                <w:kern w:val="0"/>
                <w:sz w:val="22"/>
                <w:szCs w:val="22"/>
                <w:lang w:val="en-US" w:eastAsia="zh-CN" w:bidi="ar"/>
              </w:rPr>
              <w:t>执业或职业资格证明</w:t>
            </w:r>
          </w:p>
        </w:tc>
        <w:tc>
          <w:tcPr>
            <w:tcW w:w="750" w:type="dxa"/>
            <w:vMerge w:val="restart"/>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5"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75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29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证书名称</w:t>
            </w:r>
          </w:p>
        </w:tc>
        <w:tc>
          <w:tcPr>
            <w:tcW w:w="10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级别</w:t>
            </w:r>
          </w:p>
        </w:tc>
        <w:tc>
          <w:tcPr>
            <w:tcW w:w="90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证号</w:t>
            </w:r>
          </w:p>
        </w:tc>
        <w:tc>
          <w:tcPr>
            <w:tcW w:w="9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专业</w:t>
            </w:r>
          </w:p>
        </w:tc>
        <w:tc>
          <w:tcPr>
            <w:tcW w:w="18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养老保险</w:t>
            </w:r>
          </w:p>
        </w:tc>
        <w:tc>
          <w:tcPr>
            <w:tcW w:w="750" w:type="dxa"/>
            <w:vMerge w:val="continue"/>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29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0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8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noWrap w:val="0"/>
            <w:vAlign w:val="top"/>
          </w:tcPr>
          <w:p>
            <w:pPr>
              <w:bidi w:val="0"/>
              <w:jc w:val="left"/>
              <w:rPr>
                <w:rFonts w:hint="eastAsia" w:ascii="仿宋_GB2312" w:hAnsi="仿宋_GB2312" w:eastAsia="仿宋_GB2312" w:cs="仿宋_GB2312"/>
                <w:vertAlign w:val="baseline"/>
                <w:lang w:val="en-US" w:eastAsia="zh-CN"/>
              </w:rPr>
            </w:pPr>
          </w:p>
        </w:tc>
        <w:tc>
          <w:tcPr>
            <w:tcW w:w="750" w:type="dxa"/>
            <w:noWrap w:val="0"/>
            <w:vAlign w:val="top"/>
          </w:tcPr>
          <w:p>
            <w:pPr>
              <w:bidi w:val="0"/>
              <w:jc w:val="left"/>
              <w:rPr>
                <w:rFonts w:hint="eastAsia" w:ascii="仿宋_GB2312" w:hAnsi="仿宋_GB2312" w:eastAsia="仿宋_GB2312" w:cs="仿宋_GB2312"/>
                <w:vertAlign w:val="baseline"/>
                <w:lang w:val="en-US" w:eastAsia="zh-CN"/>
              </w:rPr>
            </w:pPr>
          </w:p>
        </w:tc>
        <w:tc>
          <w:tcPr>
            <w:tcW w:w="1290" w:type="dxa"/>
            <w:noWrap w:val="0"/>
            <w:vAlign w:val="top"/>
          </w:tcPr>
          <w:p>
            <w:pPr>
              <w:bidi w:val="0"/>
              <w:jc w:val="left"/>
              <w:rPr>
                <w:rFonts w:hint="eastAsia" w:ascii="仿宋_GB2312" w:hAnsi="仿宋_GB2312" w:eastAsia="仿宋_GB2312" w:cs="仿宋_GB2312"/>
                <w:vertAlign w:val="baseline"/>
                <w:lang w:val="en-US" w:eastAsia="zh-CN"/>
              </w:rPr>
            </w:pPr>
          </w:p>
        </w:tc>
        <w:tc>
          <w:tcPr>
            <w:tcW w:w="1380" w:type="dxa"/>
            <w:noWrap w:val="0"/>
            <w:vAlign w:val="top"/>
          </w:tcPr>
          <w:p>
            <w:pPr>
              <w:bidi w:val="0"/>
              <w:jc w:val="left"/>
              <w:rPr>
                <w:rFonts w:hint="eastAsia" w:ascii="仿宋_GB2312" w:hAnsi="仿宋_GB2312" w:eastAsia="仿宋_GB2312" w:cs="仿宋_GB2312"/>
                <w:vertAlign w:val="baseline"/>
                <w:lang w:val="en-US" w:eastAsia="zh-CN"/>
              </w:rPr>
            </w:pPr>
          </w:p>
        </w:tc>
        <w:tc>
          <w:tcPr>
            <w:tcW w:w="1080" w:type="dxa"/>
            <w:noWrap w:val="0"/>
            <w:vAlign w:val="top"/>
          </w:tcPr>
          <w:p>
            <w:pPr>
              <w:bidi w:val="0"/>
              <w:jc w:val="left"/>
              <w:rPr>
                <w:rFonts w:hint="eastAsia" w:ascii="仿宋_GB2312" w:hAnsi="仿宋_GB2312" w:eastAsia="仿宋_GB2312" w:cs="仿宋_GB2312"/>
                <w:vertAlign w:val="baseline"/>
                <w:lang w:val="en-US" w:eastAsia="zh-CN"/>
              </w:rPr>
            </w:pPr>
          </w:p>
        </w:tc>
        <w:tc>
          <w:tcPr>
            <w:tcW w:w="900" w:type="dxa"/>
            <w:noWrap w:val="0"/>
            <w:vAlign w:val="top"/>
          </w:tcPr>
          <w:p>
            <w:pPr>
              <w:bidi w:val="0"/>
              <w:jc w:val="left"/>
              <w:rPr>
                <w:rFonts w:hint="eastAsia" w:ascii="仿宋_GB2312" w:hAnsi="仿宋_GB2312" w:eastAsia="仿宋_GB2312" w:cs="仿宋_GB2312"/>
                <w:vertAlign w:val="baseline"/>
                <w:lang w:val="en-US" w:eastAsia="zh-CN"/>
              </w:rPr>
            </w:pPr>
          </w:p>
        </w:tc>
        <w:tc>
          <w:tcPr>
            <w:tcW w:w="975" w:type="dxa"/>
            <w:noWrap w:val="0"/>
            <w:vAlign w:val="top"/>
          </w:tcPr>
          <w:p>
            <w:pPr>
              <w:bidi w:val="0"/>
              <w:jc w:val="left"/>
              <w:rPr>
                <w:rFonts w:hint="eastAsia" w:ascii="仿宋_GB2312" w:hAnsi="仿宋_GB2312" w:eastAsia="仿宋_GB2312" w:cs="仿宋_GB2312"/>
                <w:vertAlign w:val="baseline"/>
                <w:lang w:val="en-US" w:eastAsia="zh-CN"/>
              </w:rPr>
            </w:pPr>
          </w:p>
        </w:tc>
        <w:tc>
          <w:tcPr>
            <w:tcW w:w="1875" w:type="dxa"/>
            <w:noWrap w:val="0"/>
            <w:vAlign w:val="top"/>
          </w:tcPr>
          <w:p>
            <w:pPr>
              <w:bidi w:val="0"/>
              <w:jc w:val="left"/>
              <w:rPr>
                <w:rFonts w:hint="eastAsia" w:ascii="仿宋_GB2312" w:hAnsi="仿宋_GB2312" w:eastAsia="仿宋_GB2312" w:cs="仿宋_GB2312"/>
                <w:vertAlign w:val="baseline"/>
                <w:lang w:val="en-US" w:eastAsia="zh-CN"/>
              </w:rPr>
            </w:pPr>
          </w:p>
        </w:tc>
        <w:tc>
          <w:tcPr>
            <w:tcW w:w="750" w:type="dxa"/>
            <w:noWrap w:val="0"/>
            <w:vAlign w:val="top"/>
          </w:tcPr>
          <w:p>
            <w:pPr>
              <w:bidi w:val="0"/>
              <w:jc w:val="left"/>
              <w:rPr>
                <w:rFonts w:hint="eastAsia" w:ascii="仿宋_GB2312" w:hAnsi="仿宋_GB2312" w:eastAsia="仿宋_GB2312" w:cs="仿宋_GB2312"/>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项目经理简历表</w:t>
      </w:r>
    </w:p>
    <w:p>
      <w:pPr>
        <w:bidi w:val="0"/>
        <w:jc w:val="left"/>
        <w:rPr>
          <w:rFonts w:hint="eastAsia" w:ascii="仿宋_GB2312" w:hAnsi="仿宋_GB2312" w:eastAsia="仿宋_GB2312" w:cs="仿宋_GB2312"/>
          <w:sz w:val="24"/>
          <w:szCs w:val="32"/>
          <w:vertAlign w:val="baseline"/>
          <w:lang w:val="en-US" w:eastAsia="zh-CN"/>
        </w:rPr>
      </w:pPr>
    </w:p>
    <w:tbl>
      <w:tblPr>
        <w:tblStyle w:val="18"/>
        <w:tblW w:w="0" w:type="auto"/>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080"/>
        <w:gridCol w:w="273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年龄</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学历</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拟在本合同任职</w:t>
            </w:r>
          </w:p>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毕业学校</w:t>
            </w:r>
          </w:p>
          <w:p>
            <w:pPr>
              <w:bidi w:val="0"/>
              <w:jc w:val="left"/>
              <w:rPr>
                <w:rFonts w:hint="eastAsia" w:ascii="仿宋_GB2312" w:hAnsi="仿宋_GB2312" w:eastAsia="仿宋_GB2312" w:cs="仿宋_GB2312"/>
                <w:sz w:val="24"/>
                <w:szCs w:val="32"/>
                <w:vertAlign w:val="baseline"/>
                <w:lang w:val="en-US" w:eastAsia="zh-CN"/>
              </w:rPr>
            </w:pPr>
          </w:p>
        </w:tc>
        <w:tc>
          <w:tcPr>
            <w:tcW w:w="8232" w:type="dxa"/>
            <w:gridSpan w:val="5"/>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ind w:firstLine="960" w:firstLineChars="40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年毕业于    学校     专业</w:t>
            </w:r>
          </w:p>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时间</w:t>
            </w:r>
          </w:p>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参加过的类似项目</w:t>
            </w: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担任职务</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发包人及联系电话</w:t>
            </w:r>
          </w:p>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bidi w:val="0"/>
        <w:jc w:val="left"/>
        <w:rPr>
          <w:rFonts w:hint="eastAsia" w:ascii="仿宋_GB2312" w:hAnsi="仿宋_GB2312" w:eastAsia="仿宋_GB2312" w:cs="仿宋_GB2312"/>
          <w:sz w:val="24"/>
          <w:szCs w:val="32"/>
          <w:vertAlign w:val="baseline"/>
          <w:lang w:val="en-US" w:eastAsia="zh-CN"/>
        </w:rPr>
        <w:sectPr>
          <w:footerReference r:id="rId10" w:type="first"/>
          <w:headerReference r:id="rId9" w:type="default"/>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sz w:val="24"/>
          <w:szCs w:val="32"/>
          <w:vertAlign w:val="baseline"/>
          <w:lang w:val="en-US" w:eastAsia="zh-CN"/>
        </w:rPr>
        <w:t>附：项目经理请附建造师执业资格证书、注册证书、安全生产考核合格证书、身份证、学历证、养老保险复印件。</w:t>
      </w:r>
    </w:p>
    <w:p>
      <w:pPr>
        <w:keepNext w:val="0"/>
        <w:keepLines w:val="0"/>
        <w:widowControl/>
        <w:numPr>
          <w:ilvl w:val="0"/>
          <w:numId w:val="0"/>
        </w:numPr>
        <w:suppressLineNumbers w:val="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附件8</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中小企业声明函（工程、服务）</w:t>
      </w:r>
    </w:p>
    <w:p>
      <w:pPr>
        <w:pStyle w:val="6"/>
        <w:numPr>
          <w:ilvl w:val="0"/>
          <w:numId w:val="0"/>
        </w:numPr>
        <w:rPr>
          <w:rFonts w:hint="eastAsia" w:ascii="仿宋_GB2312" w:hAnsi="仿宋_GB2312" w:eastAsia="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1.</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w:t>
      </w:r>
      <w:r>
        <w:rPr>
          <w:rFonts w:hint="eastAsia" w:ascii="仿宋_GB2312" w:hAnsi="仿宋_GB2312" w:eastAsia="仿宋_GB2312" w:cs="仿宋_GB2312"/>
          <w:i w:val="0"/>
          <w:iCs w:val="0"/>
          <w:color w:val="auto"/>
          <w:kern w:val="0"/>
          <w:sz w:val="28"/>
          <w:szCs w:val="28"/>
          <w:lang w:val="en-US" w:eastAsia="zh-CN" w:bidi="ar"/>
        </w:rPr>
        <w:footnoteReference w:id="0"/>
      </w:r>
      <w:r>
        <w:rPr>
          <w:rFonts w:hint="eastAsia" w:ascii="仿宋_GB2312" w:hAnsi="仿宋_GB2312" w:eastAsia="仿宋_GB2312" w:cs="仿宋_GB2312"/>
          <w:i w:val="0"/>
          <w:iCs w:val="0"/>
          <w:color w:val="auto"/>
          <w:kern w:val="0"/>
          <w:sz w:val="28"/>
          <w:szCs w:val="28"/>
          <w:lang w:val="en-US" w:eastAsia="zh-CN" w:bidi="ar"/>
        </w:rPr>
        <w:t>，属于（中型企业、小型企业、微型企业）；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 xml:space="preserve">2. </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kern w:val="0"/>
          <w:sz w:val="28"/>
          <w:szCs w:val="28"/>
          <w:lang w:val="en-US" w:eastAsia="zh-CN" w:bidi="ar"/>
        </w:rPr>
        <w:t>以上企业，不属于大企业的分支机构，不存在控股股东为大企业的情形，也不存在与大企业的负责人为同一人的情形。</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(2)《关于印发中小企业划型标准规定的通知》（工信部联企业〔2011〕300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4、声明函的有效性最终由</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委员会判定；如</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委员会判定声明函无效，</w:t>
      </w:r>
      <w:r>
        <w:rPr>
          <w:rFonts w:hint="eastAsia" w:ascii="仿宋_GB2312" w:hAnsi="仿宋_GB2312" w:eastAsia="仿宋_GB2312" w:cs="仿宋_GB2312"/>
          <w:color w:val="auto"/>
          <w:sz w:val="24"/>
          <w:szCs w:val="24"/>
          <w:highlight w:val="none"/>
          <w:lang w:val="en-US" w:eastAsia="zh-CN"/>
        </w:rPr>
        <w:t>则作</w:t>
      </w:r>
      <w:r>
        <w:rPr>
          <w:rFonts w:hint="eastAsia" w:ascii="仿宋_GB2312" w:hAnsi="仿宋_GB2312" w:eastAsia="仿宋_GB2312" w:cs="仿宋_GB2312"/>
          <w:color w:val="auto"/>
          <w:sz w:val="24"/>
          <w:szCs w:val="24"/>
          <w:highlight w:val="none"/>
        </w:rPr>
        <w:t>投标无效处理。</w:t>
      </w:r>
    </w:p>
    <w:p>
      <w:pPr>
        <w:tabs>
          <w:tab w:val="left" w:pos="1260"/>
        </w:tabs>
        <w:spacing w:line="360" w:lineRule="auto"/>
        <w:ind w:firstLine="495" w:firstLineChars="176"/>
        <w:jc w:val="left"/>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4"/>
          <w:lang w:val="en-US" w:eastAsia="zh-CN"/>
        </w:rPr>
        <w:t xml:space="preserve">                                                          </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pacing w:val="20"/>
          <w:sz w:val="28"/>
          <w:szCs w:val="28"/>
          <w:lang w:val="en-US" w:eastAsia="zh-CN" w:bidi="ar-SA"/>
        </w:rPr>
        <w:t>附件9</w:t>
      </w:r>
    </w:p>
    <w:p>
      <w:pPr>
        <w:keepNext w:val="0"/>
        <w:keepLines w:val="0"/>
        <w:widowControl/>
        <w:suppressLineNumbers w:val="0"/>
        <w:shd w:val="clear" w:color="auto" w:fill="FFFFFF"/>
        <w:spacing w:before="100" w:beforeAutospacing="1" w:after="100" w:afterAutospacing="1"/>
        <w:ind w:left="0" w:right="0" w:firstLine="0"/>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残疾人福利性单位声明函（若需）</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本单位在本次政府采购活动中提供的残疾人福利单位产品报价合计为人民币（大写）</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整（￥：     ）。</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before="145" w:beforeLines="50" w:after="145" w:afterLines="50" w:line="300" w:lineRule="auto"/>
        <w:ind w:firstLine="560" w:firstLineChars="200"/>
        <w:rPr>
          <w:rFonts w:hint="eastAsia" w:ascii="仿宋_GB2312" w:hAnsi="仿宋_GB2312" w:eastAsia="仿宋_GB2312" w:cs="仿宋_GB2312"/>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pStyle w:val="5"/>
        <w:rPr>
          <w:rFonts w:hint="eastAsia" w:ascii="仿宋_GB2312" w:hAnsi="仿宋_GB2312" w:eastAsia="仿宋_GB2312" w:cs="仿宋_GB2312"/>
          <w:sz w:val="28"/>
          <w:szCs w:val="28"/>
        </w:rPr>
      </w:pPr>
    </w:p>
    <w:p>
      <w:pPr>
        <w:spacing w:before="145" w:beforeLines="50" w:after="145" w:afterLines="50" w:line="300" w:lineRule="auto"/>
        <w:ind w:firstLine="438" w:firstLineChars="1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spacing w:before="145" w:beforeLines="50" w:after="145" w:afterLines="50" w:line="300" w:lineRule="auto"/>
        <w:ind w:firstLine="420" w:firstLineChars="1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pStyle w:val="16"/>
        <w:ind w:left="0" w:leftChars="0" w:firstLine="0" w:firstLineChars="0"/>
        <w:rPr>
          <w:rFonts w:hint="eastAsia" w:ascii="仿宋_GB2312" w:hAnsi="仿宋_GB2312" w:eastAsia="仿宋_GB2312" w:cs="仿宋_GB2312"/>
          <w:sz w:val="32"/>
          <w:szCs w:val="32"/>
        </w:rPr>
      </w:pPr>
    </w:p>
    <w:p>
      <w:pPr>
        <w:pStyle w:val="16"/>
        <w:rPr>
          <w:rFonts w:hint="eastAsia" w:ascii="仿宋_GB2312" w:hAnsi="仿宋_GB2312" w:eastAsia="仿宋_GB2312" w:cs="仿宋_GB2312"/>
          <w:sz w:val="22"/>
          <w:szCs w:val="28"/>
        </w:rPr>
      </w:pPr>
    </w:p>
    <w:p>
      <w:pPr>
        <w:pStyle w:val="16"/>
        <w:rPr>
          <w:rFonts w:hint="eastAsia" w:ascii="仿宋_GB2312" w:hAnsi="仿宋_GB2312" w:eastAsia="仿宋_GB2312" w:cs="仿宋_GB2312"/>
        </w:rPr>
      </w:pPr>
    </w:p>
    <w:p>
      <w:pPr>
        <w:pStyle w:val="16"/>
        <w:rPr>
          <w:rFonts w:hint="eastAsia" w:ascii="仿宋_GB2312" w:hAnsi="仿宋_GB2312" w:eastAsia="仿宋_GB2312" w:cs="仿宋_GB2312"/>
        </w:rPr>
      </w:pPr>
    </w:p>
    <w:p>
      <w:pPr>
        <w:spacing w:line="500" w:lineRule="exact"/>
        <w:ind w:right="640"/>
        <w:rPr>
          <w:rFonts w:hint="default" w:ascii="仿宋_GB2312" w:hAnsi="仿宋_GB2312" w:eastAsia="仿宋_GB2312" w:cs="仿宋_GB2312"/>
          <w:b/>
          <w:sz w:val="32"/>
          <w:szCs w:val="32"/>
          <w:lang w:val="en-US"/>
        </w:rPr>
      </w:pPr>
      <w:r>
        <w:rPr>
          <w:rFonts w:hint="eastAsia" w:ascii="仿宋_GB2312" w:hAnsi="仿宋_GB2312" w:eastAsia="仿宋_GB2312" w:cs="仿宋_GB2312"/>
          <w:b/>
          <w:bCs/>
          <w:color w:val="auto"/>
          <w:spacing w:val="20"/>
          <w:sz w:val="28"/>
          <w:szCs w:val="28"/>
          <w:lang w:val="en-US" w:eastAsia="zh-CN" w:bidi="ar-SA"/>
        </w:rPr>
        <w:br w:type="page"/>
      </w:r>
      <w:r>
        <w:rPr>
          <w:rFonts w:hint="eastAsia" w:ascii="仿宋_GB2312" w:hAnsi="仿宋_GB2312" w:eastAsia="仿宋_GB2312" w:cs="仿宋_GB2312"/>
          <w:b/>
          <w:bCs/>
          <w:color w:val="auto"/>
          <w:spacing w:val="20"/>
          <w:sz w:val="28"/>
          <w:szCs w:val="28"/>
          <w:lang w:val="en-US" w:eastAsia="zh-CN" w:bidi="ar-SA"/>
        </w:rPr>
        <w:t>附件10</w:t>
      </w:r>
    </w:p>
    <w:p>
      <w:pPr>
        <w:jc w:val="center"/>
        <w:outlineLvl w:val="4"/>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监狱企业声明函</w:t>
      </w:r>
      <w:r>
        <w:rPr>
          <w:rFonts w:hint="eastAsia" w:ascii="仿宋_GB2312" w:hAnsi="仿宋_GB2312" w:eastAsia="仿宋_GB2312" w:cs="仿宋_GB2312"/>
          <w:b/>
          <w:bCs w:val="0"/>
          <w:sz w:val="32"/>
          <w:szCs w:val="32"/>
          <w:lang w:eastAsia="zh-CN"/>
        </w:rPr>
        <w:t>（若需）</w:t>
      </w:r>
    </w:p>
    <w:p>
      <w:pPr>
        <w:spacing w:after="60" w:afterLines="25" w:line="300" w:lineRule="auto"/>
        <w:ind w:firstLine="440" w:firstLineChars="200"/>
        <w:rPr>
          <w:rFonts w:hint="eastAsia" w:ascii="仿宋_GB2312" w:hAnsi="仿宋_GB2312" w:eastAsia="仿宋_GB2312" w:cs="仿宋_GB2312"/>
          <w:b w:val="0"/>
          <w:bCs/>
          <w:sz w:val="22"/>
          <w:szCs w:val="22"/>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b/>
          <w:bCs/>
          <w:spacing w:val="20"/>
          <w:sz w:val="36"/>
          <w:szCs w:val="36"/>
          <w:lang w:val="en-US" w:eastAsia="zh-CN"/>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val="0"/>
          <w:bCs/>
          <w:sz w:val="28"/>
          <w:szCs w:val="28"/>
        </w:rPr>
        <w:t>日期：</w:t>
      </w:r>
    </w:p>
    <w:p>
      <w:pPr>
        <w:snapToGrid w:val="0"/>
        <w:spacing w:line="500" w:lineRule="exact"/>
        <w:jc w:val="both"/>
        <w:rPr>
          <w:rFonts w:hint="default"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color w:val="auto"/>
          <w:spacing w:val="20"/>
          <w:sz w:val="28"/>
          <w:szCs w:val="28"/>
          <w:lang w:val="en-US" w:eastAsia="zh-CN" w:bidi="ar-SA"/>
        </w:rPr>
        <w:t>附件11</w:t>
      </w:r>
    </w:p>
    <w:p>
      <w:pPr>
        <w:snapToGrid w:val="0"/>
        <w:spacing w:line="500" w:lineRule="exact"/>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lang w:val="en-US" w:eastAsia="zh-CN"/>
        </w:rPr>
        <w:t>反商业贿赂承诺书</w:t>
      </w:r>
    </w:p>
    <w:p>
      <w:pPr>
        <w:snapToGrid w:val="0"/>
        <w:spacing w:line="500" w:lineRule="exac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致：阿瓦提县政务服务和公共资源交易中心：</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为了进一步营造公平竞争的市场环境，维护市场秩序，我方在政府采购活动中郑重承诺：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一、依法参与政府采购活动，遵纪守法，诚信经营，公平竞争。</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二、不向采购单位、集中采购机构和政府采购评审专家提供任何形式的商业贿赂；对索取或接受商业贿赂的单位和个人，及时向财政部门或纪检监察机关举报。</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三、坚决做到不提供虚假资质文件和虚假材料谋取中标。</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四、不采取不正当手段诋毁、排挤其他投标人，与其他投标人保持公平的竞争关系。</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五、不与采购单位、集中采购机构和政府采购评审专家串通，自觉维护政府采购公平竞争的市场秩序。</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六、不与其他投标人串通采取围标、陪标等商业欺诈手段谋取中标，积极维护国家利益、社会公共利益和采购单位的合法权益。</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七、严格履行政府采购合同约定的责任和义务，保质保量地完成采购合同规定的任务，准确兑现售后服务承诺。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八、自觉接受并积极配合财政部门和纪检监察机关依法实施的监督检查，如实反映情况，及时提供有关证明材料。</w:t>
      </w: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1920" w:firstLineChars="600"/>
        <w:jc w:val="lef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投标单位全称（加盖单位公章）：</w:t>
      </w:r>
    </w:p>
    <w:p>
      <w:pPr>
        <w:snapToGrid w:val="0"/>
        <w:spacing w:line="500" w:lineRule="exact"/>
        <w:ind w:firstLine="2560" w:firstLineChars="800"/>
        <w:jc w:val="left"/>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 xml:space="preserve"> 年    月    日</w:t>
      </w:r>
    </w:p>
    <w:p>
      <w:pPr>
        <w:rPr>
          <w:rFonts w:hint="eastAsia" w:ascii="仿宋_GB2312" w:hAnsi="仿宋_GB2312" w:eastAsia="仿宋_GB2312" w:cs="仿宋_GB2312"/>
          <w:lang w:val="en-US" w:eastAsia="zh-CN"/>
        </w:rPr>
      </w:pP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附件12</w:t>
      </w:r>
      <w:r>
        <w:rPr>
          <w:rFonts w:hint="eastAsia" w:ascii="仿宋_GB2312" w:hAnsi="仿宋_GB2312" w:eastAsia="仿宋_GB2312" w:cs="仿宋_GB2312"/>
          <w:b/>
          <w:bCs/>
          <w:color w:val="000000"/>
          <w:kern w:val="0"/>
          <w:sz w:val="31"/>
          <w:szCs w:val="31"/>
          <w:lang w:val="en-US" w:eastAsia="zh-CN" w:bidi="ar"/>
        </w:rPr>
        <w:t xml:space="preserve"> </w:t>
      </w:r>
    </w:p>
    <w:p>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技术文件（格式自拟）</w:t>
      </w:r>
    </w:p>
    <w:p>
      <w:pPr>
        <w:spacing w:line="480" w:lineRule="exact"/>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1.企业资质；</w:t>
      </w:r>
    </w:p>
    <w:p>
      <w:pPr>
        <w:spacing w:line="48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2.项目实施经验</w:t>
      </w:r>
      <w:r>
        <w:rPr>
          <w:rFonts w:hint="eastAsia" w:ascii="仿宋_GB2312" w:hAnsi="仿宋_GB2312" w:eastAsia="仿宋_GB2312" w:cs="仿宋_GB2312"/>
          <w:b/>
          <w:bCs/>
          <w:kern w:val="2"/>
          <w:sz w:val="28"/>
          <w:szCs w:val="28"/>
          <w:highlight w:val="none"/>
          <w:lang w:val="en-US" w:eastAsia="zh-CN" w:bidi="ar-SA"/>
        </w:rPr>
        <w:t>；</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3.实施团队</w:t>
      </w:r>
      <w:r>
        <w:rPr>
          <w:rFonts w:hint="eastAsia" w:ascii="仿宋_GB2312" w:hAnsi="仿宋_GB2312" w:eastAsia="仿宋_GB2312" w:cs="仿宋_GB2312"/>
          <w:b/>
          <w:bCs/>
          <w:kern w:val="2"/>
          <w:sz w:val="28"/>
          <w:szCs w:val="28"/>
          <w:highlight w:val="none"/>
          <w:lang w:val="en-US" w:eastAsia="zh-CN" w:bidi="ar-SA"/>
        </w:rPr>
        <w:t>；</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highlight w:val="none"/>
          <w:lang w:val="en-US" w:eastAsia="zh-CN" w:bidi="ar-SA"/>
        </w:rPr>
        <w:t>4</w:t>
      </w:r>
      <w:r>
        <w:rPr>
          <w:rFonts w:hint="eastAsia" w:ascii="仿宋_GB2312" w:hAnsi="仿宋_GB2312" w:eastAsia="仿宋_GB2312" w:cs="仿宋_GB2312"/>
          <w:b/>
          <w:bCs/>
          <w:kern w:val="2"/>
          <w:sz w:val="28"/>
          <w:szCs w:val="28"/>
          <w:lang w:val="en-US" w:eastAsia="zh-CN" w:bidi="ar-SA"/>
        </w:rPr>
        <w:t>.投标人同类项目履约情况；</w:t>
      </w:r>
    </w:p>
    <w:p>
      <w:pPr>
        <w:wordWrap/>
        <w:autoSpaceDE w:val="0"/>
        <w:autoSpaceDN w:val="0"/>
        <w:spacing w:before="0" w:after="0" w:line="260" w:lineRule="atLeast"/>
        <w:ind w:left="0" w:right="0" w:firstLine="56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5</w:t>
      </w:r>
      <w:r>
        <w:rPr>
          <w:rFonts w:hint="eastAsia" w:ascii="仿宋_GB2312" w:hAnsi="仿宋_GB2312" w:eastAsia="仿宋_GB2312" w:cs="仿宋_GB2312"/>
          <w:b/>
          <w:bCs/>
          <w:kern w:val="2"/>
          <w:sz w:val="28"/>
          <w:szCs w:val="28"/>
          <w:lang w:val="en-US" w:eastAsia="zh-CN" w:bidi="ar-SA"/>
        </w:rPr>
        <w:t>.项目实施方案；</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6.施工组织计划、技术、工艺及相关的合理化建议；</w:t>
      </w:r>
    </w:p>
    <w:p>
      <w:pPr>
        <w:spacing w:line="48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7.项目实施关键施工技术（重点难点）分析及解决方案；</w:t>
      </w:r>
    </w:p>
    <w:p>
      <w:pPr>
        <w:spacing w:line="480" w:lineRule="exact"/>
        <w:ind w:firstLine="560" w:firstLineChars="200"/>
        <w:rPr>
          <w:rFonts w:hint="eastAsia"/>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spacing w:line="480" w:lineRule="exact"/>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8.施工质量（安全、环保、工期、售后服务）保障措施及相关的违约承诺；</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9.劳动力、机械设备、材料投入计划及其保证措施；</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10.材料设备性能；</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11.免费质量保证期情况。</w:t>
      </w:r>
    </w:p>
    <w:p>
      <w:pPr>
        <w:spacing w:line="480" w:lineRule="exact"/>
        <w:ind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8"/>
          <w:szCs w:val="28"/>
          <w:lang w:val="en-US" w:eastAsia="zh-CN"/>
        </w:rPr>
        <w:t>自行填写，无参考格式</w:t>
      </w:r>
    </w:p>
    <w:p>
      <w:pPr>
        <w:keepNext w:val="0"/>
        <w:keepLines w:val="0"/>
        <w:widowControl/>
        <w:suppressLineNumbers w:val="0"/>
        <w:ind w:firstLine="56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28"/>
          <w:szCs w:val="28"/>
          <w:lang w:val="en-US" w:eastAsia="zh-CN" w:bidi="ar"/>
        </w:rPr>
        <w:t xml:space="preserve">注：响应文件须按技术标格式目录顺序编写。建议编写目录页码便于评委评审。 </w:t>
      </w:r>
    </w:p>
    <w:p>
      <w:pPr>
        <w:keepNext w:val="0"/>
        <w:keepLines w:val="0"/>
        <w:widowControl/>
        <w:suppressLineNumbers w:val="0"/>
        <w:ind w:firstLine="562" w:firstLineChars="20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其他资料 </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color w:val="000000"/>
          <w:kern w:val="0"/>
          <w:sz w:val="24"/>
          <w:szCs w:val="24"/>
          <w:lang w:val="en-US" w:eastAsia="zh-CN" w:bidi="ar"/>
        </w:rPr>
        <w:t>（供应商认为需要上传的其他资料。）</w:t>
      </w:r>
    </w:p>
    <w:p>
      <w:pPr>
        <w:spacing w:line="360" w:lineRule="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13</w:t>
      </w:r>
    </w:p>
    <w:p>
      <w:pPr>
        <w:spacing w:line="1000" w:lineRule="exact"/>
        <w:jc w:val="both"/>
        <w:rPr>
          <w:rFonts w:hint="eastAsia" w:ascii="仿宋_GB2312" w:hAnsi="仿宋_GB2312" w:eastAsia="仿宋_GB2312" w:cs="仿宋_GB2312"/>
          <w:color w:val="000000"/>
          <w:sz w:val="44"/>
          <w:szCs w:val="44"/>
          <w:lang w:val="en-US" w:eastAsia="zh-CN"/>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lang w:val="en-US" w:eastAsia="zh-CN"/>
        </w:rPr>
        <w:t>响 应</w:t>
      </w:r>
      <w:r>
        <w:rPr>
          <w:rFonts w:hint="eastAsia" w:ascii="仿宋_GB2312" w:hAnsi="仿宋_GB2312" w:eastAsia="仿宋_GB2312" w:cs="仿宋_GB2312"/>
          <w:b/>
          <w:color w:val="000000"/>
          <w:spacing w:val="78"/>
          <w:sz w:val="90"/>
          <w:szCs w:val="90"/>
        </w:rPr>
        <w:t xml:space="preserve">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9"/>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67FC"/>
    <w:multiLevelType w:val="singleLevel"/>
    <w:tmpl w:val="977867FC"/>
    <w:lvl w:ilvl="0" w:tentative="0">
      <w:start w:val="7"/>
      <w:numFmt w:val="chineseCounting"/>
      <w:suff w:val="nothing"/>
      <w:lvlText w:val="%1、"/>
      <w:lvlJc w:val="left"/>
      <w:rPr>
        <w:rFonts w:hint="eastAsia"/>
      </w:rPr>
    </w:lvl>
  </w:abstractNum>
  <w:abstractNum w:abstractNumId="1">
    <w:nsid w:val="CC1C7A06"/>
    <w:multiLevelType w:val="singleLevel"/>
    <w:tmpl w:val="CC1C7A06"/>
    <w:lvl w:ilvl="0" w:tentative="0">
      <w:start w:val="2"/>
      <w:numFmt w:val="chineseCounting"/>
      <w:suff w:val="nothing"/>
      <w:lvlText w:val="%1、"/>
      <w:lvlJc w:val="left"/>
      <w:rPr>
        <w:rFonts w:hint="eastAsia"/>
      </w:rPr>
    </w:lvl>
  </w:abstractNum>
  <w:abstractNum w:abstractNumId="2">
    <w:nsid w:val="F2362123"/>
    <w:multiLevelType w:val="singleLevel"/>
    <w:tmpl w:val="F2362123"/>
    <w:lvl w:ilvl="0" w:tentative="0">
      <w:start w:val="1"/>
      <w:numFmt w:val="decimal"/>
      <w:suff w:val="nothing"/>
      <w:lvlText w:val="%1、"/>
      <w:lvlJc w:val="left"/>
    </w:lvl>
  </w:abstractNum>
  <w:abstractNum w:abstractNumId="3">
    <w:nsid w:val="FFC7899B"/>
    <w:multiLevelType w:val="singleLevel"/>
    <w:tmpl w:val="FFC7899B"/>
    <w:lvl w:ilvl="0" w:tentative="0">
      <w:start w:val="4"/>
      <w:numFmt w:val="decimal"/>
      <w:suff w:val="space"/>
      <w:lvlText w:val="%1."/>
      <w:lvlJc w:val="left"/>
    </w:lvl>
  </w:abstractNum>
  <w:abstractNum w:abstractNumId="4">
    <w:nsid w:val="27E07213"/>
    <w:multiLevelType w:val="multilevel"/>
    <w:tmpl w:val="27E07213"/>
    <w:lvl w:ilvl="0" w:tentative="0">
      <w:start w:val="1"/>
      <w:numFmt w:val="decimal"/>
      <w:pStyle w:val="3"/>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5">
    <w:nsid w:val="420C153B"/>
    <w:multiLevelType w:val="multilevel"/>
    <w:tmpl w:val="420C153B"/>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11D7DB3"/>
    <w:rsid w:val="02962774"/>
    <w:rsid w:val="02985DC6"/>
    <w:rsid w:val="02D856D4"/>
    <w:rsid w:val="0344125B"/>
    <w:rsid w:val="046027B8"/>
    <w:rsid w:val="07E958EF"/>
    <w:rsid w:val="09257301"/>
    <w:rsid w:val="0C8C2957"/>
    <w:rsid w:val="0DB43A97"/>
    <w:rsid w:val="0E506952"/>
    <w:rsid w:val="0FEA1995"/>
    <w:rsid w:val="126F3EF2"/>
    <w:rsid w:val="185111EF"/>
    <w:rsid w:val="192A3815"/>
    <w:rsid w:val="1BDC5CF3"/>
    <w:rsid w:val="1F3A72FF"/>
    <w:rsid w:val="1F74298A"/>
    <w:rsid w:val="200C11B7"/>
    <w:rsid w:val="23B4085A"/>
    <w:rsid w:val="28FF03B6"/>
    <w:rsid w:val="2A2954D7"/>
    <w:rsid w:val="2C7C281F"/>
    <w:rsid w:val="2E293BF2"/>
    <w:rsid w:val="305C7460"/>
    <w:rsid w:val="30D140CD"/>
    <w:rsid w:val="32BA750F"/>
    <w:rsid w:val="33947D60"/>
    <w:rsid w:val="33D40A64"/>
    <w:rsid w:val="345A4FF0"/>
    <w:rsid w:val="35FD0CF8"/>
    <w:rsid w:val="387625A3"/>
    <w:rsid w:val="3AA81763"/>
    <w:rsid w:val="3ED90D1D"/>
    <w:rsid w:val="41D012F6"/>
    <w:rsid w:val="44776AA7"/>
    <w:rsid w:val="46D754C6"/>
    <w:rsid w:val="47590C4D"/>
    <w:rsid w:val="497E1918"/>
    <w:rsid w:val="4AF92CE5"/>
    <w:rsid w:val="4CEC60BF"/>
    <w:rsid w:val="4F232F2B"/>
    <w:rsid w:val="4FAF2226"/>
    <w:rsid w:val="54F43BAD"/>
    <w:rsid w:val="57983BB3"/>
    <w:rsid w:val="5856615A"/>
    <w:rsid w:val="58F35D0A"/>
    <w:rsid w:val="594B64E1"/>
    <w:rsid w:val="5B803945"/>
    <w:rsid w:val="5C9C4AAB"/>
    <w:rsid w:val="5CD5580C"/>
    <w:rsid w:val="5D7F0889"/>
    <w:rsid w:val="5EC24ED2"/>
    <w:rsid w:val="60E658F0"/>
    <w:rsid w:val="63CD4D8A"/>
    <w:rsid w:val="659F468D"/>
    <w:rsid w:val="66B66EE1"/>
    <w:rsid w:val="67C6781F"/>
    <w:rsid w:val="696E31EA"/>
    <w:rsid w:val="6A813F4E"/>
    <w:rsid w:val="72BF623D"/>
    <w:rsid w:val="72DC5E2A"/>
    <w:rsid w:val="767F6FEB"/>
    <w:rsid w:val="77CA422C"/>
    <w:rsid w:val="7B13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numPr>
        <w:ilvl w:val="0"/>
        <w:numId w:val="1"/>
      </w:numPr>
      <w:jc w:val="center"/>
      <w:outlineLvl w:val="0"/>
    </w:pPr>
    <w:rPr>
      <w:sz w:val="28"/>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ind w:firstLine="420"/>
      <w:jc w:val="left"/>
    </w:pPr>
    <w:rPr>
      <w:rFonts w:ascii="楷体_GB2312" w:eastAsia="楷体_GB2312"/>
      <w:sz w:val="24"/>
      <w:szCs w:val="20"/>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Plain Text"/>
    <w:basedOn w:val="1"/>
    <w:autoRedefine/>
    <w:qFormat/>
    <w:uiPriority w:val="0"/>
    <w:rPr>
      <w:rFonts w:ascii="宋体" w:hAnsi="Courier New"/>
      <w:szCs w:val="20"/>
    </w:rPr>
  </w:style>
  <w:style w:type="paragraph" w:styleId="10">
    <w:name w:val="Body Text Indent 2"/>
    <w:basedOn w:val="1"/>
    <w:autoRedefine/>
    <w:qFormat/>
    <w:uiPriority w:val="0"/>
    <w:pPr>
      <w:spacing w:after="120" w:line="480" w:lineRule="auto"/>
      <w:ind w:left="42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autoRedefine/>
    <w:unhideWhenUsed/>
    <w:qFormat/>
    <w:uiPriority w:val="99"/>
    <w:pPr>
      <w:snapToGrid w:val="0"/>
      <w:jc w:val="left"/>
    </w:pPr>
    <w:rPr>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正文1"/>
    <w:basedOn w:val="1"/>
    <w:autoRedefine/>
    <w:qFormat/>
    <w:uiPriority w:val="0"/>
    <w:pPr>
      <w:spacing w:line="480" w:lineRule="exact"/>
      <w:ind w:firstLine="480" w:firstLineChars="200"/>
    </w:pPr>
    <w:rPr>
      <w:rFonts w:ascii="宋体"/>
      <w:sz w:val="24"/>
      <w:szCs w:val="20"/>
    </w:rPr>
  </w:style>
  <w:style w:type="paragraph" w:styleId="23">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4">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5">
    <w:name w:val="BodyText"/>
    <w:basedOn w:val="1"/>
    <w:next w:val="1"/>
    <w:autoRedefine/>
    <w:qFormat/>
    <w:uiPriority w:val="0"/>
    <w:pPr>
      <w:tabs>
        <w:tab w:val="left" w:pos="780"/>
      </w:tabs>
    </w:pPr>
    <w:rPr>
      <w:rFonts w:ascii="黑体" w:eastAsia="黑体"/>
      <w:sz w:val="22"/>
    </w:rPr>
  </w:style>
  <w:style w:type="paragraph" w:customStyle="1" w:styleId="2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Table Text"/>
    <w:basedOn w:val="1"/>
    <w:autoRedefine/>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Fashion</cp:lastModifiedBy>
  <dcterms:modified xsi:type="dcterms:W3CDTF">2024-09-06T12:17:22Z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BF9EC50E14F543C7AF884F83D47E6DB7</vt:lpwstr>
  </property>
</Properties>
</file>