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9899D">
      <w:pPr>
        <w:rPr>
          <w:rFonts w:hint="eastAsia" w:ascii="宋体" w:hAnsi="宋体" w:eastAsia="宋体" w:cs="宋体"/>
          <w:color w:val="auto"/>
          <w:sz w:val="44"/>
          <w:szCs w:val="44"/>
        </w:rPr>
      </w:pPr>
      <w:bookmarkStart w:id="46" w:name="_GoBack"/>
      <w:bookmarkEnd w:id="46"/>
      <w:r>
        <w:rPr>
          <w:rFonts w:hint="eastAsia" w:ascii="宋体" w:hAnsi="宋体" w:eastAsia="宋体" w:cs="宋体"/>
          <w:color w:val="auto"/>
          <w:sz w:val="44"/>
          <w:szCs w:val="44"/>
          <w:lang w:val="en-US" w:eastAsia="zh-CN"/>
        </w:rPr>
        <w:t xml:space="preserve">                                                                               </w:t>
      </w:r>
      <w:r>
        <w:rPr>
          <w:rFonts w:hint="eastAsia" w:ascii="宋体" w:hAnsi="宋体" w:eastAsia="宋体" w:cs="宋体"/>
          <w:color w:val="auto"/>
          <w:sz w:val="44"/>
          <w:szCs w:val="44"/>
        </w:rPr>
        <w:t xml:space="preserve"> </w:t>
      </w:r>
    </w:p>
    <w:p w14:paraId="5324D726">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b/>
          <w:bCs/>
          <w:color w:val="auto"/>
          <w:sz w:val="84"/>
          <w:szCs w:val="84"/>
          <w:lang w:val="en-US" w:eastAsia="zh-CN"/>
        </w:rPr>
        <w:t>2024年防洪物资采购</w:t>
      </w:r>
    </w:p>
    <w:p w14:paraId="6CCEE357">
      <w:pPr>
        <w:adjustRightInd w:val="0"/>
        <w:snapToGrid w:val="0"/>
        <w:spacing w:line="360" w:lineRule="auto"/>
        <w:jc w:val="center"/>
        <w:rPr>
          <w:rFonts w:hint="eastAsia" w:ascii="宋体" w:hAnsi="宋体" w:cs="宋体"/>
          <w:color w:val="auto"/>
          <w:sz w:val="24"/>
          <w:highlight w:val="none"/>
        </w:rPr>
      </w:pPr>
    </w:p>
    <w:p w14:paraId="7851A519">
      <w:pPr>
        <w:adjustRightInd w:val="0"/>
        <w:snapToGrid w:val="0"/>
        <w:spacing w:line="360" w:lineRule="auto"/>
        <w:jc w:val="center"/>
        <w:rPr>
          <w:rFonts w:hint="eastAsia" w:ascii="宋体" w:hAnsi="宋体" w:cs="宋体"/>
          <w:color w:val="auto"/>
          <w:sz w:val="24"/>
          <w:highlight w:val="none"/>
        </w:rPr>
      </w:pPr>
    </w:p>
    <w:p w14:paraId="182CFE25">
      <w:pPr>
        <w:adjustRightInd w:val="0"/>
        <w:snapToGrid w:val="0"/>
        <w:spacing w:line="360" w:lineRule="auto"/>
        <w:jc w:val="center"/>
        <w:rPr>
          <w:rFonts w:hint="eastAsia" w:ascii="宋体" w:hAnsi="宋体" w:cs="宋体"/>
          <w:color w:val="auto"/>
          <w:sz w:val="24"/>
          <w:highlight w:val="none"/>
        </w:rPr>
      </w:pPr>
    </w:p>
    <w:p w14:paraId="66495541">
      <w:pPr>
        <w:adjustRightInd w:val="0"/>
        <w:snapToGrid w:val="0"/>
        <w:spacing w:line="360" w:lineRule="auto"/>
        <w:jc w:val="center"/>
        <w:rPr>
          <w:rFonts w:hint="eastAsia" w:ascii="宋体" w:hAnsi="宋体" w:cs="宋体"/>
          <w:color w:val="auto"/>
          <w:sz w:val="24"/>
          <w:highlight w:val="none"/>
        </w:rPr>
      </w:pPr>
    </w:p>
    <w:p w14:paraId="220B2C61">
      <w:pPr>
        <w:adjustRightInd w:val="0"/>
        <w:snapToGrid w:val="0"/>
        <w:spacing w:line="360" w:lineRule="auto"/>
        <w:rPr>
          <w:rFonts w:hint="eastAsia" w:ascii="宋体" w:hAnsi="宋体" w:cs="宋体"/>
          <w:color w:val="auto"/>
          <w:sz w:val="24"/>
          <w:highlight w:val="none"/>
        </w:rPr>
      </w:pPr>
    </w:p>
    <w:p w14:paraId="715A9AA3">
      <w:pPr>
        <w:spacing w:line="360" w:lineRule="auto"/>
        <w:jc w:val="center"/>
        <w:outlineLvl w:val="0"/>
        <w:rPr>
          <w:rFonts w:hint="eastAsia" w:ascii="宋体" w:hAnsi="宋体" w:cs="宋体"/>
          <w:b/>
          <w:color w:val="auto"/>
          <w:sz w:val="120"/>
          <w:szCs w:val="120"/>
          <w:highlight w:val="none"/>
        </w:rPr>
      </w:pPr>
      <w:r>
        <w:rPr>
          <w:rFonts w:hint="eastAsia" w:ascii="宋体" w:hAnsi="宋体" w:eastAsia="宋体" w:cs="宋体"/>
          <w:b/>
          <w:bCs/>
          <w:color w:val="auto"/>
          <w:sz w:val="120"/>
          <w:szCs w:val="120"/>
          <w:lang w:val="en-US" w:eastAsia="zh-CN"/>
        </w:rPr>
        <w:t>招 标 文 件</w:t>
      </w:r>
    </w:p>
    <w:p w14:paraId="49D33947">
      <w:pPr>
        <w:adjustRightInd w:val="0"/>
        <w:snapToGrid w:val="0"/>
        <w:spacing w:line="360" w:lineRule="auto"/>
        <w:jc w:val="center"/>
        <w:rPr>
          <w:rFonts w:hint="eastAsia" w:ascii="宋体" w:hAnsi="宋体" w:cs="宋体"/>
          <w:color w:val="auto"/>
          <w:sz w:val="24"/>
          <w:highlight w:val="none"/>
        </w:rPr>
      </w:pPr>
    </w:p>
    <w:p w14:paraId="3DE18E34">
      <w:pPr>
        <w:adjustRightInd w:val="0"/>
        <w:snapToGrid w:val="0"/>
        <w:spacing w:line="360" w:lineRule="auto"/>
        <w:jc w:val="center"/>
        <w:rPr>
          <w:rFonts w:hint="eastAsia" w:ascii="宋体" w:hAnsi="宋体" w:cs="宋体"/>
          <w:color w:val="auto"/>
          <w:sz w:val="24"/>
          <w:highlight w:val="none"/>
        </w:rPr>
      </w:pPr>
    </w:p>
    <w:p w14:paraId="555A0E1A">
      <w:pPr>
        <w:adjustRightInd w:val="0"/>
        <w:snapToGrid w:val="0"/>
        <w:spacing w:line="360" w:lineRule="auto"/>
        <w:jc w:val="center"/>
        <w:rPr>
          <w:rFonts w:hint="eastAsia" w:ascii="宋体" w:hAnsi="宋体" w:cs="宋体"/>
          <w:color w:val="auto"/>
          <w:sz w:val="24"/>
          <w:highlight w:val="none"/>
        </w:rPr>
      </w:pPr>
    </w:p>
    <w:p w14:paraId="098EDFDA">
      <w:pPr>
        <w:adjustRightInd w:val="0"/>
        <w:snapToGrid w:val="0"/>
        <w:spacing w:line="360" w:lineRule="auto"/>
        <w:jc w:val="both"/>
        <w:rPr>
          <w:rFonts w:hint="eastAsia" w:ascii="宋体" w:hAnsi="宋体" w:cs="宋体"/>
          <w:color w:val="auto"/>
          <w:sz w:val="24"/>
          <w:highlight w:val="none"/>
        </w:rPr>
      </w:pPr>
    </w:p>
    <w:p w14:paraId="4F1E9271">
      <w:pPr>
        <w:adjustRightInd w:val="0"/>
        <w:snapToGrid w:val="0"/>
        <w:spacing w:line="360" w:lineRule="auto"/>
        <w:jc w:val="center"/>
        <w:rPr>
          <w:rFonts w:hint="eastAsia" w:ascii="宋体" w:hAnsi="宋体" w:cs="宋体"/>
          <w:color w:val="auto"/>
          <w:sz w:val="24"/>
          <w:highlight w:val="none"/>
        </w:rPr>
      </w:pPr>
    </w:p>
    <w:p w14:paraId="6C5E6E17">
      <w:pPr>
        <w:adjustRightInd w:val="0"/>
        <w:snapToGrid w:val="0"/>
        <w:spacing w:line="360" w:lineRule="auto"/>
        <w:jc w:val="center"/>
        <w:rPr>
          <w:rFonts w:hint="eastAsia" w:ascii="宋体" w:hAnsi="宋体" w:cs="宋体"/>
          <w:color w:val="auto"/>
          <w:sz w:val="24"/>
          <w:highlight w:val="none"/>
        </w:rPr>
      </w:pPr>
    </w:p>
    <w:p w14:paraId="74BCDC65">
      <w:pPr>
        <w:adjustRightInd w:val="0"/>
        <w:snapToGrid w:val="0"/>
        <w:spacing w:line="360" w:lineRule="auto"/>
        <w:ind w:firstLine="481" w:firstLineChars="150"/>
        <w:outlineLvl w:val="0"/>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rPr>
        <w:t>采 购 人：</w:t>
      </w:r>
      <w:r>
        <w:rPr>
          <w:rFonts w:hint="eastAsia" w:ascii="宋体" w:hAnsi="宋体" w:cs="宋体"/>
          <w:b/>
          <w:bCs/>
          <w:color w:val="auto"/>
          <w:sz w:val="32"/>
          <w:szCs w:val="32"/>
          <w:highlight w:val="none"/>
          <w:lang w:eastAsia="zh-CN"/>
        </w:rPr>
        <w:t>温宿县水利局</w:t>
      </w:r>
    </w:p>
    <w:p w14:paraId="1C5DBBE8">
      <w:pPr>
        <w:adjustRightInd w:val="0"/>
        <w:snapToGrid w:val="0"/>
        <w:spacing w:line="360" w:lineRule="auto"/>
        <w:ind w:firstLine="481" w:firstLineChars="150"/>
        <w:outlineLvl w:val="0"/>
        <w:rPr>
          <w:rFonts w:hint="default"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cs="宋体"/>
          <w:b/>
          <w:bCs/>
          <w:color w:val="auto"/>
          <w:sz w:val="32"/>
          <w:szCs w:val="32"/>
          <w:highlight w:val="none"/>
        </w:rPr>
        <w:t>招标编号：</w:t>
      </w:r>
      <w:r>
        <w:rPr>
          <w:rFonts w:hint="eastAsia" w:ascii="宋体" w:hAnsi="宋体" w:cs="宋体"/>
          <w:b/>
          <w:bCs/>
          <w:color w:val="000000" w:themeColor="text1"/>
          <w:sz w:val="32"/>
          <w:szCs w:val="32"/>
          <w:highlight w:val="none"/>
          <w:lang w:val="en-US" w:eastAsia="zh-CN"/>
          <w14:textFill>
            <w14:solidFill>
              <w14:schemeClr w14:val="tx1"/>
            </w14:solidFill>
          </w14:textFill>
        </w:rPr>
        <w:t>XJDC</w:t>
      </w:r>
      <w:r>
        <w:rPr>
          <w:rFonts w:hint="eastAsia" w:ascii="宋体" w:hAnsi="宋体" w:cs="宋体"/>
          <w:b/>
          <w:bCs/>
          <w:color w:val="000000" w:themeColor="text1"/>
          <w:sz w:val="32"/>
          <w:szCs w:val="32"/>
          <w:highlight w:val="none"/>
          <w14:textFill>
            <w14:solidFill>
              <w14:schemeClr w14:val="tx1"/>
            </w14:solidFill>
          </w14:textFill>
        </w:rPr>
        <w:t>-</w:t>
      </w:r>
      <w:r>
        <w:rPr>
          <w:rFonts w:hint="eastAsia" w:ascii="宋体" w:hAnsi="宋体" w:cs="宋体"/>
          <w:b/>
          <w:bCs/>
          <w:color w:val="000000" w:themeColor="text1"/>
          <w:sz w:val="32"/>
          <w:szCs w:val="32"/>
          <w:highlight w:val="none"/>
          <w:lang w:val="en-US" w:eastAsia="zh-CN"/>
          <w14:textFill>
            <w14:solidFill>
              <w14:schemeClr w14:val="tx1"/>
            </w14:solidFill>
          </w14:textFill>
        </w:rPr>
        <w:t>(</w:t>
      </w:r>
      <w:r>
        <w:rPr>
          <w:rFonts w:hint="eastAsia" w:ascii="宋体" w:hAnsi="宋体" w:cs="宋体"/>
          <w:b/>
          <w:bCs/>
          <w:color w:val="000000" w:themeColor="text1"/>
          <w:sz w:val="32"/>
          <w:szCs w:val="32"/>
          <w:highlight w:val="none"/>
          <w14:textFill>
            <w14:solidFill>
              <w14:schemeClr w14:val="tx1"/>
            </w14:solidFill>
          </w14:textFill>
        </w:rPr>
        <w:t>2024</w:t>
      </w:r>
      <w:r>
        <w:rPr>
          <w:rFonts w:hint="eastAsia" w:ascii="宋体" w:hAnsi="宋体" w:cs="宋体"/>
          <w:b/>
          <w:bCs/>
          <w:color w:val="000000" w:themeColor="text1"/>
          <w:sz w:val="32"/>
          <w:szCs w:val="32"/>
          <w:highlight w:val="none"/>
          <w:lang w:val="en-US" w:eastAsia="zh-CN"/>
          <w14:textFill>
            <w14:solidFill>
              <w14:schemeClr w14:val="tx1"/>
            </w14:solidFill>
          </w14:textFill>
        </w:rPr>
        <w:t>)</w:t>
      </w:r>
      <w:r>
        <w:rPr>
          <w:rFonts w:hint="eastAsia" w:ascii="宋体" w:hAnsi="宋体" w:cs="宋体"/>
          <w:b/>
          <w:bCs/>
          <w:color w:val="000000" w:themeColor="text1"/>
          <w:sz w:val="32"/>
          <w:szCs w:val="32"/>
          <w:highlight w:val="none"/>
          <w14:textFill>
            <w14:solidFill>
              <w14:schemeClr w14:val="tx1"/>
            </w14:solidFill>
          </w14:textFill>
        </w:rPr>
        <w:t>-</w:t>
      </w:r>
      <w:r>
        <w:rPr>
          <w:rFonts w:hint="eastAsia" w:ascii="宋体" w:hAnsi="宋体" w:cs="宋体"/>
          <w:b/>
          <w:bCs/>
          <w:color w:val="000000" w:themeColor="text1"/>
          <w:sz w:val="32"/>
          <w:szCs w:val="32"/>
          <w:highlight w:val="none"/>
          <w:lang w:val="en-US" w:eastAsia="zh-CN"/>
          <w14:textFill>
            <w14:solidFill>
              <w14:schemeClr w14:val="tx1"/>
            </w14:solidFill>
          </w14:textFill>
        </w:rPr>
        <w:t>CG077</w:t>
      </w:r>
    </w:p>
    <w:p w14:paraId="4AEFE829">
      <w:pPr>
        <w:adjustRightInd w:val="0"/>
        <w:snapToGrid w:val="0"/>
        <w:spacing w:line="360" w:lineRule="auto"/>
        <w:ind w:firstLine="481" w:firstLineChars="150"/>
        <w:outlineLvl w:val="0"/>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rPr>
        <w:t>采购代理机构：</w:t>
      </w:r>
      <w:r>
        <w:rPr>
          <w:rFonts w:hint="eastAsia" w:ascii="宋体" w:hAnsi="宋体" w:cs="宋体"/>
          <w:b/>
          <w:bCs/>
          <w:color w:val="auto"/>
          <w:sz w:val="32"/>
          <w:szCs w:val="32"/>
          <w:highlight w:val="none"/>
          <w:lang w:eastAsia="zh-CN"/>
        </w:rPr>
        <w:t>新疆东晨项目管理有限公司</w:t>
      </w:r>
    </w:p>
    <w:p w14:paraId="01FE0293">
      <w:pPr>
        <w:adjustRightInd w:val="0"/>
        <w:snapToGrid w:val="0"/>
        <w:spacing w:line="360" w:lineRule="auto"/>
        <w:jc w:val="center"/>
        <w:outlineLvl w:val="0"/>
        <w:rPr>
          <w:rFonts w:hint="eastAsia" w:ascii="宋体" w:hAnsi="宋体" w:cs="宋体"/>
          <w:b/>
          <w:bCs/>
          <w:color w:val="auto"/>
          <w:sz w:val="32"/>
          <w:szCs w:val="32"/>
          <w:highlight w:val="none"/>
          <w:lang w:eastAsia="zh-CN"/>
        </w:rPr>
      </w:pPr>
    </w:p>
    <w:p w14:paraId="044AF9DE">
      <w:pPr>
        <w:adjustRightInd w:val="0"/>
        <w:snapToGrid w:val="0"/>
        <w:spacing w:line="360" w:lineRule="auto"/>
        <w:jc w:val="center"/>
        <w:outlineLvl w:val="0"/>
        <w:rPr>
          <w:rFonts w:hint="eastAsia" w:ascii="宋体" w:hAnsi="宋体" w:cs="宋体"/>
          <w:b/>
          <w:bCs/>
          <w:color w:val="auto"/>
          <w:sz w:val="32"/>
          <w:szCs w:val="32"/>
          <w:highlight w:val="none"/>
          <w:lang w:eastAsia="zh-CN"/>
        </w:rPr>
      </w:pPr>
    </w:p>
    <w:p w14:paraId="274057D4">
      <w:pPr>
        <w:adjustRightInd w:val="0"/>
        <w:snapToGrid w:val="0"/>
        <w:spacing w:line="360" w:lineRule="auto"/>
        <w:jc w:val="center"/>
        <w:outlineLvl w:val="0"/>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eastAsia="zh-CN"/>
        </w:rPr>
        <w:t>二〇二四年八月</w:t>
      </w:r>
    </w:p>
    <w:p w14:paraId="6B732754">
      <w:pPr>
        <w:widowControl/>
        <w:spacing w:line="700" w:lineRule="exact"/>
        <w:ind w:left="3630" w:hanging="3638" w:hangingChars="825"/>
        <w:jc w:val="center"/>
        <w:outlineLvl w:val="1"/>
        <w:rPr>
          <w:rFonts w:hint="eastAsia" w:ascii="宋体" w:hAnsi="宋体" w:cs="宋体"/>
          <w:bCs/>
          <w:color w:val="auto"/>
          <w:sz w:val="44"/>
          <w:szCs w:val="44"/>
          <w:highlight w:val="none"/>
        </w:rPr>
      </w:pPr>
    </w:p>
    <w:p w14:paraId="1E14DCF2">
      <w:pPr>
        <w:widowControl/>
        <w:spacing w:line="700" w:lineRule="exact"/>
        <w:ind w:left="3630" w:hanging="3638" w:hangingChars="825"/>
        <w:jc w:val="center"/>
        <w:outlineLvl w:val="1"/>
        <w:rPr>
          <w:rFonts w:hint="eastAsia" w:ascii="宋体" w:hAnsi="宋体" w:cs="宋体"/>
          <w:bCs/>
          <w:color w:val="auto"/>
          <w:sz w:val="44"/>
          <w:szCs w:val="44"/>
          <w:highlight w:val="none"/>
        </w:rPr>
      </w:pPr>
    </w:p>
    <w:p w14:paraId="4AF9263B">
      <w:pPr>
        <w:widowControl/>
        <w:spacing w:line="700" w:lineRule="exact"/>
        <w:ind w:left="3630" w:hanging="3638" w:hangingChars="825"/>
        <w:jc w:val="center"/>
        <w:outlineLvl w:val="1"/>
        <w:rPr>
          <w:rFonts w:ascii="宋体" w:hAnsi="宋体" w:cs="宋体"/>
          <w:bCs/>
          <w:color w:val="auto"/>
          <w:sz w:val="44"/>
          <w:szCs w:val="44"/>
          <w:highlight w:val="none"/>
        </w:rPr>
      </w:pPr>
      <w:r>
        <w:rPr>
          <w:rFonts w:hint="eastAsia" w:ascii="宋体" w:hAnsi="宋体" w:cs="宋体"/>
          <w:bCs/>
          <w:color w:val="auto"/>
          <w:sz w:val="44"/>
          <w:szCs w:val="44"/>
          <w:highlight w:val="none"/>
        </w:rPr>
        <w:t>招标文件</w:t>
      </w:r>
    </w:p>
    <w:p w14:paraId="4FC044A5">
      <w:pPr>
        <w:widowControl/>
        <w:spacing w:line="700" w:lineRule="exact"/>
        <w:jc w:val="left"/>
        <w:rPr>
          <w:rFonts w:ascii="宋体" w:hAnsi="宋体" w:cs="宋体"/>
          <w:bCs/>
          <w:color w:val="auto"/>
          <w:sz w:val="28"/>
          <w:szCs w:val="28"/>
          <w:highlight w:val="none"/>
        </w:rPr>
      </w:pPr>
    </w:p>
    <w:p w14:paraId="0F06B050">
      <w:pPr>
        <w:spacing w:line="600" w:lineRule="exact"/>
        <w:ind w:leftChars="300"/>
        <w:outlineLvl w:val="1"/>
        <w:rPr>
          <w:rFonts w:hint="eastAsia" w:ascii="宋体" w:hAnsi="宋体" w:cs="宋体"/>
          <w:bCs/>
          <w:color w:val="auto"/>
          <w:sz w:val="28"/>
          <w:szCs w:val="28"/>
          <w:highlight w:val="none"/>
        </w:rPr>
      </w:pPr>
      <w:r>
        <w:rPr>
          <w:rFonts w:hint="eastAsia" w:ascii="宋体" w:hAnsi="宋体" w:cs="宋体"/>
          <w:bCs/>
          <w:color w:val="auto"/>
          <w:sz w:val="28"/>
          <w:szCs w:val="28"/>
          <w:highlight w:val="none"/>
          <w:lang w:eastAsia="zh-CN"/>
        </w:rPr>
        <w:t>项目</w:t>
      </w:r>
      <w:r>
        <w:rPr>
          <w:rFonts w:hint="eastAsia" w:ascii="宋体" w:hAnsi="宋体" w:cs="宋体"/>
          <w:bCs/>
          <w:color w:val="auto"/>
          <w:sz w:val="28"/>
          <w:szCs w:val="28"/>
          <w:highlight w:val="none"/>
        </w:rPr>
        <w:t>名称：</w:t>
      </w:r>
      <w:r>
        <w:rPr>
          <w:rFonts w:hint="eastAsia" w:ascii="宋体" w:hAnsi="宋体" w:cs="宋体"/>
          <w:bCs/>
          <w:color w:val="auto"/>
          <w:sz w:val="28"/>
          <w:szCs w:val="28"/>
          <w:highlight w:val="none"/>
          <w:lang w:eastAsia="zh-CN"/>
        </w:rPr>
        <w:t>2024年防洪物资采购</w:t>
      </w:r>
      <w:r>
        <w:rPr>
          <w:rFonts w:hint="eastAsia" w:ascii="宋体" w:hAnsi="宋体" w:cs="宋体"/>
          <w:bCs/>
          <w:color w:val="auto"/>
          <w:sz w:val="28"/>
          <w:szCs w:val="28"/>
          <w:highlight w:val="none"/>
        </w:rPr>
        <w:t xml:space="preserve">    </w:t>
      </w:r>
    </w:p>
    <w:p w14:paraId="6CF19B49">
      <w:pPr>
        <w:spacing w:line="600" w:lineRule="exact"/>
        <w:ind w:leftChars="300"/>
        <w:outlineLvl w:val="1"/>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rPr>
        <w:t>招标人（公章）：</w:t>
      </w:r>
      <w:r>
        <w:rPr>
          <w:rFonts w:hint="eastAsia" w:ascii="宋体" w:hAnsi="宋体" w:cs="宋体"/>
          <w:bCs/>
          <w:color w:val="auto"/>
          <w:sz w:val="28"/>
          <w:szCs w:val="28"/>
          <w:highlight w:val="none"/>
          <w:lang w:eastAsia="zh-CN"/>
        </w:rPr>
        <w:t>温宿县水利局</w:t>
      </w:r>
    </w:p>
    <w:p w14:paraId="7CDFC2ED">
      <w:pPr>
        <w:spacing w:line="600" w:lineRule="exact"/>
        <w:outlineLvl w:val="1"/>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    法定代表人（签章）： </w:t>
      </w:r>
    </w:p>
    <w:p w14:paraId="69C753AC">
      <w:pPr>
        <w:spacing w:line="600" w:lineRule="exact"/>
        <w:outlineLvl w:val="1"/>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    联系人：</w:t>
      </w:r>
      <w:r>
        <w:rPr>
          <w:rFonts w:hint="eastAsia" w:ascii="宋体" w:hAnsi="宋体" w:cs="宋体"/>
          <w:bCs/>
          <w:color w:val="auto"/>
          <w:sz w:val="28"/>
          <w:szCs w:val="28"/>
          <w:highlight w:val="none"/>
          <w:lang w:val="en-US" w:eastAsia="zh-CN"/>
        </w:rPr>
        <w:t>陈蕾</w:t>
      </w:r>
    </w:p>
    <w:p w14:paraId="171B063E">
      <w:pPr>
        <w:spacing w:line="600" w:lineRule="exact"/>
        <w:ind w:firstLine="549" w:firstLineChars="196"/>
        <w:outlineLvl w:val="1"/>
        <w:rPr>
          <w:rFonts w:hint="default" w:ascii="宋体" w:hAnsi="宋体" w:cs="宋体"/>
          <w:bCs/>
          <w:color w:val="auto"/>
          <w:sz w:val="28"/>
          <w:szCs w:val="28"/>
          <w:highlight w:val="none"/>
          <w:lang w:val="en-US"/>
        </w:rPr>
      </w:pPr>
      <w:r>
        <w:rPr>
          <w:rFonts w:hint="eastAsia" w:ascii="宋体" w:hAnsi="宋体" w:cs="宋体"/>
          <w:bCs/>
          <w:color w:val="auto"/>
          <w:sz w:val="28"/>
          <w:szCs w:val="28"/>
          <w:highlight w:val="none"/>
        </w:rPr>
        <w:t>联系电话：</w:t>
      </w:r>
      <w:r>
        <w:rPr>
          <w:rFonts w:hint="eastAsia" w:ascii="宋体" w:hAnsi="宋体" w:cs="宋体"/>
          <w:bCs/>
          <w:color w:val="auto"/>
          <w:sz w:val="28"/>
          <w:szCs w:val="28"/>
          <w:highlight w:val="none"/>
          <w:lang w:val="en-US" w:eastAsia="zh-CN"/>
        </w:rPr>
        <w:t>13779408468</w:t>
      </w:r>
    </w:p>
    <w:p w14:paraId="678509E7">
      <w:pPr>
        <w:spacing w:line="480" w:lineRule="exact"/>
        <w:rPr>
          <w:rFonts w:ascii="宋体" w:hAnsi="宋体" w:cs="宋体"/>
          <w:bCs/>
          <w:color w:val="auto"/>
          <w:sz w:val="28"/>
          <w:szCs w:val="28"/>
          <w:highlight w:val="none"/>
        </w:rPr>
      </w:pPr>
    </w:p>
    <w:p w14:paraId="70DF4589">
      <w:pPr>
        <w:spacing w:line="480" w:lineRule="exact"/>
        <w:rPr>
          <w:rFonts w:ascii="宋体" w:hAnsi="宋体" w:cs="宋体"/>
          <w:bCs/>
          <w:color w:val="auto"/>
          <w:sz w:val="28"/>
          <w:szCs w:val="28"/>
          <w:highlight w:val="none"/>
        </w:rPr>
      </w:pPr>
    </w:p>
    <w:p w14:paraId="1A3C33F1">
      <w:pPr>
        <w:spacing w:line="480" w:lineRule="exact"/>
        <w:rPr>
          <w:rFonts w:ascii="宋体" w:hAnsi="宋体" w:cs="宋体"/>
          <w:bCs/>
          <w:color w:val="auto"/>
          <w:sz w:val="28"/>
          <w:szCs w:val="28"/>
          <w:highlight w:val="none"/>
        </w:rPr>
      </w:pPr>
    </w:p>
    <w:p w14:paraId="7F1510BD">
      <w:pPr>
        <w:spacing w:line="480" w:lineRule="exact"/>
        <w:rPr>
          <w:rFonts w:ascii="宋体" w:hAnsi="宋体" w:cs="宋体"/>
          <w:bCs/>
          <w:color w:val="auto"/>
          <w:sz w:val="28"/>
          <w:szCs w:val="28"/>
          <w:highlight w:val="none"/>
        </w:rPr>
      </w:pPr>
    </w:p>
    <w:p w14:paraId="040D8384">
      <w:pPr>
        <w:spacing w:line="600" w:lineRule="exact"/>
        <w:outlineLvl w:val="1"/>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rPr>
        <w:t xml:space="preserve">    招标代理机构（公章）：</w:t>
      </w:r>
      <w:r>
        <w:rPr>
          <w:rFonts w:hint="eastAsia" w:ascii="宋体" w:hAnsi="宋体" w:cs="宋体"/>
          <w:bCs/>
          <w:color w:val="auto"/>
          <w:sz w:val="28"/>
          <w:szCs w:val="28"/>
          <w:highlight w:val="none"/>
          <w:lang w:eastAsia="zh-CN"/>
        </w:rPr>
        <w:t>新疆东晨项目管理有限公司</w:t>
      </w:r>
    </w:p>
    <w:p w14:paraId="013AFAC2">
      <w:pPr>
        <w:spacing w:line="600" w:lineRule="exact"/>
        <w:ind w:firstLine="560"/>
        <w:outlineLvl w:val="1"/>
        <w:rPr>
          <w:rFonts w:ascii="宋体" w:hAnsi="宋体" w:cs="宋体"/>
          <w:bCs/>
          <w:color w:val="auto"/>
          <w:sz w:val="28"/>
          <w:szCs w:val="28"/>
          <w:highlight w:val="none"/>
        </w:rPr>
      </w:pPr>
      <w:r>
        <w:rPr>
          <w:rFonts w:hint="eastAsia" w:ascii="宋体" w:hAnsi="宋体" w:cs="宋体"/>
          <w:bCs/>
          <w:color w:val="auto"/>
          <w:sz w:val="28"/>
          <w:szCs w:val="28"/>
          <w:highlight w:val="none"/>
        </w:rPr>
        <w:t>法定代表人（签章）：</w:t>
      </w:r>
    </w:p>
    <w:p w14:paraId="75D08055">
      <w:pPr>
        <w:spacing w:line="600" w:lineRule="exact"/>
        <w:outlineLvl w:val="1"/>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rPr>
        <w:t xml:space="preserve">    联系人：</w:t>
      </w:r>
      <w:r>
        <w:rPr>
          <w:rFonts w:hint="eastAsia" w:ascii="宋体" w:hAnsi="宋体" w:cs="宋体"/>
          <w:bCs/>
          <w:color w:val="auto"/>
          <w:sz w:val="28"/>
          <w:szCs w:val="28"/>
          <w:highlight w:val="none"/>
          <w:lang w:eastAsia="zh-CN"/>
        </w:rPr>
        <w:t>胡可可</w:t>
      </w:r>
    </w:p>
    <w:p w14:paraId="029EED90">
      <w:pPr>
        <w:spacing w:line="600" w:lineRule="exact"/>
        <w:outlineLvl w:val="1"/>
        <w:rPr>
          <w:rFonts w:hint="default"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 xml:space="preserve">    联系电话：</w:t>
      </w:r>
      <w:r>
        <w:rPr>
          <w:rFonts w:hint="eastAsia" w:ascii="宋体" w:hAnsi="宋体" w:cs="宋体"/>
          <w:bCs/>
          <w:color w:val="auto"/>
          <w:sz w:val="28"/>
          <w:szCs w:val="28"/>
          <w:highlight w:val="none"/>
          <w:lang w:val="en-US" w:eastAsia="zh-CN"/>
        </w:rPr>
        <w:t>18399572921</w:t>
      </w:r>
    </w:p>
    <w:p w14:paraId="50434F57">
      <w:pPr>
        <w:spacing w:line="600" w:lineRule="exact"/>
        <w:ind w:left="561" w:leftChars="266" w:firstLine="0" w:firstLineChars="0"/>
        <w:outlineLvl w:val="1"/>
        <w:rPr>
          <w:rFonts w:hint="default"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联系地址：</w:t>
      </w:r>
      <w:r>
        <w:rPr>
          <w:rFonts w:hint="eastAsia" w:ascii="宋体" w:hAnsi="宋体" w:cs="宋体"/>
          <w:bCs/>
          <w:color w:val="auto"/>
          <w:sz w:val="28"/>
          <w:szCs w:val="28"/>
          <w:highlight w:val="none"/>
          <w:lang w:val="en-US" w:eastAsia="zh-CN"/>
        </w:rPr>
        <w:t>新疆阿克苏地区阿克苏市兰干街道朝阳社区解放北路25号新雕城市广场4号写字楼1901-6室</w:t>
      </w:r>
    </w:p>
    <w:p w14:paraId="243B2CA6">
      <w:pPr>
        <w:spacing w:line="600" w:lineRule="exact"/>
        <w:rPr>
          <w:rFonts w:ascii="宋体" w:hAnsi="宋体" w:cs="宋体"/>
          <w:bCs/>
          <w:color w:val="auto"/>
          <w:sz w:val="28"/>
          <w:szCs w:val="28"/>
          <w:highlight w:val="none"/>
        </w:rPr>
      </w:pPr>
    </w:p>
    <w:p w14:paraId="7BA37FCC">
      <w:pPr>
        <w:spacing w:line="600" w:lineRule="exact"/>
        <w:rPr>
          <w:rFonts w:ascii="宋体" w:hAnsi="宋体" w:cs="宋体"/>
          <w:bCs/>
          <w:color w:val="auto"/>
          <w:sz w:val="28"/>
          <w:szCs w:val="28"/>
          <w:highlight w:val="none"/>
        </w:rPr>
      </w:pPr>
    </w:p>
    <w:p w14:paraId="31AA3B10">
      <w:pPr>
        <w:spacing w:line="600" w:lineRule="exact"/>
        <w:ind w:firstLine="3934" w:firstLineChars="1400"/>
        <w:jc w:val="both"/>
        <w:rPr>
          <w:rFonts w:hint="eastAsia" w:ascii="宋体" w:hAnsi="宋体" w:cs="宋体"/>
          <w:bCs/>
          <w:color w:val="auto"/>
          <w:sz w:val="28"/>
          <w:szCs w:val="28"/>
          <w:highlight w:val="none"/>
          <w:lang w:val="en-US" w:eastAsia="zh-CN"/>
        </w:rPr>
      </w:pPr>
    </w:p>
    <w:p w14:paraId="2961E767">
      <w:pPr>
        <w:spacing w:line="600" w:lineRule="exact"/>
        <w:ind w:firstLine="3934" w:firstLineChars="1400"/>
        <w:jc w:val="both"/>
        <w:rPr>
          <w:rFonts w:hint="default"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二〇二四年八月</w:t>
      </w:r>
    </w:p>
    <w:p w14:paraId="3269793D">
      <w:pPr>
        <w:pStyle w:val="12"/>
        <w:keepNext/>
        <w:pageBreakBefore/>
        <w:tabs>
          <w:tab w:val="right" w:leader="dot" w:pos="9354"/>
        </w:tabs>
        <w:spacing w:line="360" w:lineRule="auto"/>
        <w:jc w:val="center"/>
        <w:outlineLvl w:val="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目录</w:t>
      </w:r>
    </w:p>
    <w:p w14:paraId="48D1D2D1">
      <w:pPr>
        <w:pStyle w:val="6"/>
        <w:spacing w:line="360" w:lineRule="auto"/>
        <w:rPr>
          <w:rFonts w:hint="eastAsia"/>
          <w:color w:val="auto"/>
          <w:highlight w:val="none"/>
        </w:rPr>
      </w:pPr>
    </w:p>
    <w:p w14:paraId="1E5A6EEF">
      <w:pPr>
        <w:pStyle w:val="12"/>
        <w:tabs>
          <w:tab w:val="right" w:leader="dot" w:pos="9746"/>
        </w:tabs>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_Toc13366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第一章 招标公告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t>1</w:t>
      </w:r>
      <w:r>
        <w:rPr>
          <w:rFonts w:hint="eastAsia" w:ascii="宋体" w:hAnsi="宋体" w:cs="宋体"/>
          <w:color w:val="auto"/>
          <w:sz w:val="28"/>
          <w:szCs w:val="28"/>
          <w:highlight w:val="none"/>
        </w:rPr>
        <w:fldChar w:fldCharType="end"/>
      </w:r>
    </w:p>
    <w:p w14:paraId="382693BB">
      <w:pPr>
        <w:pStyle w:val="12"/>
        <w:tabs>
          <w:tab w:val="right" w:leader="dot" w:pos="9746"/>
        </w:tabs>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_Toc5463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第二章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_Toc5463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3776517">
      <w:pPr>
        <w:pStyle w:val="12"/>
        <w:tabs>
          <w:tab w:val="right" w:leader="dot" w:pos="9746"/>
        </w:tabs>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_Toc7110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第三章 合同条款</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_Toc7110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4CF090EA">
      <w:pPr>
        <w:pStyle w:val="12"/>
        <w:tabs>
          <w:tab w:val="right" w:leader="dot" w:pos="9746"/>
        </w:tabs>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_Toc27253 </w:instrText>
      </w:r>
      <w:r>
        <w:rPr>
          <w:rFonts w:hint="eastAsia" w:ascii="宋体" w:hAnsi="宋体" w:cs="宋体"/>
          <w:color w:val="auto"/>
          <w:sz w:val="28"/>
          <w:szCs w:val="28"/>
          <w:highlight w:val="none"/>
        </w:rPr>
        <w:fldChar w:fldCharType="separate"/>
      </w:r>
      <w:r>
        <w:rPr>
          <w:rFonts w:hint="eastAsia" w:ascii="宋体" w:hAnsi="宋体" w:cs="宋体"/>
          <w:bCs/>
          <w:color w:val="auto"/>
          <w:sz w:val="28"/>
          <w:szCs w:val="28"/>
          <w:highlight w:val="none"/>
        </w:rPr>
        <w:t>第四章 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_Toc27253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E45B738">
      <w:pPr>
        <w:pStyle w:val="12"/>
        <w:tabs>
          <w:tab w:val="right" w:leader="dot" w:pos="9746"/>
        </w:tabs>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_Toc31265 </w:instrText>
      </w:r>
      <w:r>
        <w:rPr>
          <w:rFonts w:hint="eastAsia" w:ascii="宋体" w:hAnsi="宋体" w:cs="宋体"/>
          <w:color w:val="auto"/>
          <w:sz w:val="28"/>
          <w:szCs w:val="28"/>
          <w:highlight w:val="none"/>
        </w:rPr>
        <w:fldChar w:fldCharType="separate"/>
      </w:r>
      <w:r>
        <w:rPr>
          <w:rFonts w:hint="eastAsia" w:ascii="宋体" w:hAnsi="宋体" w:cs="宋体"/>
          <w:bCs/>
          <w:color w:val="auto"/>
          <w:sz w:val="28"/>
          <w:szCs w:val="28"/>
          <w:highlight w:val="none"/>
        </w:rPr>
        <w:t>第五章 投标文件格式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_Toc31265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6F013FA4">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end"/>
      </w:r>
    </w:p>
    <w:p w14:paraId="2FBF1FEA">
      <w:pPr>
        <w:pStyle w:val="7"/>
        <w:rPr>
          <w:rFonts w:hint="eastAsia" w:ascii="宋体" w:hAnsi="宋体" w:cs="宋体"/>
          <w:color w:val="auto"/>
          <w:sz w:val="28"/>
          <w:szCs w:val="28"/>
          <w:highlight w:val="none"/>
        </w:rPr>
      </w:pPr>
    </w:p>
    <w:p w14:paraId="5D36E04F">
      <w:pPr>
        <w:rPr>
          <w:rFonts w:hint="eastAsia" w:ascii="宋体" w:hAnsi="宋体" w:cs="宋体"/>
          <w:color w:val="auto"/>
          <w:sz w:val="28"/>
          <w:szCs w:val="28"/>
          <w:highlight w:val="none"/>
        </w:rPr>
      </w:pPr>
    </w:p>
    <w:p w14:paraId="3E5DB343">
      <w:pPr>
        <w:pStyle w:val="7"/>
        <w:rPr>
          <w:rFonts w:hint="eastAsia" w:ascii="宋体" w:hAnsi="宋体" w:cs="宋体"/>
          <w:color w:val="auto"/>
          <w:sz w:val="28"/>
          <w:szCs w:val="28"/>
          <w:highlight w:val="none"/>
        </w:rPr>
      </w:pPr>
    </w:p>
    <w:p w14:paraId="3D325A87">
      <w:pPr>
        <w:rPr>
          <w:rFonts w:hint="eastAsia" w:ascii="宋体" w:hAnsi="宋体" w:cs="宋体"/>
          <w:color w:val="auto"/>
          <w:sz w:val="28"/>
          <w:szCs w:val="28"/>
          <w:highlight w:val="none"/>
        </w:rPr>
      </w:pPr>
    </w:p>
    <w:p w14:paraId="189E85D2">
      <w:pPr>
        <w:pStyle w:val="7"/>
        <w:rPr>
          <w:rFonts w:hint="eastAsia" w:ascii="宋体" w:hAnsi="宋体" w:cs="宋体"/>
          <w:color w:val="auto"/>
          <w:sz w:val="28"/>
          <w:szCs w:val="28"/>
          <w:highlight w:val="none"/>
        </w:rPr>
      </w:pPr>
    </w:p>
    <w:p w14:paraId="1A3162BE">
      <w:pPr>
        <w:rPr>
          <w:rFonts w:hint="eastAsia" w:ascii="宋体" w:hAnsi="宋体" w:cs="宋体"/>
          <w:color w:val="auto"/>
          <w:sz w:val="28"/>
          <w:szCs w:val="28"/>
          <w:highlight w:val="none"/>
        </w:rPr>
      </w:pPr>
    </w:p>
    <w:p w14:paraId="47DBAF69">
      <w:pPr>
        <w:pStyle w:val="7"/>
        <w:rPr>
          <w:rFonts w:hint="eastAsia" w:ascii="宋体" w:hAnsi="宋体" w:cs="宋体"/>
          <w:color w:val="auto"/>
          <w:sz w:val="28"/>
          <w:szCs w:val="28"/>
          <w:highlight w:val="none"/>
        </w:rPr>
      </w:pPr>
    </w:p>
    <w:p w14:paraId="1F6019C6">
      <w:pPr>
        <w:rPr>
          <w:rFonts w:hint="eastAsia" w:ascii="宋体" w:hAnsi="宋体" w:cs="宋体"/>
          <w:color w:val="auto"/>
          <w:sz w:val="28"/>
          <w:szCs w:val="28"/>
          <w:highlight w:val="none"/>
        </w:rPr>
      </w:pPr>
    </w:p>
    <w:p w14:paraId="65465A17">
      <w:pPr>
        <w:pStyle w:val="7"/>
        <w:rPr>
          <w:rFonts w:hint="eastAsia" w:ascii="宋体" w:hAnsi="宋体" w:cs="宋体"/>
          <w:color w:val="auto"/>
          <w:sz w:val="28"/>
          <w:szCs w:val="28"/>
          <w:highlight w:val="none"/>
        </w:rPr>
      </w:pPr>
    </w:p>
    <w:p w14:paraId="11F235C4">
      <w:pPr>
        <w:rPr>
          <w:rFonts w:hint="eastAsia" w:ascii="宋体" w:hAnsi="宋体" w:cs="宋体"/>
          <w:color w:val="auto"/>
          <w:sz w:val="28"/>
          <w:szCs w:val="28"/>
          <w:highlight w:val="none"/>
        </w:rPr>
      </w:pPr>
    </w:p>
    <w:p w14:paraId="443CB486">
      <w:pPr>
        <w:pStyle w:val="7"/>
        <w:rPr>
          <w:rFonts w:hint="eastAsia" w:ascii="宋体" w:hAnsi="宋体" w:cs="宋体"/>
          <w:color w:val="auto"/>
          <w:sz w:val="28"/>
          <w:szCs w:val="28"/>
          <w:highlight w:val="none"/>
        </w:rPr>
      </w:pPr>
    </w:p>
    <w:p w14:paraId="3B1E58E5">
      <w:pPr>
        <w:rPr>
          <w:rFonts w:hint="eastAsia"/>
          <w:color w:val="auto"/>
        </w:rPr>
      </w:pPr>
    </w:p>
    <w:p w14:paraId="06018B8E">
      <w:pPr>
        <w:pStyle w:val="2"/>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8"/>
          <w:szCs w:val="28"/>
        </w:rPr>
      </w:pPr>
      <w:r>
        <w:rPr>
          <w:rFonts w:hint="eastAsia" w:cs="Times New Roman"/>
          <w:color w:val="auto"/>
          <w:lang w:val="en-US" w:eastAsia="zh-CN"/>
        </w:rPr>
        <w:t>2024年防洪物资采购</w:t>
      </w:r>
      <w:r>
        <w:rPr>
          <w:rFonts w:hint="eastAsia"/>
          <w:color w:val="auto"/>
          <w:lang w:val="en-US" w:eastAsia="zh-CN"/>
        </w:rPr>
        <w:t>招标</w:t>
      </w:r>
      <w:r>
        <w:rPr>
          <w:rFonts w:hint="eastAsia"/>
          <w:color w:val="auto"/>
          <w:lang w:eastAsia="zh-CN"/>
        </w:rPr>
        <w:t>公告</w:t>
      </w:r>
    </w:p>
    <w:p w14:paraId="7C7C373A">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项目概况</w:t>
      </w:r>
    </w:p>
    <w:p w14:paraId="372D7973">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lang w:val="en-US" w:eastAsia="zh-CN"/>
        </w:rPr>
        <w:t>2024年防洪物资采购</w:t>
      </w:r>
      <w:r>
        <w:rPr>
          <w:rFonts w:hint="eastAsia" w:ascii="宋体" w:hAnsi="宋体" w:eastAsia="宋体" w:cs="宋体"/>
          <w:color w:val="auto"/>
          <w:sz w:val="28"/>
          <w:szCs w:val="28"/>
          <w:lang w:val="en-US" w:eastAsia="zh-CN"/>
        </w:rPr>
        <w:t>的潜在供应商应在政采云平台获取采购文件，并于</w:t>
      </w:r>
      <w:r>
        <w:rPr>
          <w:rFonts w:hint="eastAsia" w:ascii="宋体" w:hAnsi="宋体" w:cs="宋体"/>
          <w:color w:val="auto"/>
          <w:sz w:val="28"/>
          <w:szCs w:val="28"/>
          <w:lang w:val="en-US" w:eastAsia="zh-CN"/>
        </w:rPr>
        <w:t>2024</w:t>
      </w:r>
      <w:r>
        <w:rPr>
          <w:rFonts w:hint="eastAsia" w:ascii="宋体" w:hAnsi="宋体" w:cs="宋体"/>
          <w:color w:val="auto"/>
          <w:sz w:val="28"/>
          <w:szCs w:val="28"/>
          <w:highlight w:val="none"/>
          <w:lang w:val="en-US" w:eastAsia="zh-CN"/>
        </w:rPr>
        <w:t>年09月04日</w:t>
      </w:r>
      <w:r>
        <w:rPr>
          <w:rFonts w:hint="eastAsia" w:ascii="宋体" w:hAnsi="宋体" w:eastAsia="宋体" w:cs="宋体"/>
          <w:color w:val="auto"/>
          <w:sz w:val="28"/>
          <w:szCs w:val="28"/>
          <w:highlight w:val="none"/>
          <w:lang w:val="en-US" w:eastAsia="zh-CN"/>
        </w:rPr>
        <w:t>11:00（北京时间）前提交投标文件。</w:t>
      </w:r>
    </w:p>
    <w:p w14:paraId="69B21955">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一、项目基本情况</w:t>
      </w:r>
    </w:p>
    <w:p w14:paraId="5CE1DF1C">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项目编号：</w:t>
      </w:r>
      <w:r>
        <w:rPr>
          <w:rFonts w:hint="eastAsia" w:ascii="宋体" w:hAnsi="宋体" w:cs="宋体"/>
          <w:color w:val="000000" w:themeColor="text1"/>
          <w:sz w:val="28"/>
          <w:szCs w:val="28"/>
          <w:highlight w:val="none"/>
          <w:lang w:eastAsia="zh-CN"/>
          <w14:textFill>
            <w14:solidFill>
              <w14:schemeClr w14:val="tx1"/>
            </w14:solidFill>
          </w14:textFill>
        </w:rPr>
        <w:t>XJDC-(2024)-CG077</w:t>
      </w:r>
    </w:p>
    <w:p w14:paraId="22B738FE">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项目名称：</w:t>
      </w:r>
      <w:r>
        <w:rPr>
          <w:rFonts w:hint="eastAsia" w:ascii="宋体" w:hAnsi="宋体" w:cs="宋体"/>
          <w:color w:val="auto"/>
          <w:spacing w:val="-6"/>
          <w:sz w:val="28"/>
          <w:szCs w:val="28"/>
          <w:highlight w:val="none"/>
          <w:lang w:val="en-US" w:eastAsia="zh-CN"/>
        </w:rPr>
        <w:t>2024年防洪物资采购</w:t>
      </w:r>
      <w:r>
        <w:rPr>
          <w:rFonts w:hint="eastAsia" w:ascii="宋体" w:hAnsi="宋体" w:eastAsia="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p>
    <w:p w14:paraId="62CD8C5E">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采购方式：</w:t>
      </w:r>
      <w:r>
        <w:rPr>
          <w:rFonts w:hint="eastAsia" w:ascii="宋体" w:hAnsi="宋体" w:cs="宋体"/>
          <w:color w:val="auto"/>
          <w:sz w:val="28"/>
          <w:szCs w:val="28"/>
          <w:highlight w:val="none"/>
          <w:lang w:eastAsia="zh-CN"/>
        </w:rPr>
        <w:t>公开招标</w:t>
      </w:r>
    </w:p>
    <w:p w14:paraId="18DDE973">
      <w:pPr>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预算金额（元）：</w:t>
      </w:r>
      <w:r>
        <w:rPr>
          <w:rFonts w:hint="eastAsia" w:ascii="宋体" w:hAnsi="宋体" w:cs="宋体"/>
          <w:color w:val="auto"/>
          <w:sz w:val="28"/>
          <w:szCs w:val="28"/>
          <w:highlight w:val="none"/>
          <w:lang w:val="en-US" w:eastAsia="zh-CN"/>
        </w:rPr>
        <w:t>1500000.00</w:t>
      </w:r>
    </w:p>
    <w:p w14:paraId="6E8E908E">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最高限价（元）：</w:t>
      </w:r>
      <w:r>
        <w:rPr>
          <w:rFonts w:hint="eastAsia" w:ascii="宋体" w:hAnsi="宋体" w:cs="宋体"/>
          <w:color w:val="auto"/>
          <w:sz w:val="28"/>
          <w:szCs w:val="28"/>
          <w:highlight w:val="none"/>
          <w:lang w:val="en-US" w:eastAsia="zh-CN"/>
        </w:rPr>
        <w:t>1500000.00</w:t>
      </w:r>
    </w:p>
    <w:p w14:paraId="2A705140">
      <w:pPr>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采购需求：</w:t>
      </w:r>
    </w:p>
    <w:p w14:paraId="41838E7B">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cs="宋体"/>
          <w:color w:val="auto"/>
          <w:sz w:val="28"/>
          <w:szCs w:val="28"/>
          <w:highlight w:val="none"/>
          <w:lang w:val="en-US" w:eastAsia="zh-CN"/>
        </w:rPr>
      </w:pPr>
      <w:r>
        <w:rPr>
          <w:rFonts w:hint="eastAsia" w:ascii="宋体" w:hAnsi="宋体" w:eastAsia="宋体" w:cs="宋体"/>
          <w:color w:val="auto"/>
          <w:sz w:val="28"/>
          <w:szCs w:val="28"/>
          <w:highlight w:val="none"/>
        </w:rPr>
        <w:t>标项名称:</w:t>
      </w:r>
      <w:r>
        <w:rPr>
          <w:rFonts w:hint="eastAsia" w:ascii="宋体" w:hAnsi="宋体" w:cs="宋体"/>
          <w:color w:val="auto"/>
          <w:sz w:val="28"/>
          <w:szCs w:val="28"/>
          <w:highlight w:val="none"/>
          <w:lang w:val="en-US" w:eastAsia="zh-CN"/>
        </w:rPr>
        <w:t>2024年防洪物资采购</w:t>
      </w:r>
      <w:r>
        <w:rPr>
          <w:rFonts w:hint="eastAsia" w:ascii="宋体" w:hAnsi="宋体" w:eastAsia="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p>
    <w:p w14:paraId="4DB4F43C">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数量:</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 </w:t>
      </w:r>
    </w:p>
    <w:p w14:paraId="12D47BEA">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单位：</w:t>
      </w:r>
      <w:r>
        <w:rPr>
          <w:rFonts w:hint="eastAsia" w:ascii="宋体" w:hAnsi="宋体" w:cs="宋体"/>
          <w:color w:val="auto"/>
          <w:sz w:val="28"/>
          <w:szCs w:val="28"/>
          <w:highlight w:val="none"/>
          <w:lang w:eastAsia="zh-CN"/>
        </w:rPr>
        <w:t>批</w:t>
      </w:r>
      <w:r>
        <w:rPr>
          <w:rFonts w:hint="eastAsia" w:ascii="宋体" w:hAnsi="宋体" w:eastAsia="宋体" w:cs="宋体"/>
          <w:color w:val="auto"/>
          <w:sz w:val="28"/>
          <w:szCs w:val="28"/>
          <w:highlight w:val="none"/>
        </w:rPr>
        <w:t> </w:t>
      </w:r>
    </w:p>
    <w:p w14:paraId="4ED9A7D3">
      <w:pPr>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简要规格描述：</w:t>
      </w:r>
      <w:r>
        <w:rPr>
          <w:rFonts w:hint="eastAsia" w:ascii="宋体" w:hAnsi="宋体" w:cs="宋体"/>
          <w:color w:val="auto"/>
          <w:sz w:val="28"/>
          <w:szCs w:val="28"/>
          <w:highlight w:val="none"/>
          <w:lang w:val="en-US" w:eastAsia="zh-CN"/>
        </w:rPr>
        <w:t>采购一批块石（</w:t>
      </w:r>
      <w:r>
        <w:rPr>
          <w:rFonts w:hint="eastAsia" w:ascii="宋体" w:hAnsi="宋体" w:eastAsia="宋体" w:cs="宋体"/>
          <w:color w:val="auto"/>
          <w:sz w:val="28"/>
          <w:szCs w:val="28"/>
          <w:highlight w:val="none"/>
          <w:lang w:eastAsia="zh-CN"/>
        </w:rPr>
        <w:t>详见采购清单</w:t>
      </w:r>
      <w:r>
        <w:rPr>
          <w:rFonts w:hint="eastAsia" w:ascii="宋体" w:hAnsi="宋体" w:cs="宋体"/>
          <w:color w:val="auto"/>
          <w:sz w:val="28"/>
          <w:szCs w:val="28"/>
          <w:highlight w:val="none"/>
          <w:lang w:val="en-US" w:eastAsia="zh-CN"/>
        </w:rPr>
        <w:t>）</w:t>
      </w:r>
    </w:p>
    <w:p w14:paraId="16667030">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合同履约期限：</w:t>
      </w:r>
      <w:r>
        <w:rPr>
          <w:rFonts w:hint="eastAsia" w:ascii="宋体" w:hAnsi="宋体" w:eastAsia="宋体" w:cs="宋体"/>
          <w:color w:val="000000" w:themeColor="text1"/>
          <w:sz w:val="28"/>
          <w:szCs w:val="28"/>
          <w:highlight w:val="none"/>
          <w:lang w:val="en-US" w:eastAsia="zh-CN"/>
          <w14:textFill>
            <w14:solidFill>
              <w14:schemeClr w14:val="tx1"/>
            </w14:solidFill>
          </w14:textFill>
        </w:rPr>
        <w:t>合同签订后</w:t>
      </w:r>
      <w:r>
        <w:rPr>
          <w:rFonts w:hint="eastAsia" w:ascii="宋体" w:hAnsi="宋体" w:cs="宋体"/>
          <w:color w:val="000000" w:themeColor="text1"/>
          <w:sz w:val="28"/>
          <w:szCs w:val="28"/>
          <w:highlight w:val="none"/>
          <w:lang w:val="en-US" w:eastAsia="zh-CN"/>
          <w14:textFill>
            <w14:solidFill>
              <w14:schemeClr w14:val="tx1"/>
            </w14:solidFill>
          </w14:textFill>
        </w:rPr>
        <w:t>15</w:t>
      </w:r>
      <w:r>
        <w:rPr>
          <w:rFonts w:hint="eastAsia" w:ascii="宋体" w:hAnsi="宋体" w:eastAsia="宋体" w:cs="宋体"/>
          <w:color w:val="000000" w:themeColor="text1"/>
          <w:sz w:val="28"/>
          <w:szCs w:val="28"/>
          <w:highlight w:val="none"/>
          <w:lang w:val="en-US" w:eastAsia="zh-CN"/>
          <w14:textFill>
            <w14:solidFill>
              <w14:schemeClr w14:val="tx1"/>
            </w14:solidFill>
          </w14:textFill>
        </w:rPr>
        <w:t>天内备货完毕，根据招标人需求按时送达至指定地点。</w:t>
      </w:r>
    </w:p>
    <w:p w14:paraId="25F26B19">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本项目</w:t>
      </w:r>
      <w:r>
        <w:rPr>
          <w:rFonts w:hint="eastAsia" w:ascii="宋体" w:hAnsi="宋体" w:cs="宋体"/>
          <w:color w:val="auto"/>
          <w:sz w:val="28"/>
          <w:szCs w:val="28"/>
          <w:lang w:val="en-US" w:eastAsia="zh-CN"/>
        </w:rPr>
        <w:t>不</w:t>
      </w:r>
      <w:r>
        <w:rPr>
          <w:rFonts w:hint="eastAsia" w:ascii="宋体" w:hAnsi="宋体" w:eastAsia="宋体" w:cs="宋体"/>
          <w:color w:val="auto"/>
          <w:sz w:val="28"/>
          <w:szCs w:val="28"/>
        </w:rPr>
        <w:t>接受联合体投标。</w:t>
      </w:r>
    </w:p>
    <w:p w14:paraId="72FE0362">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二、申请人的资格要求：</w:t>
      </w:r>
    </w:p>
    <w:p w14:paraId="42D0C3D5">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cs="宋体"/>
          <w:color w:val="auto"/>
          <w:sz w:val="28"/>
          <w:szCs w:val="28"/>
          <w:lang w:val="en-US" w:eastAsia="zh-CN"/>
        </w:rPr>
      </w:pPr>
      <w:r>
        <w:rPr>
          <w:rFonts w:hint="eastAsia" w:ascii="宋体" w:hAnsi="宋体" w:eastAsia="宋体" w:cs="宋体"/>
          <w:color w:val="auto"/>
          <w:sz w:val="28"/>
          <w:szCs w:val="28"/>
        </w:rPr>
        <w:t>1.满足《中华人民共和国政府采购法》第二十二条规定</w:t>
      </w:r>
      <w:r>
        <w:rPr>
          <w:rFonts w:hint="eastAsia" w:ascii="宋体" w:hAnsi="宋体" w:cs="宋体"/>
          <w:color w:val="auto"/>
          <w:sz w:val="28"/>
          <w:szCs w:val="28"/>
          <w:lang w:val="en-US" w:eastAsia="zh-CN"/>
        </w:rPr>
        <w:t>:</w:t>
      </w:r>
    </w:p>
    <w:p w14:paraId="68CFA3E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（1）具有独立承担民事责任的能力的供应商；</w:t>
      </w:r>
    </w:p>
    <w:p w14:paraId="5208400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（2）具有良好的商业信誉和健全的财务会计制度；</w:t>
      </w:r>
    </w:p>
    <w:p w14:paraId="7C6581D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（3）具有履行合同所必需的设备和专业技术能力；</w:t>
      </w:r>
    </w:p>
    <w:p w14:paraId="1252F16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（4）有依法缴纳税收和社会保障资金的良好记录；</w:t>
      </w:r>
    </w:p>
    <w:p w14:paraId="3A1427C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538" w:firstLineChars="200"/>
        <w:jc w:val="left"/>
        <w:textAlignment w:val="auto"/>
        <w:rPr>
          <w:rFonts w:hint="eastAsia" w:ascii="宋体" w:hAnsi="宋体" w:eastAsia="宋体" w:cs="宋体"/>
          <w:color w:val="auto"/>
          <w:spacing w:val="-6"/>
          <w:sz w:val="28"/>
          <w:szCs w:val="28"/>
          <w:lang w:val="en-US" w:eastAsia="zh-CN"/>
        </w:rPr>
      </w:pPr>
      <w:r>
        <w:rPr>
          <w:rFonts w:hint="eastAsia" w:ascii="宋体" w:hAnsi="宋体" w:eastAsia="宋体" w:cs="宋体"/>
          <w:color w:val="auto"/>
          <w:spacing w:val="-6"/>
          <w:sz w:val="28"/>
          <w:szCs w:val="28"/>
          <w:lang w:val="en-US" w:eastAsia="zh-CN"/>
        </w:rPr>
        <w:t>（5）参加本次采购活动前三年内，在经营活动中没有重大违法记录；</w:t>
      </w:r>
    </w:p>
    <w:p w14:paraId="4ECE3FB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562" w:firstLineChars="200"/>
        <w:jc w:val="left"/>
        <w:textAlignment w:val="auto"/>
        <w:rPr>
          <w:rFonts w:hint="eastAsia"/>
          <w:color w:val="auto"/>
          <w:lang w:eastAsia="zh-CN"/>
        </w:rPr>
      </w:pPr>
      <w:r>
        <w:rPr>
          <w:rFonts w:hint="eastAsia" w:ascii="宋体" w:hAnsi="宋体" w:eastAsia="宋体" w:cs="宋体"/>
          <w:color w:val="auto"/>
          <w:sz w:val="28"/>
          <w:szCs w:val="28"/>
          <w:lang w:val="en-US" w:eastAsia="zh-CN"/>
        </w:rPr>
        <w:t>（6）法律、行政法规规定的其他条件。</w:t>
      </w:r>
    </w:p>
    <w:p w14:paraId="4F08A574">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2.落实政府采购政策需满足的资格要求：</w:t>
      </w:r>
    </w:p>
    <w:p w14:paraId="4C4A3642">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（1）财政部、国家发展改革委、生态环境部、市场监管总局《关于调整优化节能产品、环境标志产品政府采购执行机制的通知》（财库[2019]9号文）；</w:t>
      </w:r>
    </w:p>
    <w:p w14:paraId="2F8F57FE">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t>（2）财政部、生态环境部《关于印发环境标志产品政府采购品目清单的通知》（财库[2019]18号文）；</w:t>
      </w:r>
    </w:p>
    <w:p w14:paraId="5B66B418">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t>（3）财政部、发展改革委《关于印发节能产品政府采购品目清单的通知》（财库[2019]19号文）；</w:t>
      </w:r>
    </w:p>
    <w:p w14:paraId="4624B6B1">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t>（4）市场监管总局《市场监管总局关于发布参与实施政府采购节能产品、环境标志产品认证机构名录的公告》（2019年第16号）；</w:t>
      </w:r>
    </w:p>
    <w:p w14:paraId="1B4421F3">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t>（5）财政部、工业和信息化部《关于印发《政府采购促进中小企业发展管理办法》的通知》（财库[2020]46号文）；</w:t>
      </w:r>
    </w:p>
    <w:p w14:paraId="68772B0D">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t>（6）财政部、民政部、中国残疾人联合会《关于促进残疾人就业政府采购政策的通知》（财库[2017]141号）；</w:t>
      </w:r>
    </w:p>
    <w:p w14:paraId="5EB4C9BB">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t>（7）财政部、司法部《关于政府采购支持监狱企业发展有关问题的通知》（财库[2014]68号文）。 </w:t>
      </w:r>
    </w:p>
    <w:p w14:paraId="6CDBC7C0">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t>（8）《新疆维吾尔自治区政府采购促进中小企业发展管理实施办法》（新财规〔2021〕6号）</w:t>
      </w:r>
      <w:r>
        <w:rPr>
          <w:rFonts w:hint="eastAsia" w:ascii="宋体" w:hAnsi="宋体" w:cs="宋体"/>
          <w:color w:val="auto"/>
          <w:sz w:val="28"/>
          <w:szCs w:val="28"/>
          <w:lang w:val="en-US" w:eastAsia="zh-CN"/>
        </w:rPr>
        <w:t>。</w:t>
      </w:r>
    </w:p>
    <w:p w14:paraId="0B5AD7F3">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3.本项目的特定资格要求：</w:t>
      </w:r>
      <w:r>
        <w:rPr>
          <w:rFonts w:hint="eastAsia" w:ascii="宋体" w:hAnsi="宋体" w:eastAsia="宋体" w:cs="宋体"/>
          <w:color w:val="auto"/>
          <w:sz w:val="28"/>
          <w:szCs w:val="28"/>
          <w:lang w:eastAsia="zh-CN"/>
        </w:rPr>
        <w:t>无</w:t>
      </w:r>
      <w:r>
        <w:rPr>
          <w:rFonts w:hint="eastAsia" w:ascii="宋体" w:hAnsi="宋体" w:eastAsia="宋体" w:cs="宋体"/>
          <w:color w:val="auto"/>
          <w:sz w:val="28"/>
          <w:szCs w:val="28"/>
          <w:lang w:val="en-US" w:eastAsia="zh-CN"/>
        </w:rPr>
        <w:t>。</w:t>
      </w:r>
    </w:p>
    <w:p w14:paraId="6A1565E3">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三、获取</w:t>
      </w:r>
      <w:r>
        <w:rPr>
          <w:rFonts w:hint="eastAsia" w:ascii="宋体" w:hAnsi="宋体" w:cs="宋体"/>
          <w:b/>
          <w:bCs/>
          <w:color w:val="auto"/>
          <w:sz w:val="28"/>
          <w:szCs w:val="28"/>
          <w:lang w:eastAsia="zh-CN"/>
        </w:rPr>
        <w:t>招标</w:t>
      </w:r>
      <w:r>
        <w:rPr>
          <w:rFonts w:hint="eastAsia" w:ascii="宋体" w:hAnsi="宋体" w:eastAsia="宋体" w:cs="宋体"/>
          <w:b/>
          <w:bCs/>
          <w:color w:val="auto"/>
          <w:sz w:val="28"/>
          <w:szCs w:val="28"/>
        </w:rPr>
        <w:t>文件</w:t>
      </w:r>
      <w:r>
        <w:rPr>
          <w:rFonts w:hint="eastAsia" w:ascii="宋体" w:hAnsi="宋体" w:eastAsia="宋体" w:cs="宋体"/>
          <w:color w:val="auto"/>
          <w:sz w:val="28"/>
          <w:szCs w:val="28"/>
        </w:rPr>
        <w:t> </w:t>
      </w:r>
    </w:p>
    <w:p w14:paraId="703DCFB1">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时间：</w:t>
      </w:r>
      <w:r>
        <w:rPr>
          <w:rFonts w:hint="eastAsia" w:ascii="宋体" w:hAnsi="宋体" w:eastAsia="宋体" w:cs="宋体"/>
          <w:color w:val="auto"/>
          <w:sz w:val="28"/>
          <w:szCs w:val="28"/>
          <w:lang w:eastAsia="zh-CN"/>
        </w:rPr>
        <w:t>202</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eastAsia="zh-CN"/>
        </w:rPr>
        <w:t>年</w:t>
      </w:r>
      <w:r>
        <w:rPr>
          <w:rFonts w:hint="eastAsia" w:ascii="宋体" w:hAnsi="宋体" w:cs="宋体"/>
          <w:color w:val="auto"/>
          <w:sz w:val="28"/>
          <w:szCs w:val="28"/>
          <w:lang w:val="en-US" w:eastAsia="zh-CN"/>
        </w:rPr>
        <w:t>08</w:t>
      </w:r>
      <w:r>
        <w:rPr>
          <w:rFonts w:hint="eastAsia" w:ascii="宋体" w:hAnsi="宋体" w:eastAsia="宋体" w:cs="宋体"/>
          <w:color w:val="auto"/>
          <w:sz w:val="28"/>
          <w:szCs w:val="28"/>
          <w:lang w:eastAsia="zh-CN"/>
        </w:rPr>
        <w:t>月</w:t>
      </w:r>
      <w:r>
        <w:rPr>
          <w:rFonts w:hint="eastAsia" w:ascii="宋体" w:hAnsi="宋体" w:cs="宋体"/>
          <w:color w:val="auto"/>
          <w:sz w:val="28"/>
          <w:szCs w:val="28"/>
          <w:lang w:val="en-US" w:eastAsia="zh-CN"/>
        </w:rPr>
        <w:t>14</w:t>
      </w:r>
      <w:r>
        <w:rPr>
          <w:rFonts w:hint="eastAsia" w:ascii="宋体" w:hAnsi="宋体" w:eastAsia="宋体" w:cs="宋体"/>
          <w:color w:val="auto"/>
          <w:sz w:val="28"/>
          <w:szCs w:val="28"/>
          <w:lang w:eastAsia="zh-CN"/>
        </w:rPr>
        <w:t>日</w:t>
      </w:r>
      <w:r>
        <w:rPr>
          <w:rFonts w:hint="eastAsia" w:ascii="宋体" w:hAnsi="宋体" w:eastAsia="宋体" w:cs="宋体"/>
          <w:color w:val="auto"/>
          <w:sz w:val="28"/>
          <w:szCs w:val="28"/>
        </w:rPr>
        <w:t>至</w:t>
      </w:r>
      <w:r>
        <w:rPr>
          <w:rFonts w:hint="eastAsia" w:ascii="宋体" w:hAnsi="宋体" w:eastAsia="宋体" w:cs="宋体"/>
          <w:color w:val="auto"/>
          <w:sz w:val="28"/>
          <w:szCs w:val="28"/>
          <w:lang w:eastAsia="zh-CN"/>
        </w:rPr>
        <w:t>202</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eastAsia="zh-CN"/>
        </w:rPr>
        <w:t>年</w:t>
      </w:r>
      <w:r>
        <w:rPr>
          <w:rFonts w:hint="eastAsia" w:ascii="宋体" w:hAnsi="宋体" w:cs="宋体"/>
          <w:color w:val="auto"/>
          <w:sz w:val="28"/>
          <w:szCs w:val="28"/>
          <w:lang w:val="en-US" w:eastAsia="zh-CN"/>
        </w:rPr>
        <w:t>08</w:t>
      </w:r>
      <w:r>
        <w:rPr>
          <w:rFonts w:hint="eastAsia" w:ascii="宋体" w:hAnsi="宋体" w:eastAsia="宋体" w:cs="宋体"/>
          <w:color w:val="auto"/>
          <w:sz w:val="28"/>
          <w:szCs w:val="28"/>
          <w:lang w:eastAsia="zh-CN"/>
        </w:rPr>
        <w:t>月</w:t>
      </w:r>
      <w:r>
        <w:rPr>
          <w:rFonts w:hint="eastAsia" w:ascii="宋体" w:hAnsi="宋体" w:cs="宋体"/>
          <w:color w:val="auto"/>
          <w:sz w:val="28"/>
          <w:szCs w:val="28"/>
          <w:lang w:val="en-US" w:eastAsia="zh-CN"/>
        </w:rPr>
        <w:t>21</w:t>
      </w:r>
      <w:r>
        <w:rPr>
          <w:rFonts w:hint="eastAsia" w:ascii="宋体" w:hAnsi="宋体" w:eastAsia="宋体" w:cs="宋体"/>
          <w:color w:val="auto"/>
          <w:sz w:val="28"/>
          <w:szCs w:val="28"/>
          <w:lang w:eastAsia="zh-CN"/>
        </w:rPr>
        <w:t>日</w:t>
      </w:r>
      <w:r>
        <w:rPr>
          <w:rFonts w:hint="eastAsia" w:ascii="宋体" w:hAnsi="宋体" w:eastAsia="宋体" w:cs="宋体"/>
          <w:color w:val="auto"/>
          <w:sz w:val="28"/>
          <w:szCs w:val="28"/>
        </w:rPr>
        <w:t>，每天上午10:00至14:00，下午</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0</w:t>
      </w:r>
      <w:r>
        <w:rPr>
          <w:rFonts w:hint="eastAsia" w:ascii="宋体" w:hAnsi="宋体" w:eastAsia="宋体" w:cs="宋体"/>
          <w:color w:val="000000" w:themeColor="text1"/>
          <w:sz w:val="28"/>
          <w:szCs w:val="28"/>
          <w:lang w:val="en-US" w:eastAsia="zh-CN"/>
          <w14:textFill>
            <w14:solidFill>
              <w14:schemeClr w14:val="tx1"/>
            </w14:solidFill>
          </w14:textFill>
        </w:rPr>
        <w:t>0</w:t>
      </w:r>
      <w:r>
        <w:rPr>
          <w:rFonts w:hint="eastAsia" w:ascii="宋体" w:hAnsi="宋体" w:eastAsia="宋体" w:cs="宋体"/>
          <w:color w:val="000000" w:themeColor="text1"/>
          <w:sz w:val="28"/>
          <w:szCs w:val="28"/>
          <w14:textFill>
            <w14:solidFill>
              <w14:schemeClr w14:val="tx1"/>
            </w14:solidFill>
          </w14:textFill>
        </w:rPr>
        <w:t>至</w:t>
      </w:r>
      <w:r>
        <w:rPr>
          <w:rFonts w:hint="eastAsia" w:ascii="宋体" w:hAnsi="宋体" w:cs="宋体"/>
          <w:color w:val="000000" w:themeColor="text1"/>
          <w:sz w:val="28"/>
          <w:szCs w:val="28"/>
          <w:lang w:val="en-US" w:eastAsia="zh-CN"/>
          <w14:textFill>
            <w14:solidFill>
              <w14:schemeClr w14:val="tx1"/>
            </w14:solidFill>
          </w14:textFill>
        </w:rPr>
        <w:t>20</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0</w:t>
      </w:r>
      <w:r>
        <w:rPr>
          <w:rFonts w:hint="eastAsia" w:ascii="宋体" w:hAnsi="宋体" w:eastAsia="宋体" w:cs="宋体"/>
          <w:color w:val="000000" w:themeColor="text1"/>
          <w:sz w:val="28"/>
          <w:szCs w:val="28"/>
          <w:lang w:val="en-US" w:eastAsia="zh-CN"/>
          <w14:textFill>
            <w14:solidFill>
              <w14:schemeClr w14:val="tx1"/>
            </w14:solidFill>
          </w14:textFill>
        </w:rPr>
        <w:t>0</w:t>
      </w:r>
      <w:r>
        <w:rPr>
          <w:rFonts w:hint="eastAsia" w:ascii="宋体" w:hAnsi="宋体" w:eastAsia="宋体" w:cs="宋体"/>
          <w:color w:val="auto"/>
          <w:sz w:val="28"/>
          <w:szCs w:val="28"/>
        </w:rPr>
        <w:t>（北京时间，法定节假日除外）</w:t>
      </w:r>
    </w:p>
    <w:p w14:paraId="0AD3881B">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地点：政采云平台</w:t>
      </w:r>
    </w:p>
    <w:p w14:paraId="652839CE">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方式：供应商登录政采云平台https://www.zcygov.cn/在线申请获取采购文件（进入“项目采购”应用，在获取采购文件菜单中选择项目，申请获取采购文件）</w:t>
      </w:r>
    </w:p>
    <w:p w14:paraId="3C62D88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jc w:val="left"/>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四、提交投标文件截止时间、开标时间和地点</w:t>
      </w:r>
    </w:p>
    <w:p w14:paraId="74331DD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562"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ar-SA"/>
        </w:rPr>
        <w:t>提交投标文件截止时间：</w:t>
      </w:r>
      <w:r>
        <w:rPr>
          <w:rFonts w:hint="eastAsia" w:cs="宋体"/>
          <w:color w:val="auto"/>
          <w:sz w:val="28"/>
          <w:szCs w:val="28"/>
          <w:lang w:val="en-US" w:eastAsia="zh-CN"/>
        </w:rPr>
        <w:t>2024年09月04日11:00</w:t>
      </w:r>
      <w:r>
        <w:rPr>
          <w:rFonts w:hint="eastAsia" w:ascii="宋体" w:hAnsi="宋体" w:eastAsia="宋体" w:cs="宋体"/>
          <w:color w:val="auto"/>
          <w:sz w:val="28"/>
          <w:szCs w:val="28"/>
          <w:lang w:val="en-US" w:eastAsia="zh-CN"/>
        </w:rPr>
        <w:t>（北京时间）</w:t>
      </w:r>
    </w:p>
    <w:p w14:paraId="2025B7E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562"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投标地点：政采云一站式政府采购云平台</w:t>
      </w:r>
    </w:p>
    <w:p w14:paraId="4B44E9F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562"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ar-SA"/>
        </w:rPr>
        <w:t>开标时间：</w:t>
      </w:r>
      <w:r>
        <w:rPr>
          <w:rFonts w:hint="eastAsia" w:cs="宋体"/>
          <w:color w:val="auto"/>
          <w:sz w:val="28"/>
          <w:szCs w:val="28"/>
          <w:lang w:val="en-US" w:eastAsia="zh-CN"/>
        </w:rPr>
        <w:t>2024年09月04日11:00</w:t>
      </w:r>
      <w:r>
        <w:rPr>
          <w:rFonts w:hint="eastAsia" w:ascii="宋体" w:hAnsi="宋体" w:eastAsia="宋体" w:cs="宋体"/>
          <w:color w:val="auto"/>
          <w:sz w:val="28"/>
          <w:szCs w:val="28"/>
          <w:lang w:val="en-US" w:eastAsia="zh-CN"/>
        </w:rPr>
        <w:t>（北京时间）</w:t>
      </w:r>
    </w:p>
    <w:p w14:paraId="64BB320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562"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开标地点：政采云一站式政府采购云平台</w:t>
      </w:r>
    </w:p>
    <w:p w14:paraId="2A63F76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jc w:val="left"/>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五、公告期限</w:t>
      </w:r>
    </w:p>
    <w:p w14:paraId="6DF3B87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562"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宋体" w:hAnsi="宋体" w:eastAsia="宋体" w:cs="宋体"/>
          <w:color w:val="auto"/>
          <w:kern w:val="2"/>
          <w:sz w:val="28"/>
          <w:szCs w:val="28"/>
          <w:lang w:val="en-US" w:eastAsia="zh-CN" w:bidi="ar-SA"/>
        </w:rPr>
        <w:t>自本公告发布之日起</w:t>
      </w:r>
      <w:r>
        <w:rPr>
          <w:rFonts w:hint="default" w:ascii="宋体" w:hAnsi="宋体" w:eastAsia="宋体" w:cs="宋体"/>
          <w:color w:val="auto"/>
          <w:kern w:val="2"/>
          <w:sz w:val="28"/>
          <w:szCs w:val="28"/>
          <w:lang w:val="en-US" w:eastAsia="zh-CN" w:bidi="ar-SA"/>
        </w:rPr>
        <w:t>5</w:t>
      </w:r>
      <w:r>
        <w:rPr>
          <w:rFonts w:hint="eastAsia" w:ascii="宋体" w:hAnsi="宋体" w:eastAsia="宋体" w:cs="宋体"/>
          <w:color w:val="auto"/>
          <w:kern w:val="2"/>
          <w:sz w:val="28"/>
          <w:szCs w:val="28"/>
          <w:lang w:val="en-US" w:eastAsia="zh-CN" w:bidi="ar-SA"/>
        </w:rPr>
        <w:t>个工作日。</w:t>
      </w:r>
    </w:p>
    <w:p w14:paraId="74F7ABA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jc w:val="left"/>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六、其他补充事宜</w:t>
      </w:r>
    </w:p>
    <w:p w14:paraId="5699B525">
      <w:pPr>
        <w:spacing w:line="400" w:lineRule="exact"/>
        <w:ind w:firstLine="555"/>
        <w:rPr>
          <w:rFonts w:hint="eastAsia" w:ascii="宋体" w:hAnsi="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1、</w:t>
      </w:r>
      <w:r>
        <w:rPr>
          <w:rFonts w:hint="eastAsia" w:ascii="宋体" w:hAnsi="宋体" w:cs="宋体"/>
          <w:color w:val="auto"/>
          <w:kern w:val="2"/>
          <w:sz w:val="28"/>
          <w:szCs w:val="28"/>
          <w:highlight w:val="none"/>
          <w:lang w:val="en-US" w:eastAsia="zh-CN" w:bidi="ar-SA"/>
        </w:rPr>
        <w:t>请投标人随时关注本项目的澄清、答疑、变更事项。</w:t>
      </w:r>
    </w:p>
    <w:p w14:paraId="5528AEDA">
      <w:pPr>
        <w:spacing w:line="400" w:lineRule="exact"/>
        <w:ind w:firstLine="555"/>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2、</w:t>
      </w:r>
      <w:r>
        <w:rPr>
          <w:rFonts w:hint="eastAsia" w:ascii="宋体" w:hAnsi="宋体" w:eastAsia="宋体" w:cs="宋体"/>
          <w:color w:val="auto"/>
          <w:kern w:val="2"/>
          <w:sz w:val="28"/>
          <w:szCs w:val="28"/>
          <w:highlight w:val="none"/>
          <w:lang w:val="en-US" w:eastAsia="zh-CN" w:bidi="ar-SA"/>
        </w:rPr>
        <w:t>本项目实行电子招投标，供应商须登录政采云平台申请获取采购文件，并需要使用CA锁，登录政采云电子投标客户端制作响应文件，若供应商参与投标,自行承担与投标有关的一切费用。</w:t>
      </w:r>
    </w:p>
    <w:p w14:paraId="03C51C13">
      <w:pPr>
        <w:spacing w:line="400" w:lineRule="exac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 xml:space="preserve">    </w:t>
      </w:r>
      <w:r>
        <w:rPr>
          <w:rFonts w:hint="eastAsia" w:ascii="宋体" w:hAnsi="宋体" w:cs="宋体"/>
          <w:color w:val="auto"/>
          <w:kern w:val="2"/>
          <w:sz w:val="28"/>
          <w:szCs w:val="28"/>
          <w:highlight w:val="none"/>
          <w:lang w:val="en-US" w:eastAsia="zh-CN" w:bidi="ar-SA"/>
        </w:rPr>
        <w:t>3</w:t>
      </w:r>
      <w:r>
        <w:rPr>
          <w:rFonts w:hint="eastAsia" w:ascii="宋体" w:hAnsi="宋体" w:eastAsia="宋体" w:cs="宋体"/>
          <w:color w:val="auto"/>
          <w:kern w:val="2"/>
          <w:sz w:val="28"/>
          <w:szCs w:val="28"/>
          <w:highlight w:val="none"/>
          <w:lang w:val="en-US" w:eastAsia="zh-CN" w:bidi="ar-SA"/>
        </w:rPr>
        <w:t>、各供应商应在开标前确保是新疆维吾尔自治区政府采购网正式注册入库的供应商，并完成CA数字证书申领。因未注册入库、未办理CA数字证书等原因造成无法投标或投标失败等后果的由供应商自行承担。</w:t>
      </w:r>
    </w:p>
    <w:p w14:paraId="2427F7C8">
      <w:pPr>
        <w:spacing w:line="400" w:lineRule="exac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 xml:space="preserve">    </w:t>
      </w:r>
      <w:r>
        <w:rPr>
          <w:rFonts w:hint="eastAsia" w:ascii="宋体" w:hAnsi="宋体" w:cs="宋体"/>
          <w:color w:val="auto"/>
          <w:kern w:val="2"/>
          <w:sz w:val="28"/>
          <w:szCs w:val="28"/>
          <w:highlight w:val="none"/>
          <w:lang w:val="en-US" w:eastAsia="zh-CN" w:bidi="ar-SA"/>
        </w:rPr>
        <w:t>4</w:t>
      </w:r>
      <w:r>
        <w:rPr>
          <w:rFonts w:hint="eastAsia" w:ascii="宋体" w:hAnsi="宋体" w:eastAsia="宋体" w:cs="宋体"/>
          <w:color w:val="auto"/>
          <w:kern w:val="2"/>
          <w:sz w:val="28"/>
          <w:szCs w:val="28"/>
          <w:highlight w:val="none"/>
          <w:lang w:val="en-US" w:eastAsia="zh-CN" w:bidi="ar-SA"/>
        </w:rPr>
        <w:t>、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w:t>
      </w:r>
      <w:r>
        <w:rPr>
          <w:rFonts w:hint="eastAsia" w:ascii="宋体" w:hAnsi="宋体" w:cs="宋体"/>
          <w:color w:val="auto"/>
          <w:kern w:val="2"/>
          <w:sz w:val="28"/>
          <w:szCs w:val="28"/>
          <w:highlight w:val="none"/>
          <w:lang w:val="en-US" w:eastAsia="zh-CN" w:bidi="ar-SA"/>
        </w:rPr>
        <w:t>95763</w:t>
      </w:r>
      <w:r>
        <w:rPr>
          <w:rFonts w:hint="eastAsia" w:ascii="宋体" w:hAnsi="宋体" w:eastAsia="宋体" w:cs="宋体"/>
          <w:color w:val="auto"/>
          <w:kern w:val="2"/>
          <w:sz w:val="28"/>
          <w:szCs w:val="28"/>
          <w:highlight w:val="none"/>
          <w:lang w:val="en-US" w:eastAsia="zh-CN" w:bidi="ar-SA"/>
        </w:rPr>
        <w:t>进行咨询。</w:t>
      </w:r>
    </w:p>
    <w:p w14:paraId="26AB6844">
      <w:pPr>
        <w:spacing w:line="400" w:lineRule="exac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 xml:space="preserve">    </w:t>
      </w:r>
      <w:r>
        <w:rPr>
          <w:rFonts w:hint="eastAsia" w:ascii="宋体" w:hAnsi="宋体" w:cs="宋体"/>
          <w:color w:val="auto"/>
          <w:kern w:val="2"/>
          <w:sz w:val="28"/>
          <w:szCs w:val="28"/>
          <w:highlight w:val="none"/>
          <w:lang w:val="en-US" w:eastAsia="zh-CN" w:bidi="ar-SA"/>
        </w:rPr>
        <w:t>5、</w:t>
      </w:r>
      <w:r>
        <w:rPr>
          <w:rFonts w:hint="eastAsia" w:ascii="宋体" w:hAnsi="宋体" w:eastAsia="宋体" w:cs="宋体"/>
          <w:color w:val="auto"/>
          <w:kern w:val="2"/>
          <w:sz w:val="28"/>
          <w:szCs w:val="28"/>
          <w:highlight w:val="none"/>
          <w:lang w:val="en-US" w:eastAsia="zh-CN" w:bidi="ar-SA"/>
        </w:rPr>
        <w:t>供应商在开标时须携带制作加密电子响应文件所使用的CA锁，电脑须提前配置好浏览器（建议使用360浏览器或谷歌浏览器），以便开标时在线解密。</w:t>
      </w:r>
    </w:p>
    <w:p w14:paraId="0EBB3F22">
      <w:pPr>
        <w:spacing w:line="400" w:lineRule="exac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highlight w:val="none"/>
          <w:lang w:val="en-US" w:eastAsia="zh-CN" w:bidi="ar-SA"/>
        </w:rPr>
        <w:t xml:space="preserve">    </w:t>
      </w:r>
      <w:r>
        <w:rPr>
          <w:rFonts w:hint="eastAsia" w:ascii="宋体" w:hAnsi="宋体" w:cs="宋体"/>
          <w:color w:val="auto"/>
          <w:kern w:val="2"/>
          <w:sz w:val="28"/>
          <w:szCs w:val="28"/>
          <w:highlight w:val="none"/>
          <w:lang w:val="en-US" w:eastAsia="zh-CN" w:bidi="ar-SA"/>
        </w:rPr>
        <w:t>6、</w:t>
      </w:r>
      <w:r>
        <w:rPr>
          <w:rFonts w:hint="eastAsia" w:ascii="宋体" w:hAnsi="宋体" w:eastAsia="宋体" w:cs="宋体"/>
          <w:color w:val="auto"/>
          <w:kern w:val="2"/>
          <w:sz w:val="28"/>
          <w:szCs w:val="28"/>
          <w:highlight w:val="none"/>
          <w:lang w:val="en-US" w:eastAsia="zh-CN" w:bidi="ar-SA"/>
        </w:rPr>
        <w:t>投标供应商应当在投标截止时间前，将生成的“电子加密响应文件”上传递交至“政府采购云平台”，投标截止时间以后上传递交的响应文件将被“政府采购云平台”拒收。</w:t>
      </w:r>
      <w:r>
        <w:rPr>
          <w:rFonts w:hint="eastAsia" w:ascii="宋体" w:hAnsi="宋体" w:eastAsia="宋体" w:cs="宋体"/>
          <w:color w:val="auto"/>
          <w:kern w:val="2"/>
          <w:sz w:val="28"/>
          <w:szCs w:val="28"/>
          <w:lang w:val="en-US" w:eastAsia="zh-CN" w:bidi="ar-SA"/>
        </w:rPr>
        <w:t> </w:t>
      </w:r>
    </w:p>
    <w:p w14:paraId="2535CC61">
      <w:pPr>
        <w:pStyle w:val="7"/>
        <w:ind w:left="842" w:leftChars="266" w:hanging="281" w:hangingChars="10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特别提示</w:t>
      </w:r>
      <w:r>
        <w:rPr>
          <w:rFonts w:hint="eastAsia" w:ascii="宋体" w:hAnsi="宋体" w:eastAsia="宋体" w:cs="宋体"/>
          <w:color w:val="auto"/>
          <w:kern w:val="2"/>
          <w:sz w:val="28"/>
          <w:szCs w:val="28"/>
          <w:highlight w:val="none"/>
          <w:lang w:val="en-US" w:eastAsia="zh-CN" w:bidi="ar-SA"/>
        </w:rPr>
        <w:t>：</w:t>
      </w:r>
    </w:p>
    <w:p w14:paraId="5F6CF8AC">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1、采购限额标准以上，200万元以下的货物和服务采购项目、400万元以下的工程采购项目，适宜由中小企业提供的，采购人应当专门面向中小企业采购。</w:t>
      </w:r>
    </w:p>
    <w:p w14:paraId="1109B801">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2、超过200万元的货物和服务采购项目，预留该部分采购项目预算总额的30%以上专门面向中小企业采购，其中预留给小微企业的比例不低于60%。</w:t>
      </w:r>
    </w:p>
    <w:p w14:paraId="7F48C9CA">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3、超过400万元的工程采购项目中适宜由中小企业提供的，预留该部分采购项目预算总额的40%以上专门面向中小企业采购，其中预留给小微企业的比例不低于60%。</w:t>
      </w:r>
    </w:p>
    <w:p w14:paraId="4EE3A395">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891DDBD">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F838A39">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七、对本次采购提出询问，请按以下方式联系</w:t>
      </w:r>
    </w:p>
    <w:p w14:paraId="15B27217">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1.采购人信息</w:t>
      </w:r>
    </w:p>
    <w:p w14:paraId="40312BCA">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名    称：</w:t>
      </w:r>
      <w:r>
        <w:rPr>
          <w:rFonts w:hint="eastAsia" w:ascii="宋体" w:hAnsi="宋体" w:cs="宋体"/>
          <w:color w:val="auto"/>
          <w:sz w:val="28"/>
          <w:szCs w:val="28"/>
          <w:lang w:val="en-US" w:eastAsia="zh-CN"/>
        </w:rPr>
        <w:t>温宿县水利局</w:t>
      </w:r>
    </w:p>
    <w:p w14:paraId="0F00B6C9">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cs="宋体"/>
          <w:color w:val="auto"/>
          <w:sz w:val="28"/>
          <w:szCs w:val="28"/>
          <w:highlight w:val="none"/>
          <w:lang w:val="en-US" w:eastAsia="zh-CN"/>
        </w:rPr>
      </w:pPr>
      <w:r>
        <w:rPr>
          <w:rFonts w:hint="eastAsia" w:ascii="宋体" w:hAnsi="宋体" w:eastAsia="宋体" w:cs="宋体"/>
          <w:color w:val="auto"/>
          <w:sz w:val="28"/>
          <w:szCs w:val="28"/>
          <w:lang w:val="en-US" w:eastAsia="zh-CN"/>
        </w:rPr>
        <w:t>地    址：</w:t>
      </w:r>
      <w:r>
        <w:rPr>
          <w:rFonts w:hint="eastAsia" w:ascii="宋体" w:hAnsi="宋体" w:cs="宋体"/>
          <w:color w:val="auto"/>
          <w:sz w:val="28"/>
          <w:szCs w:val="28"/>
          <w:highlight w:val="none"/>
          <w:lang w:val="en-US" w:eastAsia="zh-CN"/>
        </w:rPr>
        <w:t>温宿县</w:t>
      </w:r>
    </w:p>
    <w:p w14:paraId="6E0525D3">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联系方式：</w:t>
      </w:r>
      <w:r>
        <w:rPr>
          <w:rFonts w:hint="eastAsia" w:ascii="宋体" w:hAnsi="宋体" w:cs="宋体"/>
          <w:color w:val="auto"/>
          <w:sz w:val="28"/>
          <w:szCs w:val="28"/>
          <w:lang w:val="en-US" w:eastAsia="zh-CN"/>
        </w:rPr>
        <w:t>13779408468</w:t>
      </w:r>
      <w:r>
        <w:rPr>
          <w:rFonts w:hint="eastAsia" w:ascii="宋体" w:hAnsi="宋体" w:eastAsia="宋体" w:cs="宋体"/>
          <w:color w:val="auto"/>
          <w:sz w:val="28"/>
          <w:szCs w:val="28"/>
          <w:lang w:val="en-US" w:eastAsia="zh-CN"/>
        </w:rPr>
        <w:t xml:space="preserve"> </w:t>
      </w:r>
    </w:p>
    <w:p w14:paraId="4AAD475E">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2.采购代理机构信息</w:t>
      </w:r>
    </w:p>
    <w:p w14:paraId="38E3CDDB">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名 称：</w:t>
      </w:r>
      <w:r>
        <w:rPr>
          <w:rFonts w:hint="eastAsia" w:ascii="宋体" w:hAnsi="宋体" w:cs="宋体"/>
          <w:color w:val="auto"/>
          <w:sz w:val="28"/>
          <w:szCs w:val="28"/>
          <w:lang w:val="en-US" w:eastAsia="zh-CN"/>
        </w:rPr>
        <w:t>新疆东晨项目管理有限公司</w:t>
      </w:r>
      <w:r>
        <w:rPr>
          <w:rFonts w:hint="eastAsia" w:ascii="宋体" w:hAnsi="宋体" w:eastAsia="宋体" w:cs="宋体"/>
          <w:color w:val="auto"/>
          <w:sz w:val="28"/>
          <w:szCs w:val="28"/>
          <w:lang w:val="en-US" w:eastAsia="zh-CN"/>
        </w:rPr>
        <w:t> 　　　　　　　　　　　</w:t>
      </w:r>
    </w:p>
    <w:p w14:paraId="0E0B2FC6">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地 址：</w:t>
      </w:r>
      <w:r>
        <w:rPr>
          <w:rFonts w:hint="eastAsia" w:ascii="宋体" w:hAnsi="宋体" w:cs="宋体"/>
          <w:color w:val="auto"/>
          <w:sz w:val="28"/>
          <w:szCs w:val="28"/>
          <w:lang w:val="en-US" w:eastAsia="zh-CN"/>
        </w:rPr>
        <w:t>新疆阿克苏地区阿克苏市兰干街道朝阳社区解放北路25号新雕城市广场4号写字楼1901-6室</w:t>
      </w:r>
      <w:r>
        <w:rPr>
          <w:rFonts w:hint="eastAsia" w:ascii="宋体" w:hAnsi="宋体" w:eastAsia="宋体" w:cs="宋体"/>
          <w:color w:val="auto"/>
          <w:sz w:val="28"/>
          <w:szCs w:val="28"/>
          <w:lang w:val="en-US" w:eastAsia="zh-CN"/>
        </w:rPr>
        <w:t xml:space="preserve">  　　　　　　　　　</w:t>
      </w:r>
    </w:p>
    <w:p w14:paraId="2D1FC66D">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项目联系人：</w:t>
      </w:r>
      <w:r>
        <w:rPr>
          <w:rFonts w:hint="eastAsia" w:ascii="宋体" w:hAnsi="宋体" w:cs="宋体"/>
          <w:color w:val="auto"/>
          <w:sz w:val="28"/>
          <w:szCs w:val="28"/>
          <w:lang w:val="en-US" w:eastAsia="zh-CN"/>
        </w:rPr>
        <w:t>胡可可</w:t>
      </w:r>
    </w:p>
    <w:p w14:paraId="7F2D22B5">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电　　  话：</w:t>
      </w:r>
      <w:r>
        <w:rPr>
          <w:rFonts w:hint="eastAsia" w:ascii="宋体" w:hAnsi="宋体" w:cs="宋体"/>
          <w:color w:val="auto"/>
          <w:sz w:val="28"/>
          <w:szCs w:val="28"/>
          <w:lang w:val="en-US" w:eastAsia="zh-CN"/>
        </w:rPr>
        <w:t>18399572921</w:t>
      </w:r>
    </w:p>
    <w:p w14:paraId="5B80A90E">
      <w:pPr>
        <w:pageBreakBefore w:val="0"/>
        <w:widowControl w:val="0"/>
        <w:kinsoku/>
        <w:wordWrap/>
        <w:overflowPunct/>
        <w:topLinePunct w:val="0"/>
        <w:autoSpaceDE/>
        <w:autoSpaceDN/>
        <w:bidi w:val="0"/>
        <w:adjustRightInd/>
        <w:snapToGrid/>
        <w:spacing w:line="400" w:lineRule="exact"/>
        <w:ind w:firstLine="211" w:firstLineChars="100"/>
        <w:textAlignment w:val="auto"/>
        <w:rPr>
          <w:rFonts w:hint="default"/>
          <w:color w:val="auto"/>
          <w:lang w:val="en-US" w:eastAsia="zh-CN"/>
        </w:rPr>
      </w:pPr>
    </w:p>
    <w:p w14:paraId="40847E1E">
      <w:pPr>
        <w:rPr>
          <w:color w:val="auto"/>
        </w:rPr>
      </w:pPr>
    </w:p>
    <w:p w14:paraId="1CCE1622">
      <w:pPr>
        <w:pStyle w:val="2"/>
        <w:keepLines w:val="0"/>
        <w:pageBreakBefore/>
        <w:numPr>
          <w:ilvl w:val="0"/>
          <w:numId w:val="1"/>
        </w:numPr>
        <w:adjustRightInd w:val="0"/>
        <w:snapToGrid w:val="0"/>
        <w:spacing w:before="120" w:after="120" w:line="360" w:lineRule="auto"/>
        <w:outlineLvl w:val="0"/>
        <w:rPr>
          <w:rFonts w:hint="eastAsia" w:ascii="宋体" w:hAnsi="宋体" w:eastAsia="宋体" w:cs="宋体"/>
          <w:b/>
          <w:bCs w:val="0"/>
          <w:color w:val="auto"/>
          <w:sz w:val="32"/>
          <w:szCs w:val="32"/>
          <w:highlight w:val="none"/>
        </w:rPr>
      </w:pPr>
      <w:bookmarkStart w:id="0" w:name="_Toc9386"/>
      <w:r>
        <w:rPr>
          <w:rFonts w:hint="eastAsia" w:ascii="宋体" w:hAnsi="宋体" w:eastAsia="宋体" w:cs="宋体"/>
          <w:b/>
          <w:bCs w:val="0"/>
          <w:color w:val="auto"/>
          <w:sz w:val="32"/>
          <w:szCs w:val="32"/>
          <w:highlight w:val="none"/>
        </w:rPr>
        <w:t xml:space="preserve"> </w:t>
      </w:r>
      <w:bookmarkStart w:id="1" w:name="_Toc10132"/>
      <w:bookmarkStart w:id="2" w:name="_Toc32321"/>
      <w:bookmarkStart w:id="3" w:name="_Toc5463"/>
      <w:r>
        <w:rPr>
          <w:rFonts w:hint="eastAsia" w:ascii="宋体" w:hAnsi="宋体" w:eastAsia="宋体" w:cs="宋体"/>
          <w:b/>
          <w:bCs w:val="0"/>
          <w:color w:val="auto"/>
          <w:sz w:val="32"/>
          <w:szCs w:val="32"/>
          <w:highlight w:val="none"/>
        </w:rPr>
        <w:t>投标人须知</w:t>
      </w:r>
      <w:bookmarkEnd w:id="0"/>
      <w:bookmarkEnd w:id="1"/>
      <w:bookmarkEnd w:id="2"/>
      <w:bookmarkEnd w:id="3"/>
    </w:p>
    <w:p w14:paraId="3DDE8494">
      <w:pPr>
        <w:pStyle w:val="3"/>
        <w:keepNext w:val="0"/>
        <w:keepLines w:val="0"/>
        <w:adjustRightInd w:val="0"/>
        <w:snapToGrid w:val="0"/>
        <w:spacing w:before="120" w:after="120" w:line="360" w:lineRule="auto"/>
        <w:jc w:val="center"/>
        <w:outlineLvl w:val="1"/>
        <w:rPr>
          <w:rFonts w:hint="eastAsia" w:ascii="宋体" w:hAnsi="宋体" w:eastAsia="宋体" w:cs="宋体"/>
          <w:bCs w:val="0"/>
          <w:color w:val="auto"/>
          <w:sz w:val="28"/>
          <w:szCs w:val="28"/>
          <w:highlight w:val="none"/>
        </w:rPr>
      </w:pPr>
      <w:bookmarkStart w:id="4" w:name="_Toc179632545"/>
      <w:bookmarkStart w:id="5" w:name="_Toc13641"/>
      <w:bookmarkStart w:id="6" w:name="_Toc152045528"/>
      <w:bookmarkStart w:id="7" w:name="_Toc25446"/>
      <w:bookmarkStart w:id="8" w:name="_Toc665"/>
      <w:bookmarkStart w:id="9" w:name="_Toc144974496"/>
      <w:bookmarkStart w:id="10" w:name="_Toc152042304"/>
      <w:r>
        <w:rPr>
          <w:rFonts w:hint="eastAsia" w:ascii="宋体" w:hAnsi="宋体" w:eastAsia="宋体" w:cs="宋体"/>
          <w:bCs w:val="0"/>
          <w:color w:val="auto"/>
          <w:sz w:val="28"/>
          <w:szCs w:val="28"/>
          <w:highlight w:val="none"/>
        </w:rPr>
        <w:t>投标人须知前附表</w:t>
      </w:r>
      <w:bookmarkEnd w:id="4"/>
      <w:bookmarkEnd w:id="5"/>
      <w:bookmarkEnd w:id="6"/>
      <w:bookmarkEnd w:id="7"/>
      <w:bookmarkEnd w:id="8"/>
      <w:bookmarkEnd w:id="9"/>
      <w:bookmarkEnd w:id="10"/>
    </w:p>
    <w:tbl>
      <w:tblPr>
        <w:tblStyle w:val="15"/>
        <w:tblpPr w:leftFromText="180" w:rightFromText="180" w:vertAnchor="text" w:horzAnchor="page" w:tblpXSpec="center" w:tblpY="73"/>
        <w:tblOverlap w:val="never"/>
        <w:tblW w:w="10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9562"/>
      </w:tblGrid>
      <w:tr w14:paraId="1B7C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50" w:type="dxa"/>
            <w:noWrap w:val="0"/>
            <w:vAlign w:val="center"/>
          </w:tcPr>
          <w:p w14:paraId="5CE3B5F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9562" w:type="dxa"/>
            <w:noWrap w:val="0"/>
            <w:vAlign w:val="center"/>
          </w:tcPr>
          <w:p w14:paraId="0AC9989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内     容</w:t>
            </w:r>
          </w:p>
        </w:tc>
      </w:tr>
      <w:tr w14:paraId="478E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353F284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9562" w:type="dxa"/>
            <w:noWrap w:val="0"/>
            <w:vAlign w:val="center"/>
          </w:tcPr>
          <w:p w14:paraId="5A664D72">
            <w:pPr>
              <w:spacing w:line="360" w:lineRule="auto"/>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2024年防洪物资采购</w:t>
            </w:r>
          </w:p>
          <w:p w14:paraId="33B1E3B7">
            <w:pPr>
              <w:spacing w:line="360" w:lineRule="auto"/>
              <w:rPr>
                <w:rFonts w:hint="eastAsia" w:ascii="宋体" w:hAnsi="宋体" w:eastAsia="宋体" w:cs="宋体"/>
                <w:b/>
                <w:bCs/>
                <w:color w:val="auto"/>
                <w:sz w:val="24"/>
                <w:highlight w:val="none"/>
                <w:lang w:val="en-US" w:eastAsia="zh-CN"/>
              </w:rPr>
            </w:pPr>
            <w:r>
              <w:rPr>
                <w:rFonts w:hint="eastAsia" w:ascii="宋体" w:hAnsi="宋体" w:cs="宋体"/>
                <w:color w:val="auto"/>
                <w:sz w:val="24"/>
                <w:highlight w:val="none"/>
              </w:rPr>
              <w:t>文件编号</w:t>
            </w:r>
            <w:r>
              <w:rPr>
                <w:rFonts w:hint="eastAsia" w:ascii="宋体" w:hAnsi="宋体" w:cs="宋体"/>
                <w:color w:val="auto"/>
                <w:sz w:val="24"/>
                <w:highlight w:val="none"/>
                <w:lang w:eastAsia="zh-CN"/>
              </w:rPr>
              <w:t>：</w:t>
            </w:r>
            <w:r>
              <w:rPr>
                <w:rFonts w:hint="eastAsia" w:ascii="宋体" w:hAnsi="宋体" w:cs="宋体"/>
                <w:color w:val="000000" w:themeColor="text1"/>
                <w:sz w:val="24"/>
                <w:highlight w:val="none"/>
                <w:lang w:eastAsia="zh-CN"/>
                <w14:textFill>
                  <w14:solidFill>
                    <w14:schemeClr w14:val="tx1"/>
                  </w14:solidFill>
                </w14:textFill>
              </w:rPr>
              <w:t>XJDC-(2024)-CG077</w:t>
            </w:r>
          </w:p>
        </w:tc>
      </w:tr>
      <w:tr w14:paraId="5F293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0E72650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9562" w:type="dxa"/>
            <w:noWrap w:val="0"/>
            <w:vAlign w:val="center"/>
          </w:tcPr>
          <w:p w14:paraId="10AF73B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采购代理机构：</w:t>
            </w:r>
            <w:r>
              <w:rPr>
                <w:rFonts w:hint="eastAsia" w:ascii="宋体" w:hAnsi="宋体" w:cs="宋体"/>
                <w:color w:val="auto"/>
                <w:sz w:val="24"/>
                <w:highlight w:val="none"/>
                <w:lang w:eastAsia="zh-CN"/>
              </w:rPr>
              <w:t>新疆东晨项目管理有限公司</w:t>
            </w:r>
          </w:p>
        </w:tc>
      </w:tr>
      <w:tr w14:paraId="7200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50" w:type="dxa"/>
            <w:noWrap w:val="0"/>
            <w:vAlign w:val="center"/>
          </w:tcPr>
          <w:p w14:paraId="2B15434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9562" w:type="dxa"/>
            <w:noWrap w:val="0"/>
            <w:vAlign w:val="center"/>
          </w:tcPr>
          <w:p w14:paraId="76041EA7">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招标内容：采购一批块石（详见采购清单）</w:t>
            </w:r>
          </w:p>
          <w:p w14:paraId="3858AC26">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最高限价：</w:t>
            </w:r>
            <w:r>
              <w:rPr>
                <w:rFonts w:hint="eastAsia" w:ascii="宋体" w:hAnsi="宋体" w:cs="宋体"/>
                <w:color w:val="auto"/>
                <w:sz w:val="24"/>
                <w:highlight w:val="none"/>
                <w:lang w:val="en-US" w:eastAsia="zh-CN"/>
              </w:rPr>
              <w:t>1500000.00元</w:t>
            </w:r>
          </w:p>
        </w:tc>
      </w:tr>
      <w:tr w14:paraId="5F55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5569D86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9562" w:type="dxa"/>
            <w:noWrap w:val="0"/>
            <w:vAlign w:val="center"/>
          </w:tcPr>
          <w:p w14:paraId="278C0B65">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auto"/>
                <w:sz w:val="24"/>
                <w:highlight w:val="none"/>
              </w:rPr>
              <w:t>供货期限：</w:t>
            </w:r>
            <w:r>
              <w:rPr>
                <w:rFonts w:hint="eastAsia" w:ascii="宋体" w:hAnsi="宋体" w:cs="宋体"/>
                <w:color w:val="000000" w:themeColor="text1"/>
                <w:sz w:val="24"/>
                <w:highlight w:val="none"/>
                <w:lang w:val="en-US" w:eastAsia="zh-CN"/>
                <w14:textFill>
                  <w14:solidFill>
                    <w14:schemeClr w14:val="tx1"/>
                  </w14:solidFill>
                </w14:textFill>
              </w:rPr>
              <w:t>合同签订后15天内备货完毕，根据招标人需求按时送达至指定地点。</w:t>
            </w:r>
          </w:p>
          <w:p w14:paraId="255BE60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供货地点：</w:t>
            </w:r>
            <w:r>
              <w:rPr>
                <w:rFonts w:hint="eastAsia" w:ascii="宋体" w:hAnsi="宋体" w:cs="宋体"/>
                <w:color w:val="auto"/>
                <w:sz w:val="24"/>
                <w:highlight w:val="none"/>
                <w:lang w:eastAsia="zh-CN"/>
              </w:rPr>
              <w:t>温宿县（招标人指定地点）</w:t>
            </w:r>
          </w:p>
        </w:tc>
      </w:tr>
      <w:tr w14:paraId="76AB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50" w:type="dxa"/>
            <w:noWrap w:val="0"/>
            <w:vAlign w:val="center"/>
          </w:tcPr>
          <w:p w14:paraId="3783E06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9562" w:type="dxa"/>
            <w:noWrap w:val="0"/>
            <w:vAlign w:val="center"/>
          </w:tcPr>
          <w:p w14:paraId="2BCF4D58">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投标人资格条件、能力和信誉：</w:t>
            </w:r>
          </w:p>
          <w:p w14:paraId="774F014E">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资格条件：（一）符合《中华人民共和国政府采购法》第二十二条规定的条件，具备相应资质的投标人：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4DD44306">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（二）具备有效的营业执照；</w:t>
            </w:r>
          </w:p>
          <w:p w14:paraId="13D63CFF">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（三）法人代表或其委托代理人应提供本人身份证，委托代理人还应提供《法人代表授权委托书》；</w:t>
            </w:r>
          </w:p>
          <w:p w14:paraId="5361BF1D">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（四）</w:t>
            </w:r>
            <w:r>
              <w:rPr>
                <w:rFonts w:hint="eastAsia" w:ascii="宋体" w:hAnsi="宋体" w:cs="宋体"/>
                <w:color w:val="auto"/>
                <w:sz w:val="24"/>
                <w:highlight w:val="none"/>
                <w:lang w:val="en-US" w:eastAsia="zh-CN"/>
              </w:rPr>
              <w:t>近三年任意一年</w:t>
            </w:r>
            <w:r>
              <w:rPr>
                <w:rFonts w:hint="eastAsia" w:ascii="宋体" w:hAnsi="宋体" w:eastAsia="宋体" w:cs="宋体"/>
                <w:color w:val="auto"/>
                <w:sz w:val="24"/>
                <w:highlight w:val="none"/>
                <w:lang w:val="en-US" w:eastAsia="zh-CN"/>
              </w:rPr>
              <w:t>的审计报告或财务报表（成立不足一年的提供成立至今的财务报表，包含资产负债表、现金流量表、利润表）；近</w:t>
            </w: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lang w:val="en-US" w:eastAsia="zh-CN"/>
              </w:rPr>
              <w:t>个月</w:t>
            </w:r>
            <w:r>
              <w:rPr>
                <w:rFonts w:hint="eastAsia" w:ascii="宋体" w:hAnsi="宋体" w:cs="宋体"/>
                <w:color w:val="auto"/>
                <w:sz w:val="24"/>
                <w:highlight w:val="none"/>
                <w:lang w:val="en-US" w:eastAsia="zh-CN"/>
              </w:rPr>
              <w:t>内任意一月</w:t>
            </w:r>
            <w:r>
              <w:rPr>
                <w:rFonts w:hint="eastAsia" w:ascii="宋体" w:hAnsi="宋体" w:eastAsia="宋体" w:cs="宋体"/>
                <w:color w:val="auto"/>
                <w:sz w:val="24"/>
                <w:highlight w:val="none"/>
                <w:lang w:val="en-US" w:eastAsia="zh-CN"/>
              </w:rPr>
              <w:t>的社保证明和近</w:t>
            </w: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lang w:val="en-US" w:eastAsia="zh-CN"/>
              </w:rPr>
              <w:t>个月</w:t>
            </w:r>
            <w:r>
              <w:rPr>
                <w:rFonts w:hint="eastAsia" w:ascii="宋体" w:hAnsi="宋体" w:cs="宋体"/>
                <w:color w:val="auto"/>
                <w:sz w:val="24"/>
                <w:highlight w:val="none"/>
                <w:lang w:val="en-US" w:eastAsia="zh-CN"/>
              </w:rPr>
              <w:t>内任意一月</w:t>
            </w:r>
            <w:r>
              <w:rPr>
                <w:rFonts w:hint="eastAsia" w:ascii="宋体" w:hAnsi="宋体" w:eastAsia="宋体" w:cs="宋体"/>
                <w:color w:val="auto"/>
                <w:sz w:val="24"/>
                <w:highlight w:val="none"/>
                <w:lang w:val="en-US" w:eastAsia="zh-CN"/>
              </w:rPr>
              <w:t>的完税证明；</w:t>
            </w:r>
          </w:p>
          <w:p w14:paraId="142A2F43">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五）“信用中国”网站查询截图和信用信息报告，国家企业信用信息公示系统查询截图和报告、中国政府采购网被列入严重违法失信行为记录名单的（尚在处罚期内的），经营异常名录的，将拒绝其参加本次政府采购活动﹙投标人网上自行打印后加盖投标单位公章﹚。</w:t>
            </w:r>
          </w:p>
          <w:p w14:paraId="2B12D60B">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（六）本项目不接受联合体投标。</w:t>
            </w:r>
          </w:p>
          <w:p w14:paraId="62C80852">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财务要求：财务状况良好。</w:t>
            </w:r>
          </w:p>
          <w:p w14:paraId="1448D82B">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业绩要求：本项目不作强制要求。</w:t>
            </w:r>
          </w:p>
          <w:p w14:paraId="186C3F4A">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信誉要求：良好，无不良行为记录。</w:t>
            </w:r>
          </w:p>
          <w:p w14:paraId="6DC7929F">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其他要求：无</w:t>
            </w:r>
          </w:p>
        </w:tc>
      </w:tr>
      <w:tr w14:paraId="5A052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50" w:type="dxa"/>
            <w:noWrap w:val="0"/>
            <w:vAlign w:val="center"/>
          </w:tcPr>
          <w:p w14:paraId="06694452">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9562" w:type="dxa"/>
            <w:noWrap w:val="0"/>
            <w:vAlign w:val="center"/>
          </w:tcPr>
          <w:p w14:paraId="10E20092">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投标保证金：</w:t>
            </w:r>
            <w:r>
              <w:rPr>
                <w:rFonts w:hint="eastAsia" w:ascii="宋体" w:hAnsi="宋体" w:cs="宋体"/>
                <w:color w:val="auto"/>
                <w:sz w:val="24"/>
                <w:highlight w:val="none"/>
                <w:lang w:val="en-US" w:eastAsia="zh-CN"/>
              </w:rPr>
              <w:t>本项目不做要求</w:t>
            </w:r>
          </w:p>
        </w:tc>
      </w:tr>
      <w:tr w14:paraId="32A1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50" w:type="dxa"/>
            <w:noWrap w:val="0"/>
            <w:vAlign w:val="center"/>
          </w:tcPr>
          <w:p w14:paraId="1D149A7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9562" w:type="dxa"/>
            <w:noWrap w:val="0"/>
            <w:vAlign w:val="center"/>
          </w:tcPr>
          <w:p w14:paraId="04F5794B">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投标文件有效期：60天</w:t>
            </w:r>
          </w:p>
        </w:tc>
      </w:tr>
      <w:tr w14:paraId="24F8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50" w:type="dxa"/>
            <w:noWrap w:val="0"/>
            <w:vAlign w:val="center"/>
          </w:tcPr>
          <w:p w14:paraId="3AC2A52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9562" w:type="dxa"/>
            <w:noWrap w:val="0"/>
            <w:vAlign w:val="center"/>
          </w:tcPr>
          <w:p w14:paraId="0DD30320">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投标截止</w:t>
            </w:r>
            <w:r>
              <w:rPr>
                <w:rFonts w:hint="eastAsia" w:ascii="宋体" w:hAnsi="宋体" w:eastAsia="宋体" w:cs="宋体"/>
                <w:color w:val="auto"/>
                <w:sz w:val="24"/>
                <w:highlight w:val="none"/>
              </w:rPr>
              <w:t>时间：</w:t>
            </w:r>
            <w:r>
              <w:rPr>
                <w:rFonts w:hint="eastAsia" w:ascii="宋体" w:hAnsi="宋体" w:cs="宋体"/>
                <w:color w:val="auto"/>
                <w:sz w:val="24"/>
                <w:highlight w:val="none"/>
                <w:lang w:eastAsia="zh-CN"/>
              </w:rPr>
              <w:t>2024年0</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月0</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日11:00</w:t>
            </w:r>
            <w:r>
              <w:rPr>
                <w:rFonts w:hint="eastAsia" w:ascii="宋体" w:hAnsi="宋体" w:eastAsia="宋体" w:cs="宋体"/>
                <w:color w:val="auto"/>
                <w:sz w:val="24"/>
                <w:highlight w:val="none"/>
              </w:rPr>
              <w:t>（北京时间）</w:t>
            </w:r>
          </w:p>
        </w:tc>
      </w:tr>
      <w:tr w14:paraId="7BB14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50" w:type="dxa"/>
            <w:noWrap w:val="0"/>
            <w:vAlign w:val="center"/>
          </w:tcPr>
          <w:p w14:paraId="35076FC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9562" w:type="dxa"/>
            <w:noWrap w:val="0"/>
            <w:vAlign w:val="center"/>
          </w:tcPr>
          <w:p w14:paraId="2681054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投标文件递交地点：</w:t>
            </w:r>
            <w:r>
              <w:rPr>
                <w:rFonts w:hint="eastAsia" w:ascii="宋体" w:hAnsi="宋体" w:cs="宋体"/>
                <w:color w:val="auto"/>
                <w:sz w:val="24"/>
                <w:highlight w:val="none"/>
                <w:lang w:eastAsia="zh-CN"/>
              </w:rPr>
              <w:t>政采云一站式政府采购云平台</w:t>
            </w:r>
          </w:p>
        </w:tc>
      </w:tr>
      <w:tr w14:paraId="58F9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50" w:type="dxa"/>
            <w:noWrap w:val="0"/>
            <w:vAlign w:val="center"/>
          </w:tcPr>
          <w:p w14:paraId="4F07969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9562" w:type="dxa"/>
            <w:noWrap w:val="0"/>
            <w:vAlign w:val="center"/>
          </w:tcPr>
          <w:p w14:paraId="562A353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开标日期：</w:t>
            </w:r>
            <w:r>
              <w:rPr>
                <w:rFonts w:hint="eastAsia" w:ascii="宋体" w:hAnsi="宋体" w:cs="宋体"/>
                <w:color w:val="auto"/>
                <w:sz w:val="24"/>
                <w:highlight w:val="none"/>
                <w:lang w:eastAsia="zh-CN"/>
              </w:rPr>
              <w:t>2024年09月04日11:00</w:t>
            </w:r>
            <w:r>
              <w:rPr>
                <w:rFonts w:hint="eastAsia" w:ascii="宋体" w:hAnsi="宋体" w:eastAsia="宋体" w:cs="宋体"/>
                <w:color w:val="auto"/>
                <w:sz w:val="24"/>
                <w:highlight w:val="none"/>
              </w:rPr>
              <w:t>（北京时间）</w:t>
            </w:r>
          </w:p>
          <w:p w14:paraId="113057C5">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开标地点：</w:t>
            </w:r>
            <w:r>
              <w:rPr>
                <w:rFonts w:hint="eastAsia" w:ascii="宋体" w:hAnsi="宋体" w:eastAsia="宋体" w:cs="宋体"/>
                <w:color w:val="auto"/>
                <w:sz w:val="24"/>
                <w:highlight w:val="none"/>
                <w:lang w:eastAsia="zh-CN"/>
              </w:rPr>
              <w:t>政采云一站式政府采购云平台</w:t>
            </w:r>
          </w:p>
          <w:p w14:paraId="403343E6">
            <w:pPr>
              <w:spacing w:line="360" w:lineRule="auto"/>
              <w:rPr>
                <w:rFonts w:hint="eastAsia"/>
                <w:color w:val="auto"/>
              </w:rPr>
            </w:pPr>
            <w:r>
              <w:rPr>
                <w:rFonts w:hint="eastAsia" w:ascii="宋体" w:hAnsi="宋体" w:eastAsia="宋体" w:cs="宋体"/>
                <w:color w:val="auto"/>
                <w:sz w:val="24"/>
                <w:highlight w:val="none"/>
                <w:lang w:val="en-US" w:eastAsia="zh-CN"/>
              </w:rPr>
              <w:t>备注：供应商需要使用CA锁，登录政府采购云平台电子投标客户端制作投标文件，将生成的“JMBS格式电子加密投标文件”上传递交至“政府采购云平台”</w:t>
            </w:r>
          </w:p>
        </w:tc>
      </w:tr>
      <w:tr w14:paraId="7AE7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50" w:type="dxa"/>
            <w:noWrap w:val="0"/>
            <w:vAlign w:val="center"/>
          </w:tcPr>
          <w:p w14:paraId="1088ED3A">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9562" w:type="dxa"/>
            <w:noWrap w:val="0"/>
            <w:vAlign w:val="center"/>
          </w:tcPr>
          <w:p w14:paraId="4C182A89">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招标代理费</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由招标人、中标单位、招标代理三方协商后以现金、支票、银行汇款的方式一次性付清。</w:t>
            </w:r>
          </w:p>
          <w:p w14:paraId="7C51A5E5">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收费标准：按照发改价格〔2015〕299号通知要求，参照国家计委计价格〔2002〕1980号文及发改价格〔2011〕534号文的差额定率累进法计算，以中标金额为基准价收取招标代理服务费。</w:t>
            </w:r>
          </w:p>
        </w:tc>
      </w:tr>
      <w:tr w14:paraId="6EE89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54205111">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9562" w:type="dxa"/>
            <w:noWrap w:val="0"/>
            <w:vAlign w:val="center"/>
          </w:tcPr>
          <w:p w14:paraId="4C1C979A">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投标文件的要求：</w:t>
            </w:r>
          </w:p>
          <w:p w14:paraId="27CD613A">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本项目实行电子招投标，供应商须登录政府采购云平台申请获取采购文件，并需要使用CA锁，在新疆政府采购网--下载专区下载--供应商客户端制作投标文件，并生成JMBS格式加密文件，在投标截止前上传至政府采购云平台。若供应商参与投标,自行承担与投标有关的一切费用。</w:t>
            </w:r>
          </w:p>
          <w:p w14:paraId="09C8CA9A">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2、各供应商应在开标前确保是新疆维吾尔自治区政府采购网正式注册入库的供应商，并完成CA数字证书申领。因未注册入库、未办理CA数字证书等原因造成无法投标或投标失败等后果的由供应商自行承担。</w:t>
            </w:r>
          </w:p>
          <w:p w14:paraId="065580F9">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供应商可前往新疆政府采购网（http://www.ccgp-xinjiang.gov.cn/）下载专区，下载政府采购云平台电子投标客户端，安装完成后，可通过账号密码或CA登录客户端进行投标文件制作。在使用政府采购云平台电子投标客户端时，建议使用WIN7及以上操作系统。如有问题可拨打政府采购云平台客户服务热线</w:t>
            </w:r>
            <w:r>
              <w:rPr>
                <w:rFonts w:hint="eastAsia" w:ascii="宋体" w:hAnsi="宋体" w:cs="宋体"/>
                <w:color w:val="auto"/>
                <w:sz w:val="24"/>
                <w:highlight w:val="none"/>
                <w:lang w:val="en-US" w:eastAsia="zh-CN"/>
              </w:rPr>
              <w:t>95763</w:t>
            </w:r>
            <w:r>
              <w:rPr>
                <w:rFonts w:hint="eastAsia" w:ascii="宋体" w:hAnsi="宋体" w:eastAsia="宋体" w:cs="宋体"/>
                <w:color w:val="auto"/>
                <w:sz w:val="24"/>
                <w:highlight w:val="none"/>
                <w:lang w:val="en-US" w:eastAsia="zh-CN"/>
              </w:rPr>
              <w:t>进行咨询。</w:t>
            </w:r>
          </w:p>
          <w:p w14:paraId="389FB57A">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4、供应商在开标时须携带制作加密电子投标文件所使用的CA锁，电脑须提前配置好浏览器（建议使用360浏览器或谷歌浏览器），以便开标时在线解密。</w:t>
            </w:r>
          </w:p>
          <w:p w14:paraId="63F748FB">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5、投标供应商应当在投标截止时间前，将生成的“JMBS格式电子加密投标文件”上传递交至“政府采购云平台”，投标截止时间以后上传递交的投标文件将被“政府采购云平台”拒收。</w:t>
            </w:r>
          </w:p>
          <w:p w14:paraId="550FCD59">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评标结束后，各投标单位须在一周内按招标文件要求将纸质版投标文件递交至招标代理处（所产生的的费用投标单位自理）。纸质版投标文件可通过加密电子版投标文件打印生成，应当与电子版投标文件一致。【1、份数要求：正本壹份、副本</w:t>
            </w:r>
            <w:r>
              <w:rPr>
                <w:rFonts w:hint="eastAsia" w:ascii="宋体" w:hAnsi="宋体" w:cs="宋体"/>
                <w:color w:val="auto"/>
                <w:sz w:val="24"/>
                <w:highlight w:val="none"/>
                <w:lang w:val="en-US" w:eastAsia="zh-CN"/>
              </w:rPr>
              <w:t>叁</w:t>
            </w:r>
            <w:r>
              <w:rPr>
                <w:rFonts w:hint="eastAsia" w:ascii="宋体" w:hAnsi="宋体" w:eastAsia="宋体" w:cs="宋体"/>
                <w:color w:val="auto"/>
                <w:sz w:val="24"/>
                <w:highlight w:val="none"/>
                <w:lang w:val="en-US" w:eastAsia="zh-CN"/>
              </w:rPr>
              <w:t>份，电子标</w:t>
            </w:r>
            <w:r>
              <w:rPr>
                <w:rFonts w:hint="eastAsia" w:ascii="宋体" w:hAnsi="宋体" w:cs="宋体"/>
                <w:color w:val="auto"/>
                <w:sz w:val="24"/>
                <w:highlight w:val="none"/>
                <w:lang w:val="en-US" w:eastAsia="zh-CN"/>
              </w:rPr>
              <w:t>肆</w:t>
            </w:r>
            <w:r>
              <w:rPr>
                <w:rFonts w:hint="eastAsia" w:ascii="宋体" w:hAnsi="宋体" w:eastAsia="宋体" w:cs="宋体"/>
                <w:color w:val="auto"/>
                <w:sz w:val="24"/>
                <w:highlight w:val="none"/>
                <w:lang w:val="en-US" w:eastAsia="zh-CN"/>
              </w:rPr>
              <w:t>份（U盘）。2、装订要求：投标文件商务技术部分装订成一册，投标文件的装订必须采用死页胶粘本。】</w:t>
            </w:r>
          </w:p>
        </w:tc>
      </w:tr>
      <w:tr w14:paraId="6A8A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334E2DE5">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9562" w:type="dxa"/>
            <w:noWrap w:val="0"/>
            <w:vAlign w:val="center"/>
          </w:tcPr>
          <w:p w14:paraId="6178A330">
            <w:pPr>
              <w:spacing w:line="360" w:lineRule="auto"/>
              <w:rPr>
                <w:rFonts w:ascii="宋体" w:hAnsi="宋体" w:cs="宋体"/>
                <w:color w:val="auto"/>
                <w:sz w:val="24"/>
                <w:highlight w:val="none"/>
              </w:rPr>
            </w:pPr>
            <w:r>
              <w:rPr>
                <w:rFonts w:hint="eastAsia" w:ascii="宋体" w:hAnsi="宋体" w:cs="宋体"/>
                <w:color w:val="auto"/>
                <w:sz w:val="24"/>
                <w:highlight w:val="none"/>
              </w:rPr>
              <w:t>踏勘现场：不组织，投标人可自行踏勘现场。</w:t>
            </w:r>
          </w:p>
        </w:tc>
      </w:tr>
      <w:tr w14:paraId="1842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0E35042B">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9562" w:type="dxa"/>
            <w:noWrap w:val="0"/>
            <w:vAlign w:val="center"/>
          </w:tcPr>
          <w:p w14:paraId="20C7566B">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评标委员会的组建：</w:t>
            </w:r>
          </w:p>
          <w:p w14:paraId="54182DD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评标委员会由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5 </w:t>
            </w:r>
            <w:r>
              <w:rPr>
                <w:rFonts w:hint="eastAsia" w:ascii="宋体" w:hAnsi="宋体" w:cs="宋体"/>
                <w:color w:val="auto"/>
                <w:sz w:val="24"/>
                <w:highlight w:val="none"/>
              </w:rPr>
              <w:t>人构成其中招标人代表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人（应当具备评标专家相应的或者类似的条件），专</w:t>
            </w:r>
            <w:r>
              <w:rPr>
                <w:rFonts w:hint="eastAsia" w:ascii="宋体" w:hAnsi="宋体" w:cs="宋体"/>
                <w:color w:val="000000" w:themeColor="text1"/>
                <w:sz w:val="24"/>
                <w:highlight w:val="none"/>
                <w14:textFill>
                  <w14:solidFill>
                    <w14:schemeClr w14:val="tx1"/>
                  </w14:solidFill>
                </w14:textFill>
              </w:rPr>
              <w:t>家</w:t>
            </w:r>
            <w:r>
              <w:rPr>
                <w:rFonts w:hint="eastAsia" w:ascii="宋体" w:hAnsi="宋体" w:cs="宋体"/>
                <w:color w:val="000000" w:themeColor="text1"/>
                <w:sz w:val="24"/>
                <w:highlight w:val="none"/>
                <w:u w:val="single"/>
                <w:lang w:val="en-US" w:eastAsia="zh-CN"/>
                <w14:textFill>
                  <w14:solidFill>
                    <w14:schemeClr w14:val="tx1"/>
                  </w14:solidFill>
                </w14:textFill>
              </w:rPr>
              <w:t xml:space="preserve"> 5 </w:t>
            </w:r>
            <w:r>
              <w:rPr>
                <w:rFonts w:hint="eastAsia" w:ascii="宋体" w:hAnsi="宋体" w:cs="宋体"/>
                <w:color w:val="000000" w:themeColor="text1"/>
                <w:sz w:val="24"/>
                <w:highlight w:val="none"/>
                <w14:textFill>
                  <w14:solidFill>
                    <w14:schemeClr w14:val="tx1"/>
                  </w14:solidFill>
                </w14:textFill>
              </w:rPr>
              <w:t>人</w:t>
            </w:r>
            <w:r>
              <w:rPr>
                <w:rFonts w:hint="eastAsia" w:ascii="宋体" w:hAnsi="宋体" w:cs="宋体"/>
                <w:color w:val="auto"/>
                <w:sz w:val="24"/>
                <w:highlight w:val="none"/>
              </w:rPr>
              <w:t>；</w:t>
            </w:r>
          </w:p>
          <w:p w14:paraId="6A2E7208">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评标专家确定方式： 从政府采购专家库随机抽取</w:t>
            </w:r>
          </w:p>
        </w:tc>
      </w:tr>
      <w:tr w14:paraId="47667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1CA6ABFE">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p>
        </w:tc>
        <w:tc>
          <w:tcPr>
            <w:tcW w:w="9562" w:type="dxa"/>
            <w:noWrap w:val="0"/>
            <w:vAlign w:val="center"/>
          </w:tcPr>
          <w:p w14:paraId="773FE144">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评标委员会推荐中标候选人的人数：3人</w:t>
            </w:r>
          </w:p>
        </w:tc>
      </w:tr>
      <w:tr w14:paraId="25105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3529EF52">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p>
        </w:tc>
        <w:tc>
          <w:tcPr>
            <w:tcW w:w="9562" w:type="dxa"/>
            <w:noWrap w:val="0"/>
            <w:vAlign w:val="center"/>
          </w:tcPr>
          <w:p w14:paraId="3C461F7A">
            <w:pPr>
              <w:spacing w:line="360" w:lineRule="auto"/>
              <w:rPr>
                <w:rFonts w:hint="eastAsia" w:ascii="宋体" w:hAnsi="宋体" w:cs="宋体"/>
                <w:color w:val="auto"/>
                <w:sz w:val="24"/>
                <w:highlight w:val="none"/>
              </w:rPr>
            </w:pPr>
            <w:r>
              <w:rPr>
                <w:rFonts w:hint="eastAsia" w:ascii="宋体" w:hAnsi="宋体" w:cs="宋体"/>
                <w:color w:val="auto"/>
                <w:sz w:val="24"/>
                <w:highlight w:val="none"/>
              </w:rPr>
              <w:t>是否授权评标委员会确定中标人：否</w:t>
            </w:r>
          </w:p>
        </w:tc>
      </w:tr>
      <w:tr w14:paraId="774B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4CC8B291">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p>
        </w:tc>
        <w:tc>
          <w:tcPr>
            <w:tcW w:w="9562" w:type="dxa"/>
            <w:noWrap w:val="0"/>
            <w:vAlign w:val="center"/>
          </w:tcPr>
          <w:p w14:paraId="6EB386E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中标公示及中标公告媒介：</w:t>
            </w:r>
            <w:r>
              <w:rPr>
                <w:rFonts w:hint="eastAsia" w:ascii="宋体" w:hAnsi="宋体" w:cs="宋体"/>
                <w:color w:val="auto"/>
                <w:sz w:val="24"/>
                <w:highlight w:val="none"/>
                <w:lang w:eastAsia="zh-CN"/>
              </w:rPr>
              <w:t>新疆政府采购网、阿克苏地区行政公署网</w:t>
            </w:r>
          </w:p>
        </w:tc>
      </w:tr>
      <w:tr w14:paraId="5052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6FA0B85E">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p>
        </w:tc>
        <w:tc>
          <w:tcPr>
            <w:tcW w:w="9562" w:type="dxa"/>
            <w:noWrap w:val="0"/>
            <w:vAlign w:val="center"/>
          </w:tcPr>
          <w:p w14:paraId="6912E86F">
            <w:pPr>
              <w:spacing w:line="360" w:lineRule="auto"/>
              <w:rPr>
                <w:rFonts w:hint="eastAsia" w:ascii="宋体" w:hAnsi="宋体" w:cs="宋体"/>
                <w:color w:val="auto"/>
                <w:sz w:val="24"/>
                <w:highlight w:val="none"/>
              </w:rPr>
            </w:pPr>
            <w:r>
              <w:rPr>
                <w:rFonts w:hint="eastAsia" w:ascii="宋体" w:hAnsi="宋体" w:cs="宋体"/>
                <w:color w:val="auto"/>
                <w:sz w:val="24"/>
                <w:highlight w:val="none"/>
              </w:rPr>
              <w:t>构成招标文件的其他资料：答疑、澄清、修改、补充文件</w:t>
            </w:r>
          </w:p>
        </w:tc>
      </w:tr>
      <w:tr w14:paraId="0409E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7BDCD99A">
            <w:pPr>
              <w:adjustRightInd w:val="0"/>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9562" w:type="dxa"/>
            <w:noWrap w:val="0"/>
            <w:vAlign w:val="center"/>
          </w:tcPr>
          <w:p w14:paraId="184FC953">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评标办法：综合评分法</w:t>
            </w:r>
          </w:p>
        </w:tc>
      </w:tr>
      <w:tr w14:paraId="0954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24453D03">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9562" w:type="dxa"/>
            <w:noWrap w:val="0"/>
            <w:vAlign w:val="center"/>
          </w:tcPr>
          <w:p w14:paraId="34D39034">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投标人信用信息查询：</w:t>
            </w:r>
          </w:p>
          <w:p w14:paraId="32B85FF0">
            <w:pPr>
              <w:numPr>
                <w:ilvl w:val="0"/>
                <w:numId w:val="2"/>
              </w:numPr>
              <w:adjustRightInd w:val="0"/>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查询渠道：</w:t>
            </w:r>
          </w:p>
          <w:p w14:paraId="736524AF">
            <w:pPr>
              <w:adjustRightInd w:val="0"/>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国家企业信用信息公示系统（http://www.gsxt.gov.cn/index.html）</w:t>
            </w:r>
          </w:p>
          <w:p w14:paraId="5C2FBE50">
            <w:pPr>
              <w:adjustRightInd w:val="0"/>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信用中国（www.creditchina.gov.cn）</w:t>
            </w:r>
          </w:p>
          <w:p w14:paraId="0E425480">
            <w:pPr>
              <w:adjustRightInd w:val="0"/>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lang w:eastAsia="zh-CN"/>
              </w:rPr>
              <w:t>中国政府采购网（http://www.ccgp.gov.cn/）</w:t>
            </w:r>
            <w:r>
              <w:rPr>
                <w:rFonts w:hint="eastAsia" w:ascii="宋体" w:hAnsi="宋体" w:cs="宋体"/>
                <w:color w:val="auto"/>
                <w:sz w:val="24"/>
                <w:highlight w:val="none"/>
              </w:rPr>
              <w:t xml:space="preserve">          </w:t>
            </w:r>
          </w:p>
          <w:p w14:paraId="36CED71B">
            <w:pPr>
              <w:numPr>
                <w:ilvl w:val="0"/>
                <w:numId w:val="2"/>
              </w:num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信用信息查询记录和证据留存的方式：网页截图</w:t>
            </w:r>
          </w:p>
          <w:p w14:paraId="69554575">
            <w:pPr>
              <w:numPr>
                <w:ilvl w:val="0"/>
                <w:numId w:val="2"/>
              </w:num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信用信息的使用规则：经核查投标企业被列入失信被执行人、重大税收违法案件当事人名单、政府采购严重违法失信行为记录名单、经营异常名录等黑名单的将拒绝其投标。</w:t>
            </w:r>
            <w:r>
              <w:rPr>
                <w:rFonts w:hint="eastAsia" w:ascii="宋体" w:hAnsi="宋体" w:cs="宋体"/>
                <w:color w:val="auto"/>
                <w:sz w:val="24"/>
                <w:highlight w:val="none"/>
                <w:lang w:eastAsia="zh-CN"/>
              </w:rPr>
              <w:t>（以</w:t>
            </w:r>
            <w:r>
              <w:rPr>
                <w:rFonts w:hint="eastAsia" w:ascii="宋体" w:hAnsi="宋体" w:cs="宋体"/>
                <w:color w:val="auto"/>
                <w:sz w:val="24"/>
                <w:highlight w:val="none"/>
                <w:lang w:val="en-US" w:eastAsia="zh-CN"/>
              </w:rPr>
              <w:t>供应商在</w:t>
            </w:r>
            <w:r>
              <w:rPr>
                <w:rFonts w:hint="eastAsia" w:ascii="宋体" w:hAnsi="宋体" w:cs="宋体"/>
                <w:color w:val="auto"/>
                <w:sz w:val="24"/>
                <w:highlight w:val="none"/>
                <w:lang w:eastAsia="zh-CN"/>
              </w:rPr>
              <w:t>投标截止日</w:t>
            </w:r>
            <w:r>
              <w:rPr>
                <w:rFonts w:hint="eastAsia" w:ascii="宋体" w:hAnsi="宋体" w:cs="宋体"/>
                <w:color w:val="auto"/>
                <w:sz w:val="24"/>
                <w:highlight w:val="none"/>
                <w:lang w:val="en-US" w:eastAsia="zh-CN"/>
              </w:rPr>
              <w:t>期</w:t>
            </w:r>
            <w:r>
              <w:rPr>
                <w:rFonts w:hint="eastAsia" w:ascii="宋体" w:hAnsi="宋体" w:cs="宋体"/>
                <w:color w:val="auto"/>
                <w:sz w:val="24"/>
                <w:highlight w:val="none"/>
                <w:lang w:eastAsia="zh-CN"/>
              </w:rPr>
              <w:t>前</w:t>
            </w:r>
            <w:r>
              <w:rPr>
                <w:rFonts w:hint="eastAsia" w:ascii="宋体" w:hAnsi="宋体" w:cs="宋体"/>
                <w:color w:val="auto"/>
                <w:sz w:val="24"/>
                <w:highlight w:val="none"/>
                <w:lang w:val="en-US" w:eastAsia="zh-CN"/>
              </w:rPr>
              <w:t>的信用信息</w:t>
            </w:r>
            <w:r>
              <w:rPr>
                <w:rFonts w:hint="eastAsia" w:ascii="宋体" w:hAnsi="宋体" w:cs="宋体"/>
                <w:color w:val="auto"/>
                <w:sz w:val="24"/>
                <w:highlight w:val="none"/>
                <w:lang w:eastAsia="zh-CN"/>
              </w:rPr>
              <w:t>查询结果为准，如相关失信记录已失效，投标人需提供相关证明资料）</w:t>
            </w:r>
            <w:r>
              <w:rPr>
                <w:rFonts w:hint="eastAsia" w:ascii="宋体" w:hAnsi="宋体" w:cs="宋体"/>
                <w:color w:val="auto"/>
                <w:sz w:val="24"/>
                <w:highlight w:val="none"/>
              </w:rPr>
              <w:t>。</w:t>
            </w:r>
          </w:p>
        </w:tc>
      </w:tr>
      <w:tr w14:paraId="12575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17D4FC97">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w:t>
            </w:r>
          </w:p>
        </w:tc>
        <w:tc>
          <w:tcPr>
            <w:tcW w:w="9562" w:type="dxa"/>
            <w:noWrap w:val="0"/>
            <w:vAlign w:val="center"/>
          </w:tcPr>
          <w:p w14:paraId="4B54FDC2">
            <w:pPr>
              <w:keepLines w:val="0"/>
              <w:widowControl w:val="0"/>
              <w:numPr>
                <w:ilvl w:val="0"/>
                <w:numId w:val="0"/>
              </w:numPr>
              <w:kinsoku/>
              <w:wordWrap/>
              <w:overflowPunct/>
              <w:bidi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1、政府采购强制采购：(1)标记●符号的节能产品；(2)其他。</w:t>
            </w:r>
          </w:p>
          <w:p w14:paraId="516D2F1E">
            <w:pPr>
              <w:keepLines w:val="0"/>
              <w:widowControl w:val="0"/>
              <w:numPr>
                <w:ilvl w:val="0"/>
                <w:numId w:val="0"/>
              </w:numPr>
              <w:kinsoku/>
              <w:wordWrap/>
              <w:overflowPunct/>
              <w:bidi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采购《节能产品政府采购清单》内的产品。</w:t>
            </w:r>
          </w:p>
          <w:p w14:paraId="7106A72C">
            <w:pPr>
              <w:keepLines w:val="0"/>
              <w:widowControl w:val="0"/>
              <w:numPr>
                <w:ilvl w:val="0"/>
                <w:numId w:val="0"/>
              </w:numPr>
              <w:kinsoku/>
              <w:wordWrap/>
              <w:overflowPunct/>
              <w:bidi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2、政府采购优先采购：(1)非标记●符号的节能产品；(2)环境标志产品；</w:t>
            </w:r>
          </w:p>
          <w:p w14:paraId="2106B1D5">
            <w:pPr>
              <w:keepLines w:val="0"/>
              <w:widowControl w:val="0"/>
              <w:numPr>
                <w:ilvl w:val="0"/>
                <w:numId w:val="0"/>
              </w:numPr>
              <w:kinsoku/>
              <w:wordWrap/>
              <w:overflowPunct/>
              <w:bidi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3、采购产品为《节能产品政府采购清单》内非标记●符号的节能产品及《环境标志产品政府采购清单》内的产品：</w:t>
            </w:r>
          </w:p>
          <w:p w14:paraId="070F47D6">
            <w:pPr>
              <w:numPr>
                <w:ilvl w:val="0"/>
                <w:numId w:val="0"/>
              </w:numPr>
              <w:adjustRightInd w:val="0"/>
              <w:snapToGrid w:val="0"/>
              <w:spacing w:line="360" w:lineRule="auto"/>
              <w:rPr>
                <w:rFonts w:hint="eastAsia" w:ascii="宋体" w:hAnsi="宋体" w:cs="宋体"/>
                <w:color w:val="auto"/>
                <w:sz w:val="24"/>
                <w:highlight w:val="none"/>
              </w:rPr>
            </w:pPr>
            <w:r>
              <w:rPr>
                <w:rFonts w:hint="eastAsia" w:ascii="宋体" w:hAnsi="宋体" w:eastAsia="宋体" w:cs="宋体"/>
                <w:color w:val="auto"/>
                <w:sz w:val="24"/>
                <w:szCs w:val="24"/>
                <w:highlight w:val="none"/>
                <w:lang w:val="en-US" w:eastAsia="zh-CN"/>
              </w:rPr>
              <w:t>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14:paraId="6867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6800733B">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23</w:t>
            </w:r>
          </w:p>
        </w:tc>
        <w:tc>
          <w:tcPr>
            <w:tcW w:w="9562" w:type="dxa"/>
            <w:noWrap w:val="0"/>
            <w:vAlign w:val="center"/>
          </w:tcPr>
          <w:p w14:paraId="2B8CEFE1">
            <w:pPr>
              <w:numPr>
                <w:ilvl w:val="0"/>
                <w:numId w:val="0"/>
              </w:numPr>
              <w:adjustRightInd w:val="0"/>
              <w:snapToGrid w:val="0"/>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根据中华人民共和国财政部、中华人民共和国工业和信息化部《政府采购促进中小企业发展管理办法》(财库〔2020〕46号)文件的规定，属于中小企业评审优惠内容及幅度如下：</w:t>
            </w:r>
          </w:p>
          <w:p w14:paraId="3799D520">
            <w:pPr>
              <w:numPr>
                <w:ilvl w:val="0"/>
                <w:numId w:val="0"/>
              </w:num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（一）中小企业（含中型、小型、微型企业）应当同时符合以下条件：</w:t>
            </w:r>
          </w:p>
          <w:p w14:paraId="058A476C">
            <w:pPr>
              <w:numPr>
                <w:ilvl w:val="0"/>
                <w:numId w:val="0"/>
              </w:num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①符合中小企业划分标准（按《关于印发中小企业划型标准规定的通知》（工信部联企业〔2011〕300号）执行）；</w:t>
            </w:r>
          </w:p>
          <w:p w14:paraId="0D6E47F4">
            <w:pPr>
              <w:numPr>
                <w:ilvl w:val="0"/>
                <w:numId w:val="0"/>
              </w:num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②提供本企业制造的货物、承担的项目或者服务，或者提供其他中小企业制造的货物。本项所称货物不包括使用大型企业注册商标的货物；</w:t>
            </w:r>
          </w:p>
          <w:p w14:paraId="79433E26">
            <w:pPr>
              <w:numPr>
                <w:ilvl w:val="0"/>
                <w:numId w:val="0"/>
              </w:num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③小型、微型企业提供中型企业制造的货物的，视同为中型企业。</w:t>
            </w:r>
          </w:p>
          <w:p w14:paraId="01942DC6">
            <w:pPr>
              <w:adjustRightInd w:val="0"/>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（二）价格扣</w:t>
            </w:r>
            <w:r>
              <w:rPr>
                <w:rFonts w:hint="eastAsia" w:ascii="宋体" w:hAnsi="宋体" w:eastAsia="宋体" w:cs="宋体"/>
                <w:color w:val="auto"/>
                <w:sz w:val="24"/>
                <w:highlight w:val="none"/>
              </w:rPr>
              <w:t>除办法：</w:t>
            </w:r>
          </w:p>
          <w:p w14:paraId="57B37218">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1、采购限额标准以上，200万元以下的货物和服务采购项目、400万元以下的工程采购项目，适宜由中小企业提供的，采购人应当专门面向中小企业采购。</w:t>
            </w:r>
          </w:p>
          <w:p w14:paraId="4CE665C3">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2、超过200万元的货物和服务采购项目，预留该部分采购项目预算总额的30%以上专门面向中小企业采购，其中预留给小微企业的比例不低于60%。</w:t>
            </w:r>
          </w:p>
          <w:p w14:paraId="3CDC91E8">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3、超过400万元的工程采购项目中适宜由中小企业提供的，预留该部分采购项目预算总额的40%以上专门面向中小企业采购，其中预留给小微企业的比例不低于60%。</w:t>
            </w:r>
          </w:p>
          <w:p w14:paraId="111FED61">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902336A">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C42BE61">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（三）小型和微型企业适用价格扣除办法时应提供的相关资料：《中小企业声明函》</w:t>
            </w:r>
          </w:p>
          <w:p w14:paraId="4BFD555F">
            <w:pPr>
              <w:numPr>
                <w:ilvl w:val="0"/>
                <w:numId w:val="0"/>
              </w:numPr>
              <w:adjustRightInd w:val="0"/>
              <w:snapToGrid w:val="0"/>
              <w:spacing w:line="360" w:lineRule="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本项目所属行业：</w:t>
            </w:r>
            <w:r>
              <w:rPr>
                <w:rFonts w:hint="eastAsia" w:ascii="宋体" w:hAnsi="宋体" w:cs="宋体"/>
                <w:b/>
                <w:bCs/>
                <w:color w:val="000000" w:themeColor="text1"/>
                <w:sz w:val="24"/>
                <w:szCs w:val="24"/>
                <w:highlight w:val="none"/>
                <w:lang w:val="en-US" w:eastAsia="zh-CN"/>
                <w14:textFill>
                  <w14:solidFill>
                    <w14:schemeClr w14:val="tx1"/>
                  </w14:solidFill>
                </w14:textFill>
              </w:rPr>
              <w:t>工业</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p>
          <w:p w14:paraId="389E839C">
            <w:pPr>
              <w:numPr>
                <w:ilvl w:val="0"/>
                <w:numId w:val="0"/>
              </w:numPr>
              <w:adjustRightInd w:val="0"/>
              <w:snapToGrid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本项目</w:t>
            </w: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专门</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面向</w:t>
            </w: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中小</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企业</w:t>
            </w: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w:t>
            </w:r>
          </w:p>
        </w:tc>
      </w:tr>
      <w:tr w14:paraId="000F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3D4B3176">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24</w:t>
            </w:r>
          </w:p>
        </w:tc>
        <w:tc>
          <w:tcPr>
            <w:tcW w:w="9562" w:type="dxa"/>
            <w:noWrap w:val="0"/>
            <w:vAlign w:val="center"/>
          </w:tcPr>
          <w:p w14:paraId="0C1403D9">
            <w:pPr>
              <w:keepLines w:val="0"/>
              <w:widowControl w:val="0"/>
              <w:numPr>
                <w:ilvl w:val="0"/>
                <w:numId w:val="0"/>
              </w:numPr>
              <w:kinsoku/>
              <w:wordWrap/>
              <w:overflowPunct/>
              <w:bidi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政府采购支持中小企业融资：有融资需求的，可查询相关业务。</w:t>
            </w:r>
          </w:p>
          <w:p w14:paraId="1F22309B">
            <w:pPr>
              <w:numPr>
                <w:ilvl w:val="0"/>
                <w:numId w:val="0"/>
              </w:num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政府采购信用担保：有担保需求的，可查询相关业务。</w:t>
            </w:r>
          </w:p>
        </w:tc>
      </w:tr>
      <w:tr w14:paraId="56930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1D86FAA6">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25</w:t>
            </w:r>
          </w:p>
        </w:tc>
        <w:tc>
          <w:tcPr>
            <w:tcW w:w="9562" w:type="dxa"/>
            <w:noWrap w:val="0"/>
            <w:vAlign w:val="center"/>
          </w:tcPr>
          <w:p w14:paraId="23F5880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投标人不得存在下列情形之一：</w:t>
            </w:r>
          </w:p>
          <w:p w14:paraId="4AB878D5">
            <w:pPr>
              <w:spacing w:line="360" w:lineRule="auto"/>
              <w:rPr>
                <w:rFonts w:hint="eastAsia" w:ascii="宋体" w:hAnsi="宋体" w:cs="宋体"/>
                <w:color w:val="auto"/>
                <w:sz w:val="24"/>
                <w:highlight w:val="none"/>
              </w:rPr>
            </w:pPr>
            <w:r>
              <w:rPr>
                <w:rFonts w:hint="eastAsia" w:ascii="宋体" w:hAnsi="宋体" w:cs="宋体"/>
                <w:color w:val="auto"/>
                <w:sz w:val="24"/>
                <w:highlight w:val="none"/>
              </w:rPr>
              <w:t>（1）与招标人存在利害关系且可能影响招标公正性；</w:t>
            </w:r>
          </w:p>
          <w:p w14:paraId="084DB35F">
            <w:pPr>
              <w:spacing w:line="360" w:lineRule="auto"/>
              <w:rPr>
                <w:rFonts w:hint="eastAsia" w:ascii="宋体" w:hAnsi="宋体" w:cs="宋体"/>
                <w:color w:val="auto"/>
                <w:sz w:val="24"/>
                <w:highlight w:val="none"/>
              </w:rPr>
            </w:pPr>
            <w:r>
              <w:rPr>
                <w:rFonts w:hint="eastAsia" w:ascii="宋体" w:hAnsi="宋体" w:cs="宋体"/>
                <w:color w:val="auto"/>
                <w:sz w:val="24"/>
                <w:highlight w:val="none"/>
              </w:rPr>
              <w:t>（2）与本招标项目的其他投标人为同一个单位负责人；</w:t>
            </w:r>
          </w:p>
          <w:p w14:paraId="2CDFACB7">
            <w:pPr>
              <w:spacing w:line="360" w:lineRule="auto"/>
              <w:rPr>
                <w:rFonts w:hint="eastAsia" w:ascii="宋体" w:hAnsi="宋体" w:cs="宋体"/>
                <w:color w:val="auto"/>
                <w:sz w:val="24"/>
                <w:highlight w:val="none"/>
              </w:rPr>
            </w:pPr>
            <w:r>
              <w:rPr>
                <w:rFonts w:hint="eastAsia" w:ascii="宋体" w:hAnsi="宋体" w:cs="宋体"/>
                <w:color w:val="auto"/>
                <w:sz w:val="24"/>
                <w:highlight w:val="none"/>
              </w:rPr>
              <w:t>（3）与本招标项目的其他投标人存在控股、管理关系；</w:t>
            </w:r>
          </w:p>
          <w:p w14:paraId="0E6944F4">
            <w:pPr>
              <w:spacing w:line="360" w:lineRule="auto"/>
              <w:rPr>
                <w:rFonts w:hint="eastAsia" w:ascii="宋体" w:hAnsi="宋体" w:cs="宋体"/>
                <w:color w:val="auto"/>
                <w:sz w:val="24"/>
                <w:highlight w:val="none"/>
              </w:rPr>
            </w:pPr>
            <w:r>
              <w:rPr>
                <w:rFonts w:hint="eastAsia" w:ascii="宋体" w:hAnsi="宋体" w:cs="宋体"/>
                <w:color w:val="auto"/>
                <w:sz w:val="24"/>
                <w:highlight w:val="none"/>
              </w:rPr>
              <w:t>（4）被依法暂停或者取消投标资格；</w:t>
            </w:r>
          </w:p>
          <w:p w14:paraId="17BC24AD">
            <w:pPr>
              <w:spacing w:line="360" w:lineRule="auto"/>
              <w:rPr>
                <w:rFonts w:hint="eastAsia" w:ascii="宋体" w:hAnsi="宋体" w:cs="宋体"/>
                <w:color w:val="auto"/>
                <w:sz w:val="24"/>
                <w:highlight w:val="none"/>
              </w:rPr>
            </w:pPr>
            <w:r>
              <w:rPr>
                <w:rFonts w:hint="eastAsia" w:ascii="宋体" w:hAnsi="宋体" w:cs="宋体"/>
                <w:color w:val="auto"/>
                <w:sz w:val="24"/>
                <w:highlight w:val="none"/>
              </w:rPr>
              <w:t>（5）被责令停产停业、暂扣或者吊销许可证、暂扣或者吊销执照；</w:t>
            </w:r>
          </w:p>
          <w:p w14:paraId="70F82C65">
            <w:pPr>
              <w:spacing w:line="360" w:lineRule="auto"/>
              <w:rPr>
                <w:rFonts w:hint="eastAsia" w:ascii="宋体" w:hAnsi="宋体" w:cs="宋体"/>
                <w:color w:val="auto"/>
                <w:sz w:val="24"/>
                <w:highlight w:val="none"/>
              </w:rPr>
            </w:pPr>
            <w:r>
              <w:rPr>
                <w:rFonts w:hint="eastAsia" w:ascii="宋体" w:hAnsi="宋体" w:cs="宋体"/>
                <w:color w:val="auto"/>
                <w:sz w:val="24"/>
                <w:highlight w:val="none"/>
              </w:rPr>
              <w:t>（6）进入清算程序，或被宣告破产，或其他丧失履约能力的情形；</w:t>
            </w:r>
          </w:p>
          <w:p w14:paraId="046B718B">
            <w:pPr>
              <w:spacing w:line="360" w:lineRule="auto"/>
              <w:rPr>
                <w:rFonts w:hint="eastAsia" w:ascii="宋体" w:hAnsi="宋体" w:cs="宋体"/>
                <w:color w:val="auto"/>
                <w:sz w:val="24"/>
                <w:highlight w:val="none"/>
              </w:rPr>
            </w:pPr>
            <w:r>
              <w:rPr>
                <w:rFonts w:hint="eastAsia" w:ascii="宋体" w:hAnsi="宋体" w:cs="宋体"/>
                <w:color w:val="auto"/>
                <w:sz w:val="24"/>
                <w:highlight w:val="none"/>
              </w:rPr>
              <w:t>（7）被工商行政管理机关在全国企业信用信息公示系统中列入严重违法失信企业名单；</w:t>
            </w:r>
          </w:p>
          <w:p w14:paraId="0CD2957F">
            <w:pPr>
              <w:spacing w:line="360" w:lineRule="auto"/>
              <w:rPr>
                <w:rFonts w:hint="eastAsia" w:ascii="宋体" w:hAnsi="宋体" w:cs="宋体"/>
                <w:color w:val="auto"/>
                <w:sz w:val="24"/>
                <w:highlight w:val="none"/>
              </w:rPr>
            </w:pPr>
            <w:r>
              <w:rPr>
                <w:rFonts w:hint="eastAsia" w:ascii="宋体" w:hAnsi="宋体" w:cs="宋体"/>
                <w:color w:val="auto"/>
                <w:sz w:val="24"/>
                <w:highlight w:val="none"/>
              </w:rPr>
              <w:t>（8）被最高人民法院在“信用中国”网站（www.creditchina.gov.cn）或各级信用信息共享平台中列入失信被执行人名单；</w:t>
            </w:r>
          </w:p>
          <w:p w14:paraId="4ED412F0">
            <w:pPr>
              <w:spacing w:line="360" w:lineRule="auto"/>
              <w:rPr>
                <w:rFonts w:hint="eastAsia" w:ascii="宋体" w:hAnsi="宋体" w:cs="宋体"/>
                <w:color w:val="auto"/>
                <w:sz w:val="24"/>
                <w:highlight w:val="none"/>
              </w:rPr>
            </w:pPr>
            <w:r>
              <w:rPr>
                <w:rFonts w:hint="eastAsia" w:ascii="宋体" w:hAnsi="宋体" w:cs="宋体"/>
                <w:color w:val="auto"/>
                <w:sz w:val="24"/>
                <w:highlight w:val="none"/>
              </w:rPr>
              <w:t>（9）在近三年内投标人或其法定代表人、拟委任的项目负责人有行贿犯罪行为的（以检察机关职务犯罪预防部门出具的查询结果为准）；</w:t>
            </w:r>
          </w:p>
          <w:p w14:paraId="70A37D06">
            <w:pPr>
              <w:spacing w:line="360" w:lineRule="auto"/>
              <w:rPr>
                <w:rFonts w:hint="eastAsia" w:ascii="宋体" w:hAnsi="宋体" w:cs="宋体"/>
                <w:color w:val="auto"/>
                <w:sz w:val="24"/>
                <w:highlight w:val="none"/>
              </w:rPr>
            </w:pPr>
            <w:r>
              <w:rPr>
                <w:rFonts w:hint="eastAsia" w:ascii="宋体" w:hAnsi="宋体" w:cs="宋体"/>
                <w:color w:val="auto"/>
                <w:sz w:val="24"/>
                <w:highlight w:val="none"/>
              </w:rPr>
              <w:t>（10）法律法规或投标人须知前附表规定的其他情形。</w:t>
            </w:r>
          </w:p>
        </w:tc>
      </w:tr>
      <w:tr w14:paraId="5532D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22894ECD">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26</w:t>
            </w:r>
          </w:p>
        </w:tc>
        <w:tc>
          <w:tcPr>
            <w:tcW w:w="9562" w:type="dxa"/>
            <w:noWrap w:val="0"/>
            <w:vAlign w:val="center"/>
          </w:tcPr>
          <w:p w14:paraId="11655999">
            <w:pPr>
              <w:spacing w:line="360" w:lineRule="auto"/>
              <w:rPr>
                <w:rFonts w:hint="eastAsia" w:ascii="宋体" w:hAnsi="宋体" w:cs="宋体"/>
                <w:b/>
                <w:bCs/>
                <w:color w:val="auto"/>
                <w:sz w:val="24"/>
                <w:highlight w:val="none"/>
                <w:u w:val="single"/>
              </w:rPr>
            </w:pPr>
            <w:r>
              <w:rPr>
                <w:rFonts w:hint="eastAsia" w:ascii="宋体" w:hAnsi="宋体" w:cs="宋体"/>
                <w:b/>
                <w:bCs/>
                <w:color w:val="auto"/>
                <w:sz w:val="24"/>
                <w:highlight w:val="none"/>
                <w:u w:val="single"/>
              </w:rPr>
              <w:t>低于成本价不正当竞争预防措施</w:t>
            </w:r>
            <w:r>
              <w:rPr>
                <w:rFonts w:hint="eastAsia" w:ascii="宋体" w:hAnsi="宋体" w:cs="宋体"/>
                <w:b/>
                <w:bCs/>
                <w:color w:val="auto"/>
                <w:sz w:val="24"/>
                <w:highlight w:val="none"/>
              </w:rPr>
              <w:t>：</w:t>
            </w:r>
          </w:p>
          <w:p w14:paraId="1F3F1E54">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根据“财政部87号令《政府采购货物服务招标投标管理办法》”第六十条之规定：评标委员会认为投标人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B2FB7EB">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287C9522">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6A3D6FDB">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6BCD4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33D0ADF2">
            <w:pPr>
              <w:spacing w:line="360" w:lineRule="auto"/>
              <w:jc w:val="center"/>
              <w:rPr>
                <w:rFonts w:hint="default" w:ascii="宋体" w:hAnsi="宋体" w:cs="宋体"/>
                <w:color w:val="auto"/>
                <w:sz w:val="24"/>
                <w:highlight w:val="none"/>
                <w:lang w:val="en-US" w:eastAsia="zh-CN"/>
              </w:rPr>
            </w:pPr>
            <w:bookmarkStart w:id="11" w:name="_Toc2427"/>
            <w:bookmarkStart w:id="12" w:name="_Toc21488"/>
            <w:bookmarkStart w:id="13" w:name="_Toc26931"/>
            <w:bookmarkStart w:id="14" w:name="_Toc152045529"/>
            <w:bookmarkStart w:id="15" w:name="_Toc179632546"/>
            <w:bookmarkStart w:id="16" w:name="_Toc144974497"/>
            <w:bookmarkStart w:id="17" w:name="_Toc152042305"/>
            <w:r>
              <w:rPr>
                <w:rFonts w:hint="eastAsia" w:ascii="宋体" w:hAnsi="宋体" w:cs="宋体"/>
                <w:color w:val="auto"/>
                <w:sz w:val="24"/>
                <w:highlight w:val="none"/>
                <w:lang w:val="en-US" w:eastAsia="zh-CN"/>
              </w:rPr>
              <w:t>27</w:t>
            </w:r>
          </w:p>
        </w:tc>
        <w:tc>
          <w:tcPr>
            <w:tcW w:w="9562" w:type="dxa"/>
            <w:noWrap w:val="0"/>
            <w:vAlign w:val="center"/>
          </w:tcPr>
          <w:p w14:paraId="0461713F">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招标文件的澄清和质疑</w:t>
            </w:r>
          </w:p>
          <w:p w14:paraId="1926D67B">
            <w:pPr>
              <w:spacing w:line="360" w:lineRule="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1、综合说明</w:t>
            </w:r>
          </w:p>
          <w:p w14:paraId="01811372">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w:t>
            </w:r>
            <w:r>
              <w:rPr>
                <w:rFonts w:hint="eastAsia" w:ascii="宋体" w:hAnsi="宋体" w:cs="宋体"/>
                <w:bCs/>
                <w:color w:val="auto"/>
                <w:sz w:val="24"/>
                <w:highlight w:val="none"/>
                <w:lang w:eastAsia="zh-CN"/>
              </w:rPr>
              <w:t>书面</w:t>
            </w:r>
            <w:r>
              <w:rPr>
                <w:rFonts w:hint="eastAsia" w:ascii="宋体" w:hAnsi="宋体" w:cs="宋体"/>
                <w:bCs/>
                <w:color w:val="auto"/>
                <w:sz w:val="24"/>
                <w:highlight w:val="none"/>
              </w:rPr>
              <w:t>递交的形式。</w:t>
            </w:r>
          </w:p>
          <w:p w14:paraId="1B05E614">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2、对招标文件的澄清和质疑</w:t>
            </w:r>
          </w:p>
          <w:p w14:paraId="1FEB7523">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投标人应尽早领取招标文件，若对招标文件有疑问需要澄清或质疑，须在开标</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rPr>
              <w:t>日前由澄清或质疑方的法定代表人或授权投标人（必须为法定代表人授权进行该项目投标的被授权人）以书面形式向招标人递交澄清或质疑函，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w:t>
            </w:r>
            <w:r>
              <w:rPr>
                <w:rFonts w:hint="eastAsia" w:ascii="宋体" w:hAnsi="宋体" w:cs="宋体"/>
                <w:bCs/>
                <w:color w:val="auto"/>
                <w:sz w:val="24"/>
                <w:highlight w:val="none"/>
                <w:lang w:eastAsia="zh-CN"/>
              </w:rPr>
              <w:t>提出质疑“供应商为自然人的，应当由本人签字；供应商为法人或者其他组织的，应当由法定代表人、主要负责人，或者其授权代表签字或者盖章，并加盖公章”。</w:t>
            </w:r>
          </w:p>
          <w:p w14:paraId="72099878">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招标人在投标截止日</w:t>
            </w:r>
            <w:r>
              <w:rPr>
                <w:rFonts w:hint="eastAsia" w:ascii="宋体" w:hAnsi="宋体" w:cs="宋体"/>
                <w:bCs/>
                <w:color w:val="auto"/>
                <w:sz w:val="24"/>
                <w:highlight w:val="none"/>
                <w:lang w:val="en-US" w:eastAsia="zh-CN"/>
              </w:rPr>
              <w:t>15</w:t>
            </w:r>
            <w:r>
              <w:rPr>
                <w:rFonts w:hint="eastAsia" w:ascii="宋体" w:hAnsi="宋体" w:cs="宋体"/>
                <w:bCs/>
                <w:color w:val="auto"/>
                <w:sz w:val="24"/>
                <w:highlight w:val="none"/>
              </w:rPr>
              <w:t>天前根据澄清或质疑函的具体内容相应作出答复或不予答复，答复内容不得涉及商业秘密。作出答复的将以书面形式通知提出澄清或质疑的投标人和其他有关投标人，或在</w:t>
            </w:r>
            <w:r>
              <w:rPr>
                <w:rFonts w:hint="eastAsia" w:ascii="宋体" w:hAnsi="宋体" w:cs="宋体"/>
                <w:bCs/>
                <w:color w:val="auto"/>
                <w:sz w:val="24"/>
                <w:highlight w:val="none"/>
                <w:lang w:val="en-US" w:eastAsia="zh-CN"/>
              </w:rPr>
              <w:t>新疆政府采购网及阿克苏地区行政公署网</w:t>
            </w:r>
            <w:r>
              <w:rPr>
                <w:rFonts w:hint="eastAsia" w:ascii="宋体" w:hAnsi="宋体" w:cs="宋体"/>
                <w:bCs/>
                <w:color w:val="auto"/>
                <w:sz w:val="24"/>
                <w:highlight w:val="none"/>
              </w:rPr>
              <w:t>上予以公布。递交质疑的投标人和其他有关投标人在被告知、收到上述公告、通知或答疑书后，应立即向招标人回函确认。未确认情况应当视为对质疑答复的知晓，也将视为对质疑答复内容接受的默认。对于未在投标文件中对修改内容做实质性响应的，对其产生的不利因素由未确认者自行承担。同时招标人可以酌情延长投标截止时间。</w:t>
            </w:r>
          </w:p>
          <w:p w14:paraId="669DEF05">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3、对招标过程和拟中标结果的质疑</w:t>
            </w:r>
          </w:p>
          <w:p w14:paraId="3615010D">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投标人认为招标过程和拟中标结果使自己的权益受到损害的，可以在投标人于</w:t>
            </w:r>
            <w:r>
              <w:rPr>
                <w:rFonts w:hint="eastAsia" w:ascii="宋体" w:hAnsi="宋体" w:cs="宋体"/>
                <w:bCs/>
                <w:color w:val="auto"/>
                <w:sz w:val="24"/>
                <w:highlight w:val="none"/>
                <w:lang w:val="en-US" w:eastAsia="zh-CN"/>
              </w:rPr>
              <w:t>新疆政府采购网及阿克苏地区行政公署网</w:t>
            </w:r>
            <w:r>
              <w:rPr>
                <w:rFonts w:hint="eastAsia" w:ascii="宋体" w:hAnsi="宋体" w:cs="宋体"/>
                <w:bCs/>
                <w:color w:val="auto"/>
                <w:sz w:val="24"/>
                <w:highlight w:val="none"/>
              </w:rPr>
              <w:t>发布拟中标结果之日起</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个工作日内，由质疑方的法定代表人或授权投标人以书面形式向投标人递交质疑函，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及被授权投标人的身份证复印件。身份证复印件须正反面清晰、有效，并要求由该身份证持有人在复印件正反面非空白位置注明“该复印件用于在</w:t>
            </w:r>
            <w:r>
              <w:rPr>
                <w:rFonts w:hint="eastAsia" w:ascii="宋体" w:hAnsi="宋体" w:cs="宋体"/>
                <w:bCs/>
                <w:color w:val="auto"/>
                <w:sz w:val="24"/>
                <w:highlight w:val="none"/>
                <w:lang w:eastAsia="zh-CN"/>
              </w:rPr>
              <w:t>（项目名称）</w:t>
            </w:r>
            <w:r>
              <w:rPr>
                <w:rFonts w:hint="eastAsia" w:ascii="宋体" w:hAnsi="宋体" w:cs="宋体"/>
                <w:bCs/>
                <w:color w:val="auto"/>
                <w:sz w:val="24"/>
                <w:highlight w:val="none"/>
              </w:rPr>
              <w:t>”字样，并由身份证持有人签字确认。上述资料均须加盖公章。</w:t>
            </w:r>
          </w:p>
          <w:p w14:paraId="2ADEF610">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招标人应在受理投标人的书面质疑后，根据质疑函的具体内容及时向递交质疑函的投标人作出答复或不予答复，答复内容不得涉及商业秘密。作出答复的以书面形式通知递交质疑的投标人和其他有关投标人。递交质疑的投标人和其他有关投标人在被告知、收到上述公告、通知或答疑书后，应立即向招标人回函确认。未确认情况应当视为对质疑答复的知晓，也将视为对质疑答复内容接受的默认。</w:t>
            </w:r>
          </w:p>
          <w:p w14:paraId="20075206">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、其他</w:t>
            </w:r>
          </w:p>
          <w:p w14:paraId="3CE499B4">
            <w:pPr>
              <w:spacing w:line="360" w:lineRule="auto"/>
              <w:rPr>
                <w:rFonts w:hint="eastAsia" w:ascii="宋体" w:hAnsi="宋体" w:cs="宋体"/>
                <w:bCs/>
                <w:color w:val="auto"/>
                <w:sz w:val="24"/>
                <w:highlight w:val="none"/>
                <w:lang w:eastAsia="zh-CN"/>
              </w:rPr>
            </w:pPr>
            <w:r>
              <w:rPr>
                <w:rFonts w:hint="eastAsia" w:ascii="宋体" w:hAnsi="宋体" w:cs="宋体"/>
                <w:bCs/>
                <w:color w:val="auto"/>
                <w:sz w:val="24"/>
                <w:highlight w:val="none"/>
              </w:rPr>
              <w:t>澄清或质疑函递交地点：</w:t>
            </w:r>
            <w:r>
              <w:rPr>
                <w:rStyle w:val="18"/>
                <w:rFonts w:hint="eastAsia" w:ascii="宋体" w:hAnsi="宋体" w:cs="宋体"/>
                <w:b w:val="0"/>
                <w:bCs w:val="0"/>
                <w:i w:val="0"/>
                <w:caps w:val="0"/>
                <w:color w:val="auto"/>
                <w:spacing w:val="0"/>
                <w:sz w:val="24"/>
                <w:szCs w:val="24"/>
                <w:highlight w:val="none"/>
                <w:lang w:val="en-US" w:eastAsia="zh-CN"/>
              </w:rPr>
              <w:t>新疆阿克苏地区阿克苏市兰干街道朝阳社区解放北路25号新雕城市广场4号写字楼1901-6室</w:t>
            </w:r>
          </w:p>
          <w:p w14:paraId="012A2C9E">
            <w:pPr>
              <w:spacing w:line="360" w:lineRule="auto"/>
              <w:rPr>
                <w:rFonts w:hint="default" w:ascii="宋体" w:hAnsi="宋体" w:cs="宋体"/>
                <w:bCs/>
                <w:color w:val="auto"/>
                <w:sz w:val="24"/>
                <w:highlight w:val="none"/>
                <w:lang w:val="en-US"/>
              </w:rPr>
            </w:pPr>
            <w:r>
              <w:rPr>
                <w:rFonts w:hint="eastAsia" w:ascii="宋体" w:hAnsi="宋体" w:cs="宋体"/>
                <w:bCs/>
                <w:color w:val="auto"/>
                <w:sz w:val="24"/>
                <w:highlight w:val="none"/>
              </w:rPr>
              <w:t>联系电话：</w:t>
            </w:r>
            <w:r>
              <w:rPr>
                <w:rFonts w:hint="eastAsia" w:ascii="宋体" w:hAnsi="宋体" w:cs="宋体"/>
                <w:bCs/>
                <w:color w:val="auto"/>
                <w:sz w:val="24"/>
                <w:highlight w:val="none"/>
                <w:lang w:val="en-US" w:eastAsia="zh-CN"/>
              </w:rPr>
              <w:t>18399572921</w:t>
            </w:r>
          </w:p>
        </w:tc>
      </w:tr>
    </w:tbl>
    <w:p w14:paraId="767B13E7">
      <w:pPr>
        <w:jc w:val="left"/>
        <w:rPr>
          <w:rFonts w:hint="eastAsia" w:ascii="宋体" w:hAnsi="宋体" w:eastAsia="宋体" w:cs="宋体"/>
          <w:b/>
          <w:bCs/>
          <w:i w:val="0"/>
          <w:iCs w:val="0"/>
          <w:color w:val="auto"/>
          <w:sz w:val="32"/>
          <w:szCs w:val="32"/>
          <w:highlight w:val="none"/>
        </w:rPr>
      </w:pPr>
      <w:r>
        <w:rPr>
          <w:rFonts w:hint="eastAsia" w:ascii="宋体" w:hAnsi="宋体" w:eastAsia="宋体" w:cs="宋体"/>
          <w:b/>
          <w:bCs/>
          <w:color w:val="auto"/>
          <w:sz w:val="28"/>
          <w:szCs w:val="28"/>
          <w:lang w:eastAsia="zh-CN"/>
        </w:rPr>
        <w:t>注：</w:t>
      </w:r>
      <w:r>
        <w:rPr>
          <w:rFonts w:hint="eastAsia" w:ascii="宋体" w:hAnsi="宋体" w:cs="宋体"/>
          <w:b/>
          <w:bCs/>
          <w:color w:val="auto"/>
          <w:sz w:val="28"/>
          <w:szCs w:val="28"/>
          <w:lang w:eastAsia="zh-CN"/>
        </w:rPr>
        <w:t>招标</w:t>
      </w:r>
      <w:r>
        <w:rPr>
          <w:rFonts w:hint="eastAsia" w:ascii="宋体" w:hAnsi="宋体" w:eastAsia="宋体" w:cs="宋体"/>
          <w:b/>
          <w:bCs/>
          <w:color w:val="auto"/>
          <w:sz w:val="28"/>
          <w:szCs w:val="28"/>
        </w:rPr>
        <w:t>文件中若有和前附表不一致时以前附表为准。</w:t>
      </w:r>
    </w:p>
    <w:p w14:paraId="50A698C5">
      <w:pPr>
        <w:pStyle w:val="3"/>
        <w:keepNext w:val="0"/>
        <w:keepLines w:val="0"/>
        <w:adjustRightInd w:val="0"/>
        <w:snapToGrid w:val="0"/>
        <w:spacing w:before="120" w:after="120" w:line="360" w:lineRule="auto"/>
        <w:jc w:val="center"/>
        <w:outlineLvl w:val="1"/>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br w:type="page"/>
      </w:r>
      <w:r>
        <w:rPr>
          <w:rFonts w:hint="eastAsia" w:ascii="宋体" w:hAnsi="宋体" w:eastAsia="宋体" w:cs="宋体"/>
          <w:bCs w:val="0"/>
          <w:color w:val="auto"/>
          <w:sz w:val="28"/>
          <w:szCs w:val="28"/>
          <w:highlight w:val="none"/>
        </w:rPr>
        <w:t>投标人须知正文部分</w:t>
      </w:r>
      <w:bookmarkEnd w:id="11"/>
      <w:bookmarkEnd w:id="12"/>
      <w:bookmarkEnd w:id="13"/>
    </w:p>
    <w:bookmarkEnd w:id="14"/>
    <w:bookmarkEnd w:id="15"/>
    <w:bookmarkEnd w:id="16"/>
    <w:bookmarkEnd w:id="17"/>
    <w:p w14:paraId="3F6FE063">
      <w:pPr>
        <w:pStyle w:val="19"/>
        <w:jc w:val="center"/>
        <w:rPr>
          <w:rFonts w:hint="eastAsia"/>
          <w:b/>
          <w:bCs/>
          <w:color w:val="auto"/>
          <w:highlight w:val="none"/>
          <w:lang w:eastAsia="zh-CN"/>
        </w:rPr>
      </w:pPr>
      <w:r>
        <w:rPr>
          <w:rFonts w:hint="eastAsia"/>
          <w:b/>
          <w:bCs/>
          <w:color w:val="auto"/>
          <w:highlight w:val="none"/>
          <w:lang w:eastAsia="zh-CN"/>
        </w:rPr>
        <w:t>一、总则</w:t>
      </w:r>
    </w:p>
    <w:p w14:paraId="3A8F8B8B">
      <w:pPr>
        <w:pStyle w:val="20"/>
        <w:keepLines w:val="0"/>
        <w:kinsoku/>
        <w:wordWrap/>
        <w:overflowPunct/>
        <w:bidi w:val="0"/>
        <w:spacing w:line="360" w:lineRule="auto"/>
        <w:ind w:firstLine="567"/>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 合格的投标人</w:t>
      </w:r>
    </w:p>
    <w:p w14:paraId="5CB46DD4">
      <w:pPr>
        <w:pStyle w:val="20"/>
        <w:keepLines w:val="0"/>
        <w:kinsoku/>
        <w:wordWrap/>
        <w:overflowPunct/>
        <w:bidi w:val="0"/>
        <w:spacing w:line="360" w:lineRule="auto"/>
        <w:ind w:firstLine="567"/>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符合《中华人民共和国政府采购法》第二十二条规定的条件，具备独立承担民事责任能力的在中华人民共和国境内注册的、三年内无违法违规记录、有承担本次招标采购项目服务能力的及符合条件的法人或其他组织。</w:t>
      </w:r>
    </w:p>
    <w:p w14:paraId="66EFEA2E">
      <w:pPr>
        <w:pStyle w:val="20"/>
        <w:keepLines w:val="0"/>
        <w:kinsoku/>
        <w:wordWrap/>
        <w:overflowPunct/>
        <w:bidi w:val="0"/>
        <w:spacing w:line="360" w:lineRule="auto"/>
        <w:ind w:firstLine="567"/>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有效的营业执照；</w:t>
      </w:r>
    </w:p>
    <w:p w14:paraId="67138ED6">
      <w:pPr>
        <w:pStyle w:val="20"/>
        <w:keepLines w:val="0"/>
        <w:kinsoku/>
        <w:wordWrap/>
        <w:overflowPunct/>
        <w:bidi w:val="0"/>
        <w:spacing w:line="360" w:lineRule="auto"/>
        <w:ind w:firstLine="567"/>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 xml:space="preserve"> 投标人在本次招标活动中，必须遵循《中华人民共和国招标投标法》</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《中华人民共和国招标投标法</w:t>
      </w:r>
      <w:r>
        <w:rPr>
          <w:rFonts w:hint="eastAsia" w:ascii="宋体" w:hAnsi="宋体" w:eastAsia="宋体" w:cs="宋体"/>
          <w:b w:val="0"/>
          <w:bCs/>
          <w:color w:val="auto"/>
          <w:sz w:val="24"/>
          <w:szCs w:val="24"/>
          <w:highlight w:val="none"/>
          <w:lang w:eastAsia="zh-CN"/>
        </w:rPr>
        <w:t>实施条例</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《政府采购货物和服务招标投标管理办法》（财政部</w:t>
      </w:r>
      <w:r>
        <w:rPr>
          <w:rFonts w:hint="eastAsia" w:ascii="宋体" w:hAnsi="宋体" w:eastAsia="宋体" w:cs="宋体"/>
          <w:b w:val="0"/>
          <w:bCs/>
          <w:color w:val="auto"/>
          <w:sz w:val="24"/>
          <w:szCs w:val="24"/>
          <w:highlight w:val="none"/>
          <w:lang w:val="en-US" w:eastAsia="zh-CN"/>
        </w:rPr>
        <w:t>87</w:t>
      </w:r>
      <w:r>
        <w:rPr>
          <w:rFonts w:hint="eastAsia" w:ascii="宋体" w:hAnsi="宋体" w:eastAsia="宋体" w:cs="宋体"/>
          <w:b w:val="0"/>
          <w:bCs/>
          <w:color w:val="auto"/>
          <w:sz w:val="24"/>
          <w:szCs w:val="24"/>
          <w:highlight w:val="none"/>
        </w:rPr>
        <w:t>号令）</w:t>
      </w:r>
      <w:r>
        <w:rPr>
          <w:rFonts w:hint="eastAsia" w:ascii="宋体" w:hAnsi="宋体" w:eastAsia="宋体" w:cs="宋体"/>
          <w:b w:val="0"/>
          <w:bCs/>
          <w:color w:val="auto"/>
          <w:sz w:val="24"/>
          <w:szCs w:val="24"/>
          <w:highlight w:val="none"/>
          <w:lang w:eastAsia="zh-CN"/>
        </w:rPr>
        <w:t>等相关法律法规</w:t>
      </w:r>
      <w:r>
        <w:rPr>
          <w:rFonts w:hint="eastAsia" w:ascii="宋体" w:hAnsi="宋体" w:eastAsia="宋体" w:cs="宋体"/>
          <w:b w:val="0"/>
          <w:bCs/>
          <w:color w:val="auto"/>
          <w:sz w:val="24"/>
          <w:szCs w:val="24"/>
          <w:highlight w:val="none"/>
        </w:rPr>
        <w:t>的规定。</w:t>
      </w:r>
    </w:p>
    <w:p w14:paraId="32D7AEB7">
      <w:pPr>
        <w:pStyle w:val="20"/>
        <w:keepLines w:val="0"/>
        <w:kinsoku/>
        <w:wordWrap/>
        <w:overflowPunct/>
        <w:bidi w:val="0"/>
        <w:spacing w:line="360" w:lineRule="auto"/>
        <w:ind w:firstLine="567"/>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1.4投标人参加政府采购活动近三年内无违法违规记录</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须提供书面声明。</w:t>
      </w:r>
    </w:p>
    <w:p w14:paraId="7A5063F9">
      <w:pPr>
        <w:pStyle w:val="20"/>
        <w:keepLines w:val="0"/>
        <w:kinsoku/>
        <w:wordWrap/>
        <w:overflowPunct/>
        <w:bidi w:val="0"/>
        <w:spacing w:line="360" w:lineRule="auto"/>
        <w:ind w:firstLine="567"/>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1.5 为保证政府采购活动公平、公正、诚实信用，投标人提供的材料及技术参数应真实有效，须提供书面诚信投标承诺书。</w:t>
      </w:r>
    </w:p>
    <w:p w14:paraId="54B44E66">
      <w:pPr>
        <w:pStyle w:val="20"/>
        <w:keepLines w:val="0"/>
        <w:kinsoku/>
        <w:wordWrap/>
        <w:overflowPunct/>
        <w:bidi w:val="0"/>
        <w:spacing w:line="360" w:lineRule="auto"/>
        <w:ind w:firstLine="567"/>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1.6 </w:t>
      </w:r>
      <w:r>
        <w:rPr>
          <w:rFonts w:hint="eastAsia" w:ascii="宋体" w:hAnsi="宋体" w:cs="宋体"/>
          <w:b w:val="0"/>
          <w:bCs/>
          <w:color w:val="auto"/>
          <w:sz w:val="24"/>
          <w:szCs w:val="24"/>
          <w:highlight w:val="none"/>
          <w:lang w:val="en-US" w:eastAsia="zh-CN"/>
        </w:rPr>
        <w:t>为</w:t>
      </w:r>
      <w:r>
        <w:rPr>
          <w:rFonts w:hint="eastAsia" w:ascii="宋体" w:hAnsi="宋体" w:eastAsia="宋体" w:cs="宋体"/>
          <w:b w:val="0"/>
          <w:bCs/>
          <w:color w:val="auto"/>
          <w:sz w:val="24"/>
          <w:szCs w:val="24"/>
          <w:highlight w:val="none"/>
          <w:lang w:val="en-US" w:eastAsia="zh-CN"/>
        </w:rPr>
        <w:t>保证本次招标活动公平竞争，杜绝任何形式的商业贿赂行为，投标文件内必须提供反商业贿赂承诺书。</w:t>
      </w:r>
    </w:p>
    <w:p w14:paraId="6DF9A365">
      <w:pPr>
        <w:pStyle w:val="20"/>
        <w:keepLines w:val="0"/>
        <w:kinsoku/>
        <w:wordWrap/>
        <w:overflowPunct/>
        <w:bidi w:val="0"/>
        <w:spacing w:line="360" w:lineRule="auto"/>
        <w:ind w:left="563" w:leftChars="267" w:firstLine="2" w:firstLineChars="1"/>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不符合</w:t>
      </w:r>
      <w:r>
        <w:rPr>
          <w:rFonts w:hint="eastAsia" w:ascii="宋体" w:hAnsi="宋体" w:eastAsia="宋体" w:cs="宋体"/>
          <w:b w:val="0"/>
          <w:bCs/>
          <w:color w:val="auto"/>
          <w:sz w:val="24"/>
          <w:szCs w:val="24"/>
          <w:highlight w:val="none"/>
          <w:lang w:eastAsia="zh-CN"/>
        </w:rPr>
        <w:t>以上</w:t>
      </w:r>
      <w:r>
        <w:rPr>
          <w:rFonts w:hint="eastAsia" w:ascii="宋体" w:hAnsi="宋体" w:eastAsia="宋体" w:cs="宋体"/>
          <w:b w:val="0"/>
          <w:bCs/>
          <w:color w:val="auto"/>
          <w:sz w:val="24"/>
          <w:szCs w:val="24"/>
          <w:highlight w:val="none"/>
        </w:rPr>
        <w:t>条款规定的投标人，其投标</w:t>
      </w:r>
      <w:r>
        <w:rPr>
          <w:rFonts w:hint="eastAsia" w:ascii="宋体" w:hAnsi="宋体" w:eastAsia="宋体" w:cs="宋体"/>
          <w:b w:val="0"/>
          <w:bCs/>
          <w:color w:val="auto"/>
          <w:sz w:val="24"/>
          <w:szCs w:val="24"/>
          <w:highlight w:val="none"/>
          <w:lang w:eastAsia="zh-CN"/>
        </w:rPr>
        <w:t>无效</w:t>
      </w:r>
      <w:r>
        <w:rPr>
          <w:rFonts w:hint="eastAsia" w:ascii="宋体" w:hAnsi="宋体" w:eastAsia="宋体" w:cs="宋体"/>
          <w:b w:val="0"/>
          <w:bCs/>
          <w:color w:val="auto"/>
          <w:sz w:val="24"/>
          <w:szCs w:val="24"/>
          <w:highlight w:val="none"/>
        </w:rPr>
        <w:t>。</w:t>
      </w:r>
    </w:p>
    <w:p w14:paraId="0D155D08">
      <w:pPr>
        <w:pStyle w:val="20"/>
        <w:keepLines w:val="0"/>
        <w:kinsoku/>
        <w:wordWrap/>
        <w:overflowPunct/>
        <w:bidi w:val="0"/>
        <w:spacing w:line="360" w:lineRule="auto"/>
        <w:ind w:left="563" w:leftChars="267" w:firstLine="2" w:firstLineChars="1"/>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定义</w:t>
      </w:r>
    </w:p>
    <w:p w14:paraId="508EC5D1">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2.1“采购代理机构”系指</w:t>
      </w:r>
      <w:r>
        <w:rPr>
          <w:rFonts w:hint="eastAsia" w:ascii="宋体" w:hAnsi="宋体" w:cs="宋体"/>
          <w:color w:val="auto"/>
          <w:sz w:val="24"/>
          <w:highlight w:val="none"/>
          <w:lang w:eastAsia="zh-CN"/>
        </w:rPr>
        <w:t>新疆东晨项目管理有限公司</w:t>
      </w:r>
      <w:r>
        <w:rPr>
          <w:rFonts w:hint="eastAsia" w:ascii="宋体" w:hAnsi="宋体" w:eastAsia="宋体" w:cs="宋体"/>
          <w:color w:val="auto"/>
          <w:sz w:val="24"/>
          <w:szCs w:val="24"/>
          <w:highlight w:val="none"/>
          <w:lang w:eastAsia="zh-CN"/>
        </w:rPr>
        <w:t>。</w:t>
      </w:r>
    </w:p>
    <w:p w14:paraId="218C945F">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2.2“投标人”系指向采购代理机构提交投标文件的货物</w:t>
      </w:r>
      <w:r>
        <w:rPr>
          <w:rFonts w:hint="eastAsia" w:ascii="宋体" w:hAnsi="宋体" w:eastAsia="宋体" w:cs="宋体"/>
          <w:color w:val="auto"/>
          <w:sz w:val="24"/>
          <w:szCs w:val="24"/>
          <w:highlight w:val="none"/>
          <w:lang w:eastAsia="zh-CN"/>
        </w:rPr>
        <w:t>制造商或代理商</w:t>
      </w:r>
      <w:r>
        <w:rPr>
          <w:rFonts w:hint="eastAsia" w:ascii="宋体" w:hAnsi="宋体" w:eastAsia="宋体" w:cs="宋体"/>
          <w:color w:val="auto"/>
          <w:sz w:val="24"/>
          <w:szCs w:val="24"/>
          <w:highlight w:val="none"/>
        </w:rPr>
        <w:t>。</w:t>
      </w:r>
    </w:p>
    <w:p w14:paraId="7DC1F8AB">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2.3“货物”系指卖方按合同要求，须向买方提供的设计文件、货物、机械、材料、备品、手册及其他技术资料和材料。详见《政府采购品目分类目录》(财库[2013]189号)。</w:t>
      </w:r>
    </w:p>
    <w:p w14:paraId="0E3CF290">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2.4“服务”系指按合同规定卖方须承担的运输、装卸、安装调试、技术协助、培训和交付使用后保修期内应履行的义务及售后服务等其他类似的义务。</w:t>
      </w:r>
    </w:p>
    <w:p w14:paraId="2AF3FF61">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2.5“卖方”系指提供合同货物和服务的经济实体。本次招标指中标人。</w:t>
      </w:r>
    </w:p>
    <w:p w14:paraId="057205C9">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2.6“买方”系指购买货物和服务的单位，即为本次招标的采购人。</w:t>
      </w:r>
    </w:p>
    <w:p w14:paraId="0074480D">
      <w:pPr>
        <w:pStyle w:val="20"/>
        <w:keepLines w:val="0"/>
        <w:kinsoku/>
        <w:wordWrap/>
        <w:overflowPunct/>
        <w:bidi w:val="0"/>
        <w:spacing w:line="360" w:lineRule="auto"/>
        <w:ind w:firstLine="5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2.7“节能产品”或者“环保产品”是指财政部发布</w:t>
      </w:r>
      <w:r>
        <w:rPr>
          <w:rFonts w:hint="eastAsia" w:ascii="宋体" w:hAnsi="宋体" w:eastAsia="宋体" w:cs="宋体"/>
          <w:color w:val="auto"/>
          <w:sz w:val="24"/>
          <w:szCs w:val="24"/>
          <w:highlight w:val="none"/>
          <w:lang w:eastAsia="zh-CN"/>
        </w:rPr>
        <w:t>最新一期</w:t>
      </w:r>
      <w:r>
        <w:rPr>
          <w:rFonts w:hint="eastAsia" w:ascii="宋体" w:hAnsi="宋体" w:eastAsia="宋体" w:cs="宋体"/>
          <w:color w:val="auto"/>
          <w:sz w:val="24"/>
          <w:szCs w:val="24"/>
          <w:highlight w:val="none"/>
        </w:rPr>
        <w:t>的《节能产品政府采购清单》或者《环境标志产品政府采购清单》的产品</w:t>
      </w:r>
      <w:r>
        <w:rPr>
          <w:rFonts w:hint="eastAsia" w:ascii="宋体" w:hAnsi="宋体" w:eastAsia="宋体" w:cs="宋体"/>
          <w:color w:val="auto"/>
          <w:sz w:val="24"/>
          <w:szCs w:val="24"/>
          <w:highlight w:val="none"/>
          <w:lang w:eastAsia="zh-CN"/>
        </w:rPr>
        <w:t>，可在中国政府采购网(www.ccgp.gov.cn)查询</w:t>
      </w:r>
      <w:r>
        <w:rPr>
          <w:rFonts w:hint="eastAsia" w:ascii="宋体" w:hAnsi="宋体" w:eastAsia="宋体" w:cs="宋体"/>
          <w:color w:val="auto"/>
          <w:sz w:val="24"/>
          <w:szCs w:val="24"/>
          <w:highlight w:val="none"/>
        </w:rPr>
        <w:t>。</w:t>
      </w:r>
    </w:p>
    <w:p w14:paraId="11A84C31">
      <w:pPr>
        <w:pStyle w:val="20"/>
        <w:keepLines w:val="0"/>
        <w:kinsoku/>
        <w:wordWrap/>
        <w:overflowPunct/>
        <w:bidi w:val="0"/>
        <w:spacing w:line="360" w:lineRule="auto"/>
        <w:ind w:firstLine="5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2.8“进口产品”是指通过中国海关报关验放进入中国境内且产自关境外的产品，详见《关于政府采购进口产品管理有关问题的通知》(财库[2007]119号)</w:t>
      </w:r>
      <w:r>
        <w:rPr>
          <w:rFonts w:hint="eastAsia" w:ascii="宋体" w:hAnsi="宋体" w:eastAsia="宋体" w:cs="宋体"/>
          <w:color w:val="auto"/>
          <w:sz w:val="24"/>
          <w:szCs w:val="24"/>
          <w:highlight w:val="none"/>
          <w:lang w:eastAsia="zh-CN"/>
        </w:rPr>
        <w:t>及《关于政府采购进口产品管理有关问题的通知》（财办库（2008）248号）</w:t>
      </w:r>
      <w:r>
        <w:rPr>
          <w:rFonts w:hint="eastAsia" w:ascii="宋体" w:hAnsi="宋体" w:eastAsia="宋体" w:cs="宋体"/>
          <w:color w:val="auto"/>
          <w:sz w:val="24"/>
          <w:szCs w:val="24"/>
          <w:highlight w:val="none"/>
        </w:rPr>
        <w:t>。</w:t>
      </w:r>
    </w:p>
    <w:p w14:paraId="5401F293">
      <w:pPr>
        <w:pStyle w:val="20"/>
        <w:keepLines w:val="0"/>
        <w:kinsoku/>
        <w:wordWrap/>
        <w:overflowPunct/>
        <w:bidi w:val="0"/>
        <w:spacing w:line="360" w:lineRule="auto"/>
        <w:ind w:firstLine="5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 “</w:t>
      </w:r>
      <w:r>
        <w:rPr>
          <w:rFonts w:hint="eastAsia" w:ascii="宋体" w:hAnsi="宋体" w:eastAsia="宋体" w:cs="宋体"/>
          <w:color w:val="auto"/>
          <w:sz w:val="24"/>
          <w:szCs w:val="24"/>
          <w:highlight w:val="none"/>
        </w:rPr>
        <w:t>语言文字</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招标投标文件使用的语言文字为中文。专用术语使用外文的，应附有中文注释。</w:t>
      </w:r>
    </w:p>
    <w:p w14:paraId="15F97044">
      <w:pPr>
        <w:pStyle w:val="20"/>
        <w:keepLines w:val="0"/>
        <w:kinsoku/>
        <w:wordWrap/>
        <w:overflowPunct/>
        <w:bidi w:val="0"/>
        <w:spacing w:line="360" w:lineRule="auto"/>
        <w:ind w:firstLine="5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2.10“</w:t>
      </w:r>
      <w:r>
        <w:rPr>
          <w:rFonts w:hint="eastAsia" w:ascii="宋体" w:hAnsi="宋体" w:eastAsia="宋体" w:cs="宋体"/>
          <w:color w:val="auto"/>
          <w:sz w:val="24"/>
          <w:szCs w:val="24"/>
          <w:highlight w:val="none"/>
        </w:rPr>
        <w:t>计量单位</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所有计量均采用中华人民共和国法定计量单位。</w:t>
      </w:r>
    </w:p>
    <w:p w14:paraId="29B83F00">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其他要求</w:t>
      </w:r>
    </w:p>
    <w:p w14:paraId="701863BC">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投标费用</w:t>
      </w:r>
    </w:p>
    <w:p w14:paraId="2567E40D">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投标人应自行承担所有与本次招标投标有关的费用，而不论投标的结果如何。 </w:t>
      </w:r>
    </w:p>
    <w:p w14:paraId="0FDC703F">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采购进口产品</w:t>
      </w:r>
    </w:p>
    <w:p w14:paraId="7C120D73">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除</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前附表另有规定外，本项目拒绝进口产品参加招标采购活动。</w:t>
      </w:r>
    </w:p>
    <w:p w14:paraId="7C8922A9">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本章第4.1款规定同意购买进口产品的，本项目采购活动不限制满足招标文件要求的国内产品参与招标。</w:t>
      </w:r>
    </w:p>
    <w:p w14:paraId="7F4EAD93">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 政府采购政策支持 </w:t>
      </w:r>
    </w:p>
    <w:p w14:paraId="7D0800DA">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产品优惠累加优惠。财政部门关于政府采购强制采购、优先采购的政策规定可在中国政府采购网(www.ccgp.gov.cn)查询。本项目价格扣除比例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p>
    <w:p w14:paraId="3E0F89D2">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同一项目中部分产品属于优先采购政策的，评审时只对该部分产品的报价实行价格优惠。</w:t>
      </w:r>
    </w:p>
    <w:p w14:paraId="4FC31CAE">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为推进政府采购诚信体系建设，供应商在签署相关承诺，提供相关信息前，应认真阅读财政部门相关政策规定。</w:t>
      </w:r>
    </w:p>
    <w:p w14:paraId="2F786625">
      <w:pPr>
        <w:pStyle w:val="19"/>
        <w:jc w:val="center"/>
        <w:rPr>
          <w:rFonts w:hint="eastAsia"/>
          <w:b/>
          <w:bCs/>
          <w:color w:val="auto"/>
          <w:highlight w:val="none"/>
          <w:lang w:eastAsia="zh-CN"/>
        </w:rPr>
      </w:pPr>
      <w:r>
        <w:rPr>
          <w:rFonts w:hint="eastAsia"/>
          <w:b/>
          <w:bCs/>
          <w:color w:val="auto"/>
          <w:highlight w:val="none"/>
          <w:lang w:eastAsia="zh-CN"/>
        </w:rPr>
        <w:t>二、招标文件</w:t>
      </w:r>
    </w:p>
    <w:p w14:paraId="58A8AA77">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招标文件</w:t>
      </w:r>
    </w:p>
    <w:p w14:paraId="6BC68A23">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招标文件用以阐明所需货物和服务、招标投标程序和合同条款。包括：</w:t>
      </w:r>
    </w:p>
    <w:p w14:paraId="55CD8194">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 招标</w:t>
      </w:r>
      <w:r>
        <w:rPr>
          <w:rFonts w:hint="eastAsia" w:ascii="宋体" w:hAnsi="宋体" w:eastAsia="宋体" w:cs="宋体"/>
          <w:color w:val="auto"/>
          <w:sz w:val="24"/>
          <w:szCs w:val="24"/>
          <w:highlight w:val="none"/>
          <w:lang w:eastAsia="zh-CN"/>
        </w:rPr>
        <w:t>公告</w:t>
      </w:r>
    </w:p>
    <w:p w14:paraId="2AEE48F1">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4.1.2 </w:t>
      </w:r>
      <w:r>
        <w:rPr>
          <w:rFonts w:hint="eastAsia" w:ascii="宋体" w:hAnsi="宋体" w:eastAsia="宋体" w:cs="宋体"/>
          <w:color w:val="auto"/>
          <w:sz w:val="24"/>
          <w:szCs w:val="24"/>
          <w:highlight w:val="none"/>
          <w:lang w:eastAsia="zh-CN"/>
        </w:rPr>
        <w:t>投标人须知</w:t>
      </w:r>
    </w:p>
    <w:p w14:paraId="17F1F8B3">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eastAsia="zh-CN"/>
        </w:rPr>
        <w:t>条款及格式</w:t>
      </w:r>
    </w:p>
    <w:p w14:paraId="75348824">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4.1.4 </w:t>
      </w:r>
      <w:r>
        <w:rPr>
          <w:rFonts w:hint="eastAsia" w:ascii="宋体" w:hAnsi="宋体" w:eastAsia="宋体" w:cs="宋体"/>
          <w:color w:val="auto"/>
          <w:sz w:val="24"/>
          <w:szCs w:val="24"/>
          <w:highlight w:val="none"/>
          <w:lang w:eastAsia="zh-CN"/>
        </w:rPr>
        <w:t>采购需求</w:t>
      </w:r>
    </w:p>
    <w:p w14:paraId="04AFE3E9">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4.1.5 投标文件格式</w:t>
      </w:r>
    </w:p>
    <w:p w14:paraId="7519AC17">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4.1.6 其他资料</w:t>
      </w:r>
    </w:p>
    <w:p w14:paraId="10F46348">
      <w:pPr>
        <w:pStyle w:val="20"/>
        <w:keepLines w:val="0"/>
        <w:numPr>
          <w:ilvl w:val="0"/>
          <w:numId w:val="0"/>
        </w:numPr>
        <w:kinsoku/>
        <w:wordWrap/>
        <w:overflowPunct/>
        <w:bidi w:val="0"/>
        <w:spacing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 投标人应认真阅读招标文件中所有的事项、格式、条款和规范等要求。如果没有按照招标文件要求提交全部资料或者投标文件没有对招标文件做出实质性响应，其投标将被拒绝。</w:t>
      </w:r>
    </w:p>
    <w:p w14:paraId="6CE0C81D">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招标文件的澄清和修改</w:t>
      </w:r>
    </w:p>
    <w:p w14:paraId="21F42415">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招标人如需对已发出的招标文件进行必要澄清或者修改的，招标代理机构将在招标文件要求提交投标文件截止时间</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日前，以书面形式通知所有</w:t>
      </w:r>
      <w:r>
        <w:rPr>
          <w:rFonts w:hint="eastAsia" w:ascii="宋体" w:hAnsi="宋体" w:eastAsia="宋体" w:cs="宋体"/>
          <w:color w:val="auto"/>
          <w:sz w:val="24"/>
          <w:szCs w:val="24"/>
          <w:highlight w:val="none"/>
          <w:lang w:eastAsia="zh-CN"/>
        </w:rPr>
        <w:t>获取</w:t>
      </w:r>
      <w:r>
        <w:rPr>
          <w:rFonts w:hint="eastAsia" w:ascii="宋体" w:hAnsi="宋体" w:eastAsia="宋体" w:cs="宋体"/>
          <w:color w:val="auto"/>
          <w:sz w:val="24"/>
          <w:szCs w:val="24"/>
          <w:highlight w:val="none"/>
        </w:rPr>
        <w:t>招标文件</w:t>
      </w:r>
      <w:r>
        <w:rPr>
          <w:rFonts w:hint="eastAsia" w:ascii="宋体" w:hAnsi="宋体" w:eastAsia="宋体" w:cs="宋体"/>
          <w:color w:val="auto"/>
          <w:sz w:val="24"/>
          <w:szCs w:val="24"/>
          <w:highlight w:val="none"/>
          <w:lang w:eastAsia="zh-CN"/>
        </w:rPr>
        <w:t>的投标人</w:t>
      </w:r>
      <w:r>
        <w:rPr>
          <w:rFonts w:hint="eastAsia" w:ascii="宋体" w:hAnsi="宋体" w:eastAsia="宋体" w:cs="宋体"/>
          <w:color w:val="auto"/>
          <w:sz w:val="24"/>
          <w:szCs w:val="24"/>
          <w:highlight w:val="none"/>
        </w:rPr>
        <w:t>。该澄清或者修改的内容为招标文件的组成部分。</w:t>
      </w:r>
    </w:p>
    <w:p w14:paraId="5EF39C80">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延长开标时间</w:t>
      </w:r>
    </w:p>
    <w:p w14:paraId="1A2AF13E">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招标人视采购具体情况如需延长投标截止时间和开标时间，招标代理机构将在招标文件要求提交投标文件的截止时间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日前，将变更时间书面通知所有</w:t>
      </w:r>
      <w:r>
        <w:rPr>
          <w:rFonts w:hint="eastAsia" w:ascii="宋体" w:hAnsi="宋体" w:eastAsia="宋体" w:cs="宋体"/>
          <w:color w:val="auto"/>
          <w:sz w:val="24"/>
          <w:szCs w:val="24"/>
          <w:highlight w:val="none"/>
          <w:lang w:eastAsia="zh-CN"/>
        </w:rPr>
        <w:t>获取</w:t>
      </w:r>
      <w:r>
        <w:rPr>
          <w:rFonts w:hint="eastAsia" w:ascii="宋体" w:hAnsi="宋体" w:eastAsia="宋体" w:cs="宋体"/>
          <w:color w:val="auto"/>
          <w:sz w:val="24"/>
          <w:szCs w:val="24"/>
          <w:highlight w:val="none"/>
        </w:rPr>
        <w:t>招标文件</w:t>
      </w:r>
      <w:r>
        <w:rPr>
          <w:rFonts w:hint="eastAsia" w:ascii="宋体" w:hAnsi="宋体" w:eastAsia="宋体" w:cs="宋体"/>
          <w:color w:val="auto"/>
          <w:sz w:val="24"/>
          <w:szCs w:val="24"/>
          <w:highlight w:val="none"/>
          <w:lang w:eastAsia="zh-CN"/>
        </w:rPr>
        <w:t>的投标人</w:t>
      </w:r>
      <w:r>
        <w:rPr>
          <w:rFonts w:hint="eastAsia" w:ascii="宋体" w:hAnsi="宋体" w:eastAsia="宋体" w:cs="宋体"/>
          <w:color w:val="auto"/>
          <w:sz w:val="24"/>
          <w:szCs w:val="24"/>
          <w:highlight w:val="none"/>
        </w:rPr>
        <w:t>。</w:t>
      </w:r>
    </w:p>
    <w:p w14:paraId="70E77203">
      <w:pPr>
        <w:pStyle w:val="19"/>
        <w:jc w:val="center"/>
        <w:rPr>
          <w:rFonts w:hint="eastAsia"/>
          <w:b/>
          <w:bCs/>
          <w:color w:val="auto"/>
          <w:highlight w:val="none"/>
          <w:lang w:eastAsia="zh-CN"/>
        </w:rPr>
      </w:pPr>
      <w:r>
        <w:rPr>
          <w:rFonts w:hint="eastAsia"/>
          <w:b/>
          <w:bCs/>
          <w:color w:val="auto"/>
          <w:highlight w:val="none"/>
          <w:lang w:eastAsia="zh-CN"/>
        </w:rPr>
        <w:t>三、投标文件的编制</w:t>
      </w:r>
    </w:p>
    <w:p w14:paraId="4BA5D960">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投标文件的编写</w:t>
      </w:r>
    </w:p>
    <w:p w14:paraId="7FE636DD">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投标人应仔细阅读招标文件,了解招标文件的要求，并在充分理解招标文件提出的货物技术规范、服务和商务条款后的基础上制作投标文件。</w:t>
      </w:r>
    </w:p>
    <w:p w14:paraId="49176294">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投标的语言及计量单位</w:t>
      </w:r>
    </w:p>
    <w:p w14:paraId="18498969">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投标人的投标文件以及投标人与采购代理机构就有关招标活动的所有来往函电均应使用中文。如果投标文件或与投标有关的其它文件、信件及来往函电以其它语言书写的，投标人应将其译成中文。</w:t>
      </w:r>
    </w:p>
    <w:p w14:paraId="13E167BE">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投标文件中所使用的计量单位除招标文件中有特殊规定外，一律使用法定计量单位。</w:t>
      </w:r>
    </w:p>
    <w:p w14:paraId="6C5C8B2E">
      <w:pPr>
        <w:pStyle w:val="20"/>
        <w:spacing w:line="360" w:lineRule="auto"/>
        <w:ind w:firstLine="567"/>
        <w:jc w:val="both"/>
        <w:rPr>
          <w:rFonts w:hint="eastAsia" w:ascii="宋体" w:hAnsi="宋体" w:cs="宋体"/>
          <w:color w:val="auto"/>
          <w:szCs w:val="24"/>
          <w:highlight w:val="none"/>
        </w:rPr>
      </w:pPr>
      <w:r>
        <w:rPr>
          <w:rFonts w:hint="eastAsia" w:ascii="宋体" w:hAnsi="宋体" w:cs="宋体"/>
          <w:color w:val="auto"/>
          <w:szCs w:val="24"/>
          <w:highlight w:val="none"/>
        </w:rPr>
        <w:t>9. 投标文件构成</w:t>
      </w:r>
    </w:p>
    <w:p w14:paraId="73243EF2">
      <w:pPr>
        <w:pStyle w:val="20"/>
        <w:spacing w:line="360" w:lineRule="auto"/>
        <w:ind w:firstLine="567"/>
        <w:jc w:val="both"/>
        <w:rPr>
          <w:rFonts w:hint="eastAsia" w:ascii="宋体" w:hAnsi="宋体" w:cs="宋体"/>
          <w:color w:val="auto"/>
          <w:szCs w:val="24"/>
          <w:highlight w:val="none"/>
        </w:rPr>
      </w:pPr>
      <w:r>
        <w:rPr>
          <w:rFonts w:hint="eastAsia" w:ascii="宋体" w:hAnsi="宋体" w:cs="宋体"/>
          <w:color w:val="auto"/>
          <w:szCs w:val="24"/>
          <w:highlight w:val="none"/>
        </w:rPr>
        <w:t>9.1  投标人编写的投标文件应包含以下内容:</w:t>
      </w:r>
    </w:p>
    <w:p w14:paraId="0814689E">
      <w:pPr>
        <w:pStyle w:val="20"/>
        <w:spacing w:line="360" w:lineRule="auto"/>
        <w:ind w:firstLine="567"/>
        <w:jc w:val="both"/>
        <w:outlineLvl w:val="2"/>
        <w:rPr>
          <w:rFonts w:hint="eastAsia" w:ascii="宋体" w:hAnsi="宋体" w:cs="宋体"/>
          <w:b/>
          <w:bCs/>
          <w:color w:val="auto"/>
          <w:szCs w:val="24"/>
          <w:highlight w:val="none"/>
        </w:rPr>
      </w:pPr>
      <w:r>
        <w:rPr>
          <w:rFonts w:hint="eastAsia" w:ascii="宋体" w:hAnsi="宋体" w:cs="宋体"/>
          <w:b/>
          <w:bCs/>
          <w:color w:val="auto"/>
          <w:szCs w:val="24"/>
          <w:highlight w:val="none"/>
        </w:rPr>
        <w:t>9.1.1 资格、资信证明文件(以下文件必须在有效期内)</w:t>
      </w:r>
    </w:p>
    <w:p w14:paraId="6FFD359C">
      <w:pPr>
        <w:pStyle w:val="20"/>
        <w:spacing w:line="360" w:lineRule="auto"/>
        <w:ind w:firstLine="471" w:firstLineChars="196"/>
        <w:jc w:val="both"/>
        <w:rPr>
          <w:rFonts w:hint="eastAsia" w:ascii="宋体" w:hAnsi="宋体" w:cs="宋体"/>
          <w:b w:val="0"/>
          <w:bCs w:val="0"/>
          <w:color w:val="auto"/>
          <w:szCs w:val="24"/>
          <w:highlight w:val="none"/>
        </w:rPr>
      </w:pPr>
      <w:r>
        <w:rPr>
          <w:rFonts w:hint="eastAsia" w:ascii="宋体" w:hAnsi="宋体" w:cs="宋体"/>
          <w:b w:val="0"/>
          <w:bCs w:val="0"/>
          <w:color w:val="auto"/>
          <w:szCs w:val="24"/>
          <w:highlight w:val="none"/>
        </w:rPr>
        <w:t>(1) 企业营业执照</w:t>
      </w:r>
    </w:p>
    <w:p w14:paraId="5B7C1026">
      <w:pPr>
        <w:pStyle w:val="20"/>
        <w:spacing w:line="360" w:lineRule="auto"/>
        <w:ind w:firstLine="482" w:firstLineChars="200"/>
        <w:jc w:val="both"/>
        <w:rPr>
          <w:rFonts w:hint="eastAsia" w:ascii="宋体" w:hAnsi="宋体" w:cs="宋体"/>
          <w:b w:val="0"/>
          <w:bCs w:val="0"/>
          <w:color w:val="auto"/>
          <w:szCs w:val="24"/>
          <w:highlight w:val="none"/>
        </w:rPr>
      </w:pPr>
      <w:r>
        <w:rPr>
          <w:rFonts w:hint="eastAsia" w:ascii="宋体" w:hAnsi="宋体" w:cs="宋体"/>
          <w:b w:val="0"/>
          <w:bCs w:val="0"/>
          <w:color w:val="auto"/>
          <w:szCs w:val="24"/>
          <w:highlight w:val="none"/>
        </w:rPr>
        <w:t>(2) 法定代表人身份证明或授权委托人身份证明及授权委托书</w:t>
      </w:r>
    </w:p>
    <w:p w14:paraId="64BD1D88">
      <w:pPr>
        <w:pStyle w:val="20"/>
        <w:spacing w:line="360" w:lineRule="auto"/>
        <w:ind w:firstLine="482" w:firstLineChars="200"/>
        <w:jc w:val="both"/>
        <w:rPr>
          <w:rFonts w:hint="eastAsia" w:ascii="宋体" w:hAnsi="宋体" w:cs="宋体"/>
          <w:b w:val="0"/>
          <w:bCs w:val="0"/>
          <w:color w:val="auto"/>
          <w:szCs w:val="24"/>
          <w:highlight w:val="none"/>
        </w:rPr>
      </w:pPr>
      <w:r>
        <w:rPr>
          <w:rFonts w:hint="eastAsia" w:ascii="宋体" w:hAnsi="宋体" w:cs="宋体"/>
          <w:b w:val="0"/>
          <w:bCs w:val="0"/>
          <w:color w:val="auto"/>
          <w:szCs w:val="24"/>
          <w:highlight w:val="none"/>
        </w:rPr>
        <w:t>(</w:t>
      </w:r>
      <w:r>
        <w:rPr>
          <w:rFonts w:hint="eastAsia" w:ascii="宋体" w:hAnsi="宋体" w:cs="宋体"/>
          <w:b w:val="0"/>
          <w:bCs w:val="0"/>
          <w:color w:val="auto"/>
          <w:szCs w:val="24"/>
          <w:highlight w:val="none"/>
          <w:lang w:val="en-US" w:eastAsia="zh-CN"/>
        </w:rPr>
        <w:t>3</w:t>
      </w:r>
      <w:r>
        <w:rPr>
          <w:rFonts w:hint="eastAsia" w:ascii="宋体" w:hAnsi="宋体" w:cs="宋体"/>
          <w:b w:val="0"/>
          <w:bCs w:val="0"/>
          <w:color w:val="auto"/>
          <w:szCs w:val="24"/>
          <w:highlight w:val="none"/>
        </w:rPr>
        <w:t xml:space="preserve">) </w:t>
      </w:r>
      <w:r>
        <w:rPr>
          <w:rFonts w:hint="eastAsia" w:ascii="宋体" w:hAnsi="宋体" w:cs="宋体"/>
          <w:b w:val="0"/>
          <w:bCs w:val="0"/>
          <w:color w:val="auto"/>
          <w:spacing w:val="-3"/>
          <w:szCs w:val="24"/>
          <w:highlight w:val="none"/>
        </w:rPr>
        <w:t>投标人认为有必要提供的声明及文件资料（包括但不限于</w:t>
      </w:r>
      <w:r>
        <w:rPr>
          <w:rFonts w:hint="eastAsia" w:ascii="宋体" w:hAnsi="宋体" w:cs="宋体"/>
          <w:b w:val="0"/>
          <w:bCs w:val="0"/>
          <w:color w:val="auto"/>
          <w:spacing w:val="-3"/>
          <w:szCs w:val="24"/>
          <w:highlight w:val="none"/>
          <w:lang w:val="en-US" w:eastAsia="zh-CN"/>
        </w:rPr>
        <w:t>近三年任意一年的审计报告或财务报表（成立不足一年的提供成立至今的财务报表，包含资产负债表、现金流量表、利润表）；近三个月内任意一月的社保证明和近三个月内任意一月的完税证明</w:t>
      </w:r>
      <w:r>
        <w:rPr>
          <w:rFonts w:hint="eastAsia" w:ascii="宋体" w:hAnsi="宋体" w:cs="宋体"/>
          <w:b w:val="0"/>
          <w:bCs w:val="0"/>
          <w:color w:val="auto"/>
          <w:spacing w:val="-3"/>
          <w:szCs w:val="24"/>
          <w:highlight w:val="none"/>
        </w:rPr>
        <w:t>）</w:t>
      </w:r>
    </w:p>
    <w:p w14:paraId="70DC4934">
      <w:pPr>
        <w:pStyle w:val="20"/>
        <w:spacing w:line="360" w:lineRule="auto"/>
        <w:ind w:firstLine="567"/>
        <w:jc w:val="both"/>
        <w:outlineLvl w:val="2"/>
        <w:rPr>
          <w:rFonts w:hint="eastAsia" w:ascii="宋体" w:hAnsi="宋体" w:cs="宋体"/>
          <w:b w:val="0"/>
          <w:bCs w:val="0"/>
          <w:color w:val="auto"/>
          <w:szCs w:val="24"/>
          <w:highlight w:val="none"/>
        </w:rPr>
      </w:pPr>
      <w:r>
        <w:rPr>
          <w:rFonts w:hint="eastAsia" w:ascii="宋体" w:hAnsi="宋体" w:cs="宋体"/>
          <w:b w:val="0"/>
          <w:bCs w:val="0"/>
          <w:color w:val="auto"/>
          <w:szCs w:val="24"/>
          <w:highlight w:val="none"/>
        </w:rPr>
        <w:t>9.1.2 商务文件</w:t>
      </w:r>
    </w:p>
    <w:p w14:paraId="5134C87C">
      <w:pPr>
        <w:pStyle w:val="20"/>
        <w:spacing w:line="360" w:lineRule="auto"/>
        <w:ind w:firstLine="482" w:firstLineChars="200"/>
        <w:jc w:val="both"/>
        <w:rPr>
          <w:rFonts w:hint="eastAsia" w:ascii="宋体" w:hAnsi="宋体" w:cs="宋体"/>
          <w:b w:val="0"/>
          <w:bCs w:val="0"/>
          <w:color w:val="auto"/>
          <w:szCs w:val="24"/>
          <w:highlight w:val="none"/>
        </w:rPr>
      </w:pPr>
      <w:r>
        <w:rPr>
          <w:rFonts w:hint="eastAsia" w:ascii="宋体" w:hAnsi="宋体" w:cs="宋体"/>
          <w:b w:val="0"/>
          <w:bCs w:val="0"/>
          <w:color w:val="auto"/>
          <w:szCs w:val="24"/>
          <w:highlight w:val="none"/>
          <w:lang w:eastAsia="zh-CN"/>
        </w:rPr>
        <w:t>（</w:t>
      </w:r>
      <w:r>
        <w:rPr>
          <w:rFonts w:hint="eastAsia" w:ascii="宋体" w:hAnsi="宋体" w:cs="宋体"/>
          <w:b w:val="0"/>
          <w:bCs w:val="0"/>
          <w:color w:val="auto"/>
          <w:szCs w:val="24"/>
          <w:highlight w:val="none"/>
          <w:lang w:val="en-US" w:eastAsia="zh-CN"/>
        </w:rPr>
        <w:t>1）</w:t>
      </w:r>
      <w:r>
        <w:rPr>
          <w:rFonts w:hint="eastAsia" w:ascii="宋体" w:hAnsi="宋体" w:cs="宋体"/>
          <w:b w:val="0"/>
          <w:bCs w:val="0"/>
          <w:color w:val="auto"/>
          <w:szCs w:val="24"/>
          <w:highlight w:val="none"/>
        </w:rPr>
        <w:t>投标函</w:t>
      </w:r>
    </w:p>
    <w:p w14:paraId="356C834A">
      <w:pPr>
        <w:pStyle w:val="20"/>
        <w:spacing w:line="360" w:lineRule="auto"/>
        <w:ind w:firstLine="482" w:firstLineChars="200"/>
        <w:jc w:val="both"/>
        <w:rPr>
          <w:rFonts w:hint="eastAsia" w:ascii="宋体" w:hAnsi="宋体" w:cs="宋体"/>
          <w:b w:val="0"/>
          <w:bCs w:val="0"/>
          <w:color w:val="auto"/>
          <w:szCs w:val="24"/>
          <w:highlight w:val="none"/>
        </w:rPr>
      </w:pPr>
      <w:r>
        <w:rPr>
          <w:rFonts w:hint="eastAsia" w:ascii="宋体" w:hAnsi="宋体" w:cs="宋体"/>
          <w:b w:val="0"/>
          <w:bCs w:val="0"/>
          <w:color w:val="auto"/>
          <w:szCs w:val="24"/>
          <w:highlight w:val="none"/>
          <w:lang w:eastAsia="zh-CN"/>
        </w:rPr>
        <w:t>（</w:t>
      </w:r>
      <w:r>
        <w:rPr>
          <w:rFonts w:hint="eastAsia" w:ascii="宋体" w:hAnsi="宋体" w:cs="宋体"/>
          <w:b w:val="0"/>
          <w:bCs w:val="0"/>
          <w:color w:val="auto"/>
          <w:szCs w:val="24"/>
          <w:highlight w:val="none"/>
          <w:lang w:val="en-US" w:eastAsia="zh-CN"/>
        </w:rPr>
        <w:t>2）</w:t>
      </w:r>
      <w:r>
        <w:rPr>
          <w:rFonts w:hint="eastAsia" w:ascii="宋体" w:hAnsi="宋体" w:cs="宋体"/>
          <w:b w:val="0"/>
          <w:bCs w:val="0"/>
          <w:color w:val="auto"/>
          <w:szCs w:val="24"/>
          <w:highlight w:val="none"/>
        </w:rPr>
        <w:t>法定代表人身份证明</w:t>
      </w:r>
    </w:p>
    <w:p w14:paraId="615991EB">
      <w:pPr>
        <w:pStyle w:val="20"/>
        <w:spacing w:line="360" w:lineRule="auto"/>
        <w:ind w:firstLine="482" w:firstLineChars="200"/>
        <w:jc w:val="both"/>
        <w:rPr>
          <w:rFonts w:hint="eastAsia" w:ascii="宋体" w:hAnsi="宋体" w:cs="宋体"/>
          <w:b w:val="0"/>
          <w:bCs w:val="0"/>
          <w:color w:val="auto"/>
          <w:szCs w:val="24"/>
          <w:highlight w:val="none"/>
          <w:lang w:val="en-US" w:eastAsia="zh-CN"/>
        </w:rPr>
      </w:pPr>
      <w:r>
        <w:rPr>
          <w:rFonts w:hint="eastAsia" w:ascii="宋体" w:hAnsi="宋体" w:cs="宋体"/>
          <w:b w:val="0"/>
          <w:bCs w:val="0"/>
          <w:color w:val="auto"/>
          <w:szCs w:val="24"/>
          <w:highlight w:val="none"/>
          <w:lang w:eastAsia="zh-CN"/>
        </w:rPr>
        <w:t>（</w:t>
      </w:r>
      <w:r>
        <w:rPr>
          <w:rFonts w:hint="eastAsia" w:ascii="宋体" w:hAnsi="宋体" w:cs="宋体"/>
          <w:b w:val="0"/>
          <w:bCs w:val="0"/>
          <w:color w:val="auto"/>
          <w:szCs w:val="24"/>
          <w:highlight w:val="none"/>
          <w:lang w:val="en-US" w:eastAsia="zh-CN"/>
        </w:rPr>
        <w:t>3）法定代表人的授权委托书</w:t>
      </w:r>
    </w:p>
    <w:p w14:paraId="13A09484">
      <w:pPr>
        <w:pStyle w:val="20"/>
        <w:spacing w:line="360" w:lineRule="auto"/>
        <w:ind w:firstLine="482" w:firstLineChars="200"/>
        <w:jc w:val="both"/>
        <w:rPr>
          <w:rFonts w:hint="eastAsia" w:ascii="宋体" w:hAnsi="宋体" w:cs="宋体"/>
          <w:b w:val="0"/>
          <w:bCs w:val="0"/>
          <w:color w:val="auto"/>
          <w:szCs w:val="24"/>
          <w:highlight w:val="none"/>
        </w:rPr>
      </w:pPr>
      <w:r>
        <w:rPr>
          <w:rFonts w:hint="eastAsia" w:ascii="宋体" w:hAnsi="宋体" w:cs="宋体"/>
          <w:b w:val="0"/>
          <w:bCs w:val="0"/>
          <w:color w:val="auto"/>
          <w:szCs w:val="24"/>
          <w:highlight w:val="none"/>
          <w:lang w:val="en-US" w:eastAsia="zh-CN"/>
        </w:rPr>
        <w:t>（4）</w:t>
      </w:r>
      <w:r>
        <w:rPr>
          <w:rFonts w:hint="eastAsia" w:ascii="宋体" w:hAnsi="宋体" w:cs="宋体"/>
          <w:b w:val="0"/>
          <w:bCs w:val="0"/>
          <w:color w:val="auto"/>
          <w:szCs w:val="24"/>
          <w:highlight w:val="none"/>
        </w:rPr>
        <w:t>开标一览表</w:t>
      </w:r>
    </w:p>
    <w:p w14:paraId="76EC2BFD">
      <w:pPr>
        <w:pStyle w:val="20"/>
        <w:spacing w:line="360" w:lineRule="auto"/>
        <w:ind w:firstLine="482" w:firstLineChars="200"/>
        <w:jc w:val="both"/>
        <w:rPr>
          <w:rFonts w:hint="eastAsia" w:ascii="宋体" w:hAnsi="宋体" w:cs="宋体"/>
          <w:b w:val="0"/>
          <w:bCs w:val="0"/>
          <w:color w:val="auto"/>
          <w:szCs w:val="24"/>
          <w:highlight w:val="none"/>
        </w:rPr>
      </w:pPr>
      <w:r>
        <w:rPr>
          <w:rFonts w:hint="eastAsia" w:ascii="宋体" w:hAnsi="宋体" w:cs="宋体"/>
          <w:b w:val="0"/>
          <w:bCs w:val="0"/>
          <w:color w:val="auto"/>
          <w:szCs w:val="24"/>
          <w:highlight w:val="none"/>
          <w:lang w:eastAsia="zh-CN"/>
        </w:rPr>
        <w:t>（</w:t>
      </w:r>
      <w:r>
        <w:rPr>
          <w:rFonts w:hint="eastAsia" w:ascii="宋体" w:hAnsi="宋体" w:cs="宋体"/>
          <w:b w:val="0"/>
          <w:bCs w:val="0"/>
          <w:color w:val="auto"/>
          <w:szCs w:val="24"/>
          <w:highlight w:val="none"/>
          <w:lang w:val="en-US" w:eastAsia="zh-CN"/>
        </w:rPr>
        <w:t>5）</w:t>
      </w:r>
      <w:r>
        <w:rPr>
          <w:rFonts w:hint="eastAsia" w:ascii="宋体" w:hAnsi="宋体" w:cs="宋体"/>
          <w:b w:val="0"/>
          <w:bCs w:val="0"/>
          <w:color w:val="auto"/>
          <w:szCs w:val="24"/>
          <w:highlight w:val="none"/>
        </w:rPr>
        <w:t xml:space="preserve"> 投标货物名称、数量、规格及报价明细表</w:t>
      </w:r>
    </w:p>
    <w:p w14:paraId="598A13B2">
      <w:pPr>
        <w:pStyle w:val="20"/>
        <w:spacing w:line="360" w:lineRule="auto"/>
        <w:ind w:firstLine="482" w:firstLineChars="200"/>
        <w:jc w:val="both"/>
        <w:rPr>
          <w:rFonts w:hint="eastAsia" w:ascii="宋体" w:hAnsi="宋体" w:eastAsia="宋体" w:cs="宋体"/>
          <w:b w:val="0"/>
          <w:bCs w:val="0"/>
          <w:color w:val="auto"/>
          <w:spacing w:val="-3"/>
          <w:kern w:val="2"/>
          <w:sz w:val="24"/>
          <w:szCs w:val="24"/>
          <w:highlight w:val="none"/>
          <w:lang w:val="en-US" w:eastAsia="zh-CN" w:bidi="ar-SA"/>
        </w:rPr>
      </w:pPr>
      <w:r>
        <w:rPr>
          <w:rFonts w:hint="eastAsia" w:ascii="宋体" w:hAnsi="宋体" w:cs="宋体"/>
          <w:b w:val="0"/>
          <w:bCs w:val="0"/>
          <w:color w:val="auto"/>
          <w:szCs w:val="24"/>
          <w:highlight w:val="none"/>
          <w:lang w:eastAsia="zh-CN"/>
        </w:rPr>
        <w:t>（</w:t>
      </w:r>
      <w:r>
        <w:rPr>
          <w:rFonts w:hint="eastAsia" w:ascii="宋体" w:hAnsi="宋体" w:cs="宋体"/>
          <w:b w:val="0"/>
          <w:bCs w:val="0"/>
          <w:color w:val="auto"/>
          <w:szCs w:val="24"/>
          <w:highlight w:val="none"/>
          <w:lang w:val="en-US" w:eastAsia="zh-CN"/>
        </w:rPr>
        <w:t>6）</w:t>
      </w:r>
      <w:r>
        <w:rPr>
          <w:rFonts w:hint="eastAsia" w:ascii="宋体" w:hAnsi="宋体" w:eastAsia="宋体" w:cs="宋体"/>
          <w:b w:val="0"/>
          <w:bCs w:val="0"/>
          <w:color w:val="auto"/>
          <w:spacing w:val="-3"/>
          <w:kern w:val="2"/>
          <w:sz w:val="24"/>
          <w:szCs w:val="24"/>
          <w:highlight w:val="none"/>
          <w:lang w:val="en-US" w:eastAsia="zh-CN" w:bidi="ar-SA"/>
        </w:rPr>
        <w:t>技术规格偏离表</w:t>
      </w:r>
    </w:p>
    <w:p w14:paraId="2C33EE82">
      <w:pPr>
        <w:pStyle w:val="20"/>
        <w:spacing w:line="360" w:lineRule="auto"/>
        <w:ind w:firstLine="470" w:firstLineChars="200"/>
        <w:jc w:val="both"/>
        <w:rPr>
          <w:rFonts w:hint="eastAsia" w:ascii="宋体" w:hAnsi="宋体" w:cs="宋体"/>
          <w:b w:val="0"/>
          <w:bCs w:val="0"/>
          <w:color w:val="auto"/>
          <w:spacing w:val="-3"/>
          <w:kern w:val="2"/>
          <w:sz w:val="24"/>
          <w:szCs w:val="24"/>
          <w:highlight w:val="none"/>
          <w:lang w:val="en-US" w:eastAsia="zh-CN" w:bidi="ar-SA"/>
        </w:rPr>
      </w:pPr>
      <w:r>
        <w:rPr>
          <w:rFonts w:hint="eastAsia" w:ascii="宋体" w:hAnsi="宋体" w:cs="宋体"/>
          <w:b w:val="0"/>
          <w:bCs w:val="0"/>
          <w:color w:val="auto"/>
          <w:spacing w:val="-3"/>
          <w:kern w:val="2"/>
          <w:sz w:val="24"/>
          <w:szCs w:val="24"/>
          <w:highlight w:val="none"/>
          <w:lang w:val="en-US" w:eastAsia="zh-CN" w:bidi="ar-SA"/>
        </w:rPr>
        <w:t>（7）资格审查资料</w:t>
      </w:r>
    </w:p>
    <w:p w14:paraId="393348DA">
      <w:pPr>
        <w:pStyle w:val="20"/>
        <w:spacing w:line="360" w:lineRule="auto"/>
        <w:ind w:firstLine="470" w:firstLineChars="200"/>
        <w:jc w:val="both"/>
        <w:rPr>
          <w:rFonts w:hint="eastAsia" w:ascii="宋体" w:hAnsi="宋体" w:cs="宋体"/>
          <w:b w:val="0"/>
          <w:bCs w:val="0"/>
          <w:color w:val="auto"/>
          <w:spacing w:val="-3"/>
          <w:kern w:val="2"/>
          <w:sz w:val="24"/>
          <w:szCs w:val="24"/>
          <w:highlight w:val="none"/>
          <w:lang w:val="en-US" w:eastAsia="zh-CN" w:bidi="ar-SA"/>
        </w:rPr>
      </w:pPr>
      <w:r>
        <w:rPr>
          <w:rFonts w:hint="eastAsia" w:ascii="宋体" w:hAnsi="宋体" w:cs="宋体"/>
          <w:b w:val="0"/>
          <w:bCs w:val="0"/>
          <w:color w:val="auto"/>
          <w:spacing w:val="-3"/>
          <w:kern w:val="2"/>
          <w:sz w:val="24"/>
          <w:szCs w:val="24"/>
          <w:highlight w:val="none"/>
          <w:lang w:val="en-US" w:eastAsia="zh-CN" w:bidi="ar-SA"/>
        </w:rPr>
        <w:t>（8）其他材料</w:t>
      </w:r>
    </w:p>
    <w:p w14:paraId="283AD23B">
      <w:pPr>
        <w:pStyle w:val="20"/>
        <w:spacing w:line="360" w:lineRule="auto"/>
        <w:ind w:firstLine="470" w:firstLineChars="200"/>
        <w:jc w:val="both"/>
        <w:rPr>
          <w:rFonts w:hint="eastAsia" w:ascii="宋体" w:hAnsi="宋体" w:cs="宋体"/>
          <w:b w:val="0"/>
          <w:bCs w:val="0"/>
          <w:color w:val="auto"/>
          <w:spacing w:val="-3"/>
          <w:kern w:val="2"/>
          <w:sz w:val="24"/>
          <w:szCs w:val="24"/>
          <w:highlight w:val="none"/>
          <w:lang w:val="en-US" w:eastAsia="zh-CN" w:bidi="ar-SA"/>
        </w:rPr>
      </w:pPr>
      <w:r>
        <w:rPr>
          <w:rFonts w:hint="eastAsia" w:ascii="宋体" w:hAnsi="宋体" w:cs="宋体"/>
          <w:b w:val="0"/>
          <w:bCs w:val="0"/>
          <w:color w:val="auto"/>
          <w:spacing w:val="-3"/>
          <w:kern w:val="2"/>
          <w:sz w:val="24"/>
          <w:szCs w:val="24"/>
          <w:highlight w:val="none"/>
          <w:lang w:val="en-US" w:eastAsia="zh-CN" w:bidi="ar-SA"/>
        </w:rPr>
        <w:t>（9）中小企业声明函</w:t>
      </w:r>
    </w:p>
    <w:p w14:paraId="71010785">
      <w:pPr>
        <w:pStyle w:val="20"/>
        <w:spacing w:line="360" w:lineRule="auto"/>
        <w:ind w:firstLine="470" w:firstLineChars="200"/>
        <w:jc w:val="both"/>
        <w:rPr>
          <w:rFonts w:hint="default" w:ascii="宋体" w:hAnsi="宋体" w:cs="宋体"/>
          <w:b w:val="0"/>
          <w:bCs w:val="0"/>
          <w:color w:val="auto"/>
          <w:spacing w:val="-3"/>
          <w:kern w:val="2"/>
          <w:sz w:val="24"/>
          <w:szCs w:val="24"/>
          <w:highlight w:val="none"/>
          <w:lang w:val="en-US" w:eastAsia="zh-CN" w:bidi="ar-SA"/>
        </w:rPr>
      </w:pPr>
      <w:r>
        <w:rPr>
          <w:rFonts w:hint="eastAsia" w:ascii="宋体" w:hAnsi="宋体" w:cs="宋体"/>
          <w:b w:val="0"/>
          <w:bCs w:val="0"/>
          <w:color w:val="auto"/>
          <w:spacing w:val="-3"/>
          <w:kern w:val="2"/>
          <w:sz w:val="24"/>
          <w:szCs w:val="24"/>
          <w:highlight w:val="none"/>
          <w:lang w:val="en-US" w:eastAsia="zh-CN" w:bidi="ar-SA"/>
        </w:rPr>
        <w:t>（10）中标承诺书</w:t>
      </w:r>
    </w:p>
    <w:p w14:paraId="7CADABCB">
      <w:pPr>
        <w:pStyle w:val="20"/>
        <w:spacing w:line="360" w:lineRule="auto"/>
        <w:ind w:firstLine="567"/>
        <w:jc w:val="both"/>
        <w:outlineLvl w:val="2"/>
        <w:rPr>
          <w:rFonts w:hint="eastAsia" w:ascii="宋体" w:hAnsi="宋体" w:cs="宋体"/>
          <w:b w:val="0"/>
          <w:bCs w:val="0"/>
          <w:color w:val="auto"/>
          <w:szCs w:val="24"/>
          <w:highlight w:val="none"/>
        </w:rPr>
      </w:pPr>
      <w:r>
        <w:rPr>
          <w:rFonts w:hint="eastAsia" w:ascii="宋体" w:hAnsi="宋体" w:cs="宋体"/>
          <w:b w:val="0"/>
          <w:bCs w:val="0"/>
          <w:color w:val="auto"/>
          <w:szCs w:val="24"/>
          <w:highlight w:val="none"/>
        </w:rPr>
        <w:t>9.1.3 技术文件</w:t>
      </w:r>
    </w:p>
    <w:p w14:paraId="5392504A">
      <w:pPr>
        <w:pStyle w:val="20"/>
        <w:spacing w:line="360" w:lineRule="auto"/>
        <w:ind w:firstLine="482" w:firstLineChars="200"/>
        <w:jc w:val="both"/>
        <w:rPr>
          <w:rFonts w:hint="eastAsia" w:ascii="宋体" w:hAnsi="宋体" w:eastAsia="宋体" w:cs="宋体"/>
          <w:b w:val="0"/>
          <w:bCs w:val="0"/>
          <w:color w:val="auto"/>
          <w:szCs w:val="24"/>
          <w:highlight w:val="none"/>
          <w:lang w:eastAsia="zh-CN"/>
        </w:rPr>
      </w:pPr>
      <w:r>
        <w:rPr>
          <w:rFonts w:hint="eastAsia" w:ascii="宋体" w:hAnsi="宋体" w:cs="宋体"/>
          <w:b w:val="0"/>
          <w:bCs w:val="0"/>
          <w:color w:val="auto"/>
          <w:szCs w:val="24"/>
          <w:highlight w:val="none"/>
        </w:rPr>
        <w:t>(</w:t>
      </w:r>
      <w:r>
        <w:rPr>
          <w:rFonts w:hint="eastAsia" w:ascii="宋体" w:hAnsi="宋体" w:cs="宋体"/>
          <w:b w:val="0"/>
          <w:bCs w:val="0"/>
          <w:color w:val="auto"/>
          <w:szCs w:val="24"/>
          <w:highlight w:val="none"/>
          <w:lang w:val="en-US" w:eastAsia="zh-CN"/>
        </w:rPr>
        <w:t>1</w:t>
      </w:r>
      <w:r>
        <w:rPr>
          <w:rFonts w:hint="eastAsia" w:ascii="宋体" w:hAnsi="宋体" w:cs="宋体"/>
          <w:b w:val="0"/>
          <w:bCs w:val="0"/>
          <w:color w:val="auto"/>
          <w:szCs w:val="24"/>
          <w:highlight w:val="none"/>
        </w:rPr>
        <w:t>) 投标货物的性能及技术指标</w:t>
      </w:r>
    </w:p>
    <w:p w14:paraId="2D702112">
      <w:pPr>
        <w:pStyle w:val="20"/>
        <w:spacing w:line="360" w:lineRule="auto"/>
        <w:ind w:firstLine="482" w:firstLineChars="200"/>
        <w:jc w:val="both"/>
        <w:rPr>
          <w:rFonts w:hint="eastAsia" w:ascii="宋体" w:hAnsi="宋体" w:cs="宋体"/>
          <w:b w:val="0"/>
          <w:bCs w:val="0"/>
          <w:color w:val="auto"/>
          <w:szCs w:val="24"/>
          <w:highlight w:val="none"/>
          <w:lang w:val="en-US" w:eastAsia="zh-CN"/>
        </w:rPr>
      </w:pPr>
      <w:r>
        <w:rPr>
          <w:rFonts w:hint="eastAsia" w:ascii="宋体" w:hAnsi="宋体" w:cs="宋体"/>
          <w:b w:val="0"/>
          <w:bCs w:val="0"/>
          <w:color w:val="auto"/>
          <w:szCs w:val="24"/>
          <w:highlight w:val="none"/>
        </w:rPr>
        <w:t>(</w:t>
      </w:r>
      <w:r>
        <w:rPr>
          <w:rFonts w:hint="eastAsia" w:ascii="宋体" w:hAnsi="宋体" w:cs="宋体"/>
          <w:b w:val="0"/>
          <w:bCs w:val="0"/>
          <w:color w:val="auto"/>
          <w:szCs w:val="24"/>
          <w:highlight w:val="none"/>
          <w:lang w:val="en-US" w:eastAsia="zh-CN"/>
        </w:rPr>
        <w:t>2</w:t>
      </w:r>
      <w:r>
        <w:rPr>
          <w:rFonts w:hint="eastAsia" w:ascii="宋体" w:hAnsi="宋体" w:cs="宋体"/>
          <w:b w:val="0"/>
          <w:bCs w:val="0"/>
          <w:color w:val="auto"/>
          <w:szCs w:val="24"/>
          <w:highlight w:val="none"/>
        </w:rPr>
        <w:t>) 运输</w:t>
      </w:r>
      <w:r>
        <w:rPr>
          <w:rFonts w:hint="eastAsia" w:ascii="宋体" w:hAnsi="宋体" w:cs="宋体"/>
          <w:b w:val="0"/>
          <w:bCs w:val="0"/>
          <w:color w:val="auto"/>
          <w:szCs w:val="24"/>
          <w:highlight w:val="none"/>
          <w:lang w:val="en-US" w:eastAsia="zh-CN"/>
        </w:rPr>
        <w:t>能力</w:t>
      </w:r>
    </w:p>
    <w:p w14:paraId="23DF966B">
      <w:pPr>
        <w:pStyle w:val="20"/>
        <w:spacing w:line="360" w:lineRule="auto"/>
        <w:ind w:firstLine="482" w:firstLineChars="200"/>
        <w:jc w:val="both"/>
        <w:rPr>
          <w:rFonts w:hint="eastAsia" w:ascii="宋体" w:hAnsi="宋体" w:cs="宋体"/>
          <w:b w:val="0"/>
          <w:bCs w:val="0"/>
          <w:color w:val="auto"/>
          <w:szCs w:val="24"/>
          <w:highlight w:val="none"/>
          <w:lang w:val="en-US" w:eastAsia="zh-CN"/>
        </w:rPr>
      </w:pPr>
      <w:r>
        <w:rPr>
          <w:rFonts w:hint="eastAsia" w:ascii="宋体" w:hAnsi="宋体" w:cs="宋体"/>
          <w:b w:val="0"/>
          <w:bCs w:val="0"/>
          <w:color w:val="auto"/>
          <w:szCs w:val="24"/>
          <w:highlight w:val="none"/>
        </w:rPr>
        <w:t>(</w:t>
      </w:r>
      <w:r>
        <w:rPr>
          <w:rFonts w:hint="eastAsia" w:ascii="宋体" w:hAnsi="宋体" w:cs="宋体"/>
          <w:b w:val="0"/>
          <w:bCs w:val="0"/>
          <w:color w:val="auto"/>
          <w:szCs w:val="24"/>
          <w:highlight w:val="none"/>
          <w:lang w:val="en-US" w:eastAsia="zh-CN"/>
        </w:rPr>
        <w:t>3</w:t>
      </w:r>
      <w:r>
        <w:rPr>
          <w:rFonts w:hint="eastAsia" w:ascii="宋体" w:hAnsi="宋体" w:cs="宋体"/>
          <w:b w:val="0"/>
          <w:bCs w:val="0"/>
          <w:color w:val="auto"/>
          <w:szCs w:val="24"/>
          <w:highlight w:val="none"/>
        </w:rPr>
        <w:t>)</w:t>
      </w:r>
      <w:r>
        <w:rPr>
          <w:rFonts w:hint="eastAsia" w:ascii="宋体" w:hAnsi="宋体" w:cs="宋体"/>
          <w:b w:val="0"/>
          <w:bCs w:val="0"/>
          <w:color w:val="auto"/>
          <w:szCs w:val="24"/>
          <w:highlight w:val="none"/>
          <w:lang w:val="en-US" w:eastAsia="zh-CN"/>
        </w:rPr>
        <w:t xml:space="preserve"> 拟投入劳动力</w:t>
      </w:r>
    </w:p>
    <w:p w14:paraId="7E7343FC">
      <w:pPr>
        <w:pStyle w:val="20"/>
        <w:spacing w:line="360" w:lineRule="auto"/>
        <w:ind w:firstLine="482" w:firstLineChars="200"/>
        <w:jc w:val="both"/>
        <w:rPr>
          <w:rFonts w:hint="eastAsia" w:ascii="宋体" w:hAnsi="宋体" w:cs="宋体"/>
          <w:b w:val="0"/>
          <w:bCs w:val="0"/>
          <w:color w:val="auto"/>
          <w:szCs w:val="24"/>
          <w:highlight w:val="none"/>
        </w:rPr>
      </w:pPr>
      <w:r>
        <w:rPr>
          <w:rFonts w:hint="eastAsia" w:ascii="宋体" w:hAnsi="宋体" w:cs="宋体"/>
          <w:b w:val="0"/>
          <w:bCs w:val="0"/>
          <w:color w:val="auto"/>
          <w:szCs w:val="24"/>
          <w:highlight w:val="none"/>
        </w:rPr>
        <w:t>(</w:t>
      </w:r>
      <w:r>
        <w:rPr>
          <w:rFonts w:hint="eastAsia" w:ascii="宋体" w:hAnsi="宋体" w:cs="宋体"/>
          <w:b w:val="0"/>
          <w:bCs w:val="0"/>
          <w:color w:val="auto"/>
          <w:szCs w:val="24"/>
          <w:highlight w:val="none"/>
          <w:lang w:val="en-US" w:eastAsia="zh-CN"/>
        </w:rPr>
        <w:t>4</w:t>
      </w:r>
      <w:r>
        <w:rPr>
          <w:rFonts w:hint="eastAsia" w:ascii="宋体" w:hAnsi="宋体" w:cs="宋体"/>
          <w:b w:val="0"/>
          <w:bCs w:val="0"/>
          <w:color w:val="auto"/>
          <w:szCs w:val="24"/>
          <w:highlight w:val="none"/>
        </w:rPr>
        <w:t>)</w:t>
      </w:r>
      <w:r>
        <w:rPr>
          <w:rFonts w:hint="eastAsia" w:ascii="宋体" w:hAnsi="宋体" w:cs="宋体"/>
          <w:b w:val="0"/>
          <w:bCs w:val="0"/>
          <w:color w:val="auto"/>
          <w:szCs w:val="24"/>
          <w:highlight w:val="none"/>
          <w:lang w:val="en-US" w:eastAsia="zh-CN"/>
        </w:rPr>
        <w:t xml:space="preserve"> </w:t>
      </w:r>
      <w:r>
        <w:rPr>
          <w:rFonts w:hint="eastAsia" w:ascii="宋体" w:hAnsi="宋体" w:cs="宋体"/>
          <w:b w:val="0"/>
          <w:bCs w:val="0"/>
          <w:color w:val="auto"/>
          <w:szCs w:val="24"/>
          <w:highlight w:val="none"/>
        </w:rPr>
        <w:t>防洪物资应急方案</w:t>
      </w:r>
    </w:p>
    <w:p w14:paraId="0073EE91">
      <w:pPr>
        <w:pStyle w:val="20"/>
        <w:spacing w:line="360" w:lineRule="auto"/>
        <w:ind w:firstLine="482" w:firstLineChars="200"/>
        <w:jc w:val="both"/>
        <w:rPr>
          <w:rFonts w:hint="eastAsia" w:ascii="宋体" w:hAnsi="宋体" w:cs="宋体"/>
          <w:b w:val="0"/>
          <w:bCs w:val="0"/>
          <w:color w:val="auto"/>
          <w:szCs w:val="24"/>
          <w:highlight w:val="none"/>
          <w:lang w:val="en-US" w:eastAsia="zh-CN"/>
        </w:rPr>
      </w:pPr>
      <w:r>
        <w:rPr>
          <w:rFonts w:hint="eastAsia" w:ascii="宋体" w:hAnsi="宋体" w:cs="宋体"/>
          <w:b w:val="0"/>
          <w:bCs w:val="0"/>
          <w:color w:val="auto"/>
          <w:szCs w:val="24"/>
          <w:highlight w:val="none"/>
        </w:rPr>
        <w:t>(</w:t>
      </w:r>
      <w:r>
        <w:rPr>
          <w:rFonts w:hint="eastAsia" w:ascii="宋体" w:hAnsi="宋体" w:cs="宋体"/>
          <w:b w:val="0"/>
          <w:bCs w:val="0"/>
          <w:color w:val="auto"/>
          <w:szCs w:val="24"/>
          <w:highlight w:val="none"/>
          <w:lang w:val="en-US" w:eastAsia="zh-CN"/>
        </w:rPr>
        <w:t>5</w:t>
      </w:r>
      <w:r>
        <w:rPr>
          <w:rFonts w:hint="eastAsia" w:ascii="宋体" w:hAnsi="宋体" w:cs="宋体"/>
          <w:b w:val="0"/>
          <w:bCs w:val="0"/>
          <w:color w:val="auto"/>
          <w:szCs w:val="24"/>
          <w:highlight w:val="none"/>
        </w:rPr>
        <w:t>)</w:t>
      </w:r>
      <w:r>
        <w:rPr>
          <w:rFonts w:hint="eastAsia" w:ascii="宋体" w:hAnsi="宋体" w:cs="宋体"/>
          <w:b w:val="0"/>
          <w:bCs w:val="0"/>
          <w:color w:val="auto"/>
          <w:szCs w:val="24"/>
          <w:highlight w:val="none"/>
          <w:lang w:val="en-US" w:eastAsia="zh-CN"/>
        </w:rPr>
        <w:t xml:space="preserve"> 供货保障方案</w:t>
      </w:r>
    </w:p>
    <w:p w14:paraId="29FFB25D">
      <w:pPr>
        <w:pStyle w:val="20"/>
        <w:spacing w:line="360" w:lineRule="auto"/>
        <w:ind w:firstLine="482" w:firstLineChars="200"/>
        <w:jc w:val="both"/>
        <w:outlineLvl w:val="2"/>
        <w:rPr>
          <w:rFonts w:hint="eastAsia" w:ascii="宋体" w:hAnsi="宋体" w:cs="宋体"/>
          <w:b w:val="0"/>
          <w:bCs w:val="0"/>
          <w:color w:val="auto"/>
          <w:szCs w:val="24"/>
          <w:highlight w:val="none"/>
          <w:lang w:val="en-US" w:eastAsia="zh-CN"/>
        </w:rPr>
      </w:pPr>
      <w:r>
        <w:rPr>
          <w:rFonts w:hint="eastAsia" w:ascii="宋体" w:hAnsi="宋体" w:cs="宋体"/>
          <w:b w:val="0"/>
          <w:bCs w:val="0"/>
          <w:color w:val="auto"/>
          <w:szCs w:val="24"/>
          <w:highlight w:val="none"/>
          <w:lang w:val="en-US" w:eastAsia="zh-CN"/>
        </w:rPr>
        <w:t>9.1.4 电子标书</w:t>
      </w:r>
    </w:p>
    <w:p w14:paraId="23592C16">
      <w:pPr>
        <w:pStyle w:val="20"/>
        <w:spacing w:line="360" w:lineRule="auto"/>
        <w:ind w:firstLine="482" w:firstLineChars="200"/>
        <w:jc w:val="both"/>
        <w:outlineLvl w:val="2"/>
        <w:rPr>
          <w:rFonts w:hint="eastAsia" w:ascii="宋体" w:hAnsi="宋体" w:cs="宋体"/>
          <w:b w:val="0"/>
          <w:bCs w:val="0"/>
          <w:color w:val="auto"/>
          <w:szCs w:val="24"/>
          <w:highlight w:val="none"/>
          <w:lang w:val="en-US" w:eastAsia="zh-CN"/>
        </w:rPr>
      </w:pPr>
      <w:r>
        <w:rPr>
          <w:rFonts w:hint="eastAsia" w:ascii="宋体" w:hAnsi="宋体" w:cs="宋体"/>
          <w:b w:val="0"/>
          <w:bCs w:val="0"/>
          <w:color w:val="auto"/>
          <w:szCs w:val="24"/>
          <w:highlight w:val="none"/>
          <w:lang w:val="en-US" w:eastAsia="zh-CN"/>
        </w:rPr>
        <w:t>本项目实行电子招投标，供应商需要使用CA锁，在新疆政府采购网--下载专区下载--供应商客户端制作投标文件，并生成JMBS格式加密文件，在投标截止前上传至政府采购云平台。</w:t>
      </w:r>
    </w:p>
    <w:p w14:paraId="61782701">
      <w:pPr>
        <w:pStyle w:val="20"/>
        <w:spacing w:line="360" w:lineRule="auto"/>
        <w:ind w:firstLine="482" w:firstLineChars="200"/>
        <w:jc w:val="both"/>
        <w:rPr>
          <w:rFonts w:hint="eastAsia" w:ascii="宋体" w:hAnsi="宋体" w:cs="宋体"/>
          <w:b w:val="0"/>
          <w:bCs w:val="0"/>
          <w:color w:val="auto"/>
          <w:szCs w:val="24"/>
          <w:highlight w:val="none"/>
        </w:rPr>
      </w:pPr>
      <w:r>
        <w:rPr>
          <w:rFonts w:hint="eastAsia" w:ascii="宋体" w:hAnsi="宋体" w:cs="宋体"/>
          <w:b w:val="0"/>
          <w:bCs w:val="0"/>
          <w:color w:val="auto"/>
          <w:szCs w:val="24"/>
          <w:highlight w:val="none"/>
        </w:rPr>
        <w:t>9.2 投标人在投标中违反国家有关法律法规的强制性规定的，其投标按未满足招标文件实质性要求处理。</w:t>
      </w:r>
    </w:p>
    <w:p w14:paraId="0BA7C14E">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投标书格式</w:t>
      </w:r>
    </w:p>
    <w:p w14:paraId="35376A9B">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投标人应按招标文件提供的格式完整地填写所提供的货物、服务、数量及价格。</w:t>
      </w:r>
    </w:p>
    <w:p w14:paraId="021313F4">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投标报价</w:t>
      </w:r>
    </w:p>
    <w:p w14:paraId="28CD5FC6">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投标人应按招标文件所附的《开标一览表》和《投标产品名称、数量、规格及报价明细表》中的项目，标明拟提供货物和服务的单价和总价。如单价和总价不符，以单价累计为准。</w:t>
      </w:r>
    </w:p>
    <w:p w14:paraId="70B6A04C">
      <w:pPr>
        <w:pStyle w:val="20"/>
        <w:keepLines w:val="0"/>
        <w:kinsoku/>
        <w:wordWrap/>
        <w:overflowPunct/>
        <w:bidi w:val="0"/>
        <w:spacing w:line="360" w:lineRule="auto"/>
        <w:ind w:firstLine="567"/>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11.2 本标针对每种货物只接受一个报价，不接受备选方案，但不拒绝优惠声明。</w:t>
      </w:r>
    </w:p>
    <w:p w14:paraId="04CE0239">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投标人应按招标文件的要求对有关设计</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、货物及其配套服务的全部内容进行报价。投标报价应包括：</w:t>
      </w:r>
    </w:p>
    <w:p w14:paraId="4D134AA8">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  外购、外协、配套件、原材料及功能设计生产制造、检验、油漆、包装、保险、利税、管理、运杂、安装调试、人员培训等费用。</w:t>
      </w:r>
    </w:p>
    <w:p w14:paraId="13A4755F">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  招标文件中特别要求的零</w:t>
      </w:r>
      <w:r>
        <w:rPr>
          <w:rFonts w:hint="eastAsia" w:ascii="宋体" w:hAnsi="宋体" w:eastAsia="宋体" w:cs="宋体"/>
          <w:color w:val="auto"/>
          <w:sz w:val="24"/>
          <w:szCs w:val="24"/>
          <w:highlight w:val="none"/>
          <w:lang w:eastAsia="zh-CN"/>
        </w:rPr>
        <w:t>件</w:t>
      </w:r>
      <w:r>
        <w:rPr>
          <w:rFonts w:hint="eastAsia" w:ascii="宋体" w:hAnsi="宋体" w:eastAsia="宋体" w:cs="宋体"/>
          <w:color w:val="auto"/>
          <w:sz w:val="24"/>
          <w:szCs w:val="24"/>
          <w:highlight w:val="none"/>
        </w:rPr>
        <w:t>、备</w:t>
      </w:r>
      <w:r>
        <w:rPr>
          <w:rFonts w:hint="eastAsia" w:ascii="宋体" w:hAnsi="宋体" w:eastAsia="宋体" w:cs="宋体"/>
          <w:color w:val="auto"/>
          <w:sz w:val="24"/>
          <w:szCs w:val="24"/>
          <w:highlight w:val="none"/>
          <w:lang w:eastAsia="zh-CN"/>
        </w:rPr>
        <w:t>品备</w:t>
      </w:r>
      <w:r>
        <w:rPr>
          <w:rFonts w:hint="eastAsia" w:ascii="宋体" w:hAnsi="宋体" w:eastAsia="宋体" w:cs="宋体"/>
          <w:color w:val="auto"/>
          <w:sz w:val="24"/>
          <w:szCs w:val="24"/>
          <w:highlight w:val="none"/>
        </w:rPr>
        <w:t>件</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费用。</w:t>
      </w:r>
    </w:p>
    <w:p w14:paraId="499EE0B5">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11.3.3  分项报价明细表中特别要求的安装、调试、运输及培训</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费用。</w:t>
      </w:r>
    </w:p>
    <w:p w14:paraId="002D1D8F">
      <w:pPr>
        <w:pStyle w:val="20"/>
        <w:keepLines w:val="0"/>
        <w:kinsoku/>
        <w:wordWrap/>
        <w:overflowPunct/>
        <w:bidi w:val="0"/>
        <w:spacing w:line="360" w:lineRule="auto"/>
        <w:ind w:firstLine="567"/>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   投标货币</w:t>
      </w:r>
    </w:p>
    <w:p w14:paraId="0BDDA740">
      <w:pPr>
        <w:pStyle w:val="20"/>
        <w:keepLines w:val="0"/>
        <w:kinsoku/>
        <w:wordWrap/>
        <w:overflowPunct/>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本次投标货币为人民币。</w:t>
      </w:r>
    </w:p>
    <w:p w14:paraId="6B9D96B8">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证明投标人合格和资格的文件</w:t>
      </w:r>
    </w:p>
    <w:p w14:paraId="6246F5DF">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投标人应提交证明其有资格参加投标和一旦其投标被接受则有能力履行合同的文件，并作为其投标文件的一部分。</w:t>
      </w:r>
    </w:p>
    <w:p w14:paraId="36228089">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投标人应填写并提交招标文件所要求的资格证明类文件。</w:t>
      </w:r>
    </w:p>
    <w:p w14:paraId="6004AFB1">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证明货物的合格性和符合招标文件规定的文件</w:t>
      </w:r>
    </w:p>
    <w:p w14:paraId="28FA88EB">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投标人应提交招标文件要求的货物及其服务的合格性及符合招标文件规定的证明文件。证明文件可以是手册、图纸和资料</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，并作为投标文件的一部分。</w:t>
      </w:r>
    </w:p>
    <w:p w14:paraId="44C0A7F7">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投标人应逐条阅读招标文件要求的技术规格条款要求，指出自己提供的货物和服务是否对招标文件做出实质性的响应，</w:t>
      </w:r>
      <w:r>
        <w:rPr>
          <w:rFonts w:hint="eastAsia" w:ascii="宋体" w:hAnsi="宋体" w:eastAsia="宋体" w:cs="宋体"/>
          <w:b/>
          <w:color w:val="auto"/>
          <w:sz w:val="24"/>
          <w:szCs w:val="24"/>
          <w:highlight w:val="none"/>
        </w:rPr>
        <w:t>并将不能响应之处在招标文件所附的“技术</w:t>
      </w:r>
      <w:r>
        <w:rPr>
          <w:rFonts w:hint="eastAsia" w:ascii="宋体" w:hAnsi="宋体" w:eastAsia="宋体" w:cs="宋体"/>
          <w:b/>
          <w:color w:val="auto"/>
          <w:sz w:val="24"/>
          <w:szCs w:val="24"/>
          <w:highlight w:val="none"/>
          <w:lang w:eastAsia="zh-CN"/>
        </w:rPr>
        <w:t>规格</w:t>
      </w:r>
      <w:r>
        <w:rPr>
          <w:rFonts w:hint="eastAsia" w:ascii="宋体" w:hAnsi="宋体" w:eastAsia="宋体" w:cs="宋体"/>
          <w:b/>
          <w:color w:val="auto"/>
          <w:sz w:val="24"/>
          <w:szCs w:val="24"/>
          <w:highlight w:val="none"/>
        </w:rPr>
        <w:t>偏离表”中一一列出。否则，将视为投标人同意、确认或接受招标文件的全部或相应部分的要求。</w:t>
      </w:r>
    </w:p>
    <w:p w14:paraId="51BC19E7">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投标文件的有效期</w:t>
      </w:r>
    </w:p>
    <w:p w14:paraId="249E12EE">
      <w:pPr>
        <w:pStyle w:val="20"/>
        <w:keepLines w:val="0"/>
        <w:kinsoku/>
        <w:wordWrap/>
        <w:overflowPunct/>
        <w:bidi w:val="0"/>
        <w:spacing w:line="360" w:lineRule="auto"/>
        <w:ind w:firstLine="567"/>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15.1  投标文件从实际开标之日起</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60</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天内有效。</w:t>
      </w:r>
    </w:p>
    <w:p w14:paraId="7E2C5533">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在特殊情况下, 在原投标有效期届满之前，采购代理机构可与投标单位协商延长投标文件的有效期，并经投标方确认。</w:t>
      </w:r>
    </w:p>
    <w:p w14:paraId="13A5CFA1">
      <w:pPr>
        <w:pStyle w:val="20"/>
        <w:keepLines w:val="0"/>
        <w:kinsoku/>
        <w:wordWrap/>
        <w:overflowPunct/>
        <w:bidi w:val="0"/>
        <w:spacing w:line="360" w:lineRule="auto"/>
        <w:ind w:firstLine="567"/>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15.3 投标人在投标有效期内撤销投标文件的，采购代理机构可以不退还投标保证金。</w:t>
      </w:r>
    </w:p>
    <w:p w14:paraId="24076DEE">
      <w:pPr>
        <w:pStyle w:val="20"/>
        <w:spacing w:line="360" w:lineRule="auto"/>
        <w:ind w:firstLine="567"/>
        <w:jc w:val="both"/>
        <w:rPr>
          <w:rFonts w:hint="eastAsia" w:ascii="宋体" w:hAnsi="宋体" w:eastAsia="宋体" w:cs="宋体"/>
          <w:color w:val="auto"/>
          <w:szCs w:val="24"/>
          <w:lang w:val="en-US" w:eastAsia="zh-CN"/>
        </w:rPr>
      </w:pPr>
      <w:r>
        <w:rPr>
          <w:rFonts w:hint="eastAsia" w:ascii="宋体" w:hAnsi="宋体" w:cs="宋体"/>
          <w:color w:val="auto"/>
          <w:szCs w:val="24"/>
        </w:rPr>
        <w:t>16.  投标文件的书写要求、标记要求、签署及份数</w:t>
      </w:r>
      <w:r>
        <w:rPr>
          <w:rFonts w:hint="eastAsia" w:ascii="宋体" w:hAnsi="宋体" w:cs="宋体"/>
          <w:color w:val="auto"/>
          <w:szCs w:val="24"/>
          <w:lang w:eastAsia="zh-CN"/>
        </w:rPr>
        <w:t>，</w:t>
      </w:r>
      <w:r>
        <w:rPr>
          <w:rFonts w:hint="eastAsia" w:ascii="宋体" w:hAnsi="宋体" w:cs="宋体"/>
          <w:color w:val="auto"/>
          <w:szCs w:val="24"/>
          <w:lang w:val="en-US" w:eastAsia="zh-CN"/>
        </w:rPr>
        <w:t>未按要求编制，</w:t>
      </w:r>
      <w:r>
        <w:rPr>
          <w:rFonts w:hint="eastAsia" w:ascii="宋体" w:hAnsi="宋体" w:cs="宋体"/>
          <w:color w:val="auto"/>
          <w:szCs w:val="24"/>
        </w:rPr>
        <w:t>投标文件将不能通过符合性检查，按重大偏离处理</w:t>
      </w:r>
      <w:r>
        <w:rPr>
          <w:rFonts w:hint="eastAsia" w:ascii="宋体" w:hAnsi="宋体" w:cs="宋体"/>
          <w:color w:val="auto"/>
          <w:szCs w:val="24"/>
          <w:lang w:eastAsia="zh-CN"/>
        </w:rPr>
        <w:t>。</w:t>
      </w:r>
    </w:p>
    <w:p w14:paraId="2D1551C9">
      <w:pPr>
        <w:spacing w:line="360" w:lineRule="auto"/>
        <w:ind w:firstLine="560"/>
        <w:rPr>
          <w:rFonts w:hint="eastAsia" w:ascii="宋体" w:hAnsi="宋体" w:cs="宋体"/>
          <w:color w:val="auto"/>
          <w:sz w:val="24"/>
        </w:rPr>
      </w:pPr>
      <w:r>
        <w:rPr>
          <w:rFonts w:hint="eastAsia" w:ascii="宋体" w:hAnsi="宋体" w:cs="宋体"/>
          <w:color w:val="auto"/>
          <w:sz w:val="24"/>
        </w:rPr>
        <w:t>16.2  投标文件的书写应清楚工整，修改处应由法定代表人或投标人授权代表</w:t>
      </w:r>
      <w:r>
        <w:rPr>
          <w:rFonts w:hint="eastAsia" w:ascii="宋体" w:hAnsi="宋体" w:cs="宋体"/>
          <w:color w:val="auto"/>
          <w:sz w:val="24"/>
          <w:lang w:val="en-US" w:eastAsia="zh-CN"/>
        </w:rPr>
        <w:t>签章</w:t>
      </w:r>
      <w:r>
        <w:rPr>
          <w:rFonts w:hint="eastAsia" w:ascii="宋体" w:hAnsi="宋体" w:cs="宋体"/>
          <w:color w:val="auto"/>
          <w:sz w:val="24"/>
        </w:rPr>
        <w:t>。</w:t>
      </w:r>
    </w:p>
    <w:p w14:paraId="33973B87">
      <w:pPr>
        <w:pStyle w:val="20"/>
        <w:spacing w:line="360" w:lineRule="auto"/>
        <w:ind w:firstLine="567"/>
        <w:jc w:val="both"/>
        <w:rPr>
          <w:rFonts w:hint="eastAsia" w:ascii="宋体" w:hAnsi="宋体" w:cs="宋体"/>
          <w:color w:val="auto"/>
          <w:szCs w:val="24"/>
        </w:rPr>
      </w:pPr>
      <w:r>
        <w:rPr>
          <w:rFonts w:hint="eastAsia" w:ascii="宋体" w:hAnsi="宋体" w:cs="宋体"/>
          <w:color w:val="auto"/>
          <w:szCs w:val="24"/>
        </w:rPr>
        <w:t>16.3  未实质性响应招标文件、或者关键字迹潦草、关键内容表达不清、或者未按要求填写</w:t>
      </w:r>
      <w:r>
        <w:rPr>
          <w:rFonts w:hint="eastAsia" w:ascii="宋体" w:hAnsi="宋体" w:cs="宋体"/>
          <w:color w:val="auto"/>
          <w:szCs w:val="24"/>
          <w:lang w:val="en-US" w:eastAsia="zh-CN"/>
        </w:rPr>
        <w:t>编制</w:t>
      </w:r>
      <w:r>
        <w:rPr>
          <w:rFonts w:hint="eastAsia" w:ascii="宋体" w:hAnsi="宋体" w:cs="宋体"/>
          <w:color w:val="auto"/>
          <w:szCs w:val="24"/>
        </w:rPr>
        <w:t>、或者可能导致非唯一理解的投标文件</w:t>
      </w:r>
      <w:r>
        <w:rPr>
          <w:rFonts w:hint="eastAsia" w:ascii="宋体" w:hAnsi="宋体" w:cs="宋体"/>
          <w:color w:val="auto"/>
          <w:szCs w:val="24"/>
          <w:lang w:val="en-US" w:eastAsia="zh-CN"/>
        </w:rPr>
        <w:t>将被拒绝</w:t>
      </w:r>
      <w:r>
        <w:rPr>
          <w:rFonts w:hint="eastAsia" w:ascii="宋体" w:hAnsi="宋体" w:cs="宋体"/>
          <w:color w:val="auto"/>
          <w:szCs w:val="24"/>
        </w:rPr>
        <w:t>。</w:t>
      </w:r>
    </w:p>
    <w:p w14:paraId="5F44DA09">
      <w:pPr>
        <w:pStyle w:val="20"/>
        <w:spacing w:line="360" w:lineRule="auto"/>
        <w:ind w:firstLine="567"/>
        <w:jc w:val="both"/>
        <w:rPr>
          <w:rFonts w:hint="eastAsia" w:ascii="宋体" w:hAnsi="宋体" w:cs="宋体"/>
          <w:color w:val="auto"/>
          <w:szCs w:val="24"/>
        </w:rPr>
      </w:pPr>
      <w:r>
        <w:rPr>
          <w:rFonts w:hint="eastAsia" w:ascii="宋体" w:hAnsi="宋体" w:cs="宋体"/>
          <w:color w:val="auto"/>
          <w:szCs w:val="24"/>
        </w:rPr>
        <w:t xml:space="preserve">16.4  投标文件具有法律效力,若投标文件与采购清单要求不一致，其内容影响成交结果时，责任由供应商自行承担。 </w:t>
      </w:r>
    </w:p>
    <w:p w14:paraId="4538087D">
      <w:pPr>
        <w:pStyle w:val="20"/>
        <w:spacing w:line="360" w:lineRule="auto"/>
        <w:ind w:firstLine="567"/>
        <w:jc w:val="both"/>
        <w:rPr>
          <w:rFonts w:hint="eastAsia" w:ascii="宋体" w:hAnsi="宋体" w:cs="宋体"/>
          <w:color w:val="auto"/>
          <w:szCs w:val="24"/>
        </w:rPr>
      </w:pPr>
      <w:r>
        <w:rPr>
          <w:rFonts w:hint="eastAsia" w:ascii="宋体" w:hAnsi="宋体" w:cs="宋体"/>
          <w:color w:val="auto"/>
          <w:szCs w:val="24"/>
        </w:rPr>
        <w:t>16.5 为了保证投标文件的合法性、安全性和完整性，</w:t>
      </w:r>
      <w:r>
        <w:rPr>
          <w:rFonts w:hint="eastAsia" w:ascii="宋体" w:hAnsi="宋体" w:cs="宋体"/>
          <w:color w:val="auto"/>
          <w:szCs w:val="24"/>
          <w:lang w:eastAsia="zh-CN"/>
        </w:rPr>
        <w:t>投标文件</w:t>
      </w:r>
      <w:r>
        <w:rPr>
          <w:rFonts w:hint="eastAsia" w:ascii="宋体" w:hAnsi="宋体" w:cs="宋体"/>
          <w:color w:val="auto"/>
          <w:szCs w:val="24"/>
        </w:rPr>
        <w:t>由供应商逐页</w:t>
      </w:r>
      <w:r>
        <w:rPr>
          <w:rFonts w:hint="eastAsia" w:ascii="宋体" w:hAnsi="宋体" w:cs="宋体"/>
          <w:color w:val="auto"/>
          <w:szCs w:val="24"/>
          <w:lang w:eastAsia="zh-CN"/>
        </w:rPr>
        <w:t>加盖单位公章</w:t>
      </w:r>
      <w:r>
        <w:rPr>
          <w:rFonts w:hint="eastAsia" w:ascii="宋体" w:hAnsi="宋体" w:cs="宋体"/>
          <w:color w:val="auto"/>
          <w:szCs w:val="24"/>
        </w:rPr>
        <w:t>。</w:t>
      </w:r>
    </w:p>
    <w:p w14:paraId="0F3EF3BA">
      <w:pPr>
        <w:pStyle w:val="20"/>
        <w:spacing w:line="360" w:lineRule="auto"/>
        <w:ind w:firstLine="567"/>
        <w:jc w:val="both"/>
        <w:rPr>
          <w:rFonts w:hint="eastAsia" w:ascii="宋体" w:hAnsi="宋体" w:cs="宋体"/>
          <w:color w:val="auto"/>
          <w:szCs w:val="24"/>
        </w:rPr>
      </w:pPr>
      <w:r>
        <w:rPr>
          <w:rFonts w:hint="eastAsia" w:ascii="宋体" w:hAnsi="宋体" w:cs="宋体"/>
          <w:color w:val="auto"/>
          <w:szCs w:val="24"/>
        </w:rPr>
        <w:t>16.6 除供应商对错处做必要修改外，投标文件不得行间插字、涂改或增删。如有修改错漏处，必须由投标文件签署人签字或盖章。</w:t>
      </w:r>
    </w:p>
    <w:p w14:paraId="7E9FB6B4">
      <w:pPr>
        <w:pStyle w:val="20"/>
        <w:spacing w:line="360" w:lineRule="auto"/>
        <w:ind w:firstLine="567"/>
        <w:jc w:val="both"/>
        <w:rPr>
          <w:rFonts w:hint="eastAsia" w:ascii="宋体" w:hAnsi="宋体" w:cs="宋体"/>
          <w:color w:val="auto"/>
          <w:szCs w:val="24"/>
        </w:rPr>
      </w:pPr>
      <w:r>
        <w:rPr>
          <w:rFonts w:hint="eastAsia" w:ascii="宋体" w:hAnsi="宋体" w:cs="宋体"/>
          <w:color w:val="auto"/>
          <w:szCs w:val="24"/>
        </w:rPr>
        <w:t>16.7  投标文件的份数：详见《投标人须知前附表》。</w:t>
      </w:r>
    </w:p>
    <w:p w14:paraId="525DB94A">
      <w:pPr>
        <w:pStyle w:val="20"/>
        <w:spacing w:line="360" w:lineRule="auto"/>
        <w:ind w:firstLine="567"/>
        <w:jc w:val="both"/>
        <w:rPr>
          <w:rFonts w:hint="eastAsia" w:ascii="宋体" w:hAnsi="宋体" w:cs="宋体"/>
          <w:color w:val="auto"/>
          <w:szCs w:val="24"/>
        </w:rPr>
      </w:pPr>
      <w:r>
        <w:rPr>
          <w:rFonts w:hint="eastAsia" w:ascii="宋体" w:hAnsi="宋体" w:cs="宋体"/>
          <w:color w:val="auto"/>
          <w:szCs w:val="24"/>
        </w:rPr>
        <w:t>16.8  投标人可根据投标货物的具体需要自行编制其它文件纳入投标书中。</w:t>
      </w:r>
    </w:p>
    <w:p w14:paraId="3FD65160">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17.  投标保证金</w:t>
      </w:r>
    </w:p>
    <w:p w14:paraId="446F6BA2">
      <w:pPr>
        <w:pStyle w:val="20"/>
        <w:keepLines w:val="0"/>
        <w:kinsoku/>
        <w:wordWrap/>
        <w:overflowPunct/>
        <w:bidi w:val="0"/>
        <w:spacing w:line="360" w:lineRule="auto"/>
        <w:ind w:firstLine="567"/>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17.1  投标保证金金额：</w:t>
      </w:r>
      <w:r>
        <w:rPr>
          <w:rFonts w:hint="eastAsia" w:ascii="宋体" w:hAnsi="宋体" w:eastAsia="宋体" w:cs="宋体"/>
          <w:b w:val="0"/>
          <w:bCs/>
          <w:color w:val="auto"/>
          <w:sz w:val="24"/>
          <w:szCs w:val="24"/>
          <w:highlight w:val="none"/>
          <w:lang w:eastAsia="zh-CN"/>
        </w:rPr>
        <w:t>详见投标人须知前附表规定。</w:t>
      </w:r>
    </w:p>
    <w:p w14:paraId="662639D3">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投标保证金用于保护本次招标免受投标人的违规、违约行为而引起的风险。</w:t>
      </w:r>
    </w:p>
    <w:p w14:paraId="004140A1">
      <w:pPr>
        <w:pStyle w:val="20"/>
        <w:keepLines w:val="0"/>
        <w:kinsoku/>
        <w:wordWrap/>
        <w:overflowPunct/>
        <w:bidi w:val="0"/>
        <w:spacing w:line="360" w:lineRule="auto"/>
        <w:ind w:firstLine="567"/>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17.3  投标保证金应用人民币，由投标人按第</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》中明确的银行、帐号</w:t>
      </w:r>
      <w:r>
        <w:rPr>
          <w:rFonts w:hint="eastAsia" w:ascii="宋体" w:hAnsi="宋体" w:eastAsia="宋体" w:cs="宋体"/>
          <w:color w:val="auto"/>
          <w:sz w:val="24"/>
          <w:szCs w:val="24"/>
          <w:highlight w:val="none"/>
          <w:lang w:eastAsia="zh-CN"/>
        </w:rPr>
        <w:t>等信息</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lang w:eastAsia="zh-CN"/>
        </w:rPr>
        <w:t>开标</w:t>
      </w:r>
      <w:r>
        <w:rPr>
          <w:rFonts w:hint="eastAsia" w:ascii="宋体" w:hAnsi="宋体" w:eastAsia="宋体" w:cs="宋体"/>
          <w:b w:val="0"/>
          <w:bCs w:val="0"/>
          <w:color w:val="auto"/>
          <w:sz w:val="24"/>
          <w:szCs w:val="24"/>
          <w:highlight w:val="none"/>
          <w:lang w:eastAsia="zh-CN"/>
        </w:rPr>
        <w:t>前缴纳</w:t>
      </w:r>
      <w:r>
        <w:rPr>
          <w:rFonts w:hint="eastAsia" w:ascii="宋体" w:hAnsi="宋体" w:eastAsia="宋体" w:cs="宋体"/>
          <w:b w:val="0"/>
          <w:bCs w:val="0"/>
          <w:color w:val="auto"/>
          <w:sz w:val="24"/>
          <w:szCs w:val="24"/>
          <w:highlight w:val="none"/>
        </w:rPr>
        <w:t>。对未按要求提交投标保证金的投标书，采购代理机构将视为不响应投标而予以拒绝。</w:t>
      </w:r>
    </w:p>
    <w:p w14:paraId="0BA9ADA6">
      <w:pPr>
        <w:pStyle w:val="20"/>
        <w:keepLines w:val="0"/>
        <w:kinsoku/>
        <w:wordWrap/>
        <w:overflowPunct/>
        <w:bidi w:val="0"/>
        <w:spacing w:line="360" w:lineRule="auto"/>
        <w:ind w:firstLine="567"/>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17.4 投标保证金应以投标保证金应当以支票、汇票、本票或者金融机构、担保机构出具的保函等非现金形式提交。</w:t>
      </w:r>
      <w:r>
        <w:rPr>
          <w:rFonts w:hint="eastAsia" w:ascii="宋体" w:hAnsi="宋体" w:cs="宋体"/>
          <w:color w:val="auto"/>
          <w:sz w:val="24"/>
          <w:szCs w:val="24"/>
          <w:highlight w:val="none"/>
          <w:lang w:val="en-US" w:eastAsia="zh-CN"/>
        </w:rPr>
        <w:t>如采取电汇及转账的，必须是基本账户缴纳。</w:t>
      </w:r>
    </w:p>
    <w:p w14:paraId="7F5D3DF8">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17.5  中标人的投标保证金自采购合同签定之日起5个工作日内</w:t>
      </w:r>
      <w:r>
        <w:rPr>
          <w:rFonts w:hint="eastAsia" w:ascii="宋体" w:hAnsi="宋体" w:eastAsia="宋体" w:cs="宋体"/>
          <w:color w:val="auto"/>
          <w:sz w:val="24"/>
          <w:szCs w:val="24"/>
          <w:highlight w:val="none"/>
        </w:rPr>
        <w:t>不计利息予以退还</w:t>
      </w:r>
      <w:r>
        <w:rPr>
          <w:rFonts w:hint="eastAsia" w:ascii="宋体" w:hAnsi="宋体" w:eastAsia="宋体" w:cs="宋体"/>
          <w:color w:val="auto"/>
          <w:sz w:val="24"/>
          <w:szCs w:val="24"/>
          <w:highlight w:val="none"/>
          <w:lang w:eastAsia="zh-CN"/>
        </w:rPr>
        <w:t>。</w:t>
      </w:r>
    </w:p>
    <w:p w14:paraId="2AAF2011">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未中标人的投标保证金，</w:t>
      </w:r>
      <w:r>
        <w:rPr>
          <w:rFonts w:hint="eastAsia" w:ascii="宋体" w:hAnsi="宋体" w:eastAsia="宋体" w:cs="宋体"/>
          <w:color w:val="auto"/>
          <w:sz w:val="24"/>
          <w:szCs w:val="24"/>
          <w:highlight w:val="none"/>
          <w:lang w:eastAsia="zh-CN"/>
        </w:rPr>
        <w:t>自中标通知书发出之日起</w:t>
      </w:r>
      <w:r>
        <w:rPr>
          <w:rFonts w:hint="eastAsia" w:ascii="宋体" w:hAnsi="宋体" w:eastAsia="宋体" w:cs="宋体"/>
          <w:color w:val="auto"/>
          <w:sz w:val="24"/>
          <w:szCs w:val="24"/>
          <w:highlight w:val="none"/>
          <w:lang w:val="en-US" w:eastAsia="zh-CN"/>
        </w:rPr>
        <w:t>5个工作日内</w:t>
      </w:r>
      <w:r>
        <w:rPr>
          <w:rFonts w:hint="eastAsia" w:ascii="宋体" w:hAnsi="宋体" w:eastAsia="宋体" w:cs="宋体"/>
          <w:color w:val="auto"/>
          <w:sz w:val="24"/>
          <w:szCs w:val="24"/>
          <w:highlight w:val="none"/>
        </w:rPr>
        <w:t>不计利息予以退还。</w:t>
      </w:r>
    </w:p>
    <w:p w14:paraId="7FB3A3F4">
      <w:pPr>
        <w:pStyle w:val="20"/>
        <w:keepLines w:val="0"/>
        <w:kinsoku/>
        <w:wordWrap/>
        <w:overflowPunct/>
        <w:bidi w:val="0"/>
        <w:spacing w:line="360" w:lineRule="auto"/>
        <w:ind w:firstLine="567"/>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17.</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 xml:space="preserve">  发生以下情况</w:t>
      </w:r>
      <w:r>
        <w:rPr>
          <w:rFonts w:hint="eastAsia" w:ascii="宋体" w:hAnsi="宋体" w:eastAsia="宋体" w:cs="宋体"/>
          <w:b w:val="0"/>
          <w:bCs w:val="0"/>
          <w:color w:val="auto"/>
          <w:sz w:val="24"/>
          <w:szCs w:val="24"/>
          <w:highlight w:val="none"/>
          <w:lang w:eastAsia="zh-CN"/>
        </w:rPr>
        <w:t>中标人的</w:t>
      </w:r>
      <w:r>
        <w:rPr>
          <w:rFonts w:hint="eastAsia" w:ascii="宋体" w:hAnsi="宋体" w:eastAsia="宋体" w:cs="宋体"/>
          <w:b w:val="0"/>
          <w:bCs w:val="0"/>
          <w:color w:val="auto"/>
          <w:sz w:val="24"/>
          <w:szCs w:val="24"/>
          <w:highlight w:val="none"/>
        </w:rPr>
        <w:t>投标保证金可能被没收：</w:t>
      </w:r>
    </w:p>
    <w:p w14:paraId="45BB7B2D">
      <w:pPr>
        <w:pStyle w:val="21"/>
        <w:keepLines w:val="0"/>
        <w:kinsoku/>
        <w:wordWrap/>
        <w:overflowPunct/>
        <w:bidi w:val="0"/>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17.7.1 未</w:t>
      </w:r>
      <w:r>
        <w:rPr>
          <w:rFonts w:hint="eastAsia" w:ascii="宋体" w:hAnsi="宋体" w:eastAsia="宋体" w:cs="宋体"/>
          <w:b w:val="0"/>
          <w:bCs w:val="0"/>
          <w:color w:val="auto"/>
          <w:sz w:val="24"/>
          <w:szCs w:val="24"/>
          <w:highlight w:val="none"/>
        </w:rPr>
        <w:t>按2</w:t>
      </w: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条规定签定合同；</w:t>
      </w:r>
    </w:p>
    <w:p w14:paraId="034D1485">
      <w:pPr>
        <w:pStyle w:val="21"/>
        <w:keepLines w:val="0"/>
        <w:kinsoku/>
        <w:wordWrap/>
        <w:overflowPunct/>
        <w:bidi w:val="0"/>
        <w:spacing w:line="360" w:lineRule="auto"/>
        <w:ind w:firstLine="56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17.7.2 未按</w:t>
      </w:r>
      <w:r>
        <w:rPr>
          <w:rFonts w:hint="eastAsia" w:ascii="宋体" w:hAnsi="宋体" w:eastAsia="宋体" w:cs="宋体"/>
          <w:b w:val="0"/>
          <w:bCs w:val="0"/>
          <w:color w:val="auto"/>
          <w:sz w:val="24"/>
          <w:szCs w:val="24"/>
          <w:highlight w:val="none"/>
        </w:rPr>
        <w:t>第31条有关缴纳中标服务费的规定；</w:t>
      </w:r>
    </w:p>
    <w:p w14:paraId="30C46DCE">
      <w:pPr>
        <w:pStyle w:val="21"/>
        <w:keepLines w:val="0"/>
        <w:kinsoku/>
        <w:wordWrap/>
        <w:overflowPunct/>
        <w:bidi w:val="0"/>
        <w:spacing w:line="360" w:lineRule="auto"/>
        <w:ind w:firstLine="56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17.7.3 未</w:t>
      </w:r>
      <w:r>
        <w:rPr>
          <w:rFonts w:hint="eastAsia" w:ascii="宋体" w:hAnsi="宋体" w:eastAsia="宋体" w:cs="宋体"/>
          <w:b w:val="0"/>
          <w:bCs w:val="0"/>
          <w:color w:val="auto"/>
          <w:sz w:val="24"/>
          <w:szCs w:val="24"/>
          <w:highlight w:val="none"/>
        </w:rPr>
        <w:t>按招标文件要求提交合同履约保证金的。</w:t>
      </w:r>
    </w:p>
    <w:p w14:paraId="56A04493">
      <w:pPr>
        <w:pStyle w:val="19"/>
        <w:jc w:val="center"/>
        <w:rPr>
          <w:rFonts w:hint="eastAsia"/>
          <w:b/>
          <w:bCs/>
          <w:color w:val="auto"/>
          <w:highlight w:val="none"/>
          <w:lang w:eastAsia="zh-CN"/>
        </w:rPr>
      </w:pPr>
      <w:r>
        <w:rPr>
          <w:rFonts w:hint="eastAsia"/>
          <w:b/>
          <w:bCs/>
          <w:color w:val="auto"/>
          <w:highlight w:val="none"/>
          <w:lang w:eastAsia="zh-CN"/>
        </w:rPr>
        <w:t>四、投标文件的递交</w:t>
      </w:r>
    </w:p>
    <w:p w14:paraId="64642DDB">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  投标文件</w:t>
      </w:r>
      <w:r>
        <w:rPr>
          <w:rFonts w:hint="eastAsia" w:ascii="宋体" w:hAnsi="宋体" w:eastAsia="宋体" w:cs="宋体"/>
          <w:color w:val="auto"/>
          <w:sz w:val="24"/>
          <w:szCs w:val="24"/>
          <w:highlight w:val="none"/>
          <w:lang w:val="en-US" w:eastAsia="zh-CN"/>
        </w:rPr>
        <w:t>递交的格式</w:t>
      </w:r>
    </w:p>
    <w:p w14:paraId="4270ADBD">
      <w:pPr>
        <w:pStyle w:val="20"/>
        <w:keepLines w:val="0"/>
        <w:kinsoku/>
        <w:wordWrap/>
        <w:overflowPunct/>
        <w:bidi w:val="0"/>
        <w:spacing w:line="360" w:lineRule="auto"/>
        <w:ind w:firstLine="567"/>
        <w:jc w:val="both"/>
        <w:textAlignment w:val="auto"/>
        <w:rPr>
          <w:rFonts w:hint="eastAsia" w:ascii="宋体" w:hAnsi="宋体" w:cs="宋体"/>
          <w:color w:val="auto"/>
          <w:szCs w:val="24"/>
          <w:highlight w:val="none"/>
        </w:rPr>
      </w:pPr>
      <w:r>
        <w:rPr>
          <w:rFonts w:hint="eastAsia" w:ascii="宋体" w:hAnsi="宋体" w:cs="宋体"/>
          <w:color w:val="auto"/>
          <w:szCs w:val="24"/>
          <w:highlight w:val="none"/>
        </w:rPr>
        <w:t xml:space="preserve">18.1 </w:t>
      </w:r>
      <w:r>
        <w:rPr>
          <w:rFonts w:hint="eastAsia" w:ascii="宋体" w:hAnsi="宋体" w:cs="宋体"/>
          <w:color w:val="auto"/>
          <w:szCs w:val="24"/>
          <w:highlight w:val="none"/>
          <w:lang w:val="en-US" w:eastAsia="zh-CN"/>
        </w:rPr>
        <w:t>投标供应商应当在投标截止时间前，将生成的“JMBS格式电子加密投标文件”上传递交至“政府采购云平台”，投标截止时间以后上传递交的投标文件将被“政府采购云平台”拒收。</w:t>
      </w:r>
    </w:p>
    <w:p w14:paraId="73EA5744">
      <w:pPr>
        <w:pStyle w:val="20"/>
        <w:spacing w:line="360" w:lineRule="auto"/>
        <w:ind w:firstLine="567"/>
        <w:jc w:val="both"/>
        <w:rPr>
          <w:rFonts w:hint="eastAsia" w:ascii="宋体" w:hAnsi="宋体" w:eastAsia="宋体" w:cs="宋体"/>
          <w:color w:val="auto"/>
          <w:szCs w:val="24"/>
          <w:highlight w:val="none"/>
          <w:lang w:val="en-US" w:eastAsia="zh-CN"/>
        </w:rPr>
      </w:pPr>
      <w:r>
        <w:rPr>
          <w:rFonts w:hint="eastAsia" w:ascii="宋体" w:hAnsi="宋体" w:eastAsia="宋体" w:cs="宋体"/>
          <w:b w:val="0"/>
          <w:bCs w:val="0"/>
          <w:color w:val="auto"/>
          <w:sz w:val="24"/>
          <w:szCs w:val="24"/>
          <w:highlight w:val="none"/>
        </w:rPr>
        <w:t xml:space="preserve">18.2  </w:t>
      </w:r>
      <w:r>
        <w:rPr>
          <w:rFonts w:hint="eastAsia" w:ascii="宋体" w:hAnsi="宋体" w:eastAsia="宋体" w:cs="宋体"/>
          <w:color w:val="auto"/>
          <w:szCs w:val="24"/>
          <w:highlight w:val="none"/>
          <w:lang w:val="en-US" w:eastAsia="zh-CN"/>
        </w:rPr>
        <w:t>未按本须知要求投递投标文件，造成无法投标或投标失败等后果的由投标人自行承担。</w:t>
      </w:r>
    </w:p>
    <w:p w14:paraId="02960B5E">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  投标文件递交的截止日期</w:t>
      </w:r>
    </w:p>
    <w:p w14:paraId="58FCD494">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19.1  投标人必须在《投标人须知前附表》中规定的时间之前将投标文件送达到规定的地点。</w:t>
      </w:r>
    </w:p>
    <w:p w14:paraId="1BC5D0DF">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超过招标文件规定的投标截止时间送达的投标文件将不予接受。</w:t>
      </w:r>
    </w:p>
    <w:p w14:paraId="23A1815E">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  投标文件的修改和撤销</w:t>
      </w:r>
    </w:p>
    <w:p w14:paraId="674FBF2D">
      <w:pPr>
        <w:pStyle w:val="22"/>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  投标人对其投标文件进行的修改或撤销应以书面形式并在招标文件规定的投标截止时间前送达采购代理机构手中。</w:t>
      </w:r>
    </w:p>
    <w:p w14:paraId="2182C555">
      <w:pPr>
        <w:pStyle w:val="22"/>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投标人对投标文件的修改或撤销应按第18和19条规定进行准备、标注和递交。</w:t>
      </w:r>
    </w:p>
    <w:p w14:paraId="6451E05B">
      <w:pPr>
        <w:pStyle w:val="22"/>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投标截止时间以后，不允许对投标文件进行修改。</w:t>
      </w:r>
    </w:p>
    <w:p w14:paraId="7B1F5C0B">
      <w:pPr>
        <w:pStyle w:val="22"/>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  投标人不得在投标截止时间起至投标文件有效期满前撤销投标文件</w:t>
      </w:r>
      <w:r>
        <w:rPr>
          <w:rFonts w:hint="eastAsia" w:ascii="宋体" w:hAnsi="宋体" w:eastAsia="宋体" w:cs="宋体"/>
          <w:color w:val="auto"/>
          <w:sz w:val="24"/>
          <w:szCs w:val="24"/>
          <w:highlight w:val="none"/>
          <w:lang w:eastAsia="zh-CN"/>
        </w:rPr>
        <w:t>。</w:t>
      </w:r>
    </w:p>
    <w:p w14:paraId="5DFA424B">
      <w:pPr>
        <w:pStyle w:val="19"/>
        <w:jc w:val="center"/>
        <w:rPr>
          <w:rFonts w:hint="eastAsia"/>
          <w:b/>
          <w:bCs/>
          <w:color w:val="auto"/>
          <w:highlight w:val="none"/>
          <w:lang w:eastAsia="zh-CN"/>
        </w:rPr>
      </w:pPr>
      <w:r>
        <w:rPr>
          <w:rFonts w:hint="eastAsia"/>
          <w:b/>
          <w:bCs/>
          <w:color w:val="auto"/>
          <w:highlight w:val="none"/>
          <w:lang w:eastAsia="zh-CN"/>
        </w:rPr>
        <w:t>五、开标</w:t>
      </w:r>
    </w:p>
    <w:p w14:paraId="60066F65">
      <w:pPr>
        <w:pStyle w:val="22"/>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开标</w:t>
      </w:r>
    </w:p>
    <w:p w14:paraId="5DF28897">
      <w:pPr>
        <w:pStyle w:val="20"/>
        <w:keepLines w:val="0"/>
        <w:kinsoku/>
        <w:wordWrap/>
        <w:overflowPunct/>
        <w:bidi w:val="0"/>
        <w:spacing w:line="360" w:lineRule="auto"/>
        <w:ind w:left="1" w:firstLine="484" w:firstLineChars="201"/>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21.1  除非采购代理机构另外书面通知，本标将按本招标文件《投标人须知前附表》中规定的时间和地点开标。</w:t>
      </w:r>
    </w:p>
    <w:p w14:paraId="367F7462">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21.2 </w:t>
      </w:r>
      <w:r>
        <w:rPr>
          <w:rFonts w:hint="eastAsia" w:ascii="宋体" w:hAnsi="宋体" w:eastAsia="宋体" w:cs="宋体"/>
          <w:color w:val="auto"/>
          <w:sz w:val="24"/>
          <w:szCs w:val="24"/>
          <w:highlight w:val="none"/>
          <w:lang w:val="en-US" w:eastAsia="zh-CN"/>
        </w:rPr>
        <w:t>开标时，招标人、监督部门、公证部门的工作人员将对开标会议到场监督。</w:t>
      </w:r>
    </w:p>
    <w:p w14:paraId="0AC77A49">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21.3 开标时，投标单位完成在线解密后，由工作人员开始唱标。</w:t>
      </w:r>
    </w:p>
    <w:p w14:paraId="35D4304A">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开标时唱《开标一览表》的内容。如投标人对投标价格有说明或调整的，须与《开标一览表》附在一起，在唱标时一并唱出。</w:t>
      </w:r>
    </w:p>
    <w:p w14:paraId="33EFC96F">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唱标完毕后，如果投标人对所唱《开标一览表》内容有异议，应当场立即提出。经现场监标人员确认，认为有必要重新唱标的，由唱标员重新唱标。</w:t>
      </w:r>
    </w:p>
    <w:p w14:paraId="4C6DFCEC">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所有唱标均记录在案，并经监标人员或公证人员的签字，作为各投标人投标文件的组成部分。</w:t>
      </w:r>
    </w:p>
    <w:p w14:paraId="154A1837">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21.7  投标人代表对开标过程和开标记录有疑义，以及认为采购人、采购代理机构相关工作人员有需要回避的情形的，应当场提出询问或者回避申请。</w:t>
      </w:r>
    </w:p>
    <w:p w14:paraId="76464A25">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21.8  投标人未参加开标的，视同认可开标结果。</w:t>
      </w:r>
    </w:p>
    <w:p w14:paraId="6D6F91BB">
      <w:pPr>
        <w:pStyle w:val="19"/>
        <w:jc w:val="center"/>
        <w:rPr>
          <w:rFonts w:hint="eastAsia"/>
          <w:b/>
          <w:bCs/>
          <w:color w:val="auto"/>
          <w:highlight w:val="none"/>
          <w:lang w:eastAsia="zh-CN"/>
        </w:rPr>
      </w:pPr>
      <w:r>
        <w:rPr>
          <w:rFonts w:hint="eastAsia"/>
          <w:b/>
          <w:bCs/>
          <w:color w:val="auto"/>
          <w:highlight w:val="none"/>
          <w:lang w:eastAsia="zh-CN"/>
        </w:rPr>
        <w:t>六、评标和定标</w:t>
      </w:r>
    </w:p>
    <w:p w14:paraId="2D897051">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评标原则</w:t>
      </w:r>
    </w:p>
    <w:p w14:paraId="5694B035">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本标的评标遵循公平、公正、科学、择优的原则。</w:t>
      </w:r>
    </w:p>
    <w:p w14:paraId="3DC962F6">
      <w:pPr>
        <w:pStyle w:val="20"/>
        <w:keepLines w:val="0"/>
        <w:kinsoku/>
        <w:wordWrap/>
        <w:overflowPunct/>
        <w:bidi w:val="0"/>
        <w:spacing w:line="360" w:lineRule="auto"/>
        <w:ind w:left="0" w:leftChars="0" w:firstLine="5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评标委员会将严格按照《中华人民共和国招标投标法》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《中华人民共和国招标投标法</w:t>
      </w:r>
      <w:r>
        <w:rPr>
          <w:rFonts w:hint="eastAsia" w:ascii="宋体" w:hAnsi="宋体" w:eastAsia="宋体" w:cs="宋体"/>
          <w:color w:val="auto"/>
          <w:sz w:val="24"/>
          <w:szCs w:val="24"/>
          <w:highlight w:val="none"/>
          <w:lang w:eastAsia="zh-CN"/>
        </w:rPr>
        <w:t>实施条例</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《政府采购货物和服务招标投标管理办法》（财政部</w:t>
      </w:r>
      <w:r>
        <w:rPr>
          <w:rFonts w:hint="eastAsia" w:ascii="宋体" w:hAnsi="宋体" w:eastAsia="宋体" w:cs="宋体"/>
          <w:color w:val="auto"/>
          <w:sz w:val="24"/>
          <w:szCs w:val="24"/>
          <w:highlight w:val="none"/>
          <w:lang w:val="en-US" w:eastAsia="zh-CN"/>
        </w:rPr>
        <w:t>87</w:t>
      </w:r>
      <w:r>
        <w:rPr>
          <w:rFonts w:hint="eastAsia" w:ascii="宋体" w:hAnsi="宋体" w:eastAsia="宋体" w:cs="宋体"/>
          <w:color w:val="auto"/>
          <w:sz w:val="24"/>
          <w:szCs w:val="24"/>
          <w:highlight w:val="none"/>
        </w:rPr>
        <w:t>号令）的规定</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相关法律法规的规定依法评标，维护招标投标各方当事人的合法权益。法律、法规、规章和省级以上财政部门涉及政府采购政策功能及其他规定，评标委员会应根据招标文件规定，优先推荐节能、环保产品，优先考虑中小企业。投标人符合规定，获得相应政府采购政策优惠的，应提供相关证明材料。</w:t>
      </w:r>
    </w:p>
    <w:p w14:paraId="6761E3DF">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  不徇私情，不明招暗定。</w:t>
      </w:r>
    </w:p>
    <w:p w14:paraId="6060596B">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  资格审查合格的投标人，均有同等机会参加竞争。</w:t>
      </w:r>
    </w:p>
    <w:p w14:paraId="2FD34F83">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22.5  评标人员不得私自泄露评标内容，不得进行旨在影响评标结果公正、公平的任何活动。</w:t>
      </w:r>
    </w:p>
    <w:p w14:paraId="4B6B74EA">
      <w:pPr>
        <w:pStyle w:val="20"/>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22.6  对于投标文件中含义不明确、同类问题表述不一致或者有明显文字和计算错误的内容，评标委员会应当以书面形式要求投标人作出必要的澄清、说明或者补正。</w:t>
      </w:r>
    </w:p>
    <w:p w14:paraId="385E37DE">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评标方法</w:t>
      </w:r>
    </w:p>
    <w:p w14:paraId="56434524">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  采购代理机构将根据有关法律法规的规定组建本次招标的评标委员会。评标委员会成员由本行业相关技术、经济等方面的专家组成。其中，技术、经济等方面的专家不少于成员总人数的三分之二。</w:t>
      </w:r>
    </w:p>
    <w:p w14:paraId="749BDE0D">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评标的依据为招标文件和投标文件。根据相关法律法规的规定，评标委员会不以任何外部证据作为其评标的依据或标准。</w:t>
      </w:r>
    </w:p>
    <w:p w14:paraId="4B4CE040">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23.3  评标过程将严格保密。开标后直到授予中标人合同止，凡是属于审查、澄清、评价和比较的有关评标资料以及授标建议等均不得向投标人或其他无关的人员透露。</w:t>
      </w:r>
    </w:p>
    <w:p w14:paraId="3477A87D">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23.4  在评标的整个过程中，投标人所进行的旨在影响评标结果的活动，可能导致其投标被拒绝，或者被取消中标资格。</w:t>
      </w:r>
    </w:p>
    <w:p w14:paraId="775A687F">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23.5  本次招标采用综合评分法进行评标。评标分初步评审和详细评审两个阶段。</w:t>
      </w:r>
    </w:p>
    <w:p w14:paraId="3C9B4CFC">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23.5.1  初步评审分为资格性检查和符合性检查，只有通过初步评审的投标文件才可进入详细评审阶段。</w:t>
      </w:r>
    </w:p>
    <w:p w14:paraId="1740938A">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23.5.2  详细评审分为</w:t>
      </w:r>
      <w:r>
        <w:rPr>
          <w:rFonts w:hint="eastAsia" w:ascii="宋体" w:hAnsi="宋体" w:eastAsia="宋体" w:cs="宋体"/>
          <w:color w:val="auto"/>
          <w:sz w:val="24"/>
          <w:szCs w:val="24"/>
          <w:highlight w:val="none"/>
          <w:lang w:eastAsia="zh-CN"/>
        </w:rPr>
        <w:t>经济报价部分和技术标评审两</w:t>
      </w:r>
      <w:r>
        <w:rPr>
          <w:rFonts w:hint="eastAsia" w:ascii="宋体" w:hAnsi="宋体" w:eastAsia="宋体" w:cs="宋体"/>
          <w:color w:val="auto"/>
          <w:sz w:val="24"/>
          <w:szCs w:val="24"/>
          <w:highlight w:val="none"/>
        </w:rPr>
        <w:t>个部分。</w:t>
      </w:r>
    </w:p>
    <w:p w14:paraId="38BE617D">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23.6  初步评审</w:t>
      </w:r>
    </w:p>
    <w:p w14:paraId="02AFB4AD">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 资格性检查：依据法律法规和</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的规定，对</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中的资格证明等进行审查，以确定投标人是否具备投标资格。</w:t>
      </w:r>
    </w:p>
    <w:p w14:paraId="5171D2E9">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 符合性检查：依据招标文件的规定，从投标文件的有效性、完整性和对招标文件的响应程度进行审查，以确定是否对招标文件的实质性要求作出响应，判定其内容是否真实可靠，是否满足招标文件的最基本的实质性要求，是否存在重大偏离。重大偏离系指投标文件的有效性、真实性、合同的供货范围、质量、性能和规格等内容在实质上与招标文件形成了重大的不一致，而这种不一致可能限制了买方的权力和投标人的义务，纠正或承认这些偏离将会对该投标人和其它投标人合理的竞争地位产生不公正的影响。与招标文件有重大偏离的投标文件将被拒绝。</w:t>
      </w:r>
    </w:p>
    <w:p w14:paraId="4E1D84E3">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具体评审内容系指：</w:t>
      </w:r>
    </w:p>
    <w:p w14:paraId="4BA6D9D2">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资格性检查：</w:t>
      </w:r>
    </w:p>
    <w:p w14:paraId="29B4C022">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①</w:t>
      </w:r>
      <w:r>
        <w:rPr>
          <w:rFonts w:hint="eastAsia" w:ascii="宋体" w:hAnsi="宋体" w:eastAsia="宋体" w:cs="宋体"/>
          <w:color w:val="auto"/>
          <w:sz w:val="24"/>
          <w:szCs w:val="24"/>
          <w:highlight w:val="none"/>
          <w:lang w:eastAsia="zh-CN"/>
        </w:rPr>
        <w:t>具备有效经年检的营业执照、开户许可证（或基本存款账户信息）；</w:t>
      </w:r>
    </w:p>
    <w:p w14:paraId="7E2C762E">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②</w:t>
      </w:r>
      <w:r>
        <w:rPr>
          <w:rFonts w:hint="eastAsia" w:ascii="宋体" w:hAnsi="宋体" w:eastAsia="宋体" w:cs="宋体"/>
          <w:color w:val="auto"/>
          <w:sz w:val="24"/>
          <w:szCs w:val="24"/>
          <w:highlight w:val="none"/>
          <w:lang w:eastAsia="zh-CN"/>
        </w:rPr>
        <w:t>法定代表人及其委托代理人应提供本人身份证原件，法定代表人应提供《法定代表人身份证明》；委托代理人应提供《法定代表人身份证明》、《法定代表人授权委托书》；</w:t>
      </w:r>
    </w:p>
    <w:p w14:paraId="0C14AE08">
      <w:pPr>
        <w:spacing w:line="360" w:lineRule="auto"/>
        <w:ind w:firstLine="482"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③</w:t>
      </w:r>
      <w:r>
        <w:rPr>
          <w:rFonts w:hint="eastAsia" w:ascii="宋体" w:hAnsi="宋体" w:eastAsia="宋体" w:cs="宋体"/>
          <w:color w:val="auto"/>
          <w:sz w:val="24"/>
          <w:szCs w:val="24"/>
          <w:highlight w:val="none"/>
          <w:lang w:eastAsia="zh-CN"/>
        </w:rPr>
        <w:t>近三年任意一年的审计报告或财务报表（成立不足一年的提供成立至今的财务报表，包含资产负债表、现金流量表、利润表）；</w:t>
      </w:r>
    </w:p>
    <w:p w14:paraId="27ED1B67">
      <w:pPr>
        <w:spacing w:line="360" w:lineRule="auto"/>
        <w:ind w:firstLine="482"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④</w:t>
      </w:r>
      <w:r>
        <w:rPr>
          <w:rFonts w:hint="eastAsia" w:ascii="宋体" w:hAnsi="宋体" w:eastAsia="宋体" w:cs="宋体"/>
          <w:color w:val="auto"/>
          <w:sz w:val="24"/>
          <w:szCs w:val="24"/>
          <w:highlight w:val="none"/>
          <w:lang w:eastAsia="zh-CN"/>
        </w:rPr>
        <w:t>近三个月内任意一月的社保证明；</w:t>
      </w:r>
    </w:p>
    <w:p w14:paraId="3F137FDD">
      <w:pPr>
        <w:spacing w:line="360" w:lineRule="auto"/>
        <w:ind w:firstLine="482"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⑤</w:t>
      </w:r>
      <w:r>
        <w:rPr>
          <w:rFonts w:hint="eastAsia" w:ascii="宋体" w:hAnsi="宋体" w:eastAsia="宋体" w:cs="宋体"/>
          <w:color w:val="auto"/>
          <w:sz w:val="24"/>
          <w:szCs w:val="24"/>
          <w:highlight w:val="none"/>
          <w:lang w:eastAsia="zh-CN"/>
        </w:rPr>
        <w:t>近三个月内任意一月的完税证明；</w:t>
      </w:r>
    </w:p>
    <w:p w14:paraId="24DC8A95">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⑥</w:t>
      </w:r>
      <w:r>
        <w:rPr>
          <w:rFonts w:hint="eastAsia" w:ascii="宋体" w:hAnsi="宋体" w:eastAsia="宋体" w:cs="宋体"/>
          <w:color w:val="auto"/>
          <w:sz w:val="24"/>
          <w:szCs w:val="24"/>
          <w:highlight w:val="none"/>
          <w:lang w:eastAsia="zh-CN"/>
        </w:rPr>
        <w:t>供应商未被列入“信用中国 ”网站信用信息报告和国家企业信用信息公示报告、中国政府采购被列入严重违法失信行为记录名单（尚在处罚期内的）；（以网站查询结果为准，如相关失信记录已失效，供应商需提供相关证明资料）；</w:t>
      </w:r>
    </w:p>
    <w:p w14:paraId="2AE0842B">
      <w:pPr>
        <w:keepLines w:val="0"/>
        <w:kinsoku/>
        <w:wordWrap/>
        <w:overflowPunct/>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⑦本项目专门面向中小企业，是否提供中小企业声明函。</w:t>
      </w:r>
    </w:p>
    <w:p w14:paraId="4BD5F5B2">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符合性检查：</w:t>
      </w:r>
    </w:p>
    <w:p w14:paraId="2AD0C8CE">
      <w:pPr>
        <w:keepLines w:val="0"/>
        <w:kinsoku/>
        <w:wordWrap/>
        <w:overflowPunct/>
        <w:bidi w:val="0"/>
        <w:adjustRightInd w:val="0"/>
        <w:snapToGrid w:val="0"/>
        <w:spacing w:line="360" w:lineRule="auto"/>
        <w:ind w:firstLine="482" w:firstLineChars="200"/>
        <w:textAlignment w:val="auto"/>
        <w:rPr>
          <w:rFonts w:hint="eastAsia" w:ascii="宋体" w:hAnsi="宋体" w:cs="宋体"/>
          <w:color w:val="auto"/>
          <w:sz w:val="24"/>
        </w:rPr>
      </w:pPr>
      <w:r>
        <w:rPr>
          <w:rFonts w:hint="eastAsia" w:ascii="宋体" w:hAnsi="宋体" w:cs="宋体"/>
          <w:color w:val="auto"/>
          <w:sz w:val="24"/>
          <w:lang w:val="en-US" w:eastAsia="zh-CN"/>
        </w:rPr>
        <w:t>①</w:t>
      </w:r>
      <w:r>
        <w:rPr>
          <w:rFonts w:hint="eastAsia" w:ascii="宋体" w:hAnsi="宋体" w:cs="宋体"/>
          <w:color w:val="auto"/>
          <w:sz w:val="24"/>
        </w:rPr>
        <w:t>投标人是否满足本招标文件关于对投标人资格证明文件的规定；</w:t>
      </w:r>
    </w:p>
    <w:p w14:paraId="2E4DBF29">
      <w:pPr>
        <w:keepLines w:val="0"/>
        <w:kinsoku/>
        <w:wordWrap/>
        <w:overflowPunct/>
        <w:bidi w:val="0"/>
        <w:adjustRightInd w:val="0"/>
        <w:snapToGrid w:val="0"/>
        <w:spacing w:line="360" w:lineRule="auto"/>
        <w:ind w:firstLine="482" w:firstLineChars="200"/>
        <w:textAlignment w:val="auto"/>
        <w:rPr>
          <w:rFonts w:hint="eastAsia" w:ascii="宋体" w:hAnsi="宋体" w:cs="宋体"/>
          <w:color w:val="auto"/>
          <w:sz w:val="24"/>
        </w:rPr>
      </w:pPr>
      <w:r>
        <w:rPr>
          <w:rFonts w:hint="eastAsia" w:ascii="宋体" w:hAnsi="宋体" w:cs="宋体"/>
          <w:color w:val="auto"/>
          <w:sz w:val="24"/>
          <w:lang w:val="en-US" w:eastAsia="zh-CN"/>
        </w:rPr>
        <w:t>②</w:t>
      </w:r>
      <w:r>
        <w:rPr>
          <w:rFonts w:hint="eastAsia" w:ascii="宋体" w:hAnsi="宋体" w:cs="宋体"/>
          <w:color w:val="auto"/>
          <w:sz w:val="24"/>
        </w:rPr>
        <w:t>投标文件组成是否完整，主要内容是否能按招标文件规定的内容、格式填写、装订；</w:t>
      </w:r>
    </w:p>
    <w:p w14:paraId="1DE4F042">
      <w:pPr>
        <w:keepLines w:val="0"/>
        <w:kinsoku/>
        <w:wordWrap/>
        <w:overflowPunct/>
        <w:bidi w:val="0"/>
        <w:adjustRightInd w:val="0"/>
        <w:snapToGrid w:val="0"/>
        <w:spacing w:line="360" w:lineRule="auto"/>
        <w:ind w:firstLine="482" w:firstLineChars="200"/>
        <w:textAlignment w:val="auto"/>
        <w:rPr>
          <w:rFonts w:hint="eastAsia" w:ascii="宋体" w:hAnsi="宋体" w:cs="宋体"/>
          <w:color w:val="auto"/>
          <w:sz w:val="24"/>
        </w:rPr>
      </w:pPr>
      <w:r>
        <w:rPr>
          <w:rFonts w:hint="eastAsia" w:ascii="宋体" w:hAnsi="宋体" w:cs="宋体"/>
          <w:color w:val="auto"/>
          <w:sz w:val="24"/>
          <w:lang w:val="en-US" w:eastAsia="zh-CN"/>
        </w:rPr>
        <w:t>③</w:t>
      </w:r>
      <w:r>
        <w:rPr>
          <w:rFonts w:hint="eastAsia" w:ascii="宋体" w:hAnsi="宋体" w:cs="宋体"/>
          <w:color w:val="auto"/>
          <w:sz w:val="24"/>
        </w:rPr>
        <w:t>投标文件的有效期是否满足招标文件的规定；</w:t>
      </w:r>
    </w:p>
    <w:p w14:paraId="07684A2C">
      <w:pPr>
        <w:keepLines w:val="0"/>
        <w:kinsoku/>
        <w:wordWrap/>
        <w:overflowPunct/>
        <w:bidi w:val="0"/>
        <w:adjustRightInd w:val="0"/>
        <w:snapToGrid w:val="0"/>
        <w:spacing w:line="360" w:lineRule="auto"/>
        <w:ind w:firstLine="482" w:firstLineChars="200"/>
        <w:textAlignment w:val="auto"/>
        <w:rPr>
          <w:rFonts w:hint="eastAsia" w:ascii="宋体" w:hAnsi="宋体" w:cs="宋体"/>
          <w:color w:val="auto"/>
          <w:sz w:val="24"/>
        </w:rPr>
      </w:pPr>
      <w:r>
        <w:rPr>
          <w:rFonts w:hint="eastAsia" w:ascii="宋体" w:hAnsi="宋体" w:cs="宋体"/>
          <w:color w:val="auto"/>
          <w:sz w:val="24"/>
          <w:lang w:val="en-US" w:eastAsia="zh-CN"/>
        </w:rPr>
        <w:t>④</w:t>
      </w:r>
      <w:r>
        <w:rPr>
          <w:rFonts w:hint="eastAsia" w:ascii="宋体" w:hAnsi="宋体" w:cs="宋体"/>
          <w:color w:val="auto"/>
          <w:sz w:val="24"/>
        </w:rPr>
        <w:t>投标文件是否按照规定签字盖章的；</w:t>
      </w:r>
    </w:p>
    <w:p w14:paraId="0F5E92D8">
      <w:pPr>
        <w:keepLines w:val="0"/>
        <w:kinsoku/>
        <w:wordWrap/>
        <w:overflowPunct/>
        <w:bidi w:val="0"/>
        <w:adjustRightInd w:val="0"/>
        <w:snapToGrid w:val="0"/>
        <w:spacing w:line="360" w:lineRule="auto"/>
        <w:ind w:firstLine="482" w:firstLineChars="200"/>
        <w:textAlignment w:val="auto"/>
        <w:rPr>
          <w:rFonts w:hint="eastAsia" w:ascii="宋体" w:hAnsi="宋体" w:cs="宋体"/>
          <w:color w:val="auto"/>
          <w:sz w:val="24"/>
        </w:rPr>
      </w:pPr>
      <w:r>
        <w:rPr>
          <w:rFonts w:hint="eastAsia" w:ascii="宋体" w:hAnsi="宋体" w:cs="宋体"/>
          <w:color w:val="auto"/>
          <w:sz w:val="24"/>
          <w:lang w:val="en-US" w:eastAsia="zh-CN"/>
        </w:rPr>
        <w:t>⑤</w:t>
      </w:r>
      <w:r>
        <w:rPr>
          <w:rFonts w:hint="eastAsia" w:ascii="宋体" w:hAnsi="宋体" w:cs="宋体"/>
          <w:color w:val="auto"/>
          <w:sz w:val="24"/>
        </w:rPr>
        <w:t>投标代表授权书是否由法定代表人签署；</w:t>
      </w:r>
    </w:p>
    <w:p w14:paraId="591468F7">
      <w:pPr>
        <w:keepLines w:val="0"/>
        <w:kinsoku/>
        <w:wordWrap/>
        <w:overflowPunct/>
        <w:bidi w:val="0"/>
        <w:adjustRightInd w:val="0"/>
        <w:snapToGrid w:val="0"/>
        <w:spacing w:line="360" w:lineRule="auto"/>
        <w:ind w:firstLine="482" w:firstLineChars="200"/>
        <w:textAlignment w:val="auto"/>
        <w:rPr>
          <w:rFonts w:hint="eastAsia" w:ascii="宋体" w:hAnsi="宋体" w:cs="宋体"/>
          <w:color w:val="auto"/>
          <w:sz w:val="24"/>
        </w:rPr>
      </w:pPr>
      <w:r>
        <w:rPr>
          <w:rFonts w:hint="eastAsia" w:ascii="宋体" w:hAnsi="宋体" w:cs="宋体"/>
          <w:color w:val="auto"/>
          <w:sz w:val="24"/>
          <w:lang w:val="en-US" w:eastAsia="zh-CN"/>
        </w:rPr>
        <w:t>⑥</w:t>
      </w:r>
      <w:r>
        <w:rPr>
          <w:rFonts w:hint="eastAsia" w:ascii="宋体" w:hAnsi="宋体" w:cs="宋体"/>
          <w:color w:val="auto"/>
          <w:sz w:val="24"/>
        </w:rPr>
        <w:t>投标文件针对每一种货物是否出现了两个或两个以上的报价；</w:t>
      </w:r>
    </w:p>
    <w:p w14:paraId="777E4CF4">
      <w:pPr>
        <w:keepLines w:val="0"/>
        <w:kinsoku/>
        <w:wordWrap/>
        <w:overflowPunct/>
        <w:bidi w:val="0"/>
        <w:adjustRightInd w:val="0"/>
        <w:snapToGrid w:val="0"/>
        <w:spacing w:line="360" w:lineRule="auto"/>
        <w:ind w:firstLine="482" w:firstLineChars="200"/>
        <w:textAlignment w:val="auto"/>
        <w:rPr>
          <w:rFonts w:hint="eastAsia" w:ascii="宋体" w:hAnsi="宋体" w:cs="宋体"/>
          <w:color w:val="auto"/>
          <w:sz w:val="24"/>
        </w:rPr>
      </w:pPr>
      <w:r>
        <w:rPr>
          <w:rFonts w:hint="eastAsia" w:ascii="宋体" w:hAnsi="宋体" w:cs="宋体"/>
          <w:color w:val="auto"/>
          <w:sz w:val="24"/>
          <w:lang w:val="en-US" w:eastAsia="zh-CN"/>
        </w:rPr>
        <w:t>⑦</w:t>
      </w:r>
      <w:r>
        <w:rPr>
          <w:rFonts w:hint="eastAsia" w:ascii="宋体" w:hAnsi="宋体" w:cs="宋体"/>
          <w:color w:val="auto"/>
          <w:sz w:val="24"/>
        </w:rPr>
        <w:t>投标报价是否超过最高限价；</w:t>
      </w:r>
    </w:p>
    <w:p w14:paraId="07786B83">
      <w:pPr>
        <w:keepLines w:val="0"/>
        <w:kinsoku/>
        <w:wordWrap/>
        <w:overflowPunct/>
        <w:bidi w:val="0"/>
        <w:adjustRightInd w:val="0"/>
        <w:snapToGrid w:val="0"/>
        <w:spacing w:line="360" w:lineRule="auto"/>
        <w:ind w:firstLine="482" w:firstLineChars="200"/>
        <w:textAlignment w:val="auto"/>
        <w:rPr>
          <w:rFonts w:hint="eastAsia" w:ascii="宋体" w:hAnsi="宋体" w:cs="宋体"/>
          <w:color w:val="auto"/>
          <w:sz w:val="24"/>
        </w:rPr>
      </w:pPr>
      <w:r>
        <w:rPr>
          <w:rFonts w:hint="eastAsia" w:ascii="宋体" w:hAnsi="宋体" w:cs="宋体"/>
          <w:color w:val="auto"/>
          <w:sz w:val="24"/>
          <w:lang w:val="en-US" w:eastAsia="zh-CN"/>
        </w:rPr>
        <w:t>⑧</w:t>
      </w:r>
      <w:r>
        <w:rPr>
          <w:rFonts w:hint="eastAsia" w:ascii="宋体" w:hAnsi="宋体" w:cs="宋体"/>
          <w:color w:val="auto"/>
          <w:sz w:val="24"/>
        </w:rPr>
        <w:t>是否明显不符合招标文件关于对招标</w:t>
      </w:r>
      <w:r>
        <w:rPr>
          <w:rFonts w:hint="eastAsia" w:ascii="宋体" w:hAnsi="宋体" w:cs="宋体"/>
          <w:color w:val="auto"/>
          <w:sz w:val="24"/>
          <w:lang w:val="en-US" w:eastAsia="zh-CN"/>
        </w:rPr>
        <w:t>货物</w:t>
      </w:r>
      <w:r>
        <w:rPr>
          <w:rFonts w:hint="eastAsia" w:ascii="宋体" w:hAnsi="宋体" w:cs="宋体"/>
          <w:color w:val="auto"/>
          <w:sz w:val="24"/>
        </w:rPr>
        <w:t>技术规格和标准的要求；</w:t>
      </w:r>
    </w:p>
    <w:p w14:paraId="023EB4EA">
      <w:pPr>
        <w:keepLines w:val="0"/>
        <w:kinsoku/>
        <w:wordWrap/>
        <w:overflowPunct/>
        <w:bidi w:val="0"/>
        <w:adjustRightInd w:val="0"/>
        <w:snapToGrid w:val="0"/>
        <w:spacing w:line="360" w:lineRule="auto"/>
        <w:ind w:firstLine="482" w:firstLineChars="200"/>
        <w:textAlignment w:val="auto"/>
        <w:rPr>
          <w:rFonts w:hint="eastAsia" w:ascii="宋体" w:hAnsi="宋体" w:cs="宋体"/>
          <w:color w:val="auto"/>
          <w:sz w:val="24"/>
        </w:rPr>
      </w:pPr>
      <w:r>
        <w:rPr>
          <w:rFonts w:hint="eastAsia" w:ascii="微软雅黑" w:hAnsi="微软雅黑" w:eastAsia="微软雅黑" w:cs="微软雅黑"/>
          <w:color w:val="auto"/>
          <w:sz w:val="24"/>
          <w:lang w:val="en-US" w:eastAsia="zh-CN"/>
        </w:rPr>
        <w:t>⑨</w:t>
      </w:r>
      <w:r>
        <w:rPr>
          <w:rFonts w:hint="eastAsia" w:ascii="宋体" w:hAnsi="宋体" w:cs="宋体"/>
          <w:color w:val="auto"/>
          <w:sz w:val="24"/>
        </w:rPr>
        <w:t>是否有不符合法律、法规和招标文件规定的其他实质性要求。</w:t>
      </w:r>
    </w:p>
    <w:p w14:paraId="23C0AA69">
      <w:pPr>
        <w:keepLines w:val="0"/>
        <w:kinsoku/>
        <w:wordWrap/>
        <w:overflowPunct/>
        <w:bidi w:val="0"/>
        <w:adjustRightInd w:val="0"/>
        <w:snapToGrid w:val="0"/>
        <w:spacing w:line="360" w:lineRule="auto"/>
        <w:ind w:firstLine="482" w:firstLineChars="200"/>
        <w:textAlignment w:val="auto"/>
        <w:rPr>
          <w:rFonts w:hint="eastAsia" w:ascii="宋体" w:hAnsi="宋体" w:cs="宋体"/>
          <w:color w:val="auto"/>
          <w:sz w:val="24"/>
        </w:rPr>
      </w:pPr>
      <w:r>
        <w:rPr>
          <w:rFonts w:hint="eastAsia" w:ascii="微软雅黑" w:hAnsi="微软雅黑" w:eastAsia="微软雅黑" w:cs="微软雅黑"/>
          <w:color w:val="auto"/>
          <w:sz w:val="24"/>
        </w:rPr>
        <w:t>⑩</w:t>
      </w:r>
      <w:r>
        <w:rPr>
          <w:rFonts w:hint="eastAsia" w:ascii="宋体" w:hAnsi="宋体" w:cs="宋体"/>
          <w:color w:val="auto"/>
          <w:sz w:val="24"/>
        </w:rPr>
        <w:t>投标文件载明的招标项目合同履约期限是否超过招标文件规定的期限；</w:t>
      </w:r>
    </w:p>
    <w:p w14:paraId="44EE542C">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23.7 对通过初步评审的投标文件，评标委员会将对其进行算术性修正。算术性修正是指对投标文件的报价明细进行校核，并对其算术上和运算上的差错给予修正。修正的原则如下：</w:t>
      </w:r>
    </w:p>
    <w:p w14:paraId="7F2F3082">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23.7.1  </w:t>
      </w:r>
      <w:r>
        <w:rPr>
          <w:rFonts w:hint="eastAsia" w:ascii="宋体" w:hAnsi="宋体" w:eastAsia="宋体" w:cs="宋体"/>
          <w:color w:val="auto"/>
          <w:sz w:val="24"/>
          <w:szCs w:val="24"/>
          <w:highlight w:val="none"/>
        </w:rPr>
        <w:t>大写金额和小写金额不一致的，以大写金额为准；</w:t>
      </w:r>
    </w:p>
    <w:p w14:paraId="5CB8BDF8">
      <w:pPr>
        <w:keepLines w:val="0"/>
        <w:kinsoku/>
        <w:wordWrap/>
        <w:overflowPunct/>
        <w:bidi w:val="0"/>
        <w:adjustRightInd w:val="0"/>
        <w:snapToGrid w:val="0"/>
        <w:spacing w:line="360" w:lineRule="auto"/>
        <w:ind w:firstLine="482" w:firstLineChars="200"/>
        <w:textAlignment w:val="auto"/>
        <w:rPr>
          <w:rFonts w:hint="eastAsia" w:ascii="宋体" w:hAnsi="宋体" w:cs="宋体"/>
          <w:color w:val="auto"/>
          <w:sz w:val="24"/>
        </w:rPr>
      </w:pPr>
      <w:r>
        <w:rPr>
          <w:rFonts w:hint="eastAsia" w:ascii="宋体" w:hAnsi="宋体" w:eastAsia="宋体" w:cs="宋体"/>
          <w:color w:val="auto"/>
          <w:sz w:val="24"/>
          <w:szCs w:val="24"/>
          <w:highlight w:val="none"/>
          <w:lang w:val="en-US" w:eastAsia="zh-CN"/>
        </w:rPr>
        <w:t xml:space="preserve">23.7.2  </w:t>
      </w:r>
      <w:r>
        <w:rPr>
          <w:rFonts w:hint="eastAsia" w:ascii="宋体" w:hAnsi="宋体" w:cs="宋体"/>
          <w:color w:val="auto"/>
          <w:sz w:val="24"/>
        </w:rPr>
        <w:t>单价金额小数点或者百分比有明显错位的，以总价为准，并修改单价；</w:t>
      </w:r>
    </w:p>
    <w:p w14:paraId="34983764">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23.7.3  </w:t>
      </w:r>
      <w:r>
        <w:rPr>
          <w:rFonts w:hint="eastAsia" w:ascii="宋体" w:hAnsi="宋体" w:eastAsia="宋体" w:cs="宋体"/>
          <w:color w:val="auto"/>
          <w:sz w:val="24"/>
          <w:szCs w:val="24"/>
          <w:highlight w:val="none"/>
        </w:rPr>
        <w:t>总价金额与按单价汇总金额不一致的，以单价金额计算结果为准。</w:t>
      </w:r>
    </w:p>
    <w:p w14:paraId="3EEBE0C1">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23.7.4  </w:t>
      </w:r>
      <w:r>
        <w:rPr>
          <w:rFonts w:hint="eastAsia" w:ascii="宋体" w:hAnsi="宋体" w:eastAsia="宋体" w:cs="宋体"/>
          <w:color w:val="auto"/>
          <w:sz w:val="24"/>
          <w:szCs w:val="24"/>
          <w:highlight w:val="none"/>
        </w:rPr>
        <w:t>同时出现两种以上不一致的，按照前款规定的顺序修正。修正后的报价</w:t>
      </w:r>
      <w:r>
        <w:rPr>
          <w:rFonts w:hint="eastAsia" w:ascii="宋体" w:hAnsi="宋体" w:eastAsia="宋体" w:cs="宋体"/>
          <w:color w:val="auto"/>
          <w:sz w:val="24"/>
          <w:szCs w:val="24"/>
          <w:highlight w:val="none"/>
          <w:lang w:eastAsia="zh-CN"/>
        </w:rPr>
        <w:t>需经</w:t>
      </w:r>
      <w:r>
        <w:rPr>
          <w:rFonts w:hint="eastAsia" w:ascii="宋体" w:hAnsi="宋体" w:eastAsia="宋体" w:cs="宋体"/>
          <w:color w:val="auto"/>
          <w:sz w:val="24"/>
          <w:szCs w:val="24"/>
          <w:highlight w:val="none"/>
        </w:rPr>
        <w:t>投标人确认后产生约束力，投标人不确认的，其投标无效。</w:t>
      </w:r>
    </w:p>
    <w:p w14:paraId="0B981D0B">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23.7.</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4D8F725D">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23.7.</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对不同文字文本投标文件的解释发生异议的，以中文文本为准。</w:t>
      </w:r>
    </w:p>
    <w:p w14:paraId="3A78A704">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23.7.</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评标委员会将拒绝被定为实质上非响应性的投标，投标人不能通过修正或撤销不符之处而使其投标成为响应性投标。</w:t>
      </w:r>
    </w:p>
    <w:p w14:paraId="0A8F7698">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23.7.</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  评标委员会将允许投标中有微小的不正规、不一致或不规则，而该微小之处不构成重大偏离。</w:t>
      </w:r>
    </w:p>
    <w:p w14:paraId="67E6DF65">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23.8  通过初步评审及算术性修正的投标文件将进入详细评审阶段。</w:t>
      </w:r>
    </w:p>
    <w:p w14:paraId="75B704A4">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23.8.1  详细评审中，评标委员会将采用综合评估法中的打分法，以投标文件能最大限度地满足招标文件中规定的各项评价标准为依据，独立地对各投标文件进行评审和打分。</w:t>
      </w:r>
    </w:p>
    <w:p w14:paraId="4631B3DD">
      <w:pPr>
        <w:adjustRightInd w:val="0"/>
        <w:snapToGrid w:val="0"/>
        <w:spacing w:line="360" w:lineRule="auto"/>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23.8.2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评标委员会将对下述评审因素进行量化，并根据评委会每个成员对投标文件的评审和理解进行打分。</w:t>
      </w:r>
      <w:r>
        <w:rPr>
          <w:rFonts w:hint="eastAsia" w:ascii="宋体" w:hAnsi="宋体" w:eastAsia="宋体" w:cs="宋体"/>
          <w:color w:val="auto"/>
          <w:sz w:val="24"/>
          <w:szCs w:val="24"/>
          <w:highlight w:val="none"/>
          <w:lang w:eastAsia="zh-CN"/>
        </w:rPr>
        <w:t>经济报价权重占</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，技术</w:t>
      </w:r>
      <w:r>
        <w:rPr>
          <w:rFonts w:hint="eastAsia" w:ascii="宋体" w:hAnsi="宋体" w:eastAsia="宋体" w:cs="宋体"/>
          <w:color w:val="auto"/>
          <w:sz w:val="24"/>
          <w:szCs w:val="24"/>
          <w:highlight w:val="none"/>
          <w:lang w:eastAsia="zh-CN"/>
        </w:rPr>
        <w:t>标</w:t>
      </w:r>
      <w:r>
        <w:rPr>
          <w:rFonts w:hint="eastAsia" w:ascii="宋体" w:hAnsi="宋体" w:eastAsia="宋体" w:cs="宋体"/>
          <w:color w:val="auto"/>
          <w:sz w:val="24"/>
          <w:szCs w:val="24"/>
          <w:highlight w:val="none"/>
        </w:rPr>
        <w:t>权重占</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两</w:t>
      </w:r>
      <w:r>
        <w:rPr>
          <w:rFonts w:hint="eastAsia" w:ascii="宋体" w:hAnsi="宋体" w:eastAsia="宋体" w:cs="宋体"/>
          <w:color w:val="auto"/>
          <w:sz w:val="24"/>
          <w:szCs w:val="24"/>
          <w:highlight w:val="none"/>
        </w:rPr>
        <w:t>部分的分值相加，即为该投标人的</w:t>
      </w:r>
      <w:r>
        <w:rPr>
          <w:rFonts w:hint="eastAsia" w:ascii="宋体" w:hAnsi="宋体" w:eastAsia="宋体" w:cs="宋体"/>
          <w:color w:val="auto"/>
          <w:sz w:val="24"/>
          <w:szCs w:val="24"/>
          <w:highlight w:val="none"/>
          <w:lang w:eastAsia="zh-CN"/>
        </w:rPr>
        <w:t>评标总得分。</w:t>
      </w:r>
    </w:p>
    <w:p w14:paraId="0173B395">
      <w:pPr>
        <w:spacing w:line="360" w:lineRule="auto"/>
        <w:jc w:val="center"/>
        <w:outlineLvl w:val="2"/>
        <w:rPr>
          <w:rFonts w:hint="eastAsia" w:ascii="宋体" w:hAnsi="宋体" w:cs="宋体"/>
          <w:b/>
          <w:color w:val="auto"/>
          <w:sz w:val="24"/>
          <w:highlight w:val="none"/>
        </w:rPr>
      </w:pPr>
    </w:p>
    <w:p w14:paraId="6D1BED0D">
      <w:pPr>
        <w:spacing w:line="360" w:lineRule="auto"/>
        <w:jc w:val="center"/>
        <w:outlineLvl w:val="2"/>
        <w:rPr>
          <w:rFonts w:hint="eastAsia" w:ascii="宋体" w:hAnsi="宋体" w:cs="宋体"/>
          <w:b/>
          <w:color w:val="auto"/>
          <w:sz w:val="24"/>
          <w:highlight w:val="none"/>
        </w:rPr>
      </w:pPr>
    </w:p>
    <w:p w14:paraId="0C78E6F4">
      <w:pPr>
        <w:spacing w:line="360" w:lineRule="auto"/>
        <w:jc w:val="center"/>
        <w:outlineLvl w:val="2"/>
        <w:rPr>
          <w:rFonts w:hint="eastAsia" w:ascii="宋体" w:hAnsi="宋体" w:cs="宋体"/>
          <w:b/>
          <w:color w:val="auto"/>
          <w:sz w:val="24"/>
          <w:highlight w:val="none"/>
        </w:rPr>
      </w:pPr>
      <w:r>
        <w:rPr>
          <w:rFonts w:hint="eastAsia" w:ascii="宋体" w:hAnsi="宋体" w:cs="宋体"/>
          <w:b/>
          <w:color w:val="auto"/>
          <w:sz w:val="24"/>
          <w:highlight w:val="none"/>
        </w:rPr>
        <w:t>初步评审标准</w:t>
      </w:r>
    </w:p>
    <w:tbl>
      <w:tblPr>
        <w:tblStyle w:val="27"/>
        <w:tblW w:w="96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1"/>
        <w:gridCol w:w="925"/>
        <w:gridCol w:w="7634"/>
      </w:tblGrid>
      <w:tr w14:paraId="00E8D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2006" w:type="dxa"/>
            <w:gridSpan w:val="2"/>
            <w:vAlign w:val="top"/>
          </w:tcPr>
          <w:p w14:paraId="1FDD9173">
            <w:pPr>
              <w:spacing w:line="360" w:lineRule="auto"/>
              <w:jc w:val="center"/>
              <w:outlineLvl w:val="2"/>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条款号</w:t>
            </w:r>
          </w:p>
        </w:tc>
        <w:tc>
          <w:tcPr>
            <w:tcW w:w="7634" w:type="dxa"/>
            <w:vAlign w:val="top"/>
          </w:tcPr>
          <w:p w14:paraId="20347F68">
            <w:pPr>
              <w:spacing w:line="360" w:lineRule="auto"/>
              <w:jc w:val="center"/>
              <w:outlineLvl w:val="2"/>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评审标准</w:t>
            </w:r>
          </w:p>
        </w:tc>
      </w:tr>
      <w:tr w14:paraId="4EB24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1" w:type="dxa"/>
            <w:vMerge w:val="restart"/>
            <w:vAlign w:val="top"/>
          </w:tcPr>
          <w:p w14:paraId="24955FB3">
            <w:pPr>
              <w:spacing w:line="360" w:lineRule="auto"/>
              <w:jc w:val="center"/>
              <w:outlineLvl w:val="2"/>
              <w:rPr>
                <w:rFonts w:hint="eastAsia" w:ascii="宋体" w:hAnsi="宋体" w:eastAsia="宋体" w:cs="宋体"/>
                <w:b w:val="0"/>
                <w:bCs/>
                <w:color w:val="auto"/>
                <w:sz w:val="24"/>
                <w:highlight w:val="none"/>
              </w:rPr>
            </w:pPr>
          </w:p>
          <w:p w14:paraId="6AC6A433">
            <w:pPr>
              <w:spacing w:line="360" w:lineRule="auto"/>
              <w:jc w:val="center"/>
              <w:outlineLvl w:val="2"/>
              <w:rPr>
                <w:rFonts w:hint="eastAsia" w:ascii="宋体" w:hAnsi="宋体" w:eastAsia="宋体" w:cs="宋体"/>
                <w:b w:val="0"/>
                <w:bCs/>
                <w:color w:val="auto"/>
                <w:sz w:val="24"/>
                <w:highlight w:val="none"/>
              </w:rPr>
            </w:pPr>
          </w:p>
          <w:p w14:paraId="34085832">
            <w:pPr>
              <w:spacing w:line="360" w:lineRule="auto"/>
              <w:jc w:val="center"/>
              <w:outlineLvl w:val="2"/>
              <w:rPr>
                <w:rFonts w:hint="eastAsia" w:ascii="宋体" w:hAnsi="宋体" w:eastAsia="宋体" w:cs="宋体"/>
                <w:b w:val="0"/>
                <w:bCs/>
                <w:color w:val="auto"/>
                <w:sz w:val="24"/>
                <w:highlight w:val="none"/>
              </w:rPr>
            </w:pPr>
          </w:p>
          <w:p w14:paraId="2E62F7F2">
            <w:pPr>
              <w:spacing w:line="360" w:lineRule="auto"/>
              <w:jc w:val="center"/>
              <w:outlineLvl w:val="2"/>
              <w:rPr>
                <w:rFonts w:hint="eastAsia" w:ascii="宋体" w:hAnsi="宋体" w:eastAsia="宋体" w:cs="宋体"/>
                <w:b w:val="0"/>
                <w:bCs/>
                <w:color w:val="auto"/>
                <w:sz w:val="24"/>
                <w:highlight w:val="none"/>
              </w:rPr>
            </w:pPr>
          </w:p>
          <w:p w14:paraId="53E664EB">
            <w:pPr>
              <w:spacing w:line="360" w:lineRule="auto"/>
              <w:jc w:val="both"/>
              <w:outlineLvl w:val="2"/>
              <w:rPr>
                <w:rFonts w:hint="eastAsia" w:ascii="宋体" w:hAnsi="宋体" w:eastAsia="宋体" w:cs="宋体"/>
                <w:b w:val="0"/>
                <w:bCs/>
                <w:color w:val="auto"/>
                <w:sz w:val="24"/>
                <w:highlight w:val="none"/>
              </w:rPr>
            </w:pPr>
          </w:p>
          <w:p w14:paraId="74913000">
            <w:pPr>
              <w:spacing w:line="360" w:lineRule="auto"/>
              <w:jc w:val="center"/>
              <w:outlineLvl w:val="2"/>
              <w:rPr>
                <w:rFonts w:hint="eastAsia" w:ascii="宋体" w:hAnsi="宋体" w:eastAsia="宋体" w:cs="宋体"/>
                <w:b w:val="0"/>
                <w:bCs/>
                <w:color w:val="auto"/>
                <w:sz w:val="24"/>
                <w:highlight w:val="none"/>
              </w:rPr>
            </w:pPr>
          </w:p>
          <w:p w14:paraId="3AD9C636">
            <w:pPr>
              <w:spacing w:line="360" w:lineRule="auto"/>
              <w:jc w:val="center"/>
              <w:outlineLvl w:val="2"/>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fldChar w:fldCharType="begin"/>
            </w:r>
            <w:r>
              <w:rPr>
                <w:rFonts w:hint="eastAsia" w:ascii="宋体" w:hAnsi="宋体" w:eastAsia="宋体" w:cs="宋体"/>
                <w:b w:val="0"/>
                <w:bCs/>
                <w:color w:val="auto"/>
                <w:sz w:val="24"/>
                <w:highlight w:val="none"/>
              </w:rPr>
              <w:instrText xml:space="preserve"> HYPERLINK "3.2.2.1" </w:instrText>
            </w:r>
            <w:r>
              <w:rPr>
                <w:rFonts w:hint="eastAsia" w:ascii="宋体" w:hAnsi="宋体" w:eastAsia="宋体" w:cs="宋体"/>
                <w:b w:val="0"/>
                <w:bCs/>
                <w:color w:val="auto"/>
                <w:sz w:val="24"/>
                <w:highlight w:val="none"/>
              </w:rPr>
              <w:fldChar w:fldCharType="separate"/>
            </w:r>
            <w:r>
              <w:rPr>
                <w:rFonts w:hint="eastAsia" w:ascii="宋体" w:hAnsi="宋体" w:eastAsia="宋体" w:cs="宋体"/>
                <w:b w:val="0"/>
                <w:bCs/>
                <w:color w:val="auto"/>
                <w:sz w:val="24"/>
                <w:highlight w:val="none"/>
              </w:rPr>
              <w:t>3.2.2.1</w:t>
            </w:r>
            <w:r>
              <w:rPr>
                <w:rFonts w:hint="eastAsia" w:ascii="宋体" w:hAnsi="宋体" w:eastAsia="宋体" w:cs="宋体"/>
                <w:b w:val="0"/>
                <w:bCs/>
                <w:color w:val="auto"/>
                <w:sz w:val="24"/>
                <w:highlight w:val="none"/>
              </w:rPr>
              <w:fldChar w:fldCharType="end"/>
            </w:r>
          </w:p>
        </w:tc>
        <w:tc>
          <w:tcPr>
            <w:tcW w:w="925" w:type="dxa"/>
            <w:vMerge w:val="restart"/>
            <w:vAlign w:val="top"/>
          </w:tcPr>
          <w:p w14:paraId="311A23CD">
            <w:pPr>
              <w:spacing w:line="360" w:lineRule="auto"/>
              <w:jc w:val="center"/>
              <w:outlineLvl w:val="2"/>
              <w:rPr>
                <w:rFonts w:hint="eastAsia" w:ascii="宋体" w:hAnsi="宋体" w:eastAsia="宋体" w:cs="宋体"/>
                <w:b w:val="0"/>
                <w:bCs/>
                <w:color w:val="auto"/>
                <w:sz w:val="24"/>
                <w:highlight w:val="none"/>
              </w:rPr>
            </w:pPr>
          </w:p>
          <w:p w14:paraId="606C12E9">
            <w:pPr>
              <w:spacing w:line="360" w:lineRule="auto"/>
              <w:jc w:val="center"/>
              <w:outlineLvl w:val="2"/>
              <w:rPr>
                <w:rFonts w:hint="eastAsia" w:ascii="宋体" w:hAnsi="宋体" w:eastAsia="宋体" w:cs="宋体"/>
                <w:b w:val="0"/>
                <w:bCs/>
                <w:color w:val="auto"/>
                <w:sz w:val="24"/>
                <w:highlight w:val="none"/>
              </w:rPr>
            </w:pPr>
          </w:p>
          <w:p w14:paraId="7284A668">
            <w:pPr>
              <w:spacing w:line="360" w:lineRule="auto"/>
              <w:jc w:val="center"/>
              <w:outlineLvl w:val="2"/>
              <w:rPr>
                <w:rFonts w:hint="eastAsia" w:ascii="宋体" w:hAnsi="宋体" w:eastAsia="宋体" w:cs="宋体"/>
                <w:b w:val="0"/>
                <w:bCs/>
                <w:color w:val="auto"/>
                <w:sz w:val="24"/>
                <w:highlight w:val="none"/>
              </w:rPr>
            </w:pPr>
          </w:p>
          <w:p w14:paraId="1403A362">
            <w:pPr>
              <w:spacing w:line="360" w:lineRule="auto"/>
              <w:jc w:val="center"/>
              <w:outlineLvl w:val="2"/>
              <w:rPr>
                <w:rFonts w:hint="eastAsia" w:ascii="宋体" w:hAnsi="宋体" w:eastAsia="宋体" w:cs="宋体"/>
                <w:b w:val="0"/>
                <w:bCs/>
                <w:color w:val="auto"/>
                <w:sz w:val="24"/>
                <w:highlight w:val="none"/>
              </w:rPr>
            </w:pPr>
          </w:p>
          <w:p w14:paraId="63A54CE2">
            <w:pPr>
              <w:spacing w:line="360" w:lineRule="auto"/>
              <w:jc w:val="center"/>
              <w:outlineLvl w:val="2"/>
              <w:rPr>
                <w:rFonts w:hint="eastAsia" w:ascii="宋体" w:hAnsi="宋体" w:eastAsia="宋体" w:cs="宋体"/>
                <w:b w:val="0"/>
                <w:bCs/>
                <w:color w:val="auto"/>
                <w:sz w:val="24"/>
                <w:highlight w:val="none"/>
              </w:rPr>
            </w:pPr>
          </w:p>
          <w:p w14:paraId="4800DECA">
            <w:pPr>
              <w:spacing w:line="360" w:lineRule="auto"/>
              <w:jc w:val="center"/>
              <w:outlineLvl w:val="2"/>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资格</w:t>
            </w:r>
          </w:p>
          <w:p w14:paraId="7C8F8683">
            <w:pPr>
              <w:spacing w:line="360" w:lineRule="auto"/>
              <w:jc w:val="center"/>
              <w:outlineLvl w:val="2"/>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性审</w:t>
            </w:r>
          </w:p>
          <w:p w14:paraId="5DDA0320">
            <w:pPr>
              <w:spacing w:line="360" w:lineRule="auto"/>
              <w:jc w:val="center"/>
              <w:outlineLvl w:val="2"/>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查</w:t>
            </w:r>
          </w:p>
        </w:tc>
        <w:tc>
          <w:tcPr>
            <w:tcW w:w="7634" w:type="dxa"/>
            <w:vAlign w:val="top"/>
          </w:tcPr>
          <w:p w14:paraId="71D950C5">
            <w:pPr>
              <w:spacing w:line="360" w:lineRule="auto"/>
              <w:jc w:val="left"/>
              <w:outlineLvl w:val="2"/>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具备有效经年检的营业执照、开户许可证（或基本存款账户信息）；</w:t>
            </w:r>
          </w:p>
        </w:tc>
      </w:tr>
      <w:tr w14:paraId="5C95C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81" w:type="dxa"/>
            <w:vMerge w:val="continue"/>
            <w:vAlign w:val="top"/>
          </w:tcPr>
          <w:p w14:paraId="4767D629">
            <w:pPr>
              <w:spacing w:line="360" w:lineRule="auto"/>
              <w:jc w:val="center"/>
              <w:outlineLvl w:val="2"/>
              <w:rPr>
                <w:rFonts w:hint="eastAsia" w:ascii="宋体" w:hAnsi="宋体" w:eastAsia="宋体" w:cs="宋体"/>
                <w:b w:val="0"/>
                <w:bCs/>
                <w:color w:val="auto"/>
                <w:sz w:val="24"/>
                <w:highlight w:val="none"/>
              </w:rPr>
            </w:pPr>
          </w:p>
        </w:tc>
        <w:tc>
          <w:tcPr>
            <w:tcW w:w="925" w:type="dxa"/>
            <w:vMerge w:val="continue"/>
            <w:vAlign w:val="top"/>
          </w:tcPr>
          <w:p w14:paraId="2DB6140F">
            <w:pPr>
              <w:spacing w:line="360" w:lineRule="auto"/>
              <w:jc w:val="center"/>
              <w:outlineLvl w:val="2"/>
              <w:rPr>
                <w:rFonts w:hint="eastAsia" w:ascii="宋体" w:hAnsi="宋体" w:eastAsia="宋体" w:cs="宋体"/>
                <w:b w:val="0"/>
                <w:bCs/>
                <w:color w:val="auto"/>
                <w:sz w:val="24"/>
                <w:highlight w:val="none"/>
              </w:rPr>
            </w:pPr>
          </w:p>
        </w:tc>
        <w:tc>
          <w:tcPr>
            <w:tcW w:w="7634" w:type="dxa"/>
            <w:vAlign w:val="top"/>
          </w:tcPr>
          <w:p w14:paraId="3E81820C">
            <w:pPr>
              <w:spacing w:line="360" w:lineRule="auto"/>
              <w:jc w:val="left"/>
              <w:outlineLvl w:val="2"/>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法定代表人及其委托代理人应提供本人身份证原件，法定代表人应提供《法定代表人身份证明》；委托代理人应提供《法定代表人身份证明》、《法定代表人授权委托书》；</w:t>
            </w:r>
          </w:p>
        </w:tc>
      </w:tr>
      <w:tr w14:paraId="19E2B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1" w:type="dxa"/>
            <w:vMerge w:val="continue"/>
            <w:vAlign w:val="top"/>
          </w:tcPr>
          <w:p w14:paraId="4ECD68CD">
            <w:pPr>
              <w:spacing w:line="360" w:lineRule="auto"/>
              <w:jc w:val="center"/>
              <w:outlineLvl w:val="2"/>
              <w:rPr>
                <w:rFonts w:hint="eastAsia" w:ascii="宋体" w:hAnsi="宋体" w:eastAsia="宋体" w:cs="宋体"/>
                <w:b w:val="0"/>
                <w:bCs/>
                <w:color w:val="auto"/>
                <w:sz w:val="24"/>
                <w:highlight w:val="none"/>
              </w:rPr>
            </w:pPr>
          </w:p>
        </w:tc>
        <w:tc>
          <w:tcPr>
            <w:tcW w:w="925" w:type="dxa"/>
            <w:vMerge w:val="continue"/>
            <w:vAlign w:val="top"/>
          </w:tcPr>
          <w:p w14:paraId="2DC1B0F3">
            <w:pPr>
              <w:spacing w:line="360" w:lineRule="auto"/>
              <w:jc w:val="center"/>
              <w:outlineLvl w:val="2"/>
              <w:rPr>
                <w:rFonts w:hint="eastAsia" w:ascii="宋体" w:hAnsi="宋体" w:eastAsia="宋体" w:cs="宋体"/>
                <w:b w:val="0"/>
                <w:bCs/>
                <w:color w:val="auto"/>
                <w:sz w:val="24"/>
                <w:highlight w:val="none"/>
              </w:rPr>
            </w:pPr>
          </w:p>
        </w:tc>
        <w:tc>
          <w:tcPr>
            <w:tcW w:w="7634" w:type="dxa"/>
            <w:vAlign w:val="top"/>
          </w:tcPr>
          <w:p w14:paraId="5B337A35">
            <w:pPr>
              <w:spacing w:line="36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近三年任意一年的审计报告或财务报表（成立不足一年的提供成立至今的财务报表，包含资产负债表、现金流量表、利润表）；</w:t>
            </w:r>
          </w:p>
        </w:tc>
      </w:tr>
      <w:tr w14:paraId="34956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1" w:type="dxa"/>
            <w:vMerge w:val="continue"/>
            <w:vAlign w:val="top"/>
          </w:tcPr>
          <w:p w14:paraId="3DC4DBD2">
            <w:pPr>
              <w:spacing w:line="360" w:lineRule="auto"/>
              <w:jc w:val="center"/>
              <w:outlineLvl w:val="2"/>
              <w:rPr>
                <w:rFonts w:hint="eastAsia" w:ascii="宋体" w:hAnsi="宋体" w:eastAsia="宋体" w:cs="宋体"/>
                <w:b w:val="0"/>
                <w:bCs/>
                <w:color w:val="auto"/>
                <w:sz w:val="24"/>
                <w:highlight w:val="none"/>
              </w:rPr>
            </w:pPr>
          </w:p>
        </w:tc>
        <w:tc>
          <w:tcPr>
            <w:tcW w:w="925" w:type="dxa"/>
            <w:vMerge w:val="continue"/>
            <w:vAlign w:val="top"/>
          </w:tcPr>
          <w:p w14:paraId="67FFB3DC">
            <w:pPr>
              <w:spacing w:line="360" w:lineRule="auto"/>
              <w:jc w:val="center"/>
              <w:outlineLvl w:val="2"/>
              <w:rPr>
                <w:rFonts w:hint="eastAsia" w:ascii="宋体" w:hAnsi="宋体" w:eastAsia="宋体" w:cs="宋体"/>
                <w:b w:val="0"/>
                <w:bCs/>
                <w:color w:val="auto"/>
                <w:sz w:val="24"/>
                <w:highlight w:val="none"/>
              </w:rPr>
            </w:pPr>
          </w:p>
        </w:tc>
        <w:tc>
          <w:tcPr>
            <w:tcW w:w="7634" w:type="dxa"/>
            <w:vAlign w:val="top"/>
          </w:tcPr>
          <w:p w14:paraId="60930D42">
            <w:pPr>
              <w:spacing w:line="360" w:lineRule="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近三个月内任意一月的社保证明</w:t>
            </w:r>
            <w:r>
              <w:rPr>
                <w:rFonts w:hint="eastAsia" w:ascii="宋体" w:hAnsi="宋体" w:cs="宋体"/>
                <w:b w:val="0"/>
                <w:bCs/>
                <w:color w:val="auto"/>
                <w:sz w:val="24"/>
                <w:highlight w:val="none"/>
                <w:lang w:val="en-US" w:eastAsia="zh-CN"/>
              </w:rPr>
              <w:t>；</w:t>
            </w:r>
          </w:p>
        </w:tc>
      </w:tr>
      <w:tr w14:paraId="70DB8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81" w:type="dxa"/>
            <w:vMerge w:val="continue"/>
            <w:vAlign w:val="top"/>
          </w:tcPr>
          <w:p w14:paraId="646E685B">
            <w:pPr>
              <w:spacing w:line="360" w:lineRule="auto"/>
              <w:jc w:val="center"/>
              <w:outlineLvl w:val="2"/>
              <w:rPr>
                <w:rFonts w:hint="eastAsia" w:ascii="宋体" w:hAnsi="宋体" w:eastAsia="宋体" w:cs="宋体"/>
                <w:b w:val="0"/>
                <w:bCs/>
                <w:color w:val="auto"/>
                <w:sz w:val="24"/>
                <w:highlight w:val="none"/>
              </w:rPr>
            </w:pPr>
          </w:p>
        </w:tc>
        <w:tc>
          <w:tcPr>
            <w:tcW w:w="925" w:type="dxa"/>
            <w:vMerge w:val="continue"/>
            <w:vAlign w:val="top"/>
          </w:tcPr>
          <w:p w14:paraId="315AC000">
            <w:pPr>
              <w:spacing w:line="360" w:lineRule="auto"/>
              <w:jc w:val="center"/>
              <w:outlineLvl w:val="2"/>
              <w:rPr>
                <w:rFonts w:hint="eastAsia" w:ascii="宋体" w:hAnsi="宋体" w:eastAsia="宋体" w:cs="宋体"/>
                <w:b w:val="0"/>
                <w:bCs/>
                <w:color w:val="auto"/>
                <w:sz w:val="24"/>
                <w:highlight w:val="none"/>
              </w:rPr>
            </w:pPr>
          </w:p>
        </w:tc>
        <w:tc>
          <w:tcPr>
            <w:tcW w:w="7634" w:type="dxa"/>
            <w:vAlign w:val="top"/>
          </w:tcPr>
          <w:p w14:paraId="550BED8D">
            <w:pPr>
              <w:spacing w:line="36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近三个月内任意一月的完税证明；</w:t>
            </w:r>
          </w:p>
        </w:tc>
      </w:tr>
      <w:tr w14:paraId="427D9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081" w:type="dxa"/>
            <w:vMerge w:val="continue"/>
            <w:vAlign w:val="top"/>
          </w:tcPr>
          <w:p w14:paraId="46F55D5F">
            <w:pPr>
              <w:spacing w:line="360" w:lineRule="auto"/>
              <w:jc w:val="center"/>
              <w:outlineLvl w:val="2"/>
              <w:rPr>
                <w:rFonts w:hint="eastAsia" w:ascii="宋体" w:hAnsi="宋体" w:eastAsia="宋体" w:cs="宋体"/>
                <w:b w:val="0"/>
                <w:bCs/>
                <w:color w:val="auto"/>
                <w:sz w:val="24"/>
                <w:highlight w:val="none"/>
              </w:rPr>
            </w:pPr>
          </w:p>
        </w:tc>
        <w:tc>
          <w:tcPr>
            <w:tcW w:w="925" w:type="dxa"/>
            <w:vMerge w:val="continue"/>
            <w:vAlign w:val="top"/>
          </w:tcPr>
          <w:p w14:paraId="086DEF51">
            <w:pPr>
              <w:spacing w:line="360" w:lineRule="auto"/>
              <w:jc w:val="center"/>
              <w:outlineLvl w:val="2"/>
              <w:rPr>
                <w:rFonts w:hint="eastAsia" w:ascii="宋体" w:hAnsi="宋体" w:eastAsia="宋体" w:cs="宋体"/>
                <w:b w:val="0"/>
                <w:bCs/>
                <w:color w:val="auto"/>
                <w:sz w:val="24"/>
                <w:highlight w:val="none"/>
              </w:rPr>
            </w:pPr>
          </w:p>
        </w:tc>
        <w:tc>
          <w:tcPr>
            <w:tcW w:w="7634" w:type="dxa"/>
            <w:vAlign w:val="top"/>
          </w:tcPr>
          <w:p w14:paraId="2E5C084C">
            <w:pPr>
              <w:spacing w:line="360" w:lineRule="auto"/>
              <w:jc w:val="left"/>
              <w:outlineLvl w:val="2"/>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供应商未被列入“信用中国 ”网站信用信息报告和国家企业信用信息公示报告、中国政府采购被列入严重违法失信行为记录名单（尚在处罚期内的）；（以网站查询结果为准，如相关失信记录已失效，供应商需提供相关证明资料）；</w:t>
            </w:r>
          </w:p>
        </w:tc>
      </w:tr>
      <w:tr w14:paraId="1C164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081" w:type="dxa"/>
            <w:vMerge w:val="continue"/>
            <w:vAlign w:val="top"/>
          </w:tcPr>
          <w:p w14:paraId="3135E11D">
            <w:pPr>
              <w:spacing w:line="360" w:lineRule="auto"/>
              <w:jc w:val="center"/>
              <w:outlineLvl w:val="2"/>
              <w:rPr>
                <w:rFonts w:hint="eastAsia" w:ascii="宋体" w:hAnsi="宋体" w:eastAsia="宋体" w:cs="宋体"/>
                <w:b w:val="0"/>
                <w:bCs/>
                <w:color w:val="auto"/>
                <w:sz w:val="24"/>
                <w:highlight w:val="none"/>
              </w:rPr>
            </w:pPr>
          </w:p>
        </w:tc>
        <w:tc>
          <w:tcPr>
            <w:tcW w:w="925" w:type="dxa"/>
            <w:vMerge w:val="continue"/>
            <w:vAlign w:val="top"/>
          </w:tcPr>
          <w:p w14:paraId="036034B9">
            <w:pPr>
              <w:spacing w:line="360" w:lineRule="auto"/>
              <w:jc w:val="center"/>
              <w:outlineLvl w:val="2"/>
              <w:rPr>
                <w:rFonts w:hint="eastAsia" w:ascii="宋体" w:hAnsi="宋体" w:eastAsia="宋体" w:cs="宋体"/>
                <w:b w:val="0"/>
                <w:bCs/>
                <w:color w:val="auto"/>
                <w:sz w:val="24"/>
                <w:highlight w:val="none"/>
              </w:rPr>
            </w:pPr>
          </w:p>
        </w:tc>
        <w:tc>
          <w:tcPr>
            <w:tcW w:w="7634" w:type="dxa"/>
            <w:vAlign w:val="top"/>
          </w:tcPr>
          <w:p w14:paraId="2360BA63">
            <w:pPr>
              <w:spacing w:line="360" w:lineRule="auto"/>
              <w:jc w:val="left"/>
              <w:outlineLvl w:val="2"/>
              <w:rPr>
                <w:rFonts w:hint="default" w:ascii="宋体" w:hAnsi="宋体" w:eastAsia="宋体" w:cs="宋体"/>
                <w:b w:val="0"/>
                <w:bCs/>
                <w:color w:val="auto"/>
                <w:sz w:val="24"/>
                <w:highlight w:val="none"/>
                <w:lang w:val="en-US"/>
              </w:rPr>
            </w:pPr>
            <w:r>
              <w:rPr>
                <w:rFonts w:hint="eastAsia" w:ascii="宋体" w:hAnsi="宋体" w:eastAsia="宋体" w:cs="宋体"/>
                <w:b w:val="0"/>
                <w:bCs/>
                <w:color w:val="auto"/>
                <w:sz w:val="24"/>
                <w:highlight w:val="none"/>
                <w:lang w:val="en-US" w:eastAsia="zh-CN"/>
              </w:rPr>
              <w:t>本项目专门面向中小企业</w:t>
            </w:r>
            <w:r>
              <w:rPr>
                <w:rFonts w:hint="eastAsia" w:ascii="宋体" w:hAnsi="宋体" w:cs="宋体"/>
                <w:b w:val="0"/>
                <w:bCs/>
                <w:color w:val="auto"/>
                <w:sz w:val="24"/>
                <w:highlight w:val="none"/>
                <w:lang w:val="en-US" w:eastAsia="zh-CN"/>
              </w:rPr>
              <w:t>，是否提供中小企业声明函。</w:t>
            </w:r>
          </w:p>
        </w:tc>
      </w:tr>
      <w:tr w14:paraId="190C4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81" w:type="dxa"/>
            <w:vMerge w:val="restart"/>
            <w:tcBorders>
              <w:left w:val="single" w:color="auto" w:sz="4" w:space="0"/>
            </w:tcBorders>
            <w:vAlign w:val="top"/>
          </w:tcPr>
          <w:p w14:paraId="26963D8C">
            <w:pPr>
              <w:spacing w:line="360" w:lineRule="auto"/>
              <w:jc w:val="center"/>
              <w:outlineLvl w:val="2"/>
              <w:rPr>
                <w:rFonts w:hint="eastAsia" w:ascii="宋体" w:hAnsi="宋体" w:eastAsia="宋体" w:cs="宋体"/>
                <w:b w:val="0"/>
                <w:bCs/>
                <w:color w:val="auto"/>
                <w:sz w:val="24"/>
                <w:highlight w:val="none"/>
              </w:rPr>
            </w:pPr>
          </w:p>
          <w:p w14:paraId="1FB1A2C8">
            <w:pPr>
              <w:spacing w:line="360" w:lineRule="auto"/>
              <w:jc w:val="center"/>
              <w:outlineLvl w:val="2"/>
              <w:rPr>
                <w:rFonts w:hint="eastAsia" w:ascii="宋体" w:hAnsi="宋体" w:eastAsia="宋体" w:cs="宋体"/>
                <w:b w:val="0"/>
                <w:bCs/>
                <w:color w:val="auto"/>
                <w:sz w:val="24"/>
                <w:highlight w:val="none"/>
              </w:rPr>
            </w:pPr>
          </w:p>
          <w:p w14:paraId="355072BC">
            <w:pPr>
              <w:spacing w:line="360" w:lineRule="auto"/>
              <w:jc w:val="center"/>
              <w:outlineLvl w:val="2"/>
              <w:rPr>
                <w:rFonts w:hint="eastAsia" w:ascii="宋体" w:hAnsi="宋体" w:eastAsia="宋体" w:cs="宋体"/>
                <w:b w:val="0"/>
                <w:bCs/>
                <w:color w:val="auto"/>
                <w:sz w:val="24"/>
                <w:highlight w:val="none"/>
              </w:rPr>
            </w:pPr>
          </w:p>
          <w:p w14:paraId="742E0811">
            <w:pPr>
              <w:spacing w:line="360" w:lineRule="auto"/>
              <w:jc w:val="center"/>
              <w:outlineLvl w:val="2"/>
              <w:rPr>
                <w:rFonts w:hint="eastAsia" w:ascii="宋体" w:hAnsi="宋体" w:eastAsia="宋体" w:cs="宋体"/>
                <w:b w:val="0"/>
                <w:bCs/>
                <w:color w:val="auto"/>
                <w:sz w:val="24"/>
                <w:highlight w:val="none"/>
              </w:rPr>
            </w:pPr>
          </w:p>
          <w:p w14:paraId="5176113B">
            <w:pPr>
              <w:spacing w:line="360" w:lineRule="auto"/>
              <w:jc w:val="center"/>
              <w:outlineLvl w:val="2"/>
              <w:rPr>
                <w:rFonts w:hint="eastAsia" w:ascii="宋体" w:hAnsi="宋体" w:eastAsia="宋体" w:cs="宋体"/>
                <w:b w:val="0"/>
                <w:bCs/>
                <w:color w:val="auto"/>
                <w:sz w:val="24"/>
                <w:highlight w:val="none"/>
              </w:rPr>
            </w:pPr>
          </w:p>
          <w:p w14:paraId="60870200">
            <w:pPr>
              <w:spacing w:line="360" w:lineRule="auto"/>
              <w:jc w:val="center"/>
              <w:outlineLvl w:val="2"/>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fldChar w:fldCharType="begin"/>
            </w:r>
            <w:r>
              <w:rPr>
                <w:rFonts w:hint="eastAsia" w:ascii="宋体" w:hAnsi="宋体" w:eastAsia="宋体" w:cs="宋体"/>
                <w:b w:val="0"/>
                <w:bCs/>
                <w:color w:val="auto"/>
                <w:sz w:val="24"/>
                <w:highlight w:val="none"/>
              </w:rPr>
              <w:instrText xml:space="preserve"> HYPERLINK "3.2.2.2" </w:instrText>
            </w:r>
            <w:r>
              <w:rPr>
                <w:rFonts w:hint="eastAsia" w:ascii="宋体" w:hAnsi="宋体" w:eastAsia="宋体" w:cs="宋体"/>
                <w:b w:val="0"/>
                <w:bCs/>
                <w:color w:val="auto"/>
                <w:sz w:val="24"/>
                <w:highlight w:val="none"/>
              </w:rPr>
              <w:fldChar w:fldCharType="separate"/>
            </w:r>
            <w:r>
              <w:rPr>
                <w:rFonts w:hint="eastAsia" w:ascii="宋体" w:hAnsi="宋体" w:eastAsia="宋体" w:cs="宋体"/>
                <w:b w:val="0"/>
                <w:bCs/>
                <w:color w:val="auto"/>
                <w:sz w:val="24"/>
                <w:highlight w:val="none"/>
              </w:rPr>
              <w:t>3.2.2.2</w:t>
            </w:r>
            <w:r>
              <w:rPr>
                <w:rFonts w:hint="eastAsia" w:ascii="宋体" w:hAnsi="宋体" w:eastAsia="宋体" w:cs="宋体"/>
                <w:b w:val="0"/>
                <w:bCs/>
                <w:color w:val="auto"/>
                <w:sz w:val="24"/>
                <w:highlight w:val="none"/>
              </w:rPr>
              <w:fldChar w:fldCharType="end"/>
            </w:r>
          </w:p>
        </w:tc>
        <w:tc>
          <w:tcPr>
            <w:tcW w:w="925" w:type="dxa"/>
            <w:vMerge w:val="restart"/>
            <w:vAlign w:val="top"/>
          </w:tcPr>
          <w:p w14:paraId="1CCFF9B5">
            <w:pPr>
              <w:spacing w:line="360" w:lineRule="auto"/>
              <w:jc w:val="center"/>
              <w:outlineLvl w:val="2"/>
              <w:rPr>
                <w:rFonts w:hint="eastAsia" w:ascii="宋体" w:hAnsi="宋体" w:eastAsia="宋体" w:cs="宋体"/>
                <w:b w:val="0"/>
                <w:bCs/>
                <w:color w:val="auto"/>
                <w:sz w:val="24"/>
                <w:highlight w:val="none"/>
              </w:rPr>
            </w:pPr>
          </w:p>
          <w:p w14:paraId="53018499">
            <w:pPr>
              <w:spacing w:line="360" w:lineRule="auto"/>
              <w:jc w:val="center"/>
              <w:outlineLvl w:val="2"/>
              <w:rPr>
                <w:rFonts w:hint="eastAsia" w:ascii="宋体" w:hAnsi="宋体" w:eastAsia="宋体" w:cs="宋体"/>
                <w:b w:val="0"/>
                <w:bCs/>
                <w:color w:val="auto"/>
                <w:sz w:val="24"/>
                <w:highlight w:val="none"/>
              </w:rPr>
            </w:pPr>
          </w:p>
          <w:p w14:paraId="7475BE2F">
            <w:pPr>
              <w:spacing w:line="360" w:lineRule="auto"/>
              <w:jc w:val="center"/>
              <w:outlineLvl w:val="2"/>
              <w:rPr>
                <w:rFonts w:hint="eastAsia" w:ascii="宋体" w:hAnsi="宋体" w:eastAsia="宋体" w:cs="宋体"/>
                <w:b w:val="0"/>
                <w:bCs/>
                <w:color w:val="auto"/>
                <w:sz w:val="24"/>
                <w:highlight w:val="none"/>
              </w:rPr>
            </w:pPr>
          </w:p>
          <w:p w14:paraId="0669510F">
            <w:pPr>
              <w:spacing w:line="360" w:lineRule="auto"/>
              <w:jc w:val="center"/>
              <w:outlineLvl w:val="2"/>
              <w:rPr>
                <w:rFonts w:hint="eastAsia" w:ascii="宋体" w:hAnsi="宋体" w:eastAsia="宋体" w:cs="宋体"/>
                <w:b w:val="0"/>
                <w:bCs/>
                <w:color w:val="auto"/>
                <w:sz w:val="24"/>
                <w:highlight w:val="none"/>
              </w:rPr>
            </w:pPr>
          </w:p>
          <w:p w14:paraId="104491F8">
            <w:pPr>
              <w:spacing w:line="360" w:lineRule="auto"/>
              <w:jc w:val="center"/>
              <w:outlineLvl w:val="2"/>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符合</w:t>
            </w:r>
          </w:p>
          <w:p w14:paraId="2B9AD40D">
            <w:pPr>
              <w:spacing w:line="360" w:lineRule="auto"/>
              <w:jc w:val="center"/>
              <w:outlineLvl w:val="2"/>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性审</w:t>
            </w:r>
          </w:p>
          <w:p w14:paraId="27A18313">
            <w:pPr>
              <w:spacing w:line="360" w:lineRule="auto"/>
              <w:jc w:val="center"/>
              <w:outlineLvl w:val="2"/>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查</w:t>
            </w:r>
          </w:p>
        </w:tc>
        <w:tc>
          <w:tcPr>
            <w:tcW w:w="7634" w:type="dxa"/>
            <w:vAlign w:val="top"/>
          </w:tcPr>
          <w:p w14:paraId="4A8D60CB">
            <w:pPr>
              <w:spacing w:line="360" w:lineRule="auto"/>
              <w:jc w:val="left"/>
              <w:outlineLvl w:val="2"/>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投标人是否满足本招标文件关于对投标人资格证明文件的规定；</w:t>
            </w:r>
          </w:p>
        </w:tc>
      </w:tr>
      <w:tr w14:paraId="1A86C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1081" w:type="dxa"/>
            <w:vMerge w:val="continue"/>
            <w:tcBorders>
              <w:left w:val="single" w:color="auto" w:sz="4" w:space="0"/>
            </w:tcBorders>
            <w:vAlign w:val="top"/>
          </w:tcPr>
          <w:p w14:paraId="25B430BD">
            <w:pPr>
              <w:spacing w:line="360" w:lineRule="auto"/>
              <w:jc w:val="center"/>
              <w:outlineLvl w:val="2"/>
              <w:rPr>
                <w:rFonts w:hint="eastAsia" w:ascii="宋体" w:hAnsi="宋体" w:eastAsia="宋体" w:cs="宋体"/>
                <w:b w:val="0"/>
                <w:bCs/>
                <w:color w:val="auto"/>
                <w:sz w:val="24"/>
                <w:highlight w:val="none"/>
              </w:rPr>
            </w:pPr>
          </w:p>
        </w:tc>
        <w:tc>
          <w:tcPr>
            <w:tcW w:w="925" w:type="dxa"/>
            <w:vMerge w:val="continue"/>
            <w:vAlign w:val="top"/>
          </w:tcPr>
          <w:p w14:paraId="7152D875">
            <w:pPr>
              <w:spacing w:line="360" w:lineRule="auto"/>
              <w:jc w:val="center"/>
              <w:outlineLvl w:val="2"/>
              <w:rPr>
                <w:rFonts w:hint="eastAsia" w:ascii="宋体" w:hAnsi="宋体" w:eastAsia="宋体" w:cs="宋体"/>
                <w:b w:val="0"/>
                <w:bCs/>
                <w:color w:val="auto"/>
                <w:sz w:val="24"/>
                <w:highlight w:val="none"/>
              </w:rPr>
            </w:pPr>
          </w:p>
        </w:tc>
        <w:tc>
          <w:tcPr>
            <w:tcW w:w="7634" w:type="dxa"/>
            <w:vAlign w:val="top"/>
          </w:tcPr>
          <w:p w14:paraId="048187D4">
            <w:pPr>
              <w:spacing w:line="360" w:lineRule="auto"/>
              <w:jc w:val="left"/>
              <w:outlineLvl w:val="2"/>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投标文件组成是否完整，主要内容是否能按招标文件规定的内容、格式填写；</w:t>
            </w:r>
          </w:p>
        </w:tc>
      </w:tr>
      <w:tr w14:paraId="7F0FA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81" w:type="dxa"/>
            <w:vMerge w:val="continue"/>
            <w:tcBorders>
              <w:left w:val="single" w:color="auto" w:sz="4" w:space="0"/>
            </w:tcBorders>
            <w:vAlign w:val="top"/>
          </w:tcPr>
          <w:p w14:paraId="536DCED7">
            <w:pPr>
              <w:spacing w:line="360" w:lineRule="auto"/>
              <w:jc w:val="center"/>
              <w:outlineLvl w:val="2"/>
              <w:rPr>
                <w:rFonts w:hint="eastAsia" w:ascii="宋体" w:hAnsi="宋体" w:eastAsia="宋体" w:cs="宋体"/>
                <w:b w:val="0"/>
                <w:bCs/>
                <w:color w:val="auto"/>
                <w:sz w:val="24"/>
                <w:highlight w:val="none"/>
              </w:rPr>
            </w:pPr>
          </w:p>
        </w:tc>
        <w:tc>
          <w:tcPr>
            <w:tcW w:w="925" w:type="dxa"/>
            <w:vMerge w:val="continue"/>
            <w:vAlign w:val="top"/>
          </w:tcPr>
          <w:p w14:paraId="799B09F8">
            <w:pPr>
              <w:spacing w:line="360" w:lineRule="auto"/>
              <w:jc w:val="center"/>
              <w:outlineLvl w:val="2"/>
              <w:rPr>
                <w:rFonts w:hint="eastAsia" w:ascii="宋体" w:hAnsi="宋体" w:eastAsia="宋体" w:cs="宋体"/>
                <w:b w:val="0"/>
                <w:bCs/>
                <w:color w:val="auto"/>
                <w:sz w:val="24"/>
                <w:highlight w:val="none"/>
              </w:rPr>
            </w:pPr>
          </w:p>
        </w:tc>
        <w:tc>
          <w:tcPr>
            <w:tcW w:w="7634" w:type="dxa"/>
            <w:vAlign w:val="top"/>
          </w:tcPr>
          <w:p w14:paraId="77371D76">
            <w:pPr>
              <w:spacing w:line="360" w:lineRule="auto"/>
              <w:jc w:val="left"/>
              <w:outlineLvl w:val="2"/>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投标文件的有效期是否满足招标文件的规定；</w:t>
            </w:r>
          </w:p>
        </w:tc>
      </w:tr>
      <w:tr w14:paraId="36D84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81" w:type="dxa"/>
            <w:vMerge w:val="continue"/>
            <w:tcBorders>
              <w:left w:val="single" w:color="auto" w:sz="4" w:space="0"/>
            </w:tcBorders>
            <w:vAlign w:val="top"/>
          </w:tcPr>
          <w:p w14:paraId="47551BF0">
            <w:pPr>
              <w:spacing w:line="360" w:lineRule="auto"/>
              <w:jc w:val="center"/>
              <w:outlineLvl w:val="2"/>
              <w:rPr>
                <w:rFonts w:hint="eastAsia" w:ascii="宋体" w:hAnsi="宋体" w:eastAsia="宋体" w:cs="宋体"/>
                <w:b w:val="0"/>
                <w:bCs/>
                <w:color w:val="auto"/>
                <w:sz w:val="24"/>
                <w:highlight w:val="none"/>
              </w:rPr>
            </w:pPr>
          </w:p>
        </w:tc>
        <w:tc>
          <w:tcPr>
            <w:tcW w:w="925" w:type="dxa"/>
            <w:vMerge w:val="continue"/>
            <w:vAlign w:val="top"/>
          </w:tcPr>
          <w:p w14:paraId="7FDBCBF4">
            <w:pPr>
              <w:spacing w:line="360" w:lineRule="auto"/>
              <w:jc w:val="center"/>
              <w:outlineLvl w:val="2"/>
              <w:rPr>
                <w:rFonts w:hint="eastAsia" w:ascii="宋体" w:hAnsi="宋体" w:eastAsia="宋体" w:cs="宋体"/>
                <w:b w:val="0"/>
                <w:bCs/>
                <w:color w:val="auto"/>
                <w:sz w:val="24"/>
                <w:highlight w:val="none"/>
              </w:rPr>
            </w:pPr>
          </w:p>
        </w:tc>
        <w:tc>
          <w:tcPr>
            <w:tcW w:w="7634" w:type="dxa"/>
            <w:vAlign w:val="top"/>
          </w:tcPr>
          <w:p w14:paraId="594AAB64">
            <w:pPr>
              <w:spacing w:line="360" w:lineRule="auto"/>
              <w:jc w:val="left"/>
              <w:outlineLvl w:val="2"/>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投标文件是否按照规定签字盖章的；</w:t>
            </w:r>
          </w:p>
        </w:tc>
      </w:tr>
      <w:tr w14:paraId="177A4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1" w:type="dxa"/>
            <w:vMerge w:val="continue"/>
            <w:tcBorders>
              <w:left w:val="single" w:color="auto" w:sz="4" w:space="0"/>
            </w:tcBorders>
            <w:vAlign w:val="top"/>
          </w:tcPr>
          <w:p w14:paraId="1F394534">
            <w:pPr>
              <w:spacing w:line="360" w:lineRule="auto"/>
              <w:jc w:val="center"/>
              <w:outlineLvl w:val="2"/>
              <w:rPr>
                <w:rFonts w:hint="eastAsia" w:ascii="宋体" w:hAnsi="宋体" w:eastAsia="宋体" w:cs="宋体"/>
                <w:b w:val="0"/>
                <w:bCs/>
                <w:color w:val="auto"/>
                <w:sz w:val="24"/>
                <w:highlight w:val="none"/>
              </w:rPr>
            </w:pPr>
          </w:p>
        </w:tc>
        <w:tc>
          <w:tcPr>
            <w:tcW w:w="925" w:type="dxa"/>
            <w:vMerge w:val="continue"/>
            <w:vAlign w:val="top"/>
          </w:tcPr>
          <w:p w14:paraId="17F29488">
            <w:pPr>
              <w:spacing w:line="360" w:lineRule="auto"/>
              <w:jc w:val="center"/>
              <w:outlineLvl w:val="2"/>
              <w:rPr>
                <w:rFonts w:hint="eastAsia" w:ascii="宋体" w:hAnsi="宋体" w:eastAsia="宋体" w:cs="宋体"/>
                <w:b w:val="0"/>
                <w:bCs/>
                <w:color w:val="auto"/>
                <w:sz w:val="24"/>
                <w:highlight w:val="none"/>
              </w:rPr>
            </w:pPr>
          </w:p>
        </w:tc>
        <w:tc>
          <w:tcPr>
            <w:tcW w:w="7634" w:type="dxa"/>
            <w:vAlign w:val="top"/>
          </w:tcPr>
          <w:p w14:paraId="1E67BF22">
            <w:pPr>
              <w:spacing w:line="360" w:lineRule="auto"/>
              <w:jc w:val="left"/>
              <w:outlineLvl w:val="2"/>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投标代表授权书是否由法定代表人签署；</w:t>
            </w:r>
          </w:p>
        </w:tc>
      </w:tr>
      <w:tr w14:paraId="6E751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81" w:type="dxa"/>
            <w:vMerge w:val="continue"/>
            <w:tcBorders>
              <w:left w:val="single" w:color="auto" w:sz="4" w:space="0"/>
            </w:tcBorders>
            <w:vAlign w:val="top"/>
          </w:tcPr>
          <w:p w14:paraId="0AF35FDC">
            <w:pPr>
              <w:spacing w:line="360" w:lineRule="auto"/>
              <w:jc w:val="center"/>
              <w:outlineLvl w:val="2"/>
              <w:rPr>
                <w:rFonts w:hint="eastAsia" w:ascii="宋体" w:hAnsi="宋体" w:eastAsia="宋体" w:cs="宋体"/>
                <w:b w:val="0"/>
                <w:bCs/>
                <w:color w:val="auto"/>
                <w:sz w:val="24"/>
                <w:highlight w:val="none"/>
              </w:rPr>
            </w:pPr>
          </w:p>
        </w:tc>
        <w:tc>
          <w:tcPr>
            <w:tcW w:w="925" w:type="dxa"/>
            <w:vMerge w:val="continue"/>
            <w:vAlign w:val="top"/>
          </w:tcPr>
          <w:p w14:paraId="1A5AFB6F">
            <w:pPr>
              <w:spacing w:line="360" w:lineRule="auto"/>
              <w:jc w:val="center"/>
              <w:outlineLvl w:val="2"/>
              <w:rPr>
                <w:rFonts w:hint="eastAsia" w:ascii="宋体" w:hAnsi="宋体" w:eastAsia="宋体" w:cs="宋体"/>
                <w:b w:val="0"/>
                <w:bCs/>
                <w:color w:val="auto"/>
                <w:sz w:val="24"/>
                <w:highlight w:val="none"/>
              </w:rPr>
            </w:pPr>
          </w:p>
        </w:tc>
        <w:tc>
          <w:tcPr>
            <w:tcW w:w="7634" w:type="dxa"/>
            <w:vAlign w:val="top"/>
          </w:tcPr>
          <w:p w14:paraId="4180BC7F">
            <w:pPr>
              <w:spacing w:line="360" w:lineRule="auto"/>
              <w:jc w:val="left"/>
              <w:outlineLvl w:val="2"/>
              <w:rPr>
                <w:rFonts w:hint="eastAsia" w:ascii="宋体" w:hAnsi="宋体" w:eastAsia="宋体" w:cs="宋体"/>
                <w:b w:val="0"/>
                <w:bCs/>
                <w:color w:val="auto"/>
                <w:sz w:val="24"/>
                <w:highlight w:val="none"/>
              </w:rPr>
            </w:pPr>
            <w:r>
              <w:rPr>
                <w:rFonts w:hint="eastAsia" w:ascii="宋体" w:hAnsi="宋体" w:cs="宋体"/>
                <w:color w:val="auto"/>
                <w:sz w:val="24"/>
              </w:rPr>
              <w:t>投标文件针对</w:t>
            </w:r>
            <w:r>
              <w:rPr>
                <w:rFonts w:hint="eastAsia" w:ascii="宋体" w:hAnsi="宋体" w:cs="宋体"/>
                <w:color w:val="auto"/>
                <w:sz w:val="24"/>
                <w:lang w:val="en-US" w:eastAsia="zh-CN"/>
              </w:rPr>
              <w:t>每一种货物</w:t>
            </w:r>
            <w:r>
              <w:rPr>
                <w:rFonts w:hint="eastAsia" w:ascii="宋体" w:hAnsi="宋体" w:cs="宋体"/>
                <w:color w:val="auto"/>
                <w:sz w:val="24"/>
              </w:rPr>
              <w:t>是否出现了两个或两个以上的报价；</w:t>
            </w:r>
          </w:p>
        </w:tc>
      </w:tr>
      <w:tr w14:paraId="4E9B4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81" w:type="dxa"/>
            <w:vMerge w:val="continue"/>
            <w:tcBorders>
              <w:left w:val="single" w:color="auto" w:sz="4" w:space="0"/>
            </w:tcBorders>
            <w:vAlign w:val="top"/>
          </w:tcPr>
          <w:p w14:paraId="27142ECA">
            <w:pPr>
              <w:spacing w:line="360" w:lineRule="auto"/>
              <w:jc w:val="center"/>
              <w:outlineLvl w:val="2"/>
              <w:rPr>
                <w:rFonts w:hint="eastAsia" w:ascii="宋体" w:hAnsi="宋体" w:eastAsia="宋体" w:cs="宋体"/>
                <w:b w:val="0"/>
                <w:bCs/>
                <w:color w:val="auto"/>
                <w:sz w:val="24"/>
                <w:highlight w:val="none"/>
              </w:rPr>
            </w:pPr>
          </w:p>
        </w:tc>
        <w:tc>
          <w:tcPr>
            <w:tcW w:w="925" w:type="dxa"/>
            <w:vMerge w:val="continue"/>
            <w:vAlign w:val="top"/>
          </w:tcPr>
          <w:p w14:paraId="48B67A6E">
            <w:pPr>
              <w:spacing w:line="360" w:lineRule="auto"/>
              <w:jc w:val="center"/>
              <w:outlineLvl w:val="2"/>
              <w:rPr>
                <w:rFonts w:hint="eastAsia" w:ascii="宋体" w:hAnsi="宋体" w:eastAsia="宋体" w:cs="宋体"/>
                <w:b w:val="0"/>
                <w:bCs/>
                <w:color w:val="auto"/>
                <w:sz w:val="24"/>
                <w:highlight w:val="none"/>
              </w:rPr>
            </w:pPr>
          </w:p>
        </w:tc>
        <w:tc>
          <w:tcPr>
            <w:tcW w:w="7634" w:type="dxa"/>
            <w:tcBorders>
              <w:bottom w:val="single" w:color="auto" w:sz="4" w:space="0"/>
            </w:tcBorders>
            <w:vAlign w:val="top"/>
          </w:tcPr>
          <w:p w14:paraId="14EE4445">
            <w:pPr>
              <w:spacing w:line="360" w:lineRule="auto"/>
              <w:jc w:val="left"/>
              <w:outlineLvl w:val="2"/>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投标报价是否超过最高限价；</w:t>
            </w:r>
          </w:p>
        </w:tc>
      </w:tr>
      <w:tr w14:paraId="7AFEF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081" w:type="dxa"/>
            <w:vMerge w:val="continue"/>
            <w:tcBorders>
              <w:left w:val="single" w:color="auto" w:sz="4" w:space="0"/>
            </w:tcBorders>
            <w:vAlign w:val="top"/>
          </w:tcPr>
          <w:p w14:paraId="6F985E09">
            <w:pPr>
              <w:spacing w:line="360" w:lineRule="auto"/>
              <w:jc w:val="center"/>
              <w:outlineLvl w:val="2"/>
              <w:rPr>
                <w:rFonts w:hint="eastAsia" w:ascii="宋体" w:hAnsi="宋体" w:eastAsia="宋体" w:cs="宋体"/>
                <w:b w:val="0"/>
                <w:bCs/>
                <w:color w:val="auto"/>
                <w:sz w:val="24"/>
                <w:highlight w:val="none"/>
              </w:rPr>
            </w:pPr>
          </w:p>
        </w:tc>
        <w:tc>
          <w:tcPr>
            <w:tcW w:w="925" w:type="dxa"/>
            <w:vMerge w:val="continue"/>
            <w:vAlign w:val="top"/>
          </w:tcPr>
          <w:p w14:paraId="1944F26E">
            <w:pPr>
              <w:spacing w:line="360" w:lineRule="auto"/>
              <w:jc w:val="center"/>
              <w:outlineLvl w:val="2"/>
              <w:rPr>
                <w:rFonts w:hint="eastAsia" w:ascii="宋体" w:hAnsi="宋体" w:eastAsia="宋体" w:cs="宋体"/>
                <w:b w:val="0"/>
                <w:bCs/>
                <w:color w:val="auto"/>
                <w:sz w:val="24"/>
                <w:highlight w:val="none"/>
              </w:rPr>
            </w:pPr>
          </w:p>
        </w:tc>
        <w:tc>
          <w:tcPr>
            <w:tcW w:w="7634" w:type="dxa"/>
            <w:tcBorders>
              <w:top w:val="single" w:color="auto" w:sz="4" w:space="0"/>
              <w:left w:val="single" w:color="auto" w:sz="4" w:space="0"/>
              <w:bottom w:val="single" w:color="auto" w:sz="4" w:space="0"/>
              <w:right w:val="single" w:color="auto" w:sz="4" w:space="0"/>
            </w:tcBorders>
            <w:vAlign w:val="top"/>
          </w:tcPr>
          <w:p w14:paraId="018A2AE5">
            <w:pPr>
              <w:spacing w:line="360" w:lineRule="auto"/>
              <w:jc w:val="left"/>
              <w:outlineLvl w:val="2"/>
              <w:rPr>
                <w:rFonts w:hint="eastAsia" w:ascii="宋体" w:hAnsi="宋体" w:eastAsia="宋体" w:cs="宋体"/>
                <w:b w:val="0"/>
                <w:bCs/>
                <w:color w:val="auto"/>
                <w:sz w:val="24"/>
                <w:highlight w:val="none"/>
              </w:rPr>
            </w:pPr>
            <w:r>
              <w:rPr>
                <w:rFonts w:hint="eastAsia" w:ascii="宋体" w:hAnsi="宋体" w:cs="宋体"/>
                <w:color w:val="auto"/>
                <w:sz w:val="24"/>
              </w:rPr>
              <w:t>是否明显不符合招标文件关于对招标</w:t>
            </w:r>
            <w:r>
              <w:rPr>
                <w:rFonts w:hint="eastAsia" w:ascii="宋体" w:hAnsi="宋体" w:cs="宋体"/>
                <w:color w:val="auto"/>
                <w:sz w:val="24"/>
                <w:lang w:val="en-US" w:eastAsia="zh-CN"/>
              </w:rPr>
              <w:t>货物</w:t>
            </w:r>
            <w:r>
              <w:rPr>
                <w:rFonts w:hint="eastAsia" w:ascii="宋体" w:hAnsi="宋体" w:cs="宋体"/>
                <w:color w:val="auto"/>
                <w:sz w:val="24"/>
              </w:rPr>
              <w:t>技术规格和标准的要求；</w:t>
            </w:r>
          </w:p>
        </w:tc>
      </w:tr>
      <w:tr w14:paraId="6E4C1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081" w:type="dxa"/>
            <w:vMerge w:val="continue"/>
            <w:tcBorders>
              <w:left w:val="single" w:color="auto" w:sz="4" w:space="0"/>
            </w:tcBorders>
            <w:vAlign w:val="top"/>
          </w:tcPr>
          <w:p w14:paraId="57FE00AA">
            <w:pPr>
              <w:spacing w:line="360" w:lineRule="auto"/>
              <w:jc w:val="center"/>
              <w:outlineLvl w:val="2"/>
              <w:rPr>
                <w:rFonts w:hint="eastAsia" w:ascii="宋体" w:hAnsi="宋体" w:eastAsia="宋体" w:cs="宋体"/>
                <w:b w:val="0"/>
                <w:bCs/>
                <w:color w:val="auto"/>
                <w:sz w:val="24"/>
                <w:highlight w:val="none"/>
              </w:rPr>
            </w:pPr>
          </w:p>
        </w:tc>
        <w:tc>
          <w:tcPr>
            <w:tcW w:w="925" w:type="dxa"/>
            <w:vMerge w:val="continue"/>
            <w:vAlign w:val="top"/>
          </w:tcPr>
          <w:p w14:paraId="482886D2">
            <w:pPr>
              <w:spacing w:line="360" w:lineRule="auto"/>
              <w:jc w:val="center"/>
              <w:outlineLvl w:val="2"/>
              <w:rPr>
                <w:rFonts w:hint="eastAsia" w:ascii="宋体" w:hAnsi="宋体" w:eastAsia="宋体" w:cs="宋体"/>
                <w:b w:val="0"/>
                <w:bCs/>
                <w:color w:val="auto"/>
                <w:sz w:val="24"/>
                <w:highlight w:val="none"/>
              </w:rPr>
            </w:pPr>
          </w:p>
        </w:tc>
        <w:tc>
          <w:tcPr>
            <w:tcW w:w="7634" w:type="dxa"/>
            <w:tcBorders>
              <w:top w:val="single" w:color="auto" w:sz="4" w:space="0"/>
              <w:left w:val="single" w:color="auto" w:sz="4" w:space="0"/>
              <w:bottom w:val="single" w:color="auto" w:sz="4" w:space="0"/>
              <w:right w:val="single" w:color="auto" w:sz="4" w:space="0"/>
            </w:tcBorders>
            <w:vAlign w:val="top"/>
          </w:tcPr>
          <w:p w14:paraId="58EEC6E0">
            <w:pPr>
              <w:spacing w:line="360" w:lineRule="auto"/>
              <w:jc w:val="left"/>
              <w:outlineLvl w:val="2"/>
              <w:rPr>
                <w:rFonts w:hint="eastAsia" w:ascii="宋体" w:hAnsi="宋体" w:cs="宋体"/>
                <w:color w:val="auto"/>
                <w:sz w:val="24"/>
              </w:rPr>
            </w:pPr>
            <w:r>
              <w:rPr>
                <w:rFonts w:hint="eastAsia" w:ascii="宋体" w:hAnsi="宋体" w:cs="宋体"/>
                <w:color w:val="auto"/>
                <w:sz w:val="24"/>
              </w:rPr>
              <w:t>是否有不符合法律、法规和招标文件规定的其他实质性要求。</w:t>
            </w:r>
          </w:p>
        </w:tc>
      </w:tr>
      <w:tr w14:paraId="6E3A1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081" w:type="dxa"/>
            <w:vMerge w:val="continue"/>
            <w:tcBorders>
              <w:left w:val="single" w:color="auto" w:sz="4" w:space="0"/>
              <w:bottom w:val="single" w:color="auto" w:sz="4" w:space="0"/>
            </w:tcBorders>
            <w:vAlign w:val="top"/>
          </w:tcPr>
          <w:p w14:paraId="244501CE">
            <w:pPr>
              <w:spacing w:line="360" w:lineRule="auto"/>
              <w:jc w:val="center"/>
              <w:outlineLvl w:val="2"/>
              <w:rPr>
                <w:rFonts w:hint="eastAsia" w:ascii="宋体" w:hAnsi="宋体" w:eastAsia="宋体" w:cs="宋体"/>
                <w:b w:val="0"/>
                <w:bCs/>
                <w:color w:val="auto"/>
                <w:sz w:val="24"/>
                <w:highlight w:val="none"/>
              </w:rPr>
            </w:pPr>
          </w:p>
        </w:tc>
        <w:tc>
          <w:tcPr>
            <w:tcW w:w="925" w:type="dxa"/>
            <w:vMerge w:val="continue"/>
            <w:tcBorders>
              <w:bottom w:val="single" w:color="auto" w:sz="4" w:space="0"/>
            </w:tcBorders>
            <w:vAlign w:val="top"/>
          </w:tcPr>
          <w:p w14:paraId="6691053E">
            <w:pPr>
              <w:spacing w:line="360" w:lineRule="auto"/>
              <w:jc w:val="center"/>
              <w:outlineLvl w:val="2"/>
              <w:rPr>
                <w:rFonts w:hint="eastAsia" w:ascii="宋体" w:hAnsi="宋体" w:eastAsia="宋体" w:cs="宋体"/>
                <w:b w:val="0"/>
                <w:bCs/>
                <w:color w:val="auto"/>
                <w:sz w:val="24"/>
                <w:highlight w:val="none"/>
              </w:rPr>
            </w:pPr>
          </w:p>
        </w:tc>
        <w:tc>
          <w:tcPr>
            <w:tcW w:w="7634" w:type="dxa"/>
            <w:tcBorders>
              <w:top w:val="single" w:color="auto" w:sz="4" w:space="0"/>
              <w:left w:val="single" w:color="auto" w:sz="4" w:space="0"/>
              <w:bottom w:val="single" w:color="auto" w:sz="4" w:space="0"/>
              <w:right w:val="single" w:color="auto" w:sz="4" w:space="0"/>
            </w:tcBorders>
            <w:vAlign w:val="top"/>
          </w:tcPr>
          <w:p w14:paraId="73C91B99">
            <w:pPr>
              <w:spacing w:line="360" w:lineRule="auto"/>
              <w:jc w:val="left"/>
              <w:outlineLvl w:val="2"/>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投标文件载明的招标项目合同履约期限是否超过招标文件规定的期限；</w:t>
            </w:r>
          </w:p>
        </w:tc>
      </w:tr>
      <w:tr w14:paraId="7038B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9640" w:type="dxa"/>
            <w:gridSpan w:val="3"/>
            <w:tcBorders>
              <w:top w:val="single" w:color="auto" w:sz="4" w:space="0"/>
              <w:left w:val="single" w:color="auto" w:sz="4" w:space="0"/>
              <w:bottom w:val="single" w:color="auto" w:sz="4" w:space="0"/>
              <w:right w:val="single" w:color="auto" w:sz="4" w:space="0"/>
            </w:tcBorders>
            <w:vAlign w:val="top"/>
          </w:tcPr>
          <w:p w14:paraId="6B2431EC">
            <w:pPr>
              <w:spacing w:line="360" w:lineRule="auto"/>
              <w:jc w:val="center"/>
              <w:outlineLvl w:val="2"/>
              <w:rPr>
                <w:rFonts w:hint="eastAsia" w:ascii="宋体" w:hAnsi="宋体" w:eastAsia="宋体" w:cs="宋体"/>
                <w:b w:val="0"/>
                <w:bCs/>
                <w:color w:val="auto"/>
                <w:sz w:val="24"/>
                <w:highlight w:val="none"/>
              </w:rPr>
            </w:pPr>
            <w:r>
              <w:rPr>
                <w:rFonts w:hint="eastAsia" w:ascii="宋体" w:hAnsi="宋体" w:cs="宋体"/>
                <w:b/>
                <w:bCs/>
                <w:color w:val="auto"/>
                <w:sz w:val="24"/>
              </w:rPr>
              <w:t>初步评审合格后方可进入详细评审阶段</w:t>
            </w:r>
          </w:p>
        </w:tc>
      </w:tr>
    </w:tbl>
    <w:p w14:paraId="28BA6106">
      <w:pPr>
        <w:spacing w:line="360" w:lineRule="auto"/>
        <w:jc w:val="center"/>
        <w:outlineLvl w:val="2"/>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经济报价评分标准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9545"/>
      </w:tblGrid>
      <w:tr w14:paraId="4357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01" w:type="dxa"/>
            <w:noWrap w:val="0"/>
            <w:vAlign w:val="center"/>
          </w:tcPr>
          <w:p w14:paraId="3D57739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经</w:t>
            </w:r>
          </w:p>
          <w:p w14:paraId="51442EA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济</w:t>
            </w:r>
          </w:p>
          <w:p w14:paraId="766F560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报</w:t>
            </w:r>
          </w:p>
          <w:p w14:paraId="57A94CC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价</w:t>
            </w:r>
          </w:p>
          <w:p w14:paraId="7B145E3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K1</w:t>
            </w:r>
          </w:p>
        </w:tc>
        <w:tc>
          <w:tcPr>
            <w:tcW w:w="9545" w:type="dxa"/>
            <w:noWrap w:val="0"/>
            <w:vAlign w:val="top"/>
          </w:tcPr>
          <w:p w14:paraId="1FA84360">
            <w:pPr>
              <w:pStyle w:val="24"/>
              <w:adjustRightInd w:val="0"/>
              <w:snapToGrid w:val="0"/>
              <w:spacing w:line="360" w:lineRule="auto"/>
              <w:ind w:firstLine="0" w:firstLineChars="0"/>
              <w:jc w:val="both"/>
              <w:rPr>
                <w:rFonts w:hint="eastAsia" w:ascii="宋体" w:hAnsi="宋体" w:eastAsia="宋体" w:cs="宋体"/>
                <w:bCs/>
                <w:color w:val="auto"/>
                <w:spacing w:val="-3"/>
                <w:sz w:val="24"/>
                <w:highlight w:val="none"/>
              </w:rPr>
            </w:pPr>
            <w:r>
              <w:rPr>
                <w:rFonts w:hint="eastAsia" w:ascii="宋体" w:hAnsi="宋体" w:eastAsia="宋体" w:cs="宋体"/>
                <w:bCs/>
                <w:color w:val="auto"/>
                <w:spacing w:val="-3"/>
                <w:sz w:val="24"/>
                <w:highlight w:val="none"/>
              </w:rPr>
              <w:t>经济报价得分计算：</w:t>
            </w:r>
          </w:p>
          <w:p w14:paraId="49DD6100">
            <w:pPr>
              <w:pStyle w:val="24"/>
              <w:adjustRightInd w:val="0"/>
              <w:snapToGrid w:val="0"/>
              <w:spacing w:line="360" w:lineRule="auto"/>
              <w:ind w:firstLine="471"/>
              <w:jc w:val="both"/>
              <w:rPr>
                <w:rFonts w:hint="eastAsia" w:ascii="宋体" w:hAnsi="宋体" w:eastAsia="宋体" w:cs="宋体"/>
                <w:b/>
                <w:color w:val="auto"/>
                <w:spacing w:val="-3"/>
                <w:sz w:val="24"/>
                <w:highlight w:val="none"/>
              </w:rPr>
            </w:pPr>
            <w:r>
              <w:rPr>
                <w:rFonts w:hint="eastAsia" w:ascii="宋体" w:hAnsi="宋体" w:eastAsia="宋体" w:cs="宋体"/>
                <w:b w:val="0"/>
                <w:color w:val="auto"/>
                <w:spacing w:val="-3"/>
                <w:sz w:val="24"/>
                <w:highlight w:val="none"/>
              </w:rPr>
              <w:t>（1）对于经济报价的评分，按以下方法进行：价格分采用低价优先法计算，即满足招标文件要求且投标价格最低的投标报价为评标基准价，其价格分为满分。其他投标人的价格分统一按照下列公式计算</w:t>
            </w:r>
            <w:r>
              <w:rPr>
                <w:rFonts w:hint="eastAsia" w:ascii="宋体" w:hAnsi="宋体" w:eastAsia="宋体" w:cs="宋体"/>
                <w:b w:val="0"/>
                <w:color w:val="auto"/>
                <w:spacing w:val="-3"/>
                <w:sz w:val="24"/>
                <w:highlight w:val="none"/>
                <w:lang w:eastAsia="zh-CN"/>
              </w:rPr>
              <w:t>，</w:t>
            </w:r>
            <w:r>
              <w:rPr>
                <w:rFonts w:hint="eastAsia" w:ascii="宋体" w:hAnsi="宋体" w:eastAsia="宋体" w:cs="宋体"/>
                <w:b/>
                <w:color w:val="auto"/>
                <w:spacing w:val="-3"/>
                <w:sz w:val="24"/>
                <w:highlight w:val="none"/>
                <w:lang w:val="en-US" w:eastAsia="zh-CN"/>
              </w:rPr>
              <w:t>因落实政府采购政策进行价格调整的，以调整后的价格计算评标基准价和投标报价。</w:t>
            </w:r>
          </w:p>
          <w:p w14:paraId="1374B386">
            <w:pPr>
              <w:pStyle w:val="24"/>
              <w:adjustRightInd w:val="0"/>
              <w:snapToGrid w:val="0"/>
              <w:spacing w:line="360" w:lineRule="auto"/>
              <w:ind w:firstLine="471"/>
              <w:jc w:val="both"/>
              <w:rPr>
                <w:rFonts w:hint="eastAsia" w:ascii="宋体" w:hAnsi="宋体" w:eastAsia="宋体" w:cs="宋体"/>
                <w:b w:val="0"/>
                <w:color w:val="auto"/>
                <w:spacing w:val="-3"/>
                <w:sz w:val="24"/>
                <w:highlight w:val="none"/>
              </w:rPr>
            </w:pPr>
            <w:r>
              <w:rPr>
                <w:rFonts w:hint="eastAsia" w:ascii="宋体" w:hAnsi="宋体" w:eastAsia="宋体" w:cs="宋体"/>
                <w:b w:val="0"/>
                <w:color w:val="auto"/>
                <w:spacing w:val="-3"/>
                <w:sz w:val="24"/>
                <w:highlight w:val="none"/>
              </w:rPr>
              <w:t>投标报价得分=(评标基准价/投标报价)×30%×100</w:t>
            </w:r>
          </w:p>
          <w:p w14:paraId="02275B12">
            <w:pPr>
              <w:pStyle w:val="24"/>
              <w:adjustRightInd w:val="0"/>
              <w:snapToGrid w:val="0"/>
              <w:spacing w:line="360" w:lineRule="auto"/>
              <w:ind w:firstLine="471"/>
              <w:jc w:val="both"/>
              <w:rPr>
                <w:rFonts w:hint="eastAsia" w:ascii="宋体" w:hAnsi="宋体" w:eastAsia="宋体" w:cs="宋体"/>
                <w:b/>
                <w:bCs/>
                <w:color w:val="auto"/>
                <w:spacing w:val="-3"/>
                <w:sz w:val="24"/>
                <w:highlight w:val="none"/>
              </w:rPr>
            </w:pPr>
            <w:r>
              <w:rPr>
                <w:rFonts w:hint="eastAsia" w:ascii="宋体" w:hAnsi="宋体" w:eastAsia="宋体" w:cs="宋体"/>
                <w:b w:val="0"/>
                <w:color w:val="auto"/>
                <w:spacing w:val="-3"/>
                <w:sz w:val="24"/>
                <w:highlight w:val="none"/>
              </w:rPr>
              <w:t>（2）</w:t>
            </w:r>
            <w:r>
              <w:rPr>
                <w:rFonts w:hint="eastAsia" w:ascii="宋体" w:hAnsi="宋体" w:eastAsia="宋体" w:cs="宋体"/>
                <w:b/>
                <w:bCs/>
                <w:color w:val="auto"/>
                <w:spacing w:val="-3"/>
                <w:sz w:val="24"/>
                <w:highlight w:val="none"/>
              </w:rPr>
              <w:t>投标人报价低于招标成本，有可能影响产品质量或者不能诚信履约的，评标委员会应当  要求其在评标现场合理的时间内提供成本构成书面说明，并提交相关证明材料。投标人书  面说明应当按照国家财务会计制度的规定要求，逐项就投标人提供的货物、工程和服务的  主营业务成本（应根据投标人企业类型予以区别）、税金及附加、销售费用、管理费用、 财务费用等成本构成事项详细陈述。</w:t>
            </w:r>
          </w:p>
          <w:p w14:paraId="0CCD9260">
            <w:pPr>
              <w:pStyle w:val="24"/>
              <w:adjustRightInd w:val="0"/>
              <w:snapToGrid w:val="0"/>
              <w:spacing w:line="360" w:lineRule="auto"/>
              <w:ind w:firstLine="471"/>
              <w:jc w:val="both"/>
              <w:rPr>
                <w:rFonts w:hint="eastAsia" w:ascii="宋体" w:hAnsi="宋体" w:eastAsia="宋体" w:cs="宋体"/>
                <w:b/>
                <w:bCs/>
                <w:color w:val="auto"/>
                <w:spacing w:val="-3"/>
                <w:sz w:val="24"/>
                <w:highlight w:val="none"/>
                <w:lang w:eastAsia="zh-CN"/>
              </w:rPr>
            </w:pPr>
            <w:r>
              <w:rPr>
                <w:rFonts w:hint="eastAsia" w:ascii="宋体" w:hAnsi="宋体" w:eastAsia="宋体" w:cs="宋体"/>
                <w:b/>
                <w:bCs/>
                <w:color w:val="auto"/>
                <w:spacing w:val="-3"/>
                <w:sz w:val="24"/>
                <w:highlight w:val="none"/>
                <w:lang w:eastAsia="zh-CN"/>
              </w:rPr>
              <w:t>投标人书面说明应当签字确认或者加盖公章，否则无效。书面说明的签字确认，投标人 为法定代表人的，由其法定代表人或者代理人签字确认；投标人为其他组织的，由其主要 负责人或者代理人签字确认。投标人提供书面说明后，评标委员会应当结合采购项目采购 需求、专业实际情况、投标人财务状况报告、与其他投标人比较情况等就投标人书面说明 进行审查评价。投标人拒绝或者变相拒绝提供有效书面说明或者书面说明不能证明其报价 合理性的，评标委员会应当将其投标文件作为无效处理。</w:t>
            </w:r>
          </w:p>
          <w:p w14:paraId="3E2A63A6">
            <w:pPr>
              <w:pStyle w:val="24"/>
              <w:spacing w:line="360" w:lineRule="auto"/>
              <w:ind w:firstLine="471"/>
              <w:jc w:val="both"/>
              <w:rPr>
                <w:rFonts w:hint="eastAsia" w:ascii="宋体" w:hAnsi="宋体" w:eastAsia="宋体" w:cs="宋体"/>
                <w:b w:val="0"/>
                <w:color w:val="auto"/>
                <w:sz w:val="24"/>
                <w:highlight w:val="none"/>
              </w:rPr>
            </w:pPr>
            <w:r>
              <w:rPr>
                <w:rFonts w:hint="eastAsia" w:ascii="宋体" w:hAnsi="宋体" w:eastAsia="宋体" w:cs="宋体"/>
                <w:b w:val="0"/>
                <w:color w:val="auto"/>
                <w:spacing w:val="-3"/>
                <w:sz w:val="24"/>
                <w:highlight w:val="none"/>
              </w:rPr>
              <w:t>（3）</w:t>
            </w:r>
            <w:r>
              <w:rPr>
                <w:rFonts w:hint="eastAsia" w:ascii="宋体" w:hAnsi="宋体" w:eastAsia="宋体" w:cs="宋体"/>
                <w:b w:val="0"/>
                <w:color w:val="auto"/>
                <w:sz w:val="24"/>
                <w:highlight w:val="none"/>
              </w:rPr>
              <w:t>在技术评审中，应当考虑设备的技术参数响应情况、设备技术水平、工艺水平等因素，以及设备的功能性、整体配套性、经济性、先进性、稳定性等因素；产品故障率情况及故障响应时间等因素；售后服务应当考虑其服务的承诺内容、具体措施及其可行性等因素；投标人有组织管理能力等。</w:t>
            </w:r>
          </w:p>
          <w:p w14:paraId="1B78D08F">
            <w:pPr>
              <w:pStyle w:val="24"/>
              <w:spacing w:line="360" w:lineRule="auto"/>
              <w:ind w:firstLine="485"/>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最低报价不作为评标的唯一依据。采购人不承诺将合同授予报价最低的投标人。</w:t>
            </w:r>
          </w:p>
        </w:tc>
      </w:tr>
    </w:tbl>
    <w:p w14:paraId="731310F7">
      <w:pPr>
        <w:rPr>
          <w:rFonts w:hint="eastAsia" w:ascii="宋体" w:hAnsi="宋体" w:cs="宋体"/>
          <w:b/>
          <w:color w:val="auto"/>
          <w:sz w:val="24"/>
          <w:highlight w:val="none"/>
        </w:rPr>
      </w:pPr>
      <w:r>
        <w:rPr>
          <w:rFonts w:hint="eastAsia" w:ascii="宋体" w:hAnsi="宋体" w:cs="宋体"/>
          <w:b/>
          <w:color w:val="auto"/>
          <w:sz w:val="24"/>
          <w:highlight w:val="none"/>
        </w:rPr>
        <w:br w:type="page"/>
      </w:r>
    </w:p>
    <w:p w14:paraId="694EFC75">
      <w:pPr>
        <w:keepNext/>
        <w:keepLines/>
        <w:pageBreakBefore/>
        <w:spacing w:line="264" w:lineRule="auto"/>
        <w:jc w:val="center"/>
        <w:outlineLvl w:val="2"/>
        <w:rPr>
          <w:rFonts w:hint="eastAsia" w:ascii="宋体" w:hAnsi="宋体" w:cs="宋体"/>
          <w:b/>
          <w:color w:val="auto"/>
          <w:sz w:val="24"/>
          <w:highlight w:val="none"/>
        </w:rPr>
      </w:pPr>
      <w:r>
        <w:rPr>
          <w:rFonts w:hint="eastAsia" w:ascii="宋体" w:hAnsi="宋体" w:cs="宋体"/>
          <w:b/>
          <w:color w:val="auto"/>
          <w:sz w:val="24"/>
          <w:highlight w:val="none"/>
        </w:rPr>
        <w:t>技术标评分标准</w:t>
      </w:r>
    </w:p>
    <w:tbl>
      <w:tblPr>
        <w:tblStyle w:val="15"/>
        <w:tblpPr w:leftFromText="180" w:rightFromText="180" w:vertAnchor="text" w:horzAnchor="page" w:tblpX="1158" w:tblpY="328"/>
        <w:tblOverlap w:val="never"/>
        <w:tblW w:w="971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6"/>
        <w:gridCol w:w="1365"/>
        <w:gridCol w:w="1075"/>
        <w:gridCol w:w="6525"/>
      </w:tblGrid>
      <w:tr w14:paraId="1A0E1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3" w:hRule="atLeast"/>
        </w:trPr>
        <w:tc>
          <w:tcPr>
            <w:tcW w:w="746" w:type="dxa"/>
            <w:noWrap w:val="0"/>
            <w:vAlign w:val="center"/>
          </w:tcPr>
          <w:p w14:paraId="1FAC2773">
            <w:pPr>
              <w:pStyle w:val="25"/>
              <w:spacing w:line="460" w:lineRule="exact"/>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序号</w:t>
            </w:r>
          </w:p>
        </w:tc>
        <w:tc>
          <w:tcPr>
            <w:tcW w:w="1365" w:type="dxa"/>
            <w:noWrap w:val="0"/>
            <w:vAlign w:val="center"/>
          </w:tcPr>
          <w:p w14:paraId="446F4905">
            <w:pPr>
              <w:pStyle w:val="25"/>
              <w:spacing w:line="460" w:lineRule="exact"/>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考核项目</w:t>
            </w:r>
          </w:p>
        </w:tc>
        <w:tc>
          <w:tcPr>
            <w:tcW w:w="1075" w:type="dxa"/>
            <w:noWrap w:val="0"/>
            <w:vAlign w:val="center"/>
          </w:tcPr>
          <w:p w14:paraId="4633A73F">
            <w:pPr>
              <w:pStyle w:val="25"/>
              <w:spacing w:line="460" w:lineRule="exact"/>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分数</w:t>
            </w:r>
          </w:p>
        </w:tc>
        <w:tc>
          <w:tcPr>
            <w:tcW w:w="6525" w:type="dxa"/>
            <w:noWrap w:val="0"/>
            <w:vAlign w:val="center"/>
          </w:tcPr>
          <w:p w14:paraId="64952AC9">
            <w:pPr>
              <w:pStyle w:val="25"/>
              <w:spacing w:line="460" w:lineRule="exact"/>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评分标准</w:t>
            </w:r>
          </w:p>
        </w:tc>
      </w:tr>
      <w:tr w14:paraId="1B3A6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9" w:hRule="atLeast"/>
        </w:trPr>
        <w:tc>
          <w:tcPr>
            <w:tcW w:w="9711" w:type="dxa"/>
            <w:gridSpan w:val="4"/>
            <w:tcBorders>
              <w:bottom w:val="single" w:color="auto" w:sz="4" w:space="0"/>
            </w:tcBorders>
            <w:noWrap w:val="0"/>
            <w:vAlign w:val="center"/>
          </w:tcPr>
          <w:p w14:paraId="68C7A9D2">
            <w:pPr>
              <w:pStyle w:val="25"/>
              <w:spacing w:line="460" w:lineRule="exact"/>
              <w:ind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报价部分30分</w:t>
            </w:r>
          </w:p>
        </w:tc>
      </w:tr>
      <w:tr w14:paraId="29ABF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06" w:hRule="atLeast"/>
        </w:trPr>
        <w:tc>
          <w:tcPr>
            <w:tcW w:w="746" w:type="dxa"/>
            <w:tcBorders>
              <w:top w:val="single" w:color="auto" w:sz="4" w:space="0"/>
              <w:bottom w:val="single" w:color="auto" w:sz="4" w:space="0"/>
            </w:tcBorders>
            <w:noWrap w:val="0"/>
            <w:vAlign w:val="center"/>
          </w:tcPr>
          <w:p w14:paraId="44C350C0">
            <w:pPr>
              <w:pStyle w:val="25"/>
              <w:spacing w:line="460" w:lineRule="exact"/>
              <w:ind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65" w:type="dxa"/>
            <w:tcBorders>
              <w:top w:val="single" w:color="auto" w:sz="4" w:space="0"/>
              <w:bottom w:val="single" w:color="auto" w:sz="4" w:space="0"/>
            </w:tcBorders>
            <w:noWrap w:val="0"/>
            <w:vAlign w:val="center"/>
          </w:tcPr>
          <w:p w14:paraId="3275430B">
            <w:pPr>
              <w:spacing w:line="46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报价</w:t>
            </w:r>
          </w:p>
        </w:tc>
        <w:tc>
          <w:tcPr>
            <w:tcW w:w="1075" w:type="dxa"/>
            <w:tcBorders>
              <w:top w:val="single" w:color="auto" w:sz="4" w:space="0"/>
              <w:bottom w:val="single" w:color="auto" w:sz="4" w:space="0"/>
            </w:tcBorders>
            <w:noWrap w:val="0"/>
            <w:vAlign w:val="center"/>
          </w:tcPr>
          <w:p w14:paraId="5E1CDC31">
            <w:pPr>
              <w:spacing w:line="46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0-30分</w:t>
            </w:r>
          </w:p>
        </w:tc>
        <w:tc>
          <w:tcPr>
            <w:tcW w:w="6525" w:type="dxa"/>
            <w:tcBorders>
              <w:top w:val="single" w:color="auto" w:sz="4" w:space="0"/>
              <w:bottom w:val="single" w:color="auto" w:sz="4" w:space="0"/>
            </w:tcBorders>
            <w:noWrap w:val="0"/>
            <w:vAlign w:val="top"/>
          </w:tcPr>
          <w:p w14:paraId="0F40566F">
            <w:pPr>
              <w:pStyle w:val="25"/>
              <w:spacing w:line="460" w:lineRule="exact"/>
              <w:ind w:firstLine="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综合评分法中的价格分统一采用低价优先法计算，即满足招标要求且投标价格最低的投标报价为评标基准价，其价格分为满分。其他投标人的价格分统一按照下列公式计算：投标报价得分=(评标基准价／投标报价)×价格权值×100</w:t>
            </w:r>
          </w:p>
        </w:tc>
      </w:tr>
      <w:tr w14:paraId="2F1F0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9711" w:type="dxa"/>
            <w:gridSpan w:val="4"/>
            <w:tcBorders>
              <w:top w:val="single" w:color="auto" w:sz="4" w:space="0"/>
              <w:bottom w:val="single" w:color="auto" w:sz="4" w:space="0"/>
            </w:tcBorders>
            <w:noWrap w:val="0"/>
            <w:vAlign w:val="center"/>
          </w:tcPr>
          <w:p w14:paraId="400B3F9E">
            <w:pPr>
              <w:pStyle w:val="25"/>
              <w:spacing w:line="460" w:lineRule="exact"/>
              <w:ind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技术部分70分</w:t>
            </w:r>
          </w:p>
        </w:tc>
      </w:tr>
      <w:tr w14:paraId="7E9FC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7" w:hRule="atLeast"/>
        </w:trPr>
        <w:tc>
          <w:tcPr>
            <w:tcW w:w="746" w:type="dxa"/>
            <w:tcBorders>
              <w:top w:val="single" w:color="auto" w:sz="4" w:space="0"/>
            </w:tcBorders>
            <w:noWrap w:val="0"/>
            <w:vAlign w:val="center"/>
          </w:tcPr>
          <w:p w14:paraId="5BF75278">
            <w:pPr>
              <w:pStyle w:val="25"/>
              <w:spacing w:line="46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365" w:type="dxa"/>
            <w:tcBorders>
              <w:top w:val="single" w:color="auto" w:sz="4" w:space="0"/>
            </w:tcBorders>
            <w:noWrap w:val="0"/>
            <w:vAlign w:val="center"/>
          </w:tcPr>
          <w:p w14:paraId="3465A41C">
            <w:pPr>
              <w:spacing w:line="460" w:lineRule="exact"/>
              <w:ind w:firstLine="28"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rPr>
              <w:t>投标货物的性能及技术指标</w:t>
            </w:r>
          </w:p>
        </w:tc>
        <w:tc>
          <w:tcPr>
            <w:tcW w:w="1075" w:type="dxa"/>
            <w:tcBorders>
              <w:top w:val="single" w:color="auto" w:sz="4" w:space="0"/>
            </w:tcBorders>
            <w:noWrap w:val="0"/>
            <w:vAlign w:val="center"/>
          </w:tcPr>
          <w:p w14:paraId="6495EFFC">
            <w:pPr>
              <w:pStyle w:val="24"/>
              <w:widowControl/>
              <w:spacing w:line="440" w:lineRule="exact"/>
              <w:ind w:firstLine="0" w:firstLineChars="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0-10分</w:t>
            </w:r>
          </w:p>
        </w:tc>
        <w:tc>
          <w:tcPr>
            <w:tcW w:w="6525" w:type="dxa"/>
            <w:tcBorders>
              <w:top w:val="single" w:color="auto" w:sz="4" w:space="0"/>
              <w:bottom w:val="single" w:color="auto" w:sz="4" w:space="0"/>
            </w:tcBorders>
            <w:noWrap w:val="0"/>
            <w:vAlign w:val="center"/>
          </w:tcPr>
          <w:p w14:paraId="2A4816F1">
            <w:pPr>
              <w:pStyle w:val="25"/>
              <w:spacing w:line="460" w:lineRule="exact"/>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根据投标人提供的物品质量、技术指标要求进行评定，所投产品全部响应指标得10分；不符合采购需求中要求的不得分。</w:t>
            </w:r>
          </w:p>
        </w:tc>
      </w:tr>
      <w:tr w14:paraId="0F7CC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81" w:hRule="atLeast"/>
        </w:trPr>
        <w:tc>
          <w:tcPr>
            <w:tcW w:w="746" w:type="dxa"/>
            <w:vMerge w:val="restart"/>
            <w:tcBorders>
              <w:top w:val="single" w:color="auto" w:sz="4" w:space="0"/>
            </w:tcBorders>
            <w:noWrap w:val="0"/>
            <w:vAlign w:val="center"/>
          </w:tcPr>
          <w:p w14:paraId="4F8B2A75">
            <w:pPr>
              <w:pStyle w:val="25"/>
              <w:spacing w:line="46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365" w:type="dxa"/>
            <w:vMerge w:val="restart"/>
            <w:tcBorders>
              <w:top w:val="single" w:color="auto" w:sz="4" w:space="0"/>
            </w:tcBorders>
            <w:noWrap w:val="0"/>
            <w:vAlign w:val="center"/>
          </w:tcPr>
          <w:p w14:paraId="74271078">
            <w:pPr>
              <w:spacing w:line="460" w:lineRule="exact"/>
              <w:ind w:firstLine="28"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0"/>
                <w:sz w:val="24"/>
                <w:szCs w:val="24"/>
              </w:rPr>
              <w:t>运输</w:t>
            </w:r>
            <w:r>
              <w:rPr>
                <w:rFonts w:hint="eastAsia" w:ascii="宋体" w:hAnsi="宋体" w:eastAsia="宋体" w:cs="宋体"/>
                <w:b w:val="0"/>
                <w:bCs w:val="0"/>
                <w:color w:val="auto"/>
                <w:kern w:val="0"/>
                <w:sz w:val="24"/>
                <w:szCs w:val="24"/>
                <w:lang w:val="en-US" w:eastAsia="zh-CN"/>
              </w:rPr>
              <w:t>能力</w:t>
            </w:r>
          </w:p>
        </w:tc>
        <w:tc>
          <w:tcPr>
            <w:tcW w:w="1075" w:type="dxa"/>
            <w:tcBorders>
              <w:top w:val="single" w:color="auto" w:sz="4" w:space="0"/>
            </w:tcBorders>
            <w:noWrap w:val="0"/>
            <w:vAlign w:val="center"/>
          </w:tcPr>
          <w:p w14:paraId="13CD1F49">
            <w:pPr>
              <w:pStyle w:val="24"/>
              <w:widowControl/>
              <w:spacing w:line="440" w:lineRule="exact"/>
              <w:ind w:firstLine="0" w:firstLineChars="0"/>
              <w:jc w:val="cente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0-12分</w:t>
            </w:r>
          </w:p>
        </w:tc>
        <w:tc>
          <w:tcPr>
            <w:tcW w:w="6525" w:type="dxa"/>
            <w:tcBorders>
              <w:top w:val="single" w:color="auto" w:sz="4" w:space="0"/>
              <w:bottom w:val="single" w:color="auto" w:sz="4" w:space="0"/>
            </w:tcBorders>
            <w:noWrap w:val="0"/>
            <w:vAlign w:val="center"/>
          </w:tcPr>
          <w:p w14:paraId="5CB5BDE8">
            <w:pPr>
              <w:pStyle w:val="25"/>
              <w:numPr>
                <w:ilvl w:val="0"/>
                <w:numId w:val="0"/>
              </w:numPr>
              <w:spacing w:line="460" w:lineRule="exact"/>
              <w:ind w:firstLine="0" w:firstLineChars="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投标人</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提供8</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辆整备质量≥1</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吨的运输车得</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分。</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每多提供1</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辆</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加0.5分，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最高得</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（投标人自有车辆：提供行驶证与车辆照片，行驶证中所有人与投标人名称一致；租赁车辆：提供租赁合同，行驶证及车辆照片。</w:t>
            </w:r>
          </w:p>
        </w:tc>
      </w:tr>
      <w:tr w14:paraId="6AAFC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746" w:type="dxa"/>
            <w:vMerge w:val="continue"/>
            <w:noWrap w:val="0"/>
            <w:vAlign w:val="center"/>
          </w:tcPr>
          <w:p w14:paraId="072EACD0">
            <w:pPr>
              <w:pStyle w:val="25"/>
              <w:spacing w:line="460" w:lineRule="exact"/>
              <w:ind w:firstLine="0" w:firstLineChars="0"/>
              <w:jc w:val="center"/>
              <w:rPr>
                <w:rFonts w:hint="eastAsia" w:ascii="宋体" w:hAnsi="宋体" w:eastAsia="宋体" w:cs="宋体"/>
                <w:color w:val="auto"/>
                <w:sz w:val="24"/>
                <w:szCs w:val="24"/>
                <w:highlight w:val="none"/>
                <w:lang w:val="en-US" w:eastAsia="zh-CN"/>
              </w:rPr>
            </w:pPr>
          </w:p>
        </w:tc>
        <w:tc>
          <w:tcPr>
            <w:tcW w:w="1365" w:type="dxa"/>
            <w:vMerge w:val="continue"/>
            <w:noWrap w:val="0"/>
            <w:vAlign w:val="center"/>
          </w:tcPr>
          <w:p w14:paraId="026F766F">
            <w:pPr>
              <w:spacing w:line="460" w:lineRule="exact"/>
              <w:ind w:firstLine="28" w:firstLineChars="0"/>
              <w:jc w:val="center"/>
              <w:rPr>
                <w:rFonts w:hint="eastAsia" w:ascii="宋体" w:hAnsi="宋体" w:eastAsia="宋体" w:cs="宋体"/>
                <w:b w:val="0"/>
                <w:bCs w:val="0"/>
                <w:color w:val="auto"/>
                <w:kern w:val="0"/>
                <w:sz w:val="24"/>
                <w:szCs w:val="24"/>
              </w:rPr>
            </w:pPr>
          </w:p>
        </w:tc>
        <w:tc>
          <w:tcPr>
            <w:tcW w:w="1075" w:type="dxa"/>
            <w:tcBorders>
              <w:top w:val="single" w:color="auto" w:sz="4" w:space="0"/>
            </w:tcBorders>
            <w:noWrap w:val="0"/>
            <w:vAlign w:val="center"/>
          </w:tcPr>
          <w:p w14:paraId="467E62BF">
            <w:pPr>
              <w:pStyle w:val="24"/>
              <w:widowControl/>
              <w:spacing w:line="440" w:lineRule="exact"/>
              <w:ind w:firstLine="0" w:firstLineChars="0"/>
              <w:jc w:val="center"/>
              <w:rPr>
                <w:rFonts w:hint="eastAsia" w:ascii="宋体" w:hAnsi="宋体" w:eastAsia="宋体" w:cs="宋体"/>
                <w:b w:val="0"/>
                <w:color w:val="auto"/>
                <w:sz w:val="24"/>
                <w:szCs w:val="24"/>
                <w:lang w:val="en-US" w:eastAsia="zh-CN"/>
              </w:rPr>
            </w:pPr>
            <w:r>
              <w:rPr>
                <w:rFonts w:hint="eastAsia" w:ascii="宋体" w:hAnsi="宋体" w:eastAsia="宋体" w:cs="宋体"/>
                <w:b w:val="0"/>
                <w:bCs w:val="0"/>
                <w:color w:val="auto"/>
                <w:kern w:val="0"/>
                <w:sz w:val="24"/>
                <w:szCs w:val="24"/>
                <w:lang w:val="en-US" w:eastAsia="zh-CN"/>
              </w:rPr>
              <w:t>0-10分</w:t>
            </w:r>
          </w:p>
        </w:tc>
        <w:tc>
          <w:tcPr>
            <w:tcW w:w="6525" w:type="dxa"/>
            <w:tcBorders>
              <w:top w:val="single" w:color="auto" w:sz="4" w:space="0"/>
              <w:bottom w:val="single" w:color="auto" w:sz="4" w:space="0"/>
            </w:tcBorders>
            <w:noWrap w:val="0"/>
            <w:vAlign w:val="center"/>
          </w:tcPr>
          <w:p w14:paraId="44E80922">
            <w:pPr>
              <w:pStyle w:val="25"/>
              <w:numPr>
                <w:ilvl w:val="0"/>
                <w:numId w:val="0"/>
              </w:numPr>
              <w:spacing w:line="460" w:lineRule="exact"/>
              <w:ind w:firstLine="0" w:firstLineChars="0"/>
              <w:jc w:val="both"/>
              <w:rPr>
                <w:rFonts w:hint="default" w:ascii="宋体" w:hAnsi="宋体" w:eastAsia="宋体" w:cs="宋体"/>
                <w:color w:val="auto"/>
                <w:kern w:val="2"/>
                <w:sz w:val="24"/>
                <w:szCs w:val="24"/>
                <w:lang w:val="en-US" w:eastAsia="zh-CN" w:bidi="ar-SA"/>
              </w:rPr>
            </w:pPr>
            <w:r>
              <w:rPr>
                <w:rFonts w:hint="eastAsia" w:ascii="宋体" w:hAnsi="宋体" w:eastAsia="宋体" w:cs="宋体"/>
                <w:b w:val="0"/>
                <w:bCs w:val="0"/>
                <w:color w:val="auto"/>
                <w:kern w:val="0"/>
                <w:sz w:val="24"/>
                <w:szCs w:val="24"/>
                <w:lang w:val="en-US" w:eastAsia="zh-CN"/>
              </w:rPr>
              <w:t>运输方案符合项目需求</w:t>
            </w:r>
            <w:r>
              <w:rPr>
                <w:rFonts w:hint="eastAsia" w:ascii="宋体" w:hAnsi="宋体" w:cs="宋体"/>
                <w:b w:val="0"/>
                <w:bCs w:val="0"/>
                <w:color w:val="auto"/>
                <w:kern w:val="0"/>
                <w:sz w:val="24"/>
                <w:szCs w:val="24"/>
                <w:lang w:val="en-US" w:eastAsia="zh-CN"/>
              </w:rPr>
              <w:t>，有详细完善的运输计划，满分</w:t>
            </w: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w:t>
            </w:r>
          </w:p>
        </w:tc>
      </w:tr>
      <w:tr w14:paraId="28B19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48" w:hRule="atLeast"/>
        </w:trPr>
        <w:tc>
          <w:tcPr>
            <w:tcW w:w="746" w:type="dxa"/>
            <w:tcBorders>
              <w:top w:val="single" w:color="auto" w:sz="4" w:space="0"/>
            </w:tcBorders>
            <w:noWrap w:val="0"/>
            <w:vAlign w:val="center"/>
          </w:tcPr>
          <w:p w14:paraId="1FAFE62A">
            <w:pPr>
              <w:pStyle w:val="25"/>
              <w:spacing w:line="46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365" w:type="dxa"/>
            <w:tcBorders>
              <w:top w:val="single" w:color="auto" w:sz="4" w:space="0"/>
            </w:tcBorders>
            <w:noWrap w:val="0"/>
            <w:vAlign w:val="center"/>
          </w:tcPr>
          <w:p w14:paraId="3D230D13">
            <w:pPr>
              <w:spacing w:line="460" w:lineRule="exact"/>
              <w:ind w:firstLine="28"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拟投入劳动力</w:t>
            </w:r>
          </w:p>
        </w:tc>
        <w:tc>
          <w:tcPr>
            <w:tcW w:w="1075" w:type="dxa"/>
            <w:tcBorders>
              <w:top w:val="single" w:color="auto" w:sz="4" w:space="0"/>
            </w:tcBorders>
            <w:noWrap w:val="0"/>
            <w:vAlign w:val="center"/>
          </w:tcPr>
          <w:p w14:paraId="643C339A">
            <w:pPr>
              <w:pStyle w:val="24"/>
              <w:widowControl/>
              <w:spacing w:line="440" w:lineRule="exact"/>
              <w:ind w:firstLine="0" w:firstLineChars="0"/>
              <w:jc w:val="cente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0-17分</w:t>
            </w:r>
          </w:p>
        </w:tc>
        <w:tc>
          <w:tcPr>
            <w:tcW w:w="6525" w:type="dxa"/>
            <w:tcBorders>
              <w:top w:val="single" w:color="auto" w:sz="4" w:space="0"/>
              <w:bottom w:val="single" w:color="auto" w:sz="4" w:space="0"/>
            </w:tcBorders>
            <w:noWrap w:val="0"/>
            <w:vAlign w:val="center"/>
          </w:tcPr>
          <w:p w14:paraId="1DB7C1CC">
            <w:pPr>
              <w:pStyle w:val="25"/>
              <w:spacing w:line="460" w:lineRule="exact"/>
              <w:ind w:firstLine="0" w:firstLineChars="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有为本项目专门配备人员，应包含管理人员、驾驶人员（根据运输车辆配备，每辆车配备驾驶员1人、随车安全人员1人）、装卸人员、供货保障服务人员。拟投入劳动力≥50人得满分</w:t>
            </w:r>
            <w:r>
              <w:rPr>
                <w:rFonts w:hint="eastAsia" w:ascii="宋体" w:hAnsi="宋体" w:cs="宋体"/>
                <w:b w:val="0"/>
                <w:bCs w:val="0"/>
                <w:color w:val="000000" w:themeColor="text1"/>
                <w:kern w:val="0"/>
                <w:sz w:val="24"/>
                <w:szCs w:val="24"/>
                <w:lang w:val="en-US" w:eastAsia="zh-CN"/>
                <w14:textFill>
                  <w14:solidFill>
                    <w14:schemeClr w14:val="tx1"/>
                  </w14:solidFill>
                </w14:textFill>
              </w:rPr>
              <w:t>17</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分，每减少1人扣0.</w:t>
            </w:r>
            <w:r>
              <w:rPr>
                <w:rFonts w:hint="eastAsia" w:ascii="宋体" w:hAnsi="宋体" w:cs="宋体"/>
                <w:b w:val="0"/>
                <w:bCs w:val="0"/>
                <w:color w:val="000000" w:themeColor="text1"/>
                <w:kern w:val="0"/>
                <w:sz w:val="24"/>
                <w:szCs w:val="24"/>
                <w:lang w:val="en-US" w:eastAsia="zh-CN"/>
                <w14:textFill>
                  <w14:solidFill>
                    <w14:schemeClr w14:val="tx1"/>
                  </w14:solidFill>
                </w14:textFill>
              </w:rPr>
              <w:t>5</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分，扣完为止。</w:t>
            </w:r>
          </w:p>
        </w:tc>
      </w:tr>
      <w:tr w14:paraId="74C92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46" w:type="dxa"/>
            <w:tcBorders>
              <w:top w:val="single" w:color="auto" w:sz="4" w:space="0"/>
            </w:tcBorders>
            <w:noWrap w:val="0"/>
            <w:vAlign w:val="center"/>
          </w:tcPr>
          <w:p w14:paraId="5E89DE61">
            <w:pPr>
              <w:pStyle w:val="25"/>
              <w:spacing w:line="46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365" w:type="dxa"/>
            <w:tcBorders>
              <w:top w:val="single" w:color="auto" w:sz="4" w:space="0"/>
            </w:tcBorders>
            <w:noWrap w:val="0"/>
            <w:vAlign w:val="center"/>
          </w:tcPr>
          <w:p w14:paraId="4D4F55B7">
            <w:pPr>
              <w:tabs>
                <w:tab w:val="left" w:pos="489"/>
              </w:tabs>
              <w:spacing w:line="460" w:lineRule="exact"/>
              <w:ind w:firstLine="28" w:firstLineChars="0"/>
              <w:jc w:val="center"/>
              <w:rPr>
                <w:rFonts w:hint="eastAsia" w:ascii="宋体" w:hAnsi="宋体" w:eastAsia="宋体" w:cs="宋体"/>
                <w:color w:val="0000FF"/>
                <w:sz w:val="24"/>
                <w:szCs w:val="24"/>
                <w:lang w:eastAsia="zh-CN"/>
              </w:rPr>
            </w:pPr>
            <w:r>
              <w:rPr>
                <w:rFonts w:hint="eastAsia" w:ascii="宋体" w:hAnsi="宋体" w:eastAsia="宋体" w:cs="宋体"/>
                <w:b w:val="0"/>
                <w:bCs w:val="0"/>
                <w:color w:val="auto"/>
                <w:kern w:val="0"/>
                <w:sz w:val="24"/>
                <w:szCs w:val="24"/>
              </w:rPr>
              <w:t>防洪物资应急方案</w:t>
            </w:r>
          </w:p>
        </w:tc>
        <w:tc>
          <w:tcPr>
            <w:tcW w:w="1075" w:type="dxa"/>
            <w:tcBorders>
              <w:top w:val="single" w:color="auto" w:sz="4" w:space="0"/>
              <w:bottom w:val="single" w:color="auto" w:sz="4" w:space="0"/>
            </w:tcBorders>
            <w:noWrap w:val="0"/>
            <w:vAlign w:val="center"/>
          </w:tcPr>
          <w:p w14:paraId="11BF052F">
            <w:pPr>
              <w:pStyle w:val="24"/>
              <w:widowControl/>
              <w:spacing w:line="440" w:lineRule="exact"/>
              <w:ind w:firstLine="0" w:firstLineChars="0"/>
              <w:jc w:val="center"/>
              <w:rPr>
                <w:rFonts w:hint="eastAsia" w:ascii="宋体" w:hAnsi="宋体" w:eastAsia="宋体" w:cs="宋体"/>
                <w:b w:val="0"/>
                <w:color w:val="0000FF"/>
                <w:sz w:val="24"/>
                <w:szCs w:val="24"/>
                <w:lang w:val="en-US" w:eastAsia="zh-CN"/>
              </w:rPr>
            </w:pPr>
            <w:r>
              <w:rPr>
                <w:rFonts w:hint="eastAsia" w:ascii="宋体" w:hAnsi="宋体" w:eastAsia="宋体" w:cs="宋体"/>
                <w:b w:val="0"/>
                <w:bCs w:val="0"/>
                <w:color w:val="auto"/>
                <w:kern w:val="0"/>
                <w:sz w:val="24"/>
                <w:szCs w:val="24"/>
              </w:rPr>
              <w:t>0-</w:t>
            </w:r>
            <w:r>
              <w:rPr>
                <w:rFonts w:hint="eastAsia" w:ascii="宋体" w:hAnsi="宋体" w:eastAsia="宋体" w:cs="宋体"/>
                <w:b w:val="0"/>
                <w:bCs w:val="0"/>
                <w:color w:val="auto"/>
                <w:kern w:val="0"/>
                <w:sz w:val="24"/>
                <w:szCs w:val="24"/>
                <w:lang w:val="en-US" w:eastAsia="zh-CN"/>
              </w:rPr>
              <w:t>12</w:t>
            </w:r>
            <w:r>
              <w:rPr>
                <w:rFonts w:hint="eastAsia" w:ascii="宋体" w:hAnsi="宋体" w:eastAsia="宋体" w:cs="宋体"/>
                <w:b w:val="0"/>
                <w:bCs w:val="0"/>
                <w:color w:val="auto"/>
                <w:kern w:val="0"/>
                <w:sz w:val="24"/>
                <w:szCs w:val="24"/>
              </w:rPr>
              <w:t>分</w:t>
            </w:r>
          </w:p>
        </w:tc>
        <w:tc>
          <w:tcPr>
            <w:tcW w:w="6525" w:type="dxa"/>
            <w:tcBorders>
              <w:top w:val="single" w:color="auto" w:sz="4" w:space="0"/>
              <w:bottom w:val="single" w:color="auto" w:sz="4" w:space="0"/>
            </w:tcBorders>
            <w:noWrap w:val="0"/>
            <w:vAlign w:val="center"/>
          </w:tcPr>
          <w:p w14:paraId="332526FF">
            <w:pPr>
              <w:keepNext w:val="0"/>
              <w:keepLines w:val="0"/>
              <w:widowControl/>
              <w:suppressLineNumbers w:val="0"/>
              <w:jc w:val="left"/>
              <w:rPr>
                <w:rFonts w:hint="default" w:ascii="宋体" w:hAnsi="宋体" w:eastAsia="宋体" w:cs="宋体"/>
                <w:color w:val="0000FF"/>
                <w:kern w:val="2"/>
                <w:sz w:val="24"/>
                <w:szCs w:val="24"/>
                <w:lang w:val="en-US" w:eastAsia="zh-CN" w:bidi="ar-SA"/>
              </w:rPr>
            </w:pPr>
            <w:r>
              <w:rPr>
                <w:rFonts w:hint="eastAsia" w:ascii="宋体" w:hAnsi="宋体" w:eastAsia="宋体" w:cs="宋体"/>
                <w:b w:val="0"/>
                <w:bCs w:val="0"/>
                <w:color w:val="auto"/>
                <w:kern w:val="0"/>
                <w:sz w:val="24"/>
                <w:szCs w:val="24"/>
                <w:lang w:eastAsia="zh-CN"/>
              </w:rPr>
              <w:t>应急实施方案</w:t>
            </w:r>
            <w:r>
              <w:rPr>
                <w:rFonts w:hint="eastAsia" w:ascii="宋体" w:hAnsi="宋体" w:cs="宋体"/>
                <w:b w:val="0"/>
                <w:bCs w:val="0"/>
                <w:color w:val="auto"/>
                <w:kern w:val="0"/>
                <w:sz w:val="24"/>
                <w:szCs w:val="24"/>
                <w:lang w:eastAsia="zh-CN"/>
              </w:rPr>
              <w:t>中包含应急服务标准、应急服务原则、应急工作制度、紧急供货应急方案</w:t>
            </w:r>
            <w:r>
              <w:rPr>
                <w:rFonts w:hint="eastAsia" w:ascii="宋体" w:hAnsi="宋体" w:cs="宋体"/>
                <w:b w:val="0"/>
                <w:bCs w:val="0"/>
                <w:color w:val="auto"/>
                <w:kern w:val="0"/>
                <w:sz w:val="24"/>
                <w:szCs w:val="24"/>
                <w:lang w:val="en-US" w:eastAsia="zh-CN"/>
              </w:rPr>
              <w:t>且</w:t>
            </w:r>
            <w:r>
              <w:rPr>
                <w:rFonts w:hint="eastAsia" w:ascii="宋体" w:hAnsi="宋体" w:eastAsia="宋体" w:cs="宋体"/>
                <w:b w:val="0"/>
                <w:bCs w:val="0"/>
                <w:color w:val="auto"/>
                <w:kern w:val="0"/>
                <w:sz w:val="24"/>
                <w:szCs w:val="24"/>
                <w:lang w:val="en-US" w:eastAsia="zh-CN"/>
              </w:rPr>
              <w:t>符合项目需求</w:t>
            </w:r>
            <w:r>
              <w:rPr>
                <w:rFonts w:hint="eastAsia" w:ascii="宋体" w:hAnsi="宋体" w:cs="宋体"/>
                <w:b w:val="0"/>
                <w:bCs w:val="0"/>
                <w:color w:val="auto"/>
                <w:kern w:val="0"/>
                <w:sz w:val="24"/>
                <w:szCs w:val="24"/>
                <w:lang w:val="en-US" w:eastAsia="zh-CN"/>
              </w:rPr>
              <w:t>，每项满分3分，最高得12分。</w:t>
            </w:r>
          </w:p>
        </w:tc>
      </w:tr>
      <w:tr w14:paraId="77A37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746" w:type="dxa"/>
            <w:tcBorders>
              <w:top w:val="single" w:color="auto" w:sz="4" w:space="0"/>
            </w:tcBorders>
            <w:noWrap w:val="0"/>
            <w:vAlign w:val="center"/>
          </w:tcPr>
          <w:p w14:paraId="1C9BBFF4">
            <w:pPr>
              <w:pStyle w:val="25"/>
              <w:spacing w:line="460" w:lineRule="exact"/>
              <w:ind w:firstLine="0" w:firstLineChars="0"/>
              <w:jc w:val="center"/>
              <w:rPr>
                <w:rFonts w:hint="eastAsia" w:ascii="宋体" w:hAnsi="宋体" w:eastAsia="宋体" w:cs="宋体"/>
                <w:color w:val="FF0000"/>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365" w:type="dxa"/>
            <w:tcBorders>
              <w:top w:val="single" w:color="auto" w:sz="4" w:space="0"/>
            </w:tcBorders>
            <w:noWrap w:val="0"/>
            <w:vAlign w:val="center"/>
          </w:tcPr>
          <w:p w14:paraId="6B3F756D">
            <w:pPr>
              <w:tabs>
                <w:tab w:val="left" w:pos="489"/>
              </w:tabs>
              <w:spacing w:line="460" w:lineRule="exact"/>
              <w:ind w:firstLine="28"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val="0"/>
                <w:bCs w:val="0"/>
                <w:color w:val="auto"/>
                <w:kern w:val="0"/>
                <w:sz w:val="24"/>
                <w:szCs w:val="24"/>
                <w:lang w:val="en-US" w:eastAsia="zh-CN"/>
              </w:rPr>
              <w:t>供货保障方案</w:t>
            </w:r>
          </w:p>
        </w:tc>
        <w:tc>
          <w:tcPr>
            <w:tcW w:w="1075" w:type="dxa"/>
            <w:tcBorders>
              <w:top w:val="single" w:color="auto" w:sz="4" w:space="0"/>
              <w:bottom w:val="single" w:color="auto" w:sz="4" w:space="0"/>
            </w:tcBorders>
            <w:noWrap w:val="0"/>
            <w:vAlign w:val="center"/>
          </w:tcPr>
          <w:p w14:paraId="52A35F61">
            <w:pPr>
              <w:pStyle w:val="24"/>
              <w:widowControl/>
              <w:spacing w:line="440" w:lineRule="exact"/>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0-9分</w:t>
            </w:r>
          </w:p>
        </w:tc>
        <w:tc>
          <w:tcPr>
            <w:tcW w:w="6525" w:type="dxa"/>
            <w:tcBorders>
              <w:top w:val="single" w:color="auto" w:sz="4" w:space="0"/>
              <w:bottom w:val="single" w:color="auto" w:sz="4" w:space="0"/>
            </w:tcBorders>
            <w:noWrap w:val="0"/>
            <w:vAlign w:val="center"/>
          </w:tcPr>
          <w:p w14:paraId="7056119B">
            <w:pPr>
              <w:pStyle w:val="25"/>
              <w:spacing w:line="460" w:lineRule="exact"/>
              <w:ind w:firstLine="0" w:firstLineChars="0"/>
              <w:jc w:val="both"/>
              <w:rPr>
                <w:rFonts w:hint="default" w:ascii="宋体" w:hAnsi="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供货保障方案</w:t>
            </w:r>
            <w:r>
              <w:rPr>
                <w:rFonts w:hint="eastAsia" w:ascii="宋体" w:hAnsi="宋体" w:cs="宋体"/>
                <w:b w:val="0"/>
                <w:bCs w:val="0"/>
                <w:color w:val="auto"/>
                <w:kern w:val="0"/>
                <w:sz w:val="24"/>
                <w:szCs w:val="24"/>
                <w:lang w:val="en-US" w:eastAsia="zh-CN"/>
              </w:rPr>
              <w:t>应包含项目供货具体供货保障方案、交付标准、项目实施时间计划表且</w:t>
            </w:r>
            <w:r>
              <w:rPr>
                <w:rFonts w:hint="eastAsia" w:ascii="宋体" w:hAnsi="宋体" w:eastAsia="宋体" w:cs="宋体"/>
                <w:b w:val="0"/>
                <w:bCs w:val="0"/>
                <w:color w:val="auto"/>
                <w:kern w:val="0"/>
                <w:sz w:val="24"/>
                <w:szCs w:val="24"/>
                <w:lang w:val="en-US" w:eastAsia="zh-CN"/>
              </w:rPr>
              <w:t>符合项目需求</w:t>
            </w:r>
            <w:r>
              <w:rPr>
                <w:rFonts w:hint="eastAsia" w:ascii="宋体" w:hAnsi="宋体" w:cs="宋体"/>
                <w:b w:val="0"/>
                <w:bCs w:val="0"/>
                <w:color w:val="auto"/>
                <w:kern w:val="0"/>
                <w:sz w:val="24"/>
                <w:szCs w:val="24"/>
                <w:lang w:val="en-US" w:eastAsia="zh-CN"/>
              </w:rPr>
              <w:t>，每项满分3分，最高得9分。</w:t>
            </w:r>
          </w:p>
        </w:tc>
      </w:tr>
      <w:tr w14:paraId="1FB9E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2111" w:type="dxa"/>
            <w:gridSpan w:val="2"/>
            <w:tcBorders>
              <w:top w:val="single" w:color="auto" w:sz="4" w:space="0"/>
              <w:bottom w:val="single" w:color="auto" w:sz="4" w:space="0"/>
            </w:tcBorders>
            <w:noWrap w:val="0"/>
            <w:vAlign w:val="center"/>
          </w:tcPr>
          <w:p w14:paraId="690B4EBD">
            <w:pPr>
              <w:pStyle w:val="25"/>
              <w:spacing w:line="46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合计</w:t>
            </w:r>
          </w:p>
        </w:tc>
        <w:tc>
          <w:tcPr>
            <w:tcW w:w="1075" w:type="dxa"/>
            <w:tcBorders>
              <w:top w:val="single" w:color="auto" w:sz="4" w:space="0"/>
              <w:bottom w:val="single" w:color="auto" w:sz="4" w:space="0"/>
            </w:tcBorders>
            <w:noWrap w:val="0"/>
            <w:vAlign w:val="center"/>
          </w:tcPr>
          <w:p w14:paraId="20D4A0AC">
            <w:pPr>
              <w:pStyle w:val="25"/>
              <w:tabs>
                <w:tab w:val="center" w:pos="415"/>
              </w:tabs>
              <w:spacing w:line="46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70分</w:t>
            </w:r>
          </w:p>
        </w:tc>
        <w:tc>
          <w:tcPr>
            <w:tcW w:w="6525" w:type="dxa"/>
            <w:tcBorders>
              <w:top w:val="single" w:color="auto" w:sz="4" w:space="0"/>
              <w:bottom w:val="single" w:color="auto" w:sz="4" w:space="0"/>
            </w:tcBorders>
            <w:noWrap w:val="0"/>
            <w:vAlign w:val="center"/>
          </w:tcPr>
          <w:p w14:paraId="0327E6E3">
            <w:pPr>
              <w:pStyle w:val="25"/>
              <w:spacing w:line="460" w:lineRule="exact"/>
              <w:ind w:firstLine="0" w:firstLineChars="0"/>
              <w:jc w:val="left"/>
              <w:rPr>
                <w:rFonts w:hint="eastAsia" w:ascii="宋体" w:hAnsi="宋体" w:eastAsia="宋体" w:cs="宋体"/>
                <w:color w:val="FF0000"/>
                <w:sz w:val="24"/>
                <w:szCs w:val="24"/>
                <w:highlight w:val="none"/>
              </w:rPr>
            </w:pPr>
          </w:p>
        </w:tc>
      </w:tr>
    </w:tbl>
    <w:p w14:paraId="0BA8FDEC">
      <w:pPr>
        <w:pStyle w:val="24"/>
        <w:spacing w:line="360" w:lineRule="auto"/>
        <w:ind w:firstLine="483"/>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23.8.3  各评标委员会成员对每个投标人的经济报价和技术标的打分合计即为该投标人的评标总得分。</w:t>
      </w:r>
    </w:p>
    <w:p w14:paraId="09C11C0F">
      <w:pPr>
        <w:pStyle w:val="24"/>
        <w:spacing w:line="360" w:lineRule="auto"/>
        <w:ind w:firstLine="483"/>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计算公式为：总评标得分=F1+F2</w:t>
      </w:r>
    </w:p>
    <w:p w14:paraId="1DF01099">
      <w:pPr>
        <w:pStyle w:val="24"/>
        <w:spacing w:line="360" w:lineRule="auto"/>
        <w:ind w:firstLine="483"/>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其中：F1、F2分别为经济报价、技术标得分</w:t>
      </w:r>
    </w:p>
    <w:p w14:paraId="3C0558C2">
      <w:pPr>
        <w:pStyle w:val="24"/>
        <w:spacing w:line="360" w:lineRule="auto"/>
        <w:ind w:firstLine="483"/>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23.8.4 评标报告签署前，经复核发现存在以下情形之一的：分值汇总计算错误的；分项评分超出评分标准范围的；评标委员会成员对客观评审因素评分不一致的；经评标委员会认定评分畸高、畸低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0801748">
      <w:pPr>
        <w:pStyle w:val="24"/>
        <w:spacing w:line="360" w:lineRule="auto"/>
        <w:ind w:firstLine="483"/>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23.8.5 评标委员会将按投标人得分顺序由高到低依次排名，得分相同的，按投标报价由低到高顺序排列。得分及报价相同的，按技术指标优劣顺序排列。得分最高的前一名至前三名投标人将成为中标候选人。</w:t>
      </w:r>
    </w:p>
    <w:p w14:paraId="49C31E1D">
      <w:pPr>
        <w:pStyle w:val="24"/>
        <w:spacing w:line="360" w:lineRule="auto"/>
        <w:ind w:firstLine="483"/>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23.8.6 评标委员会成员对需要共同认定的事项存在争议的，应当按照少数服从多数的原则作出结论。持不同意见的评标委员会成员应当在评标报告上签署不同意见及理由，否则视为同意评标报告。</w:t>
      </w:r>
    </w:p>
    <w:p w14:paraId="77211EF9">
      <w:pPr>
        <w:pStyle w:val="20"/>
        <w:spacing w:line="360" w:lineRule="auto"/>
        <w:ind w:firstLine="482" w:firstLineChars="200"/>
        <w:jc w:val="both"/>
        <w:rPr>
          <w:rFonts w:hint="eastAsia" w:ascii="宋体" w:hAnsi="宋体" w:cs="宋体"/>
          <w:color w:val="auto"/>
          <w:kern w:val="2"/>
          <w:szCs w:val="24"/>
          <w:highlight w:val="none"/>
        </w:rPr>
      </w:pPr>
      <w:r>
        <w:rPr>
          <w:rFonts w:hint="eastAsia" w:ascii="宋体" w:hAnsi="宋体" w:cs="宋体"/>
          <w:color w:val="auto"/>
          <w:kern w:val="2"/>
          <w:szCs w:val="24"/>
          <w:highlight w:val="none"/>
        </w:rPr>
        <w:t>24. 投标文件的澄清</w:t>
      </w:r>
    </w:p>
    <w:p w14:paraId="66F9A14F">
      <w:pPr>
        <w:pStyle w:val="20"/>
        <w:spacing w:line="360" w:lineRule="auto"/>
        <w:ind w:firstLine="482" w:firstLineChars="200"/>
        <w:jc w:val="both"/>
        <w:rPr>
          <w:rFonts w:hint="eastAsia" w:ascii="宋体" w:hAnsi="宋体" w:cs="宋体"/>
          <w:color w:val="auto"/>
          <w:kern w:val="2"/>
          <w:szCs w:val="24"/>
          <w:highlight w:val="none"/>
        </w:rPr>
      </w:pPr>
      <w:r>
        <w:rPr>
          <w:rFonts w:hint="eastAsia" w:ascii="宋体" w:hAnsi="宋体" w:cs="宋体"/>
          <w:color w:val="auto"/>
          <w:kern w:val="2"/>
          <w:szCs w:val="24"/>
          <w:highlight w:val="none"/>
        </w:rPr>
        <w:t>24.1  评标委员会在评标过程中有权随时请投标人就投标文件中含混之处加以澄清或答疑。</w:t>
      </w:r>
    </w:p>
    <w:p w14:paraId="7CCEA560">
      <w:pPr>
        <w:pStyle w:val="20"/>
        <w:spacing w:line="360" w:lineRule="auto"/>
        <w:ind w:firstLine="482" w:firstLineChars="200"/>
        <w:jc w:val="both"/>
        <w:rPr>
          <w:rFonts w:hint="eastAsia" w:ascii="宋体" w:hAnsi="宋体" w:cs="宋体"/>
          <w:color w:val="auto"/>
          <w:kern w:val="2"/>
          <w:szCs w:val="24"/>
          <w:highlight w:val="none"/>
        </w:rPr>
      </w:pPr>
      <w:r>
        <w:rPr>
          <w:rFonts w:hint="eastAsia" w:ascii="宋体" w:hAnsi="宋体" w:cs="宋体"/>
          <w:color w:val="auto"/>
          <w:kern w:val="2"/>
          <w:szCs w:val="24"/>
          <w:highlight w:val="none"/>
        </w:rPr>
        <w:t xml:space="preserve">24.2  </w:t>
      </w:r>
      <w:r>
        <w:rPr>
          <w:rFonts w:hint="eastAsia" w:ascii="宋体" w:hAnsi="宋体" w:cs="宋体"/>
          <w:color w:val="auto"/>
          <w:szCs w:val="24"/>
          <w:highlight w:val="none"/>
        </w:rPr>
        <w:t>投标人的澄清、说明或者补正应当采用书面形式，并加盖公章，或者由法定代表人或其授权的代表签字。</w:t>
      </w:r>
    </w:p>
    <w:p w14:paraId="75718589">
      <w:pPr>
        <w:pStyle w:val="20"/>
        <w:spacing w:line="360" w:lineRule="auto"/>
        <w:ind w:firstLine="482" w:firstLineChars="200"/>
        <w:jc w:val="both"/>
        <w:rPr>
          <w:rFonts w:hint="eastAsia" w:ascii="宋体" w:hAnsi="宋体" w:cs="宋体"/>
          <w:color w:val="auto"/>
          <w:kern w:val="2"/>
          <w:szCs w:val="24"/>
          <w:highlight w:val="none"/>
        </w:rPr>
      </w:pPr>
      <w:r>
        <w:rPr>
          <w:rFonts w:hint="eastAsia" w:ascii="宋体" w:hAnsi="宋体" w:cs="宋体"/>
          <w:color w:val="auto"/>
          <w:kern w:val="2"/>
          <w:szCs w:val="24"/>
          <w:highlight w:val="none"/>
        </w:rPr>
        <w:t xml:space="preserve">24.3  </w:t>
      </w:r>
      <w:r>
        <w:rPr>
          <w:rFonts w:hint="eastAsia" w:ascii="宋体" w:hAnsi="宋体" w:cs="宋体"/>
          <w:color w:val="auto"/>
          <w:szCs w:val="24"/>
          <w:highlight w:val="none"/>
        </w:rPr>
        <w:t>投标人的澄清、说明或者补正不得超出投标文件的范围或者改变投标文件的实质性内容。</w:t>
      </w:r>
    </w:p>
    <w:p w14:paraId="4EE638E3">
      <w:pPr>
        <w:pStyle w:val="20"/>
        <w:spacing w:line="360" w:lineRule="auto"/>
        <w:ind w:firstLine="482" w:firstLineChars="200"/>
        <w:jc w:val="both"/>
        <w:rPr>
          <w:rFonts w:hint="eastAsia" w:ascii="宋体" w:hAnsi="宋体" w:cs="宋体"/>
          <w:color w:val="auto"/>
          <w:kern w:val="2"/>
          <w:szCs w:val="24"/>
          <w:highlight w:val="none"/>
        </w:rPr>
      </w:pPr>
      <w:r>
        <w:rPr>
          <w:rFonts w:hint="eastAsia" w:ascii="宋体" w:hAnsi="宋体" w:cs="宋体"/>
          <w:color w:val="auto"/>
          <w:kern w:val="2"/>
          <w:szCs w:val="24"/>
          <w:highlight w:val="none"/>
        </w:rPr>
        <w:t>24.4  投标人的澄清文件是投标文件的组成部分，并取代投标文件中被澄清的部分。</w:t>
      </w:r>
    </w:p>
    <w:p w14:paraId="0560EC7B">
      <w:pPr>
        <w:pStyle w:val="20"/>
        <w:spacing w:line="360" w:lineRule="auto"/>
        <w:ind w:firstLine="482" w:firstLineChars="200"/>
        <w:jc w:val="both"/>
        <w:rPr>
          <w:rFonts w:hint="eastAsia" w:ascii="宋体" w:hAnsi="宋体" w:cs="宋体"/>
          <w:color w:val="auto"/>
          <w:kern w:val="2"/>
          <w:szCs w:val="24"/>
          <w:highlight w:val="none"/>
        </w:rPr>
      </w:pPr>
      <w:r>
        <w:rPr>
          <w:rFonts w:hint="eastAsia" w:ascii="宋体" w:hAnsi="宋体" w:cs="宋体"/>
          <w:color w:val="auto"/>
          <w:kern w:val="2"/>
          <w:szCs w:val="24"/>
          <w:highlight w:val="none"/>
        </w:rPr>
        <w:t>25. 中标人的确定</w:t>
      </w:r>
    </w:p>
    <w:p w14:paraId="61AB9BF4">
      <w:pPr>
        <w:pStyle w:val="20"/>
        <w:spacing w:line="360" w:lineRule="auto"/>
        <w:ind w:firstLine="482" w:firstLineChars="200"/>
        <w:jc w:val="both"/>
        <w:rPr>
          <w:rFonts w:hint="eastAsia" w:ascii="宋体" w:hAnsi="宋体" w:cs="宋体"/>
          <w:color w:val="auto"/>
          <w:kern w:val="2"/>
          <w:szCs w:val="24"/>
          <w:highlight w:val="none"/>
        </w:rPr>
      </w:pPr>
      <w:r>
        <w:rPr>
          <w:rFonts w:hint="eastAsia" w:ascii="宋体" w:hAnsi="宋体" w:cs="宋体"/>
          <w:color w:val="auto"/>
          <w:kern w:val="2"/>
          <w:szCs w:val="24"/>
          <w:highlight w:val="none"/>
        </w:rPr>
        <w:t>25.1  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5CF8A515">
      <w:pPr>
        <w:pStyle w:val="20"/>
        <w:spacing w:line="360" w:lineRule="auto"/>
        <w:ind w:firstLine="482" w:firstLineChars="200"/>
        <w:jc w:val="both"/>
        <w:rPr>
          <w:rFonts w:hint="eastAsia" w:ascii="宋体" w:hAnsi="宋体" w:cs="宋体"/>
          <w:color w:val="auto"/>
          <w:kern w:val="2"/>
          <w:szCs w:val="24"/>
          <w:highlight w:val="none"/>
        </w:rPr>
      </w:pPr>
      <w:r>
        <w:rPr>
          <w:rFonts w:hint="eastAsia" w:ascii="宋体" w:hAnsi="宋体" w:cs="宋体"/>
          <w:color w:val="auto"/>
          <w:kern w:val="2"/>
          <w:szCs w:val="24"/>
          <w:highlight w:val="none"/>
        </w:rPr>
        <w:t>25.2  采购人在收到评标报告5个工作日内未按评标报告推荐的中标候选人顺序确定中标人，又不能说明合法理由的，视同按评标报告推荐的顺序确定排名第一的中标候选人为中标人。</w:t>
      </w:r>
    </w:p>
    <w:p w14:paraId="187D8252">
      <w:pPr>
        <w:pStyle w:val="20"/>
        <w:spacing w:line="360" w:lineRule="auto"/>
        <w:ind w:firstLine="482" w:firstLineChars="200"/>
        <w:jc w:val="both"/>
        <w:rPr>
          <w:rFonts w:hint="eastAsia" w:ascii="宋体" w:hAnsi="宋体" w:cs="宋体"/>
          <w:color w:val="auto"/>
          <w:kern w:val="2"/>
          <w:szCs w:val="24"/>
          <w:highlight w:val="none"/>
        </w:rPr>
      </w:pPr>
      <w:r>
        <w:rPr>
          <w:rFonts w:hint="eastAsia" w:ascii="宋体" w:hAnsi="宋体" w:cs="宋体"/>
          <w:color w:val="auto"/>
          <w:kern w:val="2"/>
          <w:szCs w:val="24"/>
          <w:highlight w:val="none"/>
        </w:rPr>
        <w:t>25.3  评标委员会按照招标文件的评标办法负责向采购人推荐中标候选人。评标委员会有权推荐一家或一至三家投标人为中标候选人、或者拒绝所有的投标人的投标。评标委员会成员无义务向投标人做出有关对评标的任何解释工作。</w:t>
      </w:r>
    </w:p>
    <w:p w14:paraId="3575BA9A">
      <w:pPr>
        <w:pStyle w:val="20"/>
        <w:spacing w:line="360" w:lineRule="auto"/>
        <w:ind w:firstLine="482" w:firstLineChars="200"/>
        <w:jc w:val="both"/>
        <w:rPr>
          <w:rFonts w:hint="eastAsia" w:ascii="宋体" w:hAnsi="宋体" w:cs="宋体"/>
          <w:bCs/>
          <w:color w:val="auto"/>
          <w:szCs w:val="24"/>
          <w:highlight w:val="none"/>
        </w:rPr>
      </w:pPr>
      <w:r>
        <w:rPr>
          <w:rFonts w:hint="eastAsia" w:ascii="宋体" w:hAnsi="宋体" w:cs="宋体"/>
          <w:bCs/>
          <w:color w:val="auto"/>
          <w:szCs w:val="24"/>
          <w:highlight w:val="none"/>
        </w:rPr>
        <w:t>25.4  中标供应商拒绝与采购人签订合同的，采购人可以按照评审报告推荐的中标人名单排序，确定下一候选人为中标人，也可以重新开展政府采购活动。</w:t>
      </w:r>
    </w:p>
    <w:p w14:paraId="700BDA8C">
      <w:pPr>
        <w:pStyle w:val="20"/>
        <w:spacing w:line="360" w:lineRule="auto"/>
        <w:ind w:firstLine="482" w:firstLineChars="200"/>
        <w:jc w:val="both"/>
        <w:rPr>
          <w:rFonts w:hint="eastAsia" w:ascii="宋体" w:hAnsi="宋体" w:cs="宋体"/>
          <w:color w:val="auto"/>
          <w:kern w:val="2"/>
          <w:szCs w:val="24"/>
          <w:highlight w:val="none"/>
        </w:rPr>
      </w:pPr>
      <w:r>
        <w:rPr>
          <w:rFonts w:hint="eastAsia" w:ascii="宋体" w:hAnsi="宋体" w:cs="宋体"/>
          <w:color w:val="auto"/>
          <w:kern w:val="2"/>
          <w:szCs w:val="24"/>
          <w:highlight w:val="none"/>
        </w:rPr>
        <w:t>26.  中标通知</w:t>
      </w:r>
    </w:p>
    <w:p w14:paraId="6CB81B84">
      <w:pPr>
        <w:pStyle w:val="20"/>
        <w:spacing w:line="360" w:lineRule="auto"/>
        <w:ind w:firstLine="482" w:firstLineChars="200"/>
        <w:jc w:val="both"/>
        <w:rPr>
          <w:rFonts w:hint="eastAsia" w:ascii="宋体" w:hAnsi="宋体" w:cs="宋体"/>
          <w:color w:val="auto"/>
          <w:kern w:val="2"/>
          <w:szCs w:val="24"/>
          <w:highlight w:val="none"/>
        </w:rPr>
      </w:pPr>
      <w:r>
        <w:rPr>
          <w:rFonts w:hint="eastAsia" w:ascii="宋体" w:hAnsi="宋体" w:cs="宋体"/>
          <w:color w:val="auto"/>
          <w:kern w:val="2"/>
          <w:szCs w:val="24"/>
          <w:highlight w:val="none"/>
        </w:rPr>
        <w:t>26.1 在公告中标结果的同时，采购人或者采购代理机构向中标人发出中标通知书。</w:t>
      </w:r>
    </w:p>
    <w:p w14:paraId="33EBD1E6">
      <w:pPr>
        <w:pStyle w:val="20"/>
        <w:spacing w:line="360" w:lineRule="auto"/>
        <w:ind w:firstLine="482" w:firstLineChars="200"/>
        <w:jc w:val="both"/>
        <w:rPr>
          <w:rFonts w:hint="eastAsia" w:ascii="宋体" w:hAnsi="宋体" w:cs="宋体"/>
          <w:color w:val="auto"/>
          <w:kern w:val="2"/>
          <w:szCs w:val="24"/>
          <w:highlight w:val="none"/>
        </w:rPr>
      </w:pPr>
      <w:r>
        <w:rPr>
          <w:rFonts w:hint="eastAsia" w:ascii="宋体" w:hAnsi="宋体" w:cs="宋体"/>
          <w:color w:val="auto"/>
          <w:kern w:val="2"/>
          <w:szCs w:val="24"/>
          <w:highlight w:val="none"/>
        </w:rPr>
        <w:t xml:space="preserve">26.2 </w:t>
      </w:r>
      <w:r>
        <w:rPr>
          <w:rFonts w:hint="eastAsia" w:ascii="宋体" w:hAnsi="宋体" w:cs="宋体"/>
          <w:color w:val="auto"/>
          <w:szCs w:val="24"/>
          <w:highlight w:val="none"/>
        </w:rPr>
        <w:t>对于所有投标人的投标文件均</w:t>
      </w:r>
      <w:r>
        <w:rPr>
          <w:rFonts w:hint="eastAsia" w:ascii="宋体" w:hAnsi="宋体" w:cs="宋体"/>
          <w:color w:val="auto"/>
          <w:szCs w:val="24"/>
          <w:highlight w:val="none"/>
          <w:shd w:val="clear" w:color="auto" w:fill="FFFFFF"/>
        </w:rPr>
        <w:t>不予以退还，但对其承担保密责任。</w:t>
      </w:r>
    </w:p>
    <w:p w14:paraId="7BF3DA74">
      <w:pPr>
        <w:pStyle w:val="20"/>
        <w:spacing w:line="360" w:lineRule="auto"/>
        <w:ind w:firstLine="482" w:firstLineChars="200"/>
        <w:jc w:val="both"/>
        <w:rPr>
          <w:rFonts w:hint="eastAsia" w:ascii="宋体" w:hAnsi="宋体" w:cs="宋体"/>
          <w:color w:val="auto"/>
          <w:kern w:val="2"/>
          <w:szCs w:val="24"/>
          <w:highlight w:val="none"/>
        </w:rPr>
      </w:pPr>
      <w:r>
        <w:rPr>
          <w:rFonts w:hint="eastAsia" w:ascii="宋体" w:hAnsi="宋体" w:cs="宋体"/>
          <w:color w:val="auto"/>
          <w:kern w:val="2"/>
          <w:szCs w:val="24"/>
          <w:highlight w:val="none"/>
        </w:rPr>
        <w:t>27. 拒绝某些或所有投标的权力。</w:t>
      </w:r>
    </w:p>
    <w:p w14:paraId="28045ED8">
      <w:pPr>
        <w:pStyle w:val="20"/>
        <w:spacing w:line="360" w:lineRule="auto"/>
        <w:ind w:firstLine="482" w:firstLineChars="200"/>
        <w:jc w:val="both"/>
        <w:rPr>
          <w:rFonts w:hint="eastAsia" w:ascii="宋体" w:hAnsi="宋体" w:cs="宋体"/>
          <w:color w:val="auto"/>
          <w:kern w:val="2"/>
          <w:szCs w:val="24"/>
          <w:highlight w:val="none"/>
        </w:rPr>
      </w:pPr>
      <w:r>
        <w:rPr>
          <w:rFonts w:hint="eastAsia" w:ascii="宋体" w:hAnsi="宋体" w:cs="宋体"/>
          <w:color w:val="auto"/>
          <w:kern w:val="2"/>
          <w:szCs w:val="24"/>
          <w:highlight w:val="none"/>
        </w:rPr>
        <w:t>27.1 采购人或采购代理机构有权在《中标通知书》发放之前的任何时候拒绝任何有不正当行为或扰乱正常招标工作的投标人，由此对相关投标人造成的损失不负责任。</w:t>
      </w:r>
    </w:p>
    <w:p w14:paraId="720CA930">
      <w:pPr>
        <w:pStyle w:val="19"/>
        <w:jc w:val="center"/>
        <w:outlineLvl w:val="1"/>
        <w:rPr>
          <w:rFonts w:hint="eastAsia"/>
          <w:b/>
          <w:bCs/>
          <w:color w:val="auto"/>
          <w:highlight w:val="none"/>
        </w:rPr>
      </w:pPr>
      <w:r>
        <w:rPr>
          <w:rFonts w:hint="eastAsia"/>
          <w:b/>
          <w:bCs/>
          <w:color w:val="auto"/>
          <w:highlight w:val="none"/>
        </w:rPr>
        <w:t>七、授予合同</w:t>
      </w:r>
    </w:p>
    <w:p w14:paraId="5370C3C8">
      <w:pPr>
        <w:pStyle w:val="20"/>
        <w:spacing w:line="360" w:lineRule="auto"/>
        <w:ind w:firstLine="482" w:firstLineChars="200"/>
        <w:jc w:val="both"/>
        <w:rPr>
          <w:rFonts w:hint="eastAsia" w:ascii="宋体" w:hAnsi="宋体" w:cs="宋体"/>
          <w:color w:val="auto"/>
          <w:szCs w:val="24"/>
          <w:highlight w:val="none"/>
        </w:rPr>
      </w:pPr>
      <w:r>
        <w:rPr>
          <w:rFonts w:hint="eastAsia" w:ascii="宋体" w:hAnsi="宋体" w:cs="宋体"/>
          <w:color w:val="auto"/>
          <w:szCs w:val="24"/>
          <w:highlight w:val="none"/>
        </w:rPr>
        <w:t>28.  签订合同</w:t>
      </w:r>
    </w:p>
    <w:p w14:paraId="23E4D5CC">
      <w:pPr>
        <w:pStyle w:val="20"/>
        <w:spacing w:line="360" w:lineRule="auto"/>
        <w:ind w:firstLine="482" w:firstLineChars="200"/>
        <w:jc w:val="both"/>
        <w:rPr>
          <w:rFonts w:hint="eastAsia" w:ascii="宋体" w:hAnsi="宋体" w:cs="宋体"/>
          <w:color w:val="auto"/>
          <w:szCs w:val="24"/>
          <w:highlight w:val="none"/>
        </w:rPr>
      </w:pPr>
      <w:r>
        <w:rPr>
          <w:rFonts w:hint="eastAsia" w:ascii="宋体" w:hAnsi="宋体" w:cs="宋体"/>
          <w:color w:val="auto"/>
          <w:szCs w:val="24"/>
          <w:highlight w:val="none"/>
        </w:rPr>
        <w:t>28.1  中标人收到《中标通知书》后，须按有关规定与采购人签定经济合同。合同的签订一般在《中标通知书》发出后30天内进行，但采购人事先约定的情况除外。</w:t>
      </w:r>
    </w:p>
    <w:p w14:paraId="5FE2CF15">
      <w:pPr>
        <w:pStyle w:val="20"/>
        <w:spacing w:line="360" w:lineRule="auto"/>
        <w:ind w:firstLine="482" w:firstLineChars="200"/>
        <w:jc w:val="both"/>
        <w:rPr>
          <w:rFonts w:hint="eastAsia" w:ascii="宋体" w:hAnsi="宋体" w:cs="宋体"/>
          <w:color w:val="auto"/>
          <w:szCs w:val="24"/>
          <w:highlight w:val="none"/>
        </w:rPr>
      </w:pPr>
      <w:r>
        <w:rPr>
          <w:rFonts w:hint="eastAsia" w:ascii="宋体" w:hAnsi="宋体" w:cs="宋体"/>
          <w:color w:val="auto"/>
          <w:szCs w:val="24"/>
          <w:highlight w:val="none"/>
        </w:rPr>
        <w:t>28.2  合同签订后，中标人应按合同的规定履行合同，未按规定履约的，采购人有权取消合同，并且不退还中标人的投标保证金。</w:t>
      </w:r>
    </w:p>
    <w:p w14:paraId="749F1C37">
      <w:pPr>
        <w:pStyle w:val="20"/>
        <w:spacing w:line="360" w:lineRule="auto"/>
        <w:ind w:firstLine="482" w:firstLineChars="200"/>
        <w:jc w:val="both"/>
        <w:rPr>
          <w:rFonts w:hint="eastAsia" w:ascii="宋体" w:hAnsi="宋体" w:cs="宋体"/>
          <w:color w:val="auto"/>
          <w:szCs w:val="24"/>
          <w:highlight w:val="none"/>
        </w:rPr>
      </w:pPr>
      <w:r>
        <w:rPr>
          <w:rFonts w:hint="eastAsia" w:ascii="宋体" w:hAnsi="宋体" w:cs="宋体"/>
          <w:color w:val="auto"/>
          <w:szCs w:val="24"/>
          <w:highlight w:val="none"/>
        </w:rPr>
        <w:t>28.3  中标合同不得转让或分包。如需对合同的非主体部分进行转让或分包，投标人必须在投标文件中予以说明，并需经采购人同意。否则，采购人有权取消中标人的中标资格。</w:t>
      </w:r>
    </w:p>
    <w:p w14:paraId="3D692C44">
      <w:pPr>
        <w:pStyle w:val="20"/>
        <w:spacing w:line="360" w:lineRule="auto"/>
        <w:ind w:firstLine="482" w:firstLineChars="200"/>
        <w:jc w:val="both"/>
        <w:rPr>
          <w:rFonts w:hint="eastAsia" w:ascii="宋体" w:hAnsi="宋体" w:cs="宋体"/>
          <w:color w:val="auto"/>
          <w:szCs w:val="24"/>
          <w:highlight w:val="none"/>
        </w:rPr>
      </w:pPr>
      <w:r>
        <w:rPr>
          <w:rFonts w:hint="eastAsia" w:ascii="宋体" w:hAnsi="宋体" w:cs="宋体"/>
          <w:color w:val="auto"/>
          <w:szCs w:val="24"/>
          <w:highlight w:val="none"/>
        </w:rPr>
        <w:t>28.4  如中标人未按有关规定与采购人签订合同或提交合同履约保证金的，采购人可以选择其他中标候选人为中标人，并组织中标人和采购人签订经济合同。</w:t>
      </w:r>
    </w:p>
    <w:p w14:paraId="3743F935">
      <w:pPr>
        <w:pStyle w:val="20"/>
        <w:spacing w:line="360" w:lineRule="auto"/>
        <w:ind w:firstLine="482" w:firstLineChars="200"/>
        <w:jc w:val="both"/>
        <w:rPr>
          <w:rFonts w:hint="eastAsia" w:ascii="宋体" w:hAnsi="宋体" w:cs="宋体"/>
          <w:color w:val="auto"/>
          <w:szCs w:val="24"/>
          <w:highlight w:val="none"/>
        </w:rPr>
      </w:pPr>
      <w:r>
        <w:rPr>
          <w:rFonts w:hint="eastAsia" w:ascii="宋体" w:hAnsi="宋体" w:cs="宋体"/>
          <w:color w:val="auto"/>
          <w:szCs w:val="24"/>
          <w:highlight w:val="none"/>
        </w:rPr>
        <w:t>28.5  合同履约保证金的形式为银行保函，另有约定的，按照约定条件执行。</w:t>
      </w:r>
    </w:p>
    <w:p w14:paraId="0066D486">
      <w:pPr>
        <w:pStyle w:val="20"/>
        <w:spacing w:line="360" w:lineRule="auto"/>
        <w:ind w:firstLine="482" w:firstLineChars="200"/>
        <w:jc w:val="both"/>
        <w:rPr>
          <w:rFonts w:hint="eastAsia" w:ascii="宋体" w:hAnsi="宋体" w:cs="宋体"/>
          <w:color w:val="auto"/>
          <w:szCs w:val="24"/>
          <w:highlight w:val="none"/>
        </w:rPr>
      </w:pPr>
      <w:r>
        <w:rPr>
          <w:rFonts w:hint="eastAsia" w:ascii="宋体" w:hAnsi="宋体" w:cs="宋体"/>
          <w:color w:val="auto"/>
          <w:szCs w:val="24"/>
          <w:highlight w:val="none"/>
        </w:rPr>
        <w:t>29.  合同的组成</w:t>
      </w:r>
    </w:p>
    <w:p w14:paraId="410B722D">
      <w:pPr>
        <w:pStyle w:val="20"/>
        <w:spacing w:line="360" w:lineRule="auto"/>
        <w:ind w:firstLine="482" w:firstLineChars="200"/>
        <w:jc w:val="both"/>
        <w:outlineLvl w:val="2"/>
        <w:rPr>
          <w:rFonts w:hint="eastAsia" w:ascii="宋体" w:hAnsi="宋体" w:cs="宋体"/>
          <w:color w:val="auto"/>
          <w:szCs w:val="24"/>
          <w:highlight w:val="none"/>
        </w:rPr>
      </w:pPr>
      <w:r>
        <w:rPr>
          <w:rFonts w:hint="eastAsia" w:ascii="宋体" w:hAnsi="宋体" w:cs="宋体"/>
          <w:color w:val="auto"/>
          <w:szCs w:val="24"/>
          <w:highlight w:val="none"/>
        </w:rPr>
        <w:t>29.1  下列文件均为经济合同不可分割的组成部分：</w:t>
      </w:r>
    </w:p>
    <w:p w14:paraId="234A1FC7">
      <w:pPr>
        <w:pStyle w:val="20"/>
        <w:spacing w:line="360" w:lineRule="auto"/>
        <w:ind w:firstLine="482" w:firstLineChars="200"/>
        <w:jc w:val="both"/>
        <w:rPr>
          <w:rFonts w:hint="eastAsia" w:ascii="宋体" w:hAnsi="宋体" w:cs="宋体"/>
          <w:color w:val="auto"/>
          <w:szCs w:val="24"/>
          <w:highlight w:val="none"/>
        </w:rPr>
      </w:pPr>
      <w:r>
        <w:rPr>
          <w:rFonts w:hint="eastAsia" w:ascii="宋体" w:hAnsi="宋体" w:cs="宋体"/>
          <w:color w:val="auto"/>
          <w:szCs w:val="24"/>
          <w:highlight w:val="none"/>
        </w:rPr>
        <w:t>29.1.1  招标文件及其附件、澄清文件；</w:t>
      </w:r>
    </w:p>
    <w:p w14:paraId="33BC541F">
      <w:pPr>
        <w:pStyle w:val="20"/>
        <w:spacing w:line="360" w:lineRule="auto"/>
        <w:ind w:firstLine="482" w:firstLineChars="200"/>
        <w:jc w:val="both"/>
        <w:rPr>
          <w:rFonts w:hint="eastAsia" w:ascii="宋体" w:hAnsi="宋体" w:cs="宋体"/>
          <w:color w:val="auto"/>
          <w:szCs w:val="24"/>
          <w:highlight w:val="none"/>
        </w:rPr>
      </w:pPr>
      <w:r>
        <w:rPr>
          <w:rFonts w:hint="eastAsia" w:ascii="宋体" w:hAnsi="宋体" w:cs="宋体"/>
          <w:color w:val="auto"/>
          <w:szCs w:val="24"/>
          <w:highlight w:val="none"/>
        </w:rPr>
        <w:t xml:space="preserve">29.1.2  中标的投标文件及其他附件； </w:t>
      </w:r>
    </w:p>
    <w:p w14:paraId="51AFA620">
      <w:pPr>
        <w:pStyle w:val="20"/>
        <w:spacing w:line="360" w:lineRule="auto"/>
        <w:ind w:firstLine="482" w:firstLineChars="200"/>
        <w:jc w:val="both"/>
        <w:rPr>
          <w:rFonts w:hint="eastAsia" w:ascii="宋体" w:hAnsi="宋体" w:cs="宋体"/>
          <w:color w:val="auto"/>
          <w:szCs w:val="24"/>
          <w:highlight w:val="none"/>
        </w:rPr>
      </w:pPr>
      <w:r>
        <w:rPr>
          <w:rFonts w:hint="eastAsia" w:ascii="宋体" w:hAnsi="宋体" w:cs="宋体"/>
          <w:color w:val="auto"/>
          <w:szCs w:val="24"/>
          <w:highlight w:val="none"/>
        </w:rPr>
        <w:t>29.1.3  经确认的答疑记录；</w:t>
      </w:r>
    </w:p>
    <w:p w14:paraId="5CDC6C95">
      <w:pPr>
        <w:pStyle w:val="20"/>
        <w:spacing w:line="360" w:lineRule="auto"/>
        <w:ind w:firstLine="482" w:firstLineChars="200"/>
        <w:jc w:val="both"/>
        <w:rPr>
          <w:rFonts w:hint="eastAsia" w:ascii="宋体" w:hAnsi="宋体" w:cs="宋体"/>
          <w:color w:val="auto"/>
          <w:szCs w:val="24"/>
          <w:highlight w:val="none"/>
        </w:rPr>
      </w:pPr>
      <w:r>
        <w:rPr>
          <w:rFonts w:hint="eastAsia" w:ascii="宋体" w:hAnsi="宋体" w:cs="宋体"/>
          <w:color w:val="auto"/>
          <w:szCs w:val="24"/>
          <w:highlight w:val="none"/>
        </w:rPr>
        <w:t>29.1.4  中标通知书。</w:t>
      </w:r>
    </w:p>
    <w:p w14:paraId="6283EE68">
      <w:pPr>
        <w:pStyle w:val="19"/>
        <w:jc w:val="center"/>
        <w:outlineLvl w:val="1"/>
        <w:rPr>
          <w:rFonts w:hint="eastAsia"/>
          <w:b/>
          <w:bCs/>
          <w:color w:val="auto"/>
          <w:highlight w:val="none"/>
        </w:rPr>
      </w:pPr>
      <w:r>
        <w:rPr>
          <w:rFonts w:hint="eastAsia"/>
          <w:b/>
          <w:bCs/>
          <w:color w:val="auto"/>
          <w:highlight w:val="none"/>
        </w:rPr>
        <w:t>八、买方授标时更改采购货物数量的权利</w:t>
      </w:r>
    </w:p>
    <w:p w14:paraId="6BCC4966">
      <w:pPr>
        <w:pStyle w:val="21"/>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30. 买方在授予合同时有权按“投标人须知前附表”第12项约定的内容对“货物需求表”中规定的货物数量和服务予以局部增加或减少，但不得对单价或其它实质性内容做任何改变，对增减的数量按同类型中标产品价结算货款。</w:t>
      </w:r>
    </w:p>
    <w:p w14:paraId="1BCBCF6D">
      <w:pPr>
        <w:pStyle w:val="19"/>
        <w:jc w:val="center"/>
        <w:outlineLvl w:val="1"/>
        <w:rPr>
          <w:rFonts w:hint="eastAsia"/>
          <w:b/>
          <w:bCs/>
          <w:color w:val="auto"/>
          <w:highlight w:val="none"/>
        </w:rPr>
      </w:pPr>
      <w:r>
        <w:rPr>
          <w:rFonts w:hint="eastAsia"/>
          <w:b/>
          <w:bCs/>
          <w:color w:val="auto"/>
          <w:highlight w:val="none"/>
        </w:rPr>
        <w:t>九、其他事项</w:t>
      </w:r>
    </w:p>
    <w:p w14:paraId="6D6DFD1F">
      <w:pPr>
        <w:pStyle w:val="21"/>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31.  中标服务费</w:t>
      </w:r>
    </w:p>
    <w:p w14:paraId="6DCD501F">
      <w:pPr>
        <w:pStyle w:val="21"/>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31.1 中标人应按本招标文件的规定，在《中标通知书》核发时至核发后3天内，向采购代理机构支付中标服务费。</w:t>
      </w:r>
    </w:p>
    <w:p w14:paraId="21062651">
      <w:pPr>
        <w:pStyle w:val="21"/>
        <w:spacing w:line="360" w:lineRule="auto"/>
        <w:ind w:firstLine="483"/>
        <w:rPr>
          <w:rFonts w:hint="eastAsia" w:ascii="宋体" w:hAnsi="宋体" w:eastAsia="宋体" w:cs="宋体"/>
          <w:color w:val="auto"/>
          <w:sz w:val="24"/>
          <w:highlight w:val="none"/>
        </w:rPr>
      </w:pPr>
      <w:bookmarkStart w:id="18" w:name="_Toc14033"/>
      <w:bookmarkStart w:id="19" w:name="_Toc19074"/>
      <w:r>
        <w:rPr>
          <w:rFonts w:hint="eastAsia" w:ascii="宋体" w:hAnsi="宋体" w:eastAsia="宋体" w:cs="宋体"/>
          <w:color w:val="auto"/>
          <w:sz w:val="24"/>
          <w:highlight w:val="none"/>
        </w:rPr>
        <w:t>31.2 中标服务费的计算基数是中标人投标报价的总金额，即中标通知书中载明的中标金额</w:t>
      </w:r>
      <w:bookmarkEnd w:id="18"/>
      <w:bookmarkEnd w:id="19"/>
      <w:r>
        <w:rPr>
          <w:rFonts w:hint="eastAsia" w:ascii="宋体" w:hAnsi="宋体" w:eastAsia="宋体" w:cs="宋体"/>
          <w:color w:val="auto"/>
          <w:sz w:val="24"/>
          <w:highlight w:val="none"/>
        </w:rPr>
        <w:t>。</w:t>
      </w:r>
    </w:p>
    <w:p w14:paraId="6D12AB7D">
      <w:pPr>
        <w:pStyle w:val="21"/>
        <w:spacing w:line="360" w:lineRule="auto"/>
        <w:ind w:firstLine="483"/>
        <w:rPr>
          <w:rFonts w:hint="eastAsia" w:ascii="宋体" w:hAnsi="宋体" w:eastAsia="宋体" w:cs="宋体"/>
          <w:color w:val="auto"/>
          <w:sz w:val="24"/>
          <w:highlight w:val="none"/>
        </w:rPr>
      </w:pPr>
      <w:bookmarkStart w:id="20" w:name="_Toc12711"/>
      <w:r>
        <w:rPr>
          <w:rFonts w:hint="eastAsia" w:ascii="宋体" w:hAnsi="宋体" w:eastAsia="宋体" w:cs="宋体"/>
          <w:color w:val="auto"/>
          <w:sz w:val="24"/>
          <w:highlight w:val="none"/>
        </w:rPr>
        <w:t>32. 参与本次招标的投标企业必须有商务、技术人员对评标委员会提出的商务、技术问题进行答疑。</w:t>
      </w:r>
      <w:bookmarkEnd w:id="20"/>
    </w:p>
    <w:p w14:paraId="0D0E739D">
      <w:pPr>
        <w:pStyle w:val="21"/>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33. 有下列情形之一的，视为投标人串通投标，其投标无效：</w:t>
      </w:r>
    </w:p>
    <w:p w14:paraId="215E301F">
      <w:pPr>
        <w:pStyle w:val="21"/>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33.1  不同投标人的投标文件由同一单位或者个人编制；</w:t>
      </w:r>
    </w:p>
    <w:p w14:paraId="685E0AAF">
      <w:pPr>
        <w:pStyle w:val="21"/>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33.2  不同投标人委托同一单位或者个人办理投标事宜；</w:t>
      </w:r>
    </w:p>
    <w:p w14:paraId="127037E4">
      <w:pPr>
        <w:pStyle w:val="21"/>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33.3  不同投标人的投标文件载明的项目管理成员或者联系人员为同一人；</w:t>
      </w:r>
    </w:p>
    <w:p w14:paraId="72B07B08">
      <w:pPr>
        <w:pStyle w:val="21"/>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33.4  不同投标人的投标文件异常一致或者投标报价呈规律性差异；</w:t>
      </w:r>
    </w:p>
    <w:p w14:paraId="615B1B3E">
      <w:pPr>
        <w:pStyle w:val="21"/>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33.5  不同投标人的投标文件相互混装；</w:t>
      </w:r>
    </w:p>
    <w:p w14:paraId="63843F74">
      <w:pPr>
        <w:pStyle w:val="21"/>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33.6  不同投标人的投标保证金从同一单位或者个人的账户转出。</w:t>
      </w:r>
    </w:p>
    <w:p w14:paraId="53DBA974">
      <w:pPr>
        <w:pStyle w:val="2"/>
        <w:keepNext w:val="0"/>
        <w:keepLines w:val="0"/>
        <w:adjustRightInd w:val="0"/>
        <w:snapToGrid w:val="0"/>
        <w:spacing w:before="120" w:after="120" w:line="360" w:lineRule="auto"/>
        <w:outlineLvl w:val="0"/>
        <w:rPr>
          <w:rFonts w:hint="eastAsia" w:ascii="宋体" w:hAnsi="宋体" w:eastAsia="宋体" w:cs="宋体"/>
          <w:b/>
          <w:bCs w:val="0"/>
          <w:color w:val="auto"/>
          <w:sz w:val="24"/>
          <w:szCs w:val="24"/>
          <w:highlight w:val="none"/>
        </w:rPr>
      </w:pPr>
      <w:bookmarkStart w:id="21" w:name="_Toc470"/>
      <w:bookmarkStart w:id="22" w:name="_Toc14852"/>
      <w:bookmarkStart w:id="23" w:name="_Toc29020"/>
      <w:bookmarkStart w:id="24" w:name="_Toc152045609"/>
      <w:bookmarkStart w:id="25" w:name="_Toc179632627"/>
      <w:bookmarkStart w:id="26" w:name="_Toc7110"/>
      <w:bookmarkStart w:id="27" w:name="_Toc152042387"/>
      <w:bookmarkStart w:id="28" w:name="_Toc144974577"/>
    </w:p>
    <w:p w14:paraId="4C53BA09">
      <w:pPr>
        <w:rPr>
          <w:rFonts w:hint="eastAsia" w:ascii="宋体" w:hAnsi="宋体" w:eastAsia="宋体" w:cs="宋体"/>
          <w:b/>
          <w:bCs/>
          <w:color w:val="auto"/>
          <w:sz w:val="24"/>
          <w:szCs w:val="24"/>
          <w:highlight w:val="none"/>
        </w:rPr>
      </w:pPr>
    </w:p>
    <w:p w14:paraId="58A2C1CF">
      <w:pPr>
        <w:pStyle w:val="7"/>
        <w:rPr>
          <w:rFonts w:hint="eastAsia" w:ascii="宋体" w:hAnsi="宋体" w:eastAsia="宋体" w:cs="宋体"/>
          <w:b/>
          <w:bCs/>
          <w:color w:val="auto"/>
          <w:sz w:val="24"/>
          <w:szCs w:val="24"/>
          <w:highlight w:val="none"/>
        </w:rPr>
      </w:pPr>
    </w:p>
    <w:p w14:paraId="272B20F4">
      <w:pPr>
        <w:rPr>
          <w:rFonts w:hint="eastAsia" w:ascii="宋体" w:hAnsi="宋体" w:eastAsia="宋体" w:cs="宋体"/>
          <w:b/>
          <w:bCs/>
          <w:color w:val="auto"/>
          <w:sz w:val="24"/>
          <w:szCs w:val="24"/>
          <w:highlight w:val="none"/>
        </w:rPr>
      </w:pPr>
    </w:p>
    <w:p w14:paraId="03B436B5">
      <w:pPr>
        <w:pStyle w:val="7"/>
        <w:rPr>
          <w:rFonts w:hint="eastAsia" w:ascii="宋体" w:hAnsi="宋体" w:eastAsia="宋体" w:cs="宋体"/>
          <w:b/>
          <w:bCs/>
          <w:color w:val="auto"/>
          <w:sz w:val="24"/>
          <w:szCs w:val="24"/>
          <w:highlight w:val="none"/>
        </w:rPr>
      </w:pPr>
    </w:p>
    <w:p w14:paraId="34DAD4D1">
      <w:pPr>
        <w:rPr>
          <w:rFonts w:hint="eastAsia" w:ascii="宋体" w:hAnsi="宋体" w:eastAsia="宋体" w:cs="宋体"/>
          <w:b/>
          <w:bCs/>
          <w:color w:val="auto"/>
          <w:sz w:val="24"/>
          <w:szCs w:val="24"/>
          <w:highlight w:val="none"/>
        </w:rPr>
      </w:pPr>
    </w:p>
    <w:p w14:paraId="54705EB5">
      <w:pPr>
        <w:pStyle w:val="7"/>
        <w:rPr>
          <w:rFonts w:hint="eastAsia" w:ascii="宋体" w:hAnsi="宋体" w:eastAsia="宋体" w:cs="宋体"/>
          <w:b/>
          <w:bCs/>
          <w:color w:val="auto"/>
          <w:sz w:val="24"/>
          <w:szCs w:val="24"/>
          <w:highlight w:val="none"/>
        </w:rPr>
      </w:pPr>
    </w:p>
    <w:p w14:paraId="6B29CB2F">
      <w:pPr>
        <w:rPr>
          <w:rFonts w:hint="eastAsia" w:ascii="宋体" w:hAnsi="宋体" w:eastAsia="宋体" w:cs="宋体"/>
          <w:b/>
          <w:bCs/>
          <w:color w:val="auto"/>
          <w:sz w:val="24"/>
          <w:szCs w:val="24"/>
          <w:highlight w:val="none"/>
        </w:rPr>
      </w:pPr>
    </w:p>
    <w:p w14:paraId="731E3ED5">
      <w:pPr>
        <w:rPr>
          <w:rFonts w:hint="eastAsia" w:ascii="宋体" w:hAnsi="宋体" w:eastAsia="宋体" w:cs="宋体"/>
          <w:b/>
          <w:bCs w:val="0"/>
          <w:color w:val="auto"/>
          <w:sz w:val="24"/>
          <w:szCs w:val="24"/>
          <w:highlight w:val="none"/>
        </w:rPr>
      </w:pPr>
    </w:p>
    <w:p w14:paraId="39467FCF">
      <w:pPr>
        <w:pStyle w:val="2"/>
        <w:keepNext w:val="0"/>
        <w:keepLines w:val="0"/>
        <w:adjustRightInd w:val="0"/>
        <w:snapToGrid w:val="0"/>
        <w:spacing w:before="120" w:after="120" w:line="360" w:lineRule="auto"/>
        <w:jc w:val="center"/>
        <w:outlineLvl w:val="0"/>
        <w:rPr>
          <w:rFonts w:hint="eastAsia" w:ascii="宋体" w:hAnsi="宋体" w:eastAsia="宋体" w:cs="宋体"/>
          <w:color w:val="auto"/>
          <w:sz w:val="30"/>
          <w:szCs w:val="30"/>
          <w:highlight w:val="none"/>
        </w:rPr>
      </w:pPr>
      <w:r>
        <w:rPr>
          <w:rFonts w:hint="eastAsia" w:ascii="宋体" w:hAnsi="宋体" w:eastAsia="宋体" w:cs="宋体"/>
          <w:b/>
          <w:bCs w:val="0"/>
          <w:color w:val="auto"/>
          <w:sz w:val="30"/>
          <w:szCs w:val="30"/>
          <w:highlight w:val="none"/>
        </w:rPr>
        <w:t>第三章 合同条款</w:t>
      </w:r>
      <w:bookmarkEnd w:id="21"/>
      <w:bookmarkEnd w:id="22"/>
      <w:bookmarkEnd w:id="23"/>
      <w:bookmarkEnd w:id="24"/>
      <w:bookmarkEnd w:id="25"/>
      <w:bookmarkEnd w:id="26"/>
      <w:bookmarkEnd w:id="27"/>
      <w:bookmarkEnd w:id="28"/>
      <w:bookmarkStart w:id="29" w:name="_Toc179632785"/>
      <w:bookmarkStart w:id="30" w:name="_Toc144974826"/>
      <w:bookmarkStart w:id="31" w:name="_Toc152042546"/>
      <w:bookmarkStart w:id="32" w:name="_Toc152045767"/>
    </w:p>
    <w:bookmarkEnd w:id="29"/>
    <w:bookmarkEnd w:id="30"/>
    <w:bookmarkEnd w:id="31"/>
    <w:bookmarkEnd w:id="32"/>
    <w:p w14:paraId="22CFCF35">
      <w:pPr>
        <w:spacing w:line="360" w:lineRule="auto"/>
        <w:ind w:firstLine="482" w:firstLineChars="200"/>
        <w:jc w:val="center"/>
        <w:rPr>
          <w:rFonts w:hint="eastAsia" w:ascii="宋体" w:hAnsi="宋体" w:eastAsia="宋体" w:cs="宋体"/>
          <w:b/>
          <w:bCs w:val="0"/>
          <w:color w:val="auto"/>
          <w:kern w:val="2"/>
          <w:sz w:val="24"/>
          <w:szCs w:val="24"/>
          <w:lang w:val="en-US" w:eastAsia="zh-CN" w:bidi="ar-SA"/>
        </w:rPr>
      </w:pPr>
    </w:p>
    <w:p w14:paraId="1297D59A">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（此合同为格式范本，最终合同以双方协商为准）</w:t>
      </w:r>
    </w:p>
    <w:p w14:paraId="3EB89C17">
      <w:pPr>
        <w:rPr>
          <w:rFonts w:hint="eastAsia" w:ascii="宋体" w:hAnsi="宋体" w:eastAsia="宋体" w:cs="宋体"/>
          <w:i w:val="0"/>
          <w:iCs w:val="0"/>
          <w:color w:val="auto"/>
          <w:sz w:val="28"/>
          <w:szCs w:val="28"/>
          <w:highlight w:val="none"/>
        </w:rPr>
      </w:pPr>
    </w:p>
    <w:p w14:paraId="1E24DD55">
      <w:pPr>
        <w:rPr>
          <w:rFonts w:hint="eastAsia" w:ascii="宋体" w:hAnsi="宋体" w:eastAsia="宋体" w:cs="宋体"/>
          <w:i w:val="0"/>
          <w:iCs w:val="0"/>
          <w:color w:val="auto"/>
          <w:sz w:val="28"/>
          <w:szCs w:val="28"/>
          <w:highlight w:val="none"/>
        </w:rPr>
      </w:pPr>
    </w:p>
    <w:p w14:paraId="44C70F3E">
      <w:pPr>
        <w:rPr>
          <w:rFonts w:hint="eastAsia" w:ascii="宋体" w:hAnsi="宋体" w:eastAsia="宋体" w:cs="宋体"/>
          <w:i w:val="0"/>
          <w:iCs w:val="0"/>
          <w:color w:val="auto"/>
          <w:sz w:val="28"/>
          <w:szCs w:val="28"/>
          <w:highlight w:val="none"/>
        </w:rPr>
      </w:pPr>
    </w:p>
    <w:p w14:paraId="37CE412C">
      <w:pPr>
        <w:rPr>
          <w:rFonts w:hint="eastAsia" w:ascii="宋体" w:hAnsi="宋体" w:eastAsia="宋体" w:cs="宋体"/>
          <w:i w:val="0"/>
          <w:iCs w:val="0"/>
          <w:color w:val="auto"/>
          <w:sz w:val="28"/>
          <w:szCs w:val="28"/>
          <w:highlight w:val="none"/>
        </w:rPr>
      </w:pPr>
    </w:p>
    <w:p w14:paraId="1E147264">
      <w:pPr>
        <w:rPr>
          <w:rFonts w:hint="eastAsia" w:ascii="宋体" w:hAnsi="宋体" w:eastAsia="宋体" w:cs="宋体"/>
          <w:i w:val="0"/>
          <w:iCs w:val="0"/>
          <w:color w:val="auto"/>
          <w:sz w:val="28"/>
          <w:szCs w:val="28"/>
          <w:highlight w:val="none"/>
        </w:rPr>
      </w:pPr>
    </w:p>
    <w:p w14:paraId="608FAA93">
      <w:pPr>
        <w:jc w:val="cente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XXXXXXXXXX项目合同</w:t>
      </w:r>
    </w:p>
    <w:p w14:paraId="5D9EF9D2">
      <w:pPr>
        <w:rPr>
          <w:rFonts w:hint="eastAsia" w:ascii="宋体" w:hAnsi="宋体" w:eastAsia="宋体" w:cs="宋体"/>
          <w:i w:val="0"/>
          <w:iCs w:val="0"/>
          <w:color w:val="auto"/>
          <w:sz w:val="28"/>
          <w:szCs w:val="28"/>
          <w:highlight w:val="none"/>
        </w:rPr>
      </w:pPr>
    </w:p>
    <w:p w14:paraId="3A743767">
      <w:pPr>
        <w:rPr>
          <w:rFonts w:hint="eastAsia" w:ascii="宋体" w:hAnsi="宋体" w:eastAsia="宋体" w:cs="宋体"/>
          <w:i w:val="0"/>
          <w:iCs w:val="0"/>
          <w:color w:val="auto"/>
          <w:sz w:val="28"/>
          <w:szCs w:val="28"/>
          <w:highlight w:val="none"/>
        </w:rPr>
      </w:pPr>
    </w:p>
    <w:p w14:paraId="6392B506">
      <w:pPr>
        <w:rPr>
          <w:rFonts w:hint="eastAsia" w:ascii="宋体" w:hAnsi="宋体" w:eastAsia="宋体" w:cs="宋体"/>
          <w:i w:val="0"/>
          <w:iCs w:val="0"/>
          <w:color w:val="auto"/>
          <w:sz w:val="28"/>
          <w:szCs w:val="28"/>
          <w:highlight w:val="none"/>
        </w:rPr>
      </w:pPr>
    </w:p>
    <w:p w14:paraId="0C851AD1">
      <w:pPr>
        <w:rPr>
          <w:rFonts w:hint="eastAsia" w:ascii="宋体" w:hAnsi="宋体" w:eastAsia="宋体" w:cs="宋体"/>
          <w:i w:val="0"/>
          <w:iCs w:val="0"/>
          <w:color w:val="auto"/>
          <w:sz w:val="28"/>
          <w:szCs w:val="28"/>
          <w:highlight w:val="none"/>
        </w:rPr>
      </w:pPr>
    </w:p>
    <w:p w14:paraId="31C3EE2F">
      <w:pPr>
        <w:rPr>
          <w:rFonts w:hint="eastAsia" w:ascii="宋体" w:hAnsi="宋体" w:eastAsia="宋体" w:cs="宋体"/>
          <w:i w:val="0"/>
          <w:iCs w:val="0"/>
          <w:color w:val="auto"/>
          <w:sz w:val="28"/>
          <w:szCs w:val="28"/>
          <w:highlight w:val="none"/>
        </w:rPr>
      </w:pPr>
    </w:p>
    <w:p w14:paraId="01817980">
      <w:pPr>
        <w:rPr>
          <w:rFonts w:hint="eastAsia" w:ascii="宋体" w:hAnsi="宋体" w:eastAsia="宋体" w:cs="宋体"/>
          <w:i w:val="0"/>
          <w:iCs w:val="0"/>
          <w:color w:val="auto"/>
          <w:sz w:val="28"/>
          <w:szCs w:val="28"/>
          <w:highlight w:val="none"/>
        </w:rPr>
      </w:pPr>
    </w:p>
    <w:p w14:paraId="1C04F417">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 xml:space="preserve">甲方：XXXXXX                </w:t>
      </w:r>
    </w:p>
    <w:p w14:paraId="426A60F0">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 xml:space="preserve">乙方：_____________________ </w:t>
      </w:r>
    </w:p>
    <w:p w14:paraId="2208497A">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签约地点：_____________________________</w:t>
      </w:r>
    </w:p>
    <w:p w14:paraId="4A0E777A">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签约日期：_____________________________</w:t>
      </w:r>
    </w:p>
    <w:p w14:paraId="6429810B">
      <w:pPr>
        <w:rPr>
          <w:rFonts w:hint="eastAsia" w:ascii="宋体" w:hAnsi="宋体" w:eastAsia="宋体" w:cs="宋体"/>
          <w:i w:val="0"/>
          <w:iCs w:val="0"/>
          <w:color w:val="auto"/>
          <w:sz w:val="28"/>
          <w:szCs w:val="28"/>
          <w:highlight w:val="none"/>
        </w:rPr>
      </w:pPr>
    </w:p>
    <w:p w14:paraId="688C35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0" w:leftChars="0" w:firstLine="562" w:firstLineChars="200"/>
        <w:jc w:val="left"/>
        <w:textAlignment w:val="auto"/>
        <w:outlineLvl w:val="1"/>
        <w:rPr>
          <w:rFonts w:hint="eastAsia" w:ascii="宋体" w:hAnsi="宋体" w:eastAsia="宋体" w:cs="宋体"/>
          <w:sz w:val="28"/>
          <w:szCs w:val="28"/>
        </w:rPr>
      </w:pPr>
      <w:r>
        <w:rPr>
          <w:rFonts w:hint="eastAsia" w:ascii="宋体" w:hAnsi="宋体" w:eastAsia="宋体" w:cs="宋体"/>
          <w:sz w:val="28"/>
          <w:szCs w:val="28"/>
        </w:rPr>
        <w:t xml:space="preserve">采购方（甲方）：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合同编号： </w:t>
      </w:r>
    </w:p>
    <w:p w14:paraId="61BA7F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0" w:leftChars="0" w:firstLine="562" w:firstLineChars="200"/>
        <w:jc w:val="left"/>
        <w:textAlignment w:val="auto"/>
        <w:outlineLvl w:val="1"/>
        <w:rPr>
          <w:rFonts w:hint="eastAsia" w:ascii="宋体" w:hAnsi="宋体" w:eastAsia="宋体" w:cs="宋体"/>
          <w:sz w:val="28"/>
          <w:szCs w:val="28"/>
        </w:rPr>
      </w:pPr>
      <w:r>
        <w:rPr>
          <w:rFonts w:hint="eastAsia" w:ascii="宋体" w:hAnsi="宋体" w:eastAsia="宋体" w:cs="宋体"/>
          <w:sz w:val="28"/>
          <w:szCs w:val="28"/>
        </w:rPr>
        <w:t xml:space="preserve">供应方（乙方）： </w:t>
      </w:r>
    </w:p>
    <w:p w14:paraId="578130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0" w:leftChars="0" w:firstLine="562" w:firstLineChars="200"/>
        <w:jc w:val="left"/>
        <w:textAlignment w:val="auto"/>
        <w:outlineLvl w:val="1"/>
        <w:rPr>
          <w:rFonts w:hint="eastAsia" w:ascii="宋体" w:hAnsi="宋体" w:eastAsia="宋体" w:cs="宋体"/>
          <w:sz w:val="28"/>
          <w:szCs w:val="28"/>
        </w:rPr>
      </w:pPr>
      <w:r>
        <w:rPr>
          <w:rFonts w:hint="eastAsia" w:ascii="宋体" w:hAnsi="宋体" w:eastAsia="宋体" w:cs="宋体"/>
          <w:sz w:val="28"/>
          <w:szCs w:val="28"/>
        </w:rPr>
        <w:t xml:space="preserve">签订地点： </w:t>
      </w:r>
    </w:p>
    <w:p w14:paraId="377E78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2" w:firstLineChars="200"/>
        <w:jc w:val="left"/>
        <w:textAlignment w:val="auto"/>
        <w:outlineLvl w:val="1"/>
        <w:rPr>
          <w:rFonts w:hint="eastAsia" w:ascii="宋体" w:hAnsi="宋体" w:eastAsia="宋体" w:cs="宋体"/>
          <w:b/>
          <w:color w:val="auto"/>
          <w:kern w:val="2"/>
          <w:sz w:val="28"/>
          <w:szCs w:val="28"/>
          <w:lang w:val="en-US" w:eastAsia="zh-CN" w:bidi="ar-SA"/>
        </w:rPr>
      </w:pPr>
      <w:r>
        <w:rPr>
          <w:rFonts w:hint="eastAsia" w:ascii="宋体" w:hAnsi="宋体" w:eastAsia="宋体" w:cs="宋体"/>
          <w:sz w:val="28"/>
          <w:szCs w:val="28"/>
        </w:rPr>
        <w:t>根据《中华人民共和国合同法》、《中华人民共和国产品质量法》等法律法规，经双方协商，本着诚实守信、平等互利的原则，就购买 （以下简称“产品”），签订如下合同条款。</w:t>
      </w:r>
    </w:p>
    <w:p w14:paraId="65F57C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0" w:leftChars="0" w:firstLine="562" w:firstLineChars="200"/>
        <w:jc w:val="left"/>
        <w:textAlignment w:val="auto"/>
        <w:outlineLvl w:val="1"/>
        <w:rPr>
          <w:rFonts w:hint="eastAsia" w:ascii="宋体" w:hAnsi="宋体" w:eastAsia="宋体" w:cs="宋体"/>
          <w:sz w:val="28"/>
          <w:szCs w:val="28"/>
        </w:rPr>
      </w:pPr>
      <w:r>
        <w:rPr>
          <w:rFonts w:hint="eastAsia" w:ascii="宋体" w:hAnsi="宋体" w:eastAsia="宋体" w:cs="宋体"/>
          <w:sz w:val="28"/>
          <w:szCs w:val="28"/>
        </w:rPr>
        <w:t>一、中标</w:t>
      </w:r>
      <w:r>
        <w:rPr>
          <w:rFonts w:hint="eastAsia" w:ascii="宋体" w:hAnsi="宋体" w:eastAsia="宋体" w:cs="宋体"/>
          <w:sz w:val="28"/>
          <w:szCs w:val="28"/>
          <w:lang w:val="en-US" w:eastAsia="zh-CN"/>
        </w:rPr>
        <w:t>产</w:t>
      </w:r>
      <w:r>
        <w:rPr>
          <w:rFonts w:hint="eastAsia" w:ascii="宋体" w:hAnsi="宋体" w:eastAsia="宋体" w:cs="宋体"/>
          <w:sz w:val="28"/>
          <w:szCs w:val="28"/>
        </w:rPr>
        <w:t>品</w:t>
      </w:r>
    </w:p>
    <w:p w14:paraId="58982D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0" w:leftChars="0" w:firstLine="562" w:firstLineChars="200"/>
        <w:jc w:val="left"/>
        <w:textAlignment w:val="auto"/>
        <w:outlineLvl w:val="1"/>
        <w:rPr>
          <w:rFonts w:hint="eastAsia" w:ascii="宋体" w:hAnsi="宋体" w:eastAsia="宋体" w:cs="宋体"/>
          <w:sz w:val="28"/>
          <w:szCs w:val="28"/>
          <w:lang w:eastAsia="zh-CN"/>
        </w:rPr>
      </w:pPr>
      <w:r>
        <w:rPr>
          <w:rFonts w:hint="eastAsia" w:ascii="宋体" w:hAnsi="宋体" w:eastAsia="宋体" w:cs="宋体"/>
          <w:sz w:val="28"/>
          <w:szCs w:val="28"/>
        </w:rPr>
        <w:t>序号</w:t>
      </w:r>
      <w:r>
        <w:rPr>
          <w:rFonts w:hint="eastAsia" w:ascii="宋体" w:hAnsi="宋体" w:eastAsia="宋体" w:cs="宋体"/>
          <w:sz w:val="28"/>
          <w:szCs w:val="28"/>
          <w:lang w:eastAsia="zh-CN"/>
        </w:rPr>
        <w:t>：</w:t>
      </w:r>
      <w:r>
        <w:rPr>
          <w:rFonts w:hint="eastAsia" w:ascii="宋体" w:hAnsi="宋体" w:eastAsia="宋体" w:cs="宋体"/>
          <w:sz w:val="28"/>
          <w:szCs w:val="28"/>
        </w:rPr>
        <w:t xml:space="preserve"> 产品名称</w:t>
      </w:r>
      <w:r>
        <w:rPr>
          <w:rFonts w:hint="eastAsia" w:ascii="宋体" w:hAnsi="宋体" w:eastAsia="宋体" w:cs="宋体"/>
          <w:sz w:val="28"/>
          <w:szCs w:val="28"/>
          <w:lang w:eastAsia="zh-CN"/>
        </w:rPr>
        <w:t>：</w:t>
      </w:r>
      <w:r>
        <w:rPr>
          <w:rFonts w:hint="eastAsia" w:ascii="宋体" w:hAnsi="宋体" w:eastAsia="宋体" w:cs="宋体"/>
          <w:sz w:val="28"/>
          <w:szCs w:val="28"/>
        </w:rPr>
        <w:t xml:space="preserve"> 价格</w:t>
      </w:r>
      <w:r>
        <w:rPr>
          <w:rFonts w:hint="eastAsia" w:ascii="宋体" w:hAnsi="宋体" w:eastAsia="宋体" w:cs="宋体"/>
          <w:sz w:val="28"/>
          <w:szCs w:val="28"/>
          <w:lang w:eastAsia="zh-CN"/>
        </w:rPr>
        <w:t>：</w:t>
      </w:r>
    </w:p>
    <w:p w14:paraId="7948E2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outlineLvl w:val="1"/>
        <w:rPr>
          <w:rFonts w:hint="eastAsia" w:ascii="宋体" w:hAnsi="宋体" w:eastAsia="宋体" w:cs="宋体"/>
          <w:sz w:val="28"/>
          <w:szCs w:val="28"/>
        </w:rPr>
      </w:pPr>
      <w:r>
        <w:rPr>
          <w:rFonts w:hint="eastAsia" w:ascii="宋体" w:hAnsi="宋体" w:eastAsia="宋体" w:cs="宋体"/>
          <w:sz w:val="28"/>
          <w:szCs w:val="28"/>
        </w:rPr>
        <w:t>1.贵公司在此次</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招标采购中中标，供应的范围为：</w:t>
      </w:r>
    </w:p>
    <w:p w14:paraId="0340197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2" w:firstLineChars="200"/>
        <w:jc w:val="left"/>
        <w:textAlignment w:val="auto"/>
        <w:outlineLvl w:val="1"/>
        <w:rPr>
          <w:rFonts w:hint="eastAsia" w:ascii="宋体" w:hAnsi="宋体" w:eastAsia="宋体" w:cs="宋体"/>
          <w:sz w:val="28"/>
          <w:szCs w:val="28"/>
        </w:rPr>
      </w:pPr>
      <w:r>
        <w:rPr>
          <w:rFonts w:hint="eastAsia" w:ascii="宋体" w:hAnsi="宋体" w:eastAsia="宋体" w:cs="宋体"/>
          <w:sz w:val="28"/>
          <w:szCs w:val="28"/>
        </w:rPr>
        <w:t>2.产品的最终数量以实际送货合格产品数量为准。</w:t>
      </w:r>
    </w:p>
    <w:p w14:paraId="3DE680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2" w:firstLineChars="200"/>
        <w:jc w:val="left"/>
        <w:textAlignment w:val="auto"/>
        <w:outlineLvl w:val="1"/>
        <w:rPr>
          <w:rFonts w:hint="eastAsia" w:ascii="宋体" w:hAnsi="宋体" w:eastAsia="宋体" w:cs="宋体"/>
          <w:sz w:val="28"/>
          <w:szCs w:val="28"/>
        </w:rPr>
      </w:pPr>
      <w:r>
        <w:rPr>
          <w:rFonts w:hint="eastAsia" w:ascii="宋体" w:hAnsi="宋体" w:eastAsia="宋体" w:cs="宋体"/>
          <w:sz w:val="28"/>
          <w:szCs w:val="28"/>
        </w:rPr>
        <w:t>3.产品价格为包含产品价款、运输费、包装费、装卸费、税金等运送到采购商指定交付地点所发生的一切费用，乙方不得以任何理由做出不利于甲方的价格调整。</w:t>
      </w:r>
    </w:p>
    <w:p w14:paraId="3A6EF9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2" w:firstLineChars="200"/>
        <w:jc w:val="left"/>
        <w:textAlignment w:val="auto"/>
        <w:outlineLvl w:val="1"/>
        <w:rPr>
          <w:rFonts w:hint="eastAsia" w:ascii="宋体" w:hAnsi="宋体" w:eastAsia="宋体" w:cs="宋体"/>
          <w:sz w:val="28"/>
          <w:szCs w:val="28"/>
        </w:rPr>
      </w:pPr>
      <w:r>
        <w:rPr>
          <w:rFonts w:hint="eastAsia" w:ascii="宋体" w:hAnsi="宋体" w:eastAsia="宋体" w:cs="宋体"/>
          <w:sz w:val="28"/>
          <w:szCs w:val="28"/>
        </w:rPr>
        <w:t>4. 乙方必须对所供应的产品具有一定的存储，大批量订货乙方应按照甲方采购人员通知数量分批次送货，合同约定范围内的产品按照合同约定时间交货。</w:t>
      </w:r>
    </w:p>
    <w:p w14:paraId="626802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2" w:firstLineChars="200"/>
        <w:jc w:val="left"/>
        <w:textAlignment w:val="auto"/>
        <w:outlineLvl w:val="1"/>
        <w:rPr>
          <w:rFonts w:hint="eastAsia" w:ascii="宋体" w:hAnsi="宋体" w:eastAsia="宋体" w:cs="宋体"/>
          <w:sz w:val="28"/>
          <w:szCs w:val="28"/>
        </w:rPr>
      </w:pPr>
      <w:r>
        <w:rPr>
          <w:rFonts w:hint="eastAsia" w:ascii="宋体" w:hAnsi="宋体" w:eastAsia="宋体" w:cs="宋体"/>
          <w:sz w:val="28"/>
          <w:szCs w:val="28"/>
        </w:rPr>
        <w:t>5. 招标产品的配送以甲方每次向乙方下达的采购订单为准，乙方必须严格采购订单及要求，不得超计划供货，不按照要求供货。</w:t>
      </w:r>
    </w:p>
    <w:p w14:paraId="3870F8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2" w:firstLineChars="200"/>
        <w:jc w:val="left"/>
        <w:textAlignment w:val="auto"/>
        <w:outlineLvl w:val="1"/>
        <w:rPr>
          <w:rFonts w:hint="eastAsia" w:ascii="宋体" w:hAnsi="宋体" w:eastAsia="宋体" w:cs="宋体"/>
          <w:sz w:val="28"/>
          <w:szCs w:val="28"/>
        </w:rPr>
      </w:pPr>
      <w:r>
        <w:rPr>
          <w:rFonts w:hint="eastAsia" w:ascii="宋体" w:hAnsi="宋体" w:eastAsia="宋体" w:cs="宋体"/>
          <w:sz w:val="28"/>
          <w:szCs w:val="28"/>
        </w:rPr>
        <w:t>6.在签订本合同之前，乙方要按照招标文件要求向招标人提交履约保证金，并以转账方式向甲方指定的专户缴纳合同履约诚信保证金。双方终止合作关系后的3个月内甲方将保证金无息返还。</w:t>
      </w:r>
    </w:p>
    <w:p w14:paraId="51575CA1">
      <w:pPr>
        <w:pStyle w:val="7"/>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二、交货方式、时间、地点 </w:t>
      </w:r>
    </w:p>
    <w:p w14:paraId="49839950">
      <w:pPr>
        <w:pStyle w:val="7"/>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1.乙方应该按照甲方的采购订单打印一式四份的送货清单，将产品按甲方指定的地点交付甲方。</w:t>
      </w:r>
    </w:p>
    <w:p w14:paraId="4A91480A">
      <w:pPr>
        <w:pStyle w:val="7"/>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2.交货地点：甲方指定地点。</w:t>
      </w:r>
    </w:p>
    <w:p w14:paraId="6D471499">
      <w:pPr>
        <w:pStyle w:val="7"/>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3.乙方在供货期间，如不能按时供货，甲方有权在当地采购检验合格的产品补给，费用均有乙方承担，对此违约责任乙方将承担甲方补给产品五倍的罚款，如有多次供货不到位情 况，甲方将终止乙方的合同，并不予退还违约金。 </w:t>
      </w:r>
    </w:p>
    <w:p w14:paraId="7913F217">
      <w:pPr>
        <w:pStyle w:val="7"/>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三、质量、验收标准、质保期 </w:t>
      </w:r>
    </w:p>
    <w:p w14:paraId="48B46171">
      <w:pPr>
        <w:pStyle w:val="7"/>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1.乙方严格遵守招标书中的承诺，严格制定原材料生产、采购和储存相关安全事故应急预案等相关制度和预案，并在产品供应前提供给甲方。交付的产品质量应当符合国家标准的 要求，并且应当符合相关部门标准等相关要求。配送的产品必须是投标书方案中承诺的产品，必须保质保量。</w:t>
      </w:r>
    </w:p>
    <w:p w14:paraId="3D8CAE16">
      <w:pPr>
        <w:pStyle w:val="7"/>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2.如检验发现产品不符合标准的，甲方有权拒绝收货，且乙方应赔偿甲方因此而受到的直接和间接损失。</w:t>
      </w:r>
    </w:p>
    <w:p w14:paraId="06B82940">
      <w:pPr>
        <w:pStyle w:val="7"/>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3、甲方有权根据国家纺织品标准有关规定，对乙方交付的产品进行验收。</w:t>
      </w:r>
    </w:p>
    <w:p w14:paraId="08399FFC">
      <w:pPr>
        <w:pStyle w:val="7"/>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4.验收方法：质量按合同约定的标准验收；数量按照以甲方验收合格后的实际数量为准</w:t>
      </w:r>
      <w:r>
        <w:rPr>
          <w:rFonts w:hint="eastAsia" w:ascii="宋体" w:hAnsi="宋体" w:eastAsia="宋体" w:cs="宋体"/>
          <w:sz w:val="28"/>
          <w:szCs w:val="28"/>
          <w:lang w:eastAsia="zh-CN"/>
        </w:rPr>
        <w:t>。</w:t>
      </w:r>
    </w:p>
    <w:p w14:paraId="7AD20F69">
      <w:pPr>
        <w:pStyle w:val="7"/>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四、运输及保险 </w:t>
      </w:r>
    </w:p>
    <w:p w14:paraId="20DED794">
      <w:pPr>
        <w:pStyle w:val="7"/>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1.乙方物资在运到甲方指定地点之前的一切安全责任和所有费用由乙方承担</w:t>
      </w:r>
      <w:r>
        <w:rPr>
          <w:rFonts w:hint="eastAsia" w:ascii="宋体" w:hAnsi="宋体" w:eastAsia="宋体" w:cs="宋体"/>
          <w:sz w:val="28"/>
          <w:szCs w:val="28"/>
          <w:lang w:eastAsia="zh-CN"/>
        </w:rPr>
        <w:t>。</w:t>
      </w:r>
    </w:p>
    <w:p w14:paraId="3F6E7436">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五</w:t>
      </w:r>
      <w:r>
        <w:rPr>
          <w:rFonts w:hint="eastAsia" w:ascii="宋体" w:hAnsi="宋体" w:eastAsia="宋体" w:cs="宋体"/>
          <w:sz w:val="28"/>
          <w:szCs w:val="28"/>
        </w:rPr>
        <w:t>、合同期限</w:t>
      </w:r>
    </w:p>
    <w:p w14:paraId="0B16731F">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本合同有效期限自 年 月 日至 年 月 日。本合同于双方法定代表人或者授权代表签字并盖章后时生效。合同执行期间，如因故不能履行或需要修改，必须经双方同意，并互相换文或另订合同，方为有效。自该合同签订后，如甲方有特殊情况，由甲方通知供货商继续供货。 </w:t>
      </w:r>
    </w:p>
    <w:p w14:paraId="6AFA3D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六、</w:t>
      </w:r>
      <w:r>
        <w:rPr>
          <w:rFonts w:hint="eastAsia" w:ascii="宋体" w:hAnsi="宋体" w:eastAsia="宋体" w:cs="宋体"/>
          <w:sz w:val="28"/>
          <w:szCs w:val="28"/>
        </w:rPr>
        <w:t>争议的解决</w:t>
      </w:r>
    </w:p>
    <w:p w14:paraId="33F338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本合同在执行过程中发生纠纷，签订合同双方不能协商解决时，可向人民法院提出诉讼 （或申请 仲裁机构仲裁解决）。</w:t>
      </w:r>
    </w:p>
    <w:p w14:paraId="32F9EA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2" w:firstLineChars="200"/>
        <w:jc w:val="left"/>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七、</w:t>
      </w:r>
      <w:r>
        <w:rPr>
          <w:rFonts w:hint="eastAsia" w:ascii="宋体" w:hAnsi="宋体" w:eastAsia="宋体" w:cs="宋体"/>
          <w:sz w:val="28"/>
          <w:szCs w:val="28"/>
        </w:rPr>
        <w:t>附则</w:t>
      </w:r>
    </w:p>
    <w:p w14:paraId="08D2DD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合同文本一式四份，双方各自保留两份。</w:t>
      </w:r>
    </w:p>
    <w:p w14:paraId="295DFB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双方有关供货合同的协商、会议纪要、招投标文书等书面协议或者文件视为本合同组成部分，与本合同具有同等法律效力。</w:t>
      </w:r>
    </w:p>
    <w:p w14:paraId="6CA8C5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甲方（公章）：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乙方（公章）： </w:t>
      </w:r>
    </w:p>
    <w:p w14:paraId="3C0618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法人签字（委托代理人）：</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法人签字（委托代理人）： </w:t>
      </w:r>
    </w:p>
    <w:p w14:paraId="6FBC21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年 月 日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年 月 日 </w:t>
      </w:r>
    </w:p>
    <w:p w14:paraId="20D2FD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付款币种及方式 </w:t>
      </w:r>
    </w:p>
    <w:p w14:paraId="617CFFD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付款币种</w:t>
      </w:r>
      <w:r>
        <w:rPr>
          <w:rFonts w:hint="eastAsia" w:ascii="宋体" w:hAnsi="宋体" w:eastAsia="宋体" w:cs="宋体"/>
          <w:sz w:val="28"/>
          <w:szCs w:val="28"/>
          <w:lang w:eastAsia="zh-CN"/>
        </w:rPr>
        <w:t>：</w:t>
      </w:r>
    </w:p>
    <w:p w14:paraId="72F43B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本次招标所述的项目资金均以人民币支付。</w:t>
      </w:r>
    </w:p>
    <w:p w14:paraId="2751DC2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2"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付款方式：</w:t>
      </w:r>
    </w:p>
    <w:p w14:paraId="2D4108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合同签订与甲方协定。</w:t>
      </w:r>
    </w:p>
    <w:p w14:paraId="0A8929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sz w:val="28"/>
          <w:szCs w:val="28"/>
          <w:lang w:eastAsia="zh-CN"/>
        </w:rPr>
        <w:sectPr>
          <w:footerReference r:id="rId5" w:type="first"/>
          <w:headerReference r:id="rId3" w:type="default"/>
          <w:footerReference r:id="rId4" w:type="default"/>
          <w:pgSz w:w="11849" w:h="16781"/>
          <w:pgMar w:top="1440" w:right="1080" w:bottom="1440" w:left="1080" w:header="851" w:footer="850" w:gutter="0"/>
          <w:cols w:space="720" w:num="1"/>
          <w:titlePg/>
          <w:docGrid w:type="linesAndChars" w:linePitch="320" w:charSpace="269"/>
        </w:sectPr>
      </w:pPr>
      <w:r>
        <w:rPr>
          <w:rFonts w:hint="eastAsia" w:ascii="宋体" w:hAnsi="宋体" w:eastAsia="宋体" w:cs="宋体"/>
          <w:sz w:val="28"/>
          <w:szCs w:val="28"/>
        </w:rPr>
        <w:t>备注：最终付款方式以和甲方单位签订合同为主</w:t>
      </w:r>
      <w:r>
        <w:rPr>
          <w:rFonts w:hint="eastAsia" w:ascii="宋体" w:hAnsi="宋体" w:eastAsia="宋体" w:cs="宋体"/>
          <w:sz w:val="28"/>
          <w:szCs w:val="28"/>
          <w:lang w:eastAsia="zh-CN"/>
        </w:rPr>
        <w:t>。</w:t>
      </w:r>
    </w:p>
    <w:p w14:paraId="30118E5B">
      <w:pPr>
        <w:pStyle w:val="7"/>
        <w:rPr>
          <w:rFonts w:hint="eastAsia"/>
          <w:lang w:eastAsia="zh-CN"/>
        </w:rPr>
      </w:pPr>
    </w:p>
    <w:p w14:paraId="415D675C">
      <w:pPr>
        <w:jc w:val="center"/>
        <w:rPr>
          <w:rFonts w:hint="eastAsia" w:ascii="宋体" w:hAnsi="宋体" w:cs="宋体"/>
          <w:b/>
          <w:bCs/>
          <w:color w:val="auto"/>
          <w:sz w:val="24"/>
          <w:highlight w:val="none"/>
        </w:rPr>
      </w:pPr>
      <w:bookmarkStart w:id="33" w:name="_Toc144974834"/>
      <w:bookmarkStart w:id="34" w:name="_Toc179632789"/>
      <w:bookmarkStart w:id="35" w:name="_Toc27253"/>
      <w:bookmarkStart w:id="36" w:name="_Toc152045772"/>
      <w:bookmarkStart w:id="37" w:name="_Toc4547"/>
      <w:bookmarkStart w:id="38" w:name="_Toc152042554"/>
      <w:bookmarkStart w:id="39" w:name="_Toc30045"/>
      <w:bookmarkStart w:id="40" w:name="_Toc5648"/>
      <w:r>
        <w:rPr>
          <w:rFonts w:hint="eastAsia" w:hAnsi="宋体" w:cs="宋体"/>
          <w:b/>
          <w:bCs/>
          <w:color w:val="auto"/>
          <w:sz w:val="32"/>
          <w:szCs w:val="32"/>
          <w:highlight w:val="none"/>
          <w:lang w:eastAsia="zh-CN"/>
        </w:rPr>
        <w:t>第四章</w:t>
      </w:r>
      <w:r>
        <w:rPr>
          <w:rFonts w:hint="eastAsia"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采购需求</w:t>
      </w:r>
      <w:r>
        <w:rPr>
          <w:rFonts w:hint="eastAsia"/>
          <w:b/>
          <w:bCs/>
          <w:color w:val="auto"/>
          <w:sz w:val="30"/>
          <w:szCs w:val="30"/>
          <w:highlight w:val="none"/>
        </w:rPr>
        <w:t>清单</w:t>
      </w:r>
      <w:bookmarkEnd w:id="33"/>
      <w:bookmarkEnd w:id="34"/>
      <w:bookmarkEnd w:id="35"/>
      <w:bookmarkEnd w:id="36"/>
      <w:bookmarkEnd w:id="37"/>
      <w:bookmarkEnd w:id="38"/>
      <w:bookmarkEnd w:id="39"/>
      <w:bookmarkEnd w:id="40"/>
      <w:bookmarkStart w:id="41" w:name="_Toc31265"/>
      <w:bookmarkStart w:id="42" w:name="_Toc3191"/>
      <w:bookmarkStart w:id="43" w:name="_Toc5416"/>
      <w:bookmarkStart w:id="44" w:name="_Toc179632806"/>
      <w:bookmarkStart w:id="45" w:name="_Toc16742"/>
    </w:p>
    <w:tbl>
      <w:tblPr>
        <w:tblStyle w:val="15"/>
        <w:tblW w:w="135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1"/>
        <w:gridCol w:w="1380"/>
        <w:gridCol w:w="4375"/>
        <w:gridCol w:w="770"/>
        <w:gridCol w:w="659"/>
        <w:gridCol w:w="1424"/>
        <w:gridCol w:w="1399"/>
        <w:gridCol w:w="2700"/>
      </w:tblGrid>
      <w:tr w14:paraId="03B0B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4F757">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序号</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EB72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产品名称</w:t>
            </w:r>
          </w:p>
        </w:tc>
        <w:tc>
          <w:tcPr>
            <w:tcW w:w="43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EA81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参数</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5C68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w:t>
            </w:r>
          </w:p>
        </w:tc>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AC8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14:paraId="26D4149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单价</w:t>
            </w:r>
          </w:p>
          <w:p w14:paraId="17C32F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（元）</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14:paraId="57445853">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总价</w:t>
            </w:r>
          </w:p>
          <w:p w14:paraId="16AC08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（元）</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4BB7CD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14:paraId="6EBD3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861"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2FD874FB">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p>
        </w:tc>
        <w:tc>
          <w:tcPr>
            <w:tcW w:w="1380"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165008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块石</w:t>
            </w:r>
          </w:p>
        </w:tc>
        <w:tc>
          <w:tcPr>
            <w:tcW w:w="4375" w:type="dxa"/>
            <w:tcBorders>
              <w:top w:val="single" w:color="auto" w:sz="4" w:space="0"/>
              <w:left w:val="single" w:color="000000" w:sz="4" w:space="0"/>
              <w:bottom w:val="single" w:color="000000" w:sz="4" w:space="0"/>
              <w:right w:val="single" w:color="000000" w:sz="4" w:space="0"/>
            </w:tcBorders>
            <w:shd w:val="clear" w:color="auto" w:fill="auto"/>
            <w:vAlign w:val="center"/>
          </w:tcPr>
          <w:p w14:paraId="1A6CE9A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拉运采石场爆破形成的自然块石即可，尽量拉运尺寸大的块石。</w:t>
            </w:r>
          </w:p>
        </w:tc>
        <w:tc>
          <w:tcPr>
            <w:tcW w:w="77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27B1A0F">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10345</w:t>
            </w:r>
          </w:p>
        </w:tc>
        <w:tc>
          <w:tcPr>
            <w:tcW w:w="65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C55E5D4">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M³</w:t>
            </w:r>
          </w:p>
        </w:tc>
        <w:tc>
          <w:tcPr>
            <w:tcW w:w="142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B412DC4">
            <w:pPr>
              <w:rPr>
                <w:rFonts w:hint="eastAsia" w:ascii="宋体" w:hAnsi="宋体" w:eastAsia="宋体" w:cs="宋体"/>
                <w:i w:val="0"/>
                <w:iCs w:val="0"/>
                <w:color w:val="000000"/>
                <w:sz w:val="22"/>
                <w:szCs w:val="22"/>
                <w:highlight w:val="none"/>
                <w:u w:val="none"/>
              </w:rPr>
            </w:pPr>
          </w:p>
        </w:tc>
        <w:tc>
          <w:tcPr>
            <w:tcW w:w="139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EB2BCAA">
            <w:pPr>
              <w:rPr>
                <w:rFonts w:hint="eastAsia" w:ascii="宋体" w:hAnsi="宋体" w:eastAsia="宋体" w:cs="宋体"/>
                <w:i w:val="0"/>
                <w:iCs w:val="0"/>
                <w:color w:val="000000"/>
                <w:sz w:val="22"/>
                <w:szCs w:val="22"/>
                <w:highlight w:val="none"/>
                <w:u w:val="none"/>
              </w:rPr>
            </w:pPr>
          </w:p>
        </w:tc>
        <w:tc>
          <w:tcPr>
            <w:tcW w:w="27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B70778A">
            <w:pPr>
              <w:rPr>
                <w:rFonts w:hint="eastAsia" w:ascii="宋体" w:hAnsi="宋体" w:eastAsia="宋体" w:cs="宋体"/>
                <w:i w:val="0"/>
                <w:iCs w:val="0"/>
                <w:color w:val="000000"/>
                <w:sz w:val="22"/>
                <w:szCs w:val="22"/>
                <w:highlight w:val="none"/>
                <w:u w:val="none"/>
              </w:rPr>
            </w:pPr>
          </w:p>
        </w:tc>
      </w:tr>
    </w:tbl>
    <w:p w14:paraId="5B86A346">
      <w:pPr>
        <w:rPr>
          <w:rFonts w:hint="eastAsia" w:ascii="宋体" w:hAnsi="宋体" w:cs="宋体"/>
          <w:color w:val="auto"/>
          <w:sz w:val="24"/>
          <w:highlight w:val="none"/>
        </w:rPr>
      </w:pPr>
    </w:p>
    <w:p w14:paraId="5E072A9A">
      <w:pPr>
        <w:rPr>
          <w:rFonts w:hint="eastAsia"/>
        </w:rPr>
      </w:pPr>
      <w:r>
        <w:rPr>
          <w:rFonts w:hint="eastAsia" w:ascii="宋体" w:hAnsi="宋体" w:cs="宋体"/>
          <w:color w:val="auto"/>
          <w:sz w:val="24"/>
          <w:highlight w:val="none"/>
          <w:lang w:val="en-US" w:eastAsia="zh-CN"/>
        </w:rPr>
        <w:t>备注：</w:t>
      </w:r>
      <w:r>
        <w:rPr>
          <w:rFonts w:hint="eastAsia" w:ascii="宋体" w:hAnsi="宋体" w:cs="宋体"/>
          <w:color w:val="auto"/>
          <w:sz w:val="24"/>
          <w:highlight w:val="none"/>
        </w:rPr>
        <w:t>本项目</w:t>
      </w:r>
      <w:r>
        <w:rPr>
          <w:rFonts w:hint="eastAsia" w:ascii="宋体" w:hAnsi="宋体" w:cs="宋体"/>
          <w:color w:val="auto"/>
          <w:sz w:val="24"/>
          <w:highlight w:val="none"/>
          <w:lang w:val="en-US" w:eastAsia="zh-CN"/>
        </w:rPr>
        <w:t>投标报价包含</w:t>
      </w:r>
      <w:r>
        <w:rPr>
          <w:rFonts w:hint="eastAsia" w:ascii="宋体" w:hAnsi="宋体" w:cs="宋体"/>
          <w:color w:val="auto"/>
          <w:sz w:val="24"/>
          <w:highlight w:val="none"/>
        </w:rPr>
        <w:t xml:space="preserve">货款、包装费、运杂费、安装费、风险费、税金、利润等各种应有费用的总和。 </w:t>
      </w:r>
      <w:r>
        <w:rPr>
          <w:rFonts w:hint="eastAsia"/>
        </w:rPr>
        <w:br w:type="page"/>
      </w:r>
    </w:p>
    <w:p w14:paraId="7AE821B0">
      <w:pPr>
        <w:rPr>
          <w:rFonts w:hint="eastAsia"/>
        </w:rPr>
        <w:sectPr>
          <w:pgSz w:w="16781" w:h="11849" w:orient="landscape"/>
          <w:pgMar w:top="1080" w:right="1440" w:bottom="1080" w:left="1440" w:header="851" w:footer="850" w:gutter="0"/>
          <w:cols w:space="720" w:num="1"/>
          <w:titlePg/>
          <w:docGrid w:type="linesAndChars" w:linePitch="320" w:charSpace="269"/>
        </w:sectPr>
      </w:pPr>
    </w:p>
    <w:p w14:paraId="379C400C">
      <w:pPr>
        <w:tabs>
          <w:tab w:val="left" w:pos="3780"/>
        </w:tabs>
        <w:topLinePunct/>
        <w:adjustRightInd w:val="0"/>
        <w:snapToGrid w:val="0"/>
        <w:spacing w:line="360" w:lineRule="auto"/>
        <w:jc w:val="center"/>
        <w:outlineLvl w:val="0"/>
        <w:rPr>
          <w:rFonts w:hint="eastAsia" w:ascii="宋体" w:hAnsi="宋体" w:cs="宋体"/>
          <w:b/>
          <w:bCs/>
          <w:color w:val="auto"/>
          <w:sz w:val="24"/>
          <w:highlight w:val="none"/>
        </w:rPr>
      </w:pPr>
      <w:r>
        <w:rPr>
          <w:rFonts w:hint="eastAsia" w:ascii="宋体" w:hAnsi="宋体" w:cs="宋体"/>
          <w:b/>
          <w:bCs/>
          <w:color w:val="auto"/>
          <w:sz w:val="24"/>
          <w:highlight w:val="none"/>
        </w:rPr>
        <w:t>第五章 投标文件格式</w:t>
      </w:r>
      <w:bookmarkEnd w:id="41"/>
      <w:bookmarkEnd w:id="42"/>
      <w:bookmarkEnd w:id="43"/>
      <w:bookmarkEnd w:id="44"/>
      <w:bookmarkEnd w:id="45"/>
    </w:p>
    <w:p w14:paraId="7C3E8518">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p w14:paraId="2CD5CDB7">
      <w:pPr>
        <w:adjustRightInd w:val="0"/>
        <w:snapToGrid w:val="0"/>
        <w:spacing w:line="360" w:lineRule="auto"/>
        <w:jc w:val="center"/>
        <w:rPr>
          <w:rFonts w:hint="eastAsia" w:ascii="宋体" w:hAnsi="宋体" w:cs="宋体"/>
          <w:color w:val="auto"/>
          <w:sz w:val="24"/>
          <w:highlight w:val="none"/>
        </w:rPr>
      </w:pPr>
    </w:p>
    <w:p w14:paraId="0F944FD6">
      <w:pPr>
        <w:adjustRightInd w:val="0"/>
        <w:snapToGrid w:val="0"/>
        <w:spacing w:line="360" w:lineRule="auto"/>
        <w:jc w:val="center"/>
        <w:rPr>
          <w:rFonts w:hint="eastAsia" w:ascii="宋体" w:hAnsi="宋体" w:cs="宋体"/>
          <w:color w:val="auto"/>
          <w:sz w:val="24"/>
          <w:highlight w:val="none"/>
        </w:rPr>
      </w:pPr>
    </w:p>
    <w:p w14:paraId="28C5CB00">
      <w:pPr>
        <w:adjustRightInd w:val="0"/>
        <w:snapToGrid w:val="0"/>
        <w:spacing w:line="360" w:lineRule="auto"/>
        <w:ind w:firstLine="482" w:firstLineChars="200"/>
        <w:rPr>
          <w:rFonts w:hint="eastAsia" w:ascii="宋体" w:hAnsi="宋体" w:cs="宋体"/>
          <w:color w:val="auto"/>
          <w:sz w:val="24"/>
          <w:highlight w:val="none"/>
        </w:rPr>
      </w:pPr>
    </w:p>
    <w:p w14:paraId="7D536D3C">
      <w:pPr>
        <w:adjustRightInd w:val="0"/>
        <w:snapToGri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u w:val="single"/>
        </w:rPr>
        <w:t xml:space="preserve">                                      （项目名称）</w:t>
      </w:r>
    </w:p>
    <w:p w14:paraId="0BEE228C">
      <w:pPr>
        <w:adjustRightInd w:val="0"/>
        <w:snapToGrid w:val="0"/>
        <w:spacing w:line="360" w:lineRule="auto"/>
        <w:rPr>
          <w:rFonts w:hint="eastAsia" w:ascii="宋体" w:hAnsi="宋体" w:cs="宋体"/>
          <w:color w:val="auto"/>
          <w:sz w:val="24"/>
          <w:highlight w:val="none"/>
        </w:rPr>
      </w:pPr>
    </w:p>
    <w:p w14:paraId="55C6E495">
      <w:pPr>
        <w:adjustRightInd w:val="0"/>
        <w:snapToGrid w:val="0"/>
        <w:spacing w:line="360" w:lineRule="auto"/>
        <w:rPr>
          <w:rFonts w:hint="eastAsia" w:ascii="宋体" w:hAnsi="宋体" w:cs="宋体"/>
          <w:color w:val="auto"/>
          <w:sz w:val="24"/>
          <w:highlight w:val="none"/>
        </w:rPr>
      </w:pPr>
    </w:p>
    <w:p w14:paraId="766B8486">
      <w:pPr>
        <w:adjustRightInd w:val="0"/>
        <w:snapToGri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投  标  文  件</w:t>
      </w:r>
    </w:p>
    <w:p w14:paraId="458B27E0">
      <w:pPr>
        <w:adjustRightInd w:val="0"/>
        <w:snapToGrid w:val="0"/>
        <w:spacing w:line="360" w:lineRule="auto"/>
        <w:rPr>
          <w:rFonts w:hint="eastAsia" w:ascii="宋体" w:hAnsi="宋体" w:cs="宋体"/>
          <w:color w:val="auto"/>
          <w:sz w:val="24"/>
          <w:highlight w:val="none"/>
        </w:rPr>
      </w:pPr>
    </w:p>
    <w:p w14:paraId="534D9B8B">
      <w:pPr>
        <w:adjustRightInd w:val="0"/>
        <w:snapToGrid w:val="0"/>
        <w:spacing w:line="360" w:lineRule="auto"/>
        <w:rPr>
          <w:rFonts w:hint="eastAsia" w:ascii="宋体" w:hAnsi="宋体" w:cs="宋体"/>
          <w:color w:val="auto"/>
          <w:sz w:val="24"/>
          <w:highlight w:val="none"/>
        </w:rPr>
      </w:pPr>
    </w:p>
    <w:p w14:paraId="33A1B7F8">
      <w:pPr>
        <w:adjustRightInd w:val="0"/>
        <w:snapToGrid w:val="0"/>
        <w:spacing w:line="360" w:lineRule="auto"/>
        <w:rPr>
          <w:rFonts w:hint="eastAsia" w:ascii="宋体" w:hAnsi="宋体" w:cs="宋体"/>
          <w:color w:val="auto"/>
          <w:sz w:val="24"/>
          <w:highlight w:val="none"/>
        </w:rPr>
      </w:pPr>
    </w:p>
    <w:p w14:paraId="4C150BC0">
      <w:pPr>
        <w:adjustRightInd w:val="0"/>
        <w:snapToGrid w:val="0"/>
        <w:spacing w:line="360" w:lineRule="auto"/>
        <w:rPr>
          <w:rFonts w:hint="eastAsia" w:ascii="宋体" w:hAnsi="宋体" w:cs="宋体"/>
          <w:color w:val="auto"/>
          <w:sz w:val="24"/>
          <w:highlight w:val="none"/>
        </w:rPr>
      </w:pPr>
    </w:p>
    <w:p w14:paraId="11A3FE32">
      <w:pPr>
        <w:adjustRightInd w:val="0"/>
        <w:snapToGrid w:val="0"/>
        <w:spacing w:line="360" w:lineRule="auto"/>
        <w:rPr>
          <w:rFonts w:hint="eastAsia" w:ascii="宋体" w:hAnsi="宋体" w:cs="宋体"/>
          <w:color w:val="auto"/>
          <w:sz w:val="24"/>
          <w:highlight w:val="none"/>
        </w:rPr>
      </w:pPr>
    </w:p>
    <w:p w14:paraId="26FE54F2">
      <w:pPr>
        <w:adjustRightInd w:val="0"/>
        <w:snapToGrid w:val="0"/>
        <w:spacing w:line="360" w:lineRule="auto"/>
        <w:rPr>
          <w:rFonts w:hint="eastAsia" w:ascii="宋体" w:hAnsi="宋体" w:cs="宋体"/>
          <w:color w:val="auto"/>
          <w:sz w:val="24"/>
          <w:highlight w:val="none"/>
        </w:rPr>
      </w:pPr>
    </w:p>
    <w:p w14:paraId="440AE35C">
      <w:pPr>
        <w:adjustRightInd w:val="0"/>
        <w:snapToGrid w:val="0"/>
        <w:spacing w:line="360" w:lineRule="auto"/>
        <w:rPr>
          <w:rFonts w:hint="eastAsia" w:ascii="宋体" w:hAnsi="宋体" w:cs="宋体"/>
          <w:color w:val="auto"/>
          <w:sz w:val="24"/>
          <w:highlight w:val="none"/>
        </w:rPr>
      </w:pPr>
    </w:p>
    <w:p w14:paraId="1B67BA67">
      <w:pPr>
        <w:adjustRightInd w:val="0"/>
        <w:snapToGrid w:val="0"/>
        <w:spacing w:line="360" w:lineRule="auto"/>
        <w:rPr>
          <w:rFonts w:hint="eastAsia" w:ascii="宋体" w:hAnsi="宋体" w:cs="宋体"/>
          <w:color w:val="auto"/>
          <w:sz w:val="24"/>
          <w:highlight w:val="none"/>
        </w:rPr>
      </w:pPr>
    </w:p>
    <w:p w14:paraId="6083BEC4">
      <w:pPr>
        <w:adjustRightInd w:val="0"/>
        <w:snapToGrid w:val="0"/>
        <w:spacing w:line="360" w:lineRule="auto"/>
        <w:rPr>
          <w:rFonts w:hint="eastAsia" w:ascii="宋体" w:hAnsi="宋体" w:cs="宋体"/>
          <w:color w:val="auto"/>
          <w:sz w:val="24"/>
          <w:highlight w:val="none"/>
        </w:rPr>
      </w:pPr>
    </w:p>
    <w:p w14:paraId="535BC6B5">
      <w:pPr>
        <w:adjustRightInd w:val="0"/>
        <w:snapToGrid w:val="0"/>
        <w:spacing w:line="360" w:lineRule="auto"/>
        <w:rPr>
          <w:rFonts w:hint="eastAsia" w:ascii="宋体" w:hAnsi="宋体" w:cs="宋体"/>
          <w:color w:val="auto"/>
          <w:sz w:val="24"/>
          <w:highlight w:val="none"/>
        </w:rPr>
      </w:pPr>
    </w:p>
    <w:p w14:paraId="4D719A21">
      <w:pPr>
        <w:adjustRightInd w:val="0"/>
        <w:snapToGrid w:val="0"/>
        <w:spacing w:line="360" w:lineRule="auto"/>
        <w:rPr>
          <w:rFonts w:hint="eastAsia" w:ascii="宋体" w:hAnsi="宋体" w:cs="宋体"/>
          <w:color w:val="auto"/>
          <w:sz w:val="24"/>
          <w:highlight w:val="none"/>
        </w:rPr>
      </w:pPr>
    </w:p>
    <w:p w14:paraId="3D684ED0">
      <w:pPr>
        <w:adjustRightInd w:val="0"/>
        <w:snapToGrid w:val="0"/>
        <w:spacing w:line="360" w:lineRule="auto"/>
        <w:rPr>
          <w:rFonts w:hint="eastAsia" w:ascii="宋体" w:hAnsi="宋体" w:cs="宋体"/>
          <w:color w:val="auto"/>
          <w:sz w:val="24"/>
          <w:highlight w:val="none"/>
        </w:rPr>
      </w:pPr>
    </w:p>
    <w:p w14:paraId="4D6736CD">
      <w:pPr>
        <w:adjustRightInd w:val="0"/>
        <w:snapToGri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5715B3BF">
      <w:pPr>
        <w:adjustRightInd w:val="0"/>
        <w:snapToGrid w:val="0"/>
        <w:spacing w:line="360" w:lineRule="auto"/>
        <w:jc w:val="center"/>
        <w:rPr>
          <w:rFonts w:hint="eastAsia" w:ascii="宋体" w:hAnsi="宋体" w:cs="宋体"/>
          <w:color w:val="auto"/>
          <w:sz w:val="24"/>
          <w:highlight w:val="none"/>
          <w:u w:val="single"/>
        </w:rPr>
      </w:pPr>
    </w:p>
    <w:p w14:paraId="71E311A2">
      <w:pPr>
        <w:adjustRightInd w:val="0"/>
        <w:snapToGri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（签章）</w:t>
      </w:r>
    </w:p>
    <w:p w14:paraId="4773548B">
      <w:pPr>
        <w:adjustRightInd w:val="0"/>
        <w:snapToGrid w:val="0"/>
        <w:spacing w:line="360" w:lineRule="auto"/>
        <w:jc w:val="center"/>
        <w:rPr>
          <w:rFonts w:hint="eastAsia" w:ascii="宋体" w:hAnsi="宋体" w:cs="宋体"/>
          <w:color w:val="auto"/>
          <w:sz w:val="24"/>
          <w:highlight w:val="none"/>
        </w:rPr>
      </w:pPr>
    </w:p>
    <w:p w14:paraId="3CCEF899">
      <w:pPr>
        <w:adjustRightInd w:val="0"/>
        <w:snapToGrid w:val="0"/>
        <w:spacing w:line="360" w:lineRule="auto"/>
        <w:jc w:val="center"/>
        <w:rPr>
          <w:rFonts w:hint="eastAsia" w:ascii="宋体" w:hAnsi="宋体" w:cs="宋体"/>
          <w:color w:val="auto"/>
          <w:sz w:val="24"/>
          <w:highlight w:val="none"/>
        </w:rPr>
      </w:pPr>
    </w:p>
    <w:p w14:paraId="3D7DC2DE">
      <w:pPr>
        <w:adjustRightInd w:val="0"/>
        <w:snapToGri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F0BDA4C">
      <w:pPr>
        <w:adjustRightInd w:val="0"/>
        <w:snapToGrid w:val="0"/>
        <w:spacing w:line="360" w:lineRule="auto"/>
        <w:rPr>
          <w:rFonts w:hint="eastAsia" w:ascii="宋体" w:hAnsi="宋体" w:cs="宋体"/>
          <w:color w:val="auto"/>
          <w:sz w:val="24"/>
          <w:highlight w:val="none"/>
        </w:rPr>
      </w:pPr>
    </w:p>
    <w:p w14:paraId="3119C201">
      <w:pPr>
        <w:adjustRightInd w:val="0"/>
        <w:snapToGrid w:val="0"/>
        <w:spacing w:line="360" w:lineRule="auto"/>
        <w:rPr>
          <w:rFonts w:hint="eastAsia" w:ascii="宋体" w:hAnsi="宋体" w:cs="宋体"/>
          <w:color w:val="auto"/>
          <w:sz w:val="24"/>
          <w:highlight w:val="none"/>
        </w:rPr>
      </w:pPr>
    </w:p>
    <w:p w14:paraId="0E016888">
      <w:pPr>
        <w:adjustRightIn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目录</w:t>
      </w:r>
    </w:p>
    <w:p w14:paraId="2E17DD11">
      <w:pPr>
        <w:numPr>
          <w:ilvl w:val="0"/>
          <w:numId w:val="0"/>
        </w:numPr>
        <w:adjustRightIn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投标人自行编制</w:t>
      </w:r>
      <w:r>
        <w:rPr>
          <w:rFonts w:hint="eastAsia" w:ascii="宋体" w:hAnsi="宋体" w:cs="宋体"/>
          <w:color w:val="auto"/>
          <w:sz w:val="24"/>
          <w:highlight w:val="none"/>
          <w:lang w:eastAsia="zh-CN"/>
        </w:rPr>
        <w:t>）</w:t>
      </w:r>
      <w:r>
        <w:rPr>
          <w:rFonts w:hint="eastAsia" w:ascii="宋体" w:hAnsi="宋体" w:cs="宋体"/>
          <w:color w:val="auto"/>
          <w:sz w:val="24"/>
          <w:highlight w:val="none"/>
        </w:rPr>
        <w:br w:type="page"/>
      </w:r>
      <w:r>
        <w:rPr>
          <w:rFonts w:hint="eastAsia" w:ascii="宋体" w:hAnsi="宋体" w:cs="宋体"/>
          <w:b/>
          <w:color w:val="auto"/>
          <w:sz w:val="24"/>
          <w:highlight w:val="none"/>
        </w:rPr>
        <w:t>1、投标函及投标报价表</w:t>
      </w:r>
    </w:p>
    <w:p w14:paraId="6487370B">
      <w:pPr>
        <w:spacing w:line="360" w:lineRule="auto"/>
        <w:jc w:val="center"/>
        <w:outlineLvl w:val="1"/>
        <w:rPr>
          <w:rFonts w:hint="eastAsia" w:ascii="宋体" w:hAnsi="宋体" w:cs="宋体"/>
          <w:color w:val="auto"/>
          <w:sz w:val="24"/>
          <w:highlight w:val="none"/>
        </w:rPr>
      </w:pPr>
      <w:r>
        <w:rPr>
          <w:rFonts w:hint="eastAsia" w:ascii="宋体" w:hAnsi="宋体" w:cs="宋体"/>
          <w:color w:val="auto"/>
          <w:sz w:val="24"/>
          <w:highlight w:val="none"/>
        </w:rPr>
        <w:t>（一）投 标 函</w:t>
      </w:r>
    </w:p>
    <w:p w14:paraId="4DEA1041">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（招标人名称）：</w:t>
      </w:r>
    </w:p>
    <w:p w14:paraId="66D3C68F">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我们收到你们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号招标文件，经认真研究，我们决定参加投标。</w:t>
      </w:r>
    </w:p>
    <w:p w14:paraId="27994BD6">
      <w:pPr>
        <w:spacing w:line="360" w:lineRule="auto"/>
        <w:ind w:firstLine="482"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按照招标文件中的一切要求，提供招标货物、安装及技术服务投标总价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元（用阿拉伯数字书写）人民币，明细见投标产品名称数量报价表。</w:t>
      </w:r>
    </w:p>
    <w:p w14:paraId="649AF11B">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如果我们的投标书被接受，我们将履行招标文件中规定的每一项要求，按期、按质、按量完成交货和完工任务。</w:t>
      </w:r>
    </w:p>
    <w:p w14:paraId="28A7CD3C">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我们愿意提供采购人在招标文件中要求的所有资料。</w:t>
      </w:r>
    </w:p>
    <w:p w14:paraId="7D770DF6">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我们认为你们有选择或拒绝任何投标者中标的权力。我们理解，最低报价不是中标的唯一条件。</w:t>
      </w:r>
    </w:p>
    <w:p w14:paraId="61415199">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我们愿按合同法履行自己的全部责任。</w:t>
      </w:r>
    </w:p>
    <w:p w14:paraId="3AB1940A">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我方愿意遵守国家有关规定及招标文件中规定的收费标准，承付中标服务费。</w:t>
      </w:r>
    </w:p>
    <w:p w14:paraId="585A3584">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该项投标在开标后的全过程中保持有效，不作任何更改和变动。</w:t>
      </w:r>
    </w:p>
    <w:p w14:paraId="7784B87F">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综合说明：</w:t>
      </w:r>
    </w:p>
    <w:p w14:paraId="47262407">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（1）材料的详细技术参数、技术条件、技术标准、拟达到的质量标准和保险期限。</w:t>
      </w:r>
    </w:p>
    <w:p w14:paraId="3252F6A5">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（2）易损件、配件及供应方式。</w:t>
      </w:r>
    </w:p>
    <w:p w14:paraId="527D060F">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（3）安装计划、组织机构及人员安排。</w:t>
      </w:r>
    </w:p>
    <w:p w14:paraId="37E19794">
      <w:pPr>
        <w:spacing w:line="360" w:lineRule="auto"/>
        <w:ind w:firstLine="567"/>
        <w:outlineLvl w:val="2"/>
        <w:rPr>
          <w:rFonts w:hint="eastAsia" w:ascii="宋体" w:hAnsi="宋体" w:cs="宋体"/>
          <w:color w:val="auto"/>
          <w:sz w:val="24"/>
          <w:highlight w:val="none"/>
        </w:rPr>
      </w:pPr>
      <w:r>
        <w:rPr>
          <w:rFonts w:hint="eastAsia" w:ascii="宋体" w:hAnsi="宋体" w:cs="宋体"/>
          <w:color w:val="auto"/>
          <w:sz w:val="24"/>
          <w:highlight w:val="none"/>
        </w:rPr>
        <w:t>（5）技术服务。</w:t>
      </w:r>
    </w:p>
    <w:p w14:paraId="52A6CC3D">
      <w:pPr>
        <w:spacing w:line="360" w:lineRule="auto"/>
        <w:ind w:firstLine="567"/>
        <w:outlineLvl w:val="2"/>
        <w:rPr>
          <w:rFonts w:hint="eastAsia" w:ascii="宋体" w:hAnsi="宋体" w:cs="宋体"/>
          <w:color w:val="auto"/>
          <w:sz w:val="24"/>
          <w:highlight w:val="none"/>
        </w:rPr>
      </w:pPr>
      <w:r>
        <w:rPr>
          <w:rFonts w:hint="eastAsia" w:ascii="宋体" w:hAnsi="宋体" w:cs="宋体"/>
          <w:color w:val="auto"/>
          <w:sz w:val="24"/>
          <w:highlight w:val="none"/>
        </w:rPr>
        <w:t>（6）运输方式。</w:t>
      </w:r>
    </w:p>
    <w:p w14:paraId="0B9D1EC6">
      <w:pPr>
        <w:spacing w:line="360" w:lineRule="auto"/>
        <w:ind w:firstLine="567"/>
        <w:outlineLvl w:val="2"/>
        <w:rPr>
          <w:rFonts w:hint="eastAsia" w:ascii="宋体" w:hAnsi="宋体" w:cs="宋体"/>
          <w:color w:val="auto"/>
          <w:sz w:val="24"/>
          <w:highlight w:val="none"/>
        </w:rPr>
      </w:pPr>
      <w:r>
        <w:rPr>
          <w:rFonts w:hint="eastAsia" w:ascii="宋体" w:hAnsi="宋体" w:cs="宋体"/>
          <w:color w:val="auto"/>
          <w:sz w:val="24"/>
          <w:highlight w:val="none"/>
        </w:rPr>
        <w:t>（7）要求项目单位提供的配合。</w:t>
      </w:r>
    </w:p>
    <w:p w14:paraId="0B0AFF90">
      <w:pPr>
        <w:spacing w:line="360" w:lineRule="auto"/>
        <w:ind w:firstLine="567"/>
        <w:outlineLvl w:val="2"/>
        <w:rPr>
          <w:rFonts w:hint="eastAsia" w:ascii="宋体" w:hAnsi="宋体" w:cs="宋体"/>
          <w:color w:val="auto"/>
          <w:sz w:val="24"/>
          <w:highlight w:val="none"/>
        </w:rPr>
      </w:pPr>
      <w:r>
        <w:rPr>
          <w:rFonts w:hint="eastAsia" w:ascii="宋体" w:hAnsi="宋体" w:cs="宋体"/>
          <w:color w:val="auto"/>
          <w:sz w:val="24"/>
          <w:highlight w:val="none"/>
        </w:rPr>
        <w:t>（8）对招标文件内容有不同意见的偏离说明。</w:t>
      </w:r>
    </w:p>
    <w:p w14:paraId="57ED003B">
      <w:pPr>
        <w:spacing w:line="360" w:lineRule="auto"/>
        <w:ind w:firstLine="567"/>
        <w:outlineLvl w:val="2"/>
        <w:rPr>
          <w:rFonts w:hint="eastAsia" w:ascii="宋体" w:hAnsi="宋体" w:cs="宋体"/>
          <w:color w:val="auto"/>
          <w:sz w:val="24"/>
          <w:highlight w:val="none"/>
        </w:rPr>
      </w:pPr>
      <w:r>
        <w:rPr>
          <w:rFonts w:hint="eastAsia" w:ascii="宋体" w:hAnsi="宋体" w:cs="宋体"/>
          <w:color w:val="auto"/>
          <w:sz w:val="24"/>
          <w:highlight w:val="none"/>
        </w:rPr>
        <w:t>（9）其它。</w:t>
      </w:r>
    </w:p>
    <w:p w14:paraId="0F7A5CAD">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所有有关本标书的函电，请按下列地址联系：</w:t>
      </w:r>
    </w:p>
    <w:p w14:paraId="343BF61E">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单       位：</w:t>
      </w:r>
    </w:p>
    <w:p w14:paraId="63E73B0E">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地       址：</w:t>
      </w:r>
    </w:p>
    <w:p w14:paraId="7F9509A8">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电       话：</w:t>
      </w:r>
    </w:p>
    <w:p w14:paraId="2AF31F60">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传       真：</w:t>
      </w:r>
    </w:p>
    <w:p w14:paraId="03761EB0">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邮 政 编 码：</w:t>
      </w:r>
    </w:p>
    <w:p w14:paraId="7AD12449">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联  系  人：</w:t>
      </w:r>
    </w:p>
    <w:p w14:paraId="6A5A2E8A">
      <w:pPr>
        <w:spacing w:line="360" w:lineRule="auto"/>
        <w:ind w:firstLine="567"/>
        <w:rPr>
          <w:rFonts w:hint="eastAsia" w:ascii="宋体" w:hAnsi="宋体" w:cs="宋体"/>
          <w:color w:val="auto"/>
          <w:sz w:val="24"/>
          <w:highlight w:val="none"/>
        </w:rPr>
      </w:pPr>
    </w:p>
    <w:p w14:paraId="164C73CF">
      <w:pPr>
        <w:spacing w:line="360" w:lineRule="auto"/>
        <w:ind w:firstLine="432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（公章）</w:t>
      </w:r>
    </w:p>
    <w:p w14:paraId="3A66BA11">
      <w:pPr>
        <w:spacing w:line="360" w:lineRule="auto"/>
        <w:ind w:firstLine="3133" w:firstLineChars="1300"/>
        <w:jc w:val="left"/>
        <w:rPr>
          <w:rFonts w:hint="eastAsia" w:ascii="宋体" w:hAnsi="宋体" w:cs="宋体"/>
          <w:color w:val="auto"/>
          <w:sz w:val="24"/>
          <w:highlight w:val="none"/>
        </w:rPr>
      </w:pPr>
      <w:r>
        <w:rPr>
          <w:rFonts w:hint="eastAsia" w:ascii="宋体" w:hAnsi="宋体" w:cs="宋体"/>
          <w:color w:val="auto"/>
          <w:sz w:val="24"/>
          <w:highlight w:val="none"/>
        </w:rPr>
        <w:t xml:space="preserve">法定代表人或其委托代理人：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（签章）</w:t>
      </w:r>
    </w:p>
    <w:p w14:paraId="2C1D4150">
      <w:pPr>
        <w:spacing w:line="360" w:lineRule="auto"/>
        <w:jc w:val="right"/>
        <w:rPr>
          <w:rFonts w:hint="eastAsia" w:ascii="宋体" w:hAnsi="宋体" w:cs="宋体"/>
          <w:bCs/>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14:paraId="3BCB74F9">
      <w:pPr>
        <w:spacing w:line="360" w:lineRule="auto"/>
        <w:jc w:val="center"/>
        <w:rPr>
          <w:rFonts w:hint="eastAsia" w:ascii="宋体" w:hAnsi="宋体" w:cs="宋体"/>
          <w:bCs/>
          <w:color w:val="auto"/>
          <w:sz w:val="24"/>
          <w:highlight w:val="none"/>
        </w:rPr>
      </w:pPr>
    </w:p>
    <w:p w14:paraId="27B4E001">
      <w:pPr>
        <w:spacing w:line="360" w:lineRule="auto"/>
        <w:jc w:val="center"/>
        <w:rPr>
          <w:rFonts w:hint="eastAsia" w:ascii="宋体" w:hAnsi="宋体" w:cs="宋体"/>
          <w:bCs/>
          <w:color w:val="auto"/>
          <w:sz w:val="24"/>
          <w:highlight w:val="none"/>
        </w:rPr>
      </w:pPr>
    </w:p>
    <w:p w14:paraId="1C9BFF04">
      <w:pPr>
        <w:pStyle w:val="23"/>
        <w:rPr>
          <w:rFonts w:hint="eastAsia" w:ascii="宋体" w:hAnsi="宋体" w:cs="宋体"/>
          <w:bCs/>
          <w:color w:val="auto"/>
          <w:sz w:val="24"/>
          <w:highlight w:val="none"/>
        </w:rPr>
      </w:pPr>
    </w:p>
    <w:p w14:paraId="55DDF14A">
      <w:pPr>
        <w:pStyle w:val="23"/>
        <w:rPr>
          <w:rFonts w:hint="eastAsia" w:ascii="宋体" w:hAnsi="宋体" w:cs="宋体"/>
          <w:bCs/>
          <w:color w:val="auto"/>
          <w:sz w:val="24"/>
          <w:highlight w:val="none"/>
        </w:rPr>
      </w:pPr>
    </w:p>
    <w:p w14:paraId="17766B71">
      <w:pPr>
        <w:pStyle w:val="23"/>
        <w:rPr>
          <w:rFonts w:hint="eastAsia" w:ascii="宋体" w:hAnsi="宋体" w:cs="宋体"/>
          <w:bCs/>
          <w:color w:val="auto"/>
          <w:sz w:val="24"/>
          <w:highlight w:val="none"/>
        </w:rPr>
      </w:pPr>
    </w:p>
    <w:p w14:paraId="26FC87A3">
      <w:pPr>
        <w:pStyle w:val="23"/>
        <w:rPr>
          <w:rFonts w:hint="eastAsia" w:ascii="宋体" w:hAnsi="宋体" w:cs="宋体"/>
          <w:bCs/>
          <w:color w:val="auto"/>
          <w:sz w:val="24"/>
          <w:highlight w:val="none"/>
        </w:rPr>
      </w:pPr>
    </w:p>
    <w:p w14:paraId="0C1AE17B">
      <w:pPr>
        <w:pStyle w:val="23"/>
        <w:rPr>
          <w:rFonts w:hint="eastAsia" w:ascii="宋体" w:hAnsi="宋体" w:cs="宋体"/>
          <w:bCs/>
          <w:color w:val="auto"/>
          <w:sz w:val="24"/>
          <w:highlight w:val="none"/>
        </w:rPr>
      </w:pPr>
    </w:p>
    <w:p w14:paraId="7858152E">
      <w:pPr>
        <w:pStyle w:val="23"/>
        <w:rPr>
          <w:rFonts w:hint="eastAsia" w:ascii="宋体" w:hAnsi="宋体" w:cs="宋体"/>
          <w:bCs/>
          <w:color w:val="auto"/>
          <w:sz w:val="24"/>
          <w:highlight w:val="none"/>
        </w:rPr>
      </w:pPr>
    </w:p>
    <w:p w14:paraId="22205FD4">
      <w:pPr>
        <w:pStyle w:val="23"/>
        <w:rPr>
          <w:rFonts w:hint="eastAsia" w:ascii="宋体" w:hAnsi="宋体" w:cs="宋体"/>
          <w:bCs/>
          <w:color w:val="auto"/>
          <w:sz w:val="24"/>
          <w:highlight w:val="none"/>
        </w:rPr>
      </w:pPr>
    </w:p>
    <w:p w14:paraId="704F46D3">
      <w:pPr>
        <w:pStyle w:val="23"/>
        <w:rPr>
          <w:rFonts w:hint="eastAsia" w:ascii="宋体" w:hAnsi="宋体" w:cs="宋体"/>
          <w:bCs/>
          <w:color w:val="auto"/>
          <w:sz w:val="24"/>
          <w:highlight w:val="none"/>
        </w:rPr>
      </w:pPr>
    </w:p>
    <w:p w14:paraId="75DA158A">
      <w:pPr>
        <w:pStyle w:val="23"/>
        <w:rPr>
          <w:rFonts w:hint="eastAsia" w:ascii="宋体" w:hAnsi="宋体" w:cs="宋体"/>
          <w:bCs/>
          <w:color w:val="auto"/>
          <w:sz w:val="24"/>
          <w:highlight w:val="none"/>
        </w:rPr>
      </w:pPr>
    </w:p>
    <w:p w14:paraId="22434EFE">
      <w:pPr>
        <w:pStyle w:val="23"/>
        <w:rPr>
          <w:rFonts w:hint="eastAsia" w:ascii="宋体" w:hAnsi="宋体" w:cs="宋体"/>
          <w:bCs/>
          <w:color w:val="auto"/>
          <w:sz w:val="24"/>
          <w:highlight w:val="none"/>
        </w:rPr>
      </w:pPr>
    </w:p>
    <w:p w14:paraId="42818D67">
      <w:pPr>
        <w:pStyle w:val="23"/>
        <w:rPr>
          <w:rFonts w:hint="eastAsia" w:ascii="宋体" w:hAnsi="宋体" w:cs="宋体"/>
          <w:bCs/>
          <w:color w:val="auto"/>
          <w:sz w:val="24"/>
          <w:highlight w:val="none"/>
        </w:rPr>
      </w:pPr>
    </w:p>
    <w:p w14:paraId="7960F1A6">
      <w:pPr>
        <w:pStyle w:val="23"/>
        <w:rPr>
          <w:rFonts w:hint="eastAsia" w:ascii="宋体" w:hAnsi="宋体" w:cs="宋体"/>
          <w:bCs/>
          <w:color w:val="auto"/>
          <w:sz w:val="24"/>
          <w:highlight w:val="none"/>
        </w:rPr>
      </w:pPr>
    </w:p>
    <w:p w14:paraId="557E9393">
      <w:pPr>
        <w:pStyle w:val="23"/>
        <w:rPr>
          <w:rFonts w:hint="eastAsia" w:ascii="宋体" w:hAnsi="宋体" w:cs="宋体"/>
          <w:bCs/>
          <w:color w:val="auto"/>
          <w:sz w:val="24"/>
          <w:highlight w:val="none"/>
        </w:rPr>
      </w:pPr>
    </w:p>
    <w:p w14:paraId="5C5A4015">
      <w:pPr>
        <w:pStyle w:val="23"/>
        <w:rPr>
          <w:rFonts w:hint="eastAsia" w:ascii="宋体" w:hAnsi="宋体" w:cs="宋体"/>
          <w:bCs/>
          <w:color w:val="auto"/>
          <w:sz w:val="24"/>
          <w:highlight w:val="none"/>
        </w:rPr>
      </w:pPr>
    </w:p>
    <w:p w14:paraId="6DDA68BB">
      <w:pPr>
        <w:pStyle w:val="23"/>
        <w:rPr>
          <w:rFonts w:hint="eastAsia" w:ascii="宋体" w:hAnsi="宋体" w:cs="宋体"/>
          <w:bCs/>
          <w:color w:val="auto"/>
          <w:sz w:val="24"/>
          <w:highlight w:val="none"/>
        </w:rPr>
      </w:pPr>
    </w:p>
    <w:p w14:paraId="3DD3460F">
      <w:pPr>
        <w:pStyle w:val="23"/>
        <w:rPr>
          <w:rFonts w:hint="eastAsia" w:ascii="宋体" w:hAnsi="宋体" w:cs="宋体"/>
          <w:bCs/>
          <w:color w:val="auto"/>
          <w:sz w:val="24"/>
          <w:highlight w:val="none"/>
        </w:rPr>
      </w:pPr>
    </w:p>
    <w:p w14:paraId="054F6787">
      <w:pPr>
        <w:pStyle w:val="23"/>
        <w:rPr>
          <w:rFonts w:hint="eastAsia" w:ascii="宋体" w:hAnsi="宋体" w:cs="宋体"/>
          <w:bCs/>
          <w:color w:val="auto"/>
          <w:sz w:val="24"/>
          <w:highlight w:val="none"/>
        </w:rPr>
      </w:pPr>
    </w:p>
    <w:p w14:paraId="21B27DC2">
      <w:pPr>
        <w:pStyle w:val="23"/>
        <w:rPr>
          <w:rFonts w:hint="eastAsia" w:ascii="宋体" w:hAnsi="宋体" w:cs="宋体"/>
          <w:bCs/>
          <w:color w:val="auto"/>
          <w:sz w:val="24"/>
          <w:highlight w:val="none"/>
        </w:rPr>
      </w:pPr>
    </w:p>
    <w:p w14:paraId="2F0D128F">
      <w:pPr>
        <w:pStyle w:val="23"/>
        <w:rPr>
          <w:rFonts w:hint="eastAsia" w:ascii="宋体" w:hAnsi="宋体" w:cs="宋体"/>
          <w:bCs/>
          <w:color w:val="auto"/>
          <w:sz w:val="24"/>
          <w:highlight w:val="none"/>
        </w:rPr>
      </w:pPr>
    </w:p>
    <w:p w14:paraId="132C1441">
      <w:pPr>
        <w:pStyle w:val="23"/>
        <w:rPr>
          <w:rFonts w:hint="eastAsia" w:ascii="宋体" w:hAnsi="宋体" w:cs="宋体"/>
          <w:bCs/>
          <w:color w:val="auto"/>
          <w:sz w:val="24"/>
          <w:highlight w:val="none"/>
        </w:rPr>
      </w:pPr>
    </w:p>
    <w:p w14:paraId="13F5C910">
      <w:pPr>
        <w:pStyle w:val="23"/>
        <w:rPr>
          <w:rFonts w:hint="eastAsia" w:ascii="宋体" w:hAnsi="宋体" w:cs="宋体"/>
          <w:bCs/>
          <w:color w:val="auto"/>
          <w:sz w:val="24"/>
          <w:highlight w:val="none"/>
        </w:rPr>
      </w:pPr>
    </w:p>
    <w:p w14:paraId="073DDF14">
      <w:pPr>
        <w:pStyle w:val="23"/>
        <w:rPr>
          <w:rFonts w:hint="eastAsia" w:ascii="宋体" w:hAnsi="宋体" w:cs="宋体"/>
          <w:bCs/>
          <w:color w:val="auto"/>
          <w:sz w:val="24"/>
          <w:highlight w:val="none"/>
        </w:rPr>
      </w:pPr>
    </w:p>
    <w:p w14:paraId="7640B9BC">
      <w:pPr>
        <w:pStyle w:val="23"/>
        <w:rPr>
          <w:rFonts w:hint="eastAsia" w:ascii="宋体" w:hAnsi="宋体" w:cs="宋体"/>
          <w:bCs/>
          <w:color w:val="auto"/>
          <w:sz w:val="24"/>
          <w:highlight w:val="none"/>
        </w:rPr>
      </w:pPr>
    </w:p>
    <w:p w14:paraId="54245FED">
      <w:pPr>
        <w:pStyle w:val="23"/>
        <w:rPr>
          <w:rFonts w:hint="eastAsia" w:ascii="宋体" w:hAnsi="宋体" w:cs="宋体"/>
          <w:bCs/>
          <w:color w:val="auto"/>
          <w:sz w:val="24"/>
          <w:highlight w:val="none"/>
        </w:rPr>
      </w:pPr>
    </w:p>
    <w:p w14:paraId="4A960FEC">
      <w:pPr>
        <w:pStyle w:val="23"/>
        <w:rPr>
          <w:rFonts w:hint="eastAsia" w:ascii="宋体" w:hAnsi="宋体" w:cs="宋体"/>
          <w:bCs/>
          <w:color w:val="auto"/>
          <w:sz w:val="24"/>
          <w:highlight w:val="none"/>
        </w:rPr>
      </w:pPr>
    </w:p>
    <w:p w14:paraId="030CD588">
      <w:pPr>
        <w:pStyle w:val="23"/>
        <w:rPr>
          <w:rFonts w:hint="eastAsia" w:ascii="宋体" w:hAnsi="宋体" w:cs="宋体"/>
          <w:bCs/>
          <w:color w:val="auto"/>
          <w:sz w:val="24"/>
          <w:highlight w:val="none"/>
        </w:rPr>
      </w:pPr>
    </w:p>
    <w:p w14:paraId="42167C5E">
      <w:pPr>
        <w:spacing w:line="360" w:lineRule="auto"/>
        <w:jc w:val="center"/>
        <w:outlineLvl w:val="1"/>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（二）、法定代表人身份证明</w:t>
      </w:r>
    </w:p>
    <w:p w14:paraId="2BC1804A">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7B5670A0">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单位性质：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E9B8A27">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413538FD">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成立时间：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日</w:t>
      </w:r>
    </w:p>
    <w:p w14:paraId="6EA42258">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经营期限：</w:t>
      </w:r>
      <w:r>
        <w:rPr>
          <w:rFonts w:hint="eastAsia" w:ascii="宋体" w:hAnsi="宋体" w:cs="宋体"/>
          <w:color w:val="auto"/>
          <w:sz w:val="24"/>
          <w:highlight w:val="none"/>
          <w:u w:val="single"/>
        </w:rPr>
        <w:t xml:space="preserve">                               </w:t>
      </w:r>
    </w:p>
    <w:p w14:paraId="6EAAB6A0">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BF80216">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p>
    <w:p w14:paraId="68EC0550">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（投标人名称）的法定代表人。</w:t>
      </w:r>
    </w:p>
    <w:p w14:paraId="479CDA52">
      <w:pPr>
        <w:spacing w:line="360" w:lineRule="auto"/>
        <w:ind w:firstLine="964" w:firstLineChars="400"/>
        <w:rPr>
          <w:rFonts w:hint="eastAsia" w:ascii="宋体" w:hAnsi="宋体" w:cs="宋体"/>
          <w:color w:val="auto"/>
          <w:sz w:val="24"/>
          <w:highlight w:val="none"/>
        </w:rPr>
      </w:pPr>
      <w:r>
        <w:rPr>
          <w:rFonts w:hint="eastAsia" w:ascii="宋体" w:hAnsi="宋体" w:cs="宋体"/>
          <w:color w:val="auto"/>
          <w:sz w:val="24"/>
          <w:highlight w:val="none"/>
        </w:rPr>
        <w:t>特此证明。</w:t>
      </w:r>
    </w:p>
    <w:p w14:paraId="15E41233">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注：后附法定代表人身份证复印件</w:t>
      </w:r>
    </w:p>
    <w:p w14:paraId="015C0BDE">
      <w:pPr>
        <w:spacing w:line="360" w:lineRule="auto"/>
        <w:rPr>
          <w:rFonts w:hint="eastAsia" w:ascii="宋体" w:hAnsi="宋体" w:cs="宋体"/>
          <w:color w:val="auto"/>
          <w:sz w:val="24"/>
          <w:highlight w:val="none"/>
        </w:rPr>
      </w:pPr>
    </w:p>
    <w:p w14:paraId="2F5C02B0">
      <w:pPr>
        <w:spacing w:line="360" w:lineRule="auto"/>
        <w:rPr>
          <w:rFonts w:hint="eastAsia" w:ascii="宋体" w:hAnsi="宋体" w:cs="宋体"/>
          <w:color w:val="auto"/>
          <w:sz w:val="24"/>
          <w:highlight w:val="none"/>
        </w:rPr>
      </w:pPr>
    </w:p>
    <w:p w14:paraId="0119740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4D7FDD8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法定代表或委托代理人：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（签章）</w:t>
      </w:r>
    </w:p>
    <w:p w14:paraId="50A757E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14:paraId="6D10658C">
      <w:pPr>
        <w:pStyle w:val="23"/>
        <w:rPr>
          <w:rFonts w:hint="eastAsia" w:ascii="宋体" w:hAnsi="宋体" w:cs="宋体"/>
          <w:color w:val="auto"/>
          <w:sz w:val="24"/>
          <w:highlight w:val="none"/>
        </w:rPr>
      </w:pPr>
    </w:p>
    <w:p w14:paraId="2124D070">
      <w:pPr>
        <w:pStyle w:val="23"/>
        <w:rPr>
          <w:rFonts w:hint="eastAsia" w:ascii="宋体" w:hAnsi="宋体" w:cs="宋体"/>
          <w:color w:val="auto"/>
          <w:sz w:val="24"/>
          <w:highlight w:val="none"/>
        </w:rPr>
      </w:pPr>
    </w:p>
    <w:p w14:paraId="419E1284">
      <w:pPr>
        <w:pStyle w:val="23"/>
        <w:rPr>
          <w:rFonts w:hint="eastAsia" w:ascii="宋体" w:hAnsi="宋体" w:cs="宋体"/>
          <w:color w:val="auto"/>
          <w:sz w:val="24"/>
          <w:highlight w:val="none"/>
        </w:rPr>
      </w:pPr>
    </w:p>
    <w:p w14:paraId="7676228A">
      <w:pPr>
        <w:pStyle w:val="23"/>
        <w:rPr>
          <w:rFonts w:hint="eastAsia" w:ascii="宋体" w:hAnsi="宋体" w:cs="宋体"/>
          <w:color w:val="auto"/>
          <w:sz w:val="24"/>
          <w:highlight w:val="none"/>
        </w:rPr>
      </w:pPr>
    </w:p>
    <w:p w14:paraId="50CB710D">
      <w:pPr>
        <w:pStyle w:val="23"/>
        <w:rPr>
          <w:rFonts w:hint="eastAsia" w:ascii="宋体" w:hAnsi="宋体" w:cs="宋体"/>
          <w:color w:val="auto"/>
          <w:sz w:val="24"/>
          <w:highlight w:val="none"/>
        </w:rPr>
      </w:pPr>
    </w:p>
    <w:p w14:paraId="4A1F9891">
      <w:pPr>
        <w:pStyle w:val="23"/>
        <w:rPr>
          <w:rFonts w:hint="eastAsia" w:ascii="宋体" w:hAnsi="宋体" w:cs="宋体"/>
          <w:color w:val="auto"/>
          <w:sz w:val="24"/>
          <w:highlight w:val="none"/>
        </w:rPr>
      </w:pPr>
    </w:p>
    <w:p w14:paraId="5E79C63B">
      <w:pPr>
        <w:pStyle w:val="23"/>
        <w:rPr>
          <w:rFonts w:hint="eastAsia" w:ascii="宋体" w:hAnsi="宋体" w:cs="宋体"/>
          <w:color w:val="auto"/>
          <w:sz w:val="24"/>
          <w:highlight w:val="none"/>
        </w:rPr>
      </w:pPr>
    </w:p>
    <w:p w14:paraId="7FAC9965">
      <w:pPr>
        <w:pStyle w:val="23"/>
        <w:rPr>
          <w:rFonts w:hint="eastAsia" w:ascii="宋体" w:hAnsi="宋体" w:cs="宋体"/>
          <w:color w:val="auto"/>
          <w:sz w:val="24"/>
          <w:highlight w:val="none"/>
        </w:rPr>
      </w:pPr>
    </w:p>
    <w:p w14:paraId="1D47336B">
      <w:pPr>
        <w:pStyle w:val="23"/>
        <w:rPr>
          <w:rFonts w:hint="eastAsia" w:ascii="宋体" w:hAnsi="宋体" w:cs="宋体"/>
          <w:color w:val="auto"/>
          <w:sz w:val="24"/>
          <w:highlight w:val="none"/>
        </w:rPr>
      </w:pPr>
    </w:p>
    <w:p w14:paraId="4E6372FE">
      <w:pPr>
        <w:pStyle w:val="23"/>
        <w:rPr>
          <w:rFonts w:hint="eastAsia" w:ascii="宋体" w:hAnsi="宋体" w:cs="宋体"/>
          <w:color w:val="auto"/>
          <w:sz w:val="24"/>
          <w:highlight w:val="none"/>
        </w:rPr>
      </w:pPr>
    </w:p>
    <w:p w14:paraId="6EAE1731">
      <w:pPr>
        <w:pStyle w:val="23"/>
        <w:rPr>
          <w:rFonts w:hint="eastAsia" w:ascii="宋体" w:hAnsi="宋体" w:cs="宋体"/>
          <w:color w:val="auto"/>
          <w:sz w:val="24"/>
          <w:highlight w:val="none"/>
        </w:rPr>
      </w:pPr>
    </w:p>
    <w:p w14:paraId="7AABD2F7">
      <w:pPr>
        <w:pStyle w:val="23"/>
        <w:rPr>
          <w:rFonts w:hint="eastAsia" w:ascii="宋体" w:hAnsi="宋体" w:cs="宋体"/>
          <w:color w:val="auto"/>
          <w:sz w:val="24"/>
          <w:highlight w:val="none"/>
        </w:rPr>
      </w:pPr>
    </w:p>
    <w:p w14:paraId="6CE46907">
      <w:pPr>
        <w:pStyle w:val="23"/>
        <w:rPr>
          <w:rFonts w:hint="eastAsia" w:ascii="宋体" w:hAnsi="宋体" w:cs="宋体"/>
          <w:color w:val="auto"/>
          <w:sz w:val="24"/>
          <w:highlight w:val="none"/>
        </w:rPr>
      </w:pPr>
    </w:p>
    <w:p w14:paraId="0F95DFF2">
      <w:pPr>
        <w:pStyle w:val="23"/>
        <w:rPr>
          <w:rFonts w:hint="eastAsia" w:ascii="宋体" w:hAnsi="宋体" w:cs="宋体"/>
          <w:color w:val="auto"/>
          <w:sz w:val="24"/>
          <w:highlight w:val="none"/>
        </w:rPr>
      </w:pPr>
    </w:p>
    <w:p w14:paraId="4A13BC11">
      <w:pPr>
        <w:pStyle w:val="23"/>
        <w:rPr>
          <w:rFonts w:hint="eastAsia" w:ascii="宋体" w:hAnsi="宋体" w:cs="宋体"/>
          <w:color w:val="auto"/>
          <w:sz w:val="24"/>
          <w:highlight w:val="none"/>
        </w:rPr>
      </w:pPr>
    </w:p>
    <w:p w14:paraId="303E231B">
      <w:pPr>
        <w:pStyle w:val="23"/>
        <w:rPr>
          <w:rFonts w:hint="eastAsia" w:ascii="宋体" w:hAnsi="宋体" w:cs="宋体"/>
          <w:color w:val="auto"/>
          <w:sz w:val="24"/>
          <w:highlight w:val="none"/>
        </w:rPr>
      </w:pPr>
    </w:p>
    <w:p w14:paraId="2F749E33">
      <w:pPr>
        <w:spacing w:line="360" w:lineRule="auto"/>
        <w:rPr>
          <w:rFonts w:hint="eastAsia" w:ascii="宋体" w:hAnsi="宋体" w:cs="宋体"/>
          <w:color w:val="auto"/>
          <w:sz w:val="24"/>
          <w:highlight w:val="none"/>
        </w:rPr>
      </w:pPr>
    </w:p>
    <w:p w14:paraId="78AF3A2B">
      <w:pPr>
        <w:spacing w:line="360" w:lineRule="auto"/>
        <w:jc w:val="center"/>
        <w:outlineLvl w:val="1"/>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（三）、法定代表人的授权委托书</w:t>
      </w:r>
    </w:p>
    <w:p w14:paraId="478C2FAF">
      <w:pPr>
        <w:spacing w:line="360" w:lineRule="auto"/>
        <w:rPr>
          <w:rFonts w:hint="eastAsia" w:ascii="宋体" w:hAnsi="宋体" w:cs="宋体"/>
          <w:color w:val="auto"/>
          <w:sz w:val="24"/>
          <w:highlight w:val="none"/>
        </w:rPr>
      </w:pPr>
    </w:p>
    <w:p w14:paraId="43041848">
      <w:pPr>
        <w:topLinePunct/>
        <w:spacing w:line="360" w:lineRule="auto"/>
        <w:ind w:firstLine="723" w:firstLineChars="300"/>
        <w:rPr>
          <w:rFonts w:hint="eastAsia"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（姓名）为我方代理人。代理人根据授权，以我方名义签署、澄清、说明、补正、递交、撤回、修改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投标文件、签订合同和处理有关事宜，其法律后果由我方承担。</w:t>
      </w:r>
    </w:p>
    <w:p w14:paraId="6762E0A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291BC44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委托期限：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1E0276D">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代理人无转委托权。</w:t>
      </w:r>
    </w:p>
    <w:p w14:paraId="2F05394A">
      <w:pPr>
        <w:spacing w:line="360" w:lineRule="auto"/>
        <w:ind w:firstLine="482" w:firstLineChars="200"/>
        <w:rPr>
          <w:rFonts w:hint="eastAsia" w:ascii="宋体" w:hAnsi="宋体" w:cs="宋体"/>
          <w:color w:val="auto"/>
          <w:sz w:val="24"/>
          <w:highlight w:val="none"/>
        </w:rPr>
      </w:pPr>
    </w:p>
    <w:p w14:paraId="35B3E31C">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附：法定代表人身份证、委托代理人身份证复印件</w:t>
      </w:r>
    </w:p>
    <w:p w14:paraId="3CF3349C">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3A76DD10">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p>
    <w:p w14:paraId="789FC4A5">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4C1D93DE">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（签字） </w:t>
      </w:r>
    </w:p>
    <w:p w14:paraId="45B8FC62">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B82C35D">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10C7E51">
      <w:pPr>
        <w:spacing w:line="360" w:lineRule="auto"/>
        <w:jc w:val="center"/>
        <w:rPr>
          <w:rFonts w:hint="eastAsia" w:ascii="宋体" w:hAnsi="宋体" w:cs="宋体"/>
          <w:b/>
          <w:color w:val="auto"/>
          <w:sz w:val="24"/>
          <w:highlight w:val="none"/>
        </w:rPr>
      </w:pPr>
    </w:p>
    <w:p w14:paraId="5E8875BA">
      <w:pPr>
        <w:spacing w:line="360" w:lineRule="auto"/>
        <w:jc w:val="left"/>
        <w:outlineLvl w:val="1"/>
        <w:rPr>
          <w:rFonts w:hint="eastAsia" w:ascii="宋体" w:hAnsi="宋体" w:cs="宋体"/>
          <w:b/>
          <w:color w:val="auto"/>
          <w:sz w:val="24"/>
          <w:highlight w:val="none"/>
        </w:rPr>
      </w:pPr>
    </w:p>
    <w:p w14:paraId="639E52C4">
      <w:pPr>
        <w:spacing w:line="360" w:lineRule="auto"/>
        <w:jc w:val="left"/>
        <w:outlineLvl w:val="1"/>
        <w:rPr>
          <w:rFonts w:hint="eastAsia" w:ascii="宋体" w:hAnsi="宋体" w:cs="宋体"/>
          <w:b/>
          <w:color w:val="auto"/>
          <w:sz w:val="24"/>
          <w:highlight w:val="none"/>
        </w:rPr>
      </w:pPr>
    </w:p>
    <w:p w14:paraId="479C7E32">
      <w:pPr>
        <w:pStyle w:val="7"/>
        <w:rPr>
          <w:rFonts w:hint="eastAsia" w:ascii="宋体" w:hAnsi="宋体" w:cs="宋体"/>
          <w:b/>
          <w:color w:val="auto"/>
          <w:sz w:val="24"/>
          <w:highlight w:val="none"/>
        </w:rPr>
      </w:pPr>
    </w:p>
    <w:p w14:paraId="1E90CDA7">
      <w:pPr>
        <w:rPr>
          <w:rFonts w:hint="eastAsia" w:ascii="宋体" w:hAnsi="宋体" w:cs="宋体"/>
          <w:b/>
          <w:color w:val="auto"/>
          <w:sz w:val="24"/>
          <w:highlight w:val="none"/>
        </w:rPr>
      </w:pPr>
    </w:p>
    <w:p w14:paraId="26731DDE">
      <w:pPr>
        <w:pStyle w:val="7"/>
        <w:rPr>
          <w:rFonts w:hint="eastAsia" w:ascii="宋体" w:hAnsi="宋体" w:cs="宋体"/>
          <w:b/>
          <w:color w:val="auto"/>
          <w:sz w:val="24"/>
          <w:highlight w:val="none"/>
        </w:rPr>
      </w:pPr>
    </w:p>
    <w:p w14:paraId="52D6D5AF">
      <w:pPr>
        <w:rPr>
          <w:rFonts w:hint="eastAsia" w:ascii="宋体" w:hAnsi="宋体" w:cs="宋体"/>
          <w:b/>
          <w:color w:val="auto"/>
          <w:sz w:val="24"/>
          <w:highlight w:val="none"/>
        </w:rPr>
      </w:pPr>
    </w:p>
    <w:p w14:paraId="3993FD96">
      <w:pPr>
        <w:pStyle w:val="7"/>
        <w:rPr>
          <w:rFonts w:hint="eastAsia" w:ascii="宋体" w:hAnsi="宋体" w:cs="宋体"/>
          <w:b/>
          <w:color w:val="auto"/>
          <w:sz w:val="24"/>
          <w:highlight w:val="none"/>
        </w:rPr>
      </w:pPr>
    </w:p>
    <w:p w14:paraId="2C5E7C9C">
      <w:pPr>
        <w:rPr>
          <w:rFonts w:hint="eastAsia" w:ascii="宋体" w:hAnsi="宋体" w:cs="宋体"/>
          <w:b/>
          <w:color w:val="auto"/>
          <w:sz w:val="24"/>
          <w:highlight w:val="none"/>
        </w:rPr>
      </w:pPr>
    </w:p>
    <w:p w14:paraId="15A99688">
      <w:pPr>
        <w:pStyle w:val="7"/>
        <w:rPr>
          <w:rFonts w:hint="eastAsia" w:ascii="宋体" w:hAnsi="宋体" w:cs="宋体"/>
          <w:b/>
          <w:color w:val="auto"/>
          <w:sz w:val="24"/>
          <w:highlight w:val="none"/>
        </w:rPr>
      </w:pPr>
    </w:p>
    <w:p w14:paraId="751714ED">
      <w:pPr>
        <w:rPr>
          <w:rFonts w:hint="eastAsia" w:ascii="宋体" w:hAnsi="宋体" w:cs="宋体"/>
          <w:b/>
          <w:color w:val="auto"/>
          <w:sz w:val="24"/>
          <w:highlight w:val="none"/>
        </w:rPr>
      </w:pPr>
    </w:p>
    <w:p w14:paraId="2073DF1A">
      <w:pPr>
        <w:pStyle w:val="7"/>
        <w:rPr>
          <w:rFonts w:hint="eastAsia" w:ascii="宋体" w:hAnsi="宋体" w:cs="宋体"/>
          <w:b/>
          <w:color w:val="auto"/>
          <w:sz w:val="24"/>
          <w:highlight w:val="none"/>
        </w:rPr>
      </w:pPr>
    </w:p>
    <w:p w14:paraId="4920447D">
      <w:pPr>
        <w:rPr>
          <w:rFonts w:hint="eastAsia" w:ascii="宋体" w:hAnsi="宋体" w:cs="宋体"/>
          <w:b/>
          <w:color w:val="auto"/>
          <w:sz w:val="24"/>
          <w:highlight w:val="none"/>
        </w:rPr>
      </w:pPr>
    </w:p>
    <w:p w14:paraId="7A19AB50">
      <w:pPr>
        <w:pStyle w:val="7"/>
        <w:rPr>
          <w:rFonts w:hint="eastAsia"/>
          <w:color w:val="auto"/>
        </w:rPr>
      </w:pPr>
    </w:p>
    <w:p w14:paraId="554DDECC">
      <w:pPr>
        <w:spacing w:line="360" w:lineRule="auto"/>
        <w:jc w:val="left"/>
        <w:outlineLvl w:val="1"/>
        <w:rPr>
          <w:rFonts w:hint="eastAsia" w:ascii="宋体" w:hAnsi="宋体" w:cs="宋体"/>
          <w:b/>
          <w:color w:val="auto"/>
          <w:sz w:val="24"/>
          <w:highlight w:val="none"/>
        </w:rPr>
      </w:pPr>
    </w:p>
    <w:p w14:paraId="759B840D">
      <w:pPr>
        <w:tabs>
          <w:tab w:val="center" w:pos="7115"/>
          <w:tab w:val="right" w:pos="14230"/>
        </w:tabs>
        <w:spacing w:line="360" w:lineRule="auto"/>
        <w:jc w:val="center"/>
        <w:outlineLvl w:val="1"/>
        <w:rPr>
          <w:rFonts w:hint="eastAsia" w:ascii="宋体" w:hAnsi="宋体" w:cs="宋体"/>
          <w:b/>
          <w:color w:val="auto"/>
          <w:sz w:val="24"/>
          <w:highlight w:val="none"/>
        </w:rPr>
        <w:sectPr>
          <w:pgSz w:w="11849" w:h="16781"/>
          <w:pgMar w:top="1440" w:right="1080" w:bottom="1440" w:left="1080" w:header="851" w:footer="850" w:gutter="0"/>
          <w:cols w:space="720" w:num="1"/>
          <w:titlePg/>
          <w:docGrid w:type="linesAndChars" w:linePitch="320" w:charSpace="269"/>
        </w:sectPr>
      </w:pPr>
    </w:p>
    <w:p w14:paraId="549EA435">
      <w:pPr>
        <w:tabs>
          <w:tab w:val="center" w:pos="7115"/>
          <w:tab w:val="right" w:pos="14230"/>
        </w:tabs>
        <w:spacing w:line="360" w:lineRule="auto"/>
        <w:jc w:val="center"/>
        <w:outlineLvl w:val="1"/>
        <w:rPr>
          <w:rFonts w:hint="eastAsia" w:ascii="仿宋_GB2312" w:hAnsi="Dotum" w:eastAsia="仿宋_GB2312"/>
          <w:b/>
          <w:color w:val="auto"/>
          <w:sz w:val="28"/>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四</w:t>
      </w:r>
      <w:r>
        <w:rPr>
          <w:rFonts w:hint="eastAsia" w:ascii="宋体" w:hAnsi="宋体" w:cs="宋体"/>
          <w:b/>
          <w:color w:val="auto"/>
          <w:sz w:val="24"/>
          <w:highlight w:val="none"/>
        </w:rPr>
        <w:t>)开标一览表</w:t>
      </w:r>
      <w:r>
        <w:rPr>
          <w:rFonts w:hint="eastAsia" w:ascii="仿宋_GB2312" w:hAnsi="Dotum" w:eastAsia="仿宋_GB2312"/>
          <w:b/>
          <w:color w:val="auto"/>
          <w:sz w:val="28"/>
          <w:highlight w:val="none"/>
        </w:rPr>
        <w:t xml:space="preserve">  </w:t>
      </w:r>
      <w:r>
        <w:rPr>
          <w:rFonts w:hint="eastAsia" w:ascii="仿宋_GB2312" w:hAnsi="Dotum" w:eastAsia="仿宋_GB2312"/>
          <w:color w:val="auto"/>
          <w:sz w:val="28"/>
          <w:highlight w:val="none"/>
        </w:rPr>
        <w:t xml:space="preserve">                                                                            </w:t>
      </w:r>
    </w:p>
    <w:p w14:paraId="444D206D">
      <w:pPr>
        <w:spacing w:line="360" w:lineRule="auto"/>
        <w:ind w:left="121" w:hanging="120" w:hangingChars="50"/>
        <w:rPr>
          <w:rFonts w:hint="eastAsia" w:ascii="宋体" w:hAnsi="宋体" w:cs="宋体"/>
          <w:color w:val="auto"/>
          <w:sz w:val="24"/>
          <w:highlight w:val="none"/>
        </w:rPr>
      </w:pPr>
      <w:r>
        <w:rPr>
          <w:rFonts w:hint="eastAsia" w:ascii="宋体" w:hAnsi="宋体" w:cs="宋体"/>
          <w:color w:val="auto"/>
          <w:sz w:val="24"/>
          <w:highlight w:val="none"/>
        </w:rPr>
        <w:t xml:space="preserve">项目名称：                                             </w:t>
      </w:r>
    </w:p>
    <w:p w14:paraId="2CC9FD2D">
      <w:pPr>
        <w:spacing w:line="360" w:lineRule="auto"/>
        <w:ind w:left="121" w:hanging="120" w:hangingChars="50"/>
        <w:rPr>
          <w:rFonts w:hint="eastAsia"/>
          <w:color w:val="auto"/>
        </w:rPr>
      </w:pPr>
      <w:r>
        <w:rPr>
          <w:rFonts w:hint="eastAsia" w:ascii="宋体" w:hAnsi="宋体" w:cs="宋体"/>
          <w:color w:val="auto"/>
          <w:sz w:val="24"/>
          <w:highlight w:val="none"/>
        </w:rPr>
        <w:t>项目编号：</w:t>
      </w:r>
    </w:p>
    <w:tbl>
      <w:tblPr>
        <w:tblStyle w:val="15"/>
        <w:tblW w:w="12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96"/>
        <w:gridCol w:w="3416"/>
        <w:gridCol w:w="2300"/>
        <w:gridCol w:w="4212"/>
      </w:tblGrid>
      <w:tr w14:paraId="3417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9" w:hRule="exact"/>
          <w:jc w:val="center"/>
        </w:trPr>
        <w:tc>
          <w:tcPr>
            <w:tcW w:w="2996" w:type="dxa"/>
            <w:tcBorders>
              <w:bottom w:val="single" w:color="auto" w:sz="4" w:space="0"/>
            </w:tcBorders>
            <w:noWrap w:val="0"/>
            <w:vAlign w:val="center"/>
          </w:tcPr>
          <w:p w14:paraId="2F411BF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eastAsia="zh-CN"/>
              </w:rPr>
              <w:t>项目</w:t>
            </w:r>
            <w:r>
              <w:rPr>
                <w:rFonts w:hint="eastAsia" w:ascii="宋体" w:hAnsi="宋体" w:cs="宋体"/>
                <w:color w:val="auto"/>
                <w:sz w:val="24"/>
                <w:highlight w:val="none"/>
              </w:rPr>
              <w:t>名称</w:t>
            </w:r>
          </w:p>
        </w:tc>
        <w:tc>
          <w:tcPr>
            <w:tcW w:w="3416" w:type="dxa"/>
            <w:tcBorders>
              <w:bottom w:val="single" w:color="auto" w:sz="4" w:space="0"/>
            </w:tcBorders>
            <w:noWrap w:val="0"/>
            <w:vAlign w:val="center"/>
          </w:tcPr>
          <w:p w14:paraId="4B2473E8">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投标报</w:t>
            </w:r>
            <w:r>
              <w:rPr>
                <w:rFonts w:hint="eastAsia" w:ascii="宋体" w:hAnsi="宋体" w:cs="宋体"/>
                <w:color w:val="auto"/>
                <w:sz w:val="24"/>
                <w:highlight w:val="none"/>
              </w:rPr>
              <w:t>价</w:t>
            </w:r>
            <w:r>
              <w:rPr>
                <w:rFonts w:hint="eastAsia" w:ascii="宋体" w:hAnsi="宋体" w:cs="宋体"/>
                <w:color w:val="auto"/>
                <w:sz w:val="24"/>
                <w:highlight w:val="none"/>
                <w:lang w:eastAsia="zh-CN"/>
              </w:rPr>
              <w:t>（元）</w:t>
            </w:r>
          </w:p>
        </w:tc>
        <w:tc>
          <w:tcPr>
            <w:tcW w:w="2300" w:type="dxa"/>
            <w:tcBorders>
              <w:bottom w:val="single" w:color="auto" w:sz="4" w:space="0"/>
            </w:tcBorders>
            <w:noWrap w:val="0"/>
            <w:vAlign w:val="center"/>
          </w:tcPr>
          <w:p w14:paraId="375465A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交货期</w:t>
            </w:r>
          </w:p>
        </w:tc>
        <w:tc>
          <w:tcPr>
            <w:tcW w:w="4212" w:type="dxa"/>
            <w:tcBorders>
              <w:bottom w:val="single" w:color="auto" w:sz="4" w:space="0"/>
            </w:tcBorders>
            <w:noWrap w:val="0"/>
            <w:vAlign w:val="center"/>
          </w:tcPr>
          <w:p w14:paraId="153F3D1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77A2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61" w:hRule="exact"/>
          <w:jc w:val="center"/>
        </w:trPr>
        <w:tc>
          <w:tcPr>
            <w:tcW w:w="2996" w:type="dxa"/>
            <w:noWrap w:val="0"/>
            <w:vAlign w:val="center"/>
          </w:tcPr>
          <w:p w14:paraId="5A3C489F">
            <w:pPr>
              <w:spacing w:line="360" w:lineRule="auto"/>
              <w:jc w:val="center"/>
              <w:rPr>
                <w:rFonts w:hint="eastAsia" w:ascii="宋体" w:hAnsi="宋体" w:cs="宋体"/>
                <w:color w:val="auto"/>
                <w:sz w:val="24"/>
                <w:highlight w:val="none"/>
                <w:lang w:eastAsia="zh-CN"/>
              </w:rPr>
            </w:pPr>
          </w:p>
        </w:tc>
        <w:tc>
          <w:tcPr>
            <w:tcW w:w="3416" w:type="dxa"/>
            <w:noWrap w:val="0"/>
            <w:vAlign w:val="center"/>
          </w:tcPr>
          <w:p w14:paraId="65C47F43">
            <w:pPr>
              <w:spacing w:line="360" w:lineRule="auto"/>
              <w:jc w:val="center"/>
              <w:rPr>
                <w:rFonts w:hint="eastAsia" w:ascii="宋体" w:hAnsi="宋体" w:cs="宋体"/>
                <w:color w:val="auto"/>
                <w:sz w:val="24"/>
                <w:highlight w:val="none"/>
                <w:lang w:eastAsia="zh-CN"/>
              </w:rPr>
            </w:pPr>
          </w:p>
        </w:tc>
        <w:tc>
          <w:tcPr>
            <w:tcW w:w="2300" w:type="dxa"/>
            <w:tcBorders>
              <w:bottom w:val="single" w:color="auto" w:sz="4" w:space="0"/>
            </w:tcBorders>
            <w:noWrap w:val="0"/>
            <w:vAlign w:val="center"/>
          </w:tcPr>
          <w:p w14:paraId="0A61905B">
            <w:pPr>
              <w:spacing w:line="360" w:lineRule="auto"/>
              <w:jc w:val="center"/>
              <w:rPr>
                <w:rFonts w:hint="eastAsia" w:ascii="宋体" w:hAnsi="宋体" w:cs="宋体"/>
                <w:color w:val="auto"/>
                <w:sz w:val="24"/>
                <w:highlight w:val="none"/>
              </w:rPr>
            </w:pPr>
          </w:p>
        </w:tc>
        <w:tc>
          <w:tcPr>
            <w:tcW w:w="4212" w:type="dxa"/>
            <w:noWrap w:val="0"/>
            <w:vAlign w:val="center"/>
          </w:tcPr>
          <w:p w14:paraId="0C60744B">
            <w:pPr>
              <w:tabs>
                <w:tab w:val="left" w:pos="545"/>
              </w:tabs>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投标有效期：</w:t>
            </w:r>
          </w:p>
        </w:tc>
      </w:tr>
      <w:tr w14:paraId="5584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13" w:hRule="exact"/>
          <w:jc w:val="center"/>
        </w:trPr>
        <w:tc>
          <w:tcPr>
            <w:tcW w:w="2996" w:type="dxa"/>
            <w:tcBorders>
              <w:bottom w:val="single" w:color="auto" w:sz="4" w:space="0"/>
            </w:tcBorders>
            <w:noWrap w:val="0"/>
            <w:vAlign w:val="center"/>
          </w:tcPr>
          <w:p w14:paraId="1BA21DB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投标总报价</w:t>
            </w:r>
          </w:p>
        </w:tc>
        <w:tc>
          <w:tcPr>
            <w:tcW w:w="9928" w:type="dxa"/>
            <w:gridSpan w:val="3"/>
            <w:tcBorders>
              <w:bottom w:val="single" w:color="auto" w:sz="4" w:space="0"/>
            </w:tcBorders>
            <w:noWrap w:val="0"/>
            <w:vAlign w:val="center"/>
          </w:tcPr>
          <w:p w14:paraId="0C7063B3">
            <w:pPr>
              <w:spacing w:line="360" w:lineRule="auto"/>
              <w:rPr>
                <w:rFonts w:hint="eastAsia" w:ascii="宋体" w:hAnsi="宋体" w:cs="宋体"/>
                <w:color w:val="auto"/>
                <w:sz w:val="24"/>
                <w:highlight w:val="none"/>
              </w:rPr>
            </w:pP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700E324">
            <w:pPr>
              <w:spacing w:line="360" w:lineRule="auto"/>
              <w:rPr>
                <w:rFonts w:hint="eastAsia" w:ascii="宋体" w:hAnsi="宋体" w:cs="宋体"/>
                <w:color w:val="auto"/>
                <w:sz w:val="24"/>
                <w:highlight w:val="none"/>
              </w:rPr>
            </w:pPr>
          </w:p>
          <w:p w14:paraId="40AD4992">
            <w:pPr>
              <w:spacing w:line="360" w:lineRule="auto"/>
              <w:rPr>
                <w:rFonts w:hint="eastAsia" w:ascii="宋体" w:hAnsi="宋体" w:cs="宋体"/>
                <w:color w:val="auto"/>
                <w:sz w:val="24"/>
                <w:highlight w:val="none"/>
              </w:rPr>
            </w:pPr>
            <w:r>
              <w:rPr>
                <w:rFonts w:hint="eastAsia" w:ascii="宋体" w:hAnsi="宋体" w:cs="宋体"/>
                <w:color w:val="auto"/>
                <w:sz w:val="24"/>
                <w:highlight w:val="none"/>
              </w:rPr>
              <w:t>(大写)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c>
      </w:tr>
    </w:tbl>
    <w:p w14:paraId="213B653D">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说明： 1．所有价格均用人民币表示，单位为元。</w:t>
      </w:r>
    </w:p>
    <w:p w14:paraId="6F480B07">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2、本项目总报价为货款、包装费、运杂费、安装费、风险费、税金、利润等各 种应有费用的总和。 </w:t>
      </w:r>
    </w:p>
    <w:p w14:paraId="59D8F7D1">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42DA4777">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 xml:space="preserve"> 法定代表或委托代理人：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（签章）</w:t>
      </w:r>
    </w:p>
    <w:p w14:paraId="2BF24657">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14:paraId="54AE96C5">
      <w:pPr>
        <w:spacing w:line="360" w:lineRule="auto"/>
        <w:jc w:val="center"/>
        <w:outlineLvl w:val="2"/>
        <w:rPr>
          <w:rFonts w:hint="eastAsia" w:ascii="宋体" w:hAnsi="宋体" w:eastAsia="宋体" w:cs="宋体"/>
          <w:b/>
          <w:color w:val="auto"/>
          <w:sz w:val="24"/>
          <w:highlight w:val="none"/>
        </w:rPr>
      </w:pPr>
      <w:r>
        <w:rPr>
          <w:rFonts w:hint="eastAsia" w:ascii="宋体" w:hAnsi="宋体" w:cs="宋体"/>
          <w:b/>
          <w:color w:val="auto"/>
          <w:sz w:val="24"/>
          <w:highlight w:val="none"/>
        </w:rPr>
        <w:t>注：在开标一览表中，按第二章投标人须知的规定不允许出现两种报价，否则其投标将被拒绝。</w:t>
      </w:r>
      <w:r>
        <w:rPr>
          <w:rFonts w:hint="eastAsia" w:ascii="宋体" w:hAnsi="宋体" w:eastAsia="宋体" w:cs="宋体"/>
          <w:color w:val="auto"/>
          <w:sz w:val="24"/>
          <w:highlight w:val="none"/>
        </w:rPr>
        <w:br w:type="page"/>
      </w: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五</w:t>
      </w:r>
      <w:r>
        <w:rPr>
          <w:rFonts w:hint="eastAsia" w:ascii="宋体" w:hAnsi="宋体" w:eastAsia="宋体" w:cs="宋体"/>
          <w:b/>
          <w:color w:val="auto"/>
          <w:sz w:val="24"/>
          <w:highlight w:val="none"/>
        </w:rPr>
        <w:t>)投标产品名称、数量、规格及报价明细表</w:t>
      </w:r>
    </w:p>
    <w:p w14:paraId="0C66EF34">
      <w:pPr>
        <w:pStyle w:val="21"/>
        <w:spacing w:after="160" w:afterLines="50"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（此表参照下表或者由各投标人自行编制填写，须包括详细的产品清单、价格、供货范围、名称、规格、技术参数、主要配件的品牌及供货厂家等。）</w:t>
      </w:r>
    </w:p>
    <w:tbl>
      <w:tblPr>
        <w:tblStyle w:val="15"/>
        <w:tblW w:w="139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456"/>
        <w:gridCol w:w="1227"/>
        <w:gridCol w:w="1900"/>
        <w:gridCol w:w="1550"/>
        <w:gridCol w:w="1467"/>
        <w:gridCol w:w="2366"/>
        <w:gridCol w:w="2167"/>
      </w:tblGrid>
      <w:tr w14:paraId="4E55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exact"/>
        </w:trPr>
        <w:tc>
          <w:tcPr>
            <w:tcW w:w="784" w:type="dxa"/>
            <w:noWrap w:val="0"/>
            <w:vAlign w:val="center"/>
          </w:tcPr>
          <w:p w14:paraId="062F28C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456" w:type="dxa"/>
            <w:noWrap w:val="0"/>
            <w:vAlign w:val="center"/>
          </w:tcPr>
          <w:p w14:paraId="2719A70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名 称</w:t>
            </w:r>
          </w:p>
        </w:tc>
        <w:tc>
          <w:tcPr>
            <w:tcW w:w="1227" w:type="dxa"/>
            <w:noWrap w:val="0"/>
            <w:vAlign w:val="center"/>
          </w:tcPr>
          <w:p w14:paraId="10F6E4F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规格型号</w:t>
            </w:r>
          </w:p>
        </w:tc>
        <w:tc>
          <w:tcPr>
            <w:tcW w:w="1900" w:type="dxa"/>
            <w:noWrap w:val="0"/>
            <w:vAlign w:val="center"/>
          </w:tcPr>
          <w:p w14:paraId="0C10373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数量（标明单位）</w:t>
            </w:r>
          </w:p>
        </w:tc>
        <w:tc>
          <w:tcPr>
            <w:tcW w:w="1550" w:type="dxa"/>
            <w:noWrap w:val="0"/>
            <w:vAlign w:val="center"/>
          </w:tcPr>
          <w:p w14:paraId="42E4884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单价（元）</w:t>
            </w:r>
          </w:p>
        </w:tc>
        <w:tc>
          <w:tcPr>
            <w:tcW w:w="1467" w:type="dxa"/>
            <w:noWrap w:val="0"/>
            <w:vAlign w:val="center"/>
          </w:tcPr>
          <w:p w14:paraId="73B9EE18">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总价（元）</w:t>
            </w:r>
          </w:p>
        </w:tc>
        <w:tc>
          <w:tcPr>
            <w:tcW w:w="2366" w:type="dxa"/>
            <w:noWrap w:val="0"/>
            <w:vAlign w:val="center"/>
          </w:tcPr>
          <w:p w14:paraId="0116BC3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生产厂家及品牌</w:t>
            </w:r>
          </w:p>
        </w:tc>
        <w:tc>
          <w:tcPr>
            <w:tcW w:w="2167" w:type="dxa"/>
            <w:noWrap w:val="0"/>
            <w:vAlign w:val="center"/>
          </w:tcPr>
          <w:p w14:paraId="533AD4B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6AE8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2" w:hRule="exact"/>
        </w:trPr>
        <w:tc>
          <w:tcPr>
            <w:tcW w:w="784" w:type="dxa"/>
            <w:noWrap w:val="0"/>
            <w:vAlign w:val="center"/>
          </w:tcPr>
          <w:p w14:paraId="67C0E68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456" w:type="dxa"/>
            <w:noWrap w:val="0"/>
            <w:vAlign w:val="center"/>
          </w:tcPr>
          <w:p w14:paraId="7734522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（所投的全部货物内容）</w:t>
            </w:r>
          </w:p>
        </w:tc>
        <w:tc>
          <w:tcPr>
            <w:tcW w:w="1227" w:type="dxa"/>
            <w:noWrap w:val="0"/>
            <w:vAlign w:val="center"/>
          </w:tcPr>
          <w:p w14:paraId="257BE1E0">
            <w:pPr>
              <w:spacing w:line="360" w:lineRule="auto"/>
              <w:jc w:val="center"/>
              <w:rPr>
                <w:rFonts w:hint="eastAsia" w:ascii="宋体" w:hAnsi="宋体" w:cs="宋体"/>
                <w:color w:val="auto"/>
                <w:sz w:val="24"/>
                <w:highlight w:val="none"/>
              </w:rPr>
            </w:pPr>
          </w:p>
        </w:tc>
        <w:tc>
          <w:tcPr>
            <w:tcW w:w="1900" w:type="dxa"/>
            <w:noWrap w:val="0"/>
            <w:vAlign w:val="center"/>
          </w:tcPr>
          <w:p w14:paraId="592E3E1E">
            <w:pPr>
              <w:spacing w:line="360" w:lineRule="auto"/>
              <w:jc w:val="center"/>
              <w:rPr>
                <w:rFonts w:hint="eastAsia" w:ascii="宋体" w:hAnsi="宋体" w:cs="宋体"/>
                <w:color w:val="auto"/>
                <w:sz w:val="24"/>
                <w:highlight w:val="none"/>
              </w:rPr>
            </w:pPr>
          </w:p>
        </w:tc>
        <w:tc>
          <w:tcPr>
            <w:tcW w:w="1550" w:type="dxa"/>
            <w:noWrap w:val="0"/>
            <w:vAlign w:val="center"/>
          </w:tcPr>
          <w:p w14:paraId="58053EB1">
            <w:pPr>
              <w:spacing w:line="360" w:lineRule="auto"/>
              <w:jc w:val="center"/>
              <w:rPr>
                <w:rFonts w:hint="eastAsia" w:ascii="宋体" w:hAnsi="宋体" w:cs="宋体"/>
                <w:color w:val="auto"/>
                <w:sz w:val="24"/>
                <w:highlight w:val="none"/>
              </w:rPr>
            </w:pPr>
          </w:p>
        </w:tc>
        <w:tc>
          <w:tcPr>
            <w:tcW w:w="1467" w:type="dxa"/>
            <w:noWrap w:val="0"/>
            <w:vAlign w:val="center"/>
          </w:tcPr>
          <w:p w14:paraId="4AE5D579">
            <w:pPr>
              <w:spacing w:line="360" w:lineRule="auto"/>
              <w:jc w:val="center"/>
              <w:rPr>
                <w:rFonts w:hint="eastAsia" w:ascii="宋体" w:hAnsi="宋体" w:cs="宋体"/>
                <w:color w:val="auto"/>
                <w:sz w:val="24"/>
                <w:highlight w:val="none"/>
              </w:rPr>
            </w:pPr>
          </w:p>
        </w:tc>
        <w:tc>
          <w:tcPr>
            <w:tcW w:w="2366" w:type="dxa"/>
            <w:noWrap w:val="0"/>
            <w:vAlign w:val="center"/>
          </w:tcPr>
          <w:p w14:paraId="39B4DB5D">
            <w:pPr>
              <w:spacing w:line="360" w:lineRule="auto"/>
              <w:jc w:val="center"/>
              <w:rPr>
                <w:rFonts w:hint="eastAsia" w:ascii="宋体" w:hAnsi="宋体" w:cs="宋体"/>
                <w:color w:val="auto"/>
                <w:sz w:val="24"/>
                <w:highlight w:val="none"/>
              </w:rPr>
            </w:pPr>
          </w:p>
        </w:tc>
        <w:tc>
          <w:tcPr>
            <w:tcW w:w="2167" w:type="dxa"/>
            <w:noWrap w:val="0"/>
            <w:vAlign w:val="center"/>
          </w:tcPr>
          <w:p w14:paraId="7E909C19">
            <w:pPr>
              <w:spacing w:line="360" w:lineRule="auto"/>
              <w:jc w:val="center"/>
              <w:rPr>
                <w:rFonts w:hint="eastAsia" w:ascii="宋体" w:hAnsi="宋体" w:cs="宋体"/>
                <w:color w:val="auto"/>
                <w:sz w:val="24"/>
                <w:highlight w:val="none"/>
              </w:rPr>
            </w:pPr>
          </w:p>
        </w:tc>
      </w:tr>
      <w:tr w14:paraId="6371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trPr>
        <w:tc>
          <w:tcPr>
            <w:tcW w:w="784" w:type="dxa"/>
            <w:noWrap w:val="0"/>
            <w:vAlign w:val="center"/>
          </w:tcPr>
          <w:p w14:paraId="58D91CD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456" w:type="dxa"/>
            <w:noWrap w:val="0"/>
            <w:vAlign w:val="center"/>
          </w:tcPr>
          <w:p w14:paraId="1FCD9C6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227" w:type="dxa"/>
            <w:noWrap w:val="0"/>
            <w:vAlign w:val="center"/>
          </w:tcPr>
          <w:p w14:paraId="198D24EA">
            <w:pPr>
              <w:spacing w:line="360" w:lineRule="auto"/>
              <w:jc w:val="center"/>
              <w:rPr>
                <w:rFonts w:hint="eastAsia" w:ascii="宋体" w:hAnsi="宋体" w:cs="宋体"/>
                <w:color w:val="auto"/>
                <w:sz w:val="24"/>
                <w:highlight w:val="none"/>
              </w:rPr>
            </w:pPr>
          </w:p>
        </w:tc>
        <w:tc>
          <w:tcPr>
            <w:tcW w:w="1900" w:type="dxa"/>
            <w:noWrap w:val="0"/>
            <w:vAlign w:val="center"/>
          </w:tcPr>
          <w:p w14:paraId="7322A37F">
            <w:pPr>
              <w:spacing w:line="360" w:lineRule="auto"/>
              <w:jc w:val="center"/>
              <w:rPr>
                <w:rFonts w:hint="eastAsia" w:ascii="宋体" w:hAnsi="宋体" w:cs="宋体"/>
                <w:color w:val="auto"/>
                <w:sz w:val="24"/>
                <w:highlight w:val="none"/>
              </w:rPr>
            </w:pPr>
          </w:p>
        </w:tc>
        <w:tc>
          <w:tcPr>
            <w:tcW w:w="1550" w:type="dxa"/>
            <w:noWrap w:val="0"/>
            <w:vAlign w:val="center"/>
          </w:tcPr>
          <w:p w14:paraId="591CC6D7">
            <w:pPr>
              <w:spacing w:line="360" w:lineRule="auto"/>
              <w:jc w:val="center"/>
              <w:rPr>
                <w:rFonts w:hint="eastAsia" w:ascii="宋体" w:hAnsi="宋体" w:cs="宋体"/>
                <w:color w:val="auto"/>
                <w:sz w:val="24"/>
                <w:highlight w:val="none"/>
              </w:rPr>
            </w:pPr>
          </w:p>
        </w:tc>
        <w:tc>
          <w:tcPr>
            <w:tcW w:w="1467" w:type="dxa"/>
            <w:noWrap w:val="0"/>
            <w:vAlign w:val="center"/>
          </w:tcPr>
          <w:p w14:paraId="3F07CA29">
            <w:pPr>
              <w:spacing w:line="360" w:lineRule="auto"/>
              <w:jc w:val="center"/>
              <w:rPr>
                <w:rFonts w:hint="eastAsia" w:ascii="宋体" w:hAnsi="宋体" w:cs="宋体"/>
                <w:color w:val="auto"/>
                <w:sz w:val="24"/>
                <w:highlight w:val="none"/>
              </w:rPr>
            </w:pPr>
          </w:p>
        </w:tc>
        <w:tc>
          <w:tcPr>
            <w:tcW w:w="2366" w:type="dxa"/>
            <w:noWrap w:val="0"/>
            <w:vAlign w:val="center"/>
          </w:tcPr>
          <w:p w14:paraId="424C5812">
            <w:pPr>
              <w:spacing w:line="360" w:lineRule="auto"/>
              <w:jc w:val="center"/>
              <w:rPr>
                <w:rFonts w:hint="eastAsia" w:ascii="宋体" w:hAnsi="宋体" w:cs="宋体"/>
                <w:color w:val="auto"/>
                <w:sz w:val="24"/>
                <w:highlight w:val="none"/>
              </w:rPr>
            </w:pPr>
          </w:p>
        </w:tc>
        <w:tc>
          <w:tcPr>
            <w:tcW w:w="2167" w:type="dxa"/>
            <w:noWrap w:val="0"/>
            <w:vAlign w:val="center"/>
          </w:tcPr>
          <w:p w14:paraId="03CA612D">
            <w:pPr>
              <w:spacing w:line="360" w:lineRule="auto"/>
              <w:jc w:val="center"/>
              <w:rPr>
                <w:rFonts w:hint="eastAsia" w:ascii="宋体" w:hAnsi="宋体" w:cs="宋体"/>
                <w:color w:val="auto"/>
                <w:sz w:val="24"/>
                <w:highlight w:val="none"/>
              </w:rPr>
            </w:pPr>
          </w:p>
        </w:tc>
      </w:tr>
      <w:tr w14:paraId="4045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trPr>
        <w:tc>
          <w:tcPr>
            <w:tcW w:w="784" w:type="dxa"/>
            <w:noWrap w:val="0"/>
            <w:vAlign w:val="center"/>
          </w:tcPr>
          <w:p w14:paraId="6063406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456" w:type="dxa"/>
            <w:noWrap w:val="0"/>
            <w:vAlign w:val="center"/>
          </w:tcPr>
          <w:p w14:paraId="77C630D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227" w:type="dxa"/>
            <w:noWrap w:val="0"/>
            <w:vAlign w:val="center"/>
          </w:tcPr>
          <w:p w14:paraId="384DF171">
            <w:pPr>
              <w:spacing w:line="360" w:lineRule="auto"/>
              <w:jc w:val="center"/>
              <w:rPr>
                <w:rFonts w:hint="eastAsia" w:ascii="宋体" w:hAnsi="宋体" w:cs="宋体"/>
                <w:color w:val="auto"/>
                <w:sz w:val="24"/>
                <w:highlight w:val="none"/>
              </w:rPr>
            </w:pPr>
          </w:p>
        </w:tc>
        <w:tc>
          <w:tcPr>
            <w:tcW w:w="1900" w:type="dxa"/>
            <w:noWrap w:val="0"/>
            <w:vAlign w:val="center"/>
          </w:tcPr>
          <w:p w14:paraId="42F4D966">
            <w:pPr>
              <w:spacing w:line="360" w:lineRule="auto"/>
              <w:jc w:val="center"/>
              <w:rPr>
                <w:rFonts w:hint="eastAsia" w:ascii="宋体" w:hAnsi="宋体" w:cs="宋体"/>
                <w:color w:val="auto"/>
                <w:sz w:val="24"/>
                <w:highlight w:val="none"/>
              </w:rPr>
            </w:pPr>
          </w:p>
        </w:tc>
        <w:tc>
          <w:tcPr>
            <w:tcW w:w="1550" w:type="dxa"/>
            <w:noWrap w:val="0"/>
            <w:vAlign w:val="center"/>
          </w:tcPr>
          <w:p w14:paraId="22CA1AE5">
            <w:pPr>
              <w:spacing w:line="360" w:lineRule="auto"/>
              <w:jc w:val="center"/>
              <w:rPr>
                <w:rFonts w:hint="eastAsia" w:ascii="宋体" w:hAnsi="宋体" w:cs="宋体"/>
                <w:color w:val="auto"/>
                <w:sz w:val="24"/>
                <w:highlight w:val="none"/>
              </w:rPr>
            </w:pPr>
          </w:p>
        </w:tc>
        <w:tc>
          <w:tcPr>
            <w:tcW w:w="1467" w:type="dxa"/>
            <w:noWrap w:val="0"/>
            <w:vAlign w:val="center"/>
          </w:tcPr>
          <w:p w14:paraId="25B9523B">
            <w:pPr>
              <w:spacing w:line="360" w:lineRule="auto"/>
              <w:jc w:val="center"/>
              <w:rPr>
                <w:rFonts w:hint="eastAsia" w:ascii="宋体" w:hAnsi="宋体" w:cs="宋体"/>
                <w:color w:val="auto"/>
                <w:sz w:val="24"/>
                <w:highlight w:val="none"/>
              </w:rPr>
            </w:pPr>
          </w:p>
        </w:tc>
        <w:tc>
          <w:tcPr>
            <w:tcW w:w="2366" w:type="dxa"/>
            <w:noWrap w:val="0"/>
            <w:vAlign w:val="center"/>
          </w:tcPr>
          <w:p w14:paraId="5B84748A">
            <w:pPr>
              <w:spacing w:line="360" w:lineRule="auto"/>
              <w:jc w:val="center"/>
              <w:rPr>
                <w:rFonts w:hint="eastAsia" w:ascii="宋体" w:hAnsi="宋体" w:cs="宋体"/>
                <w:color w:val="auto"/>
                <w:sz w:val="24"/>
                <w:highlight w:val="none"/>
              </w:rPr>
            </w:pPr>
          </w:p>
        </w:tc>
        <w:tc>
          <w:tcPr>
            <w:tcW w:w="2167" w:type="dxa"/>
            <w:noWrap w:val="0"/>
            <w:vAlign w:val="center"/>
          </w:tcPr>
          <w:p w14:paraId="04352A52">
            <w:pPr>
              <w:spacing w:line="360" w:lineRule="auto"/>
              <w:jc w:val="center"/>
              <w:rPr>
                <w:rFonts w:hint="eastAsia" w:ascii="宋体" w:hAnsi="宋体" w:cs="宋体"/>
                <w:color w:val="auto"/>
                <w:sz w:val="24"/>
                <w:highlight w:val="none"/>
              </w:rPr>
            </w:pPr>
          </w:p>
        </w:tc>
      </w:tr>
      <w:tr w14:paraId="54DE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trPr>
        <w:tc>
          <w:tcPr>
            <w:tcW w:w="784" w:type="dxa"/>
            <w:noWrap w:val="0"/>
            <w:vAlign w:val="center"/>
          </w:tcPr>
          <w:p w14:paraId="5BA8C964">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2456" w:type="dxa"/>
            <w:noWrap w:val="0"/>
            <w:vAlign w:val="center"/>
          </w:tcPr>
          <w:p w14:paraId="78E5035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0677" w:type="dxa"/>
            <w:gridSpan w:val="6"/>
            <w:noWrap w:val="0"/>
            <w:vAlign w:val="center"/>
          </w:tcPr>
          <w:p w14:paraId="5B3587CC">
            <w:pPr>
              <w:spacing w:line="360" w:lineRule="auto"/>
              <w:jc w:val="center"/>
              <w:rPr>
                <w:rFonts w:hint="eastAsia" w:ascii="宋体" w:hAnsi="宋体" w:cs="宋体"/>
                <w:color w:val="auto"/>
                <w:sz w:val="24"/>
                <w:highlight w:val="none"/>
              </w:rPr>
            </w:pPr>
          </w:p>
        </w:tc>
      </w:tr>
      <w:tr w14:paraId="77EAA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trPr>
        <w:tc>
          <w:tcPr>
            <w:tcW w:w="784" w:type="dxa"/>
            <w:noWrap w:val="0"/>
            <w:vAlign w:val="center"/>
          </w:tcPr>
          <w:p w14:paraId="1D1DF3C7">
            <w:pPr>
              <w:spacing w:line="360" w:lineRule="auto"/>
              <w:jc w:val="center"/>
              <w:rPr>
                <w:rFonts w:hint="eastAsia" w:ascii="宋体" w:hAnsi="宋体" w:cs="宋体"/>
                <w:color w:val="auto"/>
                <w:sz w:val="24"/>
                <w:highlight w:val="none"/>
              </w:rPr>
            </w:pPr>
          </w:p>
        </w:tc>
        <w:tc>
          <w:tcPr>
            <w:tcW w:w="2456" w:type="dxa"/>
            <w:noWrap w:val="0"/>
            <w:vAlign w:val="center"/>
          </w:tcPr>
          <w:p w14:paraId="7ECFD12D">
            <w:pPr>
              <w:spacing w:line="360" w:lineRule="auto"/>
              <w:jc w:val="center"/>
              <w:rPr>
                <w:rFonts w:hint="eastAsia" w:ascii="宋体" w:hAnsi="宋体" w:cs="宋体"/>
                <w:color w:val="auto"/>
                <w:sz w:val="24"/>
                <w:highlight w:val="none"/>
              </w:rPr>
            </w:pPr>
          </w:p>
        </w:tc>
        <w:tc>
          <w:tcPr>
            <w:tcW w:w="10677" w:type="dxa"/>
            <w:gridSpan w:val="6"/>
            <w:noWrap w:val="0"/>
            <w:vAlign w:val="center"/>
          </w:tcPr>
          <w:p w14:paraId="3700DE04">
            <w:pPr>
              <w:spacing w:line="360" w:lineRule="auto"/>
              <w:jc w:val="center"/>
              <w:rPr>
                <w:rFonts w:hint="eastAsia" w:ascii="宋体" w:hAnsi="宋体" w:eastAsia="宋体" w:cs="宋体"/>
                <w:color w:val="auto"/>
                <w:sz w:val="24"/>
                <w:highlight w:val="none"/>
              </w:rPr>
            </w:pPr>
          </w:p>
        </w:tc>
      </w:tr>
      <w:tr w14:paraId="5727C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exact"/>
        </w:trPr>
        <w:tc>
          <w:tcPr>
            <w:tcW w:w="3240" w:type="dxa"/>
            <w:gridSpan w:val="2"/>
            <w:noWrap w:val="0"/>
            <w:vAlign w:val="center"/>
          </w:tcPr>
          <w:p w14:paraId="1575437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合计总价（元）</w:t>
            </w:r>
          </w:p>
        </w:tc>
        <w:tc>
          <w:tcPr>
            <w:tcW w:w="10677" w:type="dxa"/>
            <w:gridSpan w:val="6"/>
            <w:noWrap w:val="0"/>
            <w:vAlign w:val="center"/>
          </w:tcPr>
          <w:p w14:paraId="7FE01530">
            <w:pPr>
              <w:spacing w:line="360" w:lineRule="auto"/>
              <w:jc w:val="center"/>
              <w:rPr>
                <w:rFonts w:hint="eastAsia" w:ascii="宋体" w:hAnsi="宋体" w:cs="宋体"/>
                <w:color w:val="auto"/>
                <w:sz w:val="24"/>
                <w:highlight w:val="none"/>
              </w:rPr>
            </w:pPr>
          </w:p>
        </w:tc>
      </w:tr>
    </w:tbl>
    <w:p w14:paraId="710884CB">
      <w:pPr>
        <w:spacing w:before="160" w:beforeLines="50"/>
        <w:ind w:firstLine="482" w:firstLineChars="200"/>
        <w:outlineLvl w:val="2"/>
        <w:rPr>
          <w:rFonts w:hint="eastAsia" w:ascii="宋体" w:hAnsi="宋体" w:cs="宋体"/>
          <w:color w:val="auto"/>
          <w:sz w:val="24"/>
          <w:highlight w:val="none"/>
        </w:rPr>
      </w:pPr>
      <w:r>
        <w:rPr>
          <w:rFonts w:hint="eastAsia" w:ascii="宋体" w:hAnsi="宋体" w:cs="宋体"/>
          <w:b/>
          <w:color w:val="auto"/>
          <w:sz w:val="24"/>
          <w:highlight w:val="none"/>
        </w:rPr>
        <w:t>注明</w:t>
      </w:r>
      <w:r>
        <w:rPr>
          <w:rFonts w:hint="eastAsia" w:ascii="宋体" w:hAnsi="宋体" w:cs="宋体"/>
          <w:color w:val="auto"/>
          <w:sz w:val="24"/>
          <w:highlight w:val="none"/>
        </w:rPr>
        <w:t>：如果按单价计算的结果与总价不一致，以单价为准修正总价。</w:t>
      </w:r>
    </w:p>
    <w:p w14:paraId="61C3E2ED">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67737AE8">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 xml:space="preserve"> 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3737705C">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 xml:space="preserve"> 法定代表或委托代理人：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（签章）</w:t>
      </w:r>
    </w:p>
    <w:p w14:paraId="13FF5093">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14:paraId="6A19DC67">
      <w:pPr>
        <w:pStyle w:val="9"/>
        <w:ind w:right="-553"/>
        <w:jc w:val="center"/>
        <w:outlineLvl w:val="1"/>
        <w:rPr>
          <w:rFonts w:hint="eastAsia" w:hAnsi="宋体" w:cs="宋体"/>
          <w:color w:val="auto"/>
          <w:sz w:val="24"/>
          <w:highlight w:val="none"/>
        </w:rPr>
      </w:pPr>
      <w:r>
        <w:rPr>
          <w:color w:val="auto"/>
          <w:highlight w:val="none"/>
        </w:rPr>
        <w:br w:type="page"/>
      </w:r>
      <w:r>
        <w:rPr>
          <w:rFonts w:hint="eastAsia" w:hAnsi="宋体" w:cs="宋体"/>
          <w:b/>
          <w:color w:val="auto"/>
          <w:sz w:val="24"/>
          <w:highlight w:val="none"/>
        </w:rPr>
        <w:t>（</w:t>
      </w:r>
      <w:r>
        <w:rPr>
          <w:rFonts w:hint="eastAsia" w:hAnsi="宋体" w:cs="宋体"/>
          <w:b/>
          <w:color w:val="auto"/>
          <w:sz w:val="24"/>
          <w:highlight w:val="none"/>
          <w:lang w:val="en-US" w:eastAsia="zh-CN"/>
        </w:rPr>
        <w:t>六</w:t>
      </w:r>
      <w:r>
        <w:rPr>
          <w:rFonts w:hint="eastAsia" w:hAnsi="宋体" w:cs="宋体"/>
          <w:b/>
          <w:color w:val="auto"/>
          <w:sz w:val="24"/>
          <w:highlight w:val="none"/>
        </w:rPr>
        <w:t>）技 术 规 格 偏 离 表</w:t>
      </w:r>
    </w:p>
    <w:p w14:paraId="4D3B2EC1">
      <w:pPr>
        <w:spacing w:line="360" w:lineRule="auto"/>
        <w:ind w:hanging="23"/>
        <w:jc w:val="left"/>
        <w:rPr>
          <w:rFonts w:hint="eastAsia" w:ascii="宋体" w:hAnsi="宋体" w:cs="宋体"/>
          <w:color w:val="auto"/>
          <w:sz w:val="24"/>
          <w:highlight w:val="none"/>
        </w:rPr>
      </w:pPr>
      <w:r>
        <w:rPr>
          <w:rFonts w:hint="eastAsia" w:ascii="宋体" w:hAnsi="宋体" w:cs="宋体"/>
          <w:color w:val="auto"/>
          <w:sz w:val="24"/>
          <w:highlight w:val="none"/>
        </w:rPr>
        <w:t xml:space="preserve">项目编号：                                                    </w:t>
      </w:r>
    </w:p>
    <w:tbl>
      <w:tblPr>
        <w:tblStyle w:val="15"/>
        <w:tblpPr w:leftFromText="180" w:rightFromText="180" w:vertAnchor="text" w:horzAnchor="page" w:tblpX="2273" w:tblpY="137"/>
        <w:tblOverlap w:val="never"/>
        <w:tblW w:w="12978" w:type="dxa"/>
        <w:tblInd w:w="0" w:type="dxa"/>
        <w:tblLayout w:type="fixed"/>
        <w:tblCellMar>
          <w:top w:w="0" w:type="dxa"/>
          <w:left w:w="108" w:type="dxa"/>
          <w:bottom w:w="0" w:type="dxa"/>
          <w:right w:w="108" w:type="dxa"/>
        </w:tblCellMar>
      </w:tblPr>
      <w:tblGrid>
        <w:gridCol w:w="746"/>
        <w:gridCol w:w="3065"/>
        <w:gridCol w:w="3668"/>
        <w:gridCol w:w="5499"/>
      </w:tblGrid>
      <w:tr w14:paraId="511BC3EB">
        <w:tblPrEx>
          <w:tblCellMar>
            <w:top w:w="0" w:type="dxa"/>
            <w:left w:w="108" w:type="dxa"/>
            <w:bottom w:w="0" w:type="dxa"/>
            <w:right w:w="108" w:type="dxa"/>
          </w:tblCellMar>
        </w:tblPrEx>
        <w:trPr>
          <w:trHeight w:val="579"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14F9855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3065" w:type="dxa"/>
            <w:tcBorders>
              <w:top w:val="single" w:color="auto" w:sz="6" w:space="0"/>
              <w:left w:val="single" w:color="auto" w:sz="6" w:space="0"/>
              <w:bottom w:val="single" w:color="auto" w:sz="6" w:space="0"/>
              <w:right w:val="single" w:color="auto" w:sz="6" w:space="0"/>
            </w:tcBorders>
            <w:noWrap w:val="0"/>
            <w:vAlign w:val="center"/>
          </w:tcPr>
          <w:p w14:paraId="4A779BD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招标规格</w:t>
            </w:r>
          </w:p>
        </w:tc>
        <w:tc>
          <w:tcPr>
            <w:tcW w:w="3668" w:type="dxa"/>
            <w:tcBorders>
              <w:top w:val="single" w:color="auto" w:sz="6" w:space="0"/>
              <w:left w:val="single" w:color="auto" w:sz="6" w:space="0"/>
              <w:bottom w:val="single" w:color="auto" w:sz="6" w:space="0"/>
              <w:right w:val="single" w:color="auto" w:sz="6" w:space="0"/>
            </w:tcBorders>
            <w:noWrap w:val="0"/>
            <w:vAlign w:val="center"/>
          </w:tcPr>
          <w:p w14:paraId="18090FE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投标规格</w:t>
            </w:r>
          </w:p>
        </w:tc>
        <w:tc>
          <w:tcPr>
            <w:tcW w:w="5499" w:type="dxa"/>
            <w:tcBorders>
              <w:top w:val="single" w:color="auto" w:sz="6" w:space="0"/>
              <w:left w:val="single" w:color="auto" w:sz="6" w:space="0"/>
              <w:bottom w:val="single" w:color="auto" w:sz="6" w:space="0"/>
              <w:right w:val="single" w:color="auto" w:sz="6" w:space="0"/>
            </w:tcBorders>
            <w:noWrap w:val="0"/>
            <w:vAlign w:val="center"/>
          </w:tcPr>
          <w:p w14:paraId="5B92BEB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备   注</w:t>
            </w:r>
          </w:p>
        </w:tc>
      </w:tr>
      <w:tr w14:paraId="18835B8A">
        <w:tblPrEx>
          <w:tblCellMar>
            <w:top w:w="0" w:type="dxa"/>
            <w:left w:w="108" w:type="dxa"/>
            <w:bottom w:w="0" w:type="dxa"/>
            <w:right w:w="108" w:type="dxa"/>
          </w:tblCellMar>
        </w:tblPrEx>
        <w:trPr>
          <w:trHeight w:val="579"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4B94ABA3">
            <w:pPr>
              <w:spacing w:line="360" w:lineRule="auto"/>
              <w:jc w:val="center"/>
              <w:rPr>
                <w:rFonts w:hint="eastAsia" w:ascii="宋体" w:hAnsi="宋体" w:cs="宋体"/>
                <w:color w:val="auto"/>
                <w:sz w:val="24"/>
                <w:highlight w:val="none"/>
              </w:rPr>
            </w:pPr>
          </w:p>
        </w:tc>
        <w:tc>
          <w:tcPr>
            <w:tcW w:w="3065" w:type="dxa"/>
            <w:tcBorders>
              <w:top w:val="single" w:color="auto" w:sz="6" w:space="0"/>
              <w:left w:val="single" w:color="auto" w:sz="6" w:space="0"/>
              <w:bottom w:val="single" w:color="auto" w:sz="6" w:space="0"/>
              <w:right w:val="single" w:color="auto" w:sz="6" w:space="0"/>
            </w:tcBorders>
            <w:noWrap w:val="0"/>
            <w:vAlign w:val="center"/>
          </w:tcPr>
          <w:p w14:paraId="78C8BE0F">
            <w:pPr>
              <w:spacing w:line="360" w:lineRule="auto"/>
              <w:jc w:val="center"/>
              <w:rPr>
                <w:rFonts w:hint="eastAsia" w:ascii="宋体" w:hAnsi="宋体" w:cs="宋体"/>
                <w:color w:val="auto"/>
                <w:sz w:val="24"/>
                <w:highlight w:val="none"/>
              </w:rPr>
            </w:pPr>
          </w:p>
        </w:tc>
        <w:tc>
          <w:tcPr>
            <w:tcW w:w="3668" w:type="dxa"/>
            <w:tcBorders>
              <w:top w:val="single" w:color="auto" w:sz="6" w:space="0"/>
              <w:left w:val="single" w:color="auto" w:sz="6" w:space="0"/>
              <w:bottom w:val="single" w:color="auto" w:sz="6" w:space="0"/>
              <w:right w:val="single" w:color="auto" w:sz="6" w:space="0"/>
            </w:tcBorders>
            <w:noWrap w:val="0"/>
            <w:vAlign w:val="center"/>
          </w:tcPr>
          <w:p w14:paraId="6AEA5A98">
            <w:pPr>
              <w:spacing w:line="360" w:lineRule="auto"/>
              <w:jc w:val="center"/>
              <w:rPr>
                <w:rFonts w:hint="eastAsia" w:ascii="宋体" w:hAnsi="宋体" w:cs="宋体"/>
                <w:color w:val="auto"/>
                <w:sz w:val="24"/>
                <w:highlight w:val="none"/>
              </w:rPr>
            </w:pPr>
          </w:p>
        </w:tc>
        <w:tc>
          <w:tcPr>
            <w:tcW w:w="5499" w:type="dxa"/>
            <w:tcBorders>
              <w:top w:val="single" w:color="auto" w:sz="6" w:space="0"/>
              <w:left w:val="single" w:color="auto" w:sz="6" w:space="0"/>
              <w:bottom w:val="single" w:color="auto" w:sz="6" w:space="0"/>
              <w:right w:val="single" w:color="auto" w:sz="6" w:space="0"/>
            </w:tcBorders>
            <w:noWrap w:val="0"/>
            <w:vAlign w:val="center"/>
          </w:tcPr>
          <w:p w14:paraId="13365F15">
            <w:pPr>
              <w:spacing w:line="360" w:lineRule="auto"/>
              <w:jc w:val="center"/>
              <w:rPr>
                <w:rFonts w:hint="eastAsia" w:ascii="宋体" w:hAnsi="宋体" w:cs="宋体"/>
                <w:color w:val="auto"/>
                <w:sz w:val="24"/>
                <w:highlight w:val="none"/>
              </w:rPr>
            </w:pPr>
          </w:p>
        </w:tc>
      </w:tr>
      <w:tr w14:paraId="46AF8478">
        <w:tblPrEx>
          <w:tblCellMar>
            <w:top w:w="0" w:type="dxa"/>
            <w:left w:w="108" w:type="dxa"/>
            <w:bottom w:w="0" w:type="dxa"/>
            <w:right w:w="108" w:type="dxa"/>
          </w:tblCellMar>
        </w:tblPrEx>
        <w:trPr>
          <w:trHeight w:val="579"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1C832190">
            <w:pPr>
              <w:spacing w:line="360" w:lineRule="auto"/>
              <w:jc w:val="center"/>
              <w:rPr>
                <w:rFonts w:hint="eastAsia" w:ascii="宋体" w:hAnsi="宋体" w:cs="宋体"/>
                <w:color w:val="auto"/>
                <w:sz w:val="24"/>
                <w:highlight w:val="none"/>
              </w:rPr>
            </w:pPr>
          </w:p>
        </w:tc>
        <w:tc>
          <w:tcPr>
            <w:tcW w:w="3065" w:type="dxa"/>
            <w:tcBorders>
              <w:top w:val="single" w:color="auto" w:sz="6" w:space="0"/>
              <w:left w:val="single" w:color="auto" w:sz="6" w:space="0"/>
              <w:bottom w:val="single" w:color="auto" w:sz="6" w:space="0"/>
              <w:right w:val="single" w:color="auto" w:sz="6" w:space="0"/>
            </w:tcBorders>
            <w:noWrap w:val="0"/>
            <w:vAlign w:val="center"/>
          </w:tcPr>
          <w:p w14:paraId="25713E0D">
            <w:pPr>
              <w:spacing w:line="360" w:lineRule="auto"/>
              <w:jc w:val="center"/>
              <w:rPr>
                <w:rFonts w:hint="eastAsia" w:ascii="宋体" w:hAnsi="宋体" w:cs="宋体"/>
                <w:color w:val="auto"/>
                <w:sz w:val="24"/>
                <w:highlight w:val="none"/>
              </w:rPr>
            </w:pPr>
          </w:p>
        </w:tc>
        <w:tc>
          <w:tcPr>
            <w:tcW w:w="3668" w:type="dxa"/>
            <w:tcBorders>
              <w:top w:val="single" w:color="auto" w:sz="6" w:space="0"/>
              <w:left w:val="single" w:color="auto" w:sz="6" w:space="0"/>
              <w:bottom w:val="single" w:color="auto" w:sz="6" w:space="0"/>
              <w:right w:val="single" w:color="auto" w:sz="6" w:space="0"/>
            </w:tcBorders>
            <w:noWrap w:val="0"/>
            <w:vAlign w:val="center"/>
          </w:tcPr>
          <w:p w14:paraId="14E22DB0">
            <w:pPr>
              <w:spacing w:line="360" w:lineRule="auto"/>
              <w:jc w:val="center"/>
              <w:rPr>
                <w:rFonts w:hint="eastAsia" w:ascii="宋体" w:hAnsi="宋体" w:cs="宋体"/>
                <w:color w:val="auto"/>
                <w:sz w:val="24"/>
                <w:highlight w:val="none"/>
              </w:rPr>
            </w:pPr>
          </w:p>
        </w:tc>
        <w:tc>
          <w:tcPr>
            <w:tcW w:w="5499" w:type="dxa"/>
            <w:tcBorders>
              <w:top w:val="single" w:color="auto" w:sz="6" w:space="0"/>
              <w:left w:val="single" w:color="auto" w:sz="6" w:space="0"/>
              <w:bottom w:val="single" w:color="auto" w:sz="6" w:space="0"/>
              <w:right w:val="single" w:color="auto" w:sz="6" w:space="0"/>
            </w:tcBorders>
            <w:noWrap w:val="0"/>
            <w:vAlign w:val="center"/>
          </w:tcPr>
          <w:p w14:paraId="55A6EF62">
            <w:pPr>
              <w:spacing w:line="360" w:lineRule="auto"/>
              <w:jc w:val="center"/>
              <w:rPr>
                <w:rFonts w:hint="eastAsia" w:ascii="宋体" w:hAnsi="宋体" w:cs="宋体"/>
                <w:color w:val="auto"/>
                <w:sz w:val="24"/>
                <w:highlight w:val="none"/>
              </w:rPr>
            </w:pPr>
          </w:p>
        </w:tc>
      </w:tr>
      <w:tr w14:paraId="725003C4">
        <w:tblPrEx>
          <w:tblCellMar>
            <w:top w:w="0" w:type="dxa"/>
            <w:left w:w="108" w:type="dxa"/>
            <w:bottom w:w="0" w:type="dxa"/>
            <w:right w:w="108" w:type="dxa"/>
          </w:tblCellMar>
        </w:tblPrEx>
        <w:trPr>
          <w:trHeight w:val="579"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0160A147">
            <w:pPr>
              <w:spacing w:line="360" w:lineRule="auto"/>
              <w:jc w:val="center"/>
              <w:rPr>
                <w:rFonts w:hint="eastAsia" w:ascii="宋体" w:hAnsi="宋体" w:cs="宋体"/>
                <w:color w:val="auto"/>
                <w:sz w:val="24"/>
                <w:highlight w:val="none"/>
              </w:rPr>
            </w:pPr>
          </w:p>
        </w:tc>
        <w:tc>
          <w:tcPr>
            <w:tcW w:w="3065" w:type="dxa"/>
            <w:tcBorders>
              <w:top w:val="single" w:color="auto" w:sz="6" w:space="0"/>
              <w:left w:val="single" w:color="auto" w:sz="6" w:space="0"/>
              <w:bottom w:val="single" w:color="auto" w:sz="6" w:space="0"/>
              <w:right w:val="single" w:color="auto" w:sz="6" w:space="0"/>
            </w:tcBorders>
            <w:noWrap w:val="0"/>
            <w:vAlign w:val="center"/>
          </w:tcPr>
          <w:p w14:paraId="47509F58">
            <w:pPr>
              <w:spacing w:line="360" w:lineRule="auto"/>
              <w:jc w:val="center"/>
              <w:rPr>
                <w:rFonts w:hint="eastAsia" w:ascii="宋体" w:hAnsi="宋体" w:cs="宋体"/>
                <w:color w:val="auto"/>
                <w:sz w:val="24"/>
                <w:highlight w:val="none"/>
              </w:rPr>
            </w:pPr>
          </w:p>
        </w:tc>
        <w:tc>
          <w:tcPr>
            <w:tcW w:w="3668" w:type="dxa"/>
            <w:tcBorders>
              <w:top w:val="single" w:color="auto" w:sz="6" w:space="0"/>
              <w:left w:val="single" w:color="auto" w:sz="6" w:space="0"/>
              <w:bottom w:val="single" w:color="auto" w:sz="6" w:space="0"/>
              <w:right w:val="single" w:color="auto" w:sz="6" w:space="0"/>
            </w:tcBorders>
            <w:noWrap w:val="0"/>
            <w:vAlign w:val="center"/>
          </w:tcPr>
          <w:p w14:paraId="62394705">
            <w:pPr>
              <w:spacing w:line="360" w:lineRule="auto"/>
              <w:jc w:val="center"/>
              <w:rPr>
                <w:rFonts w:hint="eastAsia" w:ascii="宋体" w:hAnsi="宋体" w:cs="宋体"/>
                <w:color w:val="auto"/>
                <w:sz w:val="24"/>
                <w:highlight w:val="none"/>
              </w:rPr>
            </w:pPr>
          </w:p>
        </w:tc>
        <w:tc>
          <w:tcPr>
            <w:tcW w:w="5499" w:type="dxa"/>
            <w:tcBorders>
              <w:top w:val="single" w:color="auto" w:sz="6" w:space="0"/>
              <w:left w:val="single" w:color="auto" w:sz="6" w:space="0"/>
              <w:bottom w:val="single" w:color="auto" w:sz="6" w:space="0"/>
              <w:right w:val="single" w:color="auto" w:sz="6" w:space="0"/>
            </w:tcBorders>
            <w:noWrap w:val="0"/>
            <w:vAlign w:val="center"/>
          </w:tcPr>
          <w:p w14:paraId="0D406769">
            <w:pPr>
              <w:spacing w:line="360" w:lineRule="auto"/>
              <w:jc w:val="center"/>
              <w:rPr>
                <w:rFonts w:hint="eastAsia" w:ascii="宋体" w:hAnsi="宋体" w:cs="宋体"/>
                <w:color w:val="auto"/>
                <w:sz w:val="24"/>
                <w:highlight w:val="none"/>
              </w:rPr>
            </w:pPr>
          </w:p>
        </w:tc>
      </w:tr>
      <w:tr w14:paraId="6B913A70">
        <w:tblPrEx>
          <w:tblCellMar>
            <w:top w:w="0" w:type="dxa"/>
            <w:left w:w="108" w:type="dxa"/>
            <w:bottom w:w="0" w:type="dxa"/>
            <w:right w:w="108" w:type="dxa"/>
          </w:tblCellMar>
        </w:tblPrEx>
        <w:trPr>
          <w:trHeight w:val="579"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1066BBAA">
            <w:pPr>
              <w:spacing w:line="360" w:lineRule="auto"/>
              <w:jc w:val="center"/>
              <w:rPr>
                <w:rFonts w:hint="eastAsia" w:ascii="宋体" w:hAnsi="宋体" w:cs="宋体"/>
                <w:color w:val="auto"/>
                <w:sz w:val="24"/>
                <w:highlight w:val="none"/>
              </w:rPr>
            </w:pPr>
          </w:p>
        </w:tc>
        <w:tc>
          <w:tcPr>
            <w:tcW w:w="3065" w:type="dxa"/>
            <w:tcBorders>
              <w:top w:val="single" w:color="auto" w:sz="6" w:space="0"/>
              <w:left w:val="single" w:color="auto" w:sz="6" w:space="0"/>
              <w:bottom w:val="single" w:color="auto" w:sz="6" w:space="0"/>
              <w:right w:val="single" w:color="auto" w:sz="6" w:space="0"/>
            </w:tcBorders>
            <w:noWrap w:val="0"/>
            <w:vAlign w:val="center"/>
          </w:tcPr>
          <w:p w14:paraId="13758B11">
            <w:pPr>
              <w:spacing w:line="360" w:lineRule="auto"/>
              <w:jc w:val="center"/>
              <w:rPr>
                <w:rFonts w:hint="eastAsia" w:ascii="宋体" w:hAnsi="宋体" w:cs="宋体"/>
                <w:color w:val="auto"/>
                <w:sz w:val="24"/>
                <w:highlight w:val="none"/>
              </w:rPr>
            </w:pPr>
          </w:p>
        </w:tc>
        <w:tc>
          <w:tcPr>
            <w:tcW w:w="3668" w:type="dxa"/>
            <w:tcBorders>
              <w:top w:val="single" w:color="auto" w:sz="6" w:space="0"/>
              <w:left w:val="single" w:color="auto" w:sz="6" w:space="0"/>
              <w:bottom w:val="single" w:color="auto" w:sz="6" w:space="0"/>
              <w:right w:val="single" w:color="auto" w:sz="6" w:space="0"/>
            </w:tcBorders>
            <w:noWrap w:val="0"/>
            <w:vAlign w:val="center"/>
          </w:tcPr>
          <w:p w14:paraId="47CABA35">
            <w:pPr>
              <w:spacing w:line="360" w:lineRule="auto"/>
              <w:jc w:val="center"/>
              <w:rPr>
                <w:rFonts w:hint="eastAsia" w:ascii="宋体" w:hAnsi="宋体" w:cs="宋体"/>
                <w:color w:val="auto"/>
                <w:sz w:val="24"/>
                <w:highlight w:val="none"/>
              </w:rPr>
            </w:pPr>
          </w:p>
        </w:tc>
        <w:tc>
          <w:tcPr>
            <w:tcW w:w="5499" w:type="dxa"/>
            <w:tcBorders>
              <w:top w:val="single" w:color="auto" w:sz="6" w:space="0"/>
              <w:left w:val="single" w:color="auto" w:sz="6" w:space="0"/>
              <w:bottom w:val="single" w:color="auto" w:sz="6" w:space="0"/>
              <w:right w:val="single" w:color="auto" w:sz="6" w:space="0"/>
            </w:tcBorders>
            <w:noWrap w:val="0"/>
            <w:vAlign w:val="center"/>
          </w:tcPr>
          <w:p w14:paraId="0546CB5F">
            <w:pPr>
              <w:spacing w:line="360" w:lineRule="auto"/>
              <w:jc w:val="center"/>
              <w:rPr>
                <w:rFonts w:hint="eastAsia" w:ascii="宋体" w:hAnsi="宋体" w:cs="宋体"/>
                <w:color w:val="auto"/>
                <w:sz w:val="24"/>
                <w:highlight w:val="none"/>
              </w:rPr>
            </w:pPr>
          </w:p>
        </w:tc>
      </w:tr>
      <w:tr w14:paraId="254FF40F">
        <w:tblPrEx>
          <w:tblCellMar>
            <w:top w:w="0" w:type="dxa"/>
            <w:left w:w="108" w:type="dxa"/>
            <w:bottom w:w="0" w:type="dxa"/>
            <w:right w:w="108" w:type="dxa"/>
          </w:tblCellMar>
        </w:tblPrEx>
        <w:trPr>
          <w:trHeight w:val="579"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7E388207">
            <w:pPr>
              <w:spacing w:line="360" w:lineRule="auto"/>
              <w:jc w:val="center"/>
              <w:rPr>
                <w:rFonts w:hint="eastAsia" w:ascii="宋体" w:hAnsi="宋体" w:cs="宋体"/>
                <w:color w:val="auto"/>
                <w:sz w:val="24"/>
                <w:highlight w:val="none"/>
              </w:rPr>
            </w:pPr>
          </w:p>
        </w:tc>
        <w:tc>
          <w:tcPr>
            <w:tcW w:w="3065" w:type="dxa"/>
            <w:tcBorders>
              <w:top w:val="single" w:color="auto" w:sz="6" w:space="0"/>
              <w:left w:val="single" w:color="auto" w:sz="6" w:space="0"/>
              <w:bottom w:val="single" w:color="auto" w:sz="6" w:space="0"/>
              <w:right w:val="single" w:color="auto" w:sz="6" w:space="0"/>
            </w:tcBorders>
            <w:noWrap w:val="0"/>
            <w:vAlign w:val="center"/>
          </w:tcPr>
          <w:p w14:paraId="4324083C">
            <w:pPr>
              <w:spacing w:line="360" w:lineRule="auto"/>
              <w:jc w:val="center"/>
              <w:rPr>
                <w:rFonts w:hint="eastAsia" w:ascii="宋体" w:hAnsi="宋体" w:cs="宋体"/>
                <w:color w:val="auto"/>
                <w:sz w:val="24"/>
                <w:highlight w:val="none"/>
              </w:rPr>
            </w:pPr>
          </w:p>
        </w:tc>
        <w:tc>
          <w:tcPr>
            <w:tcW w:w="3668" w:type="dxa"/>
            <w:tcBorders>
              <w:top w:val="single" w:color="auto" w:sz="6" w:space="0"/>
              <w:left w:val="single" w:color="auto" w:sz="6" w:space="0"/>
              <w:bottom w:val="single" w:color="auto" w:sz="6" w:space="0"/>
              <w:right w:val="single" w:color="auto" w:sz="6" w:space="0"/>
            </w:tcBorders>
            <w:noWrap w:val="0"/>
            <w:vAlign w:val="center"/>
          </w:tcPr>
          <w:p w14:paraId="15B62C06">
            <w:pPr>
              <w:spacing w:line="360" w:lineRule="auto"/>
              <w:jc w:val="center"/>
              <w:rPr>
                <w:rFonts w:hint="eastAsia" w:ascii="宋体" w:hAnsi="宋体" w:cs="宋体"/>
                <w:color w:val="auto"/>
                <w:sz w:val="24"/>
                <w:highlight w:val="none"/>
              </w:rPr>
            </w:pPr>
          </w:p>
        </w:tc>
        <w:tc>
          <w:tcPr>
            <w:tcW w:w="5499" w:type="dxa"/>
            <w:tcBorders>
              <w:top w:val="single" w:color="auto" w:sz="6" w:space="0"/>
              <w:left w:val="single" w:color="auto" w:sz="6" w:space="0"/>
              <w:bottom w:val="single" w:color="auto" w:sz="6" w:space="0"/>
              <w:right w:val="single" w:color="auto" w:sz="6" w:space="0"/>
            </w:tcBorders>
            <w:noWrap w:val="0"/>
            <w:vAlign w:val="center"/>
          </w:tcPr>
          <w:p w14:paraId="494A9CE4">
            <w:pPr>
              <w:spacing w:line="360" w:lineRule="auto"/>
              <w:jc w:val="center"/>
              <w:rPr>
                <w:rFonts w:hint="eastAsia" w:ascii="宋体" w:hAnsi="宋体" w:cs="宋体"/>
                <w:color w:val="auto"/>
                <w:sz w:val="24"/>
                <w:highlight w:val="none"/>
              </w:rPr>
            </w:pPr>
          </w:p>
        </w:tc>
      </w:tr>
      <w:tr w14:paraId="036D8D14">
        <w:tblPrEx>
          <w:tblCellMar>
            <w:top w:w="0" w:type="dxa"/>
            <w:left w:w="108" w:type="dxa"/>
            <w:bottom w:w="0" w:type="dxa"/>
            <w:right w:w="108" w:type="dxa"/>
          </w:tblCellMar>
        </w:tblPrEx>
        <w:trPr>
          <w:trHeight w:val="579"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002A9576">
            <w:pPr>
              <w:spacing w:line="360" w:lineRule="auto"/>
              <w:jc w:val="center"/>
              <w:rPr>
                <w:rFonts w:hint="eastAsia" w:ascii="宋体" w:hAnsi="宋体" w:cs="宋体"/>
                <w:color w:val="auto"/>
                <w:sz w:val="24"/>
                <w:highlight w:val="none"/>
              </w:rPr>
            </w:pPr>
          </w:p>
        </w:tc>
        <w:tc>
          <w:tcPr>
            <w:tcW w:w="3065" w:type="dxa"/>
            <w:tcBorders>
              <w:top w:val="single" w:color="auto" w:sz="6" w:space="0"/>
              <w:left w:val="single" w:color="auto" w:sz="6" w:space="0"/>
              <w:bottom w:val="single" w:color="auto" w:sz="6" w:space="0"/>
              <w:right w:val="single" w:color="auto" w:sz="6" w:space="0"/>
            </w:tcBorders>
            <w:noWrap w:val="0"/>
            <w:vAlign w:val="center"/>
          </w:tcPr>
          <w:p w14:paraId="1202F454">
            <w:pPr>
              <w:spacing w:line="360" w:lineRule="auto"/>
              <w:jc w:val="center"/>
              <w:rPr>
                <w:rFonts w:hint="eastAsia" w:ascii="宋体" w:hAnsi="宋体" w:cs="宋体"/>
                <w:color w:val="auto"/>
                <w:sz w:val="24"/>
                <w:highlight w:val="none"/>
              </w:rPr>
            </w:pPr>
          </w:p>
        </w:tc>
        <w:tc>
          <w:tcPr>
            <w:tcW w:w="3668" w:type="dxa"/>
            <w:tcBorders>
              <w:top w:val="single" w:color="auto" w:sz="6" w:space="0"/>
              <w:left w:val="single" w:color="auto" w:sz="6" w:space="0"/>
              <w:bottom w:val="single" w:color="auto" w:sz="6" w:space="0"/>
              <w:right w:val="single" w:color="auto" w:sz="6" w:space="0"/>
            </w:tcBorders>
            <w:noWrap w:val="0"/>
            <w:vAlign w:val="center"/>
          </w:tcPr>
          <w:p w14:paraId="0B3992CC">
            <w:pPr>
              <w:spacing w:line="360" w:lineRule="auto"/>
              <w:jc w:val="center"/>
              <w:rPr>
                <w:rFonts w:hint="eastAsia" w:ascii="宋体" w:hAnsi="宋体" w:cs="宋体"/>
                <w:color w:val="auto"/>
                <w:sz w:val="24"/>
                <w:highlight w:val="none"/>
              </w:rPr>
            </w:pPr>
          </w:p>
        </w:tc>
        <w:tc>
          <w:tcPr>
            <w:tcW w:w="5499" w:type="dxa"/>
            <w:tcBorders>
              <w:top w:val="single" w:color="auto" w:sz="6" w:space="0"/>
              <w:left w:val="single" w:color="auto" w:sz="6" w:space="0"/>
              <w:bottom w:val="single" w:color="auto" w:sz="6" w:space="0"/>
              <w:right w:val="single" w:color="auto" w:sz="6" w:space="0"/>
            </w:tcBorders>
            <w:noWrap w:val="0"/>
            <w:vAlign w:val="center"/>
          </w:tcPr>
          <w:p w14:paraId="391F2C50">
            <w:pPr>
              <w:spacing w:line="360" w:lineRule="auto"/>
              <w:jc w:val="center"/>
              <w:rPr>
                <w:rFonts w:hint="eastAsia" w:ascii="宋体" w:hAnsi="宋体" w:cs="宋体"/>
                <w:color w:val="auto"/>
                <w:sz w:val="24"/>
                <w:highlight w:val="none"/>
              </w:rPr>
            </w:pPr>
          </w:p>
        </w:tc>
      </w:tr>
      <w:tr w14:paraId="3471586D">
        <w:tblPrEx>
          <w:tblCellMar>
            <w:top w:w="0" w:type="dxa"/>
            <w:left w:w="108" w:type="dxa"/>
            <w:bottom w:w="0" w:type="dxa"/>
            <w:right w:w="108" w:type="dxa"/>
          </w:tblCellMar>
        </w:tblPrEx>
        <w:trPr>
          <w:trHeight w:val="579"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5784915B">
            <w:pPr>
              <w:spacing w:line="360" w:lineRule="auto"/>
              <w:jc w:val="center"/>
              <w:rPr>
                <w:rFonts w:hint="eastAsia" w:ascii="宋体" w:hAnsi="宋体" w:cs="宋体"/>
                <w:color w:val="auto"/>
                <w:sz w:val="24"/>
                <w:highlight w:val="none"/>
              </w:rPr>
            </w:pPr>
          </w:p>
        </w:tc>
        <w:tc>
          <w:tcPr>
            <w:tcW w:w="3065" w:type="dxa"/>
            <w:tcBorders>
              <w:top w:val="single" w:color="auto" w:sz="6" w:space="0"/>
              <w:left w:val="single" w:color="auto" w:sz="6" w:space="0"/>
              <w:bottom w:val="single" w:color="auto" w:sz="6" w:space="0"/>
              <w:right w:val="single" w:color="auto" w:sz="6" w:space="0"/>
            </w:tcBorders>
            <w:noWrap w:val="0"/>
            <w:vAlign w:val="center"/>
          </w:tcPr>
          <w:p w14:paraId="3964E19B">
            <w:pPr>
              <w:spacing w:line="360" w:lineRule="auto"/>
              <w:jc w:val="center"/>
              <w:rPr>
                <w:rFonts w:hint="eastAsia" w:ascii="宋体" w:hAnsi="宋体" w:cs="宋体"/>
                <w:color w:val="auto"/>
                <w:sz w:val="24"/>
                <w:highlight w:val="none"/>
              </w:rPr>
            </w:pPr>
          </w:p>
        </w:tc>
        <w:tc>
          <w:tcPr>
            <w:tcW w:w="3668" w:type="dxa"/>
            <w:tcBorders>
              <w:top w:val="single" w:color="auto" w:sz="6" w:space="0"/>
              <w:left w:val="single" w:color="auto" w:sz="6" w:space="0"/>
              <w:bottom w:val="single" w:color="auto" w:sz="6" w:space="0"/>
              <w:right w:val="single" w:color="auto" w:sz="6" w:space="0"/>
            </w:tcBorders>
            <w:noWrap w:val="0"/>
            <w:vAlign w:val="center"/>
          </w:tcPr>
          <w:p w14:paraId="5464B261">
            <w:pPr>
              <w:spacing w:line="360" w:lineRule="auto"/>
              <w:jc w:val="center"/>
              <w:rPr>
                <w:rFonts w:hint="eastAsia" w:ascii="宋体" w:hAnsi="宋体" w:cs="宋体"/>
                <w:color w:val="auto"/>
                <w:sz w:val="24"/>
                <w:highlight w:val="none"/>
              </w:rPr>
            </w:pPr>
          </w:p>
        </w:tc>
        <w:tc>
          <w:tcPr>
            <w:tcW w:w="5499" w:type="dxa"/>
            <w:tcBorders>
              <w:top w:val="single" w:color="auto" w:sz="6" w:space="0"/>
              <w:left w:val="single" w:color="auto" w:sz="6" w:space="0"/>
              <w:bottom w:val="single" w:color="auto" w:sz="6" w:space="0"/>
              <w:right w:val="single" w:color="auto" w:sz="6" w:space="0"/>
            </w:tcBorders>
            <w:noWrap w:val="0"/>
            <w:vAlign w:val="center"/>
          </w:tcPr>
          <w:p w14:paraId="72B9E4F0">
            <w:pPr>
              <w:spacing w:line="360" w:lineRule="auto"/>
              <w:jc w:val="center"/>
              <w:rPr>
                <w:rFonts w:hint="eastAsia" w:ascii="宋体" w:hAnsi="宋体" w:cs="宋体"/>
                <w:color w:val="auto"/>
                <w:sz w:val="24"/>
                <w:highlight w:val="none"/>
              </w:rPr>
            </w:pPr>
          </w:p>
        </w:tc>
      </w:tr>
      <w:tr w14:paraId="5CEAA36B">
        <w:tblPrEx>
          <w:tblCellMar>
            <w:top w:w="0" w:type="dxa"/>
            <w:left w:w="108" w:type="dxa"/>
            <w:bottom w:w="0" w:type="dxa"/>
            <w:right w:w="108" w:type="dxa"/>
          </w:tblCellMar>
        </w:tblPrEx>
        <w:trPr>
          <w:trHeight w:val="579"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3EB4DAB3">
            <w:pPr>
              <w:spacing w:line="360" w:lineRule="auto"/>
              <w:jc w:val="center"/>
              <w:rPr>
                <w:rFonts w:hint="eastAsia" w:ascii="宋体" w:hAnsi="宋体" w:cs="宋体"/>
                <w:color w:val="auto"/>
                <w:sz w:val="24"/>
                <w:highlight w:val="none"/>
              </w:rPr>
            </w:pPr>
          </w:p>
        </w:tc>
        <w:tc>
          <w:tcPr>
            <w:tcW w:w="3065" w:type="dxa"/>
            <w:tcBorders>
              <w:top w:val="single" w:color="auto" w:sz="6" w:space="0"/>
              <w:left w:val="single" w:color="auto" w:sz="6" w:space="0"/>
              <w:bottom w:val="single" w:color="auto" w:sz="6" w:space="0"/>
              <w:right w:val="single" w:color="auto" w:sz="6" w:space="0"/>
            </w:tcBorders>
            <w:noWrap w:val="0"/>
            <w:vAlign w:val="center"/>
          </w:tcPr>
          <w:p w14:paraId="39081599">
            <w:pPr>
              <w:spacing w:line="360" w:lineRule="auto"/>
              <w:jc w:val="center"/>
              <w:rPr>
                <w:rFonts w:hint="eastAsia" w:ascii="宋体" w:hAnsi="宋体" w:cs="宋体"/>
                <w:color w:val="auto"/>
                <w:sz w:val="24"/>
                <w:highlight w:val="none"/>
              </w:rPr>
            </w:pPr>
          </w:p>
        </w:tc>
        <w:tc>
          <w:tcPr>
            <w:tcW w:w="3668" w:type="dxa"/>
            <w:tcBorders>
              <w:top w:val="single" w:color="auto" w:sz="6" w:space="0"/>
              <w:left w:val="single" w:color="auto" w:sz="6" w:space="0"/>
              <w:bottom w:val="single" w:color="auto" w:sz="6" w:space="0"/>
              <w:right w:val="single" w:color="auto" w:sz="6" w:space="0"/>
            </w:tcBorders>
            <w:noWrap w:val="0"/>
            <w:vAlign w:val="center"/>
          </w:tcPr>
          <w:p w14:paraId="42D8F697">
            <w:pPr>
              <w:spacing w:line="360" w:lineRule="auto"/>
              <w:jc w:val="center"/>
              <w:rPr>
                <w:rFonts w:hint="eastAsia" w:ascii="宋体" w:hAnsi="宋体" w:cs="宋体"/>
                <w:color w:val="auto"/>
                <w:sz w:val="24"/>
                <w:highlight w:val="none"/>
              </w:rPr>
            </w:pPr>
          </w:p>
        </w:tc>
        <w:tc>
          <w:tcPr>
            <w:tcW w:w="5499" w:type="dxa"/>
            <w:tcBorders>
              <w:top w:val="single" w:color="auto" w:sz="6" w:space="0"/>
              <w:left w:val="single" w:color="auto" w:sz="6" w:space="0"/>
              <w:bottom w:val="single" w:color="auto" w:sz="6" w:space="0"/>
              <w:right w:val="single" w:color="auto" w:sz="6" w:space="0"/>
            </w:tcBorders>
            <w:noWrap w:val="0"/>
            <w:vAlign w:val="center"/>
          </w:tcPr>
          <w:p w14:paraId="01FCD487">
            <w:pPr>
              <w:spacing w:line="360" w:lineRule="auto"/>
              <w:jc w:val="center"/>
              <w:rPr>
                <w:rFonts w:hint="eastAsia" w:ascii="宋体" w:hAnsi="宋体" w:cs="宋体"/>
                <w:color w:val="auto"/>
                <w:sz w:val="24"/>
                <w:highlight w:val="none"/>
              </w:rPr>
            </w:pPr>
          </w:p>
        </w:tc>
      </w:tr>
      <w:tr w14:paraId="1BED3003">
        <w:tblPrEx>
          <w:tblCellMar>
            <w:top w:w="0" w:type="dxa"/>
            <w:left w:w="108" w:type="dxa"/>
            <w:bottom w:w="0" w:type="dxa"/>
            <w:right w:w="108" w:type="dxa"/>
          </w:tblCellMar>
        </w:tblPrEx>
        <w:trPr>
          <w:trHeight w:val="646"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7AE7ECCA">
            <w:pPr>
              <w:spacing w:line="360" w:lineRule="auto"/>
              <w:jc w:val="center"/>
              <w:rPr>
                <w:rFonts w:hint="eastAsia" w:ascii="宋体" w:hAnsi="宋体" w:cs="宋体"/>
                <w:color w:val="auto"/>
                <w:sz w:val="24"/>
                <w:highlight w:val="none"/>
              </w:rPr>
            </w:pPr>
          </w:p>
        </w:tc>
        <w:tc>
          <w:tcPr>
            <w:tcW w:w="3065" w:type="dxa"/>
            <w:tcBorders>
              <w:top w:val="single" w:color="auto" w:sz="6" w:space="0"/>
              <w:left w:val="single" w:color="auto" w:sz="6" w:space="0"/>
              <w:bottom w:val="single" w:color="auto" w:sz="6" w:space="0"/>
              <w:right w:val="single" w:color="auto" w:sz="6" w:space="0"/>
            </w:tcBorders>
            <w:noWrap w:val="0"/>
            <w:vAlign w:val="center"/>
          </w:tcPr>
          <w:p w14:paraId="7C7BC193">
            <w:pPr>
              <w:spacing w:line="360" w:lineRule="auto"/>
              <w:jc w:val="center"/>
              <w:rPr>
                <w:rFonts w:hint="eastAsia" w:ascii="宋体" w:hAnsi="宋体" w:cs="宋体"/>
                <w:color w:val="auto"/>
                <w:sz w:val="24"/>
                <w:highlight w:val="none"/>
              </w:rPr>
            </w:pPr>
          </w:p>
        </w:tc>
        <w:tc>
          <w:tcPr>
            <w:tcW w:w="3668" w:type="dxa"/>
            <w:tcBorders>
              <w:top w:val="single" w:color="auto" w:sz="6" w:space="0"/>
              <w:left w:val="single" w:color="auto" w:sz="6" w:space="0"/>
              <w:bottom w:val="single" w:color="auto" w:sz="6" w:space="0"/>
              <w:right w:val="single" w:color="auto" w:sz="6" w:space="0"/>
            </w:tcBorders>
            <w:noWrap w:val="0"/>
            <w:vAlign w:val="center"/>
          </w:tcPr>
          <w:p w14:paraId="6E6615C6">
            <w:pPr>
              <w:spacing w:line="360" w:lineRule="auto"/>
              <w:jc w:val="center"/>
              <w:rPr>
                <w:rFonts w:hint="eastAsia" w:ascii="宋体" w:hAnsi="宋体" w:cs="宋体"/>
                <w:color w:val="auto"/>
                <w:sz w:val="24"/>
                <w:highlight w:val="none"/>
              </w:rPr>
            </w:pPr>
          </w:p>
        </w:tc>
        <w:tc>
          <w:tcPr>
            <w:tcW w:w="5499" w:type="dxa"/>
            <w:tcBorders>
              <w:top w:val="single" w:color="auto" w:sz="6" w:space="0"/>
              <w:left w:val="single" w:color="auto" w:sz="6" w:space="0"/>
              <w:bottom w:val="single" w:color="auto" w:sz="6" w:space="0"/>
              <w:right w:val="single" w:color="auto" w:sz="6" w:space="0"/>
            </w:tcBorders>
            <w:noWrap w:val="0"/>
            <w:vAlign w:val="center"/>
          </w:tcPr>
          <w:p w14:paraId="5EFFACDE">
            <w:pPr>
              <w:spacing w:line="360" w:lineRule="auto"/>
              <w:jc w:val="center"/>
              <w:rPr>
                <w:rFonts w:hint="eastAsia" w:ascii="宋体" w:hAnsi="宋体" w:cs="宋体"/>
                <w:color w:val="auto"/>
                <w:sz w:val="24"/>
                <w:highlight w:val="none"/>
              </w:rPr>
            </w:pPr>
          </w:p>
        </w:tc>
      </w:tr>
    </w:tbl>
    <w:p w14:paraId="6DF886D8">
      <w:pPr>
        <w:spacing w:line="360" w:lineRule="auto"/>
        <w:ind w:firstLine="9520"/>
        <w:rPr>
          <w:rFonts w:hint="eastAsia" w:ascii="宋体" w:hAnsi="宋体" w:cs="宋体"/>
          <w:color w:val="auto"/>
          <w:kern w:val="0"/>
          <w:sz w:val="24"/>
          <w:highlight w:val="none"/>
        </w:rPr>
      </w:pPr>
    </w:p>
    <w:p w14:paraId="5D4F9AF5">
      <w:pPr>
        <w:spacing w:line="360" w:lineRule="auto"/>
        <w:jc w:val="right"/>
        <w:rPr>
          <w:rFonts w:hint="eastAsia" w:ascii="宋体" w:hAnsi="宋体" w:cs="宋体"/>
          <w:color w:val="auto"/>
          <w:sz w:val="24"/>
          <w:highlight w:val="none"/>
        </w:rPr>
      </w:pPr>
    </w:p>
    <w:p w14:paraId="04D03667">
      <w:pPr>
        <w:spacing w:line="360" w:lineRule="auto"/>
        <w:jc w:val="right"/>
        <w:rPr>
          <w:rFonts w:hint="eastAsia" w:ascii="宋体" w:hAnsi="宋体" w:cs="宋体"/>
          <w:color w:val="auto"/>
          <w:sz w:val="24"/>
          <w:highlight w:val="none"/>
        </w:rPr>
      </w:pPr>
    </w:p>
    <w:p w14:paraId="71089BDC">
      <w:pPr>
        <w:spacing w:line="360" w:lineRule="auto"/>
        <w:jc w:val="right"/>
        <w:rPr>
          <w:rFonts w:hint="eastAsia" w:ascii="宋体" w:hAnsi="宋体" w:cs="宋体"/>
          <w:color w:val="auto"/>
          <w:sz w:val="24"/>
          <w:highlight w:val="none"/>
        </w:rPr>
      </w:pPr>
    </w:p>
    <w:p w14:paraId="605A4117">
      <w:pPr>
        <w:spacing w:line="360" w:lineRule="auto"/>
        <w:jc w:val="right"/>
        <w:rPr>
          <w:rFonts w:hint="eastAsia" w:ascii="宋体" w:hAnsi="宋体" w:cs="宋体"/>
          <w:color w:val="auto"/>
          <w:sz w:val="24"/>
          <w:highlight w:val="none"/>
        </w:rPr>
      </w:pPr>
    </w:p>
    <w:p w14:paraId="2DED991B">
      <w:pPr>
        <w:spacing w:line="360" w:lineRule="auto"/>
        <w:jc w:val="right"/>
        <w:rPr>
          <w:rFonts w:hint="eastAsia" w:ascii="宋体" w:hAnsi="宋体" w:cs="宋体"/>
          <w:color w:val="auto"/>
          <w:sz w:val="24"/>
          <w:highlight w:val="none"/>
        </w:rPr>
      </w:pPr>
    </w:p>
    <w:p w14:paraId="69C7A390">
      <w:pPr>
        <w:spacing w:line="360" w:lineRule="auto"/>
        <w:jc w:val="right"/>
        <w:rPr>
          <w:rFonts w:hint="eastAsia" w:ascii="宋体" w:hAnsi="宋体" w:cs="宋体"/>
          <w:color w:val="auto"/>
          <w:sz w:val="24"/>
          <w:highlight w:val="none"/>
        </w:rPr>
      </w:pPr>
    </w:p>
    <w:p w14:paraId="2A3AA516">
      <w:pPr>
        <w:spacing w:line="360" w:lineRule="auto"/>
        <w:jc w:val="right"/>
        <w:rPr>
          <w:rFonts w:hint="eastAsia" w:ascii="宋体" w:hAnsi="宋体" w:cs="宋体"/>
          <w:color w:val="auto"/>
          <w:sz w:val="24"/>
          <w:highlight w:val="none"/>
        </w:rPr>
      </w:pPr>
    </w:p>
    <w:p w14:paraId="1BFEF668">
      <w:pPr>
        <w:spacing w:line="360" w:lineRule="auto"/>
        <w:jc w:val="right"/>
        <w:rPr>
          <w:rFonts w:hint="eastAsia" w:ascii="宋体" w:hAnsi="宋体" w:cs="宋体"/>
          <w:color w:val="auto"/>
          <w:sz w:val="24"/>
          <w:highlight w:val="none"/>
        </w:rPr>
      </w:pPr>
    </w:p>
    <w:p w14:paraId="66A09CEB">
      <w:pPr>
        <w:spacing w:line="360" w:lineRule="auto"/>
        <w:jc w:val="right"/>
        <w:rPr>
          <w:rFonts w:hint="eastAsia" w:ascii="宋体" w:hAnsi="宋体" w:cs="宋体"/>
          <w:color w:val="auto"/>
          <w:sz w:val="24"/>
          <w:highlight w:val="none"/>
        </w:rPr>
      </w:pPr>
    </w:p>
    <w:p w14:paraId="2F8D9DEF">
      <w:pPr>
        <w:spacing w:line="360" w:lineRule="auto"/>
        <w:jc w:val="right"/>
        <w:rPr>
          <w:rFonts w:hint="eastAsia" w:ascii="宋体" w:hAnsi="宋体" w:cs="宋体"/>
          <w:color w:val="auto"/>
          <w:sz w:val="24"/>
          <w:highlight w:val="none"/>
        </w:rPr>
      </w:pPr>
    </w:p>
    <w:p w14:paraId="32D38123">
      <w:pPr>
        <w:spacing w:line="360" w:lineRule="auto"/>
        <w:jc w:val="right"/>
        <w:rPr>
          <w:rFonts w:hint="eastAsia" w:ascii="宋体" w:hAnsi="宋体" w:cs="宋体"/>
          <w:color w:val="auto"/>
          <w:sz w:val="24"/>
          <w:highlight w:val="none"/>
        </w:rPr>
      </w:pPr>
    </w:p>
    <w:p w14:paraId="24D35557">
      <w:pPr>
        <w:spacing w:line="360" w:lineRule="auto"/>
        <w:jc w:val="right"/>
        <w:rPr>
          <w:rFonts w:hint="eastAsia" w:ascii="宋体" w:hAnsi="宋体" w:cs="宋体"/>
          <w:color w:val="auto"/>
          <w:sz w:val="24"/>
          <w:highlight w:val="none"/>
        </w:rPr>
      </w:pPr>
    </w:p>
    <w:p w14:paraId="5C71557F">
      <w:pPr>
        <w:spacing w:line="360" w:lineRule="auto"/>
        <w:jc w:val="right"/>
        <w:rPr>
          <w:rFonts w:hint="eastAsia" w:ascii="宋体" w:hAnsi="宋体" w:cs="宋体"/>
          <w:color w:val="auto"/>
          <w:sz w:val="24"/>
          <w:highlight w:val="none"/>
        </w:rPr>
      </w:pPr>
    </w:p>
    <w:p w14:paraId="647FBB1B">
      <w:pPr>
        <w:spacing w:line="360" w:lineRule="auto"/>
        <w:jc w:val="right"/>
        <w:rPr>
          <w:rFonts w:hint="eastAsia" w:ascii="宋体" w:hAnsi="宋体" w:cs="宋体"/>
          <w:color w:val="auto"/>
          <w:sz w:val="24"/>
          <w:highlight w:val="none"/>
        </w:rPr>
      </w:pPr>
    </w:p>
    <w:p w14:paraId="7CEF58B3">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 xml:space="preserve"> 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1E2172A4">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 xml:space="preserve"> 法定代表或委托代理人：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（签章）</w:t>
      </w:r>
    </w:p>
    <w:p w14:paraId="3229CAD7">
      <w:pPr>
        <w:spacing w:line="360" w:lineRule="auto"/>
        <w:jc w:val="right"/>
        <w:rPr>
          <w:rFonts w:hint="eastAsia" w:ascii="宋体" w:hAnsi="宋体" w:cs="宋体"/>
          <w:b/>
          <w:color w:val="auto"/>
          <w:sz w:val="24"/>
          <w:highlight w:val="none"/>
        </w:rPr>
        <w:sectPr>
          <w:pgSz w:w="16781" w:h="11849" w:orient="landscape"/>
          <w:pgMar w:top="1080" w:right="1440" w:bottom="1080" w:left="1440" w:header="851" w:footer="850" w:gutter="0"/>
          <w:cols w:space="720" w:num="1"/>
          <w:titlePg/>
          <w:docGrid w:type="linesAndChars" w:linePitch="320" w:charSpace="269"/>
        </w:sect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E122C29">
      <w:pPr>
        <w:spacing w:line="360" w:lineRule="auto"/>
        <w:jc w:val="center"/>
        <w:outlineLvl w:val="1"/>
        <w:rPr>
          <w:rFonts w:hint="eastAsia" w:ascii="宋体" w:hAnsi="宋体" w:cs="宋体"/>
          <w:b/>
          <w:color w:val="auto"/>
          <w:kern w:val="0"/>
          <w:sz w:val="24"/>
          <w:highlight w:val="none"/>
        </w:rPr>
      </w:pPr>
      <w:r>
        <w:rPr>
          <w:rFonts w:hint="eastAsia" w:ascii="宋体" w:hAnsi="宋体" w:cs="宋体"/>
          <w:b/>
          <w:color w:val="auto"/>
          <w:kern w:val="0"/>
          <w:sz w:val="24"/>
          <w:highlight w:val="none"/>
        </w:rPr>
        <w:t>（</w:t>
      </w:r>
      <w:r>
        <w:rPr>
          <w:rFonts w:hint="eastAsia" w:ascii="宋体" w:hAnsi="宋体" w:cs="宋体"/>
          <w:b/>
          <w:color w:val="auto"/>
          <w:kern w:val="0"/>
          <w:sz w:val="24"/>
          <w:highlight w:val="none"/>
          <w:lang w:val="en-US" w:eastAsia="zh-CN"/>
        </w:rPr>
        <w:t>七</w:t>
      </w:r>
      <w:r>
        <w:rPr>
          <w:rFonts w:hint="eastAsia" w:ascii="宋体" w:hAnsi="宋体" w:cs="宋体"/>
          <w:b/>
          <w:color w:val="auto"/>
          <w:kern w:val="0"/>
          <w:sz w:val="24"/>
          <w:highlight w:val="none"/>
        </w:rPr>
        <w:t>）、资格审查资料</w:t>
      </w:r>
    </w:p>
    <w:p w14:paraId="3E46D0F8">
      <w:pPr>
        <w:autoSpaceDE w:val="0"/>
        <w:autoSpaceDN w:val="0"/>
        <w:adjustRightInd w:val="0"/>
        <w:spacing w:line="360" w:lineRule="auto"/>
        <w:jc w:val="center"/>
        <w:outlineLvl w:val="2"/>
        <w:rPr>
          <w:rFonts w:hint="eastAsia" w:ascii="宋体" w:hAnsi="宋体" w:cs="宋体"/>
          <w:b/>
          <w:color w:val="auto"/>
          <w:sz w:val="24"/>
          <w:highlight w:val="none"/>
        </w:rPr>
      </w:pPr>
      <w:r>
        <w:rPr>
          <w:rFonts w:hint="eastAsia" w:ascii="宋体" w:hAnsi="宋体" w:cs="宋体"/>
          <w:b/>
          <w:color w:val="auto"/>
          <w:sz w:val="24"/>
          <w:highlight w:val="none"/>
        </w:rPr>
        <w:t>（１）投标人基本情况表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1009"/>
        <w:gridCol w:w="283"/>
        <w:gridCol w:w="1078"/>
        <w:gridCol w:w="906"/>
        <w:gridCol w:w="537"/>
        <w:gridCol w:w="1402"/>
        <w:gridCol w:w="294"/>
        <w:gridCol w:w="798"/>
        <w:gridCol w:w="1593"/>
      </w:tblGrid>
      <w:tr w14:paraId="5969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 w:hRule="atLeast"/>
          <w:jc w:val="center"/>
        </w:trPr>
        <w:tc>
          <w:tcPr>
            <w:tcW w:w="1671" w:type="dxa"/>
            <w:noWrap w:val="0"/>
            <w:vAlign w:val="center"/>
          </w:tcPr>
          <w:p w14:paraId="0D3AEA1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投标人名称</w:t>
            </w:r>
          </w:p>
        </w:tc>
        <w:tc>
          <w:tcPr>
            <w:tcW w:w="7900" w:type="dxa"/>
            <w:gridSpan w:val="9"/>
            <w:noWrap w:val="0"/>
            <w:vAlign w:val="center"/>
          </w:tcPr>
          <w:p w14:paraId="37DBF735">
            <w:pPr>
              <w:spacing w:line="360" w:lineRule="auto"/>
              <w:jc w:val="center"/>
              <w:rPr>
                <w:rFonts w:hint="eastAsia" w:ascii="宋体" w:hAnsi="宋体" w:cs="宋体"/>
                <w:color w:val="auto"/>
                <w:sz w:val="24"/>
                <w:highlight w:val="none"/>
              </w:rPr>
            </w:pPr>
          </w:p>
        </w:tc>
      </w:tr>
      <w:tr w14:paraId="2F5F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71" w:type="dxa"/>
            <w:noWrap w:val="0"/>
            <w:vAlign w:val="center"/>
          </w:tcPr>
          <w:p w14:paraId="4191179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注册地址</w:t>
            </w:r>
          </w:p>
        </w:tc>
        <w:tc>
          <w:tcPr>
            <w:tcW w:w="3813" w:type="dxa"/>
            <w:gridSpan w:val="5"/>
            <w:noWrap w:val="0"/>
            <w:vAlign w:val="center"/>
          </w:tcPr>
          <w:p w14:paraId="09D35AD4">
            <w:pPr>
              <w:spacing w:line="360" w:lineRule="auto"/>
              <w:jc w:val="center"/>
              <w:rPr>
                <w:rFonts w:hint="eastAsia" w:ascii="宋体" w:hAnsi="宋体" w:cs="宋体"/>
                <w:color w:val="auto"/>
                <w:sz w:val="24"/>
                <w:highlight w:val="none"/>
              </w:rPr>
            </w:pPr>
          </w:p>
        </w:tc>
        <w:tc>
          <w:tcPr>
            <w:tcW w:w="1402" w:type="dxa"/>
            <w:noWrap w:val="0"/>
            <w:vAlign w:val="center"/>
          </w:tcPr>
          <w:p w14:paraId="69C0A0F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邮政编码</w:t>
            </w:r>
          </w:p>
        </w:tc>
        <w:tc>
          <w:tcPr>
            <w:tcW w:w="2685" w:type="dxa"/>
            <w:gridSpan w:val="3"/>
            <w:noWrap w:val="0"/>
            <w:vAlign w:val="center"/>
          </w:tcPr>
          <w:p w14:paraId="362E320C">
            <w:pPr>
              <w:spacing w:line="360" w:lineRule="auto"/>
              <w:jc w:val="center"/>
              <w:rPr>
                <w:rFonts w:hint="eastAsia" w:ascii="宋体" w:hAnsi="宋体" w:cs="宋体"/>
                <w:color w:val="auto"/>
                <w:sz w:val="24"/>
                <w:highlight w:val="none"/>
              </w:rPr>
            </w:pPr>
          </w:p>
        </w:tc>
      </w:tr>
      <w:tr w14:paraId="0A77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1" w:type="dxa"/>
            <w:vMerge w:val="restart"/>
            <w:noWrap w:val="0"/>
            <w:vAlign w:val="center"/>
          </w:tcPr>
          <w:p w14:paraId="5392915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联系方式</w:t>
            </w:r>
          </w:p>
        </w:tc>
        <w:tc>
          <w:tcPr>
            <w:tcW w:w="1292" w:type="dxa"/>
            <w:gridSpan w:val="2"/>
            <w:noWrap w:val="0"/>
            <w:vAlign w:val="center"/>
          </w:tcPr>
          <w:p w14:paraId="098C4C0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联系人</w:t>
            </w:r>
          </w:p>
        </w:tc>
        <w:tc>
          <w:tcPr>
            <w:tcW w:w="2521" w:type="dxa"/>
            <w:gridSpan w:val="3"/>
            <w:noWrap w:val="0"/>
            <w:vAlign w:val="center"/>
          </w:tcPr>
          <w:p w14:paraId="4C613D96">
            <w:pPr>
              <w:spacing w:line="360" w:lineRule="auto"/>
              <w:jc w:val="center"/>
              <w:rPr>
                <w:rFonts w:hint="eastAsia" w:ascii="宋体" w:hAnsi="宋体" w:cs="宋体"/>
                <w:color w:val="auto"/>
                <w:sz w:val="24"/>
                <w:highlight w:val="none"/>
              </w:rPr>
            </w:pPr>
          </w:p>
        </w:tc>
        <w:tc>
          <w:tcPr>
            <w:tcW w:w="1402" w:type="dxa"/>
            <w:noWrap w:val="0"/>
            <w:vAlign w:val="center"/>
          </w:tcPr>
          <w:p w14:paraId="3714D33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电  话</w:t>
            </w:r>
          </w:p>
        </w:tc>
        <w:tc>
          <w:tcPr>
            <w:tcW w:w="2685" w:type="dxa"/>
            <w:gridSpan w:val="3"/>
            <w:noWrap w:val="0"/>
            <w:vAlign w:val="center"/>
          </w:tcPr>
          <w:p w14:paraId="3B9B08C5">
            <w:pPr>
              <w:spacing w:line="360" w:lineRule="auto"/>
              <w:jc w:val="center"/>
              <w:rPr>
                <w:rFonts w:hint="eastAsia" w:ascii="宋体" w:hAnsi="宋体" w:cs="宋体"/>
                <w:color w:val="auto"/>
                <w:sz w:val="24"/>
                <w:highlight w:val="none"/>
              </w:rPr>
            </w:pPr>
          </w:p>
        </w:tc>
      </w:tr>
      <w:tr w14:paraId="6C8E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671" w:type="dxa"/>
            <w:vMerge w:val="continue"/>
            <w:noWrap w:val="0"/>
            <w:vAlign w:val="center"/>
          </w:tcPr>
          <w:p w14:paraId="2E531B81">
            <w:pPr>
              <w:spacing w:line="360" w:lineRule="auto"/>
              <w:jc w:val="center"/>
              <w:rPr>
                <w:rFonts w:hint="eastAsia" w:ascii="宋体" w:hAnsi="宋体" w:cs="宋体"/>
                <w:color w:val="auto"/>
                <w:sz w:val="24"/>
                <w:highlight w:val="none"/>
              </w:rPr>
            </w:pPr>
          </w:p>
        </w:tc>
        <w:tc>
          <w:tcPr>
            <w:tcW w:w="1292" w:type="dxa"/>
            <w:gridSpan w:val="2"/>
            <w:noWrap w:val="0"/>
            <w:vAlign w:val="center"/>
          </w:tcPr>
          <w:p w14:paraId="1D0EB05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传  真</w:t>
            </w:r>
          </w:p>
        </w:tc>
        <w:tc>
          <w:tcPr>
            <w:tcW w:w="2521" w:type="dxa"/>
            <w:gridSpan w:val="3"/>
            <w:noWrap w:val="0"/>
            <w:vAlign w:val="center"/>
          </w:tcPr>
          <w:p w14:paraId="1BCB63B6">
            <w:pPr>
              <w:spacing w:line="360" w:lineRule="auto"/>
              <w:jc w:val="center"/>
              <w:rPr>
                <w:rFonts w:hint="eastAsia" w:ascii="宋体" w:hAnsi="宋体" w:cs="宋体"/>
                <w:color w:val="auto"/>
                <w:sz w:val="24"/>
                <w:highlight w:val="none"/>
              </w:rPr>
            </w:pPr>
          </w:p>
        </w:tc>
        <w:tc>
          <w:tcPr>
            <w:tcW w:w="1402" w:type="dxa"/>
            <w:noWrap w:val="0"/>
            <w:vAlign w:val="center"/>
          </w:tcPr>
          <w:p w14:paraId="59A4560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网  址</w:t>
            </w:r>
          </w:p>
        </w:tc>
        <w:tc>
          <w:tcPr>
            <w:tcW w:w="2685" w:type="dxa"/>
            <w:gridSpan w:val="3"/>
            <w:noWrap w:val="0"/>
            <w:vAlign w:val="center"/>
          </w:tcPr>
          <w:p w14:paraId="7F9176FD">
            <w:pPr>
              <w:spacing w:line="360" w:lineRule="auto"/>
              <w:jc w:val="center"/>
              <w:rPr>
                <w:rFonts w:hint="eastAsia" w:ascii="宋体" w:hAnsi="宋体" w:cs="宋体"/>
                <w:color w:val="auto"/>
                <w:sz w:val="24"/>
                <w:highlight w:val="none"/>
              </w:rPr>
            </w:pPr>
          </w:p>
        </w:tc>
      </w:tr>
      <w:tr w14:paraId="62AC6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14:paraId="3C66A77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组织结构</w:t>
            </w:r>
          </w:p>
        </w:tc>
        <w:tc>
          <w:tcPr>
            <w:tcW w:w="7900" w:type="dxa"/>
            <w:gridSpan w:val="9"/>
            <w:noWrap w:val="0"/>
            <w:vAlign w:val="center"/>
          </w:tcPr>
          <w:p w14:paraId="42E87456">
            <w:pPr>
              <w:spacing w:line="360" w:lineRule="auto"/>
              <w:jc w:val="center"/>
              <w:rPr>
                <w:rFonts w:hint="eastAsia" w:ascii="宋体" w:hAnsi="宋体" w:cs="宋体"/>
                <w:color w:val="auto"/>
                <w:sz w:val="24"/>
                <w:highlight w:val="none"/>
              </w:rPr>
            </w:pPr>
          </w:p>
        </w:tc>
      </w:tr>
      <w:tr w14:paraId="1A4CA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14:paraId="4E8CF3B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法定代表人</w:t>
            </w:r>
          </w:p>
        </w:tc>
        <w:tc>
          <w:tcPr>
            <w:tcW w:w="1009" w:type="dxa"/>
            <w:noWrap w:val="0"/>
            <w:vAlign w:val="center"/>
          </w:tcPr>
          <w:p w14:paraId="7C934DF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1361" w:type="dxa"/>
            <w:gridSpan w:val="2"/>
            <w:noWrap w:val="0"/>
            <w:vAlign w:val="center"/>
          </w:tcPr>
          <w:p w14:paraId="72451253">
            <w:pPr>
              <w:spacing w:line="360" w:lineRule="auto"/>
              <w:jc w:val="center"/>
              <w:rPr>
                <w:rFonts w:hint="eastAsia" w:ascii="宋体" w:hAnsi="宋体" w:cs="宋体"/>
                <w:color w:val="auto"/>
                <w:sz w:val="24"/>
                <w:highlight w:val="none"/>
              </w:rPr>
            </w:pPr>
          </w:p>
        </w:tc>
        <w:tc>
          <w:tcPr>
            <w:tcW w:w="1443" w:type="dxa"/>
            <w:gridSpan w:val="2"/>
            <w:noWrap w:val="0"/>
            <w:vAlign w:val="center"/>
          </w:tcPr>
          <w:p w14:paraId="31005B4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技术职称</w:t>
            </w:r>
          </w:p>
        </w:tc>
        <w:tc>
          <w:tcPr>
            <w:tcW w:w="1696" w:type="dxa"/>
            <w:gridSpan w:val="2"/>
            <w:noWrap w:val="0"/>
            <w:vAlign w:val="center"/>
          </w:tcPr>
          <w:p w14:paraId="23CFD2EB">
            <w:pPr>
              <w:spacing w:line="360" w:lineRule="auto"/>
              <w:jc w:val="center"/>
              <w:rPr>
                <w:rFonts w:hint="eastAsia" w:ascii="宋体" w:hAnsi="宋体" w:cs="宋体"/>
                <w:color w:val="auto"/>
                <w:sz w:val="24"/>
                <w:highlight w:val="none"/>
              </w:rPr>
            </w:pPr>
          </w:p>
        </w:tc>
        <w:tc>
          <w:tcPr>
            <w:tcW w:w="798" w:type="dxa"/>
            <w:noWrap w:val="0"/>
            <w:vAlign w:val="center"/>
          </w:tcPr>
          <w:p w14:paraId="373EE80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电话</w:t>
            </w:r>
          </w:p>
        </w:tc>
        <w:tc>
          <w:tcPr>
            <w:tcW w:w="1593" w:type="dxa"/>
            <w:noWrap w:val="0"/>
            <w:vAlign w:val="center"/>
          </w:tcPr>
          <w:p w14:paraId="17D5F299">
            <w:pPr>
              <w:spacing w:line="360" w:lineRule="auto"/>
              <w:jc w:val="center"/>
              <w:rPr>
                <w:rFonts w:hint="eastAsia" w:ascii="宋体" w:hAnsi="宋体" w:cs="宋体"/>
                <w:color w:val="auto"/>
                <w:sz w:val="24"/>
                <w:highlight w:val="none"/>
              </w:rPr>
            </w:pPr>
          </w:p>
        </w:tc>
      </w:tr>
      <w:tr w14:paraId="358B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14:paraId="292C486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技术负责人</w:t>
            </w:r>
          </w:p>
        </w:tc>
        <w:tc>
          <w:tcPr>
            <w:tcW w:w="1009" w:type="dxa"/>
            <w:noWrap w:val="0"/>
            <w:vAlign w:val="center"/>
          </w:tcPr>
          <w:p w14:paraId="2239940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1361" w:type="dxa"/>
            <w:gridSpan w:val="2"/>
            <w:noWrap w:val="0"/>
            <w:vAlign w:val="center"/>
          </w:tcPr>
          <w:p w14:paraId="7E90B7BA">
            <w:pPr>
              <w:spacing w:line="360" w:lineRule="auto"/>
              <w:jc w:val="center"/>
              <w:rPr>
                <w:rFonts w:hint="eastAsia" w:ascii="宋体" w:hAnsi="宋体" w:cs="宋体"/>
                <w:color w:val="auto"/>
                <w:sz w:val="24"/>
                <w:highlight w:val="none"/>
              </w:rPr>
            </w:pPr>
          </w:p>
        </w:tc>
        <w:tc>
          <w:tcPr>
            <w:tcW w:w="1443" w:type="dxa"/>
            <w:gridSpan w:val="2"/>
            <w:noWrap w:val="0"/>
            <w:vAlign w:val="center"/>
          </w:tcPr>
          <w:p w14:paraId="1C9D190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技术职称</w:t>
            </w:r>
          </w:p>
        </w:tc>
        <w:tc>
          <w:tcPr>
            <w:tcW w:w="1696" w:type="dxa"/>
            <w:gridSpan w:val="2"/>
            <w:noWrap w:val="0"/>
            <w:vAlign w:val="center"/>
          </w:tcPr>
          <w:p w14:paraId="385CF2D7">
            <w:pPr>
              <w:spacing w:line="360" w:lineRule="auto"/>
              <w:jc w:val="center"/>
              <w:rPr>
                <w:rFonts w:hint="eastAsia" w:ascii="宋体" w:hAnsi="宋体" w:cs="宋体"/>
                <w:color w:val="auto"/>
                <w:sz w:val="24"/>
                <w:highlight w:val="none"/>
              </w:rPr>
            </w:pPr>
          </w:p>
        </w:tc>
        <w:tc>
          <w:tcPr>
            <w:tcW w:w="798" w:type="dxa"/>
            <w:noWrap w:val="0"/>
            <w:vAlign w:val="center"/>
          </w:tcPr>
          <w:p w14:paraId="0A659B4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电话</w:t>
            </w:r>
          </w:p>
        </w:tc>
        <w:tc>
          <w:tcPr>
            <w:tcW w:w="1593" w:type="dxa"/>
            <w:noWrap w:val="0"/>
            <w:vAlign w:val="center"/>
          </w:tcPr>
          <w:p w14:paraId="678E33C0">
            <w:pPr>
              <w:spacing w:line="360" w:lineRule="auto"/>
              <w:jc w:val="center"/>
              <w:rPr>
                <w:rFonts w:hint="eastAsia" w:ascii="宋体" w:hAnsi="宋体" w:cs="宋体"/>
                <w:color w:val="auto"/>
                <w:sz w:val="24"/>
                <w:highlight w:val="none"/>
              </w:rPr>
            </w:pPr>
          </w:p>
        </w:tc>
      </w:tr>
      <w:tr w14:paraId="7EA7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14:paraId="2B1E8EB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成立时间</w:t>
            </w:r>
          </w:p>
        </w:tc>
        <w:tc>
          <w:tcPr>
            <w:tcW w:w="2370" w:type="dxa"/>
            <w:gridSpan w:val="3"/>
            <w:noWrap w:val="0"/>
            <w:vAlign w:val="center"/>
          </w:tcPr>
          <w:p w14:paraId="622D0592">
            <w:pPr>
              <w:spacing w:line="360" w:lineRule="auto"/>
              <w:jc w:val="center"/>
              <w:rPr>
                <w:rFonts w:hint="eastAsia" w:ascii="宋体" w:hAnsi="宋体" w:cs="宋体"/>
                <w:color w:val="auto"/>
                <w:sz w:val="24"/>
                <w:highlight w:val="none"/>
              </w:rPr>
            </w:pPr>
          </w:p>
        </w:tc>
        <w:tc>
          <w:tcPr>
            <w:tcW w:w="5530" w:type="dxa"/>
            <w:gridSpan w:val="6"/>
            <w:noWrap w:val="0"/>
            <w:vAlign w:val="center"/>
          </w:tcPr>
          <w:p w14:paraId="73FA0E8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员工总人数：</w:t>
            </w:r>
          </w:p>
        </w:tc>
      </w:tr>
      <w:tr w14:paraId="7392C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14:paraId="4248481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企业资质等级</w:t>
            </w:r>
          </w:p>
        </w:tc>
        <w:tc>
          <w:tcPr>
            <w:tcW w:w="2370" w:type="dxa"/>
            <w:gridSpan w:val="3"/>
            <w:noWrap w:val="0"/>
            <w:vAlign w:val="center"/>
          </w:tcPr>
          <w:p w14:paraId="659A8979">
            <w:pPr>
              <w:spacing w:line="360" w:lineRule="auto"/>
              <w:jc w:val="center"/>
              <w:rPr>
                <w:rFonts w:hint="eastAsia" w:ascii="宋体" w:hAnsi="宋体" w:cs="宋体"/>
                <w:color w:val="auto"/>
                <w:sz w:val="24"/>
                <w:highlight w:val="none"/>
              </w:rPr>
            </w:pPr>
          </w:p>
        </w:tc>
        <w:tc>
          <w:tcPr>
            <w:tcW w:w="906" w:type="dxa"/>
            <w:vMerge w:val="restart"/>
            <w:noWrap w:val="0"/>
            <w:vAlign w:val="center"/>
          </w:tcPr>
          <w:p w14:paraId="4F7BAC5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其中</w:t>
            </w:r>
          </w:p>
        </w:tc>
        <w:tc>
          <w:tcPr>
            <w:tcW w:w="2233" w:type="dxa"/>
            <w:gridSpan w:val="3"/>
            <w:noWrap w:val="0"/>
            <w:vAlign w:val="center"/>
          </w:tcPr>
          <w:p w14:paraId="15A10D7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项目经理</w:t>
            </w:r>
          </w:p>
        </w:tc>
        <w:tc>
          <w:tcPr>
            <w:tcW w:w="2391" w:type="dxa"/>
            <w:gridSpan w:val="2"/>
            <w:noWrap w:val="0"/>
            <w:vAlign w:val="center"/>
          </w:tcPr>
          <w:p w14:paraId="40BABBA0">
            <w:pPr>
              <w:spacing w:line="360" w:lineRule="auto"/>
              <w:jc w:val="center"/>
              <w:rPr>
                <w:rFonts w:hint="eastAsia" w:ascii="宋体" w:hAnsi="宋体" w:cs="宋体"/>
                <w:color w:val="auto"/>
                <w:sz w:val="24"/>
                <w:highlight w:val="none"/>
              </w:rPr>
            </w:pPr>
          </w:p>
        </w:tc>
      </w:tr>
      <w:tr w14:paraId="4AE7B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14:paraId="050247B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营业执照号</w:t>
            </w:r>
          </w:p>
        </w:tc>
        <w:tc>
          <w:tcPr>
            <w:tcW w:w="2370" w:type="dxa"/>
            <w:gridSpan w:val="3"/>
            <w:noWrap w:val="0"/>
            <w:vAlign w:val="center"/>
          </w:tcPr>
          <w:p w14:paraId="3D031581">
            <w:pPr>
              <w:spacing w:line="360" w:lineRule="auto"/>
              <w:jc w:val="center"/>
              <w:rPr>
                <w:rFonts w:hint="eastAsia" w:ascii="宋体" w:hAnsi="宋体" w:cs="宋体"/>
                <w:color w:val="auto"/>
                <w:sz w:val="24"/>
                <w:highlight w:val="none"/>
              </w:rPr>
            </w:pPr>
          </w:p>
        </w:tc>
        <w:tc>
          <w:tcPr>
            <w:tcW w:w="906" w:type="dxa"/>
            <w:vMerge w:val="continue"/>
            <w:noWrap w:val="0"/>
            <w:vAlign w:val="center"/>
          </w:tcPr>
          <w:p w14:paraId="747710C1">
            <w:pPr>
              <w:spacing w:line="360" w:lineRule="auto"/>
              <w:jc w:val="center"/>
              <w:rPr>
                <w:rFonts w:hint="eastAsia" w:ascii="宋体" w:hAnsi="宋体" w:cs="宋体"/>
                <w:color w:val="auto"/>
                <w:sz w:val="24"/>
                <w:highlight w:val="none"/>
              </w:rPr>
            </w:pPr>
          </w:p>
        </w:tc>
        <w:tc>
          <w:tcPr>
            <w:tcW w:w="2233" w:type="dxa"/>
            <w:gridSpan w:val="3"/>
            <w:noWrap w:val="0"/>
            <w:vAlign w:val="center"/>
          </w:tcPr>
          <w:p w14:paraId="66BF6AD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高级职称人员</w:t>
            </w:r>
          </w:p>
        </w:tc>
        <w:tc>
          <w:tcPr>
            <w:tcW w:w="2391" w:type="dxa"/>
            <w:gridSpan w:val="2"/>
            <w:noWrap w:val="0"/>
            <w:vAlign w:val="center"/>
          </w:tcPr>
          <w:p w14:paraId="44FA1035">
            <w:pPr>
              <w:spacing w:line="360" w:lineRule="auto"/>
              <w:jc w:val="center"/>
              <w:rPr>
                <w:rFonts w:hint="eastAsia" w:ascii="宋体" w:hAnsi="宋体" w:cs="宋体"/>
                <w:color w:val="auto"/>
                <w:sz w:val="24"/>
                <w:highlight w:val="none"/>
              </w:rPr>
            </w:pPr>
          </w:p>
        </w:tc>
      </w:tr>
      <w:tr w14:paraId="25A5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14:paraId="2F67E55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注册资金</w:t>
            </w:r>
          </w:p>
        </w:tc>
        <w:tc>
          <w:tcPr>
            <w:tcW w:w="2370" w:type="dxa"/>
            <w:gridSpan w:val="3"/>
            <w:noWrap w:val="0"/>
            <w:vAlign w:val="center"/>
          </w:tcPr>
          <w:p w14:paraId="7E830DE9">
            <w:pPr>
              <w:spacing w:line="360" w:lineRule="auto"/>
              <w:jc w:val="center"/>
              <w:rPr>
                <w:rFonts w:hint="eastAsia" w:ascii="宋体" w:hAnsi="宋体" w:cs="宋体"/>
                <w:color w:val="auto"/>
                <w:sz w:val="24"/>
                <w:highlight w:val="none"/>
              </w:rPr>
            </w:pPr>
          </w:p>
        </w:tc>
        <w:tc>
          <w:tcPr>
            <w:tcW w:w="906" w:type="dxa"/>
            <w:vMerge w:val="continue"/>
            <w:noWrap w:val="0"/>
            <w:vAlign w:val="center"/>
          </w:tcPr>
          <w:p w14:paraId="009A6C58">
            <w:pPr>
              <w:spacing w:line="360" w:lineRule="auto"/>
              <w:jc w:val="center"/>
              <w:rPr>
                <w:rFonts w:hint="eastAsia" w:ascii="宋体" w:hAnsi="宋体" w:cs="宋体"/>
                <w:color w:val="auto"/>
                <w:sz w:val="24"/>
                <w:highlight w:val="none"/>
              </w:rPr>
            </w:pPr>
          </w:p>
        </w:tc>
        <w:tc>
          <w:tcPr>
            <w:tcW w:w="2233" w:type="dxa"/>
            <w:gridSpan w:val="3"/>
            <w:noWrap w:val="0"/>
            <w:vAlign w:val="center"/>
          </w:tcPr>
          <w:p w14:paraId="4108E05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中级职称人员</w:t>
            </w:r>
          </w:p>
        </w:tc>
        <w:tc>
          <w:tcPr>
            <w:tcW w:w="2391" w:type="dxa"/>
            <w:gridSpan w:val="2"/>
            <w:noWrap w:val="0"/>
            <w:vAlign w:val="center"/>
          </w:tcPr>
          <w:p w14:paraId="5FCCA336">
            <w:pPr>
              <w:spacing w:line="360" w:lineRule="auto"/>
              <w:jc w:val="center"/>
              <w:rPr>
                <w:rFonts w:hint="eastAsia" w:ascii="宋体" w:hAnsi="宋体" w:cs="宋体"/>
                <w:color w:val="auto"/>
                <w:sz w:val="24"/>
                <w:highlight w:val="none"/>
              </w:rPr>
            </w:pPr>
          </w:p>
        </w:tc>
      </w:tr>
      <w:tr w14:paraId="012D6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671" w:type="dxa"/>
            <w:noWrap w:val="0"/>
            <w:vAlign w:val="center"/>
          </w:tcPr>
          <w:p w14:paraId="1E47F0C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开户银行</w:t>
            </w:r>
          </w:p>
        </w:tc>
        <w:tc>
          <w:tcPr>
            <w:tcW w:w="2370" w:type="dxa"/>
            <w:gridSpan w:val="3"/>
            <w:noWrap w:val="0"/>
            <w:vAlign w:val="center"/>
          </w:tcPr>
          <w:p w14:paraId="05C981EB">
            <w:pPr>
              <w:spacing w:line="360" w:lineRule="auto"/>
              <w:jc w:val="center"/>
              <w:rPr>
                <w:rFonts w:hint="eastAsia" w:ascii="宋体" w:hAnsi="宋体" w:cs="宋体"/>
                <w:color w:val="auto"/>
                <w:sz w:val="24"/>
                <w:highlight w:val="none"/>
              </w:rPr>
            </w:pPr>
          </w:p>
        </w:tc>
        <w:tc>
          <w:tcPr>
            <w:tcW w:w="906" w:type="dxa"/>
            <w:vMerge w:val="continue"/>
            <w:noWrap w:val="0"/>
            <w:vAlign w:val="center"/>
          </w:tcPr>
          <w:p w14:paraId="636321B7">
            <w:pPr>
              <w:spacing w:line="360" w:lineRule="auto"/>
              <w:jc w:val="center"/>
              <w:rPr>
                <w:rFonts w:hint="eastAsia" w:ascii="宋体" w:hAnsi="宋体" w:cs="宋体"/>
                <w:color w:val="auto"/>
                <w:sz w:val="24"/>
                <w:highlight w:val="none"/>
              </w:rPr>
            </w:pPr>
          </w:p>
        </w:tc>
        <w:tc>
          <w:tcPr>
            <w:tcW w:w="2233" w:type="dxa"/>
            <w:gridSpan w:val="3"/>
            <w:noWrap w:val="0"/>
            <w:vAlign w:val="center"/>
          </w:tcPr>
          <w:p w14:paraId="135BDCC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初级职称人员</w:t>
            </w:r>
          </w:p>
        </w:tc>
        <w:tc>
          <w:tcPr>
            <w:tcW w:w="2391" w:type="dxa"/>
            <w:gridSpan w:val="2"/>
            <w:noWrap w:val="0"/>
            <w:vAlign w:val="center"/>
          </w:tcPr>
          <w:p w14:paraId="787BE53E">
            <w:pPr>
              <w:spacing w:line="360" w:lineRule="auto"/>
              <w:jc w:val="center"/>
              <w:rPr>
                <w:rFonts w:hint="eastAsia" w:ascii="宋体" w:hAnsi="宋体" w:cs="宋体"/>
                <w:color w:val="auto"/>
                <w:sz w:val="24"/>
                <w:highlight w:val="none"/>
              </w:rPr>
            </w:pPr>
          </w:p>
        </w:tc>
      </w:tr>
      <w:tr w14:paraId="3AEA6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671" w:type="dxa"/>
            <w:noWrap w:val="0"/>
            <w:vAlign w:val="center"/>
          </w:tcPr>
          <w:p w14:paraId="1205608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账号</w:t>
            </w:r>
          </w:p>
        </w:tc>
        <w:tc>
          <w:tcPr>
            <w:tcW w:w="2370" w:type="dxa"/>
            <w:gridSpan w:val="3"/>
            <w:noWrap w:val="0"/>
            <w:vAlign w:val="center"/>
          </w:tcPr>
          <w:p w14:paraId="1AEB6D41">
            <w:pPr>
              <w:spacing w:line="360" w:lineRule="auto"/>
              <w:jc w:val="center"/>
              <w:rPr>
                <w:rFonts w:hint="eastAsia" w:ascii="宋体" w:hAnsi="宋体" w:cs="宋体"/>
                <w:color w:val="auto"/>
                <w:sz w:val="24"/>
                <w:highlight w:val="none"/>
              </w:rPr>
            </w:pPr>
          </w:p>
        </w:tc>
        <w:tc>
          <w:tcPr>
            <w:tcW w:w="906" w:type="dxa"/>
            <w:vMerge w:val="continue"/>
            <w:noWrap w:val="0"/>
            <w:vAlign w:val="center"/>
          </w:tcPr>
          <w:p w14:paraId="276B9989">
            <w:pPr>
              <w:spacing w:line="360" w:lineRule="auto"/>
              <w:jc w:val="center"/>
              <w:rPr>
                <w:rFonts w:hint="eastAsia" w:ascii="宋体" w:hAnsi="宋体" w:cs="宋体"/>
                <w:color w:val="auto"/>
                <w:sz w:val="24"/>
                <w:highlight w:val="none"/>
              </w:rPr>
            </w:pPr>
          </w:p>
        </w:tc>
        <w:tc>
          <w:tcPr>
            <w:tcW w:w="2233" w:type="dxa"/>
            <w:gridSpan w:val="3"/>
            <w:noWrap w:val="0"/>
            <w:vAlign w:val="center"/>
          </w:tcPr>
          <w:p w14:paraId="2F43C82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技  工</w:t>
            </w:r>
          </w:p>
        </w:tc>
        <w:tc>
          <w:tcPr>
            <w:tcW w:w="2391" w:type="dxa"/>
            <w:gridSpan w:val="2"/>
            <w:noWrap w:val="0"/>
            <w:vAlign w:val="center"/>
          </w:tcPr>
          <w:p w14:paraId="2AA65767">
            <w:pPr>
              <w:spacing w:line="360" w:lineRule="auto"/>
              <w:jc w:val="center"/>
              <w:rPr>
                <w:rFonts w:hint="eastAsia" w:ascii="宋体" w:hAnsi="宋体" w:cs="宋体"/>
                <w:color w:val="auto"/>
                <w:sz w:val="24"/>
                <w:highlight w:val="none"/>
              </w:rPr>
            </w:pPr>
          </w:p>
        </w:tc>
      </w:tr>
      <w:tr w14:paraId="0A000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1" w:type="dxa"/>
            <w:noWrap w:val="0"/>
            <w:vAlign w:val="center"/>
          </w:tcPr>
          <w:p w14:paraId="2685279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经营范围</w:t>
            </w:r>
          </w:p>
        </w:tc>
        <w:tc>
          <w:tcPr>
            <w:tcW w:w="7900" w:type="dxa"/>
            <w:gridSpan w:val="9"/>
            <w:noWrap w:val="0"/>
            <w:vAlign w:val="center"/>
          </w:tcPr>
          <w:p w14:paraId="38D4EA39">
            <w:pPr>
              <w:spacing w:line="360" w:lineRule="auto"/>
              <w:jc w:val="center"/>
              <w:rPr>
                <w:rFonts w:hint="eastAsia" w:ascii="宋体" w:hAnsi="宋体" w:cs="宋体"/>
                <w:color w:val="auto"/>
                <w:sz w:val="24"/>
                <w:highlight w:val="none"/>
              </w:rPr>
            </w:pPr>
          </w:p>
        </w:tc>
      </w:tr>
      <w:tr w14:paraId="72B07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14:paraId="5D38870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备注</w:t>
            </w:r>
          </w:p>
        </w:tc>
        <w:tc>
          <w:tcPr>
            <w:tcW w:w="7900" w:type="dxa"/>
            <w:gridSpan w:val="9"/>
            <w:noWrap w:val="0"/>
            <w:vAlign w:val="center"/>
          </w:tcPr>
          <w:p w14:paraId="4F9AA505">
            <w:pPr>
              <w:spacing w:line="360" w:lineRule="auto"/>
              <w:jc w:val="center"/>
              <w:rPr>
                <w:rFonts w:hint="eastAsia" w:ascii="宋体" w:hAnsi="宋体" w:cs="宋体"/>
                <w:color w:val="auto"/>
                <w:sz w:val="24"/>
                <w:highlight w:val="none"/>
              </w:rPr>
            </w:pPr>
          </w:p>
        </w:tc>
      </w:tr>
    </w:tbl>
    <w:p w14:paraId="48FD03E8">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备注：本表后应附企业法人营业执照等材料的复印件。</w:t>
      </w:r>
    </w:p>
    <w:p w14:paraId="1A825DB9">
      <w:pPr>
        <w:spacing w:before="160" w:beforeLines="50" w:after="160" w:afterLines="50" w:line="360" w:lineRule="auto"/>
        <w:jc w:val="both"/>
        <w:rPr>
          <w:rFonts w:hint="eastAsia" w:ascii="宋体" w:hAnsi="宋体" w:cs="宋体"/>
          <w:b/>
          <w:color w:val="auto"/>
          <w:sz w:val="24"/>
          <w:highlight w:val="none"/>
        </w:rPr>
      </w:pPr>
      <w:r>
        <w:rPr>
          <w:rFonts w:hint="eastAsia" w:ascii="宋体" w:hAnsi="宋体" w:cs="宋体"/>
          <w:b/>
          <w:color w:val="auto"/>
          <w:sz w:val="24"/>
          <w:highlight w:val="none"/>
        </w:rPr>
        <w:t>（2）企业其他信誉情况表</w:t>
      </w:r>
    </w:p>
    <w:p w14:paraId="2B89D60A">
      <w:pPr>
        <w:spacing w:line="360" w:lineRule="auto"/>
        <w:ind w:left="724" w:hanging="723" w:hangingChars="300"/>
        <w:rPr>
          <w:rFonts w:hint="eastAsia" w:ascii="宋体" w:hAnsi="宋体" w:cs="宋体"/>
          <w:color w:val="auto"/>
          <w:sz w:val="24"/>
          <w:highlight w:val="none"/>
        </w:rPr>
      </w:pPr>
      <w:r>
        <w:rPr>
          <w:rFonts w:hint="eastAsia" w:ascii="宋体" w:hAnsi="宋体" w:cs="宋体"/>
          <w:color w:val="auto"/>
          <w:sz w:val="24"/>
          <w:highlight w:val="none"/>
        </w:rPr>
        <w:t>1）近三年企业不良行为记录情况</w:t>
      </w:r>
    </w:p>
    <w:p w14:paraId="733E0DA7">
      <w:pPr>
        <w:spacing w:line="360" w:lineRule="auto"/>
        <w:ind w:left="724" w:hanging="723" w:hangingChars="300"/>
        <w:rPr>
          <w:rFonts w:hint="eastAsia" w:ascii="宋体" w:hAnsi="宋体" w:cs="宋体"/>
          <w:color w:val="auto"/>
          <w:sz w:val="24"/>
          <w:highlight w:val="none"/>
        </w:rPr>
      </w:pPr>
      <w:r>
        <w:rPr>
          <w:rFonts w:hint="eastAsia" w:ascii="宋体" w:hAnsi="宋体" w:cs="宋体"/>
          <w:color w:val="auto"/>
          <w:sz w:val="24"/>
          <w:highlight w:val="none"/>
        </w:rPr>
        <w:t>2）在供货以及近年已完成供货合同履行情况</w:t>
      </w:r>
    </w:p>
    <w:p w14:paraId="2C885FFE">
      <w:pPr>
        <w:spacing w:line="360" w:lineRule="auto"/>
        <w:ind w:left="724" w:hanging="723" w:hangingChars="300"/>
        <w:rPr>
          <w:rFonts w:hint="eastAsia" w:ascii="宋体" w:hAnsi="宋体" w:cs="宋体"/>
          <w:color w:val="auto"/>
          <w:sz w:val="24"/>
          <w:highlight w:val="none"/>
        </w:rPr>
      </w:pPr>
      <w:r>
        <w:rPr>
          <w:rFonts w:hint="eastAsia" w:ascii="宋体" w:hAnsi="宋体" w:cs="宋体"/>
          <w:color w:val="auto"/>
          <w:sz w:val="24"/>
          <w:highlight w:val="none"/>
        </w:rPr>
        <w:t>3）其  他</w:t>
      </w:r>
    </w:p>
    <w:p w14:paraId="5CB17CF4">
      <w:pPr>
        <w:spacing w:line="360" w:lineRule="auto"/>
        <w:ind w:left="724" w:hanging="723" w:hangingChars="300"/>
        <w:rPr>
          <w:rFonts w:hint="eastAsia" w:ascii="宋体" w:hAnsi="宋体" w:cs="宋体"/>
          <w:color w:val="auto"/>
          <w:sz w:val="24"/>
          <w:highlight w:val="none"/>
        </w:rPr>
      </w:pPr>
    </w:p>
    <w:p w14:paraId="36327A6E">
      <w:pPr>
        <w:pStyle w:val="7"/>
        <w:rPr>
          <w:rFonts w:hint="eastAsia" w:ascii="宋体" w:hAnsi="宋体" w:cs="宋体"/>
          <w:color w:val="auto"/>
          <w:sz w:val="24"/>
          <w:highlight w:val="none"/>
        </w:rPr>
      </w:pPr>
    </w:p>
    <w:p w14:paraId="0C5DBE25">
      <w:pPr>
        <w:rPr>
          <w:rFonts w:hint="eastAsia" w:ascii="宋体" w:hAnsi="宋体" w:cs="宋体"/>
          <w:color w:val="auto"/>
          <w:sz w:val="24"/>
          <w:highlight w:val="none"/>
        </w:rPr>
      </w:pPr>
    </w:p>
    <w:p w14:paraId="7F0053A3">
      <w:pPr>
        <w:pStyle w:val="7"/>
        <w:rPr>
          <w:rFonts w:hint="eastAsia"/>
          <w:color w:val="auto"/>
        </w:rPr>
      </w:pPr>
    </w:p>
    <w:p w14:paraId="184DA9B6">
      <w:pPr>
        <w:rPr>
          <w:rFonts w:hint="eastAsia" w:ascii="宋体" w:hAnsi="宋体" w:cs="宋体"/>
          <w:b/>
          <w:color w:val="auto"/>
          <w:kern w:val="0"/>
          <w:sz w:val="24"/>
          <w:highlight w:val="none"/>
          <w:lang w:eastAsia="zh-CN"/>
        </w:rPr>
      </w:pPr>
      <w:r>
        <w:rPr>
          <w:rFonts w:hint="eastAsia" w:ascii="宋体" w:hAnsi="宋体" w:cs="宋体"/>
          <w:b/>
          <w:color w:val="auto"/>
          <w:kern w:val="0"/>
          <w:sz w:val="24"/>
          <w:highlight w:val="none"/>
          <w:lang w:eastAsia="zh-CN"/>
        </w:rPr>
        <w:br w:type="page"/>
      </w:r>
    </w:p>
    <w:p w14:paraId="40C0F020">
      <w:pPr>
        <w:numPr>
          <w:ilvl w:val="0"/>
          <w:numId w:val="0"/>
        </w:numPr>
        <w:autoSpaceDE w:val="0"/>
        <w:autoSpaceDN w:val="0"/>
        <w:adjustRightInd w:val="0"/>
        <w:snapToGrid w:val="0"/>
        <w:spacing w:line="360" w:lineRule="auto"/>
        <w:jc w:val="center"/>
        <w:outlineLvl w:val="1"/>
        <w:rPr>
          <w:rFonts w:hint="eastAsia" w:ascii="宋体" w:hAnsi="宋体" w:cs="宋体"/>
          <w:b/>
          <w:color w:val="auto"/>
          <w:kern w:val="0"/>
          <w:sz w:val="24"/>
          <w:highlight w:val="none"/>
          <w:lang w:eastAsia="zh-CN"/>
        </w:rPr>
      </w:pPr>
    </w:p>
    <w:p w14:paraId="3FAC5542">
      <w:pPr>
        <w:numPr>
          <w:ilvl w:val="0"/>
          <w:numId w:val="0"/>
        </w:numPr>
        <w:autoSpaceDE w:val="0"/>
        <w:autoSpaceDN w:val="0"/>
        <w:adjustRightInd w:val="0"/>
        <w:snapToGrid w:val="0"/>
        <w:spacing w:line="360" w:lineRule="auto"/>
        <w:jc w:val="center"/>
        <w:outlineLvl w:val="1"/>
        <w:rPr>
          <w:rFonts w:hint="eastAsia" w:ascii="宋体" w:hAnsi="宋体" w:cs="宋体"/>
          <w:b/>
          <w:color w:val="auto"/>
          <w:kern w:val="0"/>
          <w:sz w:val="24"/>
          <w:highlight w:val="none"/>
        </w:rPr>
      </w:pP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en-US" w:eastAsia="zh-CN"/>
        </w:rPr>
        <w:t>八</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、其他材料</w:t>
      </w:r>
    </w:p>
    <w:p w14:paraId="1F9A3A44">
      <w:pPr>
        <w:spacing w:line="360" w:lineRule="auto"/>
        <w:rPr>
          <w:rFonts w:hint="eastAsia"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rPr>
        <w:t>企业认为有必要提供的其他材料</w:t>
      </w:r>
    </w:p>
    <w:p w14:paraId="268E3F15">
      <w:pPr>
        <w:autoSpaceDE w:val="0"/>
        <w:autoSpaceDN w:val="0"/>
        <w:adjustRightInd w:val="0"/>
        <w:snapToGrid w:val="0"/>
        <w:spacing w:line="360" w:lineRule="auto"/>
        <w:rPr>
          <w:rFonts w:hint="eastAsia" w:ascii="宋体" w:hAnsi="宋体" w:cs="宋体"/>
          <w:color w:val="auto"/>
          <w:sz w:val="24"/>
          <w:highlight w:val="none"/>
        </w:rPr>
      </w:pPr>
    </w:p>
    <w:p w14:paraId="46E1A41B">
      <w:pPr>
        <w:pStyle w:val="7"/>
        <w:rPr>
          <w:rFonts w:hint="eastAsia" w:ascii="宋体" w:hAnsi="宋体" w:cs="宋体"/>
          <w:color w:val="auto"/>
          <w:sz w:val="24"/>
          <w:highlight w:val="none"/>
        </w:rPr>
      </w:pPr>
    </w:p>
    <w:p w14:paraId="021533DF">
      <w:pPr>
        <w:rPr>
          <w:rFonts w:hint="eastAsia" w:ascii="宋体" w:hAnsi="宋体" w:cs="宋体"/>
          <w:color w:val="auto"/>
          <w:sz w:val="24"/>
          <w:highlight w:val="none"/>
        </w:rPr>
      </w:pPr>
    </w:p>
    <w:p w14:paraId="51CF01D2">
      <w:pPr>
        <w:pStyle w:val="7"/>
        <w:rPr>
          <w:rFonts w:hint="eastAsia" w:ascii="宋体" w:hAnsi="宋体" w:cs="宋体"/>
          <w:color w:val="auto"/>
          <w:sz w:val="24"/>
          <w:highlight w:val="none"/>
        </w:rPr>
      </w:pPr>
    </w:p>
    <w:p w14:paraId="622466F8">
      <w:pPr>
        <w:rPr>
          <w:rFonts w:hint="eastAsia" w:ascii="宋体" w:hAnsi="宋体" w:cs="宋体"/>
          <w:color w:val="auto"/>
          <w:sz w:val="24"/>
          <w:highlight w:val="none"/>
        </w:rPr>
      </w:pPr>
    </w:p>
    <w:p w14:paraId="394D1CBE">
      <w:pPr>
        <w:pStyle w:val="7"/>
        <w:rPr>
          <w:rFonts w:hint="eastAsia" w:ascii="宋体" w:hAnsi="宋体" w:cs="宋体"/>
          <w:color w:val="auto"/>
          <w:sz w:val="24"/>
          <w:highlight w:val="none"/>
        </w:rPr>
      </w:pPr>
    </w:p>
    <w:p w14:paraId="737EFF77">
      <w:pPr>
        <w:rPr>
          <w:rFonts w:hint="eastAsia" w:ascii="宋体" w:hAnsi="宋体" w:cs="宋体"/>
          <w:color w:val="auto"/>
          <w:sz w:val="24"/>
          <w:highlight w:val="none"/>
        </w:rPr>
      </w:pPr>
    </w:p>
    <w:p w14:paraId="232B7D30">
      <w:pPr>
        <w:pStyle w:val="7"/>
        <w:rPr>
          <w:rFonts w:hint="eastAsia" w:ascii="宋体" w:hAnsi="宋体" w:cs="宋体"/>
          <w:color w:val="auto"/>
          <w:sz w:val="24"/>
          <w:highlight w:val="none"/>
        </w:rPr>
      </w:pPr>
    </w:p>
    <w:p w14:paraId="59F2EE31">
      <w:pPr>
        <w:rPr>
          <w:rFonts w:hint="eastAsia" w:ascii="宋体" w:hAnsi="宋体" w:cs="宋体"/>
          <w:color w:val="auto"/>
          <w:sz w:val="24"/>
          <w:highlight w:val="none"/>
        </w:rPr>
      </w:pPr>
    </w:p>
    <w:p w14:paraId="77804EF8">
      <w:pPr>
        <w:pStyle w:val="7"/>
        <w:rPr>
          <w:rFonts w:hint="eastAsia" w:ascii="宋体" w:hAnsi="宋体" w:cs="宋体"/>
          <w:color w:val="auto"/>
          <w:sz w:val="24"/>
          <w:highlight w:val="none"/>
        </w:rPr>
      </w:pPr>
    </w:p>
    <w:p w14:paraId="4DDB9AD9">
      <w:pPr>
        <w:rPr>
          <w:rFonts w:hint="eastAsia" w:ascii="宋体" w:hAnsi="宋体" w:cs="宋体"/>
          <w:color w:val="auto"/>
          <w:sz w:val="24"/>
          <w:highlight w:val="none"/>
        </w:rPr>
      </w:pPr>
    </w:p>
    <w:p w14:paraId="5B7A96EF">
      <w:pPr>
        <w:pStyle w:val="7"/>
        <w:rPr>
          <w:rFonts w:hint="eastAsia" w:ascii="宋体" w:hAnsi="宋体" w:cs="宋体"/>
          <w:color w:val="auto"/>
          <w:sz w:val="24"/>
          <w:highlight w:val="none"/>
        </w:rPr>
      </w:pPr>
    </w:p>
    <w:p w14:paraId="581B6C1C">
      <w:pPr>
        <w:rPr>
          <w:rFonts w:hint="eastAsia" w:ascii="宋体" w:hAnsi="宋体" w:cs="宋体"/>
          <w:color w:val="auto"/>
          <w:sz w:val="24"/>
          <w:highlight w:val="none"/>
        </w:rPr>
      </w:pPr>
    </w:p>
    <w:p w14:paraId="02ED9031">
      <w:pPr>
        <w:pStyle w:val="7"/>
        <w:rPr>
          <w:rFonts w:hint="eastAsia" w:ascii="宋体" w:hAnsi="宋体" w:cs="宋体"/>
          <w:color w:val="auto"/>
          <w:sz w:val="24"/>
          <w:highlight w:val="none"/>
        </w:rPr>
      </w:pPr>
    </w:p>
    <w:p w14:paraId="0D106625">
      <w:pPr>
        <w:rPr>
          <w:rFonts w:hint="eastAsia" w:ascii="宋体" w:hAnsi="宋体" w:cs="宋体"/>
          <w:color w:val="auto"/>
          <w:sz w:val="24"/>
          <w:highlight w:val="none"/>
        </w:rPr>
      </w:pPr>
    </w:p>
    <w:p w14:paraId="1DFFF011">
      <w:pPr>
        <w:pStyle w:val="7"/>
        <w:rPr>
          <w:rFonts w:hint="eastAsia" w:ascii="宋体" w:hAnsi="宋体" w:cs="宋体"/>
          <w:color w:val="auto"/>
          <w:sz w:val="24"/>
          <w:highlight w:val="none"/>
        </w:rPr>
      </w:pPr>
    </w:p>
    <w:p w14:paraId="3CFC13E6">
      <w:pPr>
        <w:rPr>
          <w:rFonts w:hint="eastAsia" w:ascii="宋体" w:hAnsi="宋体" w:cs="宋体"/>
          <w:color w:val="auto"/>
          <w:sz w:val="24"/>
          <w:highlight w:val="none"/>
        </w:rPr>
      </w:pPr>
    </w:p>
    <w:p w14:paraId="265B583D">
      <w:pPr>
        <w:pStyle w:val="7"/>
        <w:rPr>
          <w:rFonts w:hint="eastAsia" w:ascii="宋体" w:hAnsi="宋体" w:cs="宋体"/>
          <w:color w:val="auto"/>
          <w:sz w:val="24"/>
          <w:highlight w:val="none"/>
        </w:rPr>
      </w:pPr>
    </w:p>
    <w:p w14:paraId="0044E14C">
      <w:pPr>
        <w:rPr>
          <w:rFonts w:hint="eastAsia" w:ascii="宋体" w:hAnsi="宋体" w:cs="宋体"/>
          <w:color w:val="auto"/>
          <w:sz w:val="24"/>
          <w:highlight w:val="none"/>
        </w:rPr>
      </w:pPr>
    </w:p>
    <w:p w14:paraId="083D720B">
      <w:pPr>
        <w:pStyle w:val="7"/>
        <w:rPr>
          <w:rFonts w:hint="eastAsia" w:ascii="宋体" w:hAnsi="宋体" w:cs="宋体"/>
          <w:color w:val="auto"/>
          <w:sz w:val="24"/>
          <w:highlight w:val="none"/>
        </w:rPr>
      </w:pPr>
    </w:p>
    <w:p w14:paraId="33AEA70E">
      <w:pPr>
        <w:rPr>
          <w:rFonts w:hint="eastAsia" w:ascii="宋体" w:hAnsi="宋体" w:cs="宋体"/>
          <w:color w:val="auto"/>
          <w:sz w:val="24"/>
          <w:highlight w:val="none"/>
        </w:rPr>
      </w:pPr>
    </w:p>
    <w:p w14:paraId="74CD83B0">
      <w:pPr>
        <w:pStyle w:val="7"/>
        <w:rPr>
          <w:rFonts w:hint="eastAsia" w:ascii="宋体" w:hAnsi="宋体" w:cs="宋体"/>
          <w:color w:val="auto"/>
          <w:sz w:val="24"/>
          <w:highlight w:val="none"/>
        </w:rPr>
      </w:pPr>
    </w:p>
    <w:p w14:paraId="59E4A590">
      <w:pPr>
        <w:rPr>
          <w:rFonts w:hint="eastAsia" w:ascii="宋体" w:hAnsi="宋体" w:cs="宋体"/>
          <w:color w:val="auto"/>
          <w:sz w:val="24"/>
          <w:highlight w:val="none"/>
        </w:rPr>
      </w:pPr>
    </w:p>
    <w:p w14:paraId="6C6F7BA1">
      <w:pPr>
        <w:pStyle w:val="7"/>
        <w:rPr>
          <w:rFonts w:hint="eastAsia" w:ascii="宋体" w:hAnsi="宋体" w:cs="宋体"/>
          <w:color w:val="auto"/>
          <w:sz w:val="24"/>
          <w:highlight w:val="none"/>
        </w:rPr>
      </w:pPr>
    </w:p>
    <w:p w14:paraId="3662DA21">
      <w:pPr>
        <w:rPr>
          <w:rFonts w:hint="eastAsia" w:ascii="宋体" w:hAnsi="宋体" w:cs="宋体"/>
          <w:color w:val="auto"/>
          <w:sz w:val="24"/>
          <w:highlight w:val="none"/>
        </w:rPr>
      </w:pPr>
    </w:p>
    <w:p w14:paraId="1808804E">
      <w:pPr>
        <w:pStyle w:val="7"/>
        <w:rPr>
          <w:rFonts w:hint="eastAsia" w:ascii="宋体" w:hAnsi="宋体" w:cs="宋体"/>
          <w:color w:val="auto"/>
          <w:sz w:val="24"/>
          <w:highlight w:val="none"/>
        </w:rPr>
      </w:pPr>
    </w:p>
    <w:p w14:paraId="5C1569B4">
      <w:pPr>
        <w:pStyle w:val="14"/>
        <w:rPr>
          <w:rFonts w:hint="eastAsia" w:ascii="宋体" w:hAnsi="宋体" w:cs="宋体"/>
          <w:color w:val="auto"/>
          <w:sz w:val="24"/>
          <w:highlight w:val="none"/>
        </w:rPr>
      </w:pPr>
    </w:p>
    <w:p w14:paraId="4F55F8CF">
      <w:pPr>
        <w:rPr>
          <w:rFonts w:hint="eastAsia" w:ascii="宋体" w:hAnsi="宋体" w:cs="宋体"/>
          <w:color w:val="auto"/>
          <w:sz w:val="24"/>
          <w:highlight w:val="none"/>
        </w:rPr>
      </w:pPr>
    </w:p>
    <w:p w14:paraId="1D1F21D2">
      <w:pPr>
        <w:rPr>
          <w:rFonts w:hint="eastAsia" w:ascii="宋体" w:hAnsi="宋体" w:cs="宋体"/>
          <w:color w:val="auto"/>
          <w:sz w:val="24"/>
          <w:highlight w:val="none"/>
        </w:rPr>
      </w:pPr>
    </w:p>
    <w:p w14:paraId="205F7DED">
      <w:pPr>
        <w:rPr>
          <w:rFonts w:hint="eastAsia" w:ascii="宋体" w:hAnsi="宋体" w:cs="宋体"/>
          <w:color w:val="auto"/>
          <w:sz w:val="24"/>
          <w:highlight w:val="none"/>
        </w:rPr>
      </w:pPr>
    </w:p>
    <w:p w14:paraId="76182B4F">
      <w:pPr>
        <w:pStyle w:val="7"/>
        <w:rPr>
          <w:rFonts w:hint="eastAsia" w:ascii="宋体" w:hAnsi="宋体" w:cs="宋体"/>
          <w:color w:val="auto"/>
          <w:sz w:val="24"/>
          <w:highlight w:val="none"/>
        </w:rPr>
      </w:pPr>
    </w:p>
    <w:p w14:paraId="57697B76">
      <w:pPr>
        <w:rPr>
          <w:rFonts w:hint="eastAsia" w:ascii="宋体" w:hAnsi="宋体" w:cs="宋体"/>
          <w:color w:val="auto"/>
          <w:sz w:val="24"/>
          <w:highlight w:val="none"/>
        </w:rPr>
      </w:pPr>
    </w:p>
    <w:p w14:paraId="77E7B415">
      <w:pPr>
        <w:pStyle w:val="7"/>
        <w:rPr>
          <w:rFonts w:hint="eastAsia" w:ascii="宋体" w:hAnsi="宋体" w:cs="宋体"/>
          <w:color w:val="auto"/>
          <w:sz w:val="24"/>
          <w:highlight w:val="none"/>
        </w:rPr>
      </w:pPr>
    </w:p>
    <w:p w14:paraId="3E1B2E88">
      <w:pPr>
        <w:rPr>
          <w:rFonts w:hint="eastAsia" w:ascii="宋体" w:hAnsi="宋体" w:cs="宋体"/>
          <w:color w:val="auto"/>
          <w:sz w:val="24"/>
          <w:highlight w:val="none"/>
        </w:rPr>
      </w:pPr>
    </w:p>
    <w:p w14:paraId="57040CF9">
      <w:pPr>
        <w:pStyle w:val="7"/>
        <w:rPr>
          <w:rFonts w:hint="eastAsia" w:ascii="宋体" w:hAnsi="宋体" w:cs="宋体"/>
          <w:color w:val="auto"/>
          <w:sz w:val="24"/>
          <w:highlight w:val="none"/>
        </w:rPr>
      </w:pPr>
    </w:p>
    <w:p w14:paraId="583E8DF7">
      <w:pPr>
        <w:rPr>
          <w:rFonts w:hint="eastAsia" w:ascii="宋体" w:hAnsi="宋体" w:cs="宋体"/>
          <w:color w:val="auto"/>
          <w:sz w:val="24"/>
          <w:highlight w:val="none"/>
        </w:rPr>
      </w:pPr>
    </w:p>
    <w:p w14:paraId="2228EF96">
      <w:pPr>
        <w:pStyle w:val="7"/>
        <w:rPr>
          <w:rFonts w:hint="eastAsia" w:ascii="宋体" w:hAnsi="宋体" w:cs="宋体"/>
          <w:color w:val="auto"/>
          <w:sz w:val="24"/>
          <w:highlight w:val="none"/>
        </w:rPr>
      </w:pPr>
    </w:p>
    <w:p w14:paraId="26A679F5">
      <w:pPr>
        <w:keepNext w:val="0"/>
        <w:keepLines w:val="0"/>
        <w:widowControl/>
        <w:numPr>
          <w:ilvl w:val="0"/>
          <w:numId w:val="0"/>
        </w:numPr>
        <w:suppressLineNumbers w:val="0"/>
        <w:jc w:val="center"/>
        <w:rPr>
          <w:rFonts w:hint="eastAsia" w:ascii="宋体" w:hAnsi="宋体" w:eastAsia="宋体" w:cs="宋体"/>
          <w:b/>
          <w:color w:val="auto"/>
          <w:kern w:val="0"/>
          <w:sz w:val="36"/>
          <w:szCs w:val="36"/>
          <w:lang w:val="en-US" w:eastAsia="zh-CN" w:bidi="ar"/>
        </w:rPr>
      </w:pPr>
      <w:r>
        <w:rPr>
          <w:rFonts w:hint="eastAsia" w:ascii="宋体" w:hAnsi="宋体" w:eastAsia="宋体" w:cs="宋体"/>
          <w:b/>
          <w:color w:val="auto"/>
          <w:kern w:val="0"/>
          <w:sz w:val="36"/>
          <w:szCs w:val="36"/>
          <w:lang w:val="en-US" w:eastAsia="zh-CN" w:bidi="ar"/>
        </w:rPr>
        <w:t>（</w:t>
      </w:r>
      <w:r>
        <w:rPr>
          <w:rFonts w:hint="eastAsia" w:ascii="宋体" w:hAnsi="宋体" w:cs="宋体"/>
          <w:b/>
          <w:color w:val="auto"/>
          <w:kern w:val="0"/>
          <w:sz w:val="36"/>
          <w:szCs w:val="36"/>
          <w:lang w:val="en-US" w:eastAsia="zh-CN" w:bidi="ar"/>
        </w:rPr>
        <w:t>九</w:t>
      </w:r>
      <w:r>
        <w:rPr>
          <w:rFonts w:hint="eastAsia" w:ascii="宋体" w:hAnsi="宋体" w:eastAsia="宋体" w:cs="宋体"/>
          <w:b/>
          <w:color w:val="auto"/>
          <w:kern w:val="0"/>
          <w:sz w:val="36"/>
          <w:szCs w:val="36"/>
          <w:lang w:val="en-US" w:eastAsia="zh-CN" w:bidi="ar"/>
        </w:rPr>
        <w:t>）中小企业声明函</w:t>
      </w:r>
    </w:p>
    <w:p w14:paraId="303748BC">
      <w:pPr>
        <w:pStyle w:val="7"/>
        <w:numPr>
          <w:ilvl w:val="0"/>
          <w:numId w:val="0"/>
        </w:numPr>
        <w:rPr>
          <w:rFonts w:hint="eastAsia"/>
          <w:color w:val="auto"/>
        </w:rPr>
      </w:pPr>
    </w:p>
    <w:p w14:paraId="4973609D">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color w:val="auto"/>
          <w:kern w:val="0"/>
          <w:sz w:val="24"/>
          <w:szCs w:val="24"/>
          <w:lang w:val="en-US" w:eastAsia="zh-CN" w:bidi="ar"/>
        </w:rPr>
        <w:t>本公司（联合</w:t>
      </w:r>
      <w:r>
        <w:rPr>
          <w:rFonts w:hint="eastAsia" w:ascii="宋体" w:hAnsi="宋体" w:eastAsia="宋体" w:cs="宋体"/>
          <w:i w:val="0"/>
          <w:iCs w:val="0"/>
          <w:color w:val="auto"/>
          <w:kern w:val="0"/>
          <w:sz w:val="24"/>
          <w:szCs w:val="24"/>
          <w:lang w:val="en-US" w:eastAsia="zh-CN" w:bidi="ar"/>
        </w:rPr>
        <w:t>体）郑重声明，根据《政府采购促进中小企业发展管理办法》（财库﹝2020﹞46号）的规定，本公司（联合体）参加</w:t>
      </w:r>
      <w:r>
        <w:rPr>
          <w:rFonts w:hint="eastAsia" w:ascii="宋体" w:hAnsi="宋体" w:eastAsia="宋体" w:cs="宋体"/>
          <w:i w:val="0"/>
          <w:iCs w:val="0"/>
          <w:color w:val="auto"/>
          <w:kern w:val="0"/>
          <w:sz w:val="24"/>
          <w:szCs w:val="24"/>
          <w:u w:val="single"/>
          <w:lang w:val="en-US" w:eastAsia="zh-CN" w:bidi="ar"/>
        </w:rPr>
        <w:t xml:space="preserve">  （单位名称）  </w:t>
      </w:r>
      <w:r>
        <w:rPr>
          <w:rFonts w:hint="eastAsia" w:ascii="宋体" w:hAnsi="宋体" w:eastAsia="宋体" w:cs="宋体"/>
          <w:i w:val="0"/>
          <w:iCs w:val="0"/>
          <w:color w:val="auto"/>
          <w:kern w:val="0"/>
          <w:sz w:val="24"/>
          <w:szCs w:val="24"/>
          <w:lang w:val="en-US" w:eastAsia="zh-CN" w:bidi="ar"/>
        </w:rPr>
        <w:t>的</w:t>
      </w:r>
      <w:r>
        <w:rPr>
          <w:rFonts w:hint="eastAsia" w:ascii="宋体" w:hAnsi="宋体" w:eastAsia="宋体" w:cs="宋体"/>
          <w:i w:val="0"/>
          <w:iCs w:val="0"/>
          <w:color w:val="auto"/>
          <w:kern w:val="0"/>
          <w:sz w:val="24"/>
          <w:szCs w:val="24"/>
          <w:u w:val="single"/>
          <w:lang w:val="en-US" w:eastAsia="zh-CN" w:bidi="ar"/>
        </w:rPr>
        <w:t xml:space="preserve">  （项目名称）  </w:t>
      </w:r>
      <w:r>
        <w:rPr>
          <w:rFonts w:hint="eastAsia" w:ascii="宋体" w:hAnsi="宋体" w:eastAsia="宋体" w:cs="宋体"/>
          <w:i w:val="0"/>
          <w:iCs w:val="0"/>
          <w:color w:val="auto"/>
          <w:kern w:val="0"/>
          <w:sz w:val="24"/>
          <w:szCs w:val="24"/>
          <w:lang w:val="en-US" w:eastAsia="zh-CN" w:bidi="ar"/>
        </w:rPr>
        <w:t xml:space="preserve">采购活动，提供的货物全部由符合政策要求的中小企业制造。相关企业（含联合体中的中小企业、签订分包意向协议的中小企业）的具体情况如下： </w:t>
      </w:r>
    </w:p>
    <w:p w14:paraId="0FCCE570">
      <w:pPr>
        <w:keepNext w:val="0"/>
        <w:keepLines w:val="0"/>
        <w:pageBreakBefore w:val="0"/>
        <w:widowControl/>
        <w:numPr>
          <w:ilvl w:val="0"/>
          <w:numId w:val="4"/>
        </w:numPr>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u w:val="single"/>
          <w:lang w:val="en-US" w:eastAsia="zh-CN" w:bidi="ar"/>
        </w:rPr>
        <w:t xml:space="preserve"> （标的名称）  </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 xml:space="preserve">  （采购文件中明确的所属行业） </w:t>
      </w:r>
      <w:r>
        <w:rPr>
          <w:rFonts w:hint="eastAsia" w:ascii="宋体" w:hAnsi="宋体" w:eastAsia="宋体" w:cs="宋体"/>
          <w:i w:val="0"/>
          <w:iCs w:val="0"/>
          <w:color w:val="auto"/>
          <w:kern w:val="0"/>
          <w:sz w:val="24"/>
          <w:szCs w:val="24"/>
          <w:lang w:val="en-US" w:eastAsia="zh-CN" w:bidi="ar"/>
        </w:rPr>
        <w:t>行业；制造商为</w:t>
      </w:r>
      <w:r>
        <w:rPr>
          <w:rFonts w:hint="eastAsia" w:ascii="宋体" w:hAnsi="宋体" w:eastAsia="宋体" w:cs="宋体"/>
          <w:i w:val="0"/>
          <w:iCs w:val="0"/>
          <w:color w:val="auto"/>
          <w:kern w:val="0"/>
          <w:sz w:val="24"/>
          <w:szCs w:val="24"/>
          <w:u w:val="single"/>
          <w:lang w:val="en-US" w:eastAsia="zh-CN" w:bidi="ar"/>
        </w:rPr>
        <w:t xml:space="preserve">  （企业名称）  </w:t>
      </w:r>
      <w:r>
        <w:rPr>
          <w:rFonts w:hint="eastAsia" w:ascii="宋体" w:hAnsi="宋体" w:eastAsia="宋体" w:cs="宋体"/>
          <w:i w:val="0"/>
          <w:iCs w:val="0"/>
          <w:color w:val="auto"/>
          <w:kern w:val="0"/>
          <w:sz w:val="24"/>
          <w:szCs w:val="24"/>
          <w:lang w:val="en-US" w:eastAsia="zh-CN" w:bidi="ar"/>
        </w:rPr>
        <w:t>，从业人员</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人，营业收入为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万元，资产总额为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w:t>
      </w:r>
      <w:r>
        <w:rPr>
          <w:rFonts w:hint="eastAsia" w:ascii="宋体" w:hAnsi="宋体" w:eastAsia="宋体" w:cs="宋体"/>
          <w:i w:val="0"/>
          <w:iCs w:val="0"/>
          <w:color w:val="auto"/>
          <w:kern w:val="0"/>
          <w:sz w:val="24"/>
          <w:szCs w:val="24"/>
          <w:vertAlign w:val="superscript"/>
          <w:lang w:val="en-US" w:eastAsia="zh-CN" w:bidi="ar"/>
        </w:rPr>
        <w:t>1</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（中型企业、小型企业、微型企业）</w:t>
      </w:r>
      <w:r>
        <w:rPr>
          <w:rFonts w:hint="eastAsia" w:ascii="宋体" w:hAnsi="宋体" w:eastAsia="宋体" w:cs="宋体"/>
          <w:i w:val="0"/>
          <w:iCs w:val="0"/>
          <w:color w:val="auto"/>
          <w:kern w:val="0"/>
          <w:sz w:val="24"/>
          <w:szCs w:val="24"/>
          <w:lang w:val="en-US" w:eastAsia="zh-CN" w:bidi="ar"/>
        </w:rPr>
        <w:t xml:space="preserve">； </w:t>
      </w:r>
    </w:p>
    <w:p w14:paraId="4F0AFE87">
      <w:pPr>
        <w:keepNext w:val="0"/>
        <w:keepLines w:val="0"/>
        <w:pageBreakBefore w:val="0"/>
        <w:widowControl/>
        <w:numPr>
          <w:ilvl w:val="0"/>
          <w:numId w:val="4"/>
        </w:numPr>
        <w:suppressLineNumbers w:val="0"/>
        <w:kinsoku/>
        <w:wordWrap/>
        <w:overflowPunct/>
        <w:topLinePunct w:val="0"/>
        <w:autoSpaceDE/>
        <w:autoSpaceDN/>
        <w:bidi w:val="0"/>
        <w:adjustRightInd/>
        <w:snapToGrid/>
        <w:spacing w:line="440" w:lineRule="exact"/>
        <w:ind w:left="0" w:leftChars="0" w:firstLine="482" w:firstLineChars="200"/>
        <w:jc w:val="left"/>
        <w:textAlignment w:val="auto"/>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u w:val="single"/>
          <w:lang w:val="en-US" w:eastAsia="zh-CN" w:bidi="ar"/>
        </w:rPr>
        <w:t xml:space="preserve"> （标的名称）  </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 xml:space="preserve">  （采购文件中明确的所属行业） </w:t>
      </w:r>
      <w:r>
        <w:rPr>
          <w:rFonts w:hint="eastAsia" w:ascii="宋体" w:hAnsi="宋体" w:eastAsia="宋体" w:cs="宋体"/>
          <w:i w:val="0"/>
          <w:iCs w:val="0"/>
          <w:color w:val="auto"/>
          <w:kern w:val="0"/>
          <w:sz w:val="24"/>
          <w:szCs w:val="24"/>
          <w:lang w:val="en-US" w:eastAsia="zh-CN" w:bidi="ar"/>
        </w:rPr>
        <w:t>行业；制造商为</w:t>
      </w:r>
      <w:r>
        <w:rPr>
          <w:rFonts w:hint="eastAsia" w:ascii="宋体" w:hAnsi="宋体" w:eastAsia="宋体" w:cs="宋体"/>
          <w:i w:val="0"/>
          <w:iCs w:val="0"/>
          <w:color w:val="auto"/>
          <w:kern w:val="0"/>
          <w:sz w:val="24"/>
          <w:szCs w:val="24"/>
          <w:u w:val="single"/>
          <w:lang w:val="en-US" w:eastAsia="zh-CN" w:bidi="ar"/>
        </w:rPr>
        <w:t xml:space="preserve">  （企业名称）  </w:t>
      </w:r>
      <w:r>
        <w:rPr>
          <w:rFonts w:hint="eastAsia" w:ascii="宋体" w:hAnsi="宋体" w:eastAsia="宋体" w:cs="宋体"/>
          <w:i w:val="0"/>
          <w:iCs w:val="0"/>
          <w:color w:val="auto"/>
          <w:kern w:val="0"/>
          <w:sz w:val="24"/>
          <w:szCs w:val="24"/>
          <w:lang w:val="en-US" w:eastAsia="zh-CN" w:bidi="ar"/>
        </w:rPr>
        <w:t>，从业人员</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人，营业收入为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万元，资产总额为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w:t>
      </w:r>
      <w:r>
        <w:rPr>
          <w:rFonts w:hint="eastAsia" w:ascii="宋体" w:hAnsi="宋体" w:eastAsia="宋体" w:cs="宋体"/>
          <w:i w:val="0"/>
          <w:iCs w:val="0"/>
          <w:color w:val="auto"/>
          <w:kern w:val="0"/>
          <w:sz w:val="24"/>
          <w:szCs w:val="24"/>
          <w:vertAlign w:val="superscript"/>
          <w:lang w:val="en-US" w:eastAsia="zh-CN" w:bidi="ar"/>
        </w:rPr>
        <w:t>1</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（中型企业、小型企业、微型企业）</w:t>
      </w:r>
      <w:r>
        <w:rPr>
          <w:rFonts w:hint="eastAsia" w:ascii="宋体" w:hAnsi="宋体" w:eastAsia="宋体" w:cs="宋体"/>
          <w:i w:val="0"/>
          <w:iCs w:val="0"/>
          <w:color w:val="auto"/>
          <w:kern w:val="0"/>
          <w:sz w:val="24"/>
          <w:szCs w:val="24"/>
          <w:lang w:val="en-US" w:eastAsia="zh-CN" w:bidi="ar"/>
        </w:rPr>
        <w:t>；</w:t>
      </w:r>
    </w:p>
    <w:p w14:paraId="4A812D4A">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200"/>
        <w:jc w:val="left"/>
        <w:textAlignment w:val="auto"/>
        <w:rPr>
          <w:rFonts w:hint="eastAsia" w:ascii="宋体" w:hAnsi="宋体" w:eastAsia="宋体" w:cs="宋体"/>
          <w:i w:val="0"/>
          <w:iCs w:val="0"/>
          <w:color w:val="auto"/>
          <w:kern w:val="0"/>
          <w:sz w:val="24"/>
          <w:szCs w:val="24"/>
          <w:lang w:val="en-US" w:eastAsia="zh-CN" w:bidi="ar"/>
        </w:rPr>
      </w:pPr>
    </w:p>
    <w:p w14:paraId="26F25AC6">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以上企业，不属于大企业的分支机构，不存在控股股东为大企业的情形，也不存在与大企业的负责人为同一人的情形。</w:t>
      </w:r>
    </w:p>
    <w:p w14:paraId="7BAD127D">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本企业对上述声明内容的真实性负责。如有虚假，将依法承担相应责任。 </w:t>
      </w:r>
    </w:p>
    <w:p w14:paraId="2A6C072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i w:val="0"/>
          <w:iCs w:val="0"/>
          <w:color w:val="auto"/>
          <w:kern w:val="0"/>
          <w:sz w:val="24"/>
          <w:szCs w:val="24"/>
          <w:lang w:val="en-US" w:eastAsia="zh-CN" w:bidi="ar"/>
        </w:rPr>
      </w:pPr>
    </w:p>
    <w:p w14:paraId="07413B8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i w:val="0"/>
          <w:iCs w:val="0"/>
          <w:color w:val="auto"/>
          <w:kern w:val="0"/>
          <w:sz w:val="24"/>
          <w:szCs w:val="24"/>
          <w:lang w:val="en-US" w:eastAsia="zh-CN" w:bidi="ar"/>
        </w:rPr>
      </w:pPr>
    </w:p>
    <w:p w14:paraId="15ED3F4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i w:val="0"/>
          <w:iCs w:val="0"/>
          <w:color w:val="auto"/>
          <w:kern w:val="0"/>
          <w:sz w:val="24"/>
          <w:szCs w:val="24"/>
          <w:lang w:val="en-US" w:eastAsia="zh-CN" w:bidi="ar"/>
        </w:rPr>
      </w:pPr>
    </w:p>
    <w:p w14:paraId="026A7411">
      <w:pPr>
        <w:keepNext w:val="0"/>
        <w:keepLines w:val="0"/>
        <w:pageBreakBefore w:val="0"/>
        <w:widowControl/>
        <w:suppressLineNumbers w:val="0"/>
        <w:kinsoku/>
        <w:wordWrap/>
        <w:overflowPunct/>
        <w:topLinePunct w:val="0"/>
        <w:autoSpaceDE/>
        <w:autoSpaceDN/>
        <w:bidi w:val="0"/>
        <w:adjustRightInd/>
        <w:snapToGrid/>
        <w:spacing w:line="440" w:lineRule="exact"/>
        <w:ind w:firstLine="4820" w:firstLineChars="20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企业名称（盖章）： </w:t>
      </w:r>
    </w:p>
    <w:p w14:paraId="1685725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i w:val="0"/>
          <w:iCs w:val="0"/>
          <w:color w:val="auto"/>
          <w:kern w:val="0"/>
          <w:sz w:val="24"/>
          <w:szCs w:val="24"/>
          <w:lang w:val="en-US" w:eastAsia="zh-CN" w:bidi="ar"/>
        </w:rPr>
      </w:pPr>
    </w:p>
    <w:p w14:paraId="798B8800">
      <w:pPr>
        <w:keepNext w:val="0"/>
        <w:keepLines w:val="0"/>
        <w:pageBreakBefore w:val="0"/>
        <w:widowControl/>
        <w:suppressLineNumbers w:val="0"/>
        <w:kinsoku/>
        <w:wordWrap/>
        <w:overflowPunct/>
        <w:topLinePunct w:val="0"/>
        <w:autoSpaceDE/>
        <w:autoSpaceDN/>
        <w:bidi w:val="0"/>
        <w:adjustRightInd/>
        <w:snapToGrid/>
        <w:spacing w:line="440" w:lineRule="exact"/>
        <w:ind w:firstLine="4820" w:firstLineChars="20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日 期： </w:t>
      </w:r>
    </w:p>
    <w:p w14:paraId="3BE8874B">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i w:val="0"/>
          <w:iCs w:val="0"/>
          <w:color w:val="auto"/>
          <w:kern w:val="0"/>
          <w:sz w:val="24"/>
          <w:szCs w:val="24"/>
          <w:lang w:val="en-US" w:eastAsia="zh-CN" w:bidi="ar"/>
        </w:rPr>
      </w:pPr>
    </w:p>
    <w:p w14:paraId="30762EC0">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i w:val="0"/>
          <w:iCs w:val="0"/>
          <w:color w:val="auto"/>
          <w:kern w:val="0"/>
          <w:sz w:val="24"/>
          <w:szCs w:val="24"/>
          <w:lang w:val="en-US" w:eastAsia="zh-CN" w:bidi="ar"/>
        </w:rPr>
      </w:pPr>
    </w:p>
    <w:p w14:paraId="45E672C4">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备注：1.从业人员、营业收入、资产总额填报上一年度的数据，无上一年度数据的新成立的企业可不填报。</w:t>
      </w:r>
    </w:p>
    <w:p w14:paraId="73862599">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2. 投标企业按照《中小企业划型标准规定》（新财购〔2022〕22号）文件规定，明确说明企业类型为中型企业、小型企业、微型企业，不得用中小微企业简单概括，否则，后果自负。</w:t>
      </w:r>
    </w:p>
    <w:p w14:paraId="1F2D996E">
      <w:pPr>
        <w:rPr>
          <w:rFonts w:hint="eastAsia" w:ascii="宋体" w:hAnsi="宋体" w:eastAsia="宋体" w:cs="宋体"/>
          <w:i w:val="0"/>
          <w:iCs w:val="0"/>
          <w:color w:val="auto"/>
          <w:kern w:val="0"/>
          <w:sz w:val="24"/>
          <w:szCs w:val="24"/>
          <w:lang w:val="en-US" w:eastAsia="zh-CN" w:bidi="ar"/>
        </w:rPr>
        <w:sectPr>
          <w:pgSz w:w="11849" w:h="16781"/>
          <w:pgMar w:top="1440" w:right="1080" w:bottom="1440" w:left="1080" w:header="851" w:footer="850" w:gutter="0"/>
          <w:cols w:space="720" w:num="1"/>
          <w:titlePg/>
          <w:docGrid w:type="linesAndChars" w:linePitch="320" w:charSpace="269"/>
        </w:sectPr>
      </w:pPr>
      <w:r>
        <w:rPr>
          <w:rFonts w:hint="eastAsia" w:ascii="宋体" w:hAnsi="宋体" w:eastAsia="宋体" w:cs="宋体"/>
          <w:i w:val="0"/>
          <w:iCs w:val="0"/>
          <w:color w:val="auto"/>
          <w:kern w:val="0"/>
          <w:sz w:val="24"/>
          <w:szCs w:val="24"/>
          <w:lang w:val="en-US" w:eastAsia="zh-CN" w:bidi="ar"/>
        </w:rPr>
        <w:br w:type="page"/>
      </w:r>
    </w:p>
    <w:p w14:paraId="6269665D">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iCs w:val="0"/>
          <w:color w:val="auto"/>
          <w:sz w:val="24"/>
          <w:szCs w:val="24"/>
          <w:highlight w:val="none"/>
        </w:rPr>
      </w:pPr>
      <w:r>
        <w:rPr>
          <w:rStyle w:val="18"/>
          <w:rFonts w:ascii="宋体" w:hAnsi="宋体" w:eastAsia="宋体" w:cs="宋体"/>
          <w:b/>
          <w:bCs/>
          <w:i w:val="0"/>
          <w:iCs w:val="0"/>
          <w:caps w:val="0"/>
          <w:color w:val="auto"/>
          <w:spacing w:val="0"/>
          <w:sz w:val="24"/>
          <w:szCs w:val="24"/>
          <w:highlight w:val="none"/>
        </w:rPr>
        <w:t>中小企业划型标准规定</w:t>
      </w:r>
    </w:p>
    <w:p w14:paraId="61674C7F">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宋体" w:hAnsi="宋体" w:eastAsia="宋体" w:cs="宋体"/>
          <w:i w:val="0"/>
          <w:iCs w:val="0"/>
          <w:caps w:val="0"/>
          <w:color w:val="auto"/>
          <w:spacing w:val="0"/>
          <w:sz w:val="24"/>
          <w:szCs w:val="24"/>
          <w:highlight w:val="none"/>
          <w:lang w:eastAsia="zh-CN"/>
        </w:rPr>
      </w:pPr>
      <w:r>
        <w:rPr>
          <w:rFonts w:ascii="宋体" w:hAnsi="宋体" w:eastAsia="宋体" w:cs="宋体"/>
          <w:i w:val="0"/>
          <w:iCs w:val="0"/>
          <w:caps w:val="0"/>
          <w:color w:val="auto"/>
          <w:spacing w:val="0"/>
          <w:sz w:val="24"/>
          <w:szCs w:val="24"/>
          <w:highlight w:val="none"/>
        </w:rPr>
        <w:t>　　一、根据《中华人民共和国中小企业促进法》和《国务院关于进一步促进中小企业发展的若干意见》(国发〔2009〕36号)，制定本规定。</w:t>
      </w:r>
    </w:p>
    <w:p w14:paraId="174A52D8">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宋体" w:hAnsi="宋体" w:eastAsia="宋体" w:cs="宋体"/>
          <w:i w:val="0"/>
          <w:iCs w:val="0"/>
          <w:caps w:val="0"/>
          <w:color w:val="auto"/>
          <w:spacing w:val="0"/>
          <w:sz w:val="24"/>
          <w:szCs w:val="24"/>
          <w:highlight w:val="none"/>
          <w:lang w:eastAsia="zh-CN"/>
        </w:rPr>
      </w:pPr>
      <w:r>
        <w:rPr>
          <w:rFonts w:ascii="宋体" w:hAnsi="宋体" w:eastAsia="宋体" w:cs="宋体"/>
          <w:i w:val="0"/>
          <w:iCs w:val="0"/>
          <w:caps w:val="0"/>
          <w:color w:val="auto"/>
          <w:spacing w:val="0"/>
          <w:sz w:val="24"/>
          <w:szCs w:val="24"/>
          <w:highlight w:val="none"/>
        </w:rPr>
        <w:t>　　二、中小企业划分为中型、小型、微型三种类型，具体标准根据企业从业人员、营业收入、资产总额等指标，结合行业特点制定。</w:t>
      </w:r>
    </w:p>
    <w:p w14:paraId="4D3979DE">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宋体" w:hAnsi="宋体" w:eastAsia="宋体" w:cs="宋体"/>
          <w:i w:val="0"/>
          <w:iCs w:val="0"/>
          <w:caps w:val="0"/>
          <w:color w:val="auto"/>
          <w:spacing w:val="0"/>
          <w:sz w:val="24"/>
          <w:szCs w:val="24"/>
          <w:highlight w:val="none"/>
          <w:lang w:eastAsia="zh-CN"/>
        </w:rPr>
      </w:pPr>
      <w:r>
        <w:rPr>
          <w:rFonts w:ascii="宋体" w:hAnsi="宋体" w:eastAsia="宋体" w:cs="宋体"/>
          <w:i w:val="0"/>
          <w:iCs w:val="0"/>
          <w:caps w:val="0"/>
          <w:color w:val="auto"/>
          <w:spacing w:val="0"/>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67CF0D6">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宋体" w:hAnsi="宋体" w:eastAsia="宋体" w:cs="宋体"/>
          <w:i w:val="0"/>
          <w:iCs w:val="0"/>
          <w:caps w:val="0"/>
          <w:color w:val="auto"/>
          <w:spacing w:val="0"/>
          <w:sz w:val="24"/>
          <w:szCs w:val="24"/>
          <w:highlight w:val="none"/>
          <w:lang w:eastAsia="zh-CN"/>
        </w:rPr>
      </w:pPr>
      <w:r>
        <w:rPr>
          <w:rFonts w:ascii="宋体" w:hAnsi="宋体" w:eastAsia="宋体" w:cs="宋体"/>
          <w:i w:val="0"/>
          <w:iCs w:val="0"/>
          <w:caps w:val="0"/>
          <w:color w:val="auto"/>
          <w:spacing w:val="0"/>
          <w:sz w:val="24"/>
          <w:szCs w:val="24"/>
          <w:highlight w:val="none"/>
        </w:rPr>
        <w:t>　　四、各行业划型标准为：</w:t>
      </w:r>
    </w:p>
    <w:p w14:paraId="27C9A4D6">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宋体" w:hAnsi="宋体" w:eastAsia="宋体" w:cs="宋体"/>
          <w:i w:val="0"/>
          <w:iCs w:val="0"/>
          <w:caps w:val="0"/>
          <w:color w:val="auto"/>
          <w:spacing w:val="0"/>
          <w:sz w:val="24"/>
          <w:szCs w:val="24"/>
          <w:highlight w:val="none"/>
          <w:lang w:eastAsia="zh-CN"/>
        </w:rPr>
      </w:pPr>
      <w:r>
        <w:rPr>
          <w:rFonts w:ascii="宋体" w:hAnsi="宋体" w:eastAsia="宋体" w:cs="宋体"/>
          <w:i w:val="0"/>
          <w:iCs w:val="0"/>
          <w:caps w:val="0"/>
          <w:color w:val="auto"/>
          <w:spacing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35FCF6CE">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宋体" w:hAnsi="宋体" w:eastAsia="宋体" w:cs="宋体"/>
          <w:i w:val="0"/>
          <w:iCs w:val="0"/>
          <w:caps w:val="0"/>
          <w:color w:val="auto"/>
          <w:spacing w:val="0"/>
          <w:sz w:val="24"/>
          <w:szCs w:val="24"/>
          <w:highlight w:val="none"/>
          <w:lang w:eastAsia="zh-CN"/>
        </w:rPr>
      </w:pPr>
      <w:r>
        <w:rPr>
          <w:rFonts w:ascii="宋体" w:hAnsi="宋体" w:eastAsia="宋体" w:cs="宋体"/>
          <w:i w:val="0"/>
          <w:iCs w:val="0"/>
          <w:caps w:val="0"/>
          <w:color w:val="auto"/>
          <w:spacing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5BDC9AF">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宋体" w:hAnsi="宋体" w:eastAsia="宋体" w:cs="宋体"/>
          <w:i w:val="0"/>
          <w:iCs w:val="0"/>
          <w:caps w:val="0"/>
          <w:color w:val="auto"/>
          <w:spacing w:val="0"/>
          <w:sz w:val="24"/>
          <w:szCs w:val="24"/>
          <w:highlight w:val="none"/>
          <w:lang w:eastAsia="zh-CN"/>
        </w:rPr>
      </w:pPr>
      <w:r>
        <w:rPr>
          <w:rFonts w:ascii="宋体" w:hAnsi="宋体" w:eastAsia="宋体" w:cs="宋体"/>
          <w:i w:val="0"/>
          <w:iCs w:val="0"/>
          <w:caps w:val="0"/>
          <w:color w:val="auto"/>
          <w:spacing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9BE3565">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宋体" w:hAnsi="宋体" w:eastAsia="宋体" w:cs="宋体"/>
          <w:i w:val="0"/>
          <w:iCs w:val="0"/>
          <w:caps w:val="0"/>
          <w:color w:val="auto"/>
          <w:spacing w:val="0"/>
          <w:sz w:val="24"/>
          <w:szCs w:val="24"/>
          <w:highlight w:val="none"/>
          <w:lang w:eastAsia="zh-CN"/>
        </w:rPr>
      </w:pPr>
      <w:r>
        <w:rPr>
          <w:rFonts w:ascii="宋体" w:hAnsi="宋体" w:eastAsia="宋体" w:cs="宋体"/>
          <w:i w:val="0"/>
          <w:iCs w:val="0"/>
          <w:caps w:val="0"/>
          <w:color w:val="auto"/>
          <w:spacing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6A358F4">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宋体" w:hAnsi="宋体" w:eastAsia="宋体" w:cs="宋体"/>
          <w:i w:val="0"/>
          <w:iCs w:val="0"/>
          <w:caps w:val="0"/>
          <w:color w:val="auto"/>
          <w:spacing w:val="0"/>
          <w:sz w:val="24"/>
          <w:szCs w:val="24"/>
          <w:highlight w:val="none"/>
          <w:lang w:eastAsia="zh-CN"/>
        </w:rPr>
      </w:pPr>
      <w:r>
        <w:rPr>
          <w:rFonts w:ascii="宋体" w:hAnsi="宋体" w:eastAsia="宋体" w:cs="宋体"/>
          <w:i w:val="0"/>
          <w:iCs w:val="0"/>
          <w:caps w:val="0"/>
          <w:color w:val="auto"/>
          <w:spacing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576841F">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宋体" w:hAnsi="宋体" w:eastAsia="宋体" w:cs="宋体"/>
          <w:i w:val="0"/>
          <w:iCs w:val="0"/>
          <w:caps w:val="0"/>
          <w:color w:val="auto"/>
          <w:spacing w:val="0"/>
          <w:sz w:val="24"/>
          <w:szCs w:val="24"/>
          <w:highlight w:val="none"/>
          <w:lang w:eastAsia="zh-CN"/>
        </w:rPr>
      </w:pPr>
      <w:r>
        <w:rPr>
          <w:rFonts w:ascii="宋体" w:hAnsi="宋体" w:eastAsia="宋体" w:cs="宋体"/>
          <w:i w:val="0"/>
          <w:iCs w:val="0"/>
          <w:caps w:val="0"/>
          <w:color w:val="auto"/>
          <w:spacing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D1F3619">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宋体" w:hAnsi="宋体" w:eastAsia="宋体" w:cs="宋体"/>
          <w:i w:val="0"/>
          <w:iCs w:val="0"/>
          <w:caps w:val="0"/>
          <w:color w:val="auto"/>
          <w:spacing w:val="0"/>
          <w:sz w:val="24"/>
          <w:szCs w:val="24"/>
          <w:highlight w:val="none"/>
          <w:lang w:eastAsia="zh-CN"/>
        </w:rPr>
      </w:pPr>
      <w:r>
        <w:rPr>
          <w:rFonts w:ascii="宋体" w:hAnsi="宋体" w:eastAsia="宋体" w:cs="宋体"/>
          <w:i w:val="0"/>
          <w:iCs w:val="0"/>
          <w:caps w:val="0"/>
          <w:color w:val="auto"/>
          <w:spacing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55A25CD">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宋体" w:hAnsi="宋体" w:eastAsia="宋体" w:cs="宋体"/>
          <w:i w:val="0"/>
          <w:iCs w:val="0"/>
          <w:caps w:val="0"/>
          <w:color w:val="auto"/>
          <w:spacing w:val="0"/>
          <w:sz w:val="24"/>
          <w:szCs w:val="24"/>
          <w:highlight w:val="none"/>
          <w:lang w:eastAsia="zh-CN"/>
        </w:rPr>
      </w:pPr>
      <w:r>
        <w:rPr>
          <w:rFonts w:ascii="宋体" w:hAnsi="宋体" w:eastAsia="宋体" w:cs="宋体"/>
          <w:i w:val="0"/>
          <w:iCs w:val="0"/>
          <w:caps w:val="0"/>
          <w:color w:val="auto"/>
          <w:spacing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843E6DC">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宋体" w:hAnsi="宋体" w:eastAsia="宋体" w:cs="宋体"/>
          <w:i w:val="0"/>
          <w:iCs w:val="0"/>
          <w:caps w:val="0"/>
          <w:color w:val="auto"/>
          <w:spacing w:val="0"/>
          <w:sz w:val="24"/>
          <w:szCs w:val="24"/>
          <w:highlight w:val="none"/>
          <w:lang w:eastAsia="zh-CN"/>
        </w:rPr>
      </w:pPr>
      <w:r>
        <w:rPr>
          <w:rFonts w:ascii="宋体" w:hAnsi="宋体" w:eastAsia="宋体" w:cs="宋体"/>
          <w:i w:val="0"/>
          <w:iCs w:val="0"/>
          <w:caps w:val="0"/>
          <w:color w:val="auto"/>
          <w:spacing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4453F7C">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宋体" w:hAnsi="宋体" w:eastAsia="宋体" w:cs="宋体"/>
          <w:i w:val="0"/>
          <w:iCs w:val="0"/>
          <w:caps w:val="0"/>
          <w:color w:val="auto"/>
          <w:spacing w:val="0"/>
          <w:sz w:val="24"/>
          <w:szCs w:val="24"/>
          <w:highlight w:val="none"/>
          <w:lang w:eastAsia="zh-CN"/>
        </w:rPr>
      </w:pPr>
      <w:r>
        <w:rPr>
          <w:rFonts w:ascii="宋体" w:hAnsi="宋体" w:eastAsia="宋体" w:cs="宋体"/>
          <w:i w:val="0"/>
          <w:iCs w:val="0"/>
          <w:caps w:val="0"/>
          <w:color w:val="auto"/>
          <w:spacing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E24218B">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宋体" w:hAnsi="宋体" w:eastAsia="宋体" w:cs="宋体"/>
          <w:i w:val="0"/>
          <w:iCs w:val="0"/>
          <w:caps w:val="0"/>
          <w:color w:val="auto"/>
          <w:spacing w:val="0"/>
          <w:sz w:val="24"/>
          <w:szCs w:val="24"/>
          <w:highlight w:val="none"/>
          <w:lang w:eastAsia="zh-CN"/>
        </w:rPr>
      </w:pPr>
      <w:r>
        <w:rPr>
          <w:rFonts w:ascii="宋体" w:hAnsi="宋体" w:eastAsia="宋体" w:cs="宋体"/>
          <w:i w:val="0"/>
          <w:iCs w:val="0"/>
          <w:caps w:val="0"/>
          <w:color w:val="auto"/>
          <w:spacing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7923C11">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宋体" w:hAnsi="宋体" w:eastAsia="宋体" w:cs="宋体"/>
          <w:i w:val="0"/>
          <w:iCs w:val="0"/>
          <w:caps w:val="0"/>
          <w:color w:val="auto"/>
          <w:spacing w:val="0"/>
          <w:sz w:val="24"/>
          <w:szCs w:val="24"/>
          <w:highlight w:val="none"/>
          <w:lang w:eastAsia="zh-CN"/>
        </w:rPr>
      </w:pPr>
      <w:r>
        <w:rPr>
          <w:rFonts w:ascii="宋体" w:hAnsi="宋体" w:eastAsia="宋体" w:cs="宋体"/>
          <w:i w:val="0"/>
          <w:iCs w:val="0"/>
          <w:caps w:val="0"/>
          <w:color w:val="auto"/>
          <w:spacing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388998D">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宋体" w:hAnsi="宋体" w:eastAsia="宋体" w:cs="宋体"/>
          <w:i w:val="0"/>
          <w:iCs w:val="0"/>
          <w:caps w:val="0"/>
          <w:color w:val="auto"/>
          <w:spacing w:val="0"/>
          <w:sz w:val="24"/>
          <w:szCs w:val="24"/>
          <w:highlight w:val="none"/>
          <w:lang w:eastAsia="zh-CN"/>
        </w:rPr>
      </w:pPr>
      <w:r>
        <w:rPr>
          <w:rFonts w:ascii="宋体" w:hAnsi="宋体" w:eastAsia="宋体" w:cs="宋体"/>
          <w:i w:val="0"/>
          <w:iCs w:val="0"/>
          <w:caps w:val="0"/>
          <w:color w:val="auto"/>
          <w:spacing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4DF40CA">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宋体" w:hAnsi="宋体" w:eastAsia="宋体" w:cs="宋体"/>
          <w:i w:val="0"/>
          <w:iCs w:val="0"/>
          <w:caps w:val="0"/>
          <w:color w:val="auto"/>
          <w:spacing w:val="0"/>
          <w:sz w:val="24"/>
          <w:szCs w:val="24"/>
          <w:highlight w:val="none"/>
          <w:lang w:eastAsia="zh-CN"/>
        </w:rPr>
      </w:pPr>
      <w:r>
        <w:rPr>
          <w:rFonts w:ascii="宋体" w:hAnsi="宋体" w:eastAsia="宋体" w:cs="宋体"/>
          <w:i w:val="0"/>
          <w:iCs w:val="0"/>
          <w:caps w:val="0"/>
          <w:color w:val="auto"/>
          <w:spacing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3FA4BC2">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宋体" w:hAnsi="宋体" w:eastAsia="宋体" w:cs="宋体"/>
          <w:i w:val="0"/>
          <w:iCs w:val="0"/>
          <w:caps w:val="0"/>
          <w:color w:val="auto"/>
          <w:spacing w:val="0"/>
          <w:sz w:val="24"/>
          <w:szCs w:val="24"/>
          <w:highlight w:val="none"/>
          <w:lang w:eastAsia="zh-CN"/>
        </w:rPr>
      </w:pPr>
      <w:r>
        <w:rPr>
          <w:rFonts w:ascii="宋体" w:hAnsi="宋体" w:eastAsia="宋体" w:cs="宋体"/>
          <w:i w:val="0"/>
          <w:iCs w:val="0"/>
          <w:caps w:val="0"/>
          <w:color w:val="auto"/>
          <w:spacing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77CA48F">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宋体" w:hAnsi="宋体" w:eastAsia="宋体" w:cs="宋体"/>
          <w:i w:val="0"/>
          <w:iCs w:val="0"/>
          <w:caps w:val="0"/>
          <w:color w:val="auto"/>
          <w:spacing w:val="0"/>
          <w:sz w:val="24"/>
          <w:szCs w:val="24"/>
          <w:highlight w:val="none"/>
          <w:lang w:eastAsia="zh-CN"/>
        </w:rPr>
      </w:pPr>
      <w:r>
        <w:rPr>
          <w:rFonts w:ascii="宋体" w:hAnsi="宋体" w:eastAsia="宋体" w:cs="宋体"/>
          <w:i w:val="0"/>
          <w:iCs w:val="0"/>
          <w:caps w:val="0"/>
          <w:color w:val="auto"/>
          <w:spacing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2E637AAD">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宋体" w:hAnsi="宋体" w:eastAsia="宋体" w:cs="宋体"/>
          <w:i w:val="0"/>
          <w:iCs w:val="0"/>
          <w:caps w:val="0"/>
          <w:color w:val="auto"/>
          <w:spacing w:val="0"/>
          <w:sz w:val="24"/>
          <w:szCs w:val="24"/>
          <w:highlight w:val="none"/>
          <w:lang w:eastAsia="zh-CN"/>
        </w:rPr>
      </w:pPr>
      <w:r>
        <w:rPr>
          <w:rFonts w:ascii="宋体" w:hAnsi="宋体" w:eastAsia="宋体" w:cs="宋体"/>
          <w:i w:val="0"/>
          <w:iCs w:val="0"/>
          <w:caps w:val="0"/>
          <w:color w:val="auto"/>
          <w:spacing w:val="0"/>
          <w:sz w:val="24"/>
          <w:szCs w:val="24"/>
          <w:highlight w:val="none"/>
        </w:rPr>
        <w:t>　　五、企业类型的划分以统计部门的统计数据为依据。</w:t>
      </w:r>
    </w:p>
    <w:p w14:paraId="1DDDDAD4">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宋体" w:hAnsi="宋体" w:eastAsia="宋体" w:cs="宋体"/>
          <w:i w:val="0"/>
          <w:iCs w:val="0"/>
          <w:caps w:val="0"/>
          <w:color w:val="auto"/>
          <w:spacing w:val="0"/>
          <w:sz w:val="24"/>
          <w:szCs w:val="24"/>
          <w:highlight w:val="none"/>
          <w:lang w:eastAsia="zh-CN"/>
        </w:rPr>
      </w:pPr>
      <w:r>
        <w:rPr>
          <w:rFonts w:ascii="宋体" w:hAnsi="宋体" w:eastAsia="宋体" w:cs="宋体"/>
          <w:i w:val="0"/>
          <w:iCs w:val="0"/>
          <w:caps w:val="0"/>
          <w:color w:val="auto"/>
          <w:spacing w:val="0"/>
          <w:sz w:val="24"/>
          <w:szCs w:val="24"/>
          <w:highlight w:val="none"/>
        </w:rPr>
        <w:t>　　六、本规定适用于在中华人民共和国境内依法设立的各类所有制和各种组织形式的企业。个体工商户和本规定以外的行业，参照本规定进行划型。</w:t>
      </w:r>
    </w:p>
    <w:p w14:paraId="0D59B342">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宋体" w:hAnsi="宋体" w:eastAsia="宋体" w:cs="宋体"/>
          <w:i w:val="0"/>
          <w:iCs w:val="0"/>
          <w:caps w:val="0"/>
          <w:color w:val="auto"/>
          <w:spacing w:val="0"/>
          <w:sz w:val="24"/>
          <w:szCs w:val="24"/>
          <w:highlight w:val="none"/>
          <w:lang w:eastAsia="zh-CN"/>
        </w:rPr>
      </w:pPr>
      <w:r>
        <w:rPr>
          <w:rFonts w:ascii="宋体" w:hAnsi="宋体" w:eastAsia="宋体" w:cs="宋体"/>
          <w:i w:val="0"/>
          <w:iCs w:val="0"/>
          <w:caps w:val="0"/>
          <w:color w:val="auto"/>
          <w:spacing w:val="0"/>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33BD8794">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宋体" w:hAnsi="宋体" w:eastAsia="宋体" w:cs="宋体"/>
          <w:i w:val="0"/>
          <w:iCs w:val="0"/>
          <w:caps w:val="0"/>
          <w:color w:val="auto"/>
          <w:spacing w:val="0"/>
          <w:sz w:val="24"/>
          <w:szCs w:val="24"/>
          <w:highlight w:val="none"/>
          <w:lang w:eastAsia="zh-CN"/>
        </w:rPr>
      </w:pPr>
      <w:r>
        <w:rPr>
          <w:rFonts w:ascii="宋体" w:hAnsi="宋体" w:eastAsia="宋体" w:cs="宋体"/>
          <w:i w:val="0"/>
          <w:iCs w:val="0"/>
          <w:caps w:val="0"/>
          <w:color w:val="auto"/>
          <w:spacing w:val="0"/>
          <w:sz w:val="24"/>
          <w:szCs w:val="24"/>
          <w:highlight w:val="none"/>
        </w:rPr>
        <w:t>　　八、本规定由工业和信息化部、国家统计局会同有关部门根据《国民经济行业分类》修订情况和企业发展变化情况适时修订。</w:t>
      </w:r>
    </w:p>
    <w:p w14:paraId="17F8C712">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宋体" w:hAnsi="宋体" w:eastAsia="宋体" w:cs="宋体"/>
          <w:i w:val="0"/>
          <w:iCs w:val="0"/>
          <w:caps w:val="0"/>
          <w:color w:val="auto"/>
          <w:spacing w:val="0"/>
          <w:sz w:val="24"/>
          <w:szCs w:val="24"/>
          <w:highlight w:val="none"/>
          <w:lang w:eastAsia="zh-CN"/>
        </w:rPr>
      </w:pPr>
      <w:r>
        <w:rPr>
          <w:rFonts w:ascii="宋体" w:hAnsi="宋体" w:eastAsia="宋体" w:cs="宋体"/>
          <w:i w:val="0"/>
          <w:iCs w:val="0"/>
          <w:caps w:val="0"/>
          <w:color w:val="auto"/>
          <w:spacing w:val="0"/>
          <w:sz w:val="24"/>
          <w:szCs w:val="24"/>
          <w:highlight w:val="none"/>
        </w:rPr>
        <w:t>　　九、本规定由工业和信息化部、国家统计局会同有关部门负责解释。</w:t>
      </w:r>
    </w:p>
    <w:p w14:paraId="693BA129">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iCs w:val="0"/>
          <w:color w:val="auto"/>
          <w:sz w:val="24"/>
          <w:szCs w:val="24"/>
          <w:highlight w:val="none"/>
        </w:rPr>
      </w:pPr>
      <w:r>
        <w:rPr>
          <w:rFonts w:ascii="宋体" w:hAnsi="宋体" w:eastAsia="宋体" w:cs="宋体"/>
          <w:i w:val="0"/>
          <w:iCs w:val="0"/>
          <w:caps w:val="0"/>
          <w:color w:val="auto"/>
          <w:spacing w:val="0"/>
          <w:sz w:val="24"/>
          <w:szCs w:val="24"/>
          <w:highlight w:val="none"/>
        </w:rPr>
        <w:t>　　十、本规定自发布之日起执行，原国家经贸委、原国家计委、财政部和国家统计局2003年颁布的《中小企业标准暂行规定》同时废止。</w:t>
      </w:r>
    </w:p>
    <w:p w14:paraId="5DF2D865">
      <w:pPr>
        <w:rPr>
          <w:rFonts w:hint="eastAsia"/>
          <w:color w:val="auto"/>
          <w:highlight w:val="none"/>
        </w:rPr>
      </w:pPr>
    </w:p>
    <w:p w14:paraId="2A04FBC9">
      <w:pPr>
        <w:rPr>
          <w:rFonts w:hint="eastAsia" w:ascii="宋体" w:hAnsi="宋体" w:eastAsia="宋体" w:cs="宋体"/>
          <w:i w:val="0"/>
          <w:iCs w:val="0"/>
          <w:color w:val="auto"/>
          <w:kern w:val="0"/>
          <w:sz w:val="24"/>
          <w:szCs w:val="24"/>
          <w:lang w:val="en-US" w:eastAsia="zh-CN" w:bidi="ar"/>
        </w:rPr>
      </w:pPr>
    </w:p>
    <w:p w14:paraId="2E5A98A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auto"/>
          <w:spacing w:val="0"/>
          <w:kern w:val="2"/>
          <w:sz w:val="40"/>
          <w:szCs w:val="40"/>
          <w:lang w:val="en-US" w:eastAsia="zh-CN" w:bidi="ar-SA"/>
        </w:rPr>
      </w:pPr>
      <w:r>
        <w:rPr>
          <w:rFonts w:hint="eastAsia" w:ascii="宋体" w:hAnsi="宋体" w:eastAsia="宋体" w:cs="宋体"/>
          <w:b/>
          <w:color w:val="auto"/>
          <w:kern w:val="0"/>
          <w:sz w:val="36"/>
          <w:szCs w:val="36"/>
          <w:lang w:val="en-US" w:eastAsia="zh-CN" w:bidi="ar"/>
        </w:rPr>
        <w:t>(十）</w:t>
      </w:r>
      <w:r>
        <w:rPr>
          <w:rFonts w:hint="eastAsia" w:ascii="方正小标宋简体" w:hAnsi="方正小标宋简体" w:eastAsia="方正小标宋简体" w:cs="方正小标宋简体"/>
          <w:b/>
          <w:bCs/>
          <w:color w:val="auto"/>
          <w:spacing w:val="0"/>
          <w:kern w:val="2"/>
          <w:sz w:val="40"/>
          <w:szCs w:val="40"/>
          <w:lang w:val="en-US" w:eastAsia="zh-CN" w:bidi="ar-SA"/>
        </w:rPr>
        <w:t>中标承诺书</w:t>
      </w:r>
    </w:p>
    <w:p w14:paraId="58F76D4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auto"/>
          <w:spacing w:val="0"/>
          <w:kern w:val="2"/>
          <w:sz w:val="32"/>
          <w:szCs w:val="32"/>
          <w:lang w:val="en-US" w:eastAsia="zh-CN" w:bidi="ar-SA"/>
        </w:rPr>
      </w:pPr>
    </w:p>
    <w:p w14:paraId="25CC97B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auto"/>
          <w:spacing w:val="0"/>
          <w:kern w:val="2"/>
          <w:sz w:val="30"/>
          <w:szCs w:val="30"/>
          <w:lang w:val="en-US" w:eastAsia="zh-CN" w:bidi="ar-SA"/>
        </w:rPr>
      </w:pPr>
      <w:r>
        <w:rPr>
          <w:rFonts w:hint="eastAsia" w:ascii="仿宋" w:hAnsi="仿宋" w:eastAsia="仿宋" w:cs="仿宋"/>
          <w:color w:val="auto"/>
          <w:spacing w:val="0"/>
          <w:kern w:val="2"/>
          <w:sz w:val="30"/>
          <w:szCs w:val="30"/>
          <w:lang w:val="en-US" w:eastAsia="zh-CN" w:bidi="ar-SA"/>
        </w:rPr>
        <w:t>XXX（建设单位）：</w:t>
      </w:r>
    </w:p>
    <w:p w14:paraId="474C80F1">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仿宋" w:hAnsi="仿宋" w:eastAsia="仿宋" w:cs="仿宋"/>
          <w:color w:val="auto"/>
          <w:spacing w:val="0"/>
          <w:kern w:val="2"/>
          <w:sz w:val="30"/>
          <w:szCs w:val="30"/>
          <w:lang w:val="en-US" w:eastAsia="zh-CN" w:bidi="ar-SA"/>
        </w:rPr>
      </w:pPr>
      <w:r>
        <w:rPr>
          <w:rFonts w:hint="eastAsia" w:ascii="仿宋" w:hAnsi="仿宋" w:eastAsia="仿宋" w:cs="仿宋"/>
          <w:color w:val="auto"/>
          <w:spacing w:val="0"/>
          <w:kern w:val="2"/>
          <w:sz w:val="30"/>
          <w:szCs w:val="30"/>
          <w:lang w:val="en-US" w:eastAsia="zh-CN" w:bidi="ar-SA"/>
        </w:rPr>
        <w:t>我公司积极参加</w:t>
      </w:r>
      <w:r>
        <w:rPr>
          <w:rFonts w:hint="eastAsia" w:ascii="仿宋" w:hAnsi="仿宋" w:eastAsia="仿宋" w:cs="仿宋"/>
          <w:color w:val="auto"/>
          <w:spacing w:val="0"/>
          <w:kern w:val="2"/>
          <w:sz w:val="30"/>
          <w:szCs w:val="30"/>
          <w:u w:val="single"/>
          <w:lang w:val="en-US" w:eastAsia="zh-CN" w:bidi="ar-SA"/>
        </w:rPr>
        <w:t xml:space="preserve">                    </w:t>
      </w:r>
      <w:r>
        <w:rPr>
          <w:rFonts w:hint="eastAsia" w:ascii="仿宋" w:hAnsi="仿宋" w:eastAsia="仿宋" w:cs="仿宋"/>
          <w:color w:val="auto"/>
          <w:spacing w:val="0"/>
          <w:kern w:val="2"/>
          <w:sz w:val="30"/>
          <w:szCs w:val="30"/>
          <w:lang w:val="en-US" w:eastAsia="zh-CN" w:bidi="ar-SA"/>
        </w:rPr>
        <w:t>项目投标，现将有关事项向贵单位郑重承诺如下:</w:t>
      </w:r>
    </w:p>
    <w:p w14:paraId="25947B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left"/>
        <w:textAlignment w:val="auto"/>
        <w:rPr>
          <w:rFonts w:hint="eastAsia" w:ascii="仿宋" w:hAnsi="仿宋" w:eastAsia="仿宋" w:cs="仿宋"/>
          <w:color w:val="auto"/>
          <w:spacing w:val="0"/>
          <w:kern w:val="2"/>
          <w:sz w:val="30"/>
          <w:szCs w:val="30"/>
          <w:lang w:val="en-US" w:eastAsia="zh-CN" w:bidi="ar-SA"/>
        </w:rPr>
      </w:pPr>
      <w:r>
        <w:rPr>
          <w:rFonts w:hint="eastAsia" w:ascii="仿宋" w:hAnsi="仿宋" w:eastAsia="仿宋" w:cs="仿宋"/>
          <w:color w:val="auto"/>
          <w:spacing w:val="0"/>
          <w:kern w:val="2"/>
          <w:sz w:val="30"/>
          <w:szCs w:val="30"/>
          <w:lang w:val="en-US" w:eastAsia="zh-CN" w:bidi="ar-SA"/>
        </w:rPr>
        <w:t>1.</w:t>
      </w:r>
      <w:r>
        <w:rPr>
          <w:rFonts w:hint="eastAsia" w:ascii="仿宋" w:hAnsi="仿宋" w:eastAsia="仿宋" w:cs="仿宋"/>
          <w:b/>
          <w:bCs/>
          <w:color w:val="auto"/>
          <w:spacing w:val="0"/>
          <w:kern w:val="2"/>
          <w:sz w:val="30"/>
          <w:szCs w:val="30"/>
          <w:lang w:val="en-US" w:eastAsia="zh-CN" w:bidi="ar-SA"/>
        </w:rPr>
        <w:t>不行贿： </w:t>
      </w:r>
      <w:r>
        <w:rPr>
          <w:rFonts w:hint="eastAsia" w:ascii="仿宋" w:hAnsi="仿宋" w:eastAsia="仿宋" w:cs="仿宋"/>
          <w:color w:val="auto"/>
          <w:spacing w:val="0"/>
          <w:kern w:val="2"/>
          <w:sz w:val="30"/>
          <w:szCs w:val="30"/>
          <w:lang w:val="en-US" w:eastAsia="zh-CN" w:bidi="ar-SA"/>
        </w:rPr>
        <w:t>在项目建设过程中，我们将严格遵守国家法律法规，坚决杜绝任何形式的行贿行为。我们将秉持公正、公平、公开的原则，与各方合作伙伴保持良好的合作关系。</w:t>
      </w:r>
    </w:p>
    <w:p w14:paraId="66AB2A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left"/>
        <w:textAlignment w:val="auto"/>
        <w:rPr>
          <w:rFonts w:hint="eastAsia" w:ascii="仿宋" w:hAnsi="仿宋" w:eastAsia="仿宋" w:cs="仿宋"/>
          <w:color w:val="auto"/>
          <w:spacing w:val="0"/>
          <w:kern w:val="2"/>
          <w:sz w:val="30"/>
          <w:szCs w:val="30"/>
          <w:lang w:val="en-US" w:eastAsia="zh-CN" w:bidi="ar-SA"/>
        </w:rPr>
      </w:pPr>
      <w:r>
        <w:rPr>
          <w:rFonts w:hint="eastAsia" w:ascii="仿宋" w:hAnsi="仿宋" w:eastAsia="仿宋" w:cs="仿宋"/>
          <w:color w:val="auto"/>
          <w:spacing w:val="0"/>
          <w:kern w:val="2"/>
          <w:sz w:val="30"/>
          <w:szCs w:val="30"/>
          <w:lang w:val="en-US" w:eastAsia="zh-CN" w:bidi="ar-SA"/>
        </w:rPr>
        <w:t xml:space="preserve">   2. </w:t>
      </w:r>
      <w:r>
        <w:rPr>
          <w:rFonts w:hint="eastAsia" w:ascii="仿宋" w:hAnsi="仿宋" w:eastAsia="仿宋" w:cs="仿宋"/>
          <w:b/>
          <w:bCs/>
          <w:color w:val="auto"/>
          <w:spacing w:val="0"/>
          <w:kern w:val="2"/>
          <w:sz w:val="30"/>
          <w:szCs w:val="30"/>
          <w:lang w:val="en-US" w:eastAsia="zh-CN" w:bidi="ar-SA"/>
        </w:rPr>
        <w:t>不出现“双拖欠”：</w:t>
      </w:r>
      <w:r>
        <w:rPr>
          <w:rFonts w:hint="eastAsia" w:ascii="仿宋" w:hAnsi="仿宋" w:eastAsia="仿宋" w:cs="仿宋"/>
          <w:color w:val="auto"/>
          <w:spacing w:val="0"/>
          <w:kern w:val="2"/>
          <w:sz w:val="30"/>
          <w:szCs w:val="30"/>
          <w:lang w:val="en-US" w:eastAsia="zh-CN" w:bidi="ar-SA"/>
        </w:rPr>
        <w:t>我公司将建立健全的财务管理制度，确保资金的合理使用和及时支付，保证按照合同约定，按时足额支付工人工资和供应商款项，绝不出现拖欠工资和工程款的现象。</w:t>
      </w:r>
    </w:p>
    <w:p w14:paraId="110D8E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left"/>
        <w:textAlignment w:val="auto"/>
        <w:rPr>
          <w:rFonts w:hint="eastAsia" w:ascii="仿宋" w:hAnsi="仿宋" w:eastAsia="仿宋" w:cs="仿宋"/>
          <w:color w:val="auto"/>
          <w:spacing w:val="0"/>
          <w:kern w:val="2"/>
          <w:sz w:val="30"/>
          <w:szCs w:val="30"/>
          <w:lang w:val="en-US" w:eastAsia="zh-CN" w:bidi="ar-SA"/>
        </w:rPr>
      </w:pPr>
      <w:r>
        <w:rPr>
          <w:rFonts w:hint="eastAsia" w:ascii="仿宋" w:hAnsi="仿宋" w:eastAsia="仿宋" w:cs="仿宋"/>
          <w:color w:val="auto"/>
          <w:spacing w:val="0"/>
          <w:kern w:val="2"/>
          <w:sz w:val="30"/>
          <w:szCs w:val="30"/>
          <w:lang w:val="en-US" w:eastAsia="zh-CN" w:bidi="ar-SA"/>
        </w:rPr>
        <w:t xml:space="preserve">   3. </w:t>
      </w:r>
      <w:r>
        <w:rPr>
          <w:rFonts w:hint="eastAsia" w:ascii="仿宋" w:hAnsi="仿宋" w:eastAsia="仿宋" w:cs="仿宋"/>
          <w:b/>
          <w:bCs/>
          <w:color w:val="auto"/>
          <w:spacing w:val="0"/>
          <w:kern w:val="2"/>
          <w:sz w:val="30"/>
          <w:szCs w:val="30"/>
          <w:lang w:val="en-US" w:eastAsia="zh-CN" w:bidi="ar-SA"/>
        </w:rPr>
        <w:t>不违法转包、非法分包： </w:t>
      </w:r>
      <w:r>
        <w:rPr>
          <w:rFonts w:hint="eastAsia" w:ascii="仿宋" w:hAnsi="仿宋" w:eastAsia="仿宋" w:cs="仿宋"/>
          <w:color w:val="auto"/>
          <w:spacing w:val="0"/>
          <w:kern w:val="2"/>
          <w:sz w:val="30"/>
          <w:szCs w:val="30"/>
          <w:lang w:val="en-US" w:eastAsia="zh-CN" w:bidi="ar-SA"/>
        </w:rPr>
        <w:t>我们将严格遵守合同约定，保证按照投标文件约定的班组成员进驻施工现场，绝不违法转包、非法分包，确保工程质量和进度。</w:t>
      </w:r>
    </w:p>
    <w:p w14:paraId="17E49C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left"/>
        <w:textAlignment w:val="auto"/>
        <w:rPr>
          <w:rFonts w:hint="eastAsia" w:ascii="仿宋" w:hAnsi="仿宋" w:eastAsia="仿宋" w:cs="仿宋"/>
          <w:b w:val="0"/>
          <w:bCs w:val="0"/>
          <w:color w:val="auto"/>
          <w:spacing w:val="0"/>
          <w:kern w:val="2"/>
          <w:sz w:val="30"/>
          <w:szCs w:val="30"/>
          <w:lang w:val="en-US" w:eastAsia="zh-CN" w:bidi="ar-SA"/>
        </w:rPr>
      </w:pPr>
      <w:r>
        <w:rPr>
          <w:rFonts w:hint="eastAsia" w:ascii="仿宋" w:hAnsi="仿宋" w:eastAsia="仿宋" w:cs="仿宋"/>
          <w:color w:val="auto"/>
          <w:spacing w:val="0"/>
          <w:kern w:val="2"/>
          <w:sz w:val="30"/>
          <w:szCs w:val="30"/>
          <w:lang w:val="en-US" w:eastAsia="zh-CN" w:bidi="ar-SA"/>
        </w:rPr>
        <w:t xml:space="preserve">   4. </w:t>
      </w:r>
      <w:r>
        <w:rPr>
          <w:rFonts w:hint="eastAsia" w:ascii="仿宋" w:hAnsi="仿宋" w:eastAsia="仿宋" w:cs="仿宋"/>
          <w:b/>
          <w:bCs/>
          <w:color w:val="auto"/>
          <w:spacing w:val="0"/>
          <w:kern w:val="2"/>
          <w:sz w:val="30"/>
          <w:szCs w:val="30"/>
          <w:lang w:val="en-US" w:eastAsia="zh-CN" w:bidi="ar-SA"/>
        </w:rPr>
        <w:t>良好工程建设信誉：</w:t>
      </w:r>
      <w:r>
        <w:rPr>
          <w:rFonts w:hint="eastAsia" w:ascii="仿宋" w:hAnsi="仿宋" w:eastAsia="仿宋" w:cs="仿宋"/>
          <w:b w:val="0"/>
          <w:bCs w:val="0"/>
          <w:color w:val="auto"/>
          <w:spacing w:val="0"/>
          <w:kern w:val="2"/>
          <w:sz w:val="30"/>
          <w:szCs w:val="30"/>
          <w:lang w:val="en-US" w:eastAsia="zh-CN" w:bidi="ar-SA"/>
        </w:rPr>
        <w:t>我们郑重承诺，在本地区具有良好的工程建设信誉，承诺安全文明施工并提供高质量的工程建设。致力于建立良好的工程建设信誉，信守承诺，为地区经济建设和社会事业发展贡献力量。</w:t>
      </w:r>
    </w:p>
    <w:p w14:paraId="52F3A9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left"/>
        <w:textAlignment w:val="auto"/>
        <w:rPr>
          <w:rFonts w:hint="eastAsia" w:ascii="仿宋" w:hAnsi="仿宋" w:eastAsia="仿宋" w:cs="仿宋"/>
          <w:color w:val="auto"/>
          <w:spacing w:val="0"/>
          <w:kern w:val="2"/>
          <w:sz w:val="30"/>
          <w:szCs w:val="30"/>
          <w:lang w:val="en-US" w:eastAsia="zh-CN" w:bidi="ar-SA"/>
        </w:rPr>
      </w:pPr>
      <w:r>
        <w:rPr>
          <w:rFonts w:hint="eastAsia" w:ascii="仿宋" w:hAnsi="仿宋" w:eastAsia="仿宋" w:cs="仿宋"/>
          <w:color w:val="auto"/>
          <w:spacing w:val="0"/>
          <w:kern w:val="2"/>
          <w:sz w:val="30"/>
          <w:szCs w:val="30"/>
          <w:lang w:val="en-US" w:eastAsia="zh-CN" w:bidi="ar-SA"/>
        </w:rPr>
        <w:t xml:space="preserve">   如有违反上述承诺，我们愿意承担相应的法律责任和经济赔偿责任，同时，积极配合有关部门的调查和处理，接受社会监督。</w:t>
      </w:r>
    </w:p>
    <w:p w14:paraId="28171A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left"/>
        <w:textAlignment w:val="auto"/>
        <w:rPr>
          <w:rFonts w:hint="eastAsia" w:ascii="仿宋" w:hAnsi="仿宋" w:eastAsia="仿宋" w:cs="仿宋"/>
          <w:color w:val="auto"/>
          <w:spacing w:val="0"/>
          <w:kern w:val="2"/>
          <w:sz w:val="30"/>
          <w:szCs w:val="30"/>
          <w:lang w:val="en-US" w:eastAsia="zh-CN" w:bidi="ar-SA"/>
        </w:rPr>
      </w:pPr>
      <w:r>
        <w:rPr>
          <w:rFonts w:hint="eastAsia" w:ascii="仿宋" w:hAnsi="仿宋" w:eastAsia="仿宋" w:cs="仿宋"/>
          <w:color w:val="auto"/>
          <w:spacing w:val="0"/>
          <w:kern w:val="2"/>
          <w:sz w:val="30"/>
          <w:szCs w:val="30"/>
          <w:lang w:val="en-US" w:eastAsia="zh-CN" w:bidi="ar-SA"/>
        </w:rPr>
        <w:t xml:space="preserve">承诺单位： </w:t>
      </w:r>
    </w:p>
    <w:p w14:paraId="43311B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left"/>
        <w:textAlignment w:val="auto"/>
        <w:rPr>
          <w:rFonts w:hint="eastAsia" w:ascii="仿宋" w:hAnsi="仿宋" w:eastAsia="仿宋" w:cs="仿宋"/>
          <w:color w:val="auto"/>
          <w:spacing w:val="0"/>
          <w:kern w:val="2"/>
          <w:sz w:val="30"/>
          <w:szCs w:val="30"/>
          <w:lang w:val="en-US" w:eastAsia="zh-CN" w:bidi="ar-SA"/>
        </w:rPr>
      </w:pPr>
      <w:r>
        <w:rPr>
          <w:rFonts w:hint="eastAsia" w:ascii="仿宋" w:hAnsi="仿宋" w:eastAsia="仿宋" w:cs="仿宋"/>
          <w:color w:val="auto"/>
          <w:spacing w:val="0"/>
          <w:kern w:val="2"/>
          <w:sz w:val="30"/>
          <w:szCs w:val="30"/>
          <w:lang w:val="en-US" w:eastAsia="zh-CN" w:bidi="ar-SA"/>
        </w:rPr>
        <w:t>法定代表人：</w:t>
      </w:r>
    </w:p>
    <w:p w14:paraId="298432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left"/>
        <w:textAlignment w:val="auto"/>
        <w:rPr>
          <w:rFonts w:hint="eastAsia" w:ascii="仿宋" w:hAnsi="仿宋" w:eastAsia="仿宋" w:cs="仿宋"/>
          <w:color w:val="auto"/>
          <w:spacing w:val="0"/>
          <w:kern w:val="2"/>
          <w:sz w:val="30"/>
          <w:szCs w:val="30"/>
          <w:lang w:val="en-US" w:eastAsia="zh-CN" w:bidi="ar-SA"/>
        </w:rPr>
      </w:pPr>
      <w:r>
        <w:rPr>
          <w:rFonts w:hint="eastAsia" w:ascii="仿宋" w:hAnsi="仿宋" w:eastAsia="仿宋" w:cs="仿宋"/>
          <w:color w:val="auto"/>
          <w:spacing w:val="0"/>
          <w:kern w:val="2"/>
          <w:sz w:val="30"/>
          <w:szCs w:val="30"/>
          <w:lang w:val="en-US" w:eastAsia="zh-CN" w:bidi="ar-SA"/>
        </w:rPr>
        <w:t>日期：</w:t>
      </w:r>
    </w:p>
    <w:p w14:paraId="1BA6C1C8">
      <w:pPr>
        <w:rPr>
          <w:rFonts w:hint="eastAsia" w:ascii="宋体" w:hAnsi="宋体" w:eastAsia="宋体" w:cs="宋体"/>
          <w:color w:val="000000"/>
          <w:sz w:val="28"/>
          <w:szCs w:val="28"/>
          <w:highlight w:val="none"/>
        </w:rPr>
      </w:pPr>
    </w:p>
    <w:p w14:paraId="439B0AE7">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default" w:ascii="宋体" w:hAnsi="宋体" w:eastAsia="宋体" w:cs="宋体"/>
          <w:i w:val="0"/>
          <w:iCs w:val="0"/>
          <w:color w:val="auto"/>
          <w:kern w:val="0"/>
          <w:sz w:val="24"/>
          <w:szCs w:val="24"/>
          <w:lang w:val="en-US" w:eastAsia="zh-CN" w:bidi="ar"/>
        </w:rPr>
      </w:pPr>
    </w:p>
    <w:sectPr>
      <w:pgSz w:w="11849" w:h="16781"/>
      <w:pgMar w:top="1440" w:right="1080" w:bottom="1440" w:left="1080" w:header="851" w:footer="850" w:gutter="0"/>
      <w:cols w:space="720" w:num="1"/>
      <w:titlePg/>
      <w:docGrid w:type="linesAndChars" w:linePitch="320" w:charSpace="2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otum">
    <w:altName w:val="Malgun Gothic"/>
    <w:panose1 w:val="020B0600000101010101"/>
    <w:charset w:val="81"/>
    <w:family w:val="swiss"/>
    <w:pitch w:val="default"/>
    <w:sig w:usb0="00000000" w:usb1="00000000" w:usb2="00000030" w:usb3="00000000" w:csb0="4008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0DC82">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3061359">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6mDjr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epg460QEAAKMDAAAOAAAAAAAAAAEAIAAAACIB&#10;AABkcnMvZTJvRG9jLnhtbFBLBQYAAAAABgAGAFkBAABlBQAAAAA=&#10;">
              <v:fill on="f" focussize="0,0"/>
              <v:stroke on="f" weight="1.25pt"/>
              <v:imagedata o:title=""/>
              <o:lock v:ext="edit" aspectratio="f"/>
              <v:textbox inset="0mm,0mm,0mm,0mm" style="mso-fit-shape-to-text:t;">
                <w:txbxContent>
                  <w:p w14:paraId="23061359">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p w14:paraId="7D14A15A">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DB937">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D93C501">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DxOXLRAQAAow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bFIYjF1m6w47seZ2t51Z2Q2&#10;4Aq01OLGU6I/WFQ4bctihMXYL8bRB3Xoscl1rgf+7TFiO7nLVGGCnQvj7DLPec/Scvzt56zHf2v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g8Tly0QEAAKMDAAAOAAAAAAAAAAEAIAAAACIB&#10;AABkcnMvZTJvRG9jLnhtbFBLBQYAAAAABgAGAFkBAABlBQAAAAA=&#10;">
              <v:fill on="f" focussize="0,0"/>
              <v:stroke on="f" weight="1.25pt"/>
              <v:imagedata o:title=""/>
              <o:lock v:ext="edit" aspectratio="f"/>
              <v:textbox inset="0mm,0mm,0mm,0mm" style="mso-fit-shape-to-text:t;">
                <w:txbxContent>
                  <w:p w14:paraId="1D93C501">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14:paraId="09EA405E">
    <w:pPr>
      <w:pStyle w:val="10"/>
      <w:ind w:right="360"/>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125D2">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E77821"/>
    <w:multiLevelType w:val="singleLevel"/>
    <w:tmpl w:val="A9E77821"/>
    <w:lvl w:ilvl="0" w:tentative="0">
      <w:start w:val="1"/>
      <w:numFmt w:val="decimal"/>
      <w:suff w:val="space"/>
      <w:lvlText w:val="%1."/>
      <w:lvlJc w:val="left"/>
    </w:lvl>
  </w:abstractNum>
  <w:abstractNum w:abstractNumId="1">
    <w:nsid w:val="E17CBEAC"/>
    <w:multiLevelType w:val="singleLevel"/>
    <w:tmpl w:val="E17CBEAC"/>
    <w:lvl w:ilvl="0" w:tentative="0">
      <w:start w:val="1"/>
      <w:numFmt w:val="decimal"/>
      <w:suff w:val="space"/>
      <w:lvlText w:val="%1."/>
      <w:lvlJc w:val="left"/>
    </w:lvl>
  </w:abstractNum>
  <w:abstractNum w:abstractNumId="2">
    <w:nsid w:val="00E8B9D2"/>
    <w:multiLevelType w:val="singleLevel"/>
    <w:tmpl w:val="00E8B9D2"/>
    <w:lvl w:ilvl="0" w:tentative="0">
      <w:start w:val="1"/>
      <w:numFmt w:val="chineseCounting"/>
      <w:suff w:val="space"/>
      <w:lvlText w:val="第%1章"/>
      <w:lvlJc w:val="left"/>
      <w:rPr>
        <w:rFonts w:hint="eastAsia"/>
      </w:rPr>
    </w:lvl>
  </w:abstractNum>
  <w:abstractNum w:abstractNumId="3">
    <w:nsid w:val="59E084C5"/>
    <w:multiLevelType w:val="singleLevel"/>
    <w:tmpl w:val="59E084C5"/>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dit="forms" w:enforcement="1" w:cryptProviderType="rsaFull" w:cryptAlgorithmClass="hash" w:cryptAlgorithmType="typeAny" w:cryptAlgorithmSid="4" w:cryptSpinCount="0" w:hash="awowiRMJgvlxBrCuMRlvH25hX+I=" w:salt="+sfP6qzB19N2mVepCzTIA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0ZDUxMDM0ZGExZTY2ZTcwZWI4MjAzY2E4NDQxMTkifQ=="/>
  </w:docVars>
  <w:rsids>
    <w:rsidRoot w:val="13D8315B"/>
    <w:rsid w:val="0031380D"/>
    <w:rsid w:val="009F2E6D"/>
    <w:rsid w:val="00B16F13"/>
    <w:rsid w:val="040845C6"/>
    <w:rsid w:val="07704D39"/>
    <w:rsid w:val="094D6530"/>
    <w:rsid w:val="0A83110A"/>
    <w:rsid w:val="0C514EE6"/>
    <w:rsid w:val="0C7358DA"/>
    <w:rsid w:val="0DDC4B9F"/>
    <w:rsid w:val="11D1615C"/>
    <w:rsid w:val="13D8315B"/>
    <w:rsid w:val="143E4A1F"/>
    <w:rsid w:val="158E1C5C"/>
    <w:rsid w:val="15D46399"/>
    <w:rsid w:val="16C1417B"/>
    <w:rsid w:val="171A5992"/>
    <w:rsid w:val="17F25FE3"/>
    <w:rsid w:val="183B3024"/>
    <w:rsid w:val="18441ED8"/>
    <w:rsid w:val="18562ED5"/>
    <w:rsid w:val="188D0D36"/>
    <w:rsid w:val="18F356AC"/>
    <w:rsid w:val="19651B2C"/>
    <w:rsid w:val="19B74EE4"/>
    <w:rsid w:val="1A3B555D"/>
    <w:rsid w:val="1A7916A2"/>
    <w:rsid w:val="1C0A6971"/>
    <w:rsid w:val="1E1E783B"/>
    <w:rsid w:val="1EEF285C"/>
    <w:rsid w:val="210B5C89"/>
    <w:rsid w:val="21935104"/>
    <w:rsid w:val="2569184C"/>
    <w:rsid w:val="264320E3"/>
    <w:rsid w:val="26F06290"/>
    <w:rsid w:val="28AD3976"/>
    <w:rsid w:val="29E17ECF"/>
    <w:rsid w:val="2A906807"/>
    <w:rsid w:val="2B1842D0"/>
    <w:rsid w:val="2B6D2537"/>
    <w:rsid w:val="2C934D84"/>
    <w:rsid w:val="2D612455"/>
    <w:rsid w:val="319E7EA7"/>
    <w:rsid w:val="31F52C3B"/>
    <w:rsid w:val="321E77E6"/>
    <w:rsid w:val="32936470"/>
    <w:rsid w:val="338B2C59"/>
    <w:rsid w:val="355E6877"/>
    <w:rsid w:val="3687595A"/>
    <w:rsid w:val="38912AC0"/>
    <w:rsid w:val="391A019A"/>
    <w:rsid w:val="3AC7319E"/>
    <w:rsid w:val="3AF85078"/>
    <w:rsid w:val="3C652594"/>
    <w:rsid w:val="3CCF38CA"/>
    <w:rsid w:val="3FFD0130"/>
    <w:rsid w:val="40D56AC2"/>
    <w:rsid w:val="45ED51BC"/>
    <w:rsid w:val="46426740"/>
    <w:rsid w:val="48F858BF"/>
    <w:rsid w:val="4B264C8E"/>
    <w:rsid w:val="4B39346C"/>
    <w:rsid w:val="4C392DFB"/>
    <w:rsid w:val="4C417F01"/>
    <w:rsid w:val="4DAE2035"/>
    <w:rsid w:val="4EAF55F6"/>
    <w:rsid w:val="4FF8133B"/>
    <w:rsid w:val="5029413D"/>
    <w:rsid w:val="513E1563"/>
    <w:rsid w:val="57FA23AC"/>
    <w:rsid w:val="59C856BE"/>
    <w:rsid w:val="5BE24B31"/>
    <w:rsid w:val="5D6F6A3F"/>
    <w:rsid w:val="5FDC0215"/>
    <w:rsid w:val="62B06A9B"/>
    <w:rsid w:val="65055B18"/>
    <w:rsid w:val="65264AD0"/>
    <w:rsid w:val="65B37EE0"/>
    <w:rsid w:val="66927139"/>
    <w:rsid w:val="670C04C4"/>
    <w:rsid w:val="673D77EB"/>
    <w:rsid w:val="6759039D"/>
    <w:rsid w:val="68420E31"/>
    <w:rsid w:val="69F563A2"/>
    <w:rsid w:val="6A130CD7"/>
    <w:rsid w:val="6C902226"/>
    <w:rsid w:val="6D8D74BE"/>
    <w:rsid w:val="6D9D5F5B"/>
    <w:rsid w:val="6E777A87"/>
    <w:rsid w:val="70761FC0"/>
    <w:rsid w:val="71E52F59"/>
    <w:rsid w:val="72F21DD2"/>
    <w:rsid w:val="73CB43D1"/>
    <w:rsid w:val="76853A7D"/>
    <w:rsid w:val="769245DD"/>
    <w:rsid w:val="76B33626"/>
    <w:rsid w:val="770976EA"/>
    <w:rsid w:val="779F5733"/>
    <w:rsid w:val="77BF20B5"/>
    <w:rsid w:val="783F2253"/>
    <w:rsid w:val="797113B2"/>
    <w:rsid w:val="79BD502B"/>
    <w:rsid w:val="7BD74E83"/>
    <w:rsid w:val="7C6B10DB"/>
    <w:rsid w:val="7D9F13A1"/>
    <w:rsid w:val="7E756E9A"/>
    <w:rsid w:val="7FAE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480" w:lineRule="auto"/>
      <w:jc w:val="center"/>
      <w:outlineLvl w:val="0"/>
    </w:pPr>
    <w:rPr>
      <w:rFonts w:eastAsia="黑体"/>
      <w:bCs/>
      <w:kern w:val="44"/>
      <w:sz w:val="36"/>
      <w:szCs w:val="44"/>
    </w:rPr>
  </w:style>
  <w:style w:type="paragraph" w:styleId="3">
    <w:name w:val="heading 2"/>
    <w:basedOn w:val="1"/>
    <w:next w:val="4"/>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qFormat/>
    <w:uiPriority w:val="0"/>
    <w:pPr>
      <w:adjustRightInd w:val="0"/>
      <w:spacing w:line="360" w:lineRule="atLeast"/>
      <w:ind w:firstLine="420"/>
      <w:textAlignment w:val="baseline"/>
    </w:pPr>
    <w:rPr>
      <w:szCs w:val="20"/>
    </w:rPr>
  </w:style>
  <w:style w:type="paragraph" w:styleId="6">
    <w:name w:val="table of authorities"/>
    <w:basedOn w:val="1"/>
    <w:next w:val="1"/>
    <w:autoRedefine/>
    <w:qFormat/>
    <w:uiPriority w:val="0"/>
    <w:pPr>
      <w:ind w:left="420" w:leftChars="200"/>
    </w:pPr>
    <w:rPr>
      <w:sz w:val="28"/>
      <w:szCs w:val="20"/>
    </w:rPr>
  </w:style>
  <w:style w:type="paragraph" w:styleId="7">
    <w:name w:val="Body Text"/>
    <w:basedOn w:val="1"/>
    <w:next w:val="1"/>
    <w:autoRedefine/>
    <w:qFormat/>
    <w:uiPriority w:val="0"/>
    <w:rPr>
      <w:rFonts w:eastAsia="黑体"/>
      <w:sz w:val="36"/>
    </w:rPr>
  </w:style>
  <w:style w:type="paragraph" w:styleId="8">
    <w:name w:val="Block Text"/>
    <w:basedOn w:val="1"/>
    <w:autoRedefine/>
    <w:qFormat/>
    <w:uiPriority w:val="0"/>
    <w:pPr>
      <w:spacing w:after="120"/>
      <w:ind w:left="1440" w:leftChars="700" w:right="1440" w:rightChars="700"/>
    </w:pPr>
  </w:style>
  <w:style w:type="paragraph" w:styleId="9">
    <w:name w:val="Plain Text"/>
    <w:basedOn w:val="1"/>
    <w:next w:val="10"/>
    <w:autoRedefine/>
    <w:qFormat/>
    <w:uiPriority w:val="0"/>
    <w:rPr>
      <w:rFonts w:ascii="宋体" w:hAnsi="Courier New" w:eastAsia="宋体"/>
      <w:kern w:val="2"/>
      <w:sz w:val="21"/>
      <w:lang w:val="en-US" w:eastAsia="zh-CN" w:bidi="ar-SA"/>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6"/>
    <w:autoRedefine/>
    <w:qFormat/>
    <w:uiPriority w:val="0"/>
  </w:style>
  <w:style w:type="paragraph" w:styleId="13">
    <w:name w:val="Normal (Web)"/>
    <w:basedOn w:val="1"/>
    <w:next w:val="1"/>
    <w:autoRedefine/>
    <w:qFormat/>
    <w:uiPriority w:val="0"/>
    <w:pPr>
      <w:widowControl/>
      <w:spacing w:before="100" w:beforeAutospacing="1" w:after="100" w:afterAutospacing="1"/>
      <w:jc w:val="left"/>
    </w:pPr>
    <w:rPr>
      <w:rFonts w:ascii="宋体" w:hAnsi="宋体"/>
      <w:color w:val="000000"/>
      <w:kern w:val="0"/>
      <w:sz w:val="24"/>
    </w:rPr>
  </w:style>
  <w:style w:type="paragraph" w:styleId="14">
    <w:name w:val="Body Text First Indent"/>
    <w:basedOn w:val="7"/>
    <w:next w:val="1"/>
    <w:autoRedefine/>
    <w:qFormat/>
    <w:uiPriority w:val="0"/>
    <w:pPr>
      <w:autoSpaceDE w:val="0"/>
      <w:autoSpaceDN w:val="0"/>
      <w:adjustRightInd w:val="0"/>
      <w:ind w:firstLine="420" w:firstLineChars="100"/>
      <w:jc w:val="left"/>
    </w:pPr>
    <w:rPr>
      <w:rFonts w:ascii="仿宋_GB2312" w:hAnsi="Calibri"/>
      <w:b/>
      <w:kern w:val="0"/>
      <w:sz w:val="32"/>
      <w:szCs w:val="32"/>
    </w:rPr>
  </w:style>
  <w:style w:type="table" w:styleId="16">
    <w:name w:val="Table Grid"/>
    <w:basedOn w:val="15"/>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bCs/>
    </w:rPr>
  </w:style>
  <w:style w:type="paragraph" w:customStyle="1" w:styleId="19">
    <w:name w:val="样式 标题 3 + (中文) 黑体 小四 非加粗 段前: 7.8 磅 段后: 0 磅 行距: 固定值 20 磅"/>
    <w:basedOn w:val="5"/>
    <w:autoRedefine/>
    <w:qFormat/>
    <w:uiPriority w:val="0"/>
    <w:pPr>
      <w:spacing w:before="120" w:after="120" w:line="400" w:lineRule="exact"/>
    </w:pPr>
    <w:rPr>
      <w:rFonts w:ascii="Times New Roman" w:hAnsi="Times New Roman" w:eastAsia="宋体"/>
      <w:b w:val="0"/>
      <w:bCs w:val="0"/>
      <w:sz w:val="24"/>
      <w:szCs w:val="20"/>
    </w:rPr>
  </w:style>
  <w:style w:type="paragraph" w:customStyle="1" w:styleId="20">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21">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22">
    <w:name w:val="缺省文本"/>
    <w:autoRedefine/>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2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标书正文"/>
    <w:basedOn w:val="1"/>
    <w:autoRedefine/>
    <w:qFormat/>
    <w:uiPriority w:val="0"/>
    <w:pPr>
      <w:spacing w:line="560" w:lineRule="exact"/>
      <w:ind w:firstLine="723" w:firstLineChars="200"/>
      <w:jc w:val="center"/>
    </w:pPr>
    <w:rPr>
      <w:rFonts w:ascii="仿宋_GB2312" w:eastAsia="仿宋_GB2312"/>
      <w:b/>
      <w:sz w:val="36"/>
    </w:rPr>
  </w:style>
  <w:style w:type="paragraph" w:customStyle="1" w:styleId="25">
    <w:name w:val="样式 样式 样式 左侧:  2 字符1 + 首行缩进:  2 字符1 + 首行缩进:  2 字符"/>
    <w:basedOn w:val="1"/>
    <w:autoRedefine/>
    <w:qFormat/>
    <w:uiPriority w:val="0"/>
    <w:pPr>
      <w:widowControl/>
      <w:spacing w:before="60" w:after="120" w:line="440" w:lineRule="atLeast"/>
      <w:ind w:firstLine="480"/>
    </w:pPr>
    <w:rPr>
      <w:sz w:val="24"/>
      <w:szCs w:val="20"/>
    </w:rPr>
  </w:style>
  <w:style w:type="paragraph" w:customStyle="1" w:styleId="26">
    <w:name w:val="Table Text"/>
    <w:basedOn w:val="1"/>
    <w:autoRedefine/>
    <w:semiHidden/>
    <w:qFormat/>
    <w:uiPriority w:val="0"/>
    <w:rPr>
      <w:rFonts w:ascii="宋体" w:hAnsi="宋体" w:eastAsia="宋体" w:cs="宋体"/>
      <w:sz w:val="23"/>
      <w:szCs w:val="23"/>
      <w:lang w:val="en-US" w:eastAsia="en-US" w:bidi="ar-SA"/>
    </w:rPr>
  </w:style>
  <w:style w:type="table" w:customStyle="1" w:styleId="2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25232</Words>
  <Characters>27009</Characters>
  <Lines>0</Lines>
  <Paragraphs>0</Paragraphs>
  <TotalTime>14</TotalTime>
  <ScaleCrop>false</ScaleCrop>
  <LinksUpToDate>false</LinksUpToDate>
  <CharactersWithSpaces>29543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2023-10-08T08:35:00Z</dcterms:created>
  <dc:creator> 十二</dc:creator>
  <cp:lastModifiedBy>不若遗忘</cp:lastModifiedBy>
  <dcterms:modified xsi:type="dcterms:W3CDTF">2024-08-28T10:30:13Z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F6F505A5D57E4DD49FB5EF44A1C1E266_13</vt:lpwstr>
  </property>
</Properties>
</file>