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D258CC">
      <w:pPr>
        <w:pageBreakBefore w:val="0"/>
        <w:widowControl w:val="0"/>
        <w:kinsoku/>
        <w:wordWrap/>
        <w:overflowPunct/>
        <w:topLinePunct w:val="0"/>
        <w:bidi w:val="0"/>
        <w:snapToGrid/>
        <w:spacing w:line="600" w:lineRule="exact"/>
        <w:ind w:left="241" w:hanging="241"/>
        <w:jc w:val="center"/>
        <w:textAlignment w:val="auto"/>
        <w:rPr>
          <w:rFonts w:hint="eastAsia" w:ascii="宋体" w:hAnsi="宋体" w:eastAsia="宋体" w:cs="宋体"/>
          <w:b/>
          <w:bCs w:val="0"/>
          <w:i w:val="0"/>
          <w:iCs w:val="0"/>
          <w:color w:val="000000" w:themeColor="text1"/>
          <w:kern w:val="0"/>
          <w:sz w:val="48"/>
          <w:szCs w:val="48"/>
          <w:highlight w:val="none"/>
          <w:lang w:val="en-US" w:eastAsia="zh-CN" w:bidi="ar-SA"/>
          <w14:textFill>
            <w14:solidFill>
              <w14:schemeClr w14:val="tx1"/>
            </w14:solidFill>
          </w14:textFill>
        </w:rPr>
      </w:pPr>
      <w:bookmarkStart w:id="0" w:name="_Toc7"/>
      <w:bookmarkStart w:id="1" w:name="_Toc989"/>
      <w:bookmarkStart w:id="2" w:name="_Toc32103"/>
      <w:bookmarkStart w:id="3" w:name="_Toc18711"/>
      <w:bookmarkStart w:id="4" w:name="_Toc25592"/>
      <w:bookmarkStart w:id="5" w:name="_Toc18227"/>
      <w:bookmarkStart w:id="6" w:name="_Toc21786"/>
      <w:bookmarkStart w:id="7" w:name="_Toc2815"/>
      <w:bookmarkStart w:id="8" w:name="_Toc29512"/>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阿瓦提县路北延伸段道路改造提升扩建项目电力迁改工程施工合同段</w:t>
      </w:r>
    </w:p>
    <w:p w14:paraId="27F61DB9">
      <w:pPr>
        <w:pageBreakBefore w:val="0"/>
        <w:widowControl w:val="0"/>
        <w:kinsoku/>
        <w:wordWrap/>
        <w:overflowPunct/>
        <w:topLinePunct w:val="0"/>
        <w:bidi w:val="0"/>
        <w:snapToGrid/>
        <w:spacing w:line="600" w:lineRule="exact"/>
        <w:ind w:left="241" w:hanging="241"/>
        <w:jc w:val="center"/>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9" w:name="_Toc24226"/>
    </w:p>
    <w:p w14:paraId="2F66B129">
      <w:pPr>
        <w:pageBreakBefore w:val="0"/>
        <w:widowControl w:val="0"/>
        <w:kinsoku/>
        <w:wordWrap/>
        <w:overflowPunct/>
        <w:topLinePunct w:val="0"/>
        <w:bidi w:val="0"/>
        <w:snapToGrid/>
        <w:spacing w:line="600" w:lineRule="exact"/>
        <w:jc w:val="both"/>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p>
    <w:p w14:paraId="0A9C6EA4">
      <w:pPr>
        <w:pageBreakBefore w:val="0"/>
        <w:widowControl w:val="0"/>
        <w:kinsoku/>
        <w:wordWrap/>
        <w:overflowPunct/>
        <w:topLinePunct w:val="0"/>
        <w:bidi w:val="0"/>
        <w:snapToGrid/>
        <w:spacing w:line="600" w:lineRule="exact"/>
        <w:jc w:val="both"/>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p>
    <w:p w14:paraId="2A58962C">
      <w:pPr>
        <w:pageBreakBefore w:val="0"/>
        <w:widowControl w:val="0"/>
        <w:kinsoku/>
        <w:wordWrap/>
        <w:overflowPunct/>
        <w:topLinePunct w:val="0"/>
        <w:bidi w:val="0"/>
        <w:snapToGrid/>
        <w:spacing w:line="600" w:lineRule="exact"/>
        <w:ind w:left="241" w:hanging="241"/>
        <w:jc w:val="center"/>
        <w:textAlignment w:val="auto"/>
        <w:outlineLvl w:val="0"/>
        <w:rPr>
          <w:rFonts w:hint="default" w:ascii="宋体" w:hAnsi="宋体" w:eastAsia="宋体" w:cs="宋体"/>
          <w:b/>
          <w:bCs w:val="0"/>
          <w:i w:val="0"/>
          <w:iCs w:val="0"/>
          <w:color w:val="FF0000"/>
          <w:kern w:val="0"/>
          <w:sz w:val="48"/>
          <w:szCs w:val="48"/>
          <w:highlight w:val="none"/>
          <w:lang w:val="en-US" w:eastAsia="zh-CN" w:bidi="ar-SA"/>
        </w:rPr>
      </w:pPr>
      <w:r>
        <w:rPr>
          <w:rFonts w:hint="eastAsia" w:ascii="宋体" w:hAnsi="宋体" w:eastAsia="宋体" w:cs="宋体"/>
          <w:b/>
          <w:bCs w:val="0"/>
          <w:i w:val="0"/>
          <w:iCs w:val="0"/>
          <w:color w:val="000000" w:themeColor="text1"/>
          <w:kern w:val="0"/>
          <w:sz w:val="48"/>
          <w:szCs w:val="48"/>
          <w:highlight w:val="none"/>
          <w:lang w:val="en-US" w:eastAsia="zh-CN" w:bidi="ar-SA"/>
          <w14:textFill>
            <w14:solidFill>
              <w14:schemeClr w14:val="tx1"/>
            </w14:solidFill>
          </w14:textFill>
        </w:rPr>
        <w:t>项 目 编 号：</w:t>
      </w:r>
      <w:bookmarkEnd w:id="9"/>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AWT-</w:t>
      </w:r>
      <w:permStart w:id="0" w:edGrp="everyone"/>
      <w:permEnd w:id="0"/>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20250110</w:t>
      </w:r>
    </w:p>
    <w:p w14:paraId="0D18EAAC">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10" w:name="_Toc751"/>
    </w:p>
    <w:p w14:paraId="213998FE">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p>
    <w:p w14:paraId="552974AC">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t>竞争性谈判</w:t>
      </w:r>
      <w:bookmarkEnd w:id="10"/>
    </w:p>
    <w:p w14:paraId="2D00BE42">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5CE828DA">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01BF6767">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07AA2DF2">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采 购 人：</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阿瓦提县交通运输局   </w:t>
      </w:r>
    </w:p>
    <w:p w14:paraId="4A29DF8A">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default"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项目编号：</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AWT-</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20250110</w:t>
      </w:r>
    </w:p>
    <w:p w14:paraId="6B118FE5">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采购代理机构：新疆鹏辰鸿时建设工程管理服务有限公司</w:t>
      </w:r>
    </w:p>
    <w:p w14:paraId="0709E586">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14:textFill>
            <w14:solidFill>
              <w14:schemeClr w14:val="tx1"/>
            </w14:solidFill>
          </w14:textFill>
        </w:rPr>
      </w:pPr>
    </w:p>
    <w:p w14:paraId="1CCD86FF">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6"/>
          <w:szCs w:val="36"/>
          <w:highlight w:val="none"/>
          <w14:textFill>
            <w14:solidFill>
              <w14:schemeClr w14:val="tx1"/>
            </w14:solidFill>
          </w14:textFill>
        </w:rPr>
        <w:t>202</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5</w:t>
      </w:r>
      <w:r>
        <w:rPr>
          <w:rFonts w:hint="eastAsia" w:ascii="宋体" w:hAnsi="宋体" w:eastAsia="宋体" w:cs="宋体"/>
          <w:b/>
          <w:i w:val="0"/>
          <w:iCs w:val="0"/>
          <w:color w:val="000000" w:themeColor="text1"/>
          <w:sz w:val="36"/>
          <w:szCs w:val="36"/>
          <w:highlight w:val="none"/>
          <w14:textFill>
            <w14:solidFill>
              <w14:schemeClr w14:val="tx1"/>
            </w14:solidFill>
          </w14:textFill>
        </w:rPr>
        <w:t>年</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04</w:t>
      </w:r>
      <w:r>
        <w:rPr>
          <w:rFonts w:hint="eastAsia" w:ascii="宋体" w:hAnsi="宋体" w:eastAsia="宋体" w:cs="宋体"/>
          <w:b/>
          <w:i w:val="0"/>
          <w:iCs w:val="0"/>
          <w:color w:val="000000" w:themeColor="text1"/>
          <w:sz w:val="36"/>
          <w:szCs w:val="36"/>
          <w:highlight w:val="none"/>
          <w14:textFill>
            <w14:solidFill>
              <w14:schemeClr w14:val="tx1"/>
            </w14:solidFill>
          </w14:textFill>
        </w:rPr>
        <w:t>月</w:t>
      </w:r>
    </w:p>
    <w:bookmarkEnd w:id="0"/>
    <w:bookmarkEnd w:id="1"/>
    <w:bookmarkEnd w:id="2"/>
    <w:bookmarkEnd w:id="3"/>
    <w:bookmarkEnd w:id="4"/>
    <w:bookmarkEnd w:id="5"/>
    <w:bookmarkEnd w:id="6"/>
    <w:bookmarkEnd w:id="7"/>
    <w:p w14:paraId="64082CE5">
      <w:pPr>
        <w:rPr>
          <w:rFonts w:hint="eastAsia" w:ascii="宋体" w:hAnsi="宋体" w:eastAsia="宋体" w:cs="宋体"/>
          <w:color w:val="000000" w:themeColor="text1"/>
          <w:sz w:val="28"/>
          <w:szCs w:val="28"/>
          <w:highlight w:val="none"/>
          <w14:textFill>
            <w14:solidFill>
              <w14:schemeClr w14:val="tx1"/>
            </w14:solidFill>
          </w14:textFill>
        </w:rPr>
        <w:sectPr>
          <w:headerReference r:id="rId3" w:type="default"/>
          <w:footerReference r:id="rId4" w:type="default"/>
          <w:pgSz w:w="11906" w:h="16838"/>
          <w:pgMar w:top="1440" w:right="1800" w:bottom="1440" w:left="1800" w:header="851" w:footer="992" w:gutter="0"/>
          <w:pgNumType w:fmt="decimal" w:start="1"/>
          <w:cols w:space="720" w:num="1"/>
          <w:docGrid w:type="lines" w:linePitch="312" w:charSpace="0"/>
        </w:sectPr>
      </w:pPr>
      <w:bookmarkStart w:id="11" w:name="bookmark1"/>
      <w:bookmarkEnd w:id="11"/>
      <w:r>
        <w:rPr>
          <w:rFonts w:hint="eastAsia" w:ascii="宋体" w:hAnsi="宋体" w:eastAsia="宋体" w:cs="宋体"/>
          <w:color w:val="000000" w:themeColor="text1"/>
          <w:sz w:val="28"/>
          <w:szCs w:val="28"/>
          <w:highlight w:val="none"/>
          <w14:textFill>
            <w14:solidFill>
              <w14:schemeClr w14:val="tx1"/>
            </w14:solidFill>
          </w14:textFill>
        </w:rPr>
        <w:br w:type="page"/>
      </w:r>
    </w:p>
    <w:p w14:paraId="62642E18">
      <w:pPr>
        <w:pageBreakBefore w:val="0"/>
        <w:kinsoku/>
        <w:wordWrap/>
        <w:overflowPunct/>
        <w:topLinePunct w:val="0"/>
        <w:bidi w:val="0"/>
        <w:spacing w:before="213" w:line="440" w:lineRule="exact"/>
        <w:ind w:left="4103"/>
        <w:outlineLvl w:val="1"/>
        <w:rPr>
          <w:rFonts w:ascii="Times New Roman" w:hAnsi="Times New Roman" w:cs="Times New Roman"/>
          <w:szCs w:val="21"/>
        </w:rPr>
      </w:pPr>
      <w:r>
        <w:rPr>
          <w:rFonts w:hint="eastAsia" w:ascii="宋体" w:hAnsi="宋体" w:cs="宋体"/>
          <w:spacing w:val="5"/>
          <w:sz w:val="43"/>
          <w:szCs w:val="43"/>
          <w:lang w:val="en-US" w:eastAsia="zh-CN"/>
        </w:rPr>
        <w:t>谈判</w:t>
      </w:r>
      <w:r>
        <w:rPr>
          <w:rFonts w:ascii="宋体" w:hAnsi="宋体" w:eastAsia="宋体" w:cs="宋体"/>
          <w:spacing w:val="5"/>
          <w:sz w:val="43"/>
          <w:szCs w:val="43"/>
        </w:rPr>
        <w:t>文件</w:t>
      </w:r>
    </w:p>
    <w:p w14:paraId="4252A98C">
      <w:pPr>
        <w:pageBreakBefore w:val="0"/>
        <w:kinsoku/>
        <w:wordWrap/>
        <w:overflowPunct/>
        <w:topLinePunct w:val="0"/>
        <w:bidi w:val="0"/>
        <w:spacing w:before="91" w:line="440" w:lineRule="exact"/>
        <w:ind w:left="3"/>
        <w:rPr>
          <w:rFonts w:ascii="宋体" w:hAnsi="宋体" w:eastAsia="宋体" w:cs="宋体"/>
          <w:spacing w:val="-2"/>
          <w:position w:val="24"/>
          <w:sz w:val="28"/>
          <w:szCs w:val="28"/>
        </w:rPr>
      </w:pPr>
    </w:p>
    <w:p w14:paraId="6AD5CE09">
      <w:pPr>
        <w:pageBreakBefore w:val="0"/>
        <w:kinsoku/>
        <w:wordWrap/>
        <w:overflowPunct/>
        <w:topLinePunct w:val="0"/>
        <w:bidi w:val="0"/>
        <w:spacing w:before="91" w:line="440" w:lineRule="exact"/>
        <w:ind w:left="3"/>
        <w:rPr>
          <w:rFonts w:ascii="宋体" w:hAnsi="宋体" w:eastAsia="宋体" w:cs="宋体"/>
          <w:spacing w:val="-2"/>
          <w:position w:val="24"/>
          <w:sz w:val="28"/>
          <w:szCs w:val="28"/>
        </w:rPr>
      </w:pPr>
    </w:p>
    <w:p w14:paraId="627C2405">
      <w:pPr>
        <w:keepNext w:val="0"/>
        <w:keepLines w:val="0"/>
        <w:pageBreakBefore w:val="0"/>
        <w:widowControl w:val="0"/>
        <w:kinsoku/>
        <w:wordWrap/>
        <w:overflowPunct/>
        <w:topLinePunct w:val="0"/>
        <w:autoSpaceDE/>
        <w:autoSpaceDN/>
        <w:bidi w:val="0"/>
        <w:adjustRightInd/>
        <w:snapToGrid/>
        <w:spacing w:before="91" w:line="600" w:lineRule="exact"/>
        <w:ind w:left="1384" w:leftChars="2" w:hanging="1380" w:hangingChars="500"/>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eastAsia="zh-CN"/>
        </w:rPr>
        <w:t>项目名称：</w:t>
      </w:r>
      <w:r>
        <w:rPr>
          <w:rFonts w:hint="eastAsia" w:ascii="宋体" w:hAnsi="宋体" w:eastAsia="宋体" w:cs="宋体"/>
          <w:spacing w:val="-2"/>
          <w:position w:val="24"/>
          <w:sz w:val="28"/>
          <w:szCs w:val="28"/>
          <w:lang w:val="en-US" w:eastAsia="zh-CN"/>
        </w:rPr>
        <w:t>阿瓦提县路北延伸段道路改造提升扩建项目电力迁改工程施工合同段</w:t>
      </w:r>
    </w:p>
    <w:p w14:paraId="0A33CDEF">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招标人：</w:t>
      </w:r>
      <w:r>
        <w:rPr>
          <w:rFonts w:hint="eastAsia" w:ascii="宋体" w:hAnsi="宋体" w:eastAsia="宋体" w:cs="宋体"/>
          <w:spacing w:val="-2"/>
          <w:position w:val="24"/>
          <w:sz w:val="28"/>
          <w:szCs w:val="28"/>
          <w:lang w:val="en-US" w:eastAsia="zh-CN"/>
        </w:rPr>
        <w:t xml:space="preserve">阿瓦提县交通运输局 </w:t>
      </w:r>
    </w:p>
    <w:p w14:paraId="52BF1DE1">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法定代表人或授权委托人（签字或盖章）：</w:t>
      </w:r>
    </w:p>
    <w:p w14:paraId="72476DE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联系电话：</w:t>
      </w:r>
      <w:r>
        <w:rPr>
          <w:rFonts w:hint="eastAsia" w:ascii="宋体" w:hAnsi="宋体" w:eastAsia="宋体" w:cs="宋体"/>
          <w:spacing w:val="-2"/>
          <w:position w:val="24"/>
          <w:sz w:val="28"/>
          <w:szCs w:val="28"/>
          <w:lang w:val="en-US" w:eastAsia="zh-CN"/>
        </w:rPr>
        <w:t>0997-5121616</w:t>
      </w:r>
    </w:p>
    <w:p w14:paraId="4EC6AB1D">
      <w:pPr>
        <w:keepNext w:val="0"/>
        <w:keepLines w:val="0"/>
        <w:pageBreakBefore w:val="0"/>
        <w:widowControl w:val="0"/>
        <w:kinsoku/>
        <w:wordWrap/>
        <w:overflowPunct/>
        <w:topLinePunct w:val="0"/>
        <w:autoSpaceDE/>
        <w:autoSpaceDN/>
        <w:bidi w:val="0"/>
        <w:adjustRightInd/>
        <w:snapToGrid/>
        <w:spacing w:before="91" w:line="600" w:lineRule="exact"/>
        <w:textAlignment w:val="auto"/>
        <w:rPr>
          <w:rFonts w:ascii="宋体" w:hAnsi="宋体" w:eastAsia="宋体" w:cs="宋体"/>
          <w:spacing w:val="-2"/>
          <w:position w:val="24"/>
          <w:sz w:val="28"/>
          <w:szCs w:val="28"/>
        </w:rPr>
      </w:pPr>
    </w:p>
    <w:p w14:paraId="02171BB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p>
    <w:p w14:paraId="3DC3C476">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招标代理机构：新疆鹏辰鸿时建设工程管理服务有限公司</w:t>
      </w:r>
    </w:p>
    <w:p w14:paraId="60EA98BC">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法定代表人（签章）：</w:t>
      </w:r>
    </w:p>
    <w:p w14:paraId="256B3B91">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default"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项目联系人：马欢欢</w:t>
      </w:r>
    </w:p>
    <w:p w14:paraId="0199C9CD">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电 话：13</w:t>
      </w:r>
      <w:r>
        <w:rPr>
          <w:rFonts w:hint="eastAsia" w:ascii="宋体" w:hAnsi="宋体" w:cs="宋体"/>
          <w:spacing w:val="-2"/>
          <w:position w:val="24"/>
          <w:sz w:val="28"/>
          <w:szCs w:val="28"/>
          <w:lang w:val="en-US" w:eastAsia="zh-CN"/>
        </w:rPr>
        <w:t>8</w:t>
      </w:r>
      <w:r>
        <w:rPr>
          <w:rFonts w:hint="eastAsia" w:ascii="宋体" w:hAnsi="宋体" w:eastAsia="宋体" w:cs="宋体"/>
          <w:spacing w:val="-2"/>
          <w:position w:val="24"/>
          <w:sz w:val="28"/>
          <w:szCs w:val="28"/>
          <w:lang w:val="en-US" w:eastAsia="zh-CN"/>
        </w:rPr>
        <w:t>99223196</w:t>
      </w:r>
    </w:p>
    <w:p w14:paraId="39D19C4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联系地址：阿克苏市东工业园区前进东路（中国石油加油站旁）大楼二楼</w:t>
      </w:r>
    </w:p>
    <w:p w14:paraId="1A192D6A">
      <w:pPr>
        <w:pageBreakBefore w:val="0"/>
        <w:kinsoku/>
        <w:wordWrap/>
        <w:overflowPunct/>
        <w:topLinePunct w:val="0"/>
        <w:bidi w:val="0"/>
        <w:spacing w:line="440" w:lineRule="exact"/>
        <w:rPr>
          <w:rFonts w:ascii="宋体" w:hAnsi="宋体" w:eastAsia="宋体" w:cs="宋体"/>
          <w:sz w:val="28"/>
          <w:szCs w:val="28"/>
        </w:rPr>
      </w:pPr>
    </w:p>
    <w:p w14:paraId="1F38B105">
      <w:pPr>
        <w:pStyle w:val="2"/>
      </w:pPr>
    </w:p>
    <w:p w14:paraId="0572F531">
      <w:pPr>
        <w:pageBreakBefore w:val="0"/>
        <w:kinsoku/>
        <w:wordWrap/>
        <w:overflowPunct/>
        <w:topLinePunct w:val="0"/>
        <w:bidi w:val="0"/>
        <w:spacing w:before="101" w:line="440" w:lineRule="exact"/>
        <w:ind w:left="3607"/>
        <w:rPr>
          <w:rFonts w:ascii="宋体" w:hAnsi="宋体" w:eastAsia="宋体" w:cs="宋体"/>
          <w:sz w:val="28"/>
          <w:szCs w:val="28"/>
        </w:rPr>
        <w:sectPr>
          <w:pgSz w:w="11910" w:h="16840"/>
          <w:pgMar w:top="1431" w:right="1786" w:bottom="0" w:left="991" w:header="0" w:footer="0" w:gutter="0"/>
          <w:cols w:space="720" w:num="1"/>
        </w:sectPr>
      </w:pPr>
      <w:r>
        <w:rPr>
          <w:rFonts w:ascii="宋体" w:hAnsi="宋体" w:eastAsia="宋体" w:cs="宋体"/>
          <w:spacing w:val="8"/>
          <w:sz w:val="31"/>
          <w:szCs w:val="31"/>
          <w14:textOutline w14:w="5793" w14:cap="sq" w14:cmpd="sng">
            <w14:solidFill>
              <w14:srgbClr w14:val="000000"/>
            </w14:solidFill>
            <w14:prstDash w14:val="solid"/>
            <w14:bevel/>
          </w14:textOutline>
        </w:rPr>
        <w:t>二〇二</w:t>
      </w:r>
      <w:r>
        <w:rPr>
          <w:rFonts w:hint="eastAsia" w:ascii="宋体" w:hAnsi="宋体" w:cs="宋体"/>
          <w:spacing w:val="8"/>
          <w:sz w:val="31"/>
          <w:szCs w:val="31"/>
          <w:lang w:val="en-US" w:eastAsia="zh-CN"/>
          <w14:textOutline w14:w="5793" w14:cap="sq" w14:cmpd="sng">
            <w14:solidFill>
              <w14:srgbClr w14:val="000000"/>
            </w14:solidFill>
            <w14:prstDash w14:val="solid"/>
            <w14:bevel/>
          </w14:textOutline>
        </w:rPr>
        <w:t>五</w:t>
      </w:r>
      <w:r>
        <w:rPr>
          <w:rFonts w:ascii="宋体" w:hAnsi="宋体" w:eastAsia="宋体" w:cs="宋体"/>
          <w:spacing w:val="8"/>
          <w:sz w:val="31"/>
          <w:szCs w:val="31"/>
          <w14:textOutline w14:w="5793" w14:cap="sq" w14:cmpd="sng">
            <w14:solidFill>
              <w14:srgbClr w14:val="000000"/>
            </w14:solidFill>
            <w14:prstDash w14:val="solid"/>
            <w14:bevel/>
          </w14:textOutline>
        </w:rPr>
        <w:t>年</w:t>
      </w:r>
      <w:r>
        <w:rPr>
          <w:rFonts w:hint="eastAsia" w:ascii="宋体" w:hAnsi="宋体" w:cs="宋体"/>
          <w:spacing w:val="8"/>
          <w:sz w:val="31"/>
          <w:szCs w:val="31"/>
          <w:lang w:val="en-US" w:eastAsia="zh-CN"/>
          <w14:textOutline w14:w="5793" w14:cap="sq" w14:cmpd="sng">
            <w14:solidFill>
              <w14:srgbClr w14:val="000000"/>
            </w14:solidFill>
            <w14:prstDash w14:val="solid"/>
            <w14:bevel/>
          </w14:textOutline>
        </w:rPr>
        <w:t>四</w:t>
      </w:r>
      <w:r>
        <w:rPr>
          <w:rFonts w:ascii="宋体" w:hAnsi="宋体" w:eastAsia="宋体" w:cs="宋体"/>
          <w:spacing w:val="8"/>
          <w:sz w:val="31"/>
          <w:szCs w:val="31"/>
          <w14:textOutline w14:w="5793" w14:cap="sq" w14:cmpd="sng">
            <w14:solidFill>
              <w14:srgbClr w14:val="000000"/>
            </w14:solidFill>
            <w14:prstDash w14:val="solid"/>
            <w14:bevel/>
          </w14:textOutline>
        </w:rPr>
        <w:t>月</w:t>
      </w:r>
    </w:p>
    <w:p w14:paraId="188BD42C">
      <w:pPr>
        <w:rPr>
          <w:rFonts w:hint="eastAsia" w:ascii="宋体" w:hAnsi="宋体" w:eastAsia="宋体" w:cs="宋体"/>
          <w:color w:val="000000" w:themeColor="text1"/>
          <w:sz w:val="28"/>
          <w:szCs w:val="28"/>
          <w:highlight w:val="none"/>
          <w14:textFill>
            <w14:solidFill>
              <w14:schemeClr w14:val="tx1"/>
            </w14:solidFill>
          </w14:textFill>
        </w:rPr>
      </w:pPr>
    </w:p>
    <w:sdt>
      <w:sdtPr>
        <w:rPr>
          <w:rFonts w:ascii="宋体" w:hAnsi="宋体" w:eastAsia="宋体" w:cs="Times New Roman"/>
          <w:kern w:val="2"/>
          <w:sz w:val="21"/>
          <w:szCs w:val="22"/>
          <w:lang w:val="en-US" w:eastAsia="zh-CN" w:bidi="ar-SA"/>
        </w:rPr>
        <w:id w:val="147465681"/>
        <w15:color w:val="DBDBDB"/>
        <w:docPartObj>
          <w:docPartGallery w:val="Table of Contents"/>
          <w:docPartUnique/>
        </w:docPartObj>
      </w:sdtPr>
      <w:sdtEndPr>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sdtEndPr>
      <w:sdtContent>
        <w:p w14:paraId="09E8A7DB">
          <w:pPr>
            <w:spacing w:before="0" w:beforeLines="0" w:after="0" w:afterLines="0" w:line="480" w:lineRule="auto"/>
            <w:ind w:left="0" w:leftChars="0" w:right="0" w:rightChars="0" w:firstLine="0" w:firstLineChars="0"/>
            <w:jc w:val="center"/>
            <w:rPr>
              <w:b/>
              <w:bCs/>
              <w:sz w:val="28"/>
              <w:szCs w:val="32"/>
            </w:rPr>
          </w:pPr>
          <w:r>
            <w:rPr>
              <w:rFonts w:ascii="宋体" w:hAnsi="宋体" w:eastAsia="宋体"/>
              <w:b/>
              <w:bCs/>
              <w:sz w:val="28"/>
              <w:szCs w:val="32"/>
            </w:rPr>
            <w:t>目录</w:t>
          </w:r>
        </w:p>
        <w:p w14:paraId="2B6A5703">
          <w:pPr>
            <w:pStyle w:val="34"/>
            <w:tabs>
              <w:tab w:val="right" w:leader="dot" w:pos="8306"/>
            </w:tabs>
            <w:spacing w:line="480" w:lineRule="auto"/>
            <w:rPr>
              <w:sz w:val="22"/>
              <w:szCs w:val="22"/>
            </w:rPr>
          </w:pP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begin"/>
          </w:r>
          <w:r>
            <w:rPr>
              <w:rFonts w:hint="default" w:ascii="宋体" w:hAnsi="宋体" w:eastAsia="宋体" w:cs="宋体"/>
              <w:color w:val="000000" w:themeColor="text1"/>
              <w:sz w:val="36"/>
              <w:szCs w:val="36"/>
              <w:highlight w:val="none"/>
              <w:lang w:val="en-US" w:eastAsia="zh-CN"/>
              <w14:textFill>
                <w14:solidFill>
                  <w14:schemeClr w14:val="tx1"/>
                </w14:solidFill>
              </w14:textFill>
            </w:rPr>
            <w:instrText xml:space="preserve">TOC \o "1-1" \h \u </w:instrText>
          </w: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separate"/>
          </w:r>
        </w:p>
        <w:p w14:paraId="69901DD1">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_Toc21046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kern w:val="2"/>
              <w:sz w:val="32"/>
              <w:szCs w:val="56"/>
              <w:lang w:val="en-US" w:eastAsia="zh-CN" w:bidi="ar-SA"/>
            </w:rPr>
            <w:t xml:space="preserve">第一章 </w:t>
          </w:r>
          <w:r>
            <w:rPr>
              <w:rFonts w:hint="eastAsia" w:ascii="宋体" w:hAnsi="宋体" w:eastAsia="宋体" w:cs="宋体"/>
              <w:bCs/>
              <w:kern w:val="2"/>
              <w:sz w:val="32"/>
              <w:szCs w:val="56"/>
              <w:highlight w:val="none"/>
              <w:lang w:val="en-US" w:eastAsia="zh-CN" w:bidi="ar-SA"/>
            </w:rPr>
            <w:t>竞争性谈判公告</w:t>
          </w:r>
          <w:r>
            <w:rPr>
              <w:sz w:val="32"/>
              <w:szCs w:val="32"/>
            </w:rPr>
            <w:tab/>
          </w:r>
          <w:r>
            <w:rPr>
              <w:sz w:val="32"/>
              <w:szCs w:val="32"/>
            </w:rPr>
            <w:fldChar w:fldCharType="begin"/>
          </w:r>
          <w:r>
            <w:rPr>
              <w:sz w:val="32"/>
              <w:szCs w:val="32"/>
            </w:rPr>
            <w:instrText xml:space="preserve"> PAGEREF _Toc21046 \h </w:instrText>
          </w:r>
          <w:r>
            <w:rPr>
              <w:sz w:val="32"/>
              <w:szCs w:val="32"/>
            </w:rPr>
            <w:fldChar w:fldCharType="separate"/>
          </w:r>
          <w:r>
            <w:rPr>
              <w:sz w:val="32"/>
              <w:szCs w:val="32"/>
            </w:rPr>
            <w:t>1</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00D8BA21">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_Toc27388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第二章  供应商须知</w:t>
          </w:r>
          <w:r>
            <w:rPr>
              <w:sz w:val="32"/>
              <w:szCs w:val="32"/>
            </w:rPr>
            <w:tab/>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4</w:t>
          </w:r>
        </w:p>
        <w:p w14:paraId="39446FE8">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_Toc7146 </w:instrText>
          </w:r>
          <w:r>
            <w:rPr>
              <w:rFonts w:hint="default" w:ascii="宋体" w:hAnsi="宋体" w:eastAsia="宋体" w:cs="宋体"/>
              <w:sz w:val="32"/>
              <w:szCs w:val="48"/>
              <w:highlight w:val="none"/>
              <w:lang w:val="en-US" w:eastAsia="zh-CN"/>
            </w:rPr>
            <w:fldChar w:fldCharType="separate"/>
          </w:r>
          <w:r>
            <w:rPr>
              <w:rFonts w:hint="eastAsia" w:ascii="宋体" w:hAnsi="宋体" w:cs="宋体"/>
              <w:bCs/>
              <w:sz w:val="32"/>
              <w:szCs w:val="160"/>
              <w:highlight w:val="none"/>
              <w:lang w:val="en-US" w:eastAsia="zh-CN"/>
            </w:rPr>
            <w:t xml:space="preserve">第三章 </w:t>
          </w:r>
          <w:r>
            <w:rPr>
              <w:rFonts w:hint="eastAsia" w:ascii="宋体" w:hAnsi="宋体" w:eastAsia="宋体" w:cs="宋体"/>
              <w:bCs/>
              <w:sz w:val="32"/>
              <w:szCs w:val="160"/>
              <w:highlight w:val="none"/>
              <w:lang w:val="en-US" w:eastAsia="zh-CN"/>
            </w:rPr>
            <w:t>工程量清单</w:t>
          </w:r>
          <w:r>
            <w:rPr>
              <w:sz w:val="32"/>
              <w:szCs w:val="32"/>
            </w:rPr>
            <w:tab/>
          </w:r>
          <w:r>
            <w:rPr>
              <w:sz w:val="32"/>
              <w:szCs w:val="32"/>
            </w:rPr>
            <w:fldChar w:fldCharType="begin"/>
          </w:r>
          <w:r>
            <w:rPr>
              <w:sz w:val="32"/>
              <w:szCs w:val="32"/>
            </w:rPr>
            <w:instrText xml:space="preserve"> PAGEREF _Toc7146 \h </w:instrText>
          </w:r>
          <w:r>
            <w:rPr>
              <w:sz w:val="32"/>
              <w:szCs w:val="32"/>
            </w:rPr>
            <w:fldChar w:fldCharType="separate"/>
          </w:r>
          <w:r>
            <w:rPr>
              <w:sz w:val="32"/>
              <w:szCs w:val="32"/>
            </w:rPr>
            <w:t>33</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2BC22407">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_Toc14028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四</w:t>
          </w:r>
          <w:r>
            <w:rPr>
              <w:rFonts w:hint="eastAsia" w:ascii="宋体" w:hAnsi="宋体" w:eastAsia="宋体" w:cs="宋体"/>
              <w:bCs/>
              <w:sz w:val="32"/>
              <w:szCs w:val="56"/>
              <w:highlight w:val="none"/>
            </w:rPr>
            <w:t>章  评</w:t>
          </w:r>
          <w:r>
            <w:rPr>
              <w:rFonts w:hint="eastAsia" w:ascii="宋体" w:hAnsi="宋体" w:eastAsia="宋体" w:cs="宋体"/>
              <w:bCs/>
              <w:sz w:val="32"/>
              <w:szCs w:val="56"/>
              <w:highlight w:val="none"/>
              <w:lang w:eastAsia="zh-CN"/>
            </w:rPr>
            <w:t>审</w:t>
          </w:r>
          <w:r>
            <w:rPr>
              <w:rFonts w:hint="eastAsia" w:ascii="宋体" w:hAnsi="宋体" w:eastAsia="宋体" w:cs="宋体"/>
              <w:bCs/>
              <w:sz w:val="32"/>
              <w:szCs w:val="56"/>
              <w:highlight w:val="none"/>
            </w:rPr>
            <w:t>办法</w:t>
          </w:r>
          <w:r>
            <w:rPr>
              <w:sz w:val="32"/>
              <w:szCs w:val="32"/>
            </w:rPr>
            <w:tab/>
          </w:r>
          <w:r>
            <w:rPr>
              <w:rFonts w:hint="eastAsia"/>
              <w:sz w:val="32"/>
              <w:szCs w:val="32"/>
              <w:lang w:val="en-US" w:eastAsia="zh-CN"/>
            </w:rPr>
            <w:t>6</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2</w:t>
          </w:r>
        </w:p>
        <w:p w14:paraId="4A62E6B4">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_Toc14261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rPr>
            <w:t xml:space="preserve">第五章 </w:t>
          </w:r>
          <w:r>
            <w:rPr>
              <w:rFonts w:hint="eastAsia" w:ascii="宋体" w:hAnsi="宋体" w:eastAsia="宋体" w:cs="宋体"/>
              <w:bCs/>
              <w:sz w:val="32"/>
              <w:szCs w:val="56"/>
              <w:highlight w:val="none"/>
            </w:rPr>
            <w:t>签订合同、合同主要条款</w:t>
          </w:r>
          <w:r>
            <w:rPr>
              <w:sz w:val="32"/>
              <w:szCs w:val="32"/>
            </w:rPr>
            <w:tab/>
          </w:r>
          <w:r>
            <w:rPr>
              <w:sz w:val="32"/>
              <w:szCs w:val="32"/>
            </w:rPr>
            <w:fldChar w:fldCharType="begin"/>
          </w:r>
          <w:r>
            <w:rPr>
              <w:sz w:val="32"/>
              <w:szCs w:val="32"/>
            </w:rPr>
            <w:instrText xml:space="preserve"> PAGEREF _Toc14261 \h </w:instrText>
          </w:r>
          <w:r>
            <w:rPr>
              <w:sz w:val="32"/>
              <w:szCs w:val="32"/>
            </w:rPr>
            <w:fldChar w:fldCharType="separate"/>
          </w:r>
          <w:r>
            <w:rPr>
              <w:sz w:val="32"/>
              <w:szCs w:val="32"/>
            </w:rPr>
            <w:t>44</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165D52B1">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_Toc2402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六</w:t>
          </w:r>
          <w:r>
            <w:rPr>
              <w:rFonts w:hint="eastAsia" w:ascii="宋体" w:hAnsi="宋体" w:eastAsia="宋体" w:cs="宋体"/>
              <w:bCs/>
              <w:sz w:val="32"/>
              <w:szCs w:val="56"/>
              <w:highlight w:val="none"/>
            </w:rPr>
            <w:t>章  响应文件格式</w:t>
          </w:r>
          <w:r>
            <w:rPr>
              <w:sz w:val="32"/>
              <w:szCs w:val="32"/>
            </w:rPr>
            <w:tab/>
          </w:r>
          <w:r>
            <w:rPr>
              <w:rFonts w:hint="eastAsia"/>
              <w:sz w:val="32"/>
              <w:szCs w:val="32"/>
              <w:lang w:val="en-US" w:eastAsia="zh-CN"/>
            </w:rPr>
            <w:t>8</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2</w:t>
          </w:r>
        </w:p>
        <w:p w14:paraId="1D754094">
          <w:pPr>
            <w:tabs>
              <w:tab w:val="right" w:leader="dot" w:pos="8320"/>
            </w:tabs>
            <w:spacing w:before="91" w:line="480" w:lineRule="auto"/>
            <w:ind w:left="25"/>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sectPr>
              <w:pgSz w:w="11906" w:h="16838"/>
              <w:pgMar w:top="1440" w:right="1800" w:bottom="1440" w:left="1800" w:header="851" w:footer="992" w:gutter="0"/>
              <w:pgNumType w:fmt="decimal" w:start="1"/>
              <w:cols w:space="720" w:num="1"/>
              <w:docGrid w:type="lines" w:linePitch="312" w:charSpace="0"/>
            </w:sectPr>
          </w:pPr>
          <w:r>
            <w:rPr>
              <w:rFonts w:hint="default" w:ascii="宋体" w:hAnsi="宋体" w:eastAsia="宋体" w:cs="宋体"/>
              <w:color w:val="000000" w:themeColor="text1"/>
              <w:sz w:val="24"/>
              <w:szCs w:val="36"/>
              <w:highlight w:val="none"/>
              <w:lang w:val="en-US" w:eastAsia="zh-CN"/>
              <w14:textFill>
                <w14:solidFill>
                  <w14:schemeClr w14:val="tx1"/>
                </w14:solidFill>
              </w14:textFill>
            </w:rPr>
            <w:fldChar w:fldCharType="end"/>
          </w:r>
          <w:bookmarkStart w:id="12" w:name="_Toc21046"/>
        </w:p>
      </w:sdtContent>
    </w:sdt>
    <w:p w14:paraId="1A2959C6">
      <w:pPr>
        <w:pStyle w:val="1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leftChars="0" w:right="0" w:rightChars="0"/>
        <w:jc w:val="center"/>
        <w:outlineLvl w:val="0"/>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36"/>
          <w:szCs w:val="36"/>
          <w:lang w:val="en-US" w:eastAsia="zh-CN" w:bidi="ar-SA"/>
          <w14:textFill>
            <w14:solidFill>
              <w14:schemeClr w14:val="tx1"/>
            </w14:solidFill>
          </w14:textFill>
        </w:rPr>
        <w:t>第一章</w:t>
      </w:r>
      <w:r>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t>竞争性谈判公告</w:t>
      </w:r>
      <w:bookmarkEnd w:id="12"/>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0CC26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trPr>
        <w:tc>
          <w:tcPr>
            <w:tcW w:w="9286" w:type="dxa"/>
            <w:noWrap w:val="0"/>
            <w:vAlign w:val="top"/>
          </w:tcPr>
          <w:p w14:paraId="40DE3D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项目概况：</w:t>
            </w:r>
          </w:p>
          <w:p w14:paraId="2E593BA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480" w:firstLineChars="2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u w:val="single"/>
                <w:lang w:val="en-US" w:eastAsia="zh-CN" w:bidi="ar-SA"/>
                <w14:textFill>
                  <w14:solidFill>
                    <w14:schemeClr w14:val="tx1"/>
                  </w14:solidFill>
                </w14:textFill>
              </w:rPr>
              <w:t>阿瓦提县路北延伸段道路改造提升扩建项目电力迁改工程施工合同段</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的潜在投标人应在政采云平台线上获取招标文件，并于2025年04月08日上午10点30分（北京时间）前提交投标文件。</w:t>
            </w:r>
          </w:p>
        </w:tc>
      </w:tr>
    </w:tbl>
    <w:p w14:paraId="10A158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bookmarkStart w:id="13" w:name="_Toc27403_WPSOffice_Level2"/>
      <w:bookmarkStart w:id="14" w:name="_Toc17164_WPSOffice_Level2"/>
      <w:bookmarkStart w:id="15" w:name="_Toc16884_WPSOffice_Level2"/>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一、项目基本情况</w:t>
      </w:r>
      <w:bookmarkEnd w:id="13"/>
      <w:bookmarkEnd w:id="14"/>
      <w:bookmarkEnd w:id="15"/>
    </w:p>
    <w:p w14:paraId="2E86F1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项目编号：AWT-20250110</w:t>
      </w:r>
    </w:p>
    <w:p w14:paraId="33BB808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项目名称：阿瓦提县路北延伸段道路改造提升扩建项目电力迁改工程施工合同段</w:t>
      </w:r>
    </w:p>
    <w:p w14:paraId="1C40260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采购方式：竞争性谈判</w:t>
      </w:r>
    </w:p>
    <w:p w14:paraId="36B5E1C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预算金额（元）：2399800元</w:t>
      </w:r>
    </w:p>
    <w:p w14:paraId="02EE6C1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最高限价（元）：2267316.15元</w:t>
      </w:r>
    </w:p>
    <w:p w14:paraId="1AEC7488">
      <w:pPr>
        <w:adjustRightInd w:val="0"/>
        <w:snapToGrid w:val="0"/>
        <w:spacing w:line="32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采购需求：对阿瓦提县路北延伸段道路改造提升扩建项目18.85公里路段沿线电力设施进行迁改.（具体参数内容详见采购清单）。</w:t>
      </w:r>
    </w:p>
    <w:p w14:paraId="69BE67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合同履约期限：计划工期90日历天（具体以与业主签订合同为准）。</w:t>
      </w:r>
    </w:p>
    <w:p w14:paraId="322E9A7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本项目（是/否）接受联合体投标：否</w:t>
      </w:r>
    </w:p>
    <w:p w14:paraId="2B197FF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bookmarkStart w:id="16" w:name="_Toc4282_WPSOffice_Level2"/>
      <w:bookmarkStart w:id="17" w:name="_Toc612_WPSOffice_Level2"/>
      <w:bookmarkStart w:id="18" w:name="_Toc19743_WPSOffice_Level2"/>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二、申请人的资格要求：</w:t>
      </w:r>
      <w:bookmarkEnd w:id="16"/>
      <w:bookmarkEnd w:id="17"/>
      <w:bookmarkEnd w:id="18"/>
    </w:p>
    <w:p w14:paraId="1030E9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14:paraId="1EDBE6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2.落实政府采购政策需满足的资格要求：本项目专门面向中小企业。</w:t>
      </w:r>
    </w:p>
    <w:p w14:paraId="60C87F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3.本项目的资格要求：</w:t>
      </w:r>
    </w:p>
    <w:p w14:paraId="56467505">
      <w:pPr>
        <w:keepNext w:val="0"/>
        <w:keepLines w:val="0"/>
        <w:widowControl/>
        <w:suppressLineNumbers w:val="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w:t>
      </w:r>
      <w:r>
        <w:rPr>
          <w:rFonts w:hint="eastAsia" w:ascii="仿宋" w:hAnsi="仿宋" w:eastAsia="仿宋" w:cs="仿宋"/>
          <w:color w:val="000000" w:themeColor="text1"/>
          <w:kern w:val="0"/>
          <w:sz w:val="24"/>
          <w:szCs w:val="24"/>
          <w:lang w:val="en-US" w:eastAsia="zh-CN" w:bidi="ar"/>
          <w14:textFill>
            <w14:solidFill>
              <w14:schemeClr w14:val="tx1"/>
            </w14:solidFill>
          </w14:textFill>
        </w:rPr>
        <w:t>具有独立承担民事责任的能力：提供在中华人民共和国境内注册的法人或其他组织的营业执照或事业单位法人证书或社会团体法人登记证书复印件，如投标人为自然人的提供自然人身份证明复印件；</w:t>
      </w:r>
    </w:p>
    <w:p w14:paraId="1A7777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14:paraId="6E9DA9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14:paraId="282EC05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p w14:paraId="0EF1134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14:paraId="4C0B0D1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136178D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2D1FC0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14:paraId="504FDB1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9）供应商须具备电力工程施工总承包叁级[含]以上资质或输变电工程专业承包叁级[含]以上资质，同时具备承装类《承装(修、试)电力设施许可证四级及以上》；项目负责人须具备机电工程二级及以上注册建造师执业资格，具有合格有效的安全生产考核合格证。且未担任其他在施建设工程项目的项目负责人。</w:t>
      </w:r>
    </w:p>
    <w:p w14:paraId="67D542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（10）本项目不接受联合体投标。</w:t>
      </w:r>
    </w:p>
    <w:p w14:paraId="27C71F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三、获取采购文件</w:t>
      </w:r>
    </w:p>
    <w:p w14:paraId="763B4D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时间：2025年04月02日至2025年04月07日，每天上午10:00至14:00，下午15:30至19:30（北京时间，法定节假日除外）</w:t>
      </w:r>
    </w:p>
    <w:p w14:paraId="0605B3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地点：政采云平台线上获取  </w:t>
      </w:r>
    </w:p>
    <w:p w14:paraId="1B77FA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方式：供应商登录政采云平台https://www.zcygov.cn/在线申请获取采购文件（进入“项目采购”应用，在获取采购文件菜单中选择项目，申请获取采购文件）  </w:t>
      </w:r>
    </w:p>
    <w:p w14:paraId="006EB6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售价（元）：0 </w:t>
      </w:r>
    </w:p>
    <w:p w14:paraId="28B200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四、响应文件提交</w:t>
      </w:r>
    </w:p>
    <w:p w14:paraId="78746A9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截止时间：2025年04月08日 10:30（北京时间）</w:t>
      </w:r>
    </w:p>
    <w:p w14:paraId="4028B72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地点：请登录政采云投标客户端投标 </w:t>
      </w:r>
    </w:p>
    <w:p w14:paraId="0205138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五、响应文件开启</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w:t>
      </w:r>
    </w:p>
    <w:p w14:paraId="04915E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开启时间：2025年04月08日 10:30（北京时间）</w:t>
      </w:r>
    </w:p>
    <w:p w14:paraId="2DBB81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地点：政采云不见面开评标系统 </w:t>
      </w:r>
    </w:p>
    <w:p w14:paraId="0C06B1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六、公告期限</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w:t>
      </w:r>
    </w:p>
    <w:p w14:paraId="5543B1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自本公告发布之日起3个工作日。</w:t>
      </w:r>
    </w:p>
    <w:p w14:paraId="358AA6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七、其他补充事宜 </w:t>
      </w:r>
    </w:p>
    <w:p w14:paraId="6DBA8E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1、本公告在新疆政府采购网上发布。</w:t>
      </w:r>
    </w:p>
    <w:p w14:paraId="3345DE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2、请各供应商随时关注本项目的变更、答疑、澄清文件。</w:t>
      </w:r>
    </w:p>
    <w:p w14:paraId="53A0D01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3、本项目实行电子招投标，供应商须登录政采云平台申请获取谈判文件，并通过政采云电子投标客户端制作响应文件，同时自行承担与投标有关的一切费用。　</w:t>
      </w:r>
    </w:p>
    <w:p w14:paraId="7C496B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　</w:t>
      </w:r>
    </w:p>
    <w:p w14:paraId="43129D1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供应商可前往新疆政府采购网上（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2F71A4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6、本项目采用不见面开标，供应商须在投标截止时间前通过CA在政采云平台上传加密的电子响应文件。</w:t>
      </w:r>
    </w:p>
    <w:p w14:paraId="0E3402F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14:paraId="4AEC67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特别提示：</w:t>
      </w:r>
    </w:p>
    <w:p w14:paraId="05E350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405C45C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2、超过200万元的货物和服务采购项目，预留该部分采购项目预算总额的40%以上专门面向中小企业采购，其中预留给小微企业的比例不低于60%。</w:t>
      </w:r>
    </w:p>
    <w:p w14:paraId="55DE6C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4AF2EA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21050E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142D25A">
      <w:pPr>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480" w:lineRule="atLeast"/>
        <w:ind w:left="0" w:right="0"/>
        <w:jc w:val="both"/>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八、凡对本次招标提出询问，请按以下方式联系</w:t>
      </w:r>
    </w:p>
    <w:p w14:paraId="39FDC8F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1.采购人信息</w:t>
      </w:r>
    </w:p>
    <w:p w14:paraId="5D513A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名 称：阿瓦提县交通运输局   </w:t>
      </w:r>
    </w:p>
    <w:p w14:paraId="7747A65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地 址：阿瓦提县光明中路56号 </w:t>
      </w:r>
    </w:p>
    <w:p w14:paraId="09E128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联系方式：0997-5121616</w:t>
      </w:r>
    </w:p>
    <w:p w14:paraId="2FEF829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2.采购代理机构信息</w:t>
      </w:r>
    </w:p>
    <w:p w14:paraId="02FB30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名 称：新疆鹏辰鸿时建设工程管理服务有限公司</w:t>
      </w:r>
    </w:p>
    <w:p w14:paraId="19B2D6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地 址：阿克苏市东工业园区前进东路（中国石油加油站旁）大楼二楼</w:t>
      </w:r>
    </w:p>
    <w:p w14:paraId="1CD465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联系方式：13899223196</w:t>
      </w:r>
    </w:p>
    <w:p w14:paraId="498392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3.项目联系方式</w:t>
      </w:r>
    </w:p>
    <w:p w14:paraId="29FB4C0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项目联系人：马欢欢</w:t>
      </w:r>
    </w:p>
    <w:p w14:paraId="1FEF7B5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电 话：13899223196</w:t>
      </w:r>
    </w:p>
    <w:p w14:paraId="027B857A">
      <w:pPr>
        <w:rPr>
          <w:rFonts w:hint="eastAsia" w:ascii="仿宋" w:hAnsi="仿宋" w:eastAsia="仿宋" w:cs="仿宋"/>
          <w:sz w:val="24"/>
          <w:szCs w:val="24"/>
        </w:rPr>
      </w:pPr>
    </w:p>
    <w:p w14:paraId="296EEAC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65C2355C">
      <w:pPr>
        <w:pStyle w:val="3"/>
        <w:spacing w:before="0" w:after="0" w:line="240" w:lineRule="auto"/>
        <w:jc w:val="both"/>
        <w:outlineLvl w:val="9"/>
        <w:rPr>
          <w:rFonts w:hint="eastAsia" w:ascii="宋体" w:hAnsi="宋体" w:eastAsia="宋体" w:cs="宋体"/>
          <w:color w:val="000000" w:themeColor="text1"/>
          <w:highlight w:val="none"/>
          <w:lang w:eastAsia="zh-CN"/>
          <w14:textFill>
            <w14:solidFill>
              <w14:schemeClr w14:val="tx1"/>
            </w14:solidFill>
          </w14:textFill>
        </w:rPr>
      </w:pPr>
    </w:p>
    <w:p w14:paraId="00D6DCE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themeColor="text1"/>
          <w:highlight w:val="none"/>
          <w14:textFill>
            <w14:solidFill>
              <w14:schemeClr w14:val="tx1"/>
            </w14:solidFill>
          </w14:textFill>
        </w:rPr>
      </w:pPr>
    </w:p>
    <w:p w14:paraId="650517E6">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br w:type="page"/>
      </w:r>
      <w:bookmarkStart w:id="19" w:name="_Toc32236"/>
      <w:bookmarkStart w:id="20" w:name="_Toc19008"/>
      <w:bookmarkStart w:id="21" w:name="_Toc27388"/>
      <w:bookmarkStart w:id="22" w:name="_Toc22941"/>
      <w:bookmarkStart w:id="23" w:name="_Toc90"/>
      <w:bookmarkStart w:id="24" w:name="_Toc15962"/>
      <w:bookmarkStart w:id="25" w:name="_Toc8236"/>
      <w:bookmarkStart w:id="26" w:name="_Toc23817"/>
      <w:r>
        <w:rPr>
          <w:rFonts w:hint="eastAsia" w:ascii="宋体" w:hAnsi="宋体" w:eastAsia="宋体" w:cs="宋体"/>
          <w:b/>
          <w:bCs/>
          <w:color w:val="000000" w:themeColor="text1"/>
          <w:sz w:val="36"/>
          <w:szCs w:val="36"/>
          <w:highlight w:val="none"/>
          <w14:textFill>
            <w14:solidFill>
              <w14:schemeClr w14:val="tx1"/>
            </w14:solidFill>
          </w14:textFill>
        </w:rPr>
        <w:t>第二章  供应商须知</w:t>
      </w:r>
      <w:bookmarkEnd w:id="8"/>
      <w:bookmarkEnd w:id="19"/>
      <w:bookmarkEnd w:id="20"/>
      <w:bookmarkEnd w:id="21"/>
      <w:bookmarkEnd w:id="22"/>
      <w:bookmarkEnd w:id="23"/>
      <w:bookmarkEnd w:id="24"/>
      <w:bookmarkEnd w:id="25"/>
      <w:bookmarkEnd w:id="26"/>
    </w:p>
    <w:tbl>
      <w:tblPr>
        <w:tblStyle w:val="19"/>
        <w:tblW w:w="9612" w:type="dxa"/>
        <w:tblInd w:w="-453" w:type="dxa"/>
        <w:tblLayout w:type="fixed"/>
        <w:tblCellMar>
          <w:top w:w="0" w:type="dxa"/>
          <w:left w:w="108" w:type="dxa"/>
          <w:bottom w:w="0" w:type="dxa"/>
          <w:right w:w="108" w:type="dxa"/>
        </w:tblCellMar>
      </w:tblPr>
      <w:tblGrid>
        <w:gridCol w:w="916"/>
        <w:gridCol w:w="1378"/>
        <w:gridCol w:w="7318"/>
      </w:tblGrid>
      <w:tr w14:paraId="5E58581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B46251C">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序号</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C5BACE6">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条款名称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9C6255B">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编列内容</w:t>
            </w:r>
          </w:p>
        </w:tc>
      </w:tr>
      <w:tr w14:paraId="47218A55">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FF9044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CB857D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B19628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名称：</w:t>
            </w:r>
            <w:r>
              <w:rPr>
                <w:rFonts w:hint="eastAsia" w:ascii="宋体" w:hAnsi="宋体" w:cs="宋体"/>
                <w:color w:val="000000" w:themeColor="text1"/>
                <w:sz w:val="24"/>
                <w:szCs w:val="24"/>
                <w:highlight w:val="none"/>
                <w:lang w:val="zh-CN" w:eastAsia="zh-CN"/>
                <w14:textFill>
                  <w14:solidFill>
                    <w14:schemeClr w14:val="tx1"/>
                  </w14:solidFill>
                </w14:textFill>
              </w:rPr>
              <w:t xml:space="preserve">阿瓦提县交通运输局   </w:t>
            </w:r>
          </w:p>
          <w:p w14:paraId="377174CF">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 xml:space="preserve">地址：阿瓦提县光明中路56号 </w:t>
            </w:r>
          </w:p>
          <w:p w14:paraId="09151DC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r>
              <w:rPr>
                <w:rFonts w:hint="eastAsia" w:ascii="宋体" w:hAnsi="宋体" w:eastAsia="宋体" w:cs="宋体"/>
                <w:color w:val="000000" w:themeColor="text1"/>
                <w:sz w:val="24"/>
                <w:szCs w:val="24"/>
                <w:highlight w:val="none"/>
                <w:lang w:val="en-US" w:eastAsia="zh-CN"/>
                <w14:textFill>
                  <w14:solidFill>
                    <w14:schemeClr w14:val="tx1"/>
                  </w14:solidFill>
                </w14:textFill>
              </w:rPr>
              <w:t>0997-5121616</w:t>
            </w:r>
          </w:p>
          <w:p w14:paraId="45CC02FB">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cs="宋体"/>
                <w:color w:val="000000" w:themeColor="text1"/>
                <w:sz w:val="24"/>
                <w:szCs w:val="24"/>
                <w:highlight w:val="none"/>
                <w:lang w:val="en-US" w:eastAsia="zh-CN"/>
                <w14:textFill>
                  <w14:solidFill>
                    <w14:schemeClr w14:val="tx1"/>
                  </w14:solidFill>
                </w14:textFill>
              </w:rPr>
              <w:t>张晓龙</w:t>
            </w:r>
          </w:p>
        </w:tc>
      </w:tr>
      <w:tr w14:paraId="5009CA0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18586CA">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294C41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5B4CDE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称：新疆鹏辰鸿时建设工程管理服务有限公司</w:t>
            </w:r>
          </w:p>
          <w:p w14:paraId="6FDF942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地  址：阿克苏市东工业园区前进东路（中国石油加油站旁）大楼二楼</w:t>
            </w:r>
            <w:bookmarkStart w:id="324" w:name="_GoBack"/>
            <w:bookmarkEnd w:id="324"/>
            <w:permStart w:id="1" w:edGrp="everyone"/>
            <w:permEnd w:id="1"/>
          </w:p>
          <w:p w14:paraId="46EBF24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联系人：马欢欢  </w:t>
            </w:r>
          </w:p>
          <w:p w14:paraId="75C5C5DC">
            <w:pPr>
              <w:keepNext w:val="0"/>
              <w:keepLines w:val="0"/>
              <w:pageBreakBefore w:val="0"/>
              <w:widowControl w:val="0"/>
              <w:kinsoku/>
              <w:overflowPunct/>
              <w:topLinePunct w:val="0"/>
              <w:bidi w:val="0"/>
              <w:snapToGrid/>
              <w:spacing w:before="63" w:beforeLines="20" w:line="288" w:lineRule="auto"/>
              <w:textAlignment w:val="auto"/>
              <w:rPr>
                <w:rFonts w:hint="eastAsia"/>
                <w:lang w:val="en-US"/>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  话：13899223196</w:t>
            </w:r>
          </w:p>
        </w:tc>
      </w:tr>
      <w:tr w14:paraId="38EC1718">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E0A0624">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024A3D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2BBE7F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阿瓦提县路北延伸段道路改造提升扩建项目电力迁改工程施工合同段</w:t>
            </w:r>
          </w:p>
        </w:tc>
      </w:tr>
      <w:tr w14:paraId="18CEA66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AD04A7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2C5E91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项目编号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7DC42A8">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AWT-20250110</w:t>
            </w:r>
          </w:p>
        </w:tc>
      </w:tr>
      <w:tr w14:paraId="2323B17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99348A7">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90AD19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8B97C5D">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县级财政自筹资金</w:t>
            </w:r>
          </w:p>
        </w:tc>
      </w:tr>
      <w:tr w14:paraId="55F14D1D">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DF217EA">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5D71B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D2E1B3">
            <w:pPr>
              <w:adjustRightInd w:val="0"/>
              <w:snapToGrid w:val="0"/>
              <w:spacing w:line="32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对阿瓦提县路北延伸段道路改造提升扩建项目18.85公里路段沿线电力设施进行迁改（具体参数内容详见</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采购需求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tc>
      </w:tr>
      <w:tr w14:paraId="30F2153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82F3E67">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EF61F9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最高限价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4589A7C">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2267316.15</w:t>
            </w:r>
            <w:r>
              <w:rPr>
                <w:rFonts w:hint="eastAsia" w:ascii="宋体" w:hAnsi="宋体" w:eastAsia="宋体" w:cs="宋体"/>
                <w:color w:val="000000" w:themeColor="text1"/>
                <w:kern w:val="0"/>
                <w:sz w:val="24"/>
                <w:szCs w:val="24"/>
                <w:highlight w:val="none"/>
                <w:shd w:val="clear" w:color="auto" w:fill="FFFFFF"/>
                <w:lang w:val="en-US" w:eastAsia="zh-CN"/>
                <w14:textFill>
                  <w14:solidFill>
                    <w14:schemeClr w14:val="tx1"/>
                  </w14:solidFill>
                </w14:textFill>
              </w:rPr>
              <w:t>元</w:t>
            </w: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（此采购金额为最高限价，如超过预算价的报价为无效报价）</w:t>
            </w:r>
          </w:p>
        </w:tc>
      </w:tr>
      <w:tr w14:paraId="4A4862C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E9EB53D">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F303C14">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cs="宋体"/>
                <w:i w:val="0"/>
                <w:iCs w:val="0"/>
                <w:caps w:val="0"/>
                <w:color w:val="000000" w:themeColor="text1"/>
                <w:spacing w:val="0"/>
                <w:sz w:val="24"/>
                <w:szCs w:val="24"/>
                <w:highlight w:val="none"/>
                <w:lang w:val="en-US" w:eastAsia="zh-CN"/>
                <w14:textFill>
                  <w14:solidFill>
                    <w14:schemeClr w14:val="tx1"/>
                  </w14:solidFill>
                </w14:textFill>
              </w:rPr>
              <w:t>计划工期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CA589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计划工期：90日历天（实际以约定合同为准）</w:t>
            </w:r>
          </w:p>
        </w:tc>
      </w:tr>
      <w:tr w14:paraId="698B5F0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6565A7A0">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70DBB6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质量要求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57259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合格</w:t>
            </w:r>
          </w:p>
        </w:tc>
      </w:tr>
      <w:tr w14:paraId="7C3BE195">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6323E6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7BE008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是否专门面向中小企业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7045F09">
            <w:pPr>
              <w:spacing w:line="400" w:lineRule="exac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是</w:t>
            </w:r>
          </w:p>
          <w:p w14:paraId="7405FE4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否</w:t>
            </w:r>
          </w:p>
        </w:tc>
      </w:tr>
      <w:tr w14:paraId="48FA9CF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DF1D4F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8EC7A9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是否接受联合体报价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BE1307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不接受</w:t>
            </w:r>
          </w:p>
          <w:p w14:paraId="32F092D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接受，应满足下列要求：</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14:paraId="1AD3FD0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A68FDC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84CA87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报价有效期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76FA8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自报价截止之日起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个日历天。</w:t>
            </w:r>
          </w:p>
        </w:tc>
      </w:tr>
      <w:tr w14:paraId="2CF383C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311EC7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3208A3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踏勘现场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D87D6A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不组织，自行踏勘</w:t>
            </w:r>
          </w:p>
          <w:p w14:paraId="4416A5B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组织，踏勘时间：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p w14:paraId="47EB8135">
            <w:pPr>
              <w:keepNext w:val="0"/>
              <w:keepLines w:val="0"/>
              <w:pageBreakBefore w:val="0"/>
              <w:widowControl w:val="0"/>
              <w:tabs>
                <w:tab w:val="left" w:pos="7665"/>
              </w:tabs>
              <w:kinsoku/>
              <w:overflowPunct/>
              <w:topLinePunct w:val="0"/>
              <w:bidi w:val="0"/>
              <w:snapToGrid/>
              <w:spacing w:before="63" w:beforeLines="20" w:line="288" w:lineRule="auto"/>
              <w:ind w:firstLine="1080" w:firstLineChars="4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14:paraId="4BE4C58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344479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1546B8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履约担保</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648F15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不需要</w:t>
            </w:r>
          </w:p>
          <w:p w14:paraId="7E13F73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需要，履约保证金的金额：成交合同金额的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3 </w:t>
            </w:r>
            <w:r>
              <w:rPr>
                <w:rFonts w:hint="eastAsia" w:ascii="宋体" w:hAnsi="宋体" w:eastAsia="宋体" w:cs="宋体"/>
                <w:color w:val="000000" w:themeColor="text1"/>
                <w:sz w:val="24"/>
                <w:szCs w:val="24"/>
                <w:highlight w:val="none"/>
                <w14:textFill>
                  <w14:solidFill>
                    <w14:schemeClr w14:val="tx1"/>
                  </w14:solidFill>
                </w14:textFill>
              </w:rPr>
              <w:t>%（履约保证金须以支票、汇票、本票或者金融机构、担保机构出具的保函等非现金形式提交）</w:t>
            </w:r>
          </w:p>
        </w:tc>
      </w:tr>
      <w:tr w14:paraId="57E02982">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67985C1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536E53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构成采购文件的其他材料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4E6936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补充文件</w:t>
            </w:r>
          </w:p>
        </w:tc>
      </w:tr>
      <w:tr w14:paraId="64CCEE5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4E69C01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BC6CBC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供应商要求澄清采购文件的截止时间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B5AC80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采购文件发售截止</w:t>
            </w:r>
            <w:r>
              <w:rPr>
                <w:rFonts w:hint="eastAsia" w:ascii="宋体" w:hAnsi="宋体" w:eastAsia="宋体" w:cs="宋体"/>
                <w:color w:val="000000" w:themeColor="text1"/>
                <w:sz w:val="24"/>
                <w:szCs w:val="24"/>
                <w:highlight w:val="none"/>
                <w:lang w:val="en-US" w:eastAsia="zh-CN"/>
                <w14:textFill>
                  <w14:solidFill>
                    <w14:schemeClr w14:val="tx1"/>
                  </w14:solidFill>
                </w14:textFill>
              </w:rPr>
              <w:t>之</w:t>
            </w:r>
            <w:r>
              <w:rPr>
                <w:rFonts w:hint="eastAsia" w:ascii="宋体" w:hAnsi="宋体" w:eastAsia="宋体" w:cs="宋体"/>
                <w:color w:val="000000" w:themeColor="text1"/>
                <w:sz w:val="24"/>
                <w:szCs w:val="24"/>
                <w:highlight w:val="none"/>
                <w:lang w:val="zh-CN"/>
                <w14:textFill>
                  <w14:solidFill>
                    <w14:schemeClr w14:val="tx1"/>
                  </w14:solidFill>
                </w14:textFill>
              </w:rPr>
              <w:t>日1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val="zh-CN"/>
                <w14:textFill>
                  <w14:solidFill>
                    <w14:schemeClr w14:val="tx1"/>
                  </w14:solidFill>
                </w14:textFill>
              </w:rPr>
              <w:t>点前</w:t>
            </w:r>
          </w:p>
        </w:tc>
      </w:tr>
      <w:tr w14:paraId="7C7C17F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38C81C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BB129D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供应商确认收到采购文件澄清或修改的时间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C2B22B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从补充文件发布时间开始48小时内</w:t>
            </w:r>
          </w:p>
        </w:tc>
      </w:tr>
      <w:tr w14:paraId="76FBC8AC">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420C626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D4940D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供应商资格条件、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3EDF2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14:paraId="6B245CC4">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2.落实政府采购政策需满足的资格要求：本项目专门面向中小企业。</w:t>
            </w:r>
          </w:p>
          <w:p w14:paraId="282FA89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14:paraId="0C2150B5">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w:t>
            </w:r>
          </w:p>
          <w:p w14:paraId="22E689AA">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14:paraId="5887436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14:paraId="1290C31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p w14:paraId="68A4AC6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14:paraId="09CE26E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6174166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437AD8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14:paraId="4CBD5A4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供应商须具备电力工程施工总承包叁级[含]以上资质或输变电工程专业承包叁级[含]以上资质，同时具备承装类《承装(修、试)电力设施许可证四级及以上》；项目负责人须具备机电工程二级及以上注册建造师执业资格，具有合格有效的安全生产考核合格证。且未担任其他在施建设工程项目的项目负责人。（需提供无在建承诺书</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1B6601A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tc>
      </w:tr>
      <w:tr w14:paraId="2E781AB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09062A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609E117">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是否允许递交备选报价方案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69DD0F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不允许</w:t>
            </w:r>
          </w:p>
          <w:p w14:paraId="69D65D70">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允许。要求：只有成交供应商所递交的备选报价方案方可予以考虑。谈判小组认为成交供应商的备选报价方案优于其按照采购文件要求的报价方案，采购人可以接受该备选报价方案。</w:t>
            </w:r>
          </w:p>
        </w:tc>
      </w:tr>
      <w:tr w14:paraId="0A799F5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5C89A3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01F29A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响应报价的范围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C5B3AD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含税全包价，包括产品的设计、制作、包装、保险、运输、装卸、</w:t>
            </w:r>
            <w:r>
              <w:rPr>
                <w:rFonts w:hint="eastAsia" w:ascii="宋体" w:hAnsi="宋体" w:eastAsia="宋体" w:cs="宋体"/>
                <w:color w:val="000000" w:themeColor="text1"/>
                <w:sz w:val="24"/>
                <w:szCs w:val="24"/>
                <w:highlight w:val="none"/>
                <w:u w:val="single"/>
                <w:lang w:val="zh-CN"/>
                <w14:textFill>
                  <w14:solidFill>
                    <w14:schemeClr w14:val="tx1"/>
                  </w14:solidFill>
                </w14:textFill>
              </w:rPr>
              <w:t>安装、调试</w:t>
            </w:r>
            <w:r>
              <w:rPr>
                <w:rFonts w:hint="eastAsia" w:ascii="宋体" w:hAnsi="宋体" w:eastAsia="宋体" w:cs="宋体"/>
                <w:color w:val="000000" w:themeColor="text1"/>
                <w:sz w:val="24"/>
                <w:szCs w:val="24"/>
                <w:highlight w:val="none"/>
                <w:lang w:val="zh-CN"/>
                <w14:textFill>
                  <w14:solidFill>
                    <w14:schemeClr w14:val="tx1"/>
                  </w14:solidFill>
                </w14:textFill>
              </w:rPr>
              <w:t>、培训、验收、保修等一切费用。</w:t>
            </w:r>
          </w:p>
        </w:tc>
      </w:tr>
      <w:tr w14:paraId="4B83DC3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F648DF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7EACA9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响应报价的次数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87A9A66">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完成本项目采购需求的包干总价；本项目为竞争性谈判，最终报价</w:t>
            </w:r>
            <w:r>
              <w:rPr>
                <w:rFonts w:hint="eastAsia" w:ascii="宋体" w:hAnsi="宋体" w:cs="宋体"/>
                <w:color w:val="000000" w:themeColor="text1"/>
                <w:sz w:val="24"/>
                <w:szCs w:val="24"/>
                <w:highlight w:val="none"/>
                <w:lang w:val="en-US" w:eastAsia="zh-CN"/>
                <w14:textFill>
                  <w14:solidFill>
                    <w14:schemeClr w14:val="tx1"/>
                  </w14:solidFill>
                </w14:textFill>
              </w:rPr>
              <w:t>两</w:t>
            </w:r>
            <w:r>
              <w:rPr>
                <w:rFonts w:hint="eastAsia" w:ascii="宋体" w:hAnsi="宋体" w:eastAsia="宋体" w:cs="宋体"/>
                <w:color w:val="000000" w:themeColor="text1"/>
                <w:sz w:val="24"/>
                <w:szCs w:val="24"/>
                <w:highlight w:val="none"/>
                <w14:textFill>
                  <w14:solidFill>
                    <w14:schemeClr w14:val="tx1"/>
                  </w14:solidFill>
                </w14:textFill>
              </w:rPr>
              <w:t xml:space="preserve"> 轮或两轮以上。</w:t>
            </w:r>
          </w:p>
        </w:tc>
      </w:tr>
      <w:tr w14:paraId="2BD9517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02F52C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E19925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进口产品投标</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9E490CF">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14:paraId="2283C60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允许，</w:t>
            </w:r>
            <w:r>
              <w:rPr>
                <w:rFonts w:hint="eastAsia" w:ascii="宋体" w:hAnsi="宋体" w:eastAsia="宋体" w:cs="宋体"/>
                <w:color w:val="000000" w:themeColor="text1"/>
                <w:sz w:val="24"/>
                <w:szCs w:val="24"/>
                <w:highlight w:val="none"/>
                <w:lang w:val="zh-CN"/>
                <w14:textFill>
                  <w14:solidFill>
                    <w14:schemeClr w14:val="tx1"/>
                  </w14:solidFill>
                </w14:textFill>
              </w:rPr>
              <w:t>产品名目清单：</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14:paraId="4BE4488C">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6CA154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FD7ADB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样品</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54E982">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不需要</w:t>
            </w:r>
          </w:p>
          <w:p w14:paraId="7E1867E0">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需要，样品要求如下：</w:t>
            </w:r>
          </w:p>
          <w:p w14:paraId="6645B533">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1.样品：采购文件中带“※”标注的货物为供应商开标时应提供的样品。</w:t>
            </w:r>
          </w:p>
          <w:p w14:paraId="4F687046">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2.样品的生产、安装、运输费、保全费等一切费用由供应商自理。</w:t>
            </w:r>
          </w:p>
          <w:p w14:paraId="39BDF9BB">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3.送样截止时间：20</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时</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w:t>
            </w:r>
          </w:p>
          <w:p w14:paraId="1DD00E71">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4.送样送达地点：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逾期送达或未送达到指定地点的拒绝接收</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57070312">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5.供应商应按照采购代理机构的要求摆放样品并做好展示，样品不能有供应商的标识及品牌，样品将进行统一编号。</w:t>
            </w:r>
          </w:p>
          <w:p w14:paraId="056D34E7">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6.若需要现场演示的，供应商应提前做好演示准备（包括电源线等），届时未能演示的，后果自负。</w:t>
            </w:r>
          </w:p>
          <w:p w14:paraId="69BF5E91">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宣布评审结果前，供应商不得将样品整理、装箱或者撤离展示区；遇到特殊情况需要对样品进行整理、装箱或者移动样品的，供应商必须书面提出申请，采购代理机构同意后方可移动样品。谈判小组已经确定供应商响应无效或者废标的，供应商签字确认后可以进行样品整理、装箱或者撤离展示区，但不得影响或者损害其他供应商的样品，否则将承担相应的法律责任。</w:t>
            </w:r>
          </w:p>
          <w:p w14:paraId="3D4FC690">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8.宣布评审结果后，成交供应商与采购人、采购代理机构共同清点、检查和密封样品，由成交供应商送至采购人指定地点封存。</w:t>
            </w:r>
          </w:p>
        </w:tc>
      </w:tr>
      <w:tr w14:paraId="4460947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108AE1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AB2599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投标保证金的交纳</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8D1A610">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投标保证金的形式：现金（电汇、网银）或金融机构、担保机构出具的保函等非现金形式交纳。</w:t>
            </w:r>
          </w:p>
          <w:p w14:paraId="6B8289C4">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投标保证金的形式：转账、电汇，逾期到账或未备注，造成的后果由供应商自行承担！</w:t>
            </w:r>
          </w:p>
          <w:p w14:paraId="01E5351F">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谈判保证金：</w:t>
            </w:r>
            <w:r>
              <w:rPr>
                <w:rFonts w:hint="eastAsia" w:ascii="宋体" w:hAnsi="宋体" w:cs="宋体"/>
                <w:color w:val="000000" w:themeColor="text1"/>
                <w:sz w:val="24"/>
                <w:szCs w:val="24"/>
                <w:highlight w:val="none"/>
                <w:lang w:val="en-US" w:eastAsia="zh-CN"/>
                <w14:textFill>
                  <w14:solidFill>
                    <w14:schemeClr w14:val="tx1"/>
                  </w14:solidFill>
                </w14:textFill>
              </w:rPr>
              <w:t>40000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元（大写：</w:t>
            </w:r>
            <w:r>
              <w:rPr>
                <w:rFonts w:hint="eastAsia" w:ascii="宋体" w:hAnsi="宋体" w:cs="宋体"/>
                <w:color w:val="000000" w:themeColor="text1"/>
                <w:sz w:val="24"/>
                <w:szCs w:val="24"/>
                <w:highlight w:val="none"/>
                <w:lang w:val="en-US" w:eastAsia="zh-CN"/>
                <w14:textFill>
                  <w14:solidFill>
                    <w14:schemeClr w14:val="tx1"/>
                  </w14:solidFill>
                </w14:textFill>
              </w:rPr>
              <w:t>肆万元整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4DDD0C3">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投标保证金缴纳账户：</w:t>
            </w:r>
          </w:p>
          <w:p w14:paraId="2549FF10">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开户名称：新疆鹏辰鸿时建设工程管理服务有限公司</w:t>
            </w:r>
          </w:p>
          <w:p w14:paraId="62C00F89">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开户银行：中国建设银行股份有限公司阿克苏市健康路支行</w:t>
            </w:r>
          </w:p>
          <w:p w14:paraId="798EE69D">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账号：65050169605000000255</w:t>
            </w:r>
          </w:p>
          <w:p w14:paraId="7A9432AF">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【谈判保证金缴纳的截止时间为202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lang w:val="en-US"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08</w:t>
            </w:r>
            <w:r>
              <w:rPr>
                <w:rFonts w:hint="eastAsia" w:ascii="宋体" w:hAnsi="宋体" w:eastAsia="宋体" w:cs="宋体"/>
                <w:color w:val="000000" w:themeColor="text1"/>
                <w:sz w:val="24"/>
                <w:szCs w:val="24"/>
                <w:highlight w:val="none"/>
                <w:lang w:val="en-US" w:eastAsia="zh-CN"/>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北京时间），缴纳谈判保证金时应在付款用途里标明项目名称、编号及用途。谈判保证金以进账时间为准，投标保证金或保函所支付的费用须从投标人企业基本账户转出，同时将电子投标保单或电子回单作为投标文件组成部分在投标时一并提交。银行转账或电子保函凭证的扫描件上须手签写明“响应招标文件要求”字样，并放入投标文件中加盖公章。谈判保证金以其进账时间确定其有效性，在规定时间内未进如到指定账户，否则按废标处理。开标前投标单位不需至新疆鹏辰鸿时建设工程管理服务有限公司换取保证金收据原件】</w:t>
            </w:r>
            <w:r>
              <w:rPr>
                <w:rFonts w:hint="eastAsia" w:ascii="宋体" w:hAnsi="宋体" w:cs="宋体"/>
                <w:color w:val="000000" w:themeColor="text1"/>
                <w:sz w:val="24"/>
                <w:szCs w:val="24"/>
                <w:highlight w:val="none"/>
                <w:lang w:val="en-US" w:eastAsia="zh-CN"/>
                <w14:textFill>
                  <w14:solidFill>
                    <w14:schemeClr w14:val="tx1"/>
                  </w14:solidFill>
                </w14:textFill>
              </w:rPr>
              <w:t>；投标单位须在投标文件中完全响应招标文件要求，投标人投标文件中须对：“投标保证金缴纳要求及违反相关法律规定的被没收投标保证金的情形”进行响应性承诺，将其作为附件放在投标文件“投标保证金银行汇款或转账凭证复印件或电子保函”缴纳凭证下一页投标单位务必严格按照“投标保证金”规定的要求办理缴纳、事宜；</w:t>
            </w:r>
          </w:p>
        </w:tc>
      </w:tr>
      <w:tr w14:paraId="61D462F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F84158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9B71E6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响应文件编制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55ECC4">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zh-CN"/>
                <w14:textFill>
                  <w14:solidFill>
                    <w14:schemeClr w14:val="tx1"/>
                  </w14:solidFill>
                </w14:textFill>
              </w:rPr>
              <w:t>进行咨询。</w:t>
            </w:r>
          </w:p>
          <w:p w14:paraId="1F42848B">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响应文件分技术文件、商务文件。</w:t>
            </w:r>
          </w:p>
          <w:p w14:paraId="73AE760A">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应按照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的要求编写</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要求填写的表格或者资料不得缺少或者留空，</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不得加行。</w:t>
            </w:r>
          </w:p>
          <w:p w14:paraId="061F187D">
            <w:pPr>
              <w:spacing w:line="400" w:lineRule="exact"/>
              <w:rPr>
                <w:rFonts w:hint="eastAsia" w:ascii="宋体" w:hAnsi="宋体" w:eastAsia="宋体" w:cs="宋体"/>
                <w:color w:val="000000" w:themeColor="text1"/>
                <w:kern w:val="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应</w:t>
            </w:r>
            <w:r>
              <w:rPr>
                <w:rFonts w:hint="eastAsia" w:ascii="宋体" w:hAnsi="宋体" w:eastAsia="宋体" w:cs="宋体"/>
                <w:color w:val="000000" w:themeColor="text1"/>
                <w:kern w:val="1"/>
                <w:sz w:val="24"/>
                <w:szCs w:val="24"/>
                <w:highlight w:val="none"/>
                <w14:textFill>
                  <w14:solidFill>
                    <w14:schemeClr w14:val="tx1"/>
                  </w14:solidFill>
                </w14:textFill>
              </w:rPr>
              <w:t>编制目录，目录、内容标注连续页码，页码从目录编起，标注于页面底部居中位置</w:t>
            </w:r>
            <w:r>
              <w:rPr>
                <w:rFonts w:hint="eastAsia" w:ascii="宋体" w:hAnsi="宋体" w:eastAsia="宋体" w:cs="宋体"/>
                <w:color w:val="000000" w:themeColor="text1"/>
                <w:kern w:val="1"/>
                <w:sz w:val="24"/>
                <w:szCs w:val="24"/>
                <w:highlight w:val="none"/>
                <w:lang w:eastAsia="zh-CN"/>
                <w14:textFill>
                  <w14:solidFill>
                    <w14:schemeClr w14:val="tx1"/>
                  </w14:solidFill>
                </w14:textFill>
              </w:rPr>
              <w:t>。</w:t>
            </w:r>
          </w:p>
          <w:p w14:paraId="5A02445C">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供应商中标后应按要求提供纸质响应文件</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248CCFA6">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359B403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B1357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响应文件签署和盖章</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FBBFA9">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1.竞争性谈判文件要求供应商法定代表人或者被授权代表签字处，均须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加盖其个人电子印章</w:t>
            </w:r>
            <w:r>
              <w:rPr>
                <w:rFonts w:hint="eastAsia" w:ascii="宋体" w:hAnsi="宋体" w:eastAsia="宋体" w:cs="宋体"/>
                <w:color w:val="000000" w:themeColor="text1"/>
                <w:sz w:val="24"/>
                <w:szCs w:val="24"/>
                <w:highlight w:val="none"/>
                <w:lang w:val="zh-CN"/>
                <w14:textFill>
                  <w14:solidFill>
                    <w14:schemeClr w14:val="tx1"/>
                  </w14:solidFill>
                </w14:textFill>
              </w:rPr>
              <w:t>，并</w:t>
            </w:r>
            <w:r>
              <w:rPr>
                <w:rFonts w:hint="eastAsia" w:ascii="宋体" w:hAnsi="宋体" w:eastAsia="宋体" w:cs="宋体"/>
                <w:color w:val="000000" w:themeColor="text1"/>
                <w:sz w:val="24"/>
                <w:szCs w:val="24"/>
                <w:highlight w:val="none"/>
                <w:lang w:val="en-US" w:eastAsia="zh-CN"/>
                <w14:textFill>
                  <w14:solidFill>
                    <w14:schemeClr w14:val="tx1"/>
                  </w14:solidFill>
                </w14:textFill>
              </w:rPr>
              <w:t>逐页</w:t>
            </w:r>
            <w:r>
              <w:rPr>
                <w:rFonts w:hint="eastAsia" w:ascii="宋体" w:hAnsi="宋体" w:eastAsia="宋体" w:cs="宋体"/>
                <w:color w:val="000000" w:themeColor="text1"/>
                <w:sz w:val="24"/>
                <w:szCs w:val="24"/>
                <w:highlight w:val="none"/>
                <w:lang w:val="zh-CN"/>
                <w14:textFill>
                  <w14:solidFill>
                    <w14:schemeClr w14:val="tx1"/>
                  </w14:solidFill>
                </w14:textFill>
              </w:rPr>
              <w:t>加盖单位公章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的电子印章</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1791D6C0">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2.被授权代表人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签章的</w:t>
            </w:r>
            <w:r>
              <w:rPr>
                <w:rFonts w:hint="eastAsia" w:ascii="宋体" w:hAnsi="宋体" w:eastAsia="宋体" w:cs="宋体"/>
                <w:color w:val="000000" w:themeColor="text1"/>
                <w:sz w:val="24"/>
                <w:szCs w:val="24"/>
                <w:highlight w:val="none"/>
                <w:lang w:val="zh-CN"/>
                <w14:textFill>
                  <w14:solidFill>
                    <w14:schemeClr w14:val="tx1"/>
                  </w14:solidFill>
                </w14:textFill>
              </w:rPr>
              <w:t>，响应文件应附法人授权委托书。</w:t>
            </w:r>
          </w:p>
          <w:p w14:paraId="02CFBAB9">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.供应商在响应文件以及相关书面文件中的单位盖章（包括印章、公章等）均指与供应商名称全称相一致的标准公章，不得使用其他形式（如带有“专用章”、“合同章”、“财务章”、“业务章”等）的印章。</w:t>
            </w:r>
          </w:p>
        </w:tc>
      </w:tr>
      <w:tr w14:paraId="21632AA7">
        <w:tblPrEx>
          <w:tblCellMar>
            <w:top w:w="0" w:type="dxa"/>
            <w:left w:w="108" w:type="dxa"/>
            <w:bottom w:w="0" w:type="dxa"/>
            <w:right w:w="108" w:type="dxa"/>
          </w:tblCellMar>
        </w:tblPrEx>
        <w:trPr>
          <w:trHeight w:val="1269"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57F3360">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C0DAA6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响应文件加密、上传</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7590164">
            <w:pPr>
              <w:spacing w:line="400" w:lineRule="exact"/>
              <w:ind w:firstLine="480" w:firstLineChars="20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 云平台”拒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359EFE6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D5A7109">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74B93D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签到及电子响应文件解密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E077D06">
            <w:pPr>
              <w:spacing w:line="380" w:lineRule="exact"/>
              <w:ind w:firstLine="480" w:firstLineChars="200"/>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供应商登录政采云平台，在投标截止时间前必须完成签到，（本项目解密时长为：30分钟，签名时长为：10 分钟）开标时间后 30 分钟内（用“项目采购- 开标评标”功能进行解密响应文件。若供应商在规定时间内未按时签到或解密的，视为无效投标。解密与加密响应文件须为同一个CA。</w:t>
            </w:r>
          </w:p>
        </w:tc>
      </w:tr>
      <w:tr w14:paraId="529E420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44F3D4B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EB0B64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递交响应文件截止时间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801A54A">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val="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val="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08</w:t>
            </w:r>
            <w:r>
              <w:rPr>
                <w:rFonts w:hint="eastAsia" w:ascii="宋体" w:hAnsi="宋体" w:eastAsia="宋体" w:cs="宋体"/>
                <w:color w:val="000000" w:themeColor="text1"/>
                <w:sz w:val="24"/>
                <w:szCs w:val="24"/>
                <w:highlight w:val="none"/>
                <w:u w:val="singl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时</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6A34B99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923C5C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446CAC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开标时间及地点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E7B7D76">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val="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val="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08</w:t>
            </w:r>
            <w:r>
              <w:rPr>
                <w:rFonts w:hint="eastAsia" w:ascii="宋体" w:hAnsi="宋体" w:eastAsia="宋体" w:cs="宋体"/>
                <w:color w:val="000000" w:themeColor="text1"/>
                <w:sz w:val="24"/>
                <w:szCs w:val="24"/>
                <w:highlight w:val="none"/>
                <w:u w:val="singl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时</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4DB29A0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地点：</w:t>
            </w:r>
            <w:r>
              <w:rPr>
                <w:rFonts w:hint="eastAsia" w:ascii="宋体" w:hAnsi="宋体" w:eastAsia="宋体" w:cs="宋体"/>
                <w:color w:val="000000" w:themeColor="text1"/>
                <w:sz w:val="24"/>
                <w:szCs w:val="24"/>
                <w:highlight w:val="none"/>
                <w:lang w:val="zh-CN" w:eastAsia="zh-CN"/>
                <w14:textFill>
                  <w14:solidFill>
                    <w14:schemeClr w14:val="tx1"/>
                  </w14:solidFill>
                </w14:textFill>
              </w:rPr>
              <w:t>政采云一站式政府采购云平台</w:t>
            </w:r>
          </w:p>
        </w:tc>
      </w:tr>
      <w:tr w14:paraId="6FBC1B7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D51914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268CBA8">
            <w:pPr>
              <w:keepNext w:val="0"/>
              <w:keepLines w:val="0"/>
              <w:pageBreakBefore w:val="0"/>
              <w:widowControl w:val="0"/>
              <w:kinsoku/>
              <w:overflowPunct/>
              <w:topLinePunct w:val="0"/>
              <w:autoSpaceDE w:val="0"/>
              <w:autoSpaceDN w:val="0"/>
              <w:bidi w:val="0"/>
              <w:adjustRightInd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5A98816">
            <w:pPr>
              <w:keepNext w:val="0"/>
              <w:keepLines w:val="0"/>
              <w:pageBreakBefore w:val="0"/>
              <w:widowControl w:val="0"/>
              <w:kinsoku/>
              <w:overflowPunct/>
              <w:topLinePunct w:val="0"/>
              <w:autoSpaceDE w:val="0"/>
              <w:autoSpaceDN w:val="0"/>
              <w:bidi w:val="0"/>
              <w:adjustRightInd/>
              <w:snapToGrid/>
              <w:spacing w:before="63" w:beforeLines="20" w:line="288" w:lineRule="auto"/>
              <w:ind w:left="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谈判小组共</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人，其中：采购人代表</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lang w:val="zh-CN"/>
                <w14:textFill>
                  <w14:solidFill>
                    <w14:schemeClr w14:val="tx1"/>
                  </w14:solidFill>
                </w14:textFill>
              </w:rPr>
              <w:t>人，评审专家</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人。</w:t>
            </w:r>
          </w:p>
          <w:p w14:paraId="0884CC20">
            <w:pPr>
              <w:pStyle w:val="11"/>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谈判小组</w:t>
            </w:r>
            <w:r>
              <w:rPr>
                <w:rFonts w:hint="eastAsia" w:ascii="宋体" w:hAnsi="宋体" w:eastAsia="宋体" w:cs="宋体"/>
                <w:color w:val="000000" w:themeColor="text1"/>
                <w:sz w:val="24"/>
                <w:szCs w:val="24"/>
                <w:highlight w:val="none"/>
                <w:lang w:val="zh-CN"/>
                <w14:textFill>
                  <w14:solidFill>
                    <w14:schemeClr w14:val="tx1"/>
                  </w14:solidFill>
                </w14:textFill>
              </w:rPr>
              <w:t>采用随机抽取方式从政府采购监管部门依法设立的专家库中确定谈判小组成员。</w:t>
            </w:r>
          </w:p>
        </w:tc>
      </w:tr>
      <w:tr w14:paraId="20DF673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6F08C94">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52F4095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评审办法</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F8DEFC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竞争性谈判采用最低评标价法：第一轮根据投标文件能够详细列明全部技术、工程质量且技术、商务均能全部满足采购文件实质性响应要求者且可进行下一轮，投标人的报价明显低于其他通过符合性检查投标人的报价，有可能影响履约的，投标人能在规定时间内提出证明其报价合理性，否则视为不能履约做否决投标处理。第二轮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或两轮以上）</w:t>
            </w:r>
            <w:r>
              <w:rPr>
                <w:rFonts w:hint="eastAsia" w:ascii="宋体" w:hAnsi="宋体" w:eastAsia="宋体" w:cs="宋体"/>
                <w:color w:val="000000" w:themeColor="text1"/>
                <w:sz w:val="24"/>
                <w:szCs w:val="24"/>
                <w:highlight w:val="none"/>
                <w:lang w:val="zh-CN"/>
                <w14:textFill>
                  <w14:solidFill>
                    <w14:schemeClr w14:val="tx1"/>
                  </w14:solidFill>
                </w14:textFill>
              </w:rPr>
              <w:t>报总价，谈判结束后，谈判小组应当从全部技术、工程质量等均能全部满足采购文件实质性响应要求的供应商中，按照最后报价最低报价的报价人作为成交供应商，并编写评审报告。</w:t>
            </w:r>
          </w:p>
        </w:tc>
      </w:tr>
      <w:tr w14:paraId="36D8F66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158E87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C376D2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是否授权谈判小组确定成交供应商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4C2B35D">
            <w:pPr>
              <w:keepNext w:val="0"/>
              <w:keepLines w:val="0"/>
              <w:pageBreakBefore w:val="0"/>
              <w:widowControl w:val="0"/>
              <w:kinsoku/>
              <w:overflowPunct/>
              <w:topLinePunct w:val="0"/>
              <w:bidi w:val="0"/>
              <w:snapToGrid/>
              <w:spacing w:before="63" w:beforeLines="20" w:line="288" w:lineRule="auto"/>
              <w:ind w:left="360" w:hanging="360" w:hangingChars="15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highlight w:val="none"/>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14:textFill>
                  <w14:solidFill>
                    <w14:schemeClr w14:val="tx1"/>
                  </w14:solidFill>
                </w14:textFill>
              </w:rPr>
              <w:instrText xml:space="preserve">)</w:instrTex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 xml:space="preserve"> 是，</w:t>
            </w:r>
            <w:r>
              <w:rPr>
                <w:rFonts w:hint="eastAsia" w:ascii="宋体" w:hAnsi="宋体" w:eastAsia="宋体" w:cs="宋体"/>
                <w:color w:val="000000" w:themeColor="text1"/>
                <w:sz w:val="24"/>
                <w:szCs w:val="24"/>
                <w:highlight w:val="none"/>
                <w:lang w:val="zh-CN"/>
                <w14:textFill>
                  <w14:solidFill>
                    <w14:schemeClr w14:val="tx1"/>
                  </w14:solidFill>
                </w14:textFill>
              </w:rPr>
              <w:t>确定一个成交供应商，成交结果在新疆政府采购网发布，公告期限为1个工作日。</w:t>
            </w:r>
          </w:p>
          <w:p w14:paraId="36897910">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否，推荐的成交候选供应商个数：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14:paraId="77286DC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7661D4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9FCEEA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是否退还响应文件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828646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除供应商需收回的资格、资信等证明文件中的证明材料原件（如营业执照、合同、相关资质证书等）外，其他文件概不退还。</w:t>
            </w:r>
          </w:p>
        </w:tc>
      </w:tr>
      <w:tr w14:paraId="461DC4E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C46182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4D9ADD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本项目所属行业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7508FE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建筑业</w:t>
            </w:r>
          </w:p>
        </w:tc>
      </w:tr>
      <w:tr w14:paraId="4D7AB956">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275965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8696" w:type="dxa"/>
            <w:gridSpan w:val="2"/>
            <w:tcBorders>
              <w:top w:val="single" w:color="auto" w:sz="4" w:space="0"/>
              <w:left w:val="single" w:color="auto" w:sz="4" w:space="0"/>
              <w:bottom w:val="single" w:color="auto" w:sz="4" w:space="0"/>
              <w:right w:val="single" w:color="auto" w:sz="4" w:space="0"/>
            </w:tcBorders>
            <w:noWrap w:val="0"/>
            <w:vAlign w:val="center"/>
          </w:tcPr>
          <w:p w14:paraId="31954E9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其他需补充的内容</w:t>
            </w:r>
          </w:p>
        </w:tc>
      </w:tr>
      <w:tr w14:paraId="79087D0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7EA1FCC9">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w:t>
            </w:r>
          </w:p>
        </w:tc>
        <w:tc>
          <w:tcPr>
            <w:tcW w:w="1378" w:type="dxa"/>
            <w:tcBorders>
              <w:top w:val="single" w:color="auto" w:sz="4" w:space="0"/>
              <w:left w:val="single" w:color="auto" w:sz="4" w:space="0"/>
              <w:right w:val="single" w:color="auto" w:sz="4" w:space="0"/>
            </w:tcBorders>
            <w:noWrap w:val="0"/>
            <w:vAlign w:val="center"/>
          </w:tcPr>
          <w:p w14:paraId="0130AF5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供应商电子不见面开标注意事项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8F90D97">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1、本项目实行电子招投标，供应商须登录政府采购云平台申请获取采购文件，并需要使用CA 锁，在新疆政府采购网--下载专区下载--供应商客户端制作投标文件，并生成 JMBS 格式加密文件，在投标截止前上传至政府采购云平台。若供应商参与投标, 自行承担与投标有关的一切费用。</w:t>
            </w:r>
          </w:p>
          <w:p w14:paraId="14DF445B">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2、各供应商应在开标前确保是新疆维吾尔自治区政府采购网正式注册入库的供应商，并完成 CA 数字证书申领。因未注册入库、未办理 CA 数字证书等原因造成无法投标或投 标失败等后果的由供应商自行承担。</w:t>
            </w:r>
          </w:p>
          <w:p w14:paraId="15F9C275">
            <w:pPr>
              <w:spacing w:line="380" w:lineRule="exact"/>
              <w:jc w:val="lef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3、供应商可前往新疆政府采购网 (http://www.ccgp-xinjiang.gov.cn/) 下载专区， 下载政府采购云平台电子投标客户端，安装完成后，可通过账号密码或 CA 登录客户端 进行响应文件制作。在使用政府采购云平台电子投标客户端时，建议使用 WIN7 及以上 操作系统。如有问题可拨打政府采购云平台客户服务热线 </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en-US" w:eastAsia="zh-CN"/>
                <w14:textFill>
                  <w14:solidFill>
                    <w14:schemeClr w14:val="tx1"/>
                  </w14:solidFill>
                </w14:textFill>
              </w:rPr>
              <w:t>进行咨询。</w:t>
            </w:r>
          </w:p>
          <w:p w14:paraId="7DB2F5BF">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4、供应商在开标时须携带制作加密电子响应文件所使用的CA 锁，电脑须提前配置好浏 览器 (建议使用 360 浏览器或谷歌浏览器) ， 以便开标时在线解密。</w:t>
            </w:r>
          </w:p>
          <w:p w14:paraId="0B7DBF99">
            <w:pPr>
              <w:spacing w:line="380" w:lineRule="exact"/>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5、投标供应商应当在投标截止时间前，将生成的“JMBS 格式电子加密响应文件”上传递交至“政府采购云平台”，投标截止时间以后上传递交的响应文件将被“政府采购云平台”拒收。</w:t>
            </w:r>
          </w:p>
          <w:p w14:paraId="54FA127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6、供应商应按当地交易中心要求递交场地费，在进入评标环节前完成缴费，若不缴纳场地费，则不予进入评标环节</w:t>
            </w:r>
            <w:r>
              <w:rPr>
                <w:rFonts w:hint="eastAsia" w:ascii="宋体" w:hAnsi="宋体" w:eastAsia="宋体" w:cs="宋体"/>
                <w:color w:val="000000" w:themeColor="text1"/>
                <w:sz w:val="24"/>
                <w:szCs w:val="24"/>
                <w:highlight w:val="none"/>
                <w14:textFill>
                  <w14:solidFill>
                    <w14:schemeClr w14:val="tx1"/>
                  </w14:solidFill>
                </w14:textFill>
              </w:rPr>
              <w:t>。</w:t>
            </w:r>
          </w:p>
        </w:tc>
      </w:tr>
      <w:tr w14:paraId="6A83EA1C">
        <w:tblPrEx>
          <w:tblCellMar>
            <w:top w:w="0" w:type="dxa"/>
            <w:left w:w="108" w:type="dxa"/>
            <w:bottom w:w="0" w:type="dxa"/>
            <w:right w:w="108" w:type="dxa"/>
          </w:tblCellMar>
        </w:tblPrEx>
        <w:trPr>
          <w:trHeight w:val="0" w:hRule="atLeast"/>
        </w:trPr>
        <w:tc>
          <w:tcPr>
            <w:tcW w:w="916" w:type="dxa"/>
            <w:vMerge w:val="restart"/>
            <w:tcBorders>
              <w:top w:val="single" w:color="auto" w:sz="4" w:space="0"/>
              <w:left w:val="single" w:color="auto" w:sz="4" w:space="0"/>
              <w:right w:val="single" w:color="auto" w:sz="4" w:space="0"/>
            </w:tcBorders>
            <w:noWrap w:val="0"/>
            <w:vAlign w:val="center"/>
          </w:tcPr>
          <w:p w14:paraId="3D3BE6BF">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378" w:type="dxa"/>
            <w:vMerge w:val="restart"/>
            <w:tcBorders>
              <w:top w:val="single" w:color="auto" w:sz="4" w:space="0"/>
              <w:left w:val="single" w:color="auto" w:sz="4" w:space="0"/>
              <w:right w:val="single" w:color="auto" w:sz="4" w:space="0"/>
            </w:tcBorders>
            <w:noWrap w:val="0"/>
            <w:vAlign w:val="center"/>
          </w:tcPr>
          <w:p w14:paraId="1A27DCD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定义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17D1A9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原件：</w:t>
            </w:r>
            <w:r>
              <w:rPr>
                <w:rFonts w:hint="eastAsia" w:ascii="宋体" w:hAnsi="宋体" w:eastAsia="宋体" w:cs="宋体"/>
                <w:color w:val="000000" w:themeColor="text1"/>
                <w:sz w:val="24"/>
                <w:szCs w:val="24"/>
                <w:highlight w:val="none"/>
                <w14:textFill>
                  <w14:solidFill>
                    <w14:schemeClr w14:val="tx1"/>
                  </w14:solidFill>
                </w14:textFill>
              </w:rPr>
              <w:t>最初产生的区别于复制件的原始文件或文件的原本或公证处出具的文件复制件公证书。</w:t>
            </w:r>
          </w:p>
        </w:tc>
      </w:tr>
      <w:tr w14:paraId="41DCE6DE">
        <w:tblPrEx>
          <w:tblCellMar>
            <w:top w:w="0" w:type="dxa"/>
            <w:left w:w="108" w:type="dxa"/>
            <w:bottom w:w="0" w:type="dxa"/>
            <w:right w:w="108" w:type="dxa"/>
          </w:tblCellMar>
        </w:tblPrEx>
        <w:trPr>
          <w:trHeight w:val="0" w:hRule="atLeast"/>
        </w:trPr>
        <w:tc>
          <w:tcPr>
            <w:tcW w:w="916" w:type="dxa"/>
            <w:vMerge w:val="continue"/>
            <w:tcBorders>
              <w:left w:val="single" w:color="auto" w:sz="4" w:space="0"/>
              <w:bottom w:val="single" w:color="auto" w:sz="4" w:space="0"/>
              <w:right w:val="single" w:color="auto" w:sz="4" w:space="0"/>
            </w:tcBorders>
            <w:noWrap w:val="0"/>
            <w:vAlign w:val="center"/>
          </w:tcPr>
          <w:p w14:paraId="0CB10F5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1378" w:type="dxa"/>
            <w:vMerge w:val="continue"/>
            <w:tcBorders>
              <w:left w:val="single" w:color="auto" w:sz="4" w:space="0"/>
              <w:bottom w:val="single" w:color="auto" w:sz="4" w:space="0"/>
              <w:right w:val="single" w:color="auto" w:sz="4" w:space="0"/>
            </w:tcBorders>
            <w:noWrap w:val="0"/>
            <w:vAlign w:val="center"/>
          </w:tcPr>
          <w:p w14:paraId="483F478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6C21A6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书面形式：包括文字的打印或复印件、传真、信函、电传、电报、</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电子邮件、</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相关网站</w:t>
            </w:r>
            <w:r>
              <w:rPr>
                <w:rFonts w:hint="eastAsia" w:ascii="宋体" w:hAnsi="宋体" w:eastAsia="宋体" w:cs="宋体"/>
                <w:color w:val="000000" w:themeColor="text1"/>
                <w:sz w:val="24"/>
                <w:szCs w:val="24"/>
                <w:highlight w:val="none"/>
                <w14:textFill>
                  <w14:solidFill>
                    <w14:schemeClr w14:val="tx1"/>
                  </w14:solidFill>
                </w14:textFill>
              </w:rPr>
              <w:t>发布的公告</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等可以有形地表现所载内容的形式。</w:t>
            </w:r>
          </w:p>
        </w:tc>
      </w:tr>
      <w:tr w14:paraId="2636604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32D64F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746E0E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分包和非主体、非关键性工作</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AB63B95">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14:paraId="6C6A8A8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允许，供应商根据采购文件载明的标的采购项目实际情况，拟在成交后将成交项目的非主体、非关键性工作交由他人完成的，应当在响应文件中载明。</w:t>
            </w:r>
          </w:p>
        </w:tc>
      </w:tr>
      <w:tr w14:paraId="58B0D28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946C7C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18F491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多包成交规则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6C09BD">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分包采购的项目，供应商可以选择</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个包报价，但只能成交</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w:t>
            </w:r>
          </w:p>
          <w:p w14:paraId="580A2D66">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供应商可依照采购文件要求进行多个包报价。若所投多个包的报价排位均第一，由供应商自行选择其中</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个包成交；其他包参与报价排序，排序第一也不成交，成交顺延排序第二的供应商，以此类推。</w:t>
            </w:r>
          </w:p>
        </w:tc>
      </w:tr>
      <w:tr w14:paraId="119E05B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5919F2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BD1D54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监督</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AA394E7">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采购人代表</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4FB9F24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F22B45F">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32CCE7E">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相关费用</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9CDDBAC">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招标代理服务费：19700元</w:t>
            </w:r>
          </w:p>
          <w:p w14:paraId="07F13965">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本项目招标代理服务费：由中标供应商支付。</w:t>
            </w:r>
          </w:p>
          <w:p w14:paraId="23936F62">
            <w:pPr>
              <w:pStyle w:val="2"/>
              <w:rPr>
                <w:rFonts w:hint="default"/>
                <w:lang w:val="en-US" w:eastAsia="zh-CN"/>
              </w:rPr>
            </w:pPr>
            <w:r>
              <w:rPr>
                <w:rFonts w:hint="eastAsia" w:ascii="宋体" w:hAnsi="宋体" w:cs="宋体"/>
                <w:color w:val="000000" w:themeColor="text1"/>
                <w:sz w:val="24"/>
                <w:szCs w:val="24"/>
                <w:highlight w:val="none"/>
                <w:lang w:val="en-US" w:eastAsia="zh-CN"/>
                <w14:textFill>
                  <w14:solidFill>
                    <w14:schemeClr w14:val="tx1"/>
                  </w14:solidFill>
                </w14:textFill>
              </w:rPr>
              <w:t>公证费：1000元</w:t>
            </w:r>
          </w:p>
        </w:tc>
      </w:tr>
      <w:tr w14:paraId="409A4AE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6291030">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6320A07">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3CA4D7C">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tc>
      </w:tr>
      <w:tr w14:paraId="52E3D62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5208600">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BD8205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3483EED">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根据“财政部 87 号令《政府采购货物服务招标投标管理办法》 ”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4E0A8297">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评标委员会应当要求其在评标现场合理的时间内提供成本构成书面说明，并提交相关证明材料。供应商书面说明应当按照国家财务会计制度的规定要求，逐项就供应商提供的货物、工程和服务的主营业务成本 (应根据供应商企业类型予以区别) 、税金及附加、销售费用、管理费用、财务费用等成本构成事项详细陈述。</w:t>
            </w:r>
          </w:p>
          <w:p w14:paraId="2FD29BA9">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2FD07C6E">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14:paraId="6A371CE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827A66E">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EFBA8A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纸质版投标文件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366091A">
            <w:pPr>
              <w:pStyle w:val="11"/>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评标结束后，</w:t>
            </w:r>
            <w:r>
              <w:rPr>
                <w:rFonts w:hint="eastAsia" w:hAnsi="宋体" w:cs="宋体"/>
                <w:color w:val="000000" w:themeColor="text1"/>
                <w:sz w:val="24"/>
                <w:szCs w:val="24"/>
                <w:highlight w:val="none"/>
                <w:lang w:val="en-US" w:eastAsia="zh-CN"/>
                <w14:textFill>
                  <w14:solidFill>
                    <w14:schemeClr w14:val="tx1"/>
                  </w14:solidFill>
                </w14:textFill>
              </w:rPr>
              <w:t>中标</w:t>
            </w:r>
            <w:r>
              <w:rPr>
                <w:rFonts w:hint="eastAsia" w:ascii="宋体" w:hAnsi="宋体" w:eastAsia="宋体" w:cs="宋体"/>
                <w:color w:val="000000" w:themeColor="text1"/>
                <w:sz w:val="24"/>
                <w:szCs w:val="24"/>
                <w:highlight w:val="none"/>
                <w:lang w:val="zh-CN"/>
                <w14:textFill>
                  <w14:solidFill>
                    <w14:schemeClr w14:val="tx1"/>
                  </w14:solidFill>
                </w14:textFill>
              </w:rPr>
              <w:t>单位须在一周内按</w:t>
            </w:r>
            <w:r>
              <w:rPr>
                <w:rFonts w:hint="eastAsia" w:ascii="宋体" w:hAnsi="宋体" w:eastAsia="宋体" w:cs="宋体"/>
                <w:color w:val="000000" w:themeColor="text1"/>
                <w:sz w:val="24"/>
                <w:szCs w:val="24"/>
                <w:highlight w:val="none"/>
                <w:lang w:val="en-US" w:eastAsia="zh-CN"/>
                <w14:textFill>
                  <w14:solidFill>
                    <w14:schemeClr w14:val="tx1"/>
                  </w14:solidFill>
                </w14:textFill>
              </w:rPr>
              <w:t>谈判</w:t>
            </w:r>
            <w:r>
              <w:rPr>
                <w:rFonts w:hint="eastAsia" w:ascii="宋体" w:hAnsi="宋体" w:eastAsia="宋体" w:cs="宋体"/>
                <w:color w:val="000000" w:themeColor="text1"/>
                <w:sz w:val="24"/>
                <w:szCs w:val="24"/>
                <w:highlight w:val="none"/>
                <w:lang w:val="zh-CN"/>
                <w14:textFill>
                  <w14:solidFill>
                    <w14:schemeClr w14:val="tx1"/>
                  </w14:solidFill>
                </w14:textFill>
              </w:rPr>
              <w:t>文件要求将纸质版投标文件递交至招标代理处 （所产生的的费用投标单位自理) 。纸质版投标文件可通过加密电子版投标文件打印生成，应当与电子版投标文件一致。</w:t>
            </w:r>
            <w:r>
              <w:rPr>
                <w:rFonts w:hint="eastAsia" w:hAnsi="宋体" w:cs="宋体"/>
                <w:color w:val="000000" w:themeColor="text1"/>
                <w:sz w:val="24"/>
                <w:szCs w:val="24"/>
                <w:highlight w:val="none"/>
                <w:lang w:val="zh-CN"/>
                <w14:textFill>
                  <w14:solidFill>
                    <w14:schemeClr w14:val="tx1"/>
                  </w14:solidFill>
                </w14:textFill>
              </w:rPr>
              <w:t>涉及二轮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报价，投标企业需提供二轮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报价的清单纸质版加盖公章</w:t>
            </w:r>
            <w:r>
              <w:rPr>
                <w:rFonts w:hint="eastAsia" w:ascii="宋体" w:hAnsi="宋体" w:eastAsia="宋体" w:cs="宋体"/>
                <w:color w:val="000000" w:themeColor="text1"/>
                <w:sz w:val="24"/>
                <w:szCs w:val="24"/>
                <w:highlight w:val="none"/>
                <w:lang w:val="zh-CN"/>
                <w14:textFill>
                  <w14:solidFill>
                    <w14:schemeClr w14:val="tx1"/>
                  </w14:solidFill>
                </w14:textFill>
              </w:rPr>
              <w:t>【1、份数要求：正本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份、副本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份。2、装订要求：响应文件商务技术部分装订成一册，响应文件的装订必须采用死页胶粘本。】</w:t>
            </w:r>
          </w:p>
        </w:tc>
      </w:tr>
      <w:tr w14:paraId="25C5B27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AFDF645">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7" w:name="_Toc7285"/>
            <w:bookmarkStart w:id="28" w:name="_Toc464831128"/>
            <w:r>
              <w:rPr>
                <w:rFonts w:hint="eastAsia" w:ascii="宋体" w:hAnsi="宋体" w:eastAsia="宋体" w:cs="宋体"/>
                <w:color w:val="000000" w:themeColor="text1"/>
                <w:sz w:val="24"/>
                <w:szCs w:val="24"/>
                <w:highlight w:val="none"/>
                <w:lang w:val="en-US" w:eastAsia="zh-CN"/>
                <w14:textFill>
                  <w14:solidFill>
                    <w14:schemeClr w14:val="tx1"/>
                  </w14:solidFill>
                </w14:textFill>
              </w:rPr>
              <w:t>36.10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9B031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成交公示及签订合同</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96D875E">
            <w:pPr>
              <w:pStyle w:val="11"/>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采购结果在</w:t>
            </w:r>
            <w:r>
              <w:rPr>
                <w:rFonts w:hint="eastAsia" w:ascii="宋体" w:hAnsi="宋体" w:eastAsia="宋体" w:cs="宋体"/>
                <w:color w:val="000000" w:themeColor="text1"/>
                <w:sz w:val="24"/>
                <w:szCs w:val="24"/>
                <w:highlight w:val="none"/>
                <w:lang w:val="zh-CN" w:eastAsia="zh-CN"/>
                <w14:textFill>
                  <w14:solidFill>
                    <w14:schemeClr w14:val="tx1"/>
                  </w14:solidFill>
                </w14:textFill>
              </w:rPr>
              <w:t>新疆政府采购网</w:t>
            </w:r>
            <w:r>
              <w:rPr>
                <w:rFonts w:hint="eastAsia" w:ascii="宋体" w:hAnsi="宋体" w:eastAsia="宋体" w:cs="宋体"/>
                <w:color w:val="000000" w:themeColor="text1"/>
                <w:sz w:val="24"/>
                <w:szCs w:val="24"/>
                <w:highlight w:val="none"/>
                <w:lang w:val="zh-CN"/>
                <w14:textFill>
                  <w14:solidFill>
                    <w14:schemeClr w14:val="tx1"/>
                  </w14:solidFill>
                </w14:textFill>
              </w:rPr>
              <w:t>发布成交公示。</w:t>
            </w:r>
          </w:p>
          <w:p w14:paraId="2D43E367">
            <w:pPr>
              <w:pStyle w:val="11"/>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w:t>
            </w:r>
            <w:r>
              <w:rPr>
                <w:rFonts w:hint="eastAsia" w:ascii="宋体" w:hAnsi="宋体" w:eastAsia="宋体" w:cs="宋体"/>
                <w:color w:val="000000" w:themeColor="text1"/>
                <w:sz w:val="24"/>
                <w:szCs w:val="24"/>
                <w:highlight w:val="none"/>
                <w:lang w:val="zh-CN"/>
                <w14:textFill>
                  <w14:solidFill>
                    <w14:schemeClr w14:val="tx1"/>
                  </w14:solidFill>
                </w14:textFill>
              </w:rPr>
              <w:t>应自</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w:t>
            </w:r>
            <w:r>
              <w:rPr>
                <w:rFonts w:hint="eastAsia" w:ascii="宋体" w:hAnsi="宋体" w:eastAsia="宋体" w:cs="宋体"/>
                <w:color w:val="000000" w:themeColor="text1"/>
                <w:sz w:val="24"/>
                <w:szCs w:val="24"/>
                <w:highlight w:val="none"/>
                <w:lang w:val="zh-CN"/>
                <w14:textFill>
                  <w14:solidFill>
                    <w14:schemeClr w14:val="tx1"/>
                  </w14:solidFill>
                </w14:textFill>
              </w:rPr>
              <w:t>通知书发出后</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日内与采购人签订合同。</w:t>
            </w:r>
          </w:p>
        </w:tc>
      </w:tr>
      <w:tr w14:paraId="1BEDA49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3B53217">
            <w:pPr>
              <w:numPr>
                <w:ilvl w:val="0"/>
                <w:numId w:val="0"/>
              </w:numPr>
              <w:ind w:left="0" w:leftChars="0"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bookmarkStart w:id="29" w:name="_Toc4196"/>
            <w:bookmarkStart w:id="30" w:name="_Toc21160"/>
            <w:bookmarkStart w:id="31" w:name="_Toc26216"/>
            <w:bookmarkStart w:id="32" w:name="_Toc29517"/>
            <w:bookmarkStart w:id="33" w:name="_Toc12585"/>
            <w:bookmarkStart w:id="34" w:name="_Toc16527"/>
            <w:bookmarkStart w:id="35" w:name="_Toc6355"/>
            <w:r>
              <w:rPr>
                <w:rFonts w:hint="eastAsia" w:ascii="宋体" w:hAnsi="宋体" w:cs="宋体"/>
                <w:color w:val="000000" w:themeColor="text1"/>
                <w:sz w:val="24"/>
                <w:szCs w:val="24"/>
                <w:highlight w:val="none"/>
                <w:lang w:val="en-US" w:eastAsia="zh-CN"/>
                <w14:textFill>
                  <w14:solidFill>
                    <w14:schemeClr w14:val="tx1"/>
                  </w14:solidFill>
                </w14:textFill>
              </w:rPr>
              <w:t>36.11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1AD3CCA">
            <w:pPr>
              <w:keepNext w:val="0"/>
              <w:keepLines w:val="0"/>
              <w:pageBreakBefore w:val="0"/>
              <w:widowControl w:val="0"/>
              <w:kinsoku/>
              <w:wordWrap/>
              <w:overflowPunct/>
              <w:topLinePunct w:val="0"/>
              <w:bidi w:val="0"/>
              <w:adjustRightInd/>
              <w:snapToGrid/>
              <w:spacing w:before="32" w:beforeLines="10" w:line="264"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其他</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75B21B3">
            <w:pPr>
              <w:pStyle w:val="11"/>
              <w:numPr>
                <w:ilvl w:val="0"/>
                <w:numId w:val="0"/>
              </w:numP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en-US" w:eastAsia="zh-CN" w:bidi="ar-SA"/>
                <w14:textFill>
                  <w14:solidFill>
                    <w14:schemeClr w14:val="tx1"/>
                  </w14:solidFill>
                </w14:textFill>
              </w:rPr>
              <w:t>1、其他要求：</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外省企业进疆从事建筑活动，应登录新疆工程建设云（ http://jsy.xjjs.gov.cn/dataservice/index）注册报送企业基本信息和人员信息，其项目人员为信息报送册注册人员，并在投标文件中提供进境备案册。并且在人员、 设备、资金等方面具有相应的施工能力。</w:t>
            </w:r>
          </w:p>
          <w:p w14:paraId="21A7697A">
            <w:pPr>
              <w:pStyle w:val="11"/>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1</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项目负责人需为本单位注册（本工程不接受临时注册建造师）；否则投标文件将被拒绝。</w:t>
            </w:r>
          </w:p>
          <w:p w14:paraId="085FB3CA">
            <w:pPr>
              <w:pStyle w:val="11"/>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2</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投标企业资质及相关从业人员的各类资质 (资格) 均以投标企业标书中提供的证书为准（若有延期需将延期证明材料一并放入投标书中），若为疆外企业，应提交《新疆维吾尔自治区外建设工程企业信息登记册》，且企业及人员信息已在新疆建设云上报送通过，相关信息未审核通过的，以否决投标处理。</w:t>
            </w:r>
          </w:p>
          <w:p w14:paraId="62A6691B">
            <w:pPr>
              <w:pStyle w:val="11"/>
              <w:numPr>
                <w:ilvl w:val="0"/>
                <w:numId w:val="0"/>
              </w:numP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3</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auto"/>
                <w:kern w:val="2"/>
                <w:sz w:val="24"/>
                <w:szCs w:val="24"/>
                <w:highlight w:val="none"/>
                <w:lang w:val="zh-CN" w:eastAsia="zh-CN" w:bidi="ar-SA"/>
              </w:rPr>
              <w:t>人员要求：项目负责人：1 人 须具备机电工程二级注册建造师二级（含）以上具有有效的安全生产考核合格 B证，且不得担任其他在建工程项目的项目负责人；技术负责人：1 人具有中级工程师职称（</w:t>
            </w:r>
            <w:r>
              <w:rPr>
                <w:rFonts w:hint="eastAsia" w:hAnsi="宋体" w:cs="宋体"/>
                <w:color w:val="auto"/>
                <w:kern w:val="2"/>
                <w:sz w:val="24"/>
                <w:szCs w:val="24"/>
                <w:highlight w:val="none"/>
                <w:lang w:val="en-US" w:eastAsia="zh-CN" w:bidi="ar-SA"/>
              </w:rPr>
              <w:t>电力相关专业</w:t>
            </w:r>
            <w:r>
              <w:rPr>
                <w:rFonts w:hint="eastAsia" w:ascii="宋体" w:hAnsi="宋体" w:eastAsia="宋体" w:cs="宋体"/>
                <w:color w:val="auto"/>
                <w:kern w:val="2"/>
                <w:sz w:val="24"/>
                <w:szCs w:val="24"/>
                <w:highlight w:val="none"/>
                <w:lang w:val="zh-CN" w:eastAsia="zh-CN" w:bidi="ar-SA"/>
              </w:rPr>
              <w:t>）；技术负责人不得由项目负责人兼任；施工员：1 人必须具备岗位证书；质检员：1 人必须具备岗位证书；安全员：1 人必须具备安全生产考核合格 C 证</w:t>
            </w:r>
            <w:r>
              <w:rPr>
                <w:rFonts w:hint="eastAsia" w:hAnsi="宋体" w:cs="宋体"/>
                <w:color w:val="auto"/>
                <w:kern w:val="2"/>
                <w:sz w:val="24"/>
                <w:szCs w:val="24"/>
                <w:highlight w:val="none"/>
                <w:lang w:val="en-US" w:eastAsia="zh-CN" w:bidi="ar-SA"/>
              </w:rPr>
              <w:t>及岗位证</w:t>
            </w:r>
            <w:r>
              <w:rPr>
                <w:rFonts w:hint="eastAsia" w:ascii="宋体" w:hAnsi="宋体" w:eastAsia="宋体" w:cs="宋体"/>
                <w:color w:val="auto"/>
                <w:kern w:val="2"/>
                <w:sz w:val="24"/>
                <w:szCs w:val="24"/>
                <w:highlight w:val="none"/>
                <w:lang w:val="zh-CN" w:eastAsia="zh-CN" w:bidi="ar-SA"/>
              </w:rPr>
              <w:t>；标准员：1 人必须具备岗位证书；机械员：1人必须具备岗位证书；材料员：1人必须具备岗位证书；劳务员：1 人必须具备岗位证书；资料员：1人必须具备岗位证书；注：以上配备的所有人员均需提供社保部门出具的提供近段时间内连续三个月的缴纳社保（缴纳社保的个人明细表）</w:t>
            </w:r>
            <w:r>
              <w:rPr>
                <w:rFonts w:hint="eastAsia" w:hAnsi="宋体" w:cs="宋体"/>
                <w:color w:val="auto"/>
                <w:kern w:val="2"/>
                <w:sz w:val="24"/>
                <w:szCs w:val="24"/>
                <w:highlight w:val="none"/>
                <w:lang w:val="en-US" w:eastAsia="zh-CN" w:bidi="ar-SA"/>
              </w:rPr>
              <w:t>且不得在其他在建项目上担任任何岗位（并附无在建项目承诺书，格式自拟），否则以否决投标处理，敬请注意！</w:t>
            </w:r>
            <w:r>
              <w:rPr>
                <w:rFonts w:hint="eastAsia" w:ascii="宋体" w:hAnsi="宋体" w:eastAsia="宋体" w:cs="宋体"/>
                <w:color w:val="auto"/>
                <w:kern w:val="2"/>
                <w:sz w:val="24"/>
                <w:szCs w:val="24"/>
                <w:highlight w:val="none"/>
                <w:lang w:val="zh-CN" w:eastAsia="zh-CN" w:bidi="ar-SA"/>
              </w:rPr>
              <w:t>以上人员均需在建设云可查询。</w:t>
            </w:r>
          </w:p>
          <w:p w14:paraId="75BCA37D">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2、2、业绩要求：☑</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要求，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企业近三年承担过 1 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业绩；（近三年指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月至响应文件开启以工程竣工验收报告落款时间为准的中标通知书或发包通知书、施工合同（第一部分，内容齐全、信息完整）及完整的竣工验收报告的原件扫描件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（2）与工程建设规模相似、结构类型、使用功能相同的工程项目，具体指标按照国家和自治区有关规定执行。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要求，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拟任项目负责人（项目经理）近三年承担过 1 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月至响应文件开启以工程竣工验收报告落款时间为准的中标通知书或发包通知书、施工合同（第一部分，内容齐全、信息完整）及完整的竣工验收报告的原件扫描件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且业绩证明材料须反映出项目负责人；（</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）与工程建设规模相似、结构类型、使用功能相同的工程项目，具体指标按照国家和自治区有关规定执行。</w:t>
            </w:r>
          </w:p>
          <w:p w14:paraId="1F9C57E6">
            <w:pPr>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3/信誉要求：参加本项目投标的企业必须在国家企业信用信息公示系（http://www.gsxt.gov.cn）、</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信用中国（https://www.creditchina.gov.cn）及全国建筑市场监管公共服务平台（http://jzsc.mohurd.gov.cn/home）未被列入经营异常名录或严重违法失信企业黑名单；如有被列入经营异常名录或严重违法失信企业黑名单的投标人将被否决投标，敬请各投标人注意。（未在执行期间和已被移除异常名录的除外）提供以上网址查询信息截图、截图能清晰显示公司名称、截图时间等信息。（截图时间应在本项目招标公告发布日期之后），</w:t>
            </w:r>
            <w:r>
              <w:rPr>
                <w:rFonts w:hint="eastAsia" w:hAnsi="宋体" w:cs="宋体"/>
                <w:color w:val="000000" w:themeColor="text1"/>
                <w:kern w:val="2"/>
                <w:sz w:val="24"/>
                <w:szCs w:val="24"/>
                <w:highlight w:val="none"/>
                <w:lang w:val="en-US" w:eastAsia="zh-CN" w:bidi="ar-SA"/>
                <w14:textFill>
                  <w14:solidFill>
                    <w14:schemeClr w14:val="tx1"/>
                  </w14:solidFill>
                </w14:textFill>
              </w:rPr>
              <w:t>否则以否决投标处理，敬请注意！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24ED8DE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3、其他要求：投标单位一旦中标必须按投标文件所提供的人员备案，并实际参与管理，招标人将对以上人员进行考勤，未经招标人及相关主管部门允许不得更换以上人员。</w:t>
            </w:r>
          </w:p>
          <w:p w14:paraId="5005272C">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4、关于中标后变更项目经理（总监）及班子人员的要求：施工合同签订后，合同中确定的项目经理及班子人员应当全面履行合同约定的义务，除有下列情形之一外，不得随意更换：（1）因自身原因导致工程项目发生重大质量、安全事故的；（2）有违法、违规、违纪行为，被暂停或吊销担任项目经理资格的；（3）不能胜任所承担的工程任务，发包人要求更换的；（4）变更工作单位的；（5）罹患严重疾病需要治疗或者修养，时间在一个月以上或者超过合同工期二分之一以上的（以上情况之一必须提供印证材料）；被换人必须符合招标文件投标人须知所有条款（提供有关印证资料、如提供弄虚作假的印证资料按有关法律法规严肃处理）。</w:t>
            </w:r>
          </w:p>
          <w:p w14:paraId="36328C0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5、①与招标人存在利害关系可能影响招标公正性的法人、其他组织或者个人，不得参加投标；②单位负责人为同一人或者存在控股、管理关系的不同单位，不得参加同一标段投标或者未划分 标段的同一招标项目投标，违反前两款规定的，相关投标均无效。</w:t>
            </w:r>
          </w:p>
          <w:p w14:paraId="20241DA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6、投标人均非处于被责令停业，财产被接管、冻结、破产状态。</w:t>
            </w:r>
          </w:p>
          <w:p w14:paraId="537A7964">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7、</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投标文件中出现危害国家利益或不符合有关法律法规的投标人作否决投标处理。</w:t>
            </w:r>
          </w:p>
          <w:p w14:paraId="33114400">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8</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、当投标须知前附表与后续内容不一致时，以投标须知前附表为准。</w:t>
            </w:r>
          </w:p>
        </w:tc>
      </w:tr>
    </w:tbl>
    <w:p w14:paraId="1ABF0D07">
      <w:pPr>
        <w:spacing w:after="156" w:afterLines="50"/>
        <w:jc w:val="both"/>
        <w:outlineLvl w:val="1"/>
        <w:rPr>
          <w:rFonts w:hint="eastAsia" w:ascii="宋体" w:hAnsi="宋体" w:eastAsia="宋体" w:cs="宋体"/>
          <w:color w:val="000000" w:themeColor="text1"/>
          <w:sz w:val="28"/>
          <w:szCs w:val="28"/>
          <w:highlight w:val="none"/>
          <w14:textFill>
            <w14:solidFill>
              <w14:schemeClr w14:val="tx1"/>
            </w14:solidFill>
          </w14:textFill>
        </w:rPr>
      </w:pPr>
    </w:p>
    <w:p w14:paraId="5A075051">
      <w:pPr>
        <w:pStyle w:val="15"/>
        <w:rPr>
          <w:rFonts w:hint="eastAsia" w:ascii="宋体" w:hAnsi="宋体" w:eastAsia="宋体" w:cs="宋体"/>
          <w:color w:val="000000" w:themeColor="text1"/>
          <w:sz w:val="28"/>
          <w:szCs w:val="28"/>
          <w:highlight w:val="none"/>
          <w14:textFill>
            <w14:solidFill>
              <w14:schemeClr w14:val="tx1"/>
            </w14:solidFill>
          </w14:textFill>
        </w:rPr>
      </w:pPr>
    </w:p>
    <w:p w14:paraId="42FA90EA">
      <w:pPr>
        <w:pStyle w:val="15"/>
        <w:rPr>
          <w:rFonts w:hint="eastAsia" w:ascii="宋体" w:hAnsi="宋体" w:eastAsia="宋体" w:cs="宋体"/>
          <w:color w:val="000000" w:themeColor="text1"/>
          <w:sz w:val="28"/>
          <w:szCs w:val="28"/>
          <w:highlight w:val="none"/>
          <w14:textFill>
            <w14:solidFill>
              <w14:schemeClr w14:val="tx1"/>
            </w14:solidFill>
          </w14:textFill>
        </w:rPr>
      </w:pPr>
    </w:p>
    <w:p w14:paraId="5DFA645E">
      <w:pPr>
        <w:pStyle w:val="15"/>
        <w:rPr>
          <w:rFonts w:hint="eastAsia" w:ascii="宋体" w:hAnsi="宋体" w:eastAsia="宋体" w:cs="宋体"/>
          <w:color w:val="000000" w:themeColor="text1"/>
          <w:sz w:val="28"/>
          <w:szCs w:val="28"/>
          <w:highlight w:val="none"/>
          <w14:textFill>
            <w14:solidFill>
              <w14:schemeClr w14:val="tx1"/>
            </w14:solidFill>
          </w14:textFill>
        </w:rPr>
      </w:pPr>
    </w:p>
    <w:p w14:paraId="1E13D7B7">
      <w:pPr>
        <w:pStyle w:val="15"/>
        <w:rPr>
          <w:rFonts w:hint="eastAsia" w:ascii="宋体" w:hAnsi="宋体" w:eastAsia="宋体" w:cs="宋体"/>
          <w:color w:val="000000" w:themeColor="text1"/>
          <w:sz w:val="28"/>
          <w:szCs w:val="28"/>
          <w:highlight w:val="none"/>
          <w14:textFill>
            <w14:solidFill>
              <w14:schemeClr w14:val="tx1"/>
            </w14:solidFill>
          </w14:textFill>
        </w:rPr>
      </w:pPr>
    </w:p>
    <w:p w14:paraId="14822E19">
      <w:pPr>
        <w:pStyle w:val="15"/>
        <w:rPr>
          <w:rFonts w:hint="eastAsia" w:ascii="宋体" w:hAnsi="宋体" w:eastAsia="宋体" w:cs="宋体"/>
          <w:color w:val="000000" w:themeColor="text1"/>
          <w:sz w:val="28"/>
          <w:szCs w:val="28"/>
          <w:highlight w:val="none"/>
          <w14:textFill>
            <w14:solidFill>
              <w14:schemeClr w14:val="tx1"/>
            </w14:solidFill>
          </w14:textFill>
        </w:rPr>
      </w:pPr>
    </w:p>
    <w:p w14:paraId="796F385F">
      <w:pPr>
        <w:pStyle w:val="15"/>
        <w:rPr>
          <w:rFonts w:hint="eastAsia" w:ascii="宋体" w:hAnsi="宋体" w:eastAsia="宋体" w:cs="宋体"/>
          <w:color w:val="000000" w:themeColor="text1"/>
          <w:sz w:val="28"/>
          <w:szCs w:val="28"/>
          <w:highlight w:val="none"/>
          <w14:textFill>
            <w14:solidFill>
              <w14:schemeClr w14:val="tx1"/>
            </w14:solidFill>
          </w14:textFill>
        </w:rPr>
      </w:pPr>
    </w:p>
    <w:p w14:paraId="3E8FA99C">
      <w:pPr>
        <w:pStyle w:val="15"/>
        <w:rPr>
          <w:rFonts w:hint="eastAsia" w:ascii="宋体" w:hAnsi="宋体" w:eastAsia="宋体" w:cs="宋体"/>
          <w:color w:val="000000" w:themeColor="text1"/>
          <w:sz w:val="28"/>
          <w:szCs w:val="28"/>
          <w:highlight w:val="none"/>
          <w14:textFill>
            <w14:solidFill>
              <w14:schemeClr w14:val="tx1"/>
            </w14:solidFill>
          </w14:textFill>
        </w:rPr>
      </w:pPr>
    </w:p>
    <w:p w14:paraId="2BB69574">
      <w:pPr>
        <w:pStyle w:val="15"/>
        <w:rPr>
          <w:rFonts w:hint="eastAsia" w:ascii="宋体" w:hAnsi="宋体" w:eastAsia="宋体" w:cs="宋体"/>
          <w:color w:val="000000" w:themeColor="text1"/>
          <w:sz w:val="28"/>
          <w:szCs w:val="28"/>
          <w:highlight w:val="none"/>
          <w14:textFill>
            <w14:solidFill>
              <w14:schemeClr w14:val="tx1"/>
            </w14:solidFill>
          </w14:textFill>
        </w:rPr>
      </w:pPr>
    </w:p>
    <w:p w14:paraId="55379496">
      <w:pPr>
        <w:pStyle w:val="15"/>
        <w:rPr>
          <w:rFonts w:hint="eastAsia" w:ascii="宋体" w:hAnsi="宋体" w:eastAsia="宋体" w:cs="宋体"/>
          <w:color w:val="000000" w:themeColor="text1"/>
          <w:sz w:val="28"/>
          <w:szCs w:val="28"/>
          <w:highlight w:val="none"/>
          <w14:textFill>
            <w14:solidFill>
              <w14:schemeClr w14:val="tx1"/>
            </w14:solidFill>
          </w14:textFill>
        </w:rPr>
      </w:pPr>
    </w:p>
    <w:p w14:paraId="28CA02BC">
      <w:pPr>
        <w:pStyle w:val="15"/>
        <w:rPr>
          <w:rFonts w:hint="eastAsia" w:ascii="宋体" w:hAnsi="宋体" w:eastAsia="宋体" w:cs="宋体"/>
          <w:color w:val="000000" w:themeColor="text1"/>
          <w:sz w:val="28"/>
          <w:szCs w:val="28"/>
          <w:highlight w:val="none"/>
          <w14:textFill>
            <w14:solidFill>
              <w14:schemeClr w14:val="tx1"/>
            </w14:solidFill>
          </w14:textFill>
        </w:rPr>
      </w:pPr>
    </w:p>
    <w:p w14:paraId="173EB737">
      <w:pPr>
        <w:pStyle w:val="15"/>
        <w:rPr>
          <w:rFonts w:hint="eastAsia" w:ascii="宋体" w:hAnsi="宋体" w:eastAsia="宋体" w:cs="宋体"/>
          <w:color w:val="000000" w:themeColor="text1"/>
          <w:sz w:val="28"/>
          <w:szCs w:val="28"/>
          <w:highlight w:val="none"/>
          <w14:textFill>
            <w14:solidFill>
              <w14:schemeClr w14:val="tx1"/>
            </w14:solidFill>
          </w14:textFill>
        </w:rPr>
      </w:pPr>
    </w:p>
    <w:p w14:paraId="714718AE">
      <w:pPr>
        <w:pStyle w:val="15"/>
        <w:rPr>
          <w:rFonts w:hint="eastAsia" w:ascii="宋体" w:hAnsi="宋体" w:eastAsia="宋体" w:cs="宋体"/>
          <w:color w:val="000000" w:themeColor="text1"/>
          <w:sz w:val="28"/>
          <w:szCs w:val="28"/>
          <w:highlight w:val="none"/>
          <w14:textFill>
            <w14:solidFill>
              <w14:schemeClr w14:val="tx1"/>
            </w14:solidFill>
          </w14:textFill>
        </w:rPr>
      </w:pPr>
    </w:p>
    <w:p w14:paraId="79114504">
      <w:pPr>
        <w:pStyle w:val="15"/>
        <w:rPr>
          <w:rFonts w:hint="eastAsia" w:ascii="宋体" w:hAnsi="宋体" w:eastAsia="宋体" w:cs="宋体"/>
          <w:color w:val="000000" w:themeColor="text1"/>
          <w:sz w:val="28"/>
          <w:szCs w:val="28"/>
          <w:highlight w:val="none"/>
          <w14:textFill>
            <w14:solidFill>
              <w14:schemeClr w14:val="tx1"/>
            </w14:solidFill>
          </w14:textFill>
        </w:rPr>
      </w:pPr>
    </w:p>
    <w:p w14:paraId="2549AD9C">
      <w:pPr>
        <w:pStyle w:val="15"/>
        <w:rPr>
          <w:rFonts w:hint="eastAsia" w:ascii="宋体" w:hAnsi="宋体" w:eastAsia="宋体" w:cs="宋体"/>
          <w:color w:val="000000" w:themeColor="text1"/>
          <w:sz w:val="28"/>
          <w:szCs w:val="28"/>
          <w:highlight w:val="none"/>
          <w14:textFill>
            <w14:solidFill>
              <w14:schemeClr w14:val="tx1"/>
            </w14:solidFill>
          </w14:textFill>
        </w:rPr>
      </w:pPr>
    </w:p>
    <w:p w14:paraId="0012DDCA">
      <w:pPr>
        <w:pStyle w:val="15"/>
        <w:rPr>
          <w:rFonts w:hint="eastAsia" w:ascii="宋体" w:hAnsi="宋体" w:eastAsia="宋体" w:cs="宋体"/>
          <w:color w:val="000000" w:themeColor="text1"/>
          <w:sz w:val="28"/>
          <w:szCs w:val="28"/>
          <w:highlight w:val="none"/>
          <w14:textFill>
            <w14:solidFill>
              <w14:schemeClr w14:val="tx1"/>
            </w14:solidFill>
          </w14:textFill>
        </w:rPr>
      </w:pPr>
    </w:p>
    <w:p w14:paraId="6EB407EE">
      <w:pPr>
        <w:pStyle w:val="15"/>
        <w:rPr>
          <w:rFonts w:hint="eastAsia" w:ascii="宋体" w:hAnsi="宋体" w:eastAsia="宋体" w:cs="宋体"/>
          <w:color w:val="000000" w:themeColor="text1"/>
          <w:sz w:val="28"/>
          <w:szCs w:val="28"/>
          <w:highlight w:val="none"/>
          <w14:textFill>
            <w14:solidFill>
              <w14:schemeClr w14:val="tx1"/>
            </w14:solidFill>
          </w14:textFill>
        </w:rPr>
      </w:pPr>
    </w:p>
    <w:p w14:paraId="3FCAA824">
      <w:pPr>
        <w:pStyle w:val="15"/>
        <w:rPr>
          <w:rFonts w:hint="eastAsia" w:ascii="宋体" w:hAnsi="宋体" w:eastAsia="宋体" w:cs="宋体"/>
          <w:color w:val="000000" w:themeColor="text1"/>
          <w:sz w:val="28"/>
          <w:szCs w:val="28"/>
          <w:highlight w:val="none"/>
          <w14:textFill>
            <w14:solidFill>
              <w14:schemeClr w14:val="tx1"/>
            </w14:solidFill>
          </w14:textFill>
        </w:rPr>
      </w:pPr>
    </w:p>
    <w:p w14:paraId="3B29C56C">
      <w:pPr>
        <w:pStyle w:val="15"/>
        <w:rPr>
          <w:rFonts w:hint="eastAsia" w:ascii="宋体" w:hAnsi="宋体" w:eastAsia="宋体" w:cs="宋体"/>
          <w:color w:val="000000" w:themeColor="text1"/>
          <w:sz w:val="28"/>
          <w:szCs w:val="28"/>
          <w:highlight w:val="none"/>
          <w14:textFill>
            <w14:solidFill>
              <w14:schemeClr w14:val="tx1"/>
            </w14:solidFill>
          </w14:textFill>
        </w:rPr>
      </w:pPr>
    </w:p>
    <w:p w14:paraId="2CA4E342">
      <w:pPr>
        <w:pStyle w:val="2"/>
        <w:rPr>
          <w:rFonts w:hint="eastAsia" w:ascii="宋体" w:hAnsi="宋体" w:eastAsia="宋体" w:cs="宋体"/>
          <w:color w:val="000000" w:themeColor="text1"/>
          <w:sz w:val="28"/>
          <w:szCs w:val="28"/>
          <w:highlight w:val="none"/>
          <w14:textFill>
            <w14:solidFill>
              <w14:schemeClr w14:val="tx1"/>
            </w14:solidFill>
          </w14:textFill>
        </w:rPr>
      </w:pPr>
    </w:p>
    <w:p w14:paraId="044B67AB">
      <w:pPr>
        <w:spacing w:after="156" w:afterLines="50"/>
        <w:jc w:val="center"/>
        <w:outlineLvl w:val="1"/>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供应商须知</w:t>
      </w:r>
      <w:bookmarkEnd w:id="27"/>
      <w:bookmarkEnd w:id="28"/>
      <w:bookmarkEnd w:id="29"/>
      <w:bookmarkEnd w:id="30"/>
      <w:bookmarkEnd w:id="31"/>
      <w:bookmarkEnd w:id="32"/>
      <w:bookmarkEnd w:id="33"/>
      <w:bookmarkEnd w:id="34"/>
      <w:bookmarkEnd w:id="35"/>
    </w:p>
    <w:p w14:paraId="38B4A320">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36" w:name="_Toc13851"/>
      <w:bookmarkStart w:id="37" w:name="_Toc29915"/>
      <w:bookmarkStart w:id="38" w:name="_Toc25840"/>
      <w:bookmarkStart w:id="39" w:name="_Toc20033"/>
      <w:bookmarkStart w:id="40" w:name="_Toc26123"/>
      <w:bookmarkStart w:id="41" w:name="_Toc464831129"/>
      <w:bookmarkStart w:id="42" w:name="_Toc1160"/>
      <w:bookmarkStart w:id="43" w:name="_Toc16423"/>
      <w:r>
        <w:rPr>
          <w:rFonts w:hint="eastAsia" w:ascii="宋体" w:hAnsi="宋体" w:eastAsia="宋体" w:cs="宋体"/>
          <w:color w:val="000000" w:themeColor="text1"/>
          <w:sz w:val="24"/>
          <w:szCs w:val="24"/>
          <w:highlight w:val="none"/>
          <w14:textFill>
            <w14:solidFill>
              <w14:schemeClr w14:val="tx1"/>
            </w14:solidFill>
          </w14:textFill>
        </w:rPr>
        <w:t>1.采购依据以及原则</w:t>
      </w:r>
      <w:bookmarkEnd w:id="36"/>
      <w:bookmarkEnd w:id="37"/>
      <w:bookmarkEnd w:id="38"/>
      <w:bookmarkEnd w:id="39"/>
      <w:bookmarkEnd w:id="40"/>
      <w:bookmarkEnd w:id="41"/>
      <w:bookmarkEnd w:id="42"/>
      <w:bookmarkEnd w:id="43"/>
    </w:p>
    <w:p w14:paraId="396EDC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1.1《中华人民共和国政府采购法》；</w:t>
      </w:r>
    </w:p>
    <w:p w14:paraId="047FF5C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1.2《中华人民共和国合同法》；</w:t>
      </w:r>
    </w:p>
    <w:p w14:paraId="52CB6D0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1.3《中华人民共和国政府采购法实施条例》；</w:t>
      </w:r>
    </w:p>
    <w:p w14:paraId="46EF86E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1.4《政府采购非招标采购方式管理办法》；</w:t>
      </w:r>
    </w:p>
    <w:p w14:paraId="7158857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1.5《政府采购供应商投诉处理办法》；</w:t>
      </w:r>
    </w:p>
    <w:p w14:paraId="1F67B20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其他有关法律、行政法规以及省市规范性文件规定。</w:t>
      </w:r>
    </w:p>
    <w:p w14:paraId="650A522F">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44" w:name="_Toc464831130"/>
      <w:bookmarkStart w:id="45" w:name="_Toc19794"/>
      <w:bookmarkStart w:id="46" w:name="_Toc6751"/>
      <w:bookmarkStart w:id="47" w:name="_Toc11642"/>
      <w:bookmarkStart w:id="48" w:name="_Toc4256"/>
      <w:bookmarkStart w:id="49" w:name="_Toc25545"/>
      <w:bookmarkStart w:id="50" w:name="_Toc14213"/>
      <w:bookmarkStart w:id="51" w:name="_Toc15374"/>
      <w:bookmarkStart w:id="52" w:name="_Toc464831131"/>
      <w:r>
        <w:rPr>
          <w:rFonts w:hint="eastAsia" w:ascii="宋体" w:hAnsi="宋体" w:eastAsia="宋体" w:cs="宋体"/>
          <w:color w:val="000000" w:themeColor="text1"/>
          <w:sz w:val="24"/>
          <w:szCs w:val="24"/>
          <w:highlight w:val="none"/>
          <w14:textFill>
            <w14:solidFill>
              <w14:schemeClr w14:val="tx1"/>
            </w14:solidFill>
          </w14:textFill>
        </w:rPr>
        <w:t>2.合格的供应商</w:t>
      </w:r>
      <w:bookmarkEnd w:id="44"/>
      <w:bookmarkEnd w:id="45"/>
      <w:bookmarkEnd w:id="46"/>
      <w:bookmarkEnd w:id="47"/>
      <w:bookmarkEnd w:id="48"/>
      <w:bookmarkEnd w:id="49"/>
      <w:bookmarkEnd w:id="50"/>
      <w:bookmarkEnd w:id="51"/>
    </w:p>
    <w:p w14:paraId="126E5E7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2.1符合《中华人民共和国政府采购法》第二十二条第一款规定的条件；</w:t>
      </w:r>
    </w:p>
    <w:p w14:paraId="37AFA37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2.2符合本采购文件规定的资格要求，且按照要求提供相关证明材料；</w:t>
      </w:r>
    </w:p>
    <w:p w14:paraId="37DFC37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2.3单位负责人为同一人或者存在直接控股、管理关系的不同供应商，不得参加同一合同项下的政府采购活动。</w:t>
      </w:r>
    </w:p>
    <w:p w14:paraId="4EF7BE1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2.4供应商资格要求中，代理商须提供产品制造商针对本项目的唯一授权的，同一品牌的同品目产品，只允许一个供应商参加报价；</w:t>
      </w:r>
    </w:p>
    <w:p w14:paraId="5DCAAFA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2.5供应商须知前附表规定接受联合体报价的，应符合以下规定：</w:t>
      </w:r>
    </w:p>
    <w:p w14:paraId="675E83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2.5.1联合体各方应按照采购文件提供的格式签订联合体协议书，明确联合体牵头人和各方权利义务；</w:t>
      </w:r>
    </w:p>
    <w:p w14:paraId="68F65C8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2.5.2联合体各方均应当符合《政府采购法》第二十二条第一款规定的条件；</w:t>
      </w:r>
    </w:p>
    <w:p w14:paraId="342BC9F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2.5.3联合体中有同类资质的供应商按照联合体分工承担相同工作的，应当按照资质等级较低的供应商确定资质等级。</w:t>
      </w:r>
    </w:p>
    <w:p w14:paraId="1B79BE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2.5.4以联合体形式参加政府采购活动的，联合体各方不得再单独参加或者与其他供应商另外组成联合体参加同一合同项下的政府采购活动。</w:t>
      </w:r>
    </w:p>
    <w:p w14:paraId="5F5C824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2.5.5联合体各方应当共同与采购人签订采购合同，就合同约定的事项对采购人承担连带责任。</w:t>
      </w:r>
    </w:p>
    <w:p w14:paraId="07CCE47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2.5.6鼓励大中型企业和其他自然人、法人或者其他组织与小型、微型企业组成联合体报价，但联合体各方均应符合上述规定。</w:t>
      </w:r>
    </w:p>
    <w:p w14:paraId="3D63A7E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2.6除采购人拟采购进口产品通过财政部门审核外，供应商不得提供直接进口或者委托进口产品（包括已进入中国境内的进口产品）。</w:t>
      </w:r>
    </w:p>
    <w:p w14:paraId="10BE8FC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2.7为采购项目提供整体设计、规范编制或者项目管理、监理、检测等服务的供应商，不得再参加该采购项目的其他采购活动。</w:t>
      </w:r>
    </w:p>
    <w:p w14:paraId="76F989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2.8供应商提供的证明材料内容必须真实可靠。</w:t>
      </w:r>
    </w:p>
    <w:p w14:paraId="79F6C3D4">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符合上述条件的供应商即为合格供应商，具有参与竞争性谈判的资格。</w:t>
      </w:r>
    </w:p>
    <w:bookmarkEnd w:id="52"/>
    <w:p w14:paraId="18E29BE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53" w:name="_Toc28586"/>
      <w:bookmarkStart w:id="54" w:name="_Toc15717"/>
      <w:bookmarkStart w:id="55" w:name="_Toc24539"/>
      <w:bookmarkStart w:id="56" w:name="_Toc28858"/>
      <w:bookmarkStart w:id="57" w:name="_Toc509"/>
      <w:bookmarkStart w:id="58" w:name="_Toc29608"/>
      <w:bookmarkStart w:id="59" w:name="_Toc20271"/>
      <w:bookmarkStart w:id="60" w:name="_Toc464831132"/>
      <w:r>
        <w:rPr>
          <w:rFonts w:hint="eastAsia" w:ascii="宋体" w:hAnsi="宋体" w:eastAsia="宋体" w:cs="宋体"/>
          <w:color w:val="000000" w:themeColor="text1"/>
          <w:sz w:val="24"/>
          <w:szCs w:val="24"/>
          <w:highlight w:val="none"/>
          <w14:textFill>
            <w14:solidFill>
              <w14:schemeClr w14:val="tx1"/>
            </w14:solidFill>
          </w14:textFill>
        </w:rPr>
        <w:t>3.保密</w:t>
      </w:r>
      <w:bookmarkEnd w:id="53"/>
      <w:bookmarkEnd w:id="54"/>
      <w:bookmarkEnd w:id="55"/>
      <w:bookmarkEnd w:id="56"/>
      <w:bookmarkEnd w:id="57"/>
      <w:bookmarkEnd w:id="58"/>
      <w:bookmarkEnd w:id="59"/>
    </w:p>
    <w:p w14:paraId="39EFDF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参与竞争性谈判活动的当事人应对采购文件和响应文件中的商业和技术等秘密保密，违者应对由此造成的后果承担法律责任。</w:t>
      </w:r>
    </w:p>
    <w:p w14:paraId="0A683C9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1" w:name="_Toc26963"/>
      <w:bookmarkStart w:id="62" w:name="_Toc1274"/>
      <w:bookmarkStart w:id="63" w:name="_Toc12085"/>
      <w:bookmarkStart w:id="64" w:name="_Toc31513"/>
      <w:bookmarkStart w:id="65" w:name="_Toc12609"/>
      <w:bookmarkStart w:id="66" w:name="_Toc28125"/>
      <w:bookmarkStart w:id="67" w:name="_Toc6962"/>
      <w:r>
        <w:rPr>
          <w:rFonts w:hint="eastAsia" w:ascii="宋体" w:hAnsi="宋体" w:eastAsia="宋体" w:cs="宋体"/>
          <w:color w:val="000000" w:themeColor="text1"/>
          <w:sz w:val="24"/>
          <w:szCs w:val="24"/>
          <w:highlight w:val="none"/>
          <w14:textFill>
            <w14:solidFill>
              <w14:schemeClr w14:val="tx1"/>
            </w14:solidFill>
          </w14:textFill>
        </w:rPr>
        <w:t>4.语言文字、计量单位、时间单位、报价有效期以及参与采购活动费用</w:t>
      </w:r>
      <w:bookmarkEnd w:id="60"/>
      <w:bookmarkEnd w:id="61"/>
      <w:bookmarkEnd w:id="62"/>
      <w:bookmarkEnd w:id="63"/>
      <w:bookmarkEnd w:id="64"/>
      <w:bookmarkEnd w:id="65"/>
      <w:bookmarkEnd w:id="66"/>
      <w:bookmarkEnd w:id="67"/>
    </w:p>
    <w:p w14:paraId="10E6798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4.1语言文字</w:t>
      </w:r>
    </w:p>
    <w:p w14:paraId="351BD4B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专用术语外，与竞争性谈判活动有关的语言均使用简体中文。必要时专用术语应附有中文注释。如供应商提交的支持文件和印刷的文献使用另一种语言，应附有相应内容的中文翻译本，在解释响应文件时以中文翻译本为准。</w:t>
      </w:r>
    </w:p>
    <w:p w14:paraId="7CE5326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4.2计量单位</w:t>
      </w:r>
    </w:p>
    <w:p w14:paraId="039C642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除采购文件另有规定外，计量均应采用中华人民共和国法定计量单位；所有报价一律使用人民币，货币单位为“元”。</w:t>
      </w:r>
    </w:p>
    <w:p w14:paraId="31F4FEB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4.3时间单位</w:t>
      </w:r>
    </w:p>
    <w:p w14:paraId="3F15F1C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除采购文件中另有规定外，采购文件所使用的时间单位“天”、“日”均指日历天，时、分均为北京时间。</w:t>
      </w:r>
    </w:p>
    <w:p w14:paraId="6A7AF28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4.4报价有效期</w:t>
      </w:r>
    </w:p>
    <w:p w14:paraId="0D7889A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4.4.1在供应商须知前附表规定的报价有效期内，响应文件以及其补充、承诺等部分均保持有效。</w:t>
      </w:r>
    </w:p>
    <w:p w14:paraId="1F67B6F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4.4.2在采购文件规定的响应文件有效期满之前，如果出现特殊情况，采购人或者采购代理机构可在报价有效期内要求供应商延长有效期，要求与答复均以书面通知为准并作为采购文件和响应文件的组成部分；供应商可以拒绝上述要求而其保证金不被没收，拒绝延长响应文件有效期的，其响应失效；同意上述要求的，既不能要求也不允许其修改响应文件，有关退还和没收保证金的规定在报价有效期的延长期内继续有效。</w:t>
      </w:r>
    </w:p>
    <w:p w14:paraId="7D6FAF9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4.5参与采购活动费用</w:t>
      </w:r>
    </w:p>
    <w:p w14:paraId="402E3A3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供应商应自行承担其准备和参加采购活动发生的所有费用。</w:t>
      </w:r>
    </w:p>
    <w:p w14:paraId="40553FF2">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8" w:name="_Toc24480"/>
      <w:bookmarkStart w:id="69" w:name="_Toc13533"/>
      <w:bookmarkStart w:id="70" w:name="_Toc14681"/>
      <w:bookmarkStart w:id="71" w:name="_Toc28223"/>
      <w:bookmarkStart w:id="72" w:name="_Toc20355"/>
      <w:bookmarkStart w:id="73" w:name="_Toc5772"/>
      <w:bookmarkStart w:id="74" w:name="_Toc464831133"/>
      <w:bookmarkStart w:id="75" w:name="_Toc18894"/>
      <w:r>
        <w:rPr>
          <w:rFonts w:hint="eastAsia" w:ascii="宋体" w:hAnsi="宋体" w:eastAsia="宋体" w:cs="宋体"/>
          <w:color w:val="000000" w:themeColor="text1"/>
          <w:sz w:val="24"/>
          <w:szCs w:val="24"/>
          <w:highlight w:val="none"/>
          <w14:textFill>
            <w14:solidFill>
              <w14:schemeClr w14:val="tx1"/>
            </w14:solidFill>
          </w14:textFill>
        </w:rPr>
        <w:t>5.踏勘现场</w:t>
      </w:r>
      <w:bookmarkEnd w:id="68"/>
      <w:bookmarkEnd w:id="69"/>
      <w:bookmarkEnd w:id="70"/>
      <w:bookmarkEnd w:id="71"/>
      <w:bookmarkEnd w:id="72"/>
      <w:bookmarkEnd w:id="73"/>
      <w:bookmarkEnd w:id="74"/>
      <w:bookmarkEnd w:id="75"/>
    </w:p>
    <w:p w14:paraId="2BE56EF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5.1供应商须知前附表规定组织踏勘现场的，采购人必须按照规定时间、地点组织供应商踏勘项目现场，以便供应商获取有关编制响应文件和签署合同所涉及现场的资料。供应商承担踏勘现场所发生的自身费用。</w:t>
      </w:r>
    </w:p>
    <w:p w14:paraId="1C6AF1B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5.2采购人向供应商提供的有关现场的资料和数据，是采购人现有的能使供应商利用的资料，采购人对供应商由此而做出的推论、理解和结论不负责任。</w:t>
      </w:r>
    </w:p>
    <w:p w14:paraId="42D641F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5.3供应商经过采购人允许，可以进入项目现场踏勘，但不得因此使采购人承担有关责任和蒙受损失。除采购人原因外，供应商应对踏勘现场而造成的死亡、人身伤害、财产损失、损害以及其它任何损失、损害和引起的费用和开支承担责任。</w:t>
      </w:r>
    </w:p>
    <w:p w14:paraId="5A26BC53">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76" w:name="_Toc10002"/>
      <w:bookmarkStart w:id="77" w:name="_Toc7191"/>
      <w:bookmarkStart w:id="78" w:name="_Toc27145"/>
      <w:bookmarkStart w:id="79" w:name="_Toc8820"/>
      <w:bookmarkStart w:id="80" w:name="_Toc24753"/>
      <w:bookmarkStart w:id="81" w:name="_Toc21541"/>
      <w:bookmarkStart w:id="82" w:name="_Toc464831134"/>
      <w:bookmarkStart w:id="83" w:name="_Toc14997"/>
      <w:r>
        <w:rPr>
          <w:rFonts w:hint="eastAsia" w:ascii="宋体" w:hAnsi="宋体" w:eastAsia="宋体" w:cs="宋体"/>
          <w:color w:val="000000" w:themeColor="text1"/>
          <w:sz w:val="24"/>
          <w:szCs w:val="24"/>
          <w:highlight w:val="none"/>
          <w14:textFill>
            <w14:solidFill>
              <w14:schemeClr w14:val="tx1"/>
            </w14:solidFill>
          </w14:textFill>
        </w:rPr>
        <w:t>6.询问</w:t>
      </w:r>
      <w:bookmarkEnd w:id="76"/>
      <w:bookmarkEnd w:id="77"/>
      <w:bookmarkEnd w:id="78"/>
      <w:bookmarkEnd w:id="79"/>
      <w:bookmarkEnd w:id="80"/>
      <w:bookmarkEnd w:id="81"/>
      <w:bookmarkEnd w:id="82"/>
      <w:bookmarkEnd w:id="83"/>
    </w:p>
    <w:p w14:paraId="5576E74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6.1供应商对竞争性谈判活动事项有疑问的，可以向采购代理机构提出询问；采购代理机构应当及时作出答复，但答复的内容不得涉及商业秘密。</w:t>
      </w:r>
    </w:p>
    <w:p w14:paraId="46206A2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6.2询问及答复既可以采取书面形式，也可以采取电话、面谈等口头方式。</w:t>
      </w:r>
    </w:p>
    <w:p w14:paraId="4A66B56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84" w:name="_Toc464831135"/>
      <w:bookmarkStart w:id="85" w:name="_Toc11639"/>
      <w:bookmarkStart w:id="86" w:name="_Toc5404"/>
      <w:bookmarkStart w:id="87" w:name="_Toc15538"/>
      <w:bookmarkStart w:id="88" w:name="_Toc28453"/>
      <w:bookmarkStart w:id="89" w:name="_Toc3969"/>
      <w:bookmarkStart w:id="90" w:name="_Toc652"/>
      <w:bookmarkStart w:id="91" w:name="_Toc12981"/>
      <w:r>
        <w:rPr>
          <w:rFonts w:hint="eastAsia" w:ascii="宋体" w:hAnsi="宋体" w:eastAsia="宋体" w:cs="宋体"/>
          <w:color w:val="000000" w:themeColor="text1"/>
          <w:sz w:val="24"/>
          <w:szCs w:val="24"/>
          <w:highlight w:val="none"/>
          <w14:textFill>
            <w14:solidFill>
              <w14:schemeClr w14:val="tx1"/>
            </w14:solidFill>
          </w14:textFill>
        </w:rPr>
        <w:t>7.偏离</w:t>
      </w:r>
      <w:bookmarkEnd w:id="84"/>
      <w:bookmarkEnd w:id="85"/>
      <w:bookmarkEnd w:id="86"/>
      <w:bookmarkEnd w:id="87"/>
      <w:bookmarkEnd w:id="88"/>
      <w:bookmarkEnd w:id="89"/>
      <w:bookmarkEnd w:id="90"/>
      <w:bookmarkEnd w:id="91"/>
    </w:p>
    <w:p w14:paraId="536A1C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采购人允许响应文件偏离采购文件某些非实质性要求的，偏离应当</w:t>
      </w:r>
      <w:r>
        <w:rPr>
          <w:rFonts w:hint="eastAsia" w:ascii="宋体" w:hAnsi="宋体" w:eastAsia="宋体" w:cs="宋体"/>
          <w:color w:val="000000" w:themeColor="text1"/>
          <w:sz w:val="24"/>
          <w:szCs w:val="24"/>
          <w:highlight w:val="none"/>
          <w:lang w:eastAsia="zh-CN"/>
          <w14:textFill>
            <w14:solidFill>
              <w14:schemeClr w14:val="tx1"/>
            </w14:solidFill>
          </w14:textFill>
        </w:rPr>
        <w:t>超过采购参数的正向偏离</w:t>
      </w:r>
      <w:r>
        <w:rPr>
          <w:rFonts w:hint="eastAsia" w:ascii="宋体" w:hAnsi="宋体" w:eastAsia="宋体" w:cs="宋体"/>
          <w:color w:val="000000" w:themeColor="text1"/>
          <w:sz w:val="24"/>
          <w:szCs w:val="24"/>
          <w:highlight w:val="none"/>
          <w14:textFill>
            <w14:solidFill>
              <w14:schemeClr w14:val="tx1"/>
            </w14:solidFill>
          </w14:textFill>
        </w:rPr>
        <w:t>。</w:t>
      </w:r>
    </w:p>
    <w:p w14:paraId="10D8215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92" w:name="_Toc29083"/>
      <w:bookmarkStart w:id="93" w:name="_Toc2215"/>
      <w:bookmarkStart w:id="94" w:name="_Toc464831136"/>
      <w:bookmarkStart w:id="95" w:name="_Toc29577"/>
      <w:bookmarkStart w:id="96" w:name="_Toc19195"/>
      <w:bookmarkStart w:id="97" w:name="_Toc14579"/>
      <w:bookmarkStart w:id="98" w:name="_Toc14439"/>
      <w:bookmarkStart w:id="99" w:name="_Toc19490"/>
      <w:r>
        <w:rPr>
          <w:rFonts w:hint="eastAsia" w:ascii="宋体" w:hAnsi="宋体" w:eastAsia="宋体" w:cs="宋体"/>
          <w:color w:val="000000" w:themeColor="text1"/>
          <w:sz w:val="24"/>
          <w:szCs w:val="24"/>
          <w:highlight w:val="none"/>
          <w14:textFill>
            <w14:solidFill>
              <w14:schemeClr w14:val="tx1"/>
            </w14:solidFill>
          </w14:textFill>
        </w:rPr>
        <w:t>8.履约担保</w:t>
      </w:r>
      <w:bookmarkEnd w:id="92"/>
      <w:bookmarkEnd w:id="93"/>
      <w:bookmarkEnd w:id="94"/>
      <w:bookmarkEnd w:id="95"/>
      <w:bookmarkEnd w:id="96"/>
      <w:bookmarkEnd w:id="97"/>
      <w:bookmarkEnd w:id="98"/>
      <w:bookmarkEnd w:id="99"/>
    </w:p>
    <w:p w14:paraId="3284FC6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8.1履约担保的形式： 对公转账、银行保函等（按招标人同意的方式缴纳）  </w:t>
      </w:r>
    </w:p>
    <w:p w14:paraId="77BABAF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履约担保的金额：合同总价的</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p>
    <w:p w14:paraId="543C350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0" w:name="_Toc32525"/>
      <w:bookmarkStart w:id="101" w:name="_Toc11991"/>
      <w:bookmarkStart w:id="102" w:name="_Toc2714"/>
      <w:bookmarkStart w:id="103" w:name="_Toc12759"/>
      <w:bookmarkStart w:id="104" w:name="_Toc28565"/>
      <w:bookmarkStart w:id="105" w:name="_Toc15763"/>
      <w:bookmarkStart w:id="106" w:name="_Toc464831137"/>
      <w:bookmarkStart w:id="107" w:name="_Toc16349"/>
      <w:r>
        <w:rPr>
          <w:rFonts w:hint="eastAsia" w:ascii="宋体" w:hAnsi="宋体" w:eastAsia="宋体" w:cs="宋体"/>
          <w:color w:val="000000" w:themeColor="text1"/>
          <w:sz w:val="24"/>
          <w:szCs w:val="24"/>
          <w:highlight w:val="none"/>
          <w14:textFill>
            <w14:solidFill>
              <w14:schemeClr w14:val="tx1"/>
            </w14:solidFill>
          </w14:textFill>
        </w:rPr>
        <w:t>9.采购代理服务费</w:t>
      </w:r>
      <w:bookmarkEnd w:id="100"/>
      <w:bookmarkEnd w:id="101"/>
      <w:bookmarkEnd w:id="102"/>
      <w:bookmarkEnd w:id="103"/>
      <w:bookmarkEnd w:id="104"/>
      <w:bookmarkEnd w:id="105"/>
      <w:bookmarkEnd w:id="106"/>
      <w:bookmarkEnd w:id="107"/>
    </w:p>
    <w:p w14:paraId="2144E9F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9.1投标人为准备和参加投标活动所发生的一切费用均由投标人自行承担;一旦中标还应承担招标代理服务费</w:t>
      </w:r>
      <w:r>
        <w:rPr>
          <w:rFonts w:hint="eastAsia" w:ascii="宋体" w:hAnsi="宋体" w:cs="宋体"/>
          <w:color w:val="000000" w:themeColor="text1"/>
          <w:sz w:val="24"/>
          <w:szCs w:val="24"/>
          <w:highlight w:val="none"/>
          <w:lang w:val="en-US" w:eastAsia="zh-CN"/>
          <w14:textFill>
            <w14:solidFill>
              <w14:schemeClr w14:val="tx1"/>
            </w14:solidFill>
          </w14:textFill>
        </w:rPr>
        <w:t>及相关费用</w:t>
      </w:r>
      <w:r>
        <w:rPr>
          <w:rFonts w:hint="eastAsia" w:ascii="宋体" w:hAnsi="宋体" w:eastAsia="宋体" w:cs="宋体"/>
          <w:color w:val="000000" w:themeColor="text1"/>
          <w:sz w:val="24"/>
          <w:szCs w:val="24"/>
          <w:highlight w:val="none"/>
          <w14:textFill>
            <w14:solidFill>
              <w14:schemeClr w14:val="tx1"/>
            </w14:solidFill>
          </w14:textFill>
        </w:rPr>
        <w:t>。</w:t>
      </w:r>
    </w:p>
    <w:p w14:paraId="50A41447">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8" w:name="_Toc3172"/>
      <w:bookmarkStart w:id="109" w:name="_Toc24186"/>
      <w:bookmarkStart w:id="110" w:name="_Toc6811"/>
      <w:bookmarkStart w:id="111" w:name="_Toc11342"/>
      <w:bookmarkStart w:id="112" w:name="_Toc21174"/>
      <w:bookmarkStart w:id="113" w:name="_Toc464831138"/>
      <w:bookmarkStart w:id="114" w:name="_Toc17015"/>
      <w:bookmarkStart w:id="115" w:name="_Toc5225"/>
      <w:r>
        <w:rPr>
          <w:rFonts w:hint="eastAsia" w:ascii="宋体" w:hAnsi="宋体" w:eastAsia="宋体" w:cs="宋体"/>
          <w:color w:val="000000" w:themeColor="text1"/>
          <w:sz w:val="24"/>
          <w:szCs w:val="24"/>
          <w:highlight w:val="none"/>
          <w14:textFill>
            <w14:solidFill>
              <w14:schemeClr w14:val="tx1"/>
            </w14:solidFill>
          </w14:textFill>
        </w:rPr>
        <w:t>10.采购文件</w:t>
      </w:r>
      <w:bookmarkEnd w:id="108"/>
      <w:bookmarkEnd w:id="109"/>
      <w:bookmarkEnd w:id="110"/>
      <w:bookmarkEnd w:id="111"/>
      <w:bookmarkEnd w:id="112"/>
      <w:bookmarkEnd w:id="113"/>
      <w:bookmarkEnd w:id="114"/>
      <w:bookmarkEnd w:id="115"/>
    </w:p>
    <w:p w14:paraId="70C5CA5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10.1采购文件的组成</w:t>
      </w:r>
    </w:p>
    <w:p w14:paraId="10D1C07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10.1.1采购文件是用以阐明所需货物以及服务、谈判程序和合同格式的规范性文件。采购文件主要由以下部分组成：</w:t>
      </w:r>
    </w:p>
    <w:p w14:paraId="664C71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（1）采购公告；</w:t>
      </w:r>
    </w:p>
    <w:p w14:paraId="2051FC9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（2）供应商须知前附表；</w:t>
      </w:r>
    </w:p>
    <w:p w14:paraId="49A12B1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（3）供应商应当提交的资格、资信等证明文件；</w:t>
      </w:r>
    </w:p>
    <w:p w14:paraId="1F4C20E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（4）采购需求；</w:t>
      </w:r>
    </w:p>
    <w:p w14:paraId="13B85DF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（5）供应商须知；</w:t>
      </w:r>
    </w:p>
    <w:p w14:paraId="18E0BD9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（6）开标、谈判、成交；</w:t>
      </w:r>
    </w:p>
    <w:p w14:paraId="74B82F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（7）纪律要求；</w:t>
      </w:r>
    </w:p>
    <w:p w14:paraId="5E470F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（8）签订合同、合同主要条款；</w:t>
      </w:r>
    </w:p>
    <w:p w14:paraId="1B4081D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（9）响应文件格式；</w:t>
      </w:r>
    </w:p>
    <w:p w14:paraId="6D01651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（10）供应商须知前附表规定的其他材料。</w:t>
      </w:r>
    </w:p>
    <w:p w14:paraId="657A635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10.1.2根据本章第10.2款对采购文件所作的澄清和修改，构成采购文件的组成部分。</w:t>
      </w:r>
    </w:p>
    <w:p w14:paraId="4D249D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10.1.3除非有特殊要求，采购文件不单独提供项目所在地的自然环境、气候条件、公用设施等情况，供应商被视为熟悉上述与履行合同有关的一切情况。</w:t>
      </w:r>
    </w:p>
    <w:p w14:paraId="743F6E2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10.2采购文件的澄清和修改</w:t>
      </w:r>
    </w:p>
    <w:p w14:paraId="4E94387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10.2.1采购人对已发出的采购文件进行必要澄清或者修改的，</w:t>
      </w:r>
      <w:r>
        <w:rPr>
          <w:rFonts w:hint="eastAsia" w:ascii="宋体" w:hAnsi="宋体" w:eastAsia="宋体" w:cs="宋体"/>
          <w:color w:val="000000" w:themeColor="text1"/>
          <w:sz w:val="24"/>
          <w:szCs w:val="24"/>
          <w:highlight w:val="none"/>
          <w:lang w:val="zh-CN"/>
          <w14:textFill>
            <w14:solidFill>
              <w14:schemeClr w14:val="tx1"/>
            </w14:solidFill>
          </w14:textFill>
        </w:rPr>
        <w:t>应当在采购文件要求提交首次响应文件截止之日3个工作日前，</w:t>
      </w:r>
      <w:r>
        <w:rPr>
          <w:rFonts w:hint="eastAsia" w:ascii="宋体" w:hAnsi="宋体" w:eastAsia="宋体" w:cs="宋体"/>
          <w:color w:val="000000" w:themeColor="text1"/>
          <w:sz w:val="24"/>
          <w:szCs w:val="24"/>
          <w:highlight w:val="none"/>
          <w14:textFill>
            <w14:solidFill>
              <w14:schemeClr w14:val="tx1"/>
            </w14:solidFill>
          </w14:textFill>
        </w:rPr>
        <w:t>报监管部门批准并在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政府采购网上发布更正公告，通知所有采购文件收受人，但不指明澄清问题的来源。不足3个工作</w:t>
      </w:r>
      <w:r>
        <w:rPr>
          <w:rFonts w:hint="eastAsia" w:ascii="宋体" w:hAnsi="宋体" w:eastAsia="宋体" w:cs="宋体"/>
          <w:color w:val="000000" w:themeColor="text1"/>
          <w:sz w:val="24"/>
          <w:szCs w:val="24"/>
          <w:highlight w:val="none"/>
          <w:lang w:val="zh-CN"/>
          <w14:textFill>
            <w14:solidFill>
              <w14:schemeClr w14:val="tx1"/>
            </w14:solidFill>
          </w14:textFill>
        </w:rPr>
        <w:t>日的，采购人应当顺延提交首次响应文件截止之日，具体时间将在更正公告中予以明确。</w:t>
      </w:r>
    </w:p>
    <w:p w14:paraId="788A270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10.2.2供应商应仔细检查采购文件是否齐全。如有残缺、遗漏或者不清楚的，应在供应商须知前附表规定的时间前，以加盖供应商单位公章的书面文件提出，采用信函、传真或者直接送达的形式通知采购代理机构，同时将电子版文件以电子邮件的形式发送至采购代理机构的电子信箱，否则，由此引起的损失由供应商自负。同时，供应商有义务对采购文件的准确性进行复核，如发现有任何错误（打印的错误、逻辑的错误）或者前后矛盾的，应在规定提交答疑的时间内提交给采购人或采购代理机构，否则，供应商应无条件接受采购文件所有条款。</w:t>
      </w:r>
    </w:p>
    <w:p w14:paraId="1638B07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10.2.3采购文件的澄清或者修改文件在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政府采购网上发布公告，方可作为采购文件组成部分并具有法律效力，任何口头答复、通知无效。采购文件的澄清或者修改在同一内容的表述上不一致时，以最后发出的公告为准。</w:t>
      </w:r>
    </w:p>
    <w:p w14:paraId="2F0E3B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10.2.4供应商认为采购文件存在歧视性条款或者不合理要求等需要澄清的，应在规定时间内一次性全部提出。在规定时间未一次性提出或者对已澄清的条款再提异议者，即视为同意和接受相关条款。</w:t>
      </w:r>
    </w:p>
    <w:p w14:paraId="5AF2ED6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10.2.5从更正公告发布时间开始，供应商应在供应商须知前附表规定的时间内从</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政府采购网上下载或者从网上直接打印公告，加盖供应商单位公章以及确认日期，采用信函、传真或者直接送达的形式通知采购代理机构。否则，即视为同意和接受该公告内容。</w:t>
      </w:r>
    </w:p>
    <w:p w14:paraId="61B6076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10.3延长报价截止时间和开标时间</w:t>
      </w:r>
    </w:p>
    <w:p w14:paraId="256984C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采购人可以视采购具体情况，延长报价截止时间和开标时间，但至少应当在采购文件要求提交首次响应文件的截止时间3个工作日前，在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w:t>
      </w:r>
    </w:p>
    <w:p w14:paraId="41E8AA1C">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16" w:name="_Toc17412"/>
      <w:bookmarkStart w:id="117" w:name="_Toc464831139"/>
      <w:bookmarkStart w:id="118" w:name="_Toc4086"/>
      <w:bookmarkStart w:id="119" w:name="_Toc27541"/>
      <w:bookmarkStart w:id="120" w:name="_Toc22265"/>
      <w:bookmarkStart w:id="121" w:name="_Toc27322"/>
      <w:bookmarkStart w:id="122" w:name="_Toc6266"/>
      <w:bookmarkStart w:id="123" w:name="_Toc3258"/>
      <w:r>
        <w:rPr>
          <w:rFonts w:hint="eastAsia" w:ascii="宋体" w:hAnsi="宋体" w:eastAsia="宋体" w:cs="宋体"/>
          <w:color w:val="000000" w:themeColor="text1"/>
          <w:sz w:val="24"/>
          <w:szCs w:val="24"/>
          <w:highlight w:val="none"/>
          <w14:textFill>
            <w14:solidFill>
              <w14:schemeClr w14:val="tx1"/>
            </w14:solidFill>
          </w14:textFill>
        </w:rPr>
        <w:t>11.响应文件的组成</w:t>
      </w:r>
      <w:bookmarkEnd w:id="116"/>
      <w:bookmarkEnd w:id="117"/>
      <w:bookmarkEnd w:id="118"/>
      <w:bookmarkEnd w:id="119"/>
      <w:bookmarkEnd w:id="120"/>
      <w:bookmarkEnd w:id="121"/>
      <w:bookmarkEnd w:id="122"/>
      <w:bookmarkEnd w:id="123"/>
    </w:p>
    <w:p w14:paraId="7F3C248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11.1供应商应按照采购文件的要求以及格式编制响应文件，并保证其真实性、准确性以及完整性，并按照采购文件要求提交全部资料并做出实质性响应。</w:t>
      </w:r>
    </w:p>
    <w:p w14:paraId="035D99E6">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11.2响应文件组成：</w:t>
      </w:r>
      <w:r>
        <w:rPr>
          <w:rFonts w:hint="eastAsia" w:ascii="宋体" w:hAnsi="宋体" w:eastAsia="宋体" w:cs="宋体"/>
          <w:color w:val="000000" w:themeColor="text1"/>
          <w:sz w:val="24"/>
          <w:szCs w:val="24"/>
          <w:highlight w:val="none"/>
          <w:lang w:val="en-US" w:eastAsia="zh-CN"/>
          <w14:textFill>
            <w14:solidFill>
              <w14:schemeClr w14:val="tx1"/>
            </w14:solidFill>
          </w14:textFill>
        </w:rPr>
        <w:t>详见“第六章 响应文件格式”。</w:t>
      </w:r>
    </w:p>
    <w:p w14:paraId="6DF81F2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采购文件要求和供应商认为应介绍或者提交的资料和文件。</w:t>
      </w:r>
    </w:p>
    <w:p w14:paraId="200F2E11">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24" w:name="_Toc464831140"/>
      <w:bookmarkStart w:id="125" w:name="_Toc25823"/>
      <w:bookmarkStart w:id="126" w:name="_Toc16684"/>
      <w:bookmarkStart w:id="127" w:name="_Toc25541"/>
      <w:bookmarkStart w:id="128" w:name="_Toc7918"/>
      <w:bookmarkStart w:id="129" w:name="_Toc606"/>
      <w:bookmarkStart w:id="130" w:name="_Toc17067"/>
      <w:bookmarkStart w:id="131" w:name="_Toc10964"/>
      <w:r>
        <w:rPr>
          <w:rFonts w:hint="eastAsia" w:ascii="宋体" w:hAnsi="宋体" w:eastAsia="宋体" w:cs="宋体"/>
          <w:color w:val="000000" w:themeColor="text1"/>
          <w:sz w:val="24"/>
          <w:szCs w:val="24"/>
          <w:highlight w:val="none"/>
          <w14:textFill>
            <w14:solidFill>
              <w14:schemeClr w14:val="tx1"/>
            </w14:solidFill>
          </w14:textFill>
        </w:rPr>
        <w:t>12.响应报价</w:t>
      </w:r>
      <w:bookmarkEnd w:id="124"/>
      <w:bookmarkEnd w:id="125"/>
      <w:bookmarkEnd w:id="126"/>
      <w:bookmarkEnd w:id="127"/>
      <w:bookmarkEnd w:id="128"/>
      <w:bookmarkEnd w:id="129"/>
      <w:bookmarkEnd w:id="130"/>
      <w:bookmarkEnd w:id="131"/>
    </w:p>
    <w:p w14:paraId="29526D3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12.1响应报价的范围：见供应商须知前附表。</w:t>
      </w:r>
    </w:p>
    <w:p w14:paraId="09910E7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12.2供应商应对所投包中的货物进行报价，对</w:t>
      </w:r>
      <w:r>
        <w:rPr>
          <w:rFonts w:hint="eastAsia" w:ascii="宋体" w:hAnsi="宋体" w:eastAsia="宋体" w:cs="宋体"/>
          <w:color w:val="000000" w:themeColor="text1"/>
          <w:sz w:val="24"/>
          <w:szCs w:val="24"/>
          <w:highlight w:val="none"/>
          <w:lang w:eastAsia="zh-CN"/>
          <w14:textFill>
            <w14:solidFill>
              <w14:schemeClr w14:val="tx1"/>
            </w14:solidFill>
          </w14:textFill>
        </w:rPr>
        <w:t>每一项</w:t>
      </w:r>
      <w:r>
        <w:rPr>
          <w:rFonts w:hint="eastAsia" w:ascii="宋体" w:hAnsi="宋体" w:eastAsia="宋体" w:cs="宋体"/>
          <w:color w:val="000000" w:themeColor="text1"/>
          <w:sz w:val="24"/>
          <w:szCs w:val="24"/>
          <w:highlight w:val="none"/>
          <w14:textFill>
            <w14:solidFill>
              <w14:schemeClr w14:val="tx1"/>
            </w14:solidFill>
          </w14:textFill>
        </w:rPr>
        <w:t>货物的报价必须全部报齐。</w:t>
      </w:r>
    </w:p>
    <w:p w14:paraId="5AEEA4A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12.3响应报价的次数：见供应商须知前附表。</w:t>
      </w:r>
    </w:p>
    <w:p w14:paraId="1B5D682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12.4供应商不得以任何方式或者方法提供报价以外的任何附赠条款。</w:t>
      </w:r>
    </w:p>
    <w:p w14:paraId="08CE2B5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12.5供应商应按照采购文件中要求的内容填写报价，并由法定代表人或者被授权代表签署。</w:t>
      </w:r>
    </w:p>
    <w:p w14:paraId="4E03E84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12.6供应商须按照附件格式表中的各单项明细逐项填写，以方便谈判小组对各响应文件进行比较。</w:t>
      </w:r>
    </w:p>
    <w:p w14:paraId="069D82A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12.7开标时，响应文件中《</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一览表》内容与《报价明细表》内容不一致的，以《</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为准。大写金额和小写金额不一致的，以大写金额为准；总价金额与按照单价汇总金额不一致的，以单价金额计算结果为准；单价金额小数点有明显错位的，应以总价为准，并修改单价；对不同文字文本响应文件的解释发生异议的，以中文文本为准。按照以上原则对错误报价的修正，供应商应签字确认。</w:t>
      </w:r>
    </w:p>
    <w:p w14:paraId="58F4CCA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12.8唱标时，采购代理机构只对按照采购文件要求编制的响应报价进行唱标。</w:t>
      </w:r>
    </w:p>
    <w:p w14:paraId="04BB704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12.9供应商的成交价格在合同执行中是固定不变的，不得以任何理由予以变更，不得出现任何包含价格调整的要求。</w:t>
      </w:r>
    </w:p>
    <w:p w14:paraId="62CD9C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12.10采购人不接受未经中国海关报验放进入中国境内且产自关境外的货物报价。</w:t>
      </w:r>
    </w:p>
    <w:p w14:paraId="543595B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12.11</w:t>
      </w:r>
      <w:r>
        <w:rPr>
          <w:rFonts w:hint="eastAsia" w:ascii="宋体" w:hAnsi="宋体" w:eastAsia="宋体" w:cs="宋体"/>
          <w:color w:val="000000" w:themeColor="text1"/>
          <w:sz w:val="24"/>
          <w:szCs w:val="24"/>
          <w:highlight w:val="none"/>
          <w:lang w:val="en-GB"/>
          <w14:textFill>
            <w14:solidFill>
              <w14:schemeClr w14:val="tx1"/>
            </w14:solidFill>
          </w14:textFill>
        </w:rPr>
        <w:t>供应商须知前附表未规定可以采购进口产品的，不允许进口产品参加报价。</w:t>
      </w:r>
    </w:p>
    <w:p w14:paraId="53248EF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32" w:name="_Toc14050"/>
      <w:bookmarkStart w:id="133" w:name="_Toc10185"/>
      <w:bookmarkStart w:id="134" w:name="_Toc27173"/>
      <w:bookmarkStart w:id="135" w:name="_Toc26715"/>
      <w:bookmarkStart w:id="136" w:name="_Toc5842"/>
      <w:bookmarkStart w:id="137" w:name="_Toc14102"/>
      <w:bookmarkStart w:id="138" w:name="_Toc464831141"/>
      <w:bookmarkStart w:id="139" w:name="_Toc32345"/>
      <w:r>
        <w:rPr>
          <w:rFonts w:hint="eastAsia" w:ascii="宋体" w:hAnsi="宋体" w:eastAsia="宋体" w:cs="宋体"/>
          <w:color w:val="000000" w:themeColor="text1"/>
          <w:sz w:val="24"/>
          <w:szCs w:val="24"/>
          <w:highlight w:val="none"/>
          <w14:textFill>
            <w14:solidFill>
              <w14:schemeClr w14:val="tx1"/>
            </w14:solidFill>
          </w14:textFill>
        </w:rPr>
        <w:t>13.响应文件格式以及编制要求</w:t>
      </w:r>
      <w:bookmarkEnd w:id="132"/>
      <w:bookmarkEnd w:id="133"/>
      <w:bookmarkEnd w:id="134"/>
      <w:bookmarkEnd w:id="135"/>
      <w:bookmarkEnd w:id="136"/>
      <w:bookmarkEnd w:id="137"/>
      <w:bookmarkEnd w:id="138"/>
      <w:bookmarkEnd w:id="139"/>
    </w:p>
    <w:p w14:paraId="5892BB5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13.1响应文件应按所投包分别进行编制。</w:t>
      </w:r>
    </w:p>
    <w:p w14:paraId="567D432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13.2响应文件编制装订：见供应商须知前附表。</w:t>
      </w:r>
    </w:p>
    <w:p w14:paraId="0027CD1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13.3响应文件签署和盖章：见供应商须知前附表。</w:t>
      </w:r>
    </w:p>
    <w:p w14:paraId="7F13EF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13.4供应商可对供货现场以及其范围环境进行考察，以获取有关编制响应文件和签署实施合同所需的各项资料，供应商应承担现场考察的费用、责任和风险。</w:t>
      </w:r>
    </w:p>
    <w:p w14:paraId="1664D3E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13.5供应商编制响应文件时，应当如实在技术响应表和资信以及商务响应表中填写响应情况。</w:t>
      </w:r>
    </w:p>
    <w:p w14:paraId="44DA950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13.6响应文件份数及要求：见供应商须知前附表。</w:t>
      </w:r>
    </w:p>
    <w:p w14:paraId="0A611C9C">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0" w:name="_Toc6065"/>
      <w:bookmarkStart w:id="141" w:name="_Toc8335"/>
      <w:bookmarkStart w:id="142" w:name="_Toc464831142"/>
      <w:bookmarkStart w:id="143" w:name="_Toc14967"/>
      <w:bookmarkStart w:id="144" w:name="_Toc23435"/>
      <w:bookmarkStart w:id="145" w:name="_Toc26253"/>
      <w:bookmarkStart w:id="146" w:name="_Toc31127"/>
      <w:bookmarkStart w:id="147" w:name="_Toc3617"/>
      <w:r>
        <w:rPr>
          <w:rFonts w:hint="eastAsia" w:ascii="宋体" w:hAnsi="宋体" w:eastAsia="宋体" w:cs="宋体"/>
          <w:color w:val="000000" w:themeColor="text1"/>
          <w:sz w:val="24"/>
          <w:szCs w:val="24"/>
          <w:highlight w:val="none"/>
          <w14:textFill>
            <w14:solidFill>
              <w14:schemeClr w14:val="tx1"/>
            </w14:solidFill>
          </w14:textFill>
        </w:rPr>
        <w:t>14.响应文件的密封和标记</w:t>
      </w:r>
      <w:bookmarkEnd w:id="140"/>
      <w:bookmarkEnd w:id="141"/>
      <w:bookmarkEnd w:id="142"/>
      <w:bookmarkEnd w:id="143"/>
      <w:bookmarkEnd w:id="144"/>
      <w:bookmarkEnd w:id="145"/>
      <w:bookmarkEnd w:id="146"/>
      <w:bookmarkEnd w:id="147"/>
    </w:p>
    <w:p w14:paraId="6305F18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见供应商须知前附表。</w:t>
      </w:r>
    </w:p>
    <w:p w14:paraId="78D3CF4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8" w:name="_Toc22656"/>
      <w:bookmarkStart w:id="149" w:name="_Toc24185"/>
      <w:bookmarkStart w:id="150" w:name="_Toc8670"/>
      <w:bookmarkStart w:id="151" w:name="_Toc12754"/>
      <w:bookmarkStart w:id="152" w:name="_Toc464831143"/>
      <w:bookmarkStart w:id="153" w:name="_Toc30687"/>
      <w:bookmarkStart w:id="154" w:name="_Toc7313"/>
      <w:bookmarkStart w:id="155" w:name="_Toc31098"/>
      <w:r>
        <w:rPr>
          <w:rFonts w:hint="eastAsia" w:ascii="宋体" w:hAnsi="宋体" w:eastAsia="宋体" w:cs="宋体"/>
          <w:color w:val="000000" w:themeColor="text1"/>
          <w:sz w:val="24"/>
          <w:szCs w:val="24"/>
          <w:highlight w:val="none"/>
          <w14:textFill>
            <w14:solidFill>
              <w14:schemeClr w14:val="tx1"/>
            </w14:solidFill>
          </w14:textFill>
        </w:rPr>
        <w:t>15.响应文件的递交</w:t>
      </w:r>
      <w:bookmarkEnd w:id="148"/>
      <w:bookmarkEnd w:id="149"/>
      <w:bookmarkEnd w:id="150"/>
      <w:bookmarkEnd w:id="151"/>
      <w:bookmarkEnd w:id="152"/>
      <w:bookmarkEnd w:id="153"/>
      <w:bookmarkEnd w:id="154"/>
      <w:bookmarkEnd w:id="155"/>
    </w:p>
    <w:p w14:paraId="1D19357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15.1供应商应在报价截止时间前递交响应文件。</w:t>
      </w:r>
    </w:p>
    <w:p w14:paraId="337449E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15.2供应商递交响应文件的时间、地点和要求：见供应商须知前附表。</w:t>
      </w:r>
    </w:p>
    <w:p w14:paraId="0451E30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15.3供应商有下列情况之一，采购人或者采购代理机构应当拒绝接收供应商的响应文件：</w:t>
      </w:r>
    </w:p>
    <w:p w14:paraId="2A2F2E9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15.3.1逾期送达的或者未送达指定地点的。</w:t>
      </w:r>
    </w:p>
    <w:p w14:paraId="1693E1F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15.3.2响应文件未按采购文件要求密封的。</w:t>
      </w:r>
    </w:p>
    <w:p w14:paraId="5348F44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15.3.3递交响应文件时法定代表人未出示法定代表人身份证明；被授权代表未出示授权委托书。</w:t>
      </w:r>
    </w:p>
    <w:p w14:paraId="40E5A7D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15.4除供应商须知前附表另有规定外，不论采购过程和结果如何，供应商的响应文件均不退还。</w:t>
      </w:r>
    </w:p>
    <w:p w14:paraId="6B606AF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56" w:name="_Toc2503"/>
      <w:bookmarkStart w:id="157" w:name="_Toc27020"/>
      <w:bookmarkStart w:id="158" w:name="_Toc6408"/>
      <w:bookmarkStart w:id="159" w:name="_Toc29616"/>
      <w:bookmarkStart w:id="160" w:name="_Toc464831144"/>
      <w:bookmarkStart w:id="161" w:name="_Toc23650"/>
      <w:bookmarkStart w:id="162" w:name="_Toc32637"/>
      <w:bookmarkStart w:id="163" w:name="_Toc30276"/>
      <w:r>
        <w:rPr>
          <w:rFonts w:hint="eastAsia" w:ascii="宋体" w:hAnsi="宋体" w:eastAsia="宋体" w:cs="宋体"/>
          <w:color w:val="000000" w:themeColor="text1"/>
          <w:sz w:val="24"/>
          <w:szCs w:val="24"/>
          <w:highlight w:val="none"/>
          <w14:textFill>
            <w14:solidFill>
              <w14:schemeClr w14:val="tx1"/>
            </w14:solidFill>
          </w14:textFill>
        </w:rPr>
        <w:t>16.响应文件的修改与撤回</w:t>
      </w:r>
      <w:bookmarkEnd w:id="156"/>
      <w:bookmarkEnd w:id="157"/>
      <w:bookmarkEnd w:id="158"/>
      <w:bookmarkEnd w:id="159"/>
      <w:bookmarkEnd w:id="160"/>
      <w:bookmarkEnd w:id="161"/>
      <w:bookmarkEnd w:id="162"/>
      <w:bookmarkEnd w:id="163"/>
    </w:p>
    <w:p w14:paraId="3F39891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16.1供应商在采购文件要求提交响应文件截止时间前，可以补充、修改、替代或者撤回已提交的响应文件，并书面形式通知采购人或者采购代理机构。补充、修改的内容为响应文件的组成部分。</w:t>
      </w:r>
    </w:p>
    <w:p w14:paraId="110806E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16.2供应商对响应文件的补充、修改，应按照本采购文件有关规定进行编制、密封、标记、盖章和递交，并在响应文件密封袋上，清楚标明“修改响应文件”或者“撤回报价”字样。</w:t>
      </w:r>
    </w:p>
    <w:p w14:paraId="16814A1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16.3在提交响应文件截止时间后到采购文件规定的报价有效期终止之前，在采购文件没有变动的情况下，供应商不得补充、修改、替代或者撤回其响应文件。供应商撤回全部或者部分响应文件的，其保证金将被没收。</w:t>
      </w:r>
    </w:p>
    <w:p w14:paraId="34E83D53">
      <w:pPr>
        <w:spacing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64" w:name="_Toc2541"/>
      <w:bookmarkStart w:id="165" w:name="_Toc18459"/>
      <w:bookmarkStart w:id="166" w:name="_Toc20326"/>
      <w:bookmarkStart w:id="167" w:name="_Toc17060"/>
      <w:bookmarkStart w:id="168" w:name="_Toc27188"/>
      <w:bookmarkStart w:id="169" w:name="_Toc464831145"/>
      <w:bookmarkStart w:id="170" w:name="_Toc16208"/>
      <w:bookmarkStart w:id="171" w:name="_Toc8485"/>
      <w:r>
        <w:rPr>
          <w:rFonts w:hint="eastAsia" w:ascii="宋体" w:hAnsi="宋体" w:eastAsia="宋体" w:cs="宋体"/>
          <w:color w:val="000000" w:themeColor="text1"/>
          <w:sz w:val="24"/>
          <w:szCs w:val="24"/>
          <w:highlight w:val="none"/>
          <w14:textFill>
            <w14:solidFill>
              <w14:schemeClr w14:val="tx1"/>
            </w14:solidFill>
          </w14:textFill>
        </w:rPr>
        <w:t>17.保证金</w:t>
      </w:r>
      <w:bookmarkEnd w:id="164"/>
      <w:bookmarkEnd w:id="165"/>
      <w:bookmarkEnd w:id="166"/>
      <w:bookmarkEnd w:id="167"/>
      <w:bookmarkEnd w:id="168"/>
      <w:bookmarkEnd w:id="169"/>
      <w:bookmarkEnd w:id="170"/>
      <w:bookmarkEnd w:id="171"/>
    </w:p>
    <w:p w14:paraId="3D99638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17.1保证金的交纳</w:t>
      </w:r>
    </w:p>
    <w:p w14:paraId="74EEEE2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17.1.1保证金的交纳金额和形式：见供应商须知前附表。</w:t>
      </w:r>
    </w:p>
    <w:p w14:paraId="3D1EFEE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17.1.2保证金以到账时间为准。</w:t>
      </w:r>
    </w:p>
    <w:p w14:paraId="7A266A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17.1.3供应商为联合体的，联合体牵头人交纳的保证金对联合体各方均具有约束力。</w:t>
      </w:r>
    </w:p>
    <w:p w14:paraId="04EE44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17.2保证金的退还</w:t>
      </w:r>
    </w:p>
    <w:p w14:paraId="19EFFD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17.2.1</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w:t>
      </w:r>
      <w:r>
        <w:rPr>
          <w:rFonts w:hint="eastAsia" w:ascii="宋体" w:hAnsi="宋体" w:eastAsia="宋体" w:cs="宋体"/>
          <w:color w:val="000000" w:themeColor="text1"/>
          <w:sz w:val="24"/>
          <w:szCs w:val="24"/>
          <w:highlight w:val="none"/>
          <w14:textFill>
            <w14:solidFill>
              <w14:schemeClr w14:val="tx1"/>
            </w14:solidFill>
          </w14:textFill>
        </w:rPr>
        <w:t>在成交通知发出后5个工作日内退还未成交供应商的保证金，在采购合同签订并备案后5个工作日内退还成交供应商的保证金。</w:t>
      </w:r>
    </w:p>
    <w:p w14:paraId="726E70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17.3保证金的不予退还</w:t>
      </w:r>
    </w:p>
    <w:p w14:paraId="118985C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17.3.1供应商有下列情形之一的，保证金将不予退还：</w:t>
      </w:r>
    </w:p>
    <w:p w14:paraId="2AF162D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（1）提供的有关资料不真实或者提供虚假材料的；</w:t>
      </w:r>
    </w:p>
    <w:p w14:paraId="69FC77D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（2）报价截止时间后供应商撤回全部或者部分响应文件的；</w:t>
      </w:r>
    </w:p>
    <w:p w14:paraId="7E37502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（3）损害采购人或者采购代理机构合法权益的；</w:t>
      </w:r>
    </w:p>
    <w:p w14:paraId="7711B20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（4）供应商向采购代理机构、采购人、专家提供不正当利益的；</w:t>
      </w:r>
    </w:p>
    <w:p w14:paraId="3E893E4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（5）经谈判小组认定有故意哄抬报价、串标或者其它违法行为的;</w:t>
      </w:r>
    </w:p>
    <w:p w14:paraId="016A702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（6）成交供应商未按照采购文件规定签订合同或者未按照采购文件规定提供履约保证金的；</w:t>
      </w:r>
    </w:p>
    <w:p w14:paraId="79C9B6D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（7）法律、行政法规以及有关规定的其它情形。</w:t>
      </w:r>
    </w:p>
    <w:p w14:paraId="30C8EC6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17.3.2不予退还的保证金应在规定时间内上缴国库。</w:t>
      </w:r>
    </w:p>
    <w:p w14:paraId="39F037B1">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72" w:name="_Toc998"/>
      <w:bookmarkStart w:id="173" w:name="_Toc11179"/>
      <w:bookmarkStart w:id="174" w:name="_Toc4865"/>
      <w:bookmarkStart w:id="175" w:name="_Toc29622"/>
      <w:bookmarkStart w:id="176" w:name="_Toc29237"/>
      <w:bookmarkStart w:id="177" w:name="_Toc21937"/>
      <w:bookmarkStart w:id="178" w:name="_Toc26396"/>
      <w:bookmarkStart w:id="179" w:name="_Toc464831149"/>
      <w:bookmarkStart w:id="180" w:name="_Toc46483114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开标、谈判、成交</w:t>
      </w:r>
      <w:bookmarkEnd w:id="172"/>
      <w:bookmarkEnd w:id="173"/>
      <w:bookmarkEnd w:id="174"/>
      <w:bookmarkEnd w:id="175"/>
      <w:bookmarkEnd w:id="176"/>
      <w:bookmarkEnd w:id="177"/>
      <w:bookmarkEnd w:id="178"/>
      <w:bookmarkEnd w:id="179"/>
    </w:p>
    <w:p w14:paraId="6FCD665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1" w:name="_Toc464831150"/>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1.开标程序</w:t>
      </w:r>
      <w:bookmarkEnd w:id="181"/>
    </w:p>
    <w:p w14:paraId="7430DB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1.1宣布开标纪律；</w:t>
      </w:r>
    </w:p>
    <w:p w14:paraId="0993781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1.2宣布主持人、唱价人、记录人等有关人员姓名；</w:t>
      </w:r>
    </w:p>
    <w:p w14:paraId="1EDB0EE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1.3公布在报价截止时间前递交响应文件的供应商名称及签到顺序；</w:t>
      </w:r>
    </w:p>
    <w:p w14:paraId="260DB58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1.4供应商相互检查响应文件密封情况，并签字确认；</w:t>
      </w:r>
    </w:p>
    <w:p w14:paraId="45D011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1.5开启响应文件，按照签到顺序公布供应商名称、报价等内容，并记录在案；</w:t>
      </w:r>
    </w:p>
    <w:p w14:paraId="246CD72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1.6供应商法定代表人（或者被授权代表）、采购人代表、记录人等有关人员在开标记录上签字确认；</w:t>
      </w:r>
    </w:p>
    <w:p w14:paraId="38CFC99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1.7开标结束。</w:t>
      </w:r>
    </w:p>
    <w:p w14:paraId="5D3670B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2" w:name="_Toc464831151"/>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2.开标</w:t>
      </w:r>
      <w:bookmarkEnd w:id="182"/>
    </w:p>
    <w:p w14:paraId="2F0FBDCD">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18.2.1开标应当在</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确定的提交</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截止时间的同一时间公开进行。开标地点应当为</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中预先确定的地点。</w:t>
      </w:r>
    </w:p>
    <w:p w14:paraId="19BF143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18.2.2</w:t>
      </w: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供应商应在供应商须知规定的时间内完成解密</w:t>
      </w:r>
      <w:r>
        <w:rPr>
          <w:rFonts w:hint="eastAsia" w:ascii="宋体" w:hAnsi="宋体" w:eastAsia="宋体" w:cs="宋体"/>
          <w:color w:val="000000" w:themeColor="text1"/>
          <w:sz w:val="24"/>
          <w:szCs w:val="24"/>
          <w:highlight w:val="none"/>
          <w14:textFill>
            <w14:solidFill>
              <w14:schemeClr w14:val="tx1"/>
            </w14:solidFill>
          </w14:textFill>
        </w:rPr>
        <w:t>。</w:t>
      </w:r>
    </w:p>
    <w:p w14:paraId="15A7458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2.3由采购代理机构工作人员唱标。</w:t>
      </w:r>
    </w:p>
    <w:p w14:paraId="64B6C46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唱标人当众宣读供应商名称、响应报价、采购文件允许提供的备选报价方案和响应文件的其他主要内容，并不得拒绝任何符合要求的响应报价。供应商若有报价和优惠未被唱出，应在开标时及时声明或者提出，否则采购代理机构对此不承担任何责任。</w:t>
      </w:r>
    </w:p>
    <w:p w14:paraId="64F229E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2.4开标和唱标由采购代理机构指定专人负责，开标记录由供应商法定代表人或者被授权代表、采购人代表、记录人等有关人员签字确认，采购代理机构负责存档备查。</w:t>
      </w:r>
    </w:p>
    <w:p w14:paraId="31FB24B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2.5供应商对开标有异议的，应当在开标现场以书面形式提出，采购人或者采购代理机构应当场给予答复，并制作记录，供应商法定代表人或者被授权代表、采购人代表、采购代理机构（包括公证机构人员）签字确认。</w:t>
      </w:r>
    </w:p>
    <w:p w14:paraId="41F4F65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3" w:name="_Toc464831152"/>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3谈判小组</w:t>
      </w:r>
      <w:bookmarkEnd w:id="183"/>
    </w:p>
    <w:p w14:paraId="3D0FE5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3.1谈判小组的组成</w:t>
      </w:r>
    </w:p>
    <w:p w14:paraId="7FD6943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按照《中华人民共和国政府采购法》以及有关规定组建谈判小组。谈判由依法组建的谈判小组负责。谈判小组由采购人代表和评审专家共同组成，成员人数为三人以及以上单数，其中采购人代表只限一人，技术、经济等方面的评审专家不得少于成员总数的三分之二。</w:t>
      </w:r>
    </w:p>
    <w:p w14:paraId="08CAA2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3.2评审专家的抽取</w:t>
      </w:r>
    </w:p>
    <w:p w14:paraId="5B1378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3.2.1采用随机抽取方式从政府采购监管部门依法设立的专家库中确定谈判小组成员。任何单位和个人都不得指定评审专家或干预评审专家的抽取工作。</w:t>
      </w:r>
    </w:p>
    <w:p w14:paraId="095AF14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3.2.2参加评审专家抽取的有关人员对被抽取的专家的姓名、单位和联系方式等内容负有保密的义务。谈判小组成员的名单在评审结果确定前必须严格保密。</w:t>
      </w:r>
    </w:p>
    <w:p w14:paraId="18205A9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3.3谈判小组成员不得参加与自己有利害关系的评审活动，与自己有利害关系的应当回避，已经进入的必须更换。</w:t>
      </w:r>
    </w:p>
    <w:p w14:paraId="78B8995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3.4谈判小组负责对各响应文件进行评审、比较、评定，并按本采购文件的规定确定成交供应商或者推荐中标候选人。</w:t>
      </w:r>
    </w:p>
    <w:p w14:paraId="5C06C3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3.5谈判小组具有依据采购文件进行独立评审的权力，且不受外界任何因素的干扰。谈判小组成员必须独立、负责地提出评审意见，并对自己的评审意见承担责任。对评审结果有不同意见的谈判小组成员应当以书面形式说明其不同意见和理由，评审报告应当注明不同意见。评审委员会成员拒绝评审或者拒绝在评审报告上签字并且又不书面说明其不同意见和理由的，视为同意评审结果。</w:t>
      </w:r>
    </w:p>
    <w:p w14:paraId="4F9F23D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3.6谈判小组的职责：</w:t>
      </w:r>
    </w:p>
    <w:p w14:paraId="2D1D145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3.6.1审查响应文件是否符合采购文件要求，进行资格性审查和符合性审查，并做出评价；</w:t>
      </w:r>
    </w:p>
    <w:p w14:paraId="42991D7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3.6.2要求供应商对响应文件有关事项做出解释或者澄清；</w:t>
      </w:r>
    </w:p>
    <w:p w14:paraId="714C640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3.6.3推荐中标候选人名单，或者受采购人委托按照事先确定的办法直接确定成交供应商；</w:t>
      </w:r>
    </w:p>
    <w:p w14:paraId="02DD69E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3.6.4向采购人、采购代理机构或者有关部门报告非法干预评审工作的行为。</w:t>
      </w:r>
    </w:p>
    <w:p w14:paraId="7B803E6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3.6.5对围、串标等违法违规行为作出认定。</w:t>
      </w:r>
    </w:p>
    <w:p w14:paraId="5067737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3.7谈判小组的义务：</w:t>
      </w:r>
    </w:p>
    <w:p w14:paraId="398C4F3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3.7.1遵纪守法，客观、公正、廉洁地履行职责；</w:t>
      </w:r>
    </w:p>
    <w:p w14:paraId="5350E62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3.7.2提出真实、可靠的评审意见；</w:t>
      </w:r>
    </w:p>
    <w:p w14:paraId="40CA0E1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3.7.3严格遵守评审纪律，不得向外界泄露评审情况；</w:t>
      </w:r>
    </w:p>
    <w:p w14:paraId="2F25C9D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3.7.4发现供应商在招报价活动中有不正当竞争或者恶意串通等违规行为，应及时向监督部门报告并加以制止；</w:t>
      </w:r>
    </w:p>
    <w:p w14:paraId="58E9172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3.7.5按照采购文件规定的评审方法和评审标准进行评审，对评审意见承担个人责任；</w:t>
      </w:r>
    </w:p>
    <w:p w14:paraId="0A4DBA4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3.7.6编写评审报告；</w:t>
      </w:r>
    </w:p>
    <w:p w14:paraId="4D23E4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3.7.7配合采购人或者采购代理机构答复供应商提出的质疑；</w:t>
      </w:r>
    </w:p>
    <w:p w14:paraId="446AA9B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3.7.8对评审过程和结果，以及采购人、供应商的商业秘密保密；</w:t>
      </w:r>
    </w:p>
    <w:p w14:paraId="76986DA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3.7.9配合监管部门处理投诉；</w:t>
      </w:r>
    </w:p>
    <w:p w14:paraId="7C57DBD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3.8谈判小组成员有下列情形之一的，应当回避：</w:t>
      </w:r>
    </w:p>
    <w:p w14:paraId="09F276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3.8.1供应商或者供应商主要负责人的近亲属；</w:t>
      </w:r>
    </w:p>
    <w:p w14:paraId="7987AE2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3.8.2项目主管部门或者行政监督部门的人员；</w:t>
      </w:r>
    </w:p>
    <w:p w14:paraId="4F4517A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3.8.3与供应商有经济利益关系；</w:t>
      </w:r>
    </w:p>
    <w:p w14:paraId="6F2845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3.8.4曾因在采购、评审以及其他与政府采购有关系活动中从事违法行为而受到行政处罚或者刑事处罚的；</w:t>
      </w:r>
    </w:p>
    <w:p w14:paraId="60813AD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3.8.5与供应商有其他利害关系。</w:t>
      </w:r>
    </w:p>
    <w:p w14:paraId="31C24DF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4" w:name="_Toc464831153"/>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4评审程序</w:t>
      </w:r>
      <w:bookmarkEnd w:id="184"/>
    </w:p>
    <w:p w14:paraId="2BB3505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4.1宣布评审纪律以及回避提示；</w:t>
      </w:r>
    </w:p>
    <w:p w14:paraId="79C872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4.2组织推荐谈判小组组长；</w:t>
      </w:r>
    </w:p>
    <w:p w14:paraId="38E8603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4.3资格性审查；</w:t>
      </w:r>
    </w:p>
    <w:p w14:paraId="184294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4.4符合性审查；</w:t>
      </w:r>
    </w:p>
    <w:p w14:paraId="34D0B5E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4.5技术评审；</w:t>
      </w:r>
    </w:p>
    <w:p w14:paraId="13F6960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4.6澄清有关问题；</w:t>
      </w:r>
    </w:p>
    <w:p w14:paraId="3B1F7A7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4.7谈判</w:t>
      </w:r>
    </w:p>
    <w:p w14:paraId="1FE8CC6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4.8确定成交供应商或者推荐成交候选人名单；</w:t>
      </w:r>
    </w:p>
    <w:p w14:paraId="09A46C7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4.9编写评审报告；</w:t>
      </w:r>
    </w:p>
    <w:p w14:paraId="41098CD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4.10宣布评审。</w:t>
      </w:r>
    </w:p>
    <w:p w14:paraId="679778CD">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bookmarkStart w:id="185" w:name="_Toc464831154"/>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5评审</w:t>
      </w:r>
      <w:bookmarkEnd w:id="185"/>
    </w:p>
    <w:p w14:paraId="6177B0C0">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5.1资格性审查</w:t>
      </w:r>
    </w:p>
    <w:p w14:paraId="577085A4">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5.1.1谈判小组依据法律法规和采购文件的规定，对响应文件中的资格证明、保证金等进行审查，以确定供应商是否具备报价资格。</w:t>
      </w:r>
    </w:p>
    <w:p w14:paraId="44207818">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5.1.2采购人、采购代理机构通过</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凡拟参加本次招标项目的投标人，如在“信用中国”网站（WWW.creditchina.gov.cn）、中国政府采购网（www.ccgp.gov.cn）、国家企业信用信息公示系统（http://www.gsxt.gov.cn）被列入失信被执行人、重大税收违法案件当事人名单、政府采购严重违法失信行为记录名单的（尚在处罚期内的）， 将拒绝其参加本次政府采购活动，并提供投标单位中国裁判文书网（http://wenshu.court.gov.cn/）的查询记录,如三年内有不良记录的，将拒绝其参加本次政府采购活动。</w:t>
      </w:r>
      <w:r>
        <w:rPr>
          <w:rFonts w:hint="eastAsia" w:ascii="宋体" w:hAnsi="宋体" w:eastAsia="宋体" w:cs="宋体"/>
          <w:color w:val="000000" w:themeColor="text1"/>
          <w:sz w:val="24"/>
          <w:szCs w:val="24"/>
          <w:highlight w:val="none"/>
          <w14:textFill>
            <w14:solidFill>
              <w14:schemeClr w14:val="tx1"/>
            </w14:solidFill>
          </w14:textFill>
        </w:rPr>
        <w:t>从事违法行为《中华人民共和国政府采购法》第二十二条规定条件的供应商，应当拒绝其参加政府采购活动，其响应无效；两个以上的自然人、法人或者其他组织组成一个联合体，以一个供应商的身份共同参加政府采购活动的，应当对所有联合体成员进行信用记录查询，联合体成员存在不良信用记录的，视同联合体存在不良信用记录，其响应无效。</w:t>
      </w:r>
    </w:p>
    <w:p w14:paraId="0E67DFE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信用信息查询记录及相关证据应当与其他采购文件一并保存。</w:t>
      </w:r>
    </w:p>
    <w:p w14:paraId="7C968102">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18.5.1.3 供应商资格要求中，代理商须提供产品制造商针对本项目的唯一授权的，同一品牌同品目产品只允许一个供应商参加报价，产品制造商和代理商同时报价的，制造商响应有效，代理商响应无效；不同代理商代理同一品牌同品目产品报价的，按照各代理商提供《产品授权书》的时间先后顺序认定，先获得《产品授权书》的响应有效，后获得《产品授权书》的响应无效，时间相同时由谈判小组现场抽签决定。</w:t>
      </w:r>
    </w:p>
    <w:p w14:paraId="698C713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5.2符合性审查</w:t>
      </w:r>
    </w:p>
    <w:p w14:paraId="3B78494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谈判小组依据采购文件的规定，从响应文件的有效性、完整性和对采购文件的响应程度进行审查，以确定是否对采购文件的实质性要求作出响应。</w:t>
      </w:r>
    </w:p>
    <w:p w14:paraId="31F743E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5.3在资格性和符合性审查同时，对属于不合格供应商或者</w:t>
      </w:r>
      <w:r>
        <w:rPr>
          <w:rFonts w:hint="eastAsia" w:ascii="宋体" w:hAnsi="宋体" w:eastAsia="宋体" w:cs="宋体"/>
          <w:color w:val="000000" w:themeColor="text1"/>
          <w:sz w:val="24"/>
          <w:szCs w:val="24"/>
          <w:highlight w:val="none"/>
          <w:lang w:val="zh-CN"/>
          <w14:textFill>
            <w14:solidFill>
              <w14:schemeClr w14:val="tx1"/>
            </w14:solidFill>
          </w14:textFill>
        </w:rPr>
        <w:t>采购人或者其委托公证人员依据法律法规和采购文件的规定，分别与供应商共同对其商务部分响应文件中的资格证明、保证金等进行审查，以确定供应商是否具备报价资格，填写资格审查表并签字确认后，提交谈判小组审核</w:t>
      </w:r>
      <w:r>
        <w:rPr>
          <w:rFonts w:hint="eastAsia" w:ascii="宋体" w:hAnsi="宋体" w:eastAsia="宋体" w:cs="宋体"/>
          <w:color w:val="000000" w:themeColor="text1"/>
          <w:sz w:val="24"/>
          <w:szCs w:val="24"/>
          <w:highlight w:val="none"/>
          <w14:textFill>
            <w14:solidFill>
              <w14:schemeClr w14:val="tx1"/>
            </w14:solidFill>
          </w14:textFill>
        </w:rPr>
        <w:t>的供应商，谈判小组必须提出不合格或者响应无效的事实依据，并出具不合格或者响应无效说明，供应商签字确认。供应商签字确认后谈判小组全体成员签字。供应商拒绝签字确认的不影响谈判小组做出的不合格或无效裁定。</w:t>
      </w:r>
    </w:p>
    <w:p w14:paraId="6F4653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5.4技术评审</w:t>
      </w:r>
    </w:p>
    <w:p w14:paraId="7715E4B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5.4.1</w:t>
      </w:r>
      <w:r>
        <w:rPr>
          <w:rFonts w:hint="eastAsia" w:ascii="宋体" w:hAnsi="宋体" w:eastAsia="宋体" w:cs="宋体"/>
          <w:color w:val="000000" w:themeColor="text1"/>
          <w:sz w:val="24"/>
          <w:szCs w:val="24"/>
          <w:highlight w:val="none"/>
          <w:lang w:val="en-GB"/>
          <w14:textFill>
            <w14:solidFill>
              <w14:schemeClr w14:val="tx1"/>
            </w14:solidFill>
          </w14:textFill>
        </w:rPr>
        <w:t>按照采购文件要求，审查报价供应商所投货物和服务的规格、质量、数量及服务要求等技术要求和参数，并记录实质性响应、技术偏离等事项，进行技术部分的符合性审查。</w:t>
      </w:r>
    </w:p>
    <w:p w14:paraId="22EB56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5.4.2</w:t>
      </w:r>
      <w:r>
        <w:rPr>
          <w:rFonts w:hint="eastAsia" w:ascii="宋体" w:hAnsi="宋体" w:eastAsia="宋体" w:cs="宋体"/>
          <w:color w:val="000000" w:themeColor="text1"/>
          <w:sz w:val="24"/>
          <w:szCs w:val="24"/>
          <w:highlight w:val="none"/>
          <w:lang w:val="en-GB"/>
          <w14:textFill>
            <w14:solidFill>
              <w14:schemeClr w14:val="tx1"/>
            </w14:solidFill>
          </w14:textFill>
        </w:rPr>
        <w:t>对技术复杂或性质特殊、响应文件技术或指标不一致的，谈判小组应根据采购文件以及各响应文件情况，在确保采购需求、质量和服务相等的前提下，按同等或者略高于采购文件标准确定统一谈判技术指标（包括强制性标准和行业标准），谈判现场形成书面技术要求并经谈判小组全体成员签字确认，该标准是评审报告的组成部分，谈判技术指标经所有参与谈判供应商书面承诺后方可进行谈判。</w:t>
      </w:r>
    </w:p>
    <w:p w14:paraId="56B22242">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5.4.3</w:t>
      </w:r>
      <w:r>
        <w:rPr>
          <w:rFonts w:hint="eastAsia" w:ascii="宋体" w:hAnsi="宋体" w:eastAsia="宋体" w:cs="宋体"/>
          <w:color w:val="000000" w:themeColor="text1"/>
          <w:sz w:val="24"/>
          <w:szCs w:val="24"/>
          <w:highlight w:val="none"/>
          <w:lang w:val="en-GB"/>
          <w14:textFill>
            <w14:solidFill>
              <w14:schemeClr w14:val="tx1"/>
            </w14:solidFill>
          </w14:textFill>
        </w:rPr>
        <w:t>对不能事先计算出价格总额、响应报价（含单项报价）超出市场价格但总价不高于本次采购预算金额，以及市场价格波动较大的，谈判小组应根据本次采购预算金额、市场价格以及供应商响应报价，在确保采购需求、质量和服务相等的前提下，谈判小组必须集体讨论确定谈判标底和报价轮次，该标底必须低于本次开标报价的最低报价并低于市场价格。</w:t>
      </w:r>
      <w:bookmarkStart w:id="186" w:name="_Toc464831155"/>
    </w:p>
    <w:p w14:paraId="666CA82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6澄清有关问题</w:t>
      </w:r>
      <w:bookmarkEnd w:id="186"/>
    </w:p>
    <w:p w14:paraId="7226C9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6.1对响应文件中含义不明确、同类问题表述不一致或者有明显文字和计算错误的内容，谈判小组应以书面形式要求供应商做出必要的澄清、承诺、说明或者纠正。供应商的澄清、承诺、说明或者纠正应采取书面形式，由法定代表人或者被授权代表签字，并不得超出响应文件的范围或者改变响应文件的实质性内容。</w:t>
      </w:r>
    </w:p>
    <w:p w14:paraId="3FF60E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6.2谈判小组判断响应文件的响应性仅基于响应文件本身而不靠外部因素。未响应实质性条款的，谈判小组有权确定其响应无效，供应商不能通过修正、撤销或者澄清不符之处而使其报价成为实质性响应的报价。</w:t>
      </w:r>
    </w:p>
    <w:p w14:paraId="46FB221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6.3谈判小组可以允许供应商修改或者澄清其响应文件中不构成实质偏离的、微小的、非正规的不一致或者不规则的地方。</w:t>
      </w:r>
    </w:p>
    <w:p w14:paraId="682DEA94">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bookmarkStart w:id="187" w:name="_Toc46483115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7谈判</w:t>
      </w:r>
      <w:bookmarkEnd w:id="187"/>
    </w:p>
    <w:p w14:paraId="12CBC851">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7.1</w:t>
      </w:r>
      <w:r>
        <w:rPr>
          <w:rFonts w:hint="eastAsia" w:ascii="宋体" w:hAnsi="宋体" w:eastAsia="宋体" w:cs="宋体"/>
          <w:color w:val="000000" w:themeColor="text1"/>
          <w:sz w:val="24"/>
          <w:szCs w:val="24"/>
          <w:highlight w:val="none"/>
          <w:lang w:val="en-GB"/>
          <w14:textFill>
            <w14:solidFill>
              <w14:schemeClr w14:val="tx1"/>
            </w14:solidFill>
          </w14:textFill>
        </w:rPr>
        <w:t>谈判前，谈判小组应核实供应商对统一谈判技术标准（包括强制性标准和行业标准）等是否全部承诺或者确认。</w:t>
      </w:r>
    </w:p>
    <w:p w14:paraId="63AB555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7.2谈判小组所有成员集中与单一供应商进行谈判。在谈判中，谈判的任何一方不得透露与谈判有关的其他供应商的技术资料、价格和其他信息。</w:t>
      </w:r>
    </w:p>
    <w:p w14:paraId="3F7E892D">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7.3</w:t>
      </w:r>
      <w:r>
        <w:rPr>
          <w:rFonts w:hint="eastAsia" w:ascii="宋体" w:hAnsi="宋体" w:eastAsia="宋体" w:cs="宋体"/>
          <w:color w:val="000000" w:themeColor="text1"/>
          <w:sz w:val="24"/>
          <w:szCs w:val="24"/>
          <w:highlight w:val="none"/>
          <w:lang w:val="en-GB"/>
          <w14:textFill>
            <w14:solidFill>
              <w14:schemeClr w14:val="tx1"/>
            </w14:solidFill>
          </w14:textFill>
        </w:rPr>
        <w:t>谈判</w:t>
      </w:r>
      <w:r>
        <w:rPr>
          <w:rFonts w:hint="eastAsia" w:ascii="宋体" w:hAnsi="宋体" w:eastAsia="宋体" w:cs="宋体"/>
          <w:color w:val="000000" w:themeColor="text1"/>
          <w:sz w:val="24"/>
          <w:szCs w:val="24"/>
          <w:highlight w:val="none"/>
          <w14:textFill>
            <w14:solidFill>
              <w14:schemeClr w14:val="tx1"/>
            </w14:solidFill>
          </w14:textFill>
        </w:rPr>
        <w:t>实行多轮报价，原则上第</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轮报价为最终报价</w:t>
      </w:r>
      <w:r>
        <w:rPr>
          <w:rFonts w:hint="eastAsia" w:ascii="宋体" w:hAnsi="宋体" w:eastAsia="宋体" w:cs="宋体"/>
          <w:color w:val="000000" w:themeColor="text1"/>
          <w:sz w:val="24"/>
          <w:szCs w:val="24"/>
          <w:highlight w:val="none"/>
          <w:lang w:val="en-GB"/>
          <w14:textFill>
            <w14:solidFill>
              <w14:schemeClr w14:val="tx1"/>
            </w14:solidFill>
          </w14:textFill>
        </w:rPr>
        <w:t>。超过</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轮报价的</w:t>
      </w:r>
      <w:r>
        <w:rPr>
          <w:rFonts w:hint="eastAsia" w:ascii="宋体" w:hAnsi="宋体" w:eastAsia="宋体" w:cs="宋体"/>
          <w:color w:val="000000" w:themeColor="text1"/>
          <w:sz w:val="24"/>
          <w:szCs w:val="24"/>
          <w:highlight w:val="none"/>
          <w:lang w:val="en-GB"/>
          <w14:textFill>
            <w14:solidFill>
              <w14:schemeClr w14:val="tx1"/>
            </w14:solidFill>
          </w14:textFill>
        </w:rPr>
        <w:t>由谈判小组现场集体决定，但最后一轮报价前必须告知所有参加谈判的供应商，并以最后一轮报价为最终报价</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GB"/>
          <w14:textFill>
            <w14:solidFill>
              <w14:schemeClr w14:val="tx1"/>
            </w14:solidFill>
          </w14:textFill>
        </w:rPr>
        <w:t>供应商后一轮报价不得高于其前一轮报价；</w:t>
      </w:r>
      <w:r>
        <w:rPr>
          <w:rFonts w:hint="eastAsia" w:ascii="宋体" w:hAnsi="宋体" w:eastAsia="宋体" w:cs="宋体"/>
          <w:color w:val="000000" w:themeColor="text1"/>
          <w:sz w:val="24"/>
          <w:szCs w:val="24"/>
          <w:highlight w:val="none"/>
          <w14:textFill>
            <w14:solidFill>
              <w14:schemeClr w14:val="tx1"/>
            </w14:solidFill>
          </w14:textFill>
        </w:rPr>
        <w:t>否则谈判小组有权据此确定为无效报价，参与谈判的供应商少于三家的予以废标。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中标供应商需提供二次报价清单。</w:t>
      </w:r>
    </w:p>
    <w:p w14:paraId="22A200A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特殊情况及处置：（1）采购范围变化且总价不超过</w:t>
      </w:r>
      <w:r>
        <w:rPr>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Fonts w:hint="eastAsia" w:ascii="宋体" w:hAnsi="宋体" w:eastAsia="宋体" w:cs="宋体"/>
          <w:color w:val="000000" w:themeColor="text1"/>
          <w:sz w:val="24"/>
          <w:szCs w:val="24"/>
          <w:highlight w:val="none"/>
          <w14:textFill>
            <w14:solidFill>
              <w14:schemeClr w14:val="tx1"/>
            </w14:solidFill>
          </w14:textFill>
        </w:rPr>
        <w:t>的；（2）采购货物的市场价格明显降价的；（3）报价明细中个别报价明显高于市场价且无明确报价依据的；（4）最后一轮报价中最低报价相同的。发生上述情形之一的，谈判小组有权予以废标或者与供应商进行谈判后继续报价。</w:t>
      </w:r>
    </w:p>
    <w:p w14:paraId="4D7CBA3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8" w:name="_Toc464831157"/>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8成交</w:t>
      </w:r>
      <w:bookmarkEnd w:id="188"/>
    </w:p>
    <w:p w14:paraId="4A7ABA6D">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8.1本次采购采用</w:t>
      </w:r>
      <w:r>
        <w:rPr>
          <w:rFonts w:hint="eastAsia" w:ascii="宋体" w:hAnsi="宋体" w:eastAsia="宋体" w:cs="宋体"/>
          <w:color w:val="000000" w:themeColor="text1"/>
          <w:sz w:val="24"/>
          <w:szCs w:val="24"/>
          <w:highlight w:val="none"/>
          <w:lang w:val="en-GB"/>
          <w14:textFill>
            <w14:solidFill>
              <w14:schemeClr w14:val="tx1"/>
            </w14:solidFill>
          </w14:textFill>
        </w:rPr>
        <w:t>最低评标价法，是指以价格为主要因素确定成交供应商的评审方法。即在全部满足采购文件实质性要求，且采购</w:t>
      </w:r>
      <w:r>
        <w:rPr>
          <w:rFonts w:hint="eastAsia" w:ascii="宋体" w:hAnsi="宋体" w:eastAsia="宋体" w:cs="宋体"/>
          <w:color w:val="000000" w:themeColor="text1"/>
          <w:sz w:val="24"/>
          <w:szCs w:val="24"/>
          <w:highlight w:val="none"/>
          <w14:textFill>
            <w14:solidFill>
              <w14:schemeClr w14:val="tx1"/>
            </w14:solidFill>
          </w14:textFill>
        </w:rPr>
        <w:t>需求、质量和服务相等的</w:t>
      </w:r>
      <w:r>
        <w:rPr>
          <w:rFonts w:hint="eastAsia" w:ascii="宋体" w:hAnsi="宋体" w:eastAsia="宋体" w:cs="宋体"/>
          <w:color w:val="000000" w:themeColor="text1"/>
          <w:sz w:val="24"/>
          <w:szCs w:val="24"/>
          <w:highlight w:val="none"/>
          <w:lang w:val="en-GB"/>
          <w14:textFill>
            <w14:solidFill>
              <w14:schemeClr w14:val="tx1"/>
            </w14:solidFill>
          </w14:textFill>
        </w:rPr>
        <w:t>前提下，依据统一的价格要素评定最低报价，按最终报价由低到高的顺序排序，确定成交供应商或推荐成交候选供应商的评审方法。</w:t>
      </w:r>
    </w:p>
    <w:p w14:paraId="77B1D88B">
      <w:pPr>
        <w:spacing w:line="360" w:lineRule="auto"/>
        <w:ind w:firstLine="480" w:firstLineChars="200"/>
        <w:rPr>
          <w:rFonts w:hint="eastAsia" w:ascii="宋体" w:hAnsi="宋体" w:eastAsia="宋体" w:cs="宋体"/>
          <w:color w:val="000000" w:themeColor="text1"/>
          <w:sz w:val="24"/>
          <w:szCs w:val="24"/>
          <w:highlight w:val="none"/>
          <w:lang w:val="en-GB"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8.2</w:t>
      </w:r>
      <w:r>
        <w:rPr>
          <w:rFonts w:hint="eastAsia" w:ascii="宋体" w:hAnsi="宋体" w:eastAsia="宋体" w:cs="宋体"/>
          <w:color w:val="000000" w:themeColor="text1"/>
          <w:sz w:val="24"/>
          <w:szCs w:val="24"/>
          <w:highlight w:val="none"/>
          <w:lang w:val="en-GB"/>
          <w14:textFill>
            <w14:solidFill>
              <w14:schemeClr w14:val="tx1"/>
            </w14:solidFill>
          </w14:textFill>
        </w:rPr>
        <w:t>采购人授权谈判小组确定成交供应商的，最终报价结束后，谈判小组按照上述的规定，对供应商进行排序并确定排序第一的为成交供应商</w:t>
      </w:r>
      <w:r>
        <w:rPr>
          <w:rFonts w:hint="eastAsia" w:ascii="宋体" w:hAnsi="宋体" w:eastAsia="宋体" w:cs="宋体"/>
          <w:color w:val="000000" w:themeColor="text1"/>
          <w:sz w:val="24"/>
          <w:szCs w:val="24"/>
          <w:highlight w:val="none"/>
          <w:lang w:val="en-GB" w:eastAsia="zh-CN"/>
          <w14:textFill>
            <w14:solidFill>
              <w14:schemeClr w14:val="tx1"/>
            </w14:solidFill>
          </w14:textFill>
        </w:rPr>
        <w:t>。</w:t>
      </w:r>
    </w:p>
    <w:p w14:paraId="6D56F423">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8.3</w:t>
      </w:r>
      <w:r>
        <w:rPr>
          <w:rFonts w:hint="eastAsia" w:ascii="宋体" w:hAnsi="宋体" w:eastAsia="宋体" w:cs="宋体"/>
          <w:color w:val="000000" w:themeColor="text1"/>
          <w:kern w:val="0"/>
          <w:sz w:val="24"/>
          <w:szCs w:val="24"/>
          <w:highlight w:val="none"/>
          <w:lang w:val="zh-CN"/>
          <w14:textFill>
            <w14:solidFill>
              <w14:schemeClr w14:val="tx1"/>
            </w14:solidFill>
          </w14:textFill>
        </w:rPr>
        <w:t>采购文件规定推荐成交候选供应商的，成交候选供应商数量应当根据采购需要并在采购活动开始前确定，由谈判小组按照上述规定的评审办法确定各供应商排列顺序，依照顺序推荐成交候选供应商，并出具评审报告，采购人应当在收到评审报告后5个工作日内，从评审报告提出的成交候选人中，根据质量和服务均能满足采购文件实质性响应要求且最后报价最低的原则确定成交供应商。</w:t>
      </w:r>
    </w:p>
    <w:p w14:paraId="341938D2">
      <w:pPr>
        <w:spacing w:line="360" w:lineRule="auto"/>
        <w:ind w:firstLine="482"/>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zh-CN"/>
          <w14:textFill>
            <w14:solidFill>
              <w14:schemeClr w14:val="tx1"/>
            </w14:solidFill>
          </w14:textFill>
        </w:rPr>
        <w:t>8.4按照有关规定成交供应商因不可抗力或者自身原因不能履行政府采购合同的须顺延排序第二的供应商成交的，或者采购人推荐排序第二的供应商成交的，其原响应报价不得超过原成交供应商响应报价与保证金之和，报经监督部门核准后可以确定排序第二的供应商成交。否则应予废标，由采购人依法重新组织采购。</w:t>
      </w:r>
    </w:p>
    <w:p w14:paraId="6586042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8.5谈判结果应通知所有参加谈判的供应商。</w:t>
      </w:r>
    </w:p>
    <w:p w14:paraId="4C0F6D57">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8.6优先成交</w:t>
      </w:r>
    </w:p>
    <w:p w14:paraId="199265A7">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GB"/>
          <w14:textFill>
            <w14:solidFill>
              <w14:schemeClr w14:val="tx1"/>
            </w14:solidFill>
          </w14:textFill>
        </w:rPr>
        <w:t>有下列情况之一的，谈判小组必须给予优先成交：</w:t>
      </w:r>
    </w:p>
    <w:p w14:paraId="2389D48B">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8.6.1根据财政部、工业和信息化部（财库〔2011〕181号）文件规定，供应商属小型或微型企业并以其自身产品和服务报价，或者提供其他小微企业制造的货物，</w:t>
      </w:r>
      <w:r>
        <w:rPr>
          <w:rFonts w:hint="eastAsia" w:ascii="宋体" w:hAnsi="宋体" w:eastAsia="宋体" w:cs="宋体"/>
          <w:color w:val="000000" w:themeColor="text1"/>
          <w:kern w:val="0"/>
          <w:sz w:val="24"/>
          <w:szCs w:val="24"/>
          <w:highlight w:val="none"/>
          <w14:textFill>
            <w14:solidFill>
              <w14:schemeClr w14:val="tx1"/>
            </w14:solidFill>
          </w14:textFill>
        </w:rPr>
        <w:t>在满足采购需求且质量和服务相等的情况下，其</w:t>
      </w:r>
      <w:r>
        <w:rPr>
          <w:rFonts w:hint="eastAsia" w:ascii="宋体" w:hAnsi="宋体" w:eastAsia="宋体" w:cs="宋体"/>
          <w:color w:val="000000" w:themeColor="text1"/>
          <w:sz w:val="24"/>
          <w:szCs w:val="24"/>
          <w:highlight w:val="none"/>
          <w:lang w:val="en-GB"/>
          <w14:textFill>
            <w14:solidFill>
              <w14:schemeClr w14:val="tx1"/>
            </w14:solidFill>
          </w14:textFill>
        </w:rPr>
        <w:t>最终报价再给予</w:t>
      </w: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GB"/>
          <w14:textFill>
            <w14:solidFill>
              <w14:schemeClr w14:val="tx1"/>
            </w14:solidFill>
          </w14:textFill>
        </w:rPr>
        <w:t>%的价格扣除后价格最低或与最低价相同的，须提供《中小企业声明函》并对声明函的真实性负责，否则不予价格扣除。</w:t>
      </w:r>
    </w:p>
    <w:p w14:paraId="0764679D">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bookmarkStart w:id="189" w:name="_Toc464831158"/>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成交结果公告以及成交通知书</w:t>
      </w:r>
      <w:bookmarkEnd w:id="189"/>
    </w:p>
    <w:p w14:paraId="37EBD962">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1采购人或者采购代理机构应当自成交供应商确定之日起2个工作日内，发出成交通知书，并在</w:t>
      </w:r>
      <w:r>
        <w:rPr>
          <w:rFonts w:hint="eastAsia" w:ascii="宋体" w:hAnsi="宋体" w:eastAsia="宋体" w:cs="宋体"/>
          <w:color w:val="000000" w:themeColor="text1"/>
          <w:kern w:val="0"/>
          <w:sz w:val="24"/>
          <w:szCs w:val="24"/>
          <w:highlight w:val="none"/>
          <w:lang w:eastAsia="zh-CN"/>
          <w14:textFill>
            <w14:solidFill>
              <w14:schemeClr w14:val="tx1"/>
            </w14:solidFill>
          </w14:textFill>
        </w:rPr>
        <w:t>相关媒介</w:t>
      </w:r>
      <w:r>
        <w:rPr>
          <w:rFonts w:hint="eastAsia" w:ascii="宋体" w:hAnsi="宋体" w:eastAsia="宋体" w:cs="宋体"/>
          <w:color w:val="000000" w:themeColor="text1"/>
          <w:kern w:val="0"/>
          <w:sz w:val="24"/>
          <w:szCs w:val="24"/>
          <w:highlight w:val="none"/>
          <w14:textFill>
            <w14:solidFill>
              <w14:schemeClr w14:val="tx1"/>
            </w14:solidFill>
          </w14:textFill>
        </w:rPr>
        <w:t>公告成交结果（公告期限为1个工作日），采购文件随成交结果同时公告。</w:t>
      </w:r>
    </w:p>
    <w:p w14:paraId="45165142">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2采购人或采购代理机构不按照规定发布成交结果公告或者发布成交结果公告后不签发成交通知书的，应当承担法律责任，给成交供应商造成经济损失的应承担赔偿责任。</w:t>
      </w:r>
    </w:p>
    <w:p w14:paraId="1C21990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18.9.</w:t>
      </w:r>
      <w:r>
        <w:rPr>
          <w:rStyle w:val="24"/>
          <w:rFonts w:hint="eastAsia" w:ascii="宋体" w:hAnsi="宋体" w:eastAsia="宋体" w:cs="宋体"/>
          <w:color w:val="000000" w:themeColor="text1"/>
          <w:sz w:val="24"/>
          <w:szCs w:val="24"/>
          <w:highlight w:val="none"/>
          <w14:textFill>
            <w14:solidFill>
              <w14:schemeClr w14:val="tx1"/>
            </w14:solidFill>
          </w14:textFill>
        </w:rPr>
        <w:t>3成交通知书对采购人和成交供应商都具有法律效力。成交通知书发出后，采购人改变成交结果的，或者成交供应商放弃成交，应当依法承担法律责任。</w:t>
      </w:r>
    </w:p>
    <w:p w14:paraId="6ADC294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0" w:name="_Toc464831159"/>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响应无效</w:t>
      </w:r>
      <w:bookmarkEnd w:id="190"/>
    </w:p>
    <w:p w14:paraId="609E3AE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出现下列情形之一的，响应无效：</w:t>
      </w:r>
    </w:p>
    <w:p w14:paraId="77D7651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1响应报价高于采购</w:t>
      </w:r>
      <w:r>
        <w:rPr>
          <w:rStyle w:val="24"/>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Style w:val="24"/>
          <w:rFonts w:hint="eastAsia" w:ascii="宋体" w:hAnsi="宋体" w:eastAsia="宋体" w:cs="宋体"/>
          <w:color w:val="000000" w:themeColor="text1"/>
          <w:sz w:val="24"/>
          <w:szCs w:val="24"/>
          <w:highlight w:val="none"/>
          <w14:textFill>
            <w14:solidFill>
              <w14:schemeClr w14:val="tx1"/>
            </w14:solidFill>
          </w14:textFill>
        </w:rPr>
        <w:t>的；</w:t>
      </w:r>
    </w:p>
    <w:p w14:paraId="1B41A56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2对“★”条款未做出实质性响应或者发生负偏离的；</w:t>
      </w:r>
    </w:p>
    <w:p w14:paraId="28269AC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3应提供而未提供带“▲”标注的政府强制采购节能产品的；</w:t>
      </w:r>
    </w:p>
    <w:p w14:paraId="7CAFDE7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4对允许偏离的非实质性条款，偏离采购文件规定的偏离范围和幅度的；</w:t>
      </w:r>
    </w:p>
    <w:p w14:paraId="00A42A3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5不按照采购文件规定报价、没有分项报价、拒绝报价、有多个报价（采购文件另有规定的除外）、有选择性报价、附有条件的报价或者拒绝修正报价的；</w:t>
      </w:r>
    </w:p>
    <w:p w14:paraId="4883AA9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6响应文件正副本未区分或者内容严重不一致的；</w:t>
      </w:r>
    </w:p>
    <w:p w14:paraId="5E435C1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7供应商未按采购文件要求交纳保证金的；</w:t>
      </w:r>
    </w:p>
    <w:p w14:paraId="3D404C9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8报价有效期不满足采购文件要求的；</w:t>
      </w:r>
    </w:p>
    <w:p w14:paraId="32D7443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9报价超出营业执照经营范围的；</w:t>
      </w:r>
    </w:p>
    <w:p w14:paraId="0813C4C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10谈判小组2/3及以上成员认定报价方案技术含量低、偏离范围超出允许幅度、不符合采购文件要求的；</w:t>
      </w:r>
    </w:p>
    <w:p w14:paraId="1FE62EC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11谈判小组判定供应商涂改证明材料或者提供虚假材料和承诺的；</w:t>
      </w:r>
    </w:p>
    <w:p w14:paraId="48E42CC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12未按采购文件规定编制、签署、盖章、装订和密封响应文件的；</w:t>
      </w:r>
    </w:p>
    <w:p w14:paraId="1DB54BB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13代理商未按采购文件要求提供产品制造商针对本项目的唯一授权的；</w:t>
      </w:r>
    </w:p>
    <w:p w14:paraId="4D875DC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14采购文件第三章第1条规定供应商应当提交的资格、资信等证明文件未提供、提供不齐全或者复印件未装订于响应文件中的；</w:t>
      </w:r>
    </w:p>
    <w:p w14:paraId="716A725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15资格、资信等证明文件可以为复印件的，复印件未加盖单位公章的；</w:t>
      </w:r>
    </w:p>
    <w:p w14:paraId="4524541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16不符合法律、法规和采购文件中规定的其他要求的。</w:t>
      </w:r>
    </w:p>
    <w:p w14:paraId="0F4F437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对响应无效的认定，必须经谈判小组集体做出决定并出具响应无效的事实依据，由供应商法定代表人或者被授权代表签字确认，拒绝签字的，不影响谈判小组做出的决定。</w:t>
      </w:r>
    </w:p>
    <w:p w14:paraId="6640F68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1" w:name="_Toc464831160"/>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废标</w:t>
      </w:r>
      <w:bookmarkEnd w:id="191"/>
    </w:p>
    <w:p w14:paraId="4F4727E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1出现下列情形之一的，应予废标：</w:t>
      </w:r>
    </w:p>
    <w:p w14:paraId="22934F1A">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1.1在报价截止时间结束后参加报价的供应商不足3家，符合采购文件规定条件的供应商不足3家或者对采购文件作实质性响应的供应商不足3家的；</w:t>
      </w:r>
    </w:p>
    <w:p w14:paraId="1743AA21">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1.2出现影响采购公正的违法违规行为的；</w:t>
      </w:r>
    </w:p>
    <w:p w14:paraId="6A587D0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1.3供应商的报价均超过采购预算的；</w:t>
      </w:r>
    </w:p>
    <w:p w14:paraId="2BDFBC4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1.4因重大变故，采购任务取消的；</w:t>
      </w:r>
    </w:p>
    <w:p w14:paraId="4517B13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1.5法律、法规以及采购文件规定的其他废标情形。</w:t>
      </w:r>
    </w:p>
    <w:p w14:paraId="241F527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2废标后，采购人或者采购代理机构应当将废标理由通知所有供应商。</w:t>
      </w:r>
    </w:p>
    <w:p w14:paraId="6D05598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2" w:name="_Toc464831161"/>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特殊情况处置程序</w:t>
      </w:r>
      <w:bookmarkEnd w:id="192"/>
    </w:p>
    <w:p w14:paraId="1A98F3F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1谈判小组成员的更换</w:t>
      </w:r>
    </w:p>
    <w:p w14:paraId="123A6BE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1.1谈判小组应当执行连续评审的原则，按照采购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采购文件和所有响应文件，择期重新组建谈判小组进行评审。</w:t>
      </w:r>
    </w:p>
    <w:p w14:paraId="623E6955">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1.2退出谈判小组的成员，其已完成的评审行为无效。由采购人向监督人员提出更换谈判小组成员意见并获准后，根据本采购文件规定的谈判小组成员产生方式另行确定替代者进行评审。</w:t>
      </w:r>
    </w:p>
    <w:p w14:paraId="3B18698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2记名投票</w:t>
      </w:r>
    </w:p>
    <w:p w14:paraId="4A5BD9F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在评审过程中，谈判小组发生分歧或者评审结论有异议需表决的，按照少数服从多数的原则，由谈判小组全体成员以记名投票方式表决。</w:t>
      </w:r>
    </w:p>
    <w:p w14:paraId="51AEE93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3延期开标</w:t>
      </w:r>
    </w:p>
    <w:p w14:paraId="63EF05D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因特殊情况需要推迟开标时间的，采购人或者采购代理机构必须提前报监督部门审批，经批准后按规定提前告知所有参加报价的供应商，否则必须按时开标。</w:t>
      </w:r>
    </w:p>
    <w:p w14:paraId="3799264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3" w:name="_Toc464831162"/>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违法违规情形</w:t>
      </w:r>
      <w:bookmarkEnd w:id="193"/>
    </w:p>
    <w:p w14:paraId="09FEECB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1有下列情形之一的，属于供应商相互串通报价：</w:t>
      </w:r>
    </w:p>
    <w:p w14:paraId="350072E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1.1供应商之间协商响应报价等响应文件的实质性内容；</w:t>
      </w:r>
    </w:p>
    <w:p w14:paraId="377D2F2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1.2供应商之间约定成交供应商；</w:t>
      </w:r>
    </w:p>
    <w:p w14:paraId="08396FE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1.3供应商之间约定部分供应商放弃报价或者成交；</w:t>
      </w:r>
    </w:p>
    <w:p w14:paraId="533B050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1.4属于同一集团、协会、商会等组织成员的供应商按照该组织要求协同报价；</w:t>
      </w:r>
    </w:p>
    <w:p w14:paraId="4D2FFFD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1.5供应商之间为谋取中标或者排斥特定供应商而采取的其他联合行动。</w:t>
      </w:r>
    </w:p>
    <w:p w14:paraId="65221F2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2有下列情形之一的，视为供应商相互串通报价，谈判小组应当出具违法违规认定意见并作响应无效处理：</w:t>
      </w:r>
    </w:p>
    <w:p w14:paraId="4121E4A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2.1不同供应商的响应文件由同一单位或者个人编制；</w:t>
      </w:r>
    </w:p>
    <w:p w14:paraId="718110C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2.2不同供应商委托同一单位或者个人办理报价事宜；</w:t>
      </w:r>
    </w:p>
    <w:p w14:paraId="2C2B667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2.3不同供应商的响应文件载明的项目管理成员为同一人；</w:t>
      </w:r>
    </w:p>
    <w:p w14:paraId="74D4F151">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2.4不同供应商的响应文件异常一致或者响应报价呈规律性差异；</w:t>
      </w:r>
    </w:p>
    <w:p w14:paraId="3A3FD905">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2.5不同供应商的响应文件相互混装；</w:t>
      </w:r>
    </w:p>
    <w:p w14:paraId="372A148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2.6不同供应商的保证金从同一单位或者个人的账户转出。</w:t>
      </w:r>
    </w:p>
    <w:p w14:paraId="282265E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3有下列情形之一的，属于采购人与供应商串通报价：</w:t>
      </w:r>
    </w:p>
    <w:p w14:paraId="23C0165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3.1采购人在开标前开启响应文件并将有关信息泄露给其他供应商；</w:t>
      </w:r>
    </w:p>
    <w:p w14:paraId="311B2EAA">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3.2采购人直接或者间接向供应商泄露标底、谈判小组成员等信息；</w:t>
      </w:r>
    </w:p>
    <w:p w14:paraId="742F22A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3.3采购人明示或者暗示供应商压低或者抬高响应报价；</w:t>
      </w:r>
    </w:p>
    <w:p w14:paraId="12107C5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3.4采购人授意供应商撤换、修改响应文件；</w:t>
      </w:r>
    </w:p>
    <w:p w14:paraId="05FA8CD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3.5采购人明示或者暗示供应商为特定供应商中标提供方便；</w:t>
      </w:r>
    </w:p>
    <w:p w14:paraId="3BD9B6AF">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3.6采购人与供应商为谋求特定供应商中标而采取的其他串通行为。</w:t>
      </w:r>
    </w:p>
    <w:p w14:paraId="5E121C3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在开标、评审过程中发现以上违法违规情形的，首先由谈判小组作出认定，对认定确有以上违法违规情形的供应商，按无效报价处理，再进入正常评审程序。</w:t>
      </w:r>
    </w:p>
    <w:p w14:paraId="65CA4CD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4" w:name="_Toc464831163"/>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违规处理</w:t>
      </w:r>
      <w:bookmarkEnd w:id="194"/>
    </w:p>
    <w:p w14:paraId="1A484E9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供应商有下列情形之一的，列入不良行为记录名单，在一至三年内禁止参加政府采购活动：</w:t>
      </w:r>
    </w:p>
    <w:p w14:paraId="4CDE94DC">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1提供虚假报价材料谋取中标、成交的；</w:t>
      </w:r>
    </w:p>
    <w:p w14:paraId="3C4D3EAF">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2采取不正当手段诋毁、排挤其他供应商的；</w:t>
      </w:r>
    </w:p>
    <w:p w14:paraId="5252FA89">
      <w:pPr>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3与采购人、其他供应商或者采购代理机构恶意串通的；</w:t>
      </w:r>
    </w:p>
    <w:bookmarkEnd w:id="180"/>
    <w:p w14:paraId="683642D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95" w:name="_Toc1945"/>
      <w:bookmarkStart w:id="196" w:name="_Toc23416"/>
      <w:bookmarkStart w:id="197" w:name="_Toc11763"/>
      <w:bookmarkStart w:id="198" w:name="_Toc22433"/>
      <w:bookmarkStart w:id="199" w:name="_Toc31709"/>
      <w:bookmarkStart w:id="200" w:name="_Toc18982"/>
      <w:bookmarkStart w:id="201" w:name="_Toc13664"/>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质疑</w:t>
      </w:r>
      <w:bookmarkEnd w:id="195"/>
      <w:bookmarkEnd w:id="196"/>
      <w:bookmarkEnd w:id="197"/>
      <w:bookmarkEnd w:id="198"/>
      <w:bookmarkEnd w:id="199"/>
      <w:bookmarkEnd w:id="200"/>
      <w:bookmarkEnd w:id="201"/>
    </w:p>
    <w:p w14:paraId="4D5E668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1参加本次政府采购活动的供应商认为采购文件、采购过程和成交结果使自己的权益受到损害的，可以在知道或者应知道其权益受到损害之日起7个工作日内，以书面形式向采购人或者采购代理机构提出质疑。</w:t>
      </w:r>
    </w:p>
    <w:p w14:paraId="7175BE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2质疑书内容应包括以下主要内容：</w:t>
      </w:r>
    </w:p>
    <w:p w14:paraId="2CBB312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2.1质疑人的名称、地址、电话等；</w:t>
      </w:r>
    </w:p>
    <w:p w14:paraId="5928180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2.2具体的质疑事项、证据以及法律、法规依据；</w:t>
      </w:r>
    </w:p>
    <w:p w14:paraId="565851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2.3提出质疑的日期。</w:t>
      </w:r>
    </w:p>
    <w:p w14:paraId="51F3FA2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3质疑书应当署名，一式叁份。由法定代表人或者主要负责人签字并加盖公章后生效。代理人办理质疑事务时，还应当提交授权委托书，授权委托书应当载明代理的具体权限和事项。否则采购人或者采购代理机构不予受理。</w:t>
      </w:r>
    </w:p>
    <w:p w14:paraId="726972C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4除书面形式外，其他任何方式的质疑，采购人或者采购代理机构均不予接受和回复。</w:t>
      </w:r>
    </w:p>
    <w:p w14:paraId="2EE0E6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5采购人或者采购代理机构在收到质疑书后7个工作日内做出书面答复，并以书面形式通知质疑人和其他有关供应商，但答复不得涉及商业秘密。</w:t>
      </w:r>
    </w:p>
    <w:p w14:paraId="545DF1F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6质疑人对采购人、采购代理机构的答复不满意或者采购人、采购代理机构未在规定的时间内做出答复的，可以在答复期满后15个工作日内向同级监管部门投诉。</w:t>
      </w:r>
    </w:p>
    <w:p w14:paraId="1871709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02" w:name="_Toc464831147"/>
      <w:bookmarkStart w:id="203" w:name="_Toc26387"/>
      <w:bookmarkStart w:id="204" w:name="_Toc12107"/>
      <w:bookmarkStart w:id="205" w:name="_Toc21136"/>
      <w:bookmarkStart w:id="206" w:name="_Toc24865"/>
      <w:bookmarkStart w:id="207" w:name="_Toc9727"/>
      <w:bookmarkStart w:id="208" w:name="_Toc2813"/>
      <w:bookmarkStart w:id="209" w:name="_Toc12366"/>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投诉</w:t>
      </w:r>
      <w:bookmarkEnd w:id="202"/>
      <w:bookmarkEnd w:id="203"/>
      <w:bookmarkEnd w:id="204"/>
      <w:bookmarkEnd w:id="205"/>
      <w:bookmarkEnd w:id="206"/>
      <w:bookmarkEnd w:id="207"/>
      <w:bookmarkEnd w:id="208"/>
      <w:bookmarkEnd w:id="209"/>
    </w:p>
    <w:p w14:paraId="2B66429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1按照《中华人民共和国政府采购法》、财政部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文件以及相关的法律、法规及规定，质疑人对采购人、采购代理机构的答复不满意或者采购人、采购代理机构未在规定的时间内做出答复的，可以在答复期满后15个工作日内向同级监管部门投诉。</w:t>
      </w:r>
    </w:p>
    <w:p w14:paraId="1703B13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2投诉人提起投诉应符合下列条件：</w:t>
      </w:r>
    </w:p>
    <w:p w14:paraId="625F277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2.1投诉人是参与所投诉政府采购活动的供应商；</w:t>
      </w:r>
    </w:p>
    <w:p w14:paraId="24C0134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2.2提起投诉前已依法进行质疑；</w:t>
      </w:r>
    </w:p>
    <w:p w14:paraId="727E7F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2.3投诉书内容符合财政部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规定；</w:t>
      </w:r>
    </w:p>
    <w:p w14:paraId="7ED284E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2.4在投诉有效期限内提起投诉；</w:t>
      </w:r>
    </w:p>
    <w:p w14:paraId="0673DC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2.5属于本财政部门管辖；</w:t>
      </w:r>
    </w:p>
    <w:p w14:paraId="5B377B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2.6同一投诉事项未经财政部门投诉处理；</w:t>
      </w:r>
    </w:p>
    <w:p w14:paraId="2F4BB1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2.7法律法规规定的其他条件。</w:t>
      </w:r>
    </w:p>
    <w:p w14:paraId="0C65D6A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3投诉人投诉时，应当提交投诉书，并按照被投诉采购人、采购代理机构和与投诉事项有关的供应商数量提供投诉书的副本。</w:t>
      </w:r>
    </w:p>
    <w:p w14:paraId="448BCAC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4投诉书应当包括以下主要内容：</w:t>
      </w:r>
    </w:p>
    <w:p w14:paraId="6A8D41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4.1投诉人和被投诉人的名称、地址、电话等；</w:t>
      </w:r>
    </w:p>
    <w:p w14:paraId="4A8779C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4.2具体的投诉事宜以及事实依据；</w:t>
      </w:r>
    </w:p>
    <w:p w14:paraId="1FAA38C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4.3质疑书和质疑答复情况以及相关证明材料；</w:t>
      </w:r>
    </w:p>
    <w:p w14:paraId="0FAD3AB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4.4提起投诉的日期。</w:t>
      </w:r>
    </w:p>
    <w:p w14:paraId="5674E83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5投诉书应当署名。投诉人为自然人的，应当由本人签字；投诉人为法人或者其他组织的，应当由法定代表人或者主要负责人签字盖章并加盖公章。</w:t>
      </w:r>
    </w:p>
    <w:p w14:paraId="4ACEC1E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6投诉人可以委托代理人办理投诉事务。代理人办理投诉事务时，除提交投诉书外，还应当向同级监管部门提交投诉人的授权委托书，授权委托书应当载明委托代理的具体权限和事项。</w:t>
      </w:r>
    </w:p>
    <w:p w14:paraId="69F595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7投诉人不符合上述规定提起的投诉，监管部门不予受理。</w:t>
      </w:r>
    </w:p>
    <w:p w14:paraId="7D64F2E2">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10" w:name="_Toc9061"/>
      <w:bookmarkStart w:id="211" w:name="_Toc12119"/>
      <w:bookmarkStart w:id="212" w:name="_Toc2240"/>
      <w:bookmarkStart w:id="213" w:name="_Toc12370"/>
      <w:bookmarkStart w:id="214" w:name="_Toc9117"/>
      <w:bookmarkStart w:id="215" w:name="_Toc6531"/>
      <w:bookmarkStart w:id="216" w:name="_Toc357"/>
      <w:bookmarkStart w:id="217" w:name="_Toc464831148"/>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.其他需补充的内容</w:t>
      </w:r>
      <w:bookmarkEnd w:id="210"/>
      <w:bookmarkEnd w:id="211"/>
      <w:bookmarkEnd w:id="212"/>
      <w:bookmarkEnd w:id="213"/>
      <w:bookmarkEnd w:id="214"/>
      <w:bookmarkEnd w:id="215"/>
      <w:bookmarkEnd w:id="216"/>
      <w:bookmarkEnd w:id="217"/>
    </w:p>
    <w:p w14:paraId="5941D1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其他需补充的内容：见供应商须知前附表。</w:t>
      </w:r>
    </w:p>
    <w:p w14:paraId="69438000">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0F8E49B4">
      <w:pPr>
        <w:spacing w:line="360" w:lineRule="auto"/>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3C727926">
      <w:pPr>
        <w:rPr>
          <w:rFonts w:hint="eastAsia" w:ascii="宋体" w:hAnsi="宋体" w:eastAsia="宋体" w:cs="宋体"/>
          <w:color w:val="000000" w:themeColor="text1"/>
          <w:sz w:val="28"/>
          <w:szCs w:val="28"/>
          <w:highlight w:val="none"/>
          <w14:textFill>
            <w14:solidFill>
              <w14:schemeClr w14:val="tx1"/>
            </w14:solidFill>
          </w14:textFill>
        </w:rPr>
        <w:sectPr>
          <w:footerReference r:id="rId5" w:type="default"/>
          <w:pgSz w:w="11906" w:h="16838"/>
          <w:pgMar w:top="1440" w:right="1800" w:bottom="1440" w:left="1800" w:header="851" w:footer="992" w:gutter="0"/>
          <w:pgNumType w:fmt="decimal" w:start="1"/>
          <w:cols w:space="720" w:num="1"/>
          <w:docGrid w:type="lines" w:linePitch="312" w:charSpace="0"/>
        </w:sectPr>
      </w:pPr>
    </w:p>
    <w:p w14:paraId="10C96008">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bookmarkStart w:id="218" w:name="_Toc7146"/>
      <w:bookmarkStart w:id="219" w:name="_Toc17250"/>
      <w:bookmarkStart w:id="220" w:name="_Toc1698"/>
      <w:bookmarkStart w:id="221" w:name="_Toc6661"/>
      <w:bookmarkStart w:id="222" w:name="_Toc31203"/>
      <w:bookmarkStart w:id="223" w:name="_Toc27181"/>
      <w:bookmarkStart w:id="224" w:name="_Toc3784"/>
      <w:bookmarkStart w:id="225" w:name="_Toc11123"/>
      <w:bookmarkStart w:id="226" w:name="_Toc21512"/>
      <w:bookmarkStart w:id="227" w:name="_Toc2308"/>
      <w:bookmarkStart w:id="228" w:name="_Toc25369"/>
      <w:bookmarkStart w:id="229" w:name="_Toc23930"/>
      <w:bookmarkStart w:id="230" w:name="_Toc494455916"/>
    </w:p>
    <w:p w14:paraId="1A60614D">
      <w:pPr>
        <w:numPr>
          <w:ilvl w:val="0"/>
          <w:numId w:val="0"/>
        </w:numPr>
        <w:ind w:left="0" w:leftChars="0" w:firstLine="0" w:firstLineChars="0"/>
        <w:jc w:val="center"/>
        <w:outlineLvl w:val="0"/>
        <w:rPr>
          <w:rFonts w:hint="eastAsia" w:ascii="宋体" w:hAnsi="宋体" w:eastAsia="宋体" w:cs="宋体"/>
          <w:b/>
          <w:bCs/>
          <w:color w:val="000000" w:themeColor="text1"/>
          <w:sz w:val="52"/>
          <w:szCs w:val="52"/>
          <w:highlight w:val="none"/>
          <w:lang w:val="en-US" w:eastAsia="zh-CN"/>
          <w14:textFill>
            <w14:solidFill>
              <w14:schemeClr w14:val="tx1"/>
            </w14:solidFill>
          </w14:textFill>
        </w:rPr>
      </w:pP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第</w:t>
      </w:r>
      <w:r>
        <w:rPr>
          <w:rFonts w:hint="eastAsia" w:ascii="宋体" w:hAnsi="宋体" w:cs="宋体"/>
          <w:b/>
          <w:bCs/>
          <w:color w:val="000000" w:themeColor="text1"/>
          <w:kern w:val="2"/>
          <w:sz w:val="52"/>
          <w:szCs w:val="52"/>
          <w:lang w:val="en-US" w:eastAsia="zh-CN" w:bidi="ar-SA"/>
          <w14:textFill>
            <w14:solidFill>
              <w14:schemeClr w14:val="tx1"/>
            </w14:solidFill>
          </w14:textFill>
        </w:rPr>
        <w:t>三</w:t>
      </w: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章</w:t>
      </w:r>
      <w:r>
        <w:rPr>
          <w:rFonts w:hint="eastAsia" w:ascii="宋体" w:hAnsi="宋体" w:eastAsia="宋体" w:cs="宋体"/>
          <w:b/>
          <w:bCs/>
          <w:color w:val="000000" w:themeColor="text1"/>
          <w:sz w:val="52"/>
          <w:szCs w:val="52"/>
          <w:highlight w:val="none"/>
          <w:lang w:val="en-US" w:eastAsia="zh-CN"/>
          <w14:textFill>
            <w14:solidFill>
              <w14:schemeClr w14:val="tx1"/>
            </w14:solidFill>
          </w14:textFill>
        </w:rPr>
        <w:t>工程量清单</w:t>
      </w:r>
      <w:bookmarkEnd w:id="218"/>
      <w:bookmarkEnd w:id="219"/>
    </w:p>
    <w:p w14:paraId="74B684C5">
      <w:pPr>
        <w:numPr>
          <w:ilvl w:val="0"/>
          <w:numId w:val="0"/>
        </w:numPr>
        <w:ind w:left="0" w:leftChars="0" w:firstLine="0" w:firstLineChars="0"/>
        <w:jc w:val="both"/>
        <w:outlineLvl w:val="0"/>
        <w:rPr>
          <w:rFonts w:hint="default"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1、工程量清单（另卷）</w:t>
      </w:r>
    </w:p>
    <w:bookmarkEnd w:id="220"/>
    <w:bookmarkEnd w:id="221"/>
    <w:bookmarkEnd w:id="222"/>
    <w:bookmarkEnd w:id="223"/>
    <w:bookmarkEnd w:id="224"/>
    <w:bookmarkEnd w:id="225"/>
    <w:bookmarkEnd w:id="226"/>
    <w:bookmarkEnd w:id="227"/>
    <w:bookmarkEnd w:id="228"/>
    <w:bookmarkEnd w:id="229"/>
    <w:bookmarkEnd w:id="230"/>
    <w:p w14:paraId="548F2772">
      <w:pPr>
        <w:numPr>
          <w:ilvl w:val="0"/>
          <w:numId w:val="0"/>
        </w:numPr>
        <w:ind w:left="0" w:leftChars="0" w:firstLine="0" w:firstLineChars="0"/>
        <w:jc w:val="both"/>
        <w:outlineLvl w:val="0"/>
        <w:rPr>
          <w:rFonts w:hint="default" w:ascii="宋体" w:hAnsi="宋体" w:cs="宋体"/>
          <w:b/>
          <w:bCs/>
          <w:color w:val="000000" w:themeColor="text1"/>
          <w:sz w:val="24"/>
          <w:szCs w:val="24"/>
          <w:highlight w:val="none"/>
          <w:lang w:val="en-US" w:eastAsia="zh-CN"/>
          <w14:textFill>
            <w14:solidFill>
              <w14:schemeClr w14:val="tx1"/>
            </w14:solidFill>
          </w14:textFill>
        </w:rPr>
      </w:pPr>
      <w:bookmarkStart w:id="231" w:name="_Toc12869"/>
      <w:bookmarkStart w:id="232" w:name="_Toc9878"/>
      <w:bookmarkStart w:id="233" w:name="_Toc28928"/>
      <w:bookmarkStart w:id="234" w:name="_Toc16557"/>
      <w:bookmarkStart w:id="235" w:name="_Toc8722"/>
      <w:r>
        <w:rPr>
          <w:rFonts w:hint="eastAsia" w:ascii="宋体" w:hAnsi="宋体" w:cs="宋体"/>
          <w:b/>
          <w:bCs/>
          <w:color w:val="000000" w:themeColor="text1"/>
          <w:sz w:val="24"/>
          <w:szCs w:val="24"/>
          <w:highlight w:val="none"/>
          <w:lang w:val="en-US" w:eastAsia="zh-CN"/>
          <w14:textFill>
            <w14:solidFill>
              <w14:schemeClr w14:val="tx1"/>
            </w14:solidFill>
          </w14:textFill>
        </w:rPr>
        <w:t>2、采购需求</w:t>
      </w:r>
    </w:p>
    <w:p w14:paraId="7B201784">
      <w:pPr>
        <w:numPr>
          <w:ilvl w:val="0"/>
          <w:numId w:val="1"/>
        </w:numPr>
        <w:ind w:leftChars="0" w:firstLine="482" w:firstLineChars="200"/>
        <w:rPr>
          <w:rFonts w:hint="default"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建设内容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：（详见工程量清单）</w:t>
      </w:r>
    </w:p>
    <w:p w14:paraId="67581171">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二、施工地点：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采购人指定地点。 </w:t>
      </w:r>
    </w:p>
    <w:p w14:paraId="580FD472">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三、商务要求</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14:paraId="3786A8A8">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1、本项目的报价和结算支付均以人民币为货币单位。 </w:t>
      </w:r>
    </w:p>
    <w:p w14:paraId="382FB016">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2、供应商报价应包括施工、货物采购、运输、安装、相关部门验收及保修期内的维护保养等所有含税费用，以及供应商认为必要的其他货物、材料、工程、服务。 </w:t>
      </w:r>
    </w:p>
    <w:p w14:paraId="1308194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3、如出现任何遗漏内容需产生额外费用，均由成交供应商自行承担，采购人将不再另支付任何费用。 </w:t>
      </w:r>
    </w:p>
    <w:p w14:paraId="27A7B7F7">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768AE88B">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5、供应商应被认为在填报报价之前，已经仔细阅读了本谈判文件的所有有关章节以及审查了所有相关资料，已确保本次谈判的所有谈判范围内的各种价格风险均已包含在谈判的报价内。 </w:t>
      </w:r>
    </w:p>
    <w:p w14:paraId="650D2168">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6、质量和材料人员以及工期要求</w:t>
      </w:r>
    </w:p>
    <w:p w14:paraId="18CD7C79">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6.1质量：符合国家有关施工质量验收标准的合格工程或合同约定。工程规范以现行的或承担具体施工任务期间国家和行业新颁布施行的规范、规程为准。采购人组织验收小组按国家有关规定、规范进行验收，必要时邀请相关的专业人员或机构参与验收。因质量问题发生争议时，由本地质量技术监督部门鉴定。符合质量技术标准的，鉴定费由采购人承担；否则鉴定费由中标人承担，提供书面承诺。 </w:t>
      </w:r>
    </w:p>
    <w:p w14:paraId="31D42140">
      <w:pPr>
        <w:numPr>
          <w:ilvl w:val="0"/>
          <w:numId w:val="0"/>
        </w:numPr>
        <w:ind w:leftChars="0" w:firstLine="480" w:firstLineChars="200"/>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材料、设备、施工须达到现行中华人民共和国以及省、自治区、直辖市或行业的工程建设标准、规范的要求及验收标准及有关规范为质量评定验收标准。</w:t>
      </w:r>
    </w:p>
    <w:p w14:paraId="13009B35">
      <w:pPr>
        <w:numPr>
          <w:ilvl w:val="0"/>
          <w:numId w:val="0"/>
        </w:numPr>
        <w:ind w:leftChars="0" w:firstLine="480" w:firstLineChars="200"/>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6.3供应商承诺在合同履行期间内保证对采购人的工期按时完成，如中标人在签订合同后</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日内未按照投标文件承诺履行协议义务时，没收履约保证金外，采购人取消供应商签订的合同，供应商同时承担相应的民事及刑事法律责任及放弃先诉抗辩权，采购人有权取消其中标资格亦有单方终止合同由此产生的一切经济损失由中标供应商自行承担，中标人无权干预。由排名次之的供应商依次递补。</w:t>
      </w:r>
    </w:p>
    <w:p w14:paraId="17D892DE">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7、验收：以甲方签订合同为准。</w:t>
      </w:r>
    </w:p>
    <w:p w14:paraId="20459BBB">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8、付款方式：最终付款方式以甲方签订合同为准。 </w:t>
      </w:r>
    </w:p>
    <w:p w14:paraId="22E86A12">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9、人员要求:见前附表要求</w:t>
      </w:r>
    </w:p>
    <w:p w14:paraId="57CEFDD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10、承诺书（格式自拟）</w:t>
      </w:r>
    </w:p>
    <w:p w14:paraId="5F986CB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成交供应商必须切实做好安全工作，加强作业时的安全保障，在任何情况下都要注意安全。一切安全事故均由成交供应商自行负责。</w:t>
      </w:r>
    </w:p>
    <w:p w14:paraId="6C6D9D07">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成交供应商不得将本项目的全部或任何部分分包和转包给他人，如在项目实施过程中，经采购人发现有此情况，采购人有权终止合同，由此造成的责任由成交供应商负责。</w:t>
      </w:r>
    </w:p>
    <w:p w14:paraId="71F5C123">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采购人在前款规定的付款时间为向政府采购支付部门提出办理财政支付申请手续的时间（不含政府财政支付部门审核的时间），在规定时间内提出支付申请手续后即视为采购人已经按期支付。本项目为工程项目，中标供应商不得因财政拨付资金不到位而停止施工。</w:t>
      </w:r>
    </w:p>
    <w:p w14:paraId="5DE9A5D6">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为确保本项目顺利完成，承诺在中标后所投入的项目管理人员为本企业任专业技术人员，并与投标文件提供的专业技术人员一致。</w:t>
      </w:r>
    </w:p>
    <w:p w14:paraId="38B6D4F4">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在执行项目过程中如出现下列情形，采购人有权即时终止合同并要求中标人赔偿损失：</w:t>
      </w:r>
    </w:p>
    <w:p w14:paraId="7EE4C7D2">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中标人在合同履行期间，除法律另行规定外，未经采购人同意，将采购人提供的资料泄外，并在社会上造成不良影响及严重后果的。采购人有权终止合同，由此造成的采购人经济损失由中标人承担；</w:t>
      </w:r>
    </w:p>
    <w:p w14:paraId="3C19CC2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中标人提供的工程建设不符合招标文件及其投标承诺，经过整改后仍未能满足相关规定的，采购人有权终止合同， 由此造成的采购人经济损失由中标人承担。</w:t>
      </w:r>
    </w:p>
    <w:p w14:paraId="3E261C99">
      <w:pPr>
        <w:numPr>
          <w:ilvl w:val="0"/>
          <w:numId w:val="0"/>
        </w:numPr>
        <w:ind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11、成交人必须遵照采购人的管理及安排，按采购人的内容、质量、时间要求制作,所有的服务必须达到采购人的要求。 </w:t>
      </w:r>
    </w:p>
    <w:p w14:paraId="7CD4BCD1">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12、项目建设工作完成后应按要求及时清理现场工作。 </w:t>
      </w:r>
    </w:p>
    <w:p w14:paraId="57DD2D79">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13、成交供应商必须在施工过程中注意自身及周边安全，负责施工过程中的所有事故处理和费用。 </w:t>
      </w:r>
    </w:p>
    <w:p w14:paraId="58C4865D">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14、为便于与采购人就活动细节等方面进行适时沟通联系、及时处理和反馈,并使项目按质、按量、按时、有序实施，成交人应保证有固定专人负责联络工作。本项目必须有一个完善且固定的策划和组织管理团队，供应商须在响应文件中详细列出参与本项目的人员名单。 </w:t>
      </w:r>
    </w:p>
    <w:p w14:paraId="4CA8374A">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15、其它要求 </w:t>
      </w:r>
    </w:p>
    <w:p w14:paraId="138DE470">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15.1成交供应商应单独承诺在施工前后，需负责原有地面拆旧，杂物清理及外运； </w:t>
      </w:r>
    </w:p>
    <w:p w14:paraId="54C3DDB3">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15.2成交供应商需严格按照采购人需求及设计效果图保质保量施工，不得偷工减料； </w:t>
      </w:r>
    </w:p>
    <w:p w14:paraId="7138DEE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15.3施工中使用的原材料必须为原厂全新材料，不得翻旧利旧，保证设计效果。</w:t>
      </w:r>
    </w:p>
    <w:p w14:paraId="5C24861C">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项目负责人且未担任其他在施建设工程项目，至少承担过 1项</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业绩。提供证明材料。</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14:paraId="7114EEB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16.质量管理及质量保证 </w:t>
      </w:r>
    </w:p>
    <w:p w14:paraId="37077D3E">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16.1措施实施方案：有完善的管理架构、有详细的施工计划、质量服务计划表、人员配备、机械设备使用、保证措施。</w:t>
      </w:r>
    </w:p>
    <w:p w14:paraId="171B0824">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16.2对本项目制定技术难点及相应解决方案。</w:t>
      </w:r>
    </w:p>
    <w:p w14:paraId="17CA0D05">
      <w:pPr>
        <w:keepNext w:val="0"/>
        <w:keepLines w:val="0"/>
        <w:widowControl/>
        <w:suppressLineNumbers w:val="0"/>
        <w:jc w:val="left"/>
      </w:pPr>
      <w:r>
        <w:rPr>
          <w:rFonts w:hint="eastAsia" w:ascii="宋体" w:hAnsi="宋体" w:cs="宋体"/>
          <w:b w:val="0"/>
          <w:bCs w:val="0"/>
          <w:color w:val="000000" w:themeColor="text1"/>
          <w:sz w:val="24"/>
          <w:szCs w:val="24"/>
          <w:highlight w:val="none"/>
          <w:lang w:val="en-US" w:eastAsia="zh-CN"/>
          <w14:textFill>
            <w14:solidFill>
              <w14:schemeClr w14:val="tx1"/>
            </w14:solidFill>
          </w14:textFill>
        </w:rPr>
        <w:br w:type="page"/>
      </w:r>
    </w:p>
    <w:p w14:paraId="67731048">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bookmarkStart w:id="236" w:name="_Toc14028"/>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四</w:t>
      </w:r>
      <w:r>
        <w:rPr>
          <w:rFonts w:hint="eastAsia" w:ascii="宋体" w:hAnsi="宋体" w:eastAsia="宋体" w:cs="宋体"/>
          <w:b/>
          <w:bCs/>
          <w:color w:val="000000" w:themeColor="text1"/>
          <w:sz w:val="36"/>
          <w:szCs w:val="36"/>
          <w:highlight w:val="none"/>
          <w14:textFill>
            <w14:solidFill>
              <w14:schemeClr w14:val="tx1"/>
            </w14:solidFill>
          </w14:textFill>
        </w:rPr>
        <w:t>章  评</w:t>
      </w:r>
      <w:r>
        <w:rPr>
          <w:rFonts w:hint="eastAsia" w:ascii="宋体" w:hAnsi="宋体" w:eastAsia="宋体" w:cs="宋体"/>
          <w:b/>
          <w:bCs/>
          <w:color w:val="000000" w:themeColor="text1"/>
          <w:sz w:val="36"/>
          <w:szCs w:val="36"/>
          <w:highlight w:val="none"/>
          <w:lang w:eastAsia="zh-CN"/>
          <w14:textFill>
            <w14:solidFill>
              <w14:schemeClr w14:val="tx1"/>
            </w14:solidFill>
          </w14:textFill>
        </w:rPr>
        <w:t>审</w:t>
      </w:r>
      <w:r>
        <w:rPr>
          <w:rFonts w:hint="eastAsia" w:ascii="宋体" w:hAnsi="宋体" w:eastAsia="宋体" w:cs="宋体"/>
          <w:b/>
          <w:bCs/>
          <w:color w:val="000000" w:themeColor="text1"/>
          <w:sz w:val="36"/>
          <w:szCs w:val="36"/>
          <w:highlight w:val="none"/>
          <w14:textFill>
            <w14:solidFill>
              <w14:schemeClr w14:val="tx1"/>
            </w14:solidFill>
          </w14:textFill>
        </w:rPr>
        <w:t>办法</w:t>
      </w:r>
      <w:bookmarkEnd w:id="236"/>
    </w:p>
    <w:p w14:paraId="11728281">
      <w:pPr>
        <w:spacing w:after="156" w:afterLines="50" w:line="360" w:lineRule="auto"/>
        <w:ind w:firstLine="560" w:firstLineChars="200"/>
        <w:outlineLvl w:val="2"/>
        <w:rPr>
          <w:rFonts w:hint="eastAsia" w:ascii="宋体" w:hAnsi="宋体" w:eastAsia="宋体" w:cs="宋体"/>
          <w:color w:val="000000" w:themeColor="text1"/>
          <w:sz w:val="28"/>
          <w:szCs w:val="28"/>
          <w:highlight w:val="none"/>
          <w:lang w:eastAsia="zh-CN"/>
          <w14:textFill>
            <w14:solidFill>
              <w14:schemeClr w14:val="tx1"/>
            </w14:solidFill>
          </w14:textFill>
        </w:rPr>
      </w:pPr>
      <w:bookmarkStart w:id="237" w:name="_Toc494455918"/>
      <w:bookmarkStart w:id="238" w:name="_Toc10799"/>
      <w:bookmarkStart w:id="239" w:name="_Toc12784"/>
      <w:bookmarkStart w:id="240" w:name="_Toc8060"/>
      <w:bookmarkStart w:id="241" w:name="_Toc13049"/>
      <w:bookmarkStart w:id="242" w:name="_Toc3576"/>
      <w:bookmarkStart w:id="243" w:name="_Toc1132"/>
      <w:bookmarkStart w:id="244" w:name="_Toc20703"/>
      <w:bookmarkStart w:id="245" w:name="_Toc13470"/>
      <w:bookmarkStart w:id="246" w:name="_Toc7466"/>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.评</w:t>
      </w:r>
      <w:bookmarkEnd w:id="237"/>
      <w:r>
        <w:rPr>
          <w:rFonts w:hint="eastAsia" w:ascii="宋体" w:hAnsi="宋体" w:eastAsia="宋体" w:cs="宋体"/>
          <w:color w:val="000000" w:themeColor="text1"/>
          <w:sz w:val="28"/>
          <w:szCs w:val="28"/>
          <w:highlight w:val="none"/>
          <w:lang w:eastAsia="zh-CN"/>
          <w14:textFill>
            <w14:solidFill>
              <w14:schemeClr w14:val="tx1"/>
            </w14:solidFill>
          </w14:textFill>
        </w:rPr>
        <w:t>审附表</w:t>
      </w:r>
      <w:bookmarkEnd w:id="238"/>
      <w:bookmarkEnd w:id="239"/>
      <w:bookmarkEnd w:id="240"/>
      <w:bookmarkEnd w:id="241"/>
      <w:bookmarkEnd w:id="242"/>
      <w:bookmarkEnd w:id="243"/>
      <w:bookmarkEnd w:id="244"/>
      <w:bookmarkEnd w:id="245"/>
      <w:bookmarkEnd w:id="246"/>
    </w:p>
    <w:p w14:paraId="042158F3">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资格审查</w:t>
      </w:r>
    </w:p>
    <w:tbl>
      <w:tblPr>
        <w:tblStyle w:val="25"/>
        <w:tblpPr w:leftFromText="180" w:rightFromText="180" w:vertAnchor="text" w:horzAnchor="page" w:tblpX="1310" w:tblpY="178"/>
        <w:tblOverlap w:val="never"/>
        <w:tblW w:w="939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7"/>
        <w:gridCol w:w="7140"/>
        <w:gridCol w:w="1483"/>
      </w:tblGrid>
      <w:tr w14:paraId="6871A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767" w:type="dxa"/>
            <w:vMerge w:val="restart"/>
            <w:tcBorders>
              <w:bottom w:val="nil"/>
            </w:tcBorders>
            <w:noWrap w:val="0"/>
            <w:vAlign w:val="center"/>
          </w:tcPr>
          <w:p w14:paraId="2571B77A">
            <w:pPr>
              <w:spacing w:before="78" w:line="221"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5"/>
                <w:sz w:val="24"/>
                <w:szCs w:val="24"/>
                <w:highlight w:val="none"/>
                <w14:textFill>
                  <w14:solidFill>
                    <w14:schemeClr w14:val="tx1"/>
                  </w14:solidFill>
                </w14:textFill>
              </w:rPr>
              <w:t>序号</w:t>
            </w:r>
          </w:p>
        </w:tc>
        <w:tc>
          <w:tcPr>
            <w:tcW w:w="7140" w:type="dxa"/>
            <w:vMerge w:val="restart"/>
            <w:tcBorders>
              <w:bottom w:val="nil"/>
            </w:tcBorders>
            <w:noWrap w:val="0"/>
            <w:vAlign w:val="top"/>
          </w:tcPr>
          <w:p w14:paraId="33CF5FA9">
            <w:pPr>
              <w:spacing w:before="217"/>
              <w:ind w:left="166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投标文件审查及响应性</w:t>
            </w:r>
          </w:p>
          <w:p w14:paraId="7D4C5B80">
            <w:pPr>
              <w:spacing w:line="219" w:lineRule="auto"/>
              <w:ind w:left="137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（评审结果为合格/不合格）</w:t>
            </w:r>
          </w:p>
        </w:tc>
        <w:tc>
          <w:tcPr>
            <w:tcW w:w="1483" w:type="dxa"/>
            <w:noWrap w:val="0"/>
            <w:vAlign w:val="top"/>
          </w:tcPr>
          <w:p w14:paraId="4B7339B3">
            <w:pPr>
              <w:spacing w:before="70" w:line="219" w:lineRule="auto"/>
              <w:ind w:left="80"/>
              <w:jc w:val="center"/>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投标人</w:t>
            </w:r>
          </w:p>
        </w:tc>
      </w:tr>
      <w:tr w14:paraId="00166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767" w:type="dxa"/>
            <w:vMerge w:val="continue"/>
            <w:tcBorders>
              <w:top w:val="nil"/>
              <w:bottom w:val="single" w:color="auto" w:sz="4" w:space="0"/>
            </w:tcBorders>
            <w:noWrap w:val="0"/>
            <w:vAlign w:val="top"/>
          </w:tcPr>
          <w:p w14:paraId="50FA0166">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140" w:type="dxa"/>
            <w:vMerge w:val="continue"/>
            <w:tcBorders>
              <w:top w:val="nil"/>
            </w:tcBorders>
            <w:noWrap w:val="0"/>
            <w:vAlign w:val="top"/>
          </w:tcPr>
          <w:p w14:paraId="21CA1B58">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483" w:type="dxa"/>
            <w:noWrap w:val="0"/>
            <w:vAlign w:val="top"/>
          </w:tcPr>
          <w:p w14:paraId="4595863D">
            <w:pPr>
              <w:spacing w:before="70" w:line="219" w:lineRule="auto"/>
              <w:ind w:left="80"/>
              <w:jc w:val="center"/>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是否合格</w:t>
            </w:r>
          </w:p>
        </w:tc>
      </w:tr>
      <w:tr w14:paraId="579A9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767" w:type="dxa"/>
            <w:tcBorders>
              <w:top w:val="single" w:color="auto" w:sz="4" w:space="0"/>
              <w:left w:val="single" w:color="auto" w:sz="4" w:space="0"/>
              <w:bottom w:val="single" w:color="auto" w:sz="4" w:space="0"/>
              <w:right w:val="single" w:color="auto" w:sz="4" w:space="0"/>
            </w:tcBorders>
            <w:noWrap w:val="0"/>
            <w:vAlign w:val="center"/>
          </w:tcPr>
          <w:p w14:paraId="5B79F6F2">
            <w:pPr>
              <w:spacing w:before="78" w:line="184"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1</w:t>
            </w:r>
          </w:p>
        </w:tc>
        <w:tc>
          <w:tcPr>
            <w:tcW w:w="7140" w:type="dxa"/>
            <w:tcBorders>
              <w:left w:val="single" w:color="auto" w:sz="4" w:space="0"/>
            </w:tcBorders>
            <w:noWrap w:val="0"/>
            <w:vAlign w:val="top"/>
          </w:tcPr>
          <w:p w14:paraId="7C6FB616">
            <w:pPr>
              <w:spacing w:line="207" w:lineRule="auto"/>
              <w:ind w:left="29"/>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w:t>
            </w:r>
          </w:p>
        </w:tc>
        <w:tc>
          <w:tcPr>
            <w:tcW w:w="1483" w:type="dxa"/>
            <w:noWrap w:val="0"/>
            <w:vAlign w:val="top"/>
          </w:tcPr>
          <w:p w14:paraId="45541B0C">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1D494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5" w:hRule="atLeast"/>
        </w:trPr>
        <w:tc>
          <w:tcPr>
            <w:tcW w:w="767" w:type="dxa"/>
            <w:tcBorders>
              <w:top w:val="single" w:color="auto" w:sz="4" w:space="0"/>
              <w:left w:val="single" w:color="auto" w:sz="4" w:space="0"/>
              <w:bottom w:val="single" w:color="auto" w:sz="4" w:space="0"/>
              <w:right w:val="single" w:color="auto" w:sz="4" w:space="0"/>
            </w:tcBorders>
            <w:noWrap w:val="0"/>
            <w:vAlign w:val="center"/>
          </w:tcPr>
          <w:p w14:paraId="42BFEFE0">
            <w:pPr>
              <w:spacing w:before="9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2</w:t>
            </w:r>
          </w:p>
        </w:tc>
        <w:tc>
          <w:tcPr>
            <w:tcW w:w="7140" w:type="dxa"/>
            <w:tcBorders>
              <w:left w:val="single" w:color="auto" w:sz="4" w:space="0"/>
            </w:tcBorders>
            <w:noWrap w:val="0"/>
            <w:vAlign w:val="top"/>
          </w:tcPr>
          <w:p w14:paraId="7D1B331E">
            <w:pPr>
              <w:spacing w:before="55" w:line="219" w:lineRule="auto"/>
              <w:ind w:left="20"/>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cs="宋体"/>
                <w:i w:val="0"/>
                <w:iCs w:val="0"/>
                <w:color w:val="000000" w:themeColor="text1"/>
                <w:spacing w:val="-2"/>
                <w:sz w:val="24"/>
                <w:szCs w:val="24"/>
                <w:highlight w:val="none"/>
                <w:lang w:val="en-US" w:eastAsia="zh-CN"/>
                <w14:textFill>
                  <w14:solidFill>
                    <w14:schemeClr w14:val="tx1"/>
                  </w14:solidFill>
                </w14:textFill>
              </w:rPr>
              <w:t>法定代表人的需提供法定代表人证明书（须附法人身份证复印件正反面）或委托代理人需提供法定代表人授权委托书（授权书需附法人身份证复印件及委托人身份证复印件正反面）</w:t>
            </w:r>
          </w:p>
        </w:tc>
        <w:tc>
          <w:tcPr>
            <w:tcW w:w="1483" w:type="dxa"/>
            <w:noWrap w:val="0"/>
            <w:vAlign w:val="top"/>
          </w:tcPr>
          <w:p w14:paraId="317B93D2">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7714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767" w:type="dxa"/>
            <w:tcBorders>
              <w:top w:val="single" w:color="auto" w:sz="4" w:space="0"/>
            </w:tcBorders>
            <w:noWrap w:val="0"/>
            <w:vAlign w:val="center"/>
          </w:tcPr>
          <w:p w14:paraId="28464B52">
            <w:pPr>
              <w:spacing w:before="23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w:t>
            </w:r>
          </w:p>
        </w:tc>
        <w:tc>
          <w:tcPr>
            <w:tcW w:w="7140" w:type="dxa"/>
            <w:noWrap w:val="0"/>
            <w:vAlign w:val="top"/>
          </w:tcPr>
          <w:p w14:paraId="1C95BA29">
            <w:pPr>
              <w:spacing w:before="39" w:line="223" w:lineRule="auto"/>
              <w:ind w:left="18" w:right="12"/>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tc>
        <w:tc>
          <w:tcPr>
            <w:tcW w:w="1483" w:type="dxa"/>
            <w:noWrap w:val="0"/>
            <w:vAlign w:val="top"/>
          </w:tcPr>
          <w:p w14:paraId="42EF1474">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5619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8" w:hRule="atLeast"/>
        </w:trPr>
        <w:tc>
          <w:tcPr>
            <w:tcW w:w="767" w:type="dxa"/>
            <w:noWrap w:val="0"/>
            <w:vAlign w:val="center"/>
          </w:tcPr>
          <w:p w14:paraId="52A9CBF9">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w:t>
            </w:r>
          </w:p>
        </w:tc>
        <w:tc>
          <w:tcPr>
            <w:tcW w:w="7140" w:type="dxa"/>
            <w:noWrap w:val="0"/>
            <w:vAlign w:val="top"/>
          </w:tcPr>
          <w:p w14:paraId="7991F1C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tc>
        <w:tc>
          <w:tcPr>
            <w:tcW w:w="1483" w:type="dxa"/>
            <w:noWrap w:val="0"/>
            <w:vAlign w:val="top"/>
          </w:tcPr>
          <w:p w14:paraId="128E98B3">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9BA0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767" w:type="dxa"/>
            <w:noWrap w:val="0"/>
            <w:vAlign w:val="center"/>
          </w:tcPr>
          <w:p w14:paraId="4ADCE1DD">
            <w:pPr>
              <w:spacing w:before="234" w:line="182"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5</w:t>
            </w:r>
          </w:p>
        </w:tc>
        <w:tc>
          <w:tcPr>
            <w:tcW w:w="7140" w:type="dxa"/>
            <w:noWrap w:val="0"/>
            <w:vAlign w:val="top"/>
          </w:tcPr>
          <w:p w14:paraId="0A3CCFE1">
            <w:pPr>
              <w:spacing w:before="39" w:line="223" w:lineRule="auto"/>
              <w:ind w:left="29" w:right="65" w:hanging="8"/>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履行合同所必需的设备和专业技术能力：提供《投标人资格声明函》；</w:t>
            </w:r>
          </w:p>
        </w:tc>
        <w:tc>
          <w:tcPr>
            <w:tcW w:w="1483" w:type="dxa"/>
            <w:noWrap w:val="0"/>
            <w:vAlign w:val="top"/>
          </w:tcPr>
          <w:p w14:paraId="64AF6F5A">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8DB9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767" w:type="dxa"/>
            <w:noWrap w:val="0"/>
            <w:vAlign w:val="center"/>
          </w:tcPr>
          <w:p w14:paraId="45A741D2">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6</w:t>
            </w:r>
          </w:p>
        </w:tc>
        <w:tc>
          <w:tcPr>
            <w:tcW w:w="7140" w:type="dxa"/>
            <w:noWrap w:val="0"/>
            <w:vAlign w:val="top"/>
          </w:tcPr>
          <w:p w14:paraId="6D5CBD40">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1483" w:type="dxa"/>
            <w:noWrap w:val="0"/>
            <w:vAlign w:val="top"/>
          </w:tcPr>
          <w:p w14:paraId="182A04D9">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5303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67" w:type="dxa"/>
            <w:noWrap w:val="0"/>
            <w:vAlign w:val="center"/>
          </w:tcPr>
          <w:p w14:paraId="141C4579">
            <w:pPr>
              <w:spacing w:before="78" w:line="182" w:lineRule="auto"/>
              <w:jc w:val="center"/>
              <w:rPr>
                <w:rFonts w:hint="default" w:ascii="宋体" w:hAnsi="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7</w:t>
            </w:r>
          </w:p>
        </w:tc>
        <w:tc>
          <w:tcPr>
            <w:tcW w:w="7140" w:type="dxa"/>
            <w:noWrap w:val="0"/>
            <w:vAlign w:val="top"/>
          </w:tcPr>
          <w:p w14:paraId="709D4B9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1483" w:type="dxa"/>
            <w:noWrap w:val="0"/>
            <w:vAlign w:val="top"/>
          </w:tcPr>
          <w:p w14:paraId="2183A082">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3AAE7F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767" w:type="dxa"/>
            <w:noWrap w:val="0"/>
            <w:vAlign w:val="center"/>
          </w:tcPr>
          <w:p w14:paraId="4B6A6B73">
            <w:pPr>
              <w:spacing w:before="78" w:line="182"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8</w:t>
            </w:r>
          </w:p>
        </w:tc>
        <w:tc>
          <w:tcPr>
            <w:tcW w:w="7140" w:type="dxa"/>
            <w:noWrap w:val="0"/>
            <w:vAlign w:val="top"/>
          </w:tcPr>
          <w:p w14:paraId="58F570A7">
            <w:pPr>
              <w:spacing w:before="33" w:line="235" w:lineRule="auto"/>
              <w:ind w:left="18" w:right="12" w:firstLine="11"/>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企业负责人为同一人或者存在直接控股、管理关系的不同投标人，不得参加同一合同项下的政府采购活动。否则，皆取消投标资格；</w:t>
            </w:r>
          </w:p>
        </w:tc>
        <w:tc>
          <w:tcPr>
            <w:tcW w:w="1483" w:type="dxa"/>
            <w:noWrap w:val="0"/>
            <w:vAlign w:val="top"/>
          </w:tcPr>
          <w:p w14:paraId="7743F477">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56D8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767" w:type="dxa"/>
            <w:noWrap w:val="0"/>
            <w:vAlign w:val="center"/>
          </w:tcPr>
          <w:p w14:paraId="5900A44D">
            <w:pPr>
              <w:spacing w:before="244" w:line="183" w:lineRule="auto"/>
              <w:jc w:val="center"/>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9</w:t>
            </w:r>
          </w:p>
        </w:tc>
        <w:tc>
          <w:tcPr>
            <w:tcW w:w="7140" w:type="dxa"/>
            <w:noWrap w:val="0"/>
            <w:vAlign w:val="top"/>
          </w:tcPr>
          <w:p w14:paraId="1CC5E548">
            <w:pPr>
              <w:spacing w:before="74" w:line="200" w:lineRule="auto"/>
              <w:ind w:left="28"/>
              <w:jc w:val="left"/>
              <w:rPr>
                <w:rFonts w:hint="eastAsia" w:ascii="宋体" w:hAnsi="宋体" w:eastAsia="宋体" w:cs="宋体"/>
                <w:i w:val="0"/>
                <w:iCs w:val="0"/>
                <w:color w:val="000000" w:themeColor="text1"/>
                <w:spacing w:val="-4"/>
                <w:sz w:val="24"/>
                <w:szCs w:val="24"/>
                <w:highlight w:val="none"/>
                <w14:textFill>
                  <w14:solidFill>
                    <w14:schemeClr w14:val="tx1"/>
                  </w14:solidFill>
                </w14:textFill>
              </w:rPr>
            </w:pPr>
            <w:r>
              <w:rPr>
                <w:rFonts w:hint="eastAsia" w:ascii="宋体" w:hAnsi="宋体" w:eastAsia="宋体" w:cs="宋体"/>
                <w:color w:val="auto"/>
                <w:kern w:val="2"/>
                <w:sz w:val="24"/>
                <w:szCs w:val="24"/>
                <w:highlight w:val="none"/>
                <w:lang w:val="en-US" w:eastAsia="zh-CN" w:bidi="ar-SA"/>
              </w:rPr>
              <w:t>投标人须具有电力工程施工总承包叁级[含]以上资质或输变电工程专业承包叁级[含]以上资质，同时具备承装类《承装(修、试)电力设施许可证四级及以上》以及相关证照齐备的独立法人企业。并在人员、设备、资金等方面具有相应的施工能力，无不良业绩；有安全生产许可证，区外企业已进行区外进疆建筑企业信息报送。项目负责人须具备机电工程专业注册贰级建造（含贰级）及以上执业资格</w:t>
            </w:r>
            <w:r>
              <w:rPr>
                <w:rFonts w:hint="eastAsia" w:ascii="宋体" w:hAnsi="宋体" w:cs="宋体"/>
                <w:color w:val="auto"/>
                <w:kern w:val="2"/>
                <w:sz w:val="24"/>
                <w:szCs w:val="24"/>
                <w:highlight w:val="none"/>
                <w:lang w:val="en-US" w:eastAsia="zh-CN" w:bidi="ar-SA"/>
              </w:rPr>
              <w:t>并具有担任项目经理的经历</w:t>
            </w:r>
            <w:r>
              <w:rPr>
                <w:rFonts w:hint="eastAsia" w:ascii="宋体" w:hAnsi="宋体" w:eastAsia="宋体" w:cs="宋体"/>
                <w:color w:val="auto"/>
                <w:kern w:val="2"/>
                <w:sz w:val="24"/>
                <w:szCs w:val="24"/>
                <w:highlight w:val="none"/>
                <w:lang w:val="en-US" w:eastAsia="zh-CN" w:bidi="ar-SA"/>
              </w:rPr>
              <w:t>，具备有效的安全生产考核合格证书，且未担任其他在施建设工程项目的项目负责人。</w:t>
            </w:r>
            <w:r>
              <w:rPr>
                <w:rFonts w:hint="eastAsia" w:ascii="宋体" w:hAnsi="宋体" w:cs="宋体"/>
                <w:color w:val="auto"/>
                <w:kern w:val="2"/>
                <w:sz w:val="24"/>
                <w:szCs w:val="24"/>
                <w:highlight w:val="none"/>
                <w:lang w:val="en-US" w:eastAsia="zh-CN" w:bidi="ar-SA"/>
              </w:rPr>
              <w:t>（需提供无在建承诺书，格式自拟）。</w:t>
            </w:r>
          </w:p>
        </w:tc>
        <w:tc>
          <w:tcPr>
            <w:tcW w:w="1483" w:type="dxa"/>
            <w:noWrap w:val="0"/>
            <w:vAlign w:val="top"/>
          </w:tcPr>
          <w:p w14:paraId="33524D30">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79541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767" w:type="dxa"/>
            <w:noWrap w:val="0"/>
            <w:vAlign w:val="center"/>
          </w:tcPr>
          <w:p w14:paraId="57D73DF3">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1</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0</w:t>
            </w:r>
          </w:p>
        </w:tc>
        <w:tc>
          <w:tcPr>
            <w:tcW w:w="7140" w:type="dxa"/>
            <w:noWrap w:val="0"/>
            <w:vAlign w:val="top"/>
          </w:tcPr>
          <w:p w14:paraId="781764BE">
            <w:pPr>
              <w:spacing w:before="33" w:line="235" w:lineRule="auto"/>
              <w:ind w:left="18" w:right="12" w:firstLine="11"/>
              <w:jc w:val="left"/>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是否缴纳足额投标保证金</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或保函</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w:t>
            </w:r>
          </w:p>
        </w:tc>
        <w:tc>
          <w:tcPr>
            <w:tcW w:w="1483" w:type="dxa"/>
            <w:noWrap w:val="0"/>
            <w:vAlign w:val="top"/>
          </w:tcPr>
          <w:p w14:paraId="7BC49F0E">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14:paraId="783E9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767" w:type="dxa"/>
            <w:noWrap w:val="0"/>
            <w:vAlign w:val="center"/>
          </w:tcPr>
          <w:p w14:paraId="2C70326E">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11</w:t>
            </w:r>
          </w:p>
        </w:tc>
        <w:tc>
          <w:tcPr>
            <w:tcW w:w="7140" w:type="dxa"/>
            <w:noWrap w:val="0"/>
            <w:vAlign w:val="top"/>
          </w:tcPr>
          <w:p w14:paraId="2630E7C6">
            <w:pPr>
              <w:spacing w:before="33" w:line="235" w:lineRule="auto"/>
              <w:ind w:left="18" w:right="12" w:firstLine="11"/>
              <w:jc w:val="left"/>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是否提供《中小企业声明函》。</w:t>
            </w:r>
          </w:p>
        </w:tc>
        <w:tc>
          <w:tcPr>
            <w:tcW w:w="1483" w:type="dxa"/>
            <w:noWrap w:val="0"/>
            <w:vAlign w:val="top"/>
          </w:tcPr>
          <w:p w14:paraId="1A6E38D8">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14:paraId="6792E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7907" w:type="dxa"/>
            <w:gridSpan w:val="2"/>
            <w:noWrap w:val="0"/>
            <w:vAlign w:val="top"/>
          </w:tcPr>
          <w:p w14:paraId="4B4EA2DD">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评审结果“ √ ”表示合格；“ × ”表示不合格，一项不合格为无效投标处，如不合格，请在结果中写明原因。</w:t>
            </w:r>
          </w:p>
        </w:tc>
        <w:tc>
          <w:tcPr>
            <w:tcW w:w="1483" w:type="dxa"/>
            <w:noWrap w:val="0"/>
            <w:vAlign w:val="top"/>
          </w:tcPr>
          <w:p w14:paraId="79F8F66E">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bl>
    <w:p w14:paraId="49D67C51">
      <w:pP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br w:type="page"/>
      </w:r>
    </w:p>
    <w:p w14:paraId="2060CB34">
      <w:pPr>
        <w:spacing w:before="78" w:line="222" w:lineRule="auto"/>
        <w:ind w:firstLine="472" w:firstLineChars="200"/>
        <w:outlineLvl w:val="1"/>
        <w:rPr>
          <w:rFonts w:hint="eastAsia" w:ascii="宋体" w:hAnsi="宋体" w:eastAsia="宋体" w:cs="宋体"/>
          <w:i w:val="0"/>
          <w:iCs w:val="0"/>
          <w:color w:val="000000" w:themeColor="text1"/>
          <w:spacing w:val="-2"/>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t>1.2</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符合性评审标准</w:t>
      </w:r>
    </w:p>
    <w:tbl>
      <w:tblPr>
        <w:tblStyle w:val="25"/>
        <w:tblpPr w:leftFromText="180" w:rightFromText="180" w:vertAnchor="text" w:horzAnchor="page" w:tblpX="1152" w:tblpY="224"/>
        <w:tblOverlap w:val="never"/>
        <w:tblW w:w="943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2"/>
        <w:gridCol w:w="528"/>
        <w:gridCol w:w="7152"/>
        <w:gridCol w:w="1124"/>
      </w:tblGrid>
      <w:tr w14:paraId="1EC8B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2" w:hRule="atLeast"/>
        </w:trPr>
        <w:tc>
          <w:tcPr>
            <w:tcW w:w="632" w:type="dxa"/>
            <w:noWrap w:val="0"/>
            <w:textDirection w:val="tbRlV"/>
            <w:vAlign w:val="center"/>
          </w:tcPr>
          <w:p w14:paraId="4FB6879E">
            <w:pPr>
              <w:spacing w:before="140" w:line="206"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项</w:t>
            </w:r>
            <w:r>
              <w:rPr>
                <w:rFonts w:hint="eastAsia" w:ascii="宋体" w:hAnsi="宋体" w:eastAsia="宋体" w:cs="宋体"/>
                <w:i w:val="0"/>
                <w:iCs w:val="0"/>
                <w:color w:val="000000" w:themeColor="text1"/>
                <w:spacing w:val="-4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目</w:t>
            </w:r>
          </w:p>
        </w:tc>
        <w:tc>
          <w:tcPr>
            <w:tcW w:w="7680" w:type="dxa"/>
            <w:gridSpan w:val="2"/>
            <w:noWrap w:val="0"/>
            <w:vAlign w:val="center"/>
          </w:tcPr>
          <w:p w14:paraId="7586099C">
            <w:pPr>
              <w:spacing w:before="312" w:line="219" w:lineRule="auto"/>
              <w:ind w:left="2420"/>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8"/>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12"/>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审</w:t>
            </w:r>
            <w:r>
              <w:rPr>
                <w:rFonts w:hint="eastAsia" w:ascii="宋体" w:hAnsi="宋体" w:eastAsia="宋体" w:cs="宋体"/>
                <w:i w:val="0"/>
                <w:iCs w:val="0"/>
                <w:color w:val="000000" w:themeColor="text1"/>
                <w:spacing w:val="20"/>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内</w:t>
            </w:r>
            <w:r>
              <w:rPr>
                <w:rFonts w:hint="eastAsia" w:ascii="宋体" w:hAnsi="宋体" w:eastAsia="宋体" w:cs="宋体"/>
                <w:i w:val="0"/>
                <w:iCs w:val="0"/>
                <w:color w:val="000000" w:themeColor="text1"/>
                <w:spacing w:val="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容</w:t>
            </w:r>
          </w:p>
        </w:tc>
        <w:tc>
          <w:tcPr>
            <w:tcW w:w="1124" w:type="dxa"/>
            <w:noWrap w:val="0"/>
            <w:vAlign w:val="center"/>
          </w:tcPr>
          <w:p w14:paraId="4CE6843B">
            <w:pPr>
              <w:spacing w:before="156" w:line="231" w:lineRule="auto"/>
              <w:ind w:left="199" w:right="158" w:hanging="27"/>
              <w:jc w:val="center"/>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投标人</w:t>
            </w:r>
          </w:p>
        </w:tc>
      </w:tr>
      <w:tr w14:paraId="4DE62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632" w:type="dxa"/>
            <w:vMerge w:val="restart"/>
            <w:noWrap w:val="0"/>
            <w:textDirection w:val="tbRlV"/>
            <w:vAlign w:val="center"/>
          </w:tcPr>
          <w:p w14:paraId="0FB91486">
            <w:pPr>
              <w:spacing w:before="174" w:line="209"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符</w:t>
            </w:r>
            <w:r>
              <w:rPr>
                <w:rFonts w:hint="eastAsia" w:ascii="宋体" w:hAnsi="宋体" w:eastAsia="宋体" w:cs="宋体"/>
                <w:i w:val="0"/>
                <w:iCs w:val="0"/>
                <w:color w:val="000000" w:themeColor="text1"/>
                <w:spacing w:val="-45"/>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合</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性</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审</w:t>
            </w:r>
          </w:p>
        </w:tc>
        <w:tc>
          <w:tcPr>
            <w:tcW w:w="528" w:type="dxa"/>
            <w:noWrap w:val="0"/>
            <w:vAlign w:val="top"/>
          </w:tcPr>
          <w:p w14:paraId="27835CF7">
            <w:pPr>
              <w:spacing w:before="294" w:line="184" w:lineRule="auto"/>
              <w:ind w:left="20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1</w:t>
            </w:r>
          </w:p>
        </w:tc>
        <w:tc>
          <w:tcPr>
            <w:tcW w:w="7152" w:type="dxa"/>
            <w:noWrap w:val="0"/>
            <w:vAlign w:val="top"/>
          </w:tcPr>
          <w:p w14:paraId="1FF989EC">
            <w:pPr>
              <w:spacing w:before="100" w:line="230" w:lineRule="auto"/>
              <w:ind w:left="112" w:right="171" w:firstLine="13"/>
              <w:rPr>
                <w:rFonts w:hint="eastAsia" w:ascii="Times New Roman" w:hAnsi="Times New Roman" w:eastAsia="宋体" w:cs="Times New Roman"/>
                <w:kern w:val="2"/>
                <w:sz w:val="21"/>
                <w:szCs w:val="22"/>
                <w:lang w:val="en-US" w:eastAsia="zh-CN" w:bidi="ar-SA"/>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需要提交的证明文件不全，或者不符合招标文件标明的</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证明文件要求的；</w:t>
            </w:r>
          </w:p>
        </w:tc>
        <w:tc>
          <w:tcPr>
            <w:tcW w:w="1124" w:type="dxa"/>
            <w:vMerge w:val="restart"/>
            <w:noWrap w:val="0"/>
            <w:vAlign w:val="top"/>
          </w:tcPr>
          <w:p w14:paraId="694D0EE5">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2FF34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trPr>
        <w:tc>
          <w:tcPr>
            <w:tcW w:w="632" w:type="dxa"/>
            <w:vMerge w:val="continue"/>
            <w:noWrap w:val="0"/>
            <w:textDirection w:val="tbRlV"/>
            <w:vAlign w:val="top"/>
          </w:tcPr>
          <w:p w14:paraId="20C6FE08">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3FB95907">
            <w:pPr>
              <w:spacing w:before="304" w:line="183" w:lineRule="auto"/>
              <w:ind w:left="18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2</w:t>
            </w:r>
          </w:p>
        </w:tc>
        <w:tc>
          <w:tcPr>
            <w:tcW w:w="7152" w:type="dxa"/>
            <w:noWrap w:val="0"/>
            <w:vAlign w:val="top"/>
          </w:tcPr>
          <w:p w14:paraId="138120C6">
            <w:pPr>
              <w:spacing w:before="111" w:line="229" w:lineRule="auto"/>
              <w:ind w:left="111" w:right="29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投标文件无法定代表人签字,或未提供法定代表人授权委托书、资格声明书或者填写项目不齐全的；</w:t>
            </w:r>
          </w:p>
        </w:tc>
        <w:tc>
          <w:tcPr>
            <w:tcW w:w="1124" w:type="dxa"/>
            <w:vMerge w:val="continue"/>
            <w:noWrap w:val="0"/>
            <w:vAlign w:val="top"/>
          </w:tcPr>
          <w:p w14:paraId="49B17C91">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39414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632" w:type="dxa"/>
            <w:vMerge w:val="continue"/>
            <w:noWrap w:val="0"/>
            <w:textDirection w:val="tbRlV"/>
            <w:vAlign w:val="top"/>
          </w:tcPr>
          <w:p w14:paraId="10DAFFC1">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CFD7E18">
            <w:pPr>
              <w:spacing w:before="156" w:line="183"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3</w:t>
            </w:r>
          </w:p>
        </w:tc>
        <w:tc>
          <w:tcPr>
            <w:tcW w:w="7152" w:type="dxa"/>
            <w:noWrap w:val="0"/>
            <w:vAlign w:val="top"/>
          </w:tcPr>
          <w:p w14:paraId="038D76C5">
            <w:pPr>
              <w:spacing w:before="118"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投标文件不齐全或者内容虚假的；</w:t>
            </w:r>
          </w:p>
        </w:tc>
        <w:tc>
          <w:tcPr>
            <w:tcW w:w="1124" w:type="dxa"/>
            <w:vMerge w:val="continue"/>
            <w:noWrap w:val="0"/>
            <w:vAlign w:val="top"/>
          </w:tcPr>
          <w:p w14:paraId="1A23982F">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8090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632" w:type="dxa"/>
            <w:vMerge w:val="continue"/>
            <w:noWrap w:val="0"/>
            <w:textDirection w:val="tbRlV"/>
            <w:vAlign w:val="top"/>
          </w:tcPr>
          <w:p w14:paraId="0861C9A5">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77912E1E">
            <w:pPr>
              <w:spacing w:line="267"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3780F711">
            <w:pPr>
              <w:spacing w:before="78" w:line="183" w:lineRule="auto"/>
              <w:ind w:left="18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4</w:t>
            </w:r>
          </w:p>
        </w:tc>
        <w:tc>
          <w:tcPr>
            <w:tcW w:w="7152" w:type="dxa"/>
            <w:noWrap w:val="0"/>
            <w:vAlign w:val="top"/>
          </w:tcPr>
          <w:p w14:paraId="56C9BC26">
            <w:pPr>
              <w:spacing w:before="154" w:line="229" w:lineRule="auto"/>
              <w:ind w:left="112" w:right="45"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投标文件的实质性内容未使用中文表述、意思表述不明</w:t>
            </w:r>
            <w:r>
              <w:rPr>
                <w:rFonts w:hint="eastAsia" w:ascii="宋体" w:hAnsi="宋体" w:eastAsia="宋体" w:cs="宋体"/>
                <w:i w:val="0"/>
                <w:iCs w:val="0"/>
                <w:color w:val="000000" w:themeColor="text1"/>
                <w:spacing w:val="-5"/>
                <w:sz w:val="24"/>
                <w:szCs w:val="24"/>
                <w:highlight w:val="none"/>
                <w14:textFill>
                  <w14:solidFill>
                    <w14:schemeClr w14:val="tx1"/>
                  </w14:solidFill>
                </w14:textFill>
              </w:rPr>
              <w:t>确、前后矛盾或者使用计量单位不符合招标文件要求的；</w:t>
            </w:r>
          </w:p>
        </w:tc>
        <w:tc>
          <w:tcPr>
            <w:tcW w:w="1124" w:type="dxa"/>
            <w:vMerge w:val="continue"/>
            <w:noWrap w:val="0"/>
            <w:vAlign w:val="top"/>
          </w:tcPr>
          <w:p w14:paraId="2E843AA3">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98A9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632" w:type="dxa"/>
            <w:vMerge w:val="continue"/>
            <w:noWrap w:val="0"/>
            <w:textDirection w:val="tbRlV"/>
            <w:vAlign w:val="top"/>
          </w:tcPr>
          <w:p w14:paraId="44B1A4CB">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8866A09">
            <w:pPr>
              <w:spacing w:before="267" w:line="182"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5</w:t>
            </w:r>
          </w:p>
        </w:tc>
        <w:tc>
          <w:tcPr>
            <w:tcW w:w="7152" w:type="dxa"/>
            <w:noWrap w:val="0"/>
            <w:vAlign w:val="top"/>
          </w:tcPr>
          <w:p w14:paraId="02271EE6">
            <w:pPr>
              <w:spacing w:before="71" w:line="230" w:lineRule="auto"/>
              <w:ind w:left="112" w:right="171"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投标人是否提</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供实施</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方案</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及售后服务方案</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，向用户提供满意的技术支持及</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服务；</w:t>
            </w:r>
          </w:p>
        </w:tc>
        <w:tc>
          <w:tcPr>
            <w:tcW w:w="1124" w:type="dxa"/>
            <w:vMerge w:val="continue"/>
            <w:noWrap w:val="0"/>
            <w:vAlign w:val="top"/>
          </w:tcPr>
          <w:p w14:paraId="017F276A">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1456D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632" w:type="dxa"/>
            <w:vMerge w:val="continue"/>
            <w:noWrap w:val="0"/>
            <w:textDirection w:val="tbRlV"/>
            <w:vAlign w:val="top"/>
          </w:tcPr>
          <w:p w14:paraId="36A5F74A">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312D64E">
            <w:pPr>
              <w:spacing w:before="160" w:line="183" w:lineRule="auto"/>
              <w:ind w:left="18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6</w:t>
            </w:r>
          </w:p>
        </w:tc>
        <w:tc>
          <w:tcPr>
            <w:tcW w:w="7152" w:type="dxa"/>
            <w:noWrap w:val="0"/>
            <w:vAlign w:val="top"/>
          </w:tcPr>
          <w:p w14:paraId="62249439">
            <w:pPr>
              <w:spacing w:before="122" w:line="218"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单价及总</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报价是否不高于采购</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需求及采购</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预算额度；</w:t>
            </w:r>
          </w:p>
        </w:tc>
        <w:tc>
          <w:tcPr>
            <w:tcW w:w="1124" w:type="dxa"/>
            <w:vMerge w:val="continue"/>
            <w:noWrap w:val="0"/>
            <w:vAlign w:val="top"/>
          </w:tcPr>
          <w:p w14:paraId="3F71E75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5F2ED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632" w:type="dxa"/>
            <w:vMerge w:val="continue"/>
            <w:noWrap w:val="0"/>
            <w:textDirection w:val="tbRlV"/>
            <w:vAlign w:val="top"/>
          </w:tcPr>
          <w:p w14:paraId="643F1AA3">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6182ECD6">
            <w:pPr>
              <w:spacing w:line="269"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5D5E5C1B">
            <w:pPr>
              <w:spacing w:before="78" w:line="182" w:lineRule="auto"/>
              <w:ind w:left="19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7</w:t>
            </w:r>
          </w:p>
        </w:tc>
        <w:tc>
          <w:tcPr>
            <w:tcW w:w="7152" w:type="dxa"/>
            <w:noWrap w:val="0"/>
            <w:vAlign w:val="top"/>
          </w:tcPr>
          <w:p w14:paraId="7342B42D">
            <w:pPr>
              <w:spacing w:before="153" w:line="229" w:lineRule="auto"/>
              <w:ind w:left="111" w:right="17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投标报价具有选择性，或者开标价格与投标文件承诺的优惠（折扣）价格不一致的；</w:t>
            </w:r>
          </w:p>
        </w:tc>
        <w:tc>
          <w:tcPr>
            <w:tcW w:w="1124" w:type="dxa"/>
            <w:vMerge w:val="continue"/>
            <w:noWrap w:val="0"/>
            <w:vAlign w:val="top"/>
          </w:tcPr>
          <w:p w14:paraId="57C7F3A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6846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632" w:type="dxa"/>
            <w:vMerge w:val="continue"/>
            <w:noWrap w:val="0"/>
            <w:textDirection w:val="tbRlV"/>
            <w:vAlign w:val="top"/>
          </w:tcPr>
          <w:p w14:paraId="051D9BD9">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0D5419ED">
            <w:pPr>
              <w:spacing w:before="142" w:line="183" w:lineRule="auto"/>
              <w:ind w:left="18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8</w:t>
            </w:r>
          </w:p>
        </w:tc>
        <w:tc>
          <w:tcPr>
            <w:tcW w:w="7152" w:type="dxa"/>
            <w:noWrap w:val="0"/>
            <w:vAlign w:val="top"/>
          </w:tcPr>
          <w:p w14:paraId="78F18C4D">
            <w:pPr>
              <w:spacing w:before="105"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投标有效期等相关条款不能满足招标文件要求的；</w:t>
            </w:r>
          </w:p>
        </w:tc>
        <w:tc>
          <w:tcPr>
            <w:tcW w:w="1124" w:type="dxa"/>
            <w:vMerge w:val="continue"/>
            <w:noWrap w:val="0"/>
            <w:vAlign w:val="top"/>
          </w:tcPr>
          <w:p w14:paraId="56391A18">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1ED4B2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632" w:type="dxa"/>
            <w:vMerge w:val="continue"/>
            <w:noWrap w:val="0"/>
            <w:textDirection w:val="tbRlV"/>
            <w:vAlign w:val="top"/>
          </w:tcPr>
          <w:p w14:paraId="2EE5B9BA">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7E67FEC">
            <w:pPr>
              <w:spacing w:before="78" w:line="183" w:lineRule="auto"/>
              <w:ind w:left="185"/>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9</w:t>
            </w:r>
          </w:p>
        </w:tc>
        <w:tc>
          <w:tcPr>
            <w:tcW w:w="7152" w:type="dxa"/>
            <w:noWrap w:val="0"/>
            <w:vAlign w:val="top"/>
          </w:tcPr>
          <w:p w14:paraId="39438403">
            <w:pPr>
              <w:spacing w:before="40" w:line="228" w:lineRule="auto"/>
              <w:ind w:left="111" w:right="171" w:firstLine="4"/>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未实质性响应招标文件要求或者投标文件有招标方不能接受的附加条件的或法律、法规和招标文件规定的其他</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无效情形；</w:t>
            </w:r>
          </w:p>
        </w:tc>
        <w:tc>
          <w:tcPr>
            <w:tcW w:w="1124" w:type="dxa"/>
            <w:vMerge w:val="continue"/>
            <w:noWrap w:val="0"/>
            <w:vAlign w:val="top"/>
          </w:tcPr>
          <w:p w14:paraId="6E5925AA">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E25EA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32" w:type="dxa"/>
            <w:vMerge w:val="continue"/>
            <w:noWrap w:val="0"/>
            <w:vAlign w:val="top"/>
          </w:tcPr>
          <w:p w14:paraId="2E2CDF49">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EA3D2DC">
            <w:pPr>
              <w:spacing w:line="268"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06771AA6">
            <w:pPr>
              <w:spacing w:before="78" w:line="184" w:lineRule="auto"/>
              <w:ind w:left="142"/>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4"/>
                <w:sz w:val="24"/>
                <w:szCs w:val="24"/>
                <w:highlight w:val="none"/>
                <w:lang w:val="en-US" w:eastAsia="zh-CN"/>
                <w14:textFill>
                  <w14:solidFill>
                    <w14:schemeClr w14:val="tx1"/>
                  </w14:solidFill>
                </w14:textFill>
              </w:rPr>
              <w:t>10</w:t>
            </w:r>
          </w:p>
        </w:tc>
        <w:tc>
          <w:tcPr>
            <w:tcW w:w="7152" w:type="dxa"/>
            <w:noWrap w:val="0"/>
            <w:vAlign w:val="top"/>
          </w:tcPr>
          <w:p w14:paraId="56B0F78A">
            <w:pPr>
              <w:spacing w:before="156" w:line="229" w:lineRule="auto"/>
              <w:ind w:left="114" w:right="171"/>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投标文件标明的响应或偏离与事实不符或伪造证明文件</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等虚假投标的。</w:t>
            </w:r>
          </w:p>
        </w:tc>
        <w:tc>
          <w:tcPr>
            <w:tcW w:w="1124" w:type="dxa"/>
            <w:vMerge w:val="continue"/>
            <w:noWrap w:val="0"/>
            <w:vAlign w:val="top"/>
          </w:tcPr>
          <w:p w14:paraId="769B5A63">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55189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312" w:type="dxa"/>
            <w:gridSpan w:val="3"/>
            <w:noWrap w:val="0"/>
            <w:vAlign w:val="top"/>
          </w:tcPr>
          <w:p w14:paraId="343D894D">
            <w:pPr>
              <w:spacing w:before="40" w:line="205" w:lineRule="auto"/>
              <w:ind w:left="2514"/>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结论：合格/不合格</w:t>
            </w:r>
          </w:p>
        </w:tc>
        <w:tc>
          <w:tcPr>
            <w:tcW w:w="1124" w:type="dxa"/>
            <w:noWrap w:val="0"/>
            <w:vAlign w:val="top"/>
          </w:tcPr>
          <w:p w14:paraId="6CAD3BA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E220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9436" w:type="dxa"/>
            <w:gridSpan w:val="4"/>
            <w:noWrap w:val="0"/>
            <w:vAlign w:val="top"/>
          </w:tcPr>
          <w:p w14:paraId="5473C522">
            <w:pPr>
              <w:spacing w:before="40"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评标委员会成员签名：</w:t>
            </w:r>
          </w:p>
          <w:p w14:paraId="2D458A64">
            <w:pPr>
              <w:spacing w:before="27" w:line="205" w:lineRule="auto"/>
              <w:ind w:firstLine="6660" w:firstLineChars="300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9"/>
                <w:sz w:val="24"/>
                <w:szCs w:val="24"/>
                <w:highlight w:val="none"/>
                <w14:textFill>
                  <w14:solidFill>
                    <w14:schemeClr w14:val="tx1"/>
                  </w14:solidFill>
                </w14:textFill>
              </w:rPr>
              <w:t>年</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月</w:t>
            </w:r>
            <w:r>
              <w:rPr>
                <w:rFonts w:hint="eastAsia" w:ascii="宋体" w:hAnsi="宋体" w:eastAsia="宋体" w:cs="宋体"/>
                <w:i w:val="0"/>
                <w:iCs w:val="0"/>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日</w:t>
            </w:r>
          </w:p>
        </w:tc>
      </w:tr>
      <w:tr w14:paraId="6B4B4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0" w:hRule="atLeast"/>
        </w:trPr>
        <w:tc>
          <w:tcPr>
            <w:tcW w:w="9436" w:type="dxa"/>
            <w:gridSpan w:val="4"/>
            <w:noWrap w:val="0"/>
            <w:vAlign w:val="top"/>
          </w:tcPr>
          <w:p w14:paraId="114F0582">
            <w:pPr>
              <w:spacing w:before="41" w:line="229" w:lineRule="auto"/>
              <w:ind w:left="117" w:right="108" w:firstLine="1"/>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备注：如果投标文件中有一项未通过上述审查标准，</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评标委员会将认定整个投标文件不响应招</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标文件而予以废标，并且不允许投标人通过修改或撤销其</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不符合要求的差异或保留，使之成为</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具有响应性的投标。</w:t>
            </w:r>
          </w:p>
        </w:tc>
      </w:tr>
    </w:tbl>
    <w:p w14:paraId="3320B2ED">
      <w:pPr>
        <w:pStyle w:val="18"/>
        <w:rPr>
          <w:rFonts w:hint="eastAsia" w:ascii="宋体" w:hAnsi="宋体" w:eastAsia="宋体" w:cs="宋体"/>
          <w:color w:val="000000" w:themeColor="text1"/>
          <w:highlight w:val="none"/>
          <w:lang w:eastAsia="zh-CN"/>
          <w14:textFill>
            <w14:solidFill>
              <w14:schemeClr w14:val="tx1"/>
            </w14:solidFill>
          </w14:textFill>
        </w:rPr>
      </w:pPr>
    </w:p>
    <w:p w14:paraId="0AA0DD83">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247" w:name="_Toc28004"/>
      <w:bookmarkStart w:id="248" w:name="_Toc13135"/>
      <w:bookmarkStart w:id="249" w:name="_Toc16365"/>
      <w:bookmarkStart w:id="250" w:name="_Toc23928"/>
      <w:bookmarkStart w:id="251" w:name="_Toc32142"/>
      <w:bookmarkStart w:id="252" w:name="_Toc31277"/>
      <w:bookmarkStart w:id="253" w:name="_Toc22486"/>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评审方法</w:t>
      </w:r>
      <w:bookmarkEnd w:id="247"/>
      <w:bookmarkEnd w:id="248"/>
      <w:bookmarkEnd w:id="249"/>
      <w:bookmarkEnd w:id="250"/>
      <w:bookmarkEnd w:id="251"/>
      <w:bookmarkEnd w:id="252"/>
      <w:bookmarkEnd w:id="253"/>
    </w:p>
    <w:p w14:paraId="3E23B82B">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采用的</w:t>
      </w:r>
      <w:r>
        <w:rPr>
          <w:rFonts w:hint="eastAsia" w:ascii="宋体" w:hAnsi="宋体" w:eastAsia="宋体" w:cs="宋体"/>
          <w:color w:val="000000" w:themeColor="text1"/>
          <w:sz w:val="24"/>
          <w:szCs w:val="24"/>
          <w:highlight w:val="none"/>
          <w:lang w:eastAsia="zh-CN"/>
          <w14:textFill>
            <w14:solidFill>
              <w14:schemeClr w14:val="tx1"/>
            </w14:solidFill>
          </w14:textFill>
        </w:rPr>
        <w:t>评审</w:t>
      </w:r>
      <w:r>
        <w:rPr>
          <w:rFonts w:hint="eastAsia" w:ascii="宋体" w:hAnsi="宋体" w:eastAsia="宋体" w:cs="宋体"/>
          <w:color w:val="000000" w:themeColor="text1"/>
          <w:sz w:val="24"/>
          <w:szCs w:val="24"/>
          <w:highlight w:val="none"/>
          <w14:textFill>
            <w14:solidFill>
              <w14:schemeClr w14:val="tx1"/>
            </w14:solidFill>
          </w14:textFill>
        </w:rPr>
        <w:t>方式:最低</w:t>
      </w:r>
      <w:r>
        <w:rPr>
          <w:rFonts w:hint="eastAsia" w:ascii="宋体" w:hAnsi="宋体" w:eastAsia="宋体" w:cs="宋体"/>
          <w:color w:val="000000" w:themeColor="text1"/>
          <w:sz w:val="24"/>
          <w:szCs w:val="24"/>
          <w:highlight w:val="none"/>
          <w:lang w:eastAsia="zh-CN"/>
          <w14:textFill>
            <w14:solidFill>
              <w14:schemeClr w14:val="tx1"/>
            </w14:solidFill>
          </w14:textFill>
        </w:rPr>
        <w:t>评标</w:t>
      </w:r>
      <w:r>
        <w:rPr>
          <w:rFonts w:hint="eastAsia" w:ascii="宋体" w:hAnsi="宋体" w:eastAsia="宋体" w:cs="宋体"/>
          <w:color w:val="000000" w:themeColor="text1"/>
          <w:sz w:val="24"/>
          <w:szCs w:val="24"/>
          <w:highlight w:val="none"/>
          <w14:textFill>
            <w14:solidFill>
              <w14:schemeClr w14:val="tx1"/>
            </w14:solidFill>
          </w14:textFill>
        </w:rPr>
        <w:t>价法</w:t>
      </w:r>
      <w:r>
        <w:rPr>
          <w:rFonts w:hint="eastAsia" w:ascii="宋体" w:hAnsi="宋体" w:eastAsia="宋体" w:cs="宋体"/>
          <w:color w:val="000000" w:themeColor="text1"/>
          <w:sz w:val="24"/>
          <w:szCs w:val="24"/>
          <w:highlight w:val="none"/>
          <w:lang w:eastAsia="zh-CN"/>
          <w14:textFill>
            <w14:solidFill>
              <w14:schemeClr w14:val="tx1"/>
            </w14:solidFill>
          </w14:textFill>
        </w:rPr>
        <w:t>，是指以价格为主要因素确定成交供应商的评审方法。即在全部满足</w:t>
      </w: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lang w:eastAsia="zh-CN"/>
          <w14:textFill>
            <w14:solidFill>
              <w14:schemeClr w14:val="tx1"/>
            </w14:solidFill>
          </w14:textFill>
        </w:rPr>
        <w:t>实质性要求，且采购需求、质量和服务相等的前提下，依据统一的价格要素评定最低报价，第一轮审查投标供应商的响应文件，响应文件报价为供应商第一次报价，第二轮投标供应商提供的技术参数满足竞争性谈判文件要求的技术参数</w:t>
      </w:r>
      <w:r>
        <w:rPr>
          <w:rFonts w:hint="eastAsia" w:ascii="宋体" w:hAnsi="宋体" w:eastAsia="宋体" w:cs="宋体"/>
          <w:color w:val="000000" w:themeColor="text1"/>
          <w:sz w:val="24"/>
          <w:szCs w:val="24"/>
          <w:highlight w:val="none"/>
          <w:lang w:val="en-US" w:eastAsia="zh-CN"/>
          <w14:textFill>
            <w14:solidFill>
              <w14:schemeClr w14:val="tx1"/>
            </w14:solidFill>
          </w14:textFill>
        </w:rPr>
        <w:t>的</w:t>
      </w:r>
      <w:r>
        <w:rPr>
          <w:rFonts w:hint="eastAsia" w:ascii="宋体" w:hAnsi="宋体" w:eastAsia="宋体" w:cs="宋体"/>
          <w:color w:val="000000" w:themeColor="text1"/>
          <w:sz w:val="24"/>
          <w:szCs w:val="24"/>
          <w:highlight w:val="none"/>
          <w:lang w:eastAsia="zh-CN"/>
          <w14:textFill>
            <w14:solidFill>
              <w14:schemeClr w14:val="tx1"/>
            </w14:solidFill>
          </w14:textFill>
        </w:rPr>
        <w:t>供应商进行第二次报价，第二轮为供应商最终报价，按最终报价由低到高的顺序排序，确定成交供应商或推荐成交候选人的评审方法。</w:t>
      </w:r>
    </w:p>
    <w:p w14:paraId="7B547D8F">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54" w:name="_Toc30619"/>
      <w:bookmarkStart w:id="255" w:name="_Toc7692"/>
      <w:bookmarkStart w:id="256" w:name="_Toc8090"/>
      <w:bookmarkStart w:id="257" w:name="_Toc17031"/>
      <w:bookmarkStart w:id="258" w:name="_Toc22111"/>
      <w:bookmarkStart w:id="259" w:name="_Toc7987"/>
      <w:bookmarkStart w:id="260" w:name="_Toc494"/>
      <w:bookmarkStart w:id="261" w:name="_Toc5791"/>
      <w:bookmarkStart w:id="262" w:name="_Toc6742"/>
      <w:r>
        <w:rPr>
          <w:rFonts w:hint="eastAsia" w:ascii="宋体" w:hAnsi="宋体" w:eastAsia="宋体" w:cs="宋体"/>
          <w:color w:val="000000" w:themeColor="text1"/>
          <w:sz w:val="24"/>
          <w:szCs w:val="24"/>
          <w:highlight w:val="none"/>
          <w:lang w:val="en-US" w:eastAsia="zh-CN"/>
          <w14:textFill>
            <w14:solidFill>
              <w14:schemeClr w14:val="tx1"/>
            </w14:solidFill>
          </w14:textFill>
        </w:rPr>
        <w:t>3.评审标准</w:t>
      </w:r>
      <w:bookmarkEnd w:id="254"/>
      <w:bookmarkEnd w:id="255"/>
      <w:bookmarkEnd w:id="256"/>
      <w:bookmarkEnd w:id="257"/>
      <w:bookmarkEnd w:id="258"/>
      <w:bookmarkEnd w:id="259"/>
      <w:bookmarkEnd w:id="260"/>
      <w:bookmarkEnd w:id="261"/>
      <w:bookmarkEnd w:id="262"/>
    </w:p>
    <w:p w14:paraId="0514F8DA">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.1初步评审标准</w:t>
      </w:r>
    </w:p>
    <w:p w14:paraId="0BAB979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.1.1资格性审查：评标办法前附表</w:t>
      </w:r>
    </w:p>
    <w:p w14:paraId="492EEC25">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.1.2符合性审查：评标办法前附表</w:t>
      </w:r>
    </w:p>
    <w:p w14:paraId="7B2F78B3">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63" w:name="_Toc27928"/>
      <w:bookmarkStart w:id="264" w:name="_Toc12165"/>
      <w:bookmarkStart w:id="265" w:name="_Toc21244"/>
      <w:bookmarkStart w:id="266" w:name="_Toc24665"/>
      <w:bookmarkStart w:id="267" w:name="_Toc1119"/>
      <w:bookmarkStart w:id="268" w:name="_Toc18891"/>
      <w:bookmarkStart w:id="269" w:name="_Toc3869"/>
      <w:bookmarkStart w:id="270" w:name="_Toc24175"/>
      <w:bookmarkStart w:id="271" w:name="_Toc1974"/>
      <w:r>
        <w:rPr>
          <w:rFonts w:hint="eastAsia" w:ascii="宋体" w:hAnsi="宋体" w:eastAsia="宋体" w:cs="宋体"/>
          <w:color w:val="000000" w:themeColor="text1"/>
          <w:sz w:val="24"/>
          <w:szCs w:val="24"/>
          <w:highlight w:val="none"/>
          <w:lang w:val="en-US" w:eastAsia="zh-CN"/>
          <w14:textFill>
            <w14:solidFill>
              <w14:schemeClr w14:val="tx1"/>
            </w14:solidFill>
          </w14:textFill>
        </w:rPr>
        <w:t>4.评审程序</w:t>
      </w:r>
      <w:bookmarkEnd w:id="263"/>
      <w:bookmarkEnd w:id="264"/>
      <w:bookmarkEnd w:id="265"/>
      <w:bookmarkEnd w:id="266"/>
      <w:bookmarkEnd w:id="267"/>
      <w:bookmarkEnd w:id="268"/>
      <w:bookmarkEnd w:id="269"/>
      <w:bookmarkEnd w:id="270"/>
      <w:bookmarkEnd w:id="271"/>
    </w:p>
    <w:p w14:paraId="2C23D224">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.1初步评审</w:t>
      </w:r>
    </w:p>
    <w:p w14:paraId="4BBC0D8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可以要求</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提交第二章“</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须知”第</w:t>
      </w: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项规定的有关证明和证件的原件，以便核验。</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依据本章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评审办法</w:t>
      </w:r>
      <w:r>
        <w:rPr>
          <w:rFonts w:hint="eastAsia" w:ascii="宋体" w:hAnsi="宋体" w:eastAsia="宋体" w:cs="宋体"/>
          <w:color w:val="000000" w:themeColor="text1"/>
          <w:sz w:val="24"/>
          <w:szCs w:val="24"/>
          <w:highlight w:val="none"/>
          <w14:textFill>
            <w14:solidFill>
              <w14:schemeClr w14:val="tx1"/>
            </w14:solidFill>
          </w14:textFill>
        </w:rPr>
        <w:t>规定的标准对</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进行初步评审。有一项不符合评审标准的，作废标处理。</w:t>
      </w:r>
    </w:p>
    <w:p w14:paraId="1B03F4B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.1.2</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有以下情形之一的，其投标作废标处理：</w:t>
      </w:r>
    </w:p>
    <w:p w14:paraId="5ED00A8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（1）串通投标或弄虚作假或有其他违法行为的；</w:t>
      </w:r>
    </w:p>
    <w:p w14:paraId="30368AB9">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（2）不按</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要求澄清、说明或补正的。</w:t>
      </w:r>
    </w:p>
    <w:p w14:paraId="29221590">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（3）投标函中投标报价与工程量汇总价不一致时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14:paraId="4B0D9E8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（4）提供虚假资料的其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14:paraId="60BE9148">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在开标时资格审查时递交的法人授权委托书公证件原件，其内容应与资格预审、</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的内容一致，其中委托代理人均为同一人，不一致作废标处理。</w:t>
      </w:r>
    </w:p>
    <w:p w14:paraId="21588011">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认定</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以低于成本报价竞标的。</w:t>
      </w:r>
    </w:p>
    <w:p w14:paraId="4876D53A">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附有</w:t>
      </w:r>
      <w:r>
        <w:rPr>
          <w:rFonts w:hint="eastAsia" w:ascii="宋体" w:hAnsi="宋体" w:eastAsia="宋体" w:cs="宋体"/>
          <w:color w:val="000000" w:themeColor="text1"/>
          <w:sz w:val="24"/>
          <w:szCs w:val="24"/>
          <w:highlight w:val="none"/>
          <w:lang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不能接受的条件。</w:t>
      </w:r>
    </w:p>
    <w:p w14:paraId="393CFBB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偏离</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实质性要求和条件的。</w:t>
      </w:r>
    </w:p>
    <w:p w14:paraId="206EE770">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（9）一个</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递交两份或多分内容不同的</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，或在一份</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中对同一招标项目有两个或多个报价，且未声明哪一个报价有效的。</w:t>
      </w:r>
    </w:p>
    <w:p w14:paraId="0CE0160E">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.1.3投标报价有算术错误的，</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按以下原则对投标报价进行修正，修正的价格经</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书面确认后具有约束力。</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不接受修正价格的，其投标作废标处理。</w:t>
      </w:r>
    </w:p>
    <w:p w14:paraId="2396CDC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中的大写金额与小写金额不一致的，以大写金额为准；</w:t>
      </w:r>
    </w:p>
    <w:p w14:paraId="5C396B4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（2）总价金额与依据单价计算出的结果不一致的，以单价金额为准修正总价，但单价金额小数点有明显错误的除外。</w:t>
      </w:r>
    </w:p>
    <w:p w14:paraId="57F68A3A">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.2详细评审</w:t>
      </w:r>
    </w:p>
    <w:p w14:paraId="6E51C05D">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由谈判小组与供应商进行谈判，供应商进行二轮报价。第一轮报价为响应文件内报价，第二轮报价所有供应商同时报价。以最后一轮的最终报价由低到高进行排序，谈判小组推荐报价最低的三名供应商为成交候选人推荐给招标人，由招标人确定一名供应商为成交供应商。</w:t>
      </w:r>
    </w:p>
    <w:p w14:paraId="026E5FE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4.3</w:t>
      </w:r>
      <w:r>
        <w:rPr>
          <w:rFonts w:hint="eastAsia" w:ascii="宋体" w:hAnsi="宋体" w:eastAsia="宋体" w:cs="宋体"/>
          <w:color w:val="000000" w:themeColor="text1"/>
          <w:sz w:val="24"/>
          <w:szCs w:val="24"/>
          <w:highlight w:val="none"/>
          <w14:textFill>
            <w14:solidFill>
              <w14:schemeClr w14:val="tx1"/>
            </w14:solidFill>
          </w14:textFill>
        </w:rPr>
        <w:t>、谈判结束，主持人公布谈判结果。</w:t>
      </w:r>
    </w:p>
    <w:p w14:paraId="38704EE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w:t>
      </w:r>
      <w:r>
        <w:rPr>
          <w:rFonts w:hint="eastAsia" w:ascii="宋体" w:hAnsi="宋体" w:eastAsia="宋体" w:cs="宋体"/>
          <w:color w:val="000000" w:themeColor="text1"/>
          <w:sz w:val="24"/>
          <w:szCs w:val="24"/>
          <w:highlight w:val="none"/>
          <w14:textFill>
            <w14:solidFill>
              <w14:schemeClr w14:val="tx1"/>
            </w14:solidFill>
          </w14:textFill>
        </w:rPr>
        <w:t>、谈判中的注意事项：</w:t>
      </w:r>
    </w:p>
    <w:p w14:paraId="3EA27017">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谈判时由谈判小组所有成员集中与单一供应商分别进行谈判。谈判中，谈判的任何一方不得透露与谈判有关的其他供应商的技术资料、价格和其他信息；</w:t>
      </w:r>
    </w:p>
    <w:p w14:paraId="400ADE37">
      <w:pPr>
        <w:spacing w:after="156" w:afterLines="50" w:line="360" w:lineRule="auto"/>
        <w:ind w:firstLine="480" w:firstLineChars="200"/>
        <w:outlineLvl w:val="0"/>
        <w:rPr>
          <w:rFonts w:hint="eastAsia" w:ascii="宋体" w:hAnsi="宋体" w:eastAsia="宋体" w:cs="宋体"/>
          <w:color w:val="000000" w:themeColor="text1"/>
          <w:sz w:val="24"/>
          <w:szCs w:val="24"/>
          <w:highlight w:val="none"/>
          <w14:textFill>
            <w14:solidFill>
              <w14:schemeClr w14:val="tx1"/>
            </w14:solidFill>
          </w14:textFill>
        </w:rPr>
      </w:pPr>
      <w:bookmarkStart w:id="272" w:name="_Toc16081"/>
      <w:r>
        <w:rPr>
          <w:rFonts w:hint="eastAsia" w:ascii="宋体" w:hAnsi="宋体" w:eastAsia="宋体" w:cs="宋体"/>
          <w:color w:val="000000" w:themeColor="text1"/>
          <w:sz w:val="24"/>
          <w:szCs w:val="24"/>
          <w:highlight w:val="none"/>
          <w14:textFill>
            <w14:solidFill>
              <w14:schemeClr w14:val="tx1"/>
            </w14:solidFill>
          </w14:textFill>
        </w:rPr>
        <w:t>谈判文件有实质性变动的，谈判小组应当以书面形式通知参加谈判的供应商。</w:t>
      </w:r>
      <w:bookmarkEnd w:id="272"/>
    </w:p>
    <w:p w14:paraId="63E62477">
      <w:pPr>
        <w:numPr>
          <w:ilvl w:val="0"/>
          <w:numId w:val="2"/>
        </w:num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273" w:name="_Toc9296"/>
      <w:bookmarkStart w:id="274" w:name="_Toc8936"/>
      <w:bookmarkStart w:id="275" w:name="_Toc1903"/>
      <w:bookmarkStart w:id="276" w:name="_Toc26554"/>
      <w:bookmarkStart w:id="277" w:name="_Toc30916"/>
      <w:bookmarkStart w:id="278" w:name="_Toc25211"/>
      <w:bookmarkStart w:id="279" w:name="_Toc464831170"/>
      <w:bookmarkStart w:id="280" w:name="_Toc27584"/>
      <w:bookmarkStart w:id="281" w:name="_Toc7354"/>
      <w:r>
        <w:rPr>
          <w:rFonts w:hint="eastAsia" w:ascii="宋体" w:hAnsi="宋体" w:eastAsia="宋体" w:cs="宋体"/>
          <w:b/>
          <w:bCs/>
          <w:color w:val="000000" w:themeColor="text1"/>
          <w:sz w:val="36"/>
          <w:szCs w:val="36"/>
          <w:highlight w:val="none"/>
          <w14:textFill>
            <w14:solidFill>
              <w14:schemeClr w14:val="tx1"/>
            </w14:solidFill>
          </w14:textFill>
        </w:rPr>
        <w:t xml:space="preserve"> </w:t>
      </w:r>
      <w:bookmarkStart w:id="282" w:name="_Toc14261"/>
      <w:r>
        <w:rPr>
          <w:rFonts w:hint="eastAsia" w:ascii="宋体" w:hAnsi="宋体" w:eastAsia="宋体" w:cs="宋体"/>
          <w:b/>
          <w:bCs/>
          <w:color w:val="000000" w:themeColor="text1"/>
          <w:sz w:val="36"/>
          <w:szCs w:val="36"/>
          <w:highlight w:val="none"/>
          <w14:textFill>
            <w14:solidFill>
              <w14:schemeClr w14:val="tx1"/>
            </w14:solidFill>
          </w14:textFill>
        </w:rPr>
        <w:t>签订合同、合同主要条款</w:t>
      </w:r>
      <w:bookmarkEnd w:id="273"/>
      <w:bookmarkEnd w:id="274"/>
      <w:bookmarkEnd w:id="275"/>
      <w:bookmarkEnd w:id="276"/>
      <w:bookmarkEnd w:id="277"/>
      <w:bookmarkEnd w:id="278"/>
      <w:bookmarkEnd w:id="279"/>
      <w:bookmarkEnd w:id="280"/>
      <w:bookmarkEnd w:id="281"/>
      <w:bookmarkEnd w:id="282"/>
    </w:p>
    <w:p w14:paraId="2D2E42A0">
      <w:pPr>
        <w:pStyle w:val="18"/>
        <w:numPr>
          <w:ilvl w:val="0"/>
          <w:numId w:val="0"/>
        </w:numPr>
        <w:ind w:leftChars="400"/>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具体以与甲方签订的合同为准</w:t>
      </w:r>
    </w:p>
    <w:p w14:paraId="7869D6B8">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3" w:name="_Toc19560"/>
      <w:bookmarkStart w:id="284" w:name="_Toc32716"/>
      <w:bookmarkStart w:id="285" w:name="_Toc6231"/>
      <w:r>
        <w:rPr>
          <w:rFonts w:hint="eastAsia" w:ascii="宋体" w:hAnsi="宋体" w:eastAsia="宋体" w:cs="宋体"/>
          <w:b/>
          <w:color w:val="000000" w:themeColor="text1"/>
          <w:sz w:val="28"/>
          <w:szCs w:val="28"/>
          <w:highlight w:val="none"/>
          <w14:textFill>
            <w14:solidFill>
              <w14:schemeClr w14:val="tx1"/>
            </w14:solidFill>
          </w14:textFill>
        </w:rPr>
        <w:t>第一节  通用合同条款</w:t>
      </w:r>
      <w:bookmarkEnd w:id="283"/>
      <w:bookmarkEnd w:id="284"/>
      <w:bookmarkEnd w:id="285"/>
    </w:p>
    <w:p w14:paraId="56D1188A">
      <w:pPr>
        <w:jc w:val="center"/>
        <w:rPr>
          <w:rFonts w:hint="eastAsia" w:ascii="宋体" w:hAnsi="宋体" w:eastAsia="宋体" w:cs="宋体"/>
          <w:color w:val="000000" w:themeColor="text1"/>
          <w:sz w:val="28"/>
          <w:szCs w:val="28"/>
          <w:highlight w:val="none"/>
          <w14:textFill>
            <w14:solidFill>
              <w14:schemeClr w14:val="tx1"/>
            </w14:solidFill>
          </w14:textFill>
        </w:rPr>
      </w:pPr>
    </w:p>
    <w:p w14:paraId="58FE6A1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通用合同条款直接引用中国计划出版社出版的中华人民共和国《标准施工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》(2007版)第一卷第四章第一节“通用合同条款”(第41页至第81页)。</w:t>
      </w:r>
    </w:p>
    <w:p w14:paraId="52B7E876">
      <w:pPr>
        <w:pStyle w:val="31"/>
        <w:spacing w:line="240" w:lineRule="auto"/>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5A2160EE">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6" w:name="_Toc3743"/>
      <w:bookmarkStart w:id="287" w:name="_Toc19904"/>
      <w:bookmarkStart w:id="288" w:name="_Toc703"/>
      <w:r>
        <w:rPr>
          <w:rFonts w:hint="eastAsia" w:ascii="宋体" w:hAnsi="宋体" w:eastAsia="宋体" w:cs="宋体"/>
          <w:b/>
          <w:color w:val="000000" w:themeColor="text1"/>
          <w:sz w:val="28"/>
          <w:szCs w:val="28"/>
          <w:highlight w:val="none"/>
          <w14:textFill>
            <w14:solidFill>
              <w14:schemeClr w14:val="tx1"/>
            </w14:solidFill>
          </w14:textFill>
        </w:rPr>
        <w:t>第二节  专用合同条款</w:t>
      </w:r>
      <w:bookmarkEnd w:id="286"/>
      <w:bookmarkEnd w:id="287"/>
      <w:bookmarkEnd w:id="288"/>
    </w:p>
    <w:p w14:paraId="06C2DB63">
      <w:pPr>
        <w:jc w:val="both"/>
        <w:rPr>
          <w:rFonts w:hint="eastAsia" w:ascii="宋体" w:hAnsi="宋体" w:eastAsia="宋体" w:cs="宋体"/>
          <w:color w:val="000000" w:themeColor="text1"/>
          <w:sz w:val="28"/>
          <w:szCs w:val="28"/>
          <w:highlight w:val="none"/>
          <w14:textFill>
            <w14:solidFill>
              <w14:schemeClr w14:val="tx1"/>
            </w14:solidFill>
          </w14:textFill>
        </w:rPr>
      </w:pPr>
    </w:p>
    <w:p w14:paraId="6C193CB0">
      <w:pPr>
        <w:ind w:firstLine="437"/>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专用合同条款参照中华人民共和国房屋建筑和市政工程标准施工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2010年版第一卷第四章第二节“专用合同条款”(第103页至第129页)。</w:t>
      </w:r>
    </w:p>
    <w:p w14:paraId="2558389E">
      <w:pPr>
        <w:jc w:val="both"/>
        <w:rPr>
          <w:rFonts w:hint="eastAsia" w:ascii="宋体" w:hAnsi="宋体" w:eastAsia="宋体" w:cs="宋体"/>
          <w:b/>
          <w:color w:val="000000" w:themeColor="text1"/>
          <w:sz w:val="28"/>
          <w:szCs w:val="28"/>
          <w:highlight w:val="none"/>
          <w14:textFill>
            <w14:solidFill>
              <w14:schemeClr w14:val="tx1"/>
            </w14:solidFill>
          </w14:textFill>
        </w:rPr>
      </w:pPr>
    </w:p>
    <w:p w14:paraId="28A65581">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第三节  合同附件格式</w:t>
      </w:r>
    </w:p>
    <w:p w14:paraId="1FA98867">
      <w:pPr>
        <w:rPr>
          <w:rFonts w:hint="eastAsia" w:ascii="宋体" w:hAnsi="宋体" w:eastAsia="宋体" w:cs="宋体"/>
          <w:color w:val="000000" w:themeColor="text1"/>
          <w:sz w:val="28"/>
          <w:szCs w:val="28"/>
          <w:highlight w:val="none"/>
          <w14:textFill>
            <w14:solidFill>
              <w14:schemeClr w14:val="tx1"/>
            </w14:solidFill>
          </w14:textFill>
        </w:rPr>
      </w:pPr>
    </w:p>
    <w:p w14:paraId="210B2D5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一：合同协议书</w:t>
      </w:r>
    </w:p>
    <w:p w14:paraId="05620DBF">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附件一：建筑工程质量保修书</w:t>
      </w:r>
    </w:p>
    <w:p w14:paraId="68CAE4F8">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附件二：承包人提供的材料和工程设备一览表</w:t>
      </w:r>
    </w:p>
    <w:p w14:paraId="352AABDE">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附件三：发包人提供的材料和工程设备一览表</w:t>
      </w:r>
    </w:p>
    <w:p w14:paraId="42D169F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附件四：建设工程廉政责任书</w:t>
      </w:r>
    </w:p>
    <w:p w14:paraId="13FB78C4">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二：保函书</w:t>
      </w:r>
    </w:p>
    <w:p w14:paraId="54B0982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附件一：承包人履约保函</w:t>
      </w:r>
    </w:p>
    <w:p w14:paraId="4E110660">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附件二：发包人预付款担保</w:t>
      </w:r>
    </w:p>
    <w:p w14:paraId="096D52FD">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附件三：发包人支付保函</w:t>
      </w:r>
    </w:p>
    <w:p w14:paraId="1CC135D8">
      <w:pPr>
        <w:ind w:left="480"/>
        <w:rPr>
          <w:rFonts w:hint="eastAsia" w:ascii="宋体" w:hAnsi="宋体" w:eastAsia="宋体" w:cs="宋体"/>
          <w:color w:val="000000" w:themeColor="text1"/>
          <w:sz w:val="28"/>
          <w:szCs w:val="28"/>
          <w:highlight w:val="none"/>
          <w14:textFill>
            <w14:solidFill>
              <w14:schemeClr w14:val="tx1"/>
            </w14:solidFill>
          </w14:textFill>
        </w:rPr>
      </w:pPr>
    </w:p>
    <w:p w14:paraId="0D700AE6">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40E525BF">
      <w:pPr>
        <w:pStyle w:val="18"/>
        <w:rPr>
          <w:rFonts w:hint="eastAsia" w:ascii="宋体" w:hAnsi="宋体" w:eastAsia="宋体" w:cs="宋体"/>
          <w:color w:val="000000" w:themeColor="text1"/>
          <w:sz w:val="28"/>
          <w:szCs w:val="28"/>
          <w:highlight w:val="none"/>
          <w14:textFill>
            <w14:solidFill>
              <w14:schemeClr w14:val="tx1"/>
            </w14:solidFill>
          </w14:textFill>
        </w:rPr>
      </w:pPr>
    </w:p>
    <w:p w14:paraId="646F2132">
      <w:pPr>
        <w:pStyle w:val="18"/>
        <w:rPr>
          <w:rFonts w:hint="eastAsia" w:ascii="宋体" w:hAnsi="宋体" w:eastAsia="宋体" w:cs="宋体"/>
          <w:color w:val="000000" w:themeColor="text1"/>
          <w:sz w:val="28"/>
          <w:szCs w:val="28"/>
          <w:highlight w:val="none"/>
          <w14:textFill>
            <w14:solidFill>
              <w14:schemeClr w14:val="tx1"/>
            </w14:solidFill>
          </w14:textFill>
        </w:rPr>
      </w:pPr>
    </w:p>
    <w:p w14:paraId="5FD4598D">
      <w:pPr>
        <w:pStyle w:val="18"/>
        <w:rPr>
          <w:rFonts w:hint="eastAsia" w:ascii="宋体" w:hAnsi="宋体" w:eastAsia="宋体" w:cs="宋体"/>
          <w:color w:val="000000" w:themeColor="text1"/>
          <w:sz w:val="28"/>
          <w:szCs w:val="28"/>
          <w:highlight w:val="none"/>
          <w14:textFill>
            <w14:solidFill>
              <w14:schemeClr w14:val="tx1"/>
            </w14:solidFill>
          </w14:textFill>
        </w:rPr>
      </w:pPr>
    </w:p>
    <w:p w14:paraId="5386FB9F">
      <w:pPr>
        <w:pStyle w:val="18"/>
        <w:rPr>
          <w:rFonts w:hint="eastAsia" w:ascii="宋体" w:hAnsi="宋体" w:eastAsia="宋体" w:cs="宋体"/>
          <w:color w:val="000000" w:themeColor="text1"/>
          <w:sz w:val="28"/>
          <w:szCs w:val="28"/>
          <w:highlight w:val="none"/>
          <w14:textFill>
            <w14:solidFill>
              <w14:schemeClr w14:val="tx1"/>
            </w14:solidFill>
          </w14:textFill>
        </w:rPr>
      </w:pPr>
    </w:p>
    <w:p w14:paraId="72F6B3F2">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48E2614A">
      <w:pPr>
        <w:pStyle w:val="2"/>
        <w:rPr>
          <w:rFonts w:hint="eastAsia" w:ascii="宋体" w:hAnsi="宋体" w:eastAsia="宋体" w:cs="宋体"/>
          <w:color w:val="000000" w:themeColor="text1"/>
          <w:sz w:val="28"/>
          <w:szCs w:val="28"/>
          <w:highlight w:val="none"/>
          <w14:textFill>
            <w14:solidFill>
              <w14:schemeClr w14:val="tx1"/>
            </w14:solidFill>
          </w14:textFill>
        </w:rPr>
      </w:pPr>
    </w:p>
    <w:p w14:paraId="041D16D9">
      <w:pPr>
        <w:pStyle w:val="2"/>
        <w:rPr>
          <w:rFonts w:hint="eastAsia" w:ascii="宋体" w:hAnsi="宋体" w:eastAsia="宋体" w:cs="宋体"/>
          <w:color w:val="000000" w:themeColor="text1"/>
          <w:sz w:val="28"/>
          <w:szCs w:val="28"/>
          <w:highlight w:val="none"/>
          <w14:textFill>
            <w14:solidFill>
              <w14:schemeClr w14:val="tx1"/>
            </w14:solidFill>
          </w14:textFill>
        </w:rPr>
      </w:pPr>
    </w:p>
    <w:p w14:paraId="6A5D768A">
      <w:pPr>
        <w:pStyle w:val="2"/>
        <w:rPr>
          <w:rFonts w:hint="eastAsia" w:ascii="宋体" w:hAnsi="宋体" w:eastAsia="宋体" w:cs="宋体"/>
          <w:color w:val="000000" w:themeColor="text1"/>
          <w:sz w:val="28"/>
          <w:szCs w:val="28"/>
          <w:highlight w:val="none"/>
          <w14:textFill>
            <w14:solidFill>
              <w14:schemeClr w14:val="tx1"/>
            </w14:solidFill>
          </w14:textFill>
        </w:rPr>
      </w:pPr>
    </w:p>
    <w:p w14:paraId="6D2A7B4B">
      <w:pPr>
        <w:pStyle w:val="2"/>
        <w:rPr>
          <w:rFonts w:hint="eastAsia" w:ascii="宋体" w:hAnsi="宋体" w:eastAsia="宋体" w:cs="宋体"/>
          <w:color w:val="000000" w:themeColor="text1"/>
          <w:sz w:val="28"/>
          <w:szCs w:val="28"/>
          <w:highlight w:val="none"/>
          <w14:textFill>
            <w14:solidFill>
              <w14:schemeClr w14:val="tx1"/>
            </w14:solidFill>
          </w14:textFill>
        </w:rPr>
      </w:pPr>
    </w:p>
    <w:p w14:paraId="6B3DB1EE">
      <w:pPr>
        <w:pStyle w:val="2"/>
        <w:rPr>
          <w:rFonts w:hint="eastAsia" w:ascii="宋体" w:hAnsi="宋体" w:eastAsia="宋体" w:cs="宋体"/>
          <w:color w:val="000000" w:themeColor="text1"/>
          <w:sz w:val="28"/>
          <w:szCs w:val="28"/>
          <w:highlight w:val="none"/>
          <w14:textFill>
            <w14:solidFill>
              <w14:schemeClr w14:val="tx1"/>
            </w14:solidFill>
          </w14:textFill>
        </w:rPr>
      </w:pPr>
    </w:p>
    <w:p w14:paraId="6B4E1191">
      <w:pPr>
        <w:pStyle w:val="2"/>
        <w:rPr>
          <w:rFonts w:hint="eastAsia" w:ascii="宋体" w:hAnsi="宋体" w:eastAsia="宋体" w:cs="宋体"/>
          <w:color w:val="000000" w:themeColor="text1"/>
          <w:sz w:val="28"/>
          <w:szCs w:val="28"/>
          <w:highlight w:val="none"/>
          <w14:textFill>
            <w14:solidFill>
              <w14:schemeClr w14:val="tx1"/>
            </w14:solidFill>
          </w14:textFill>
        </w:rPr>
      </w:pPr>
    </w:p>
    <w:p w14:paraId="3F92219D">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671B602D">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一、合同协议书</w:t>
      </w:r>
    </w:p>
    <w:p w14:paraId="2DCFBE0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2EC0F92">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004605CA">
      <w:pPr>
        <w:rPr>
          <w:rFonts w:hint="eastAsia" w:ascii="宋体" w:hAnsi="宋体" w:eastAsia="宋体" w:cs="宋体"/>
          <w:bCs/>
          <w:color w:val="000000" w:themeColor="text1"/>
          <w:spacing w:val="10"/>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pacing w:val="10"/>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57351693">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656988DA">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承包人(全称）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40E11151">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19157861">
      <w:pPr>
        <w:ind w:right="-512" w:rightChars="-244"/>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41A35C61">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发包人为建设</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(以下简称“本工程”)，已接受承包人提出的承担本工程的施工、竣工、交付并维修其任何缺陷的投标。依照《中华人民共和国</w:t>
      </w:r>
      <w:r>
        <w:rPr>
          <w:rFonts w:hint="eastAsia" w:ascii="宋体" w:hAnsi="宋体" w:eastAsia="宋体" w:cs="宋体"/>
          <w:bCs/>
          <w:color w:val="000000" w:themeColor="text1"/>
          <w:sz w:val="24"/>
          <w:szCs w:val="24"/>
          <w:highlight w:val="none"/>
          <w:lang w:eastAsia="zh-CN"/>
          <w14:textFill>
            <w14:solidFill>
              <w14:schemeClr w14:val="tx1"/>
            </w14:solidFill>
          </w14:textFill>
        </w:rPr>
        <w:t>采购</w:t>
      </w:r>
      <w:r>
        <w:rPr>
          <w:rFonts w:hint="eastAsia" w:ascii="宋体" w:hAnsi="宋体" w:eastAsia="宋体" w:cs="宋体"/>
          <w:bCs/>
          <w:color w:val="000000" w:themeColor="text1"/>
          <w:sz w:val="24"/>
          <w:szCs w:val="24"/>
          <w:highlight w:val="none"/>
          <w14:textFill>
            <w14:solidFill>
              <w14:schemeClr w14:val="tx1"/>
            </w14:solidFill>
          </w14:textFill>
        </w:rPr>
        <w:t>投标法》、《中华人民共和国合同法》、《中华人民共和国建筑法》、及其他有关法律、行政法规，遵循平等、自愿、公平和诚实信用的原则，双方共同达成并订立如下协议。</w:t>
      </w:r>
    </w:p>
    <w:p w14:paraId="225DF677">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一、工程概况</w:t>
      </w:r>
    </w:p>
    <w:p w14:paraId="287CF8B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标段</w:t>
      </w:r>
    </w:p>
    <w:p w14:paraId="61C5103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EDFF23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工程内容：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7D471E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群体工程应附“承包人承揽工程项目一览表”(附件2)</w:t>
      </w:r>
    </w:p>
    <w:p w14:paraId="3E4CF9B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工程立项批准文号：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7DFF50">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资金来源：</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26A9DB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二、工程承包范围</w:t>
      </w:r>
    </w:p>
    <w:p w14:paraId="3AE25981">
      <w:pPr>
        <w:ind w:firstLine="480" w:firstLineChars="200"/>
        <w:rPr>
          <w:rFonts w:hint="eastAsia" w:ascii="宋体" w:hAnsi="宋体" w:eastAsia="宋体" w:cs="宋体"/>
          <w:b/>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承包范围：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14:paraId="03F83E76">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14:paraId="149AC862">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详细承包范围见第七章“技术标准和要求”。</w:t>
      </w:r>
    </w:p>
    <w:p w14:paraId="5620F277">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三、合同工期</w:t>
      </w:r>
    </w:p>
    <w:p w14:paraId="51D7C2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计划开工日期：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1B4C543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计划竣工日期：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21E02CC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工期总日历天数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天，自监理人发出的开工通知中载明的开工日期起算。</w:t>
      </w:r>
    </w:p>
    <w:p w14:paraId="6415FE2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四、质量标准</w:t>
      </w:r>
    </w:p>
    <w:p w14:paraId="75DFBAF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工程质量标准：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合格           </w:t>
      </w:r>
    </w:p>
    <w:p w14:paraId="5CDD278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五、合同形式</w:t>
      </w:r>
    </w:p>
    <w:p w14:paraId="76376F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本合同采用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合同形式。</w:t>
      </w:r>
    </w:p>
    <w:p w14:paraId="03D52A1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六、签约合同价</w:t>
      </w:r>
    </w:p>
    <w:p w14:paraId="7AC8F30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金额(大写）：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元(人民币)(小写)￥：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0A81618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其中：安全文明施工费：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元，规费：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7DE2054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人工费：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元，暂列金额：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元（其中计日工金额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元），专业工程暂估价：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7E729A2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七、承包人项目负责人：</w:t>
      </w:r>
    </w:p>
    <w:p w14:paraId="39DC4E7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职称：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；身份证号：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建造师执业资格证书号：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；建造师注册证书号：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。建造师执业印章号：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6037777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67A47D7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八、合同文件的组成</w:t>
      </w:r>
    </w:p>
    <w:p w14:paraId="2BD7F7F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下列文件共同构成合同文件：</w:t>
      </w:r>
    </w:p>
    <w:p w14:paraId="195F5F6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1、本协议书；</w:t>
      </w:r>
    </w:p>
    <w:p w14:paraId="6038C89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2、中标通知书；</w:t>
      </w:r>
    </w:p>
    <w:p w14:paraId="5907EE0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3、投标函及投标函附录；</w:t>
      </w:r>
    </w:p>
    <w:p w14:paraId="7991D8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4、专用合同条款；</w:t>
      </w:r>
    </w:p>
    <w:p w14:paraId="380510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5、通用合同条款；</w:t>
      </w:r>
    </w:p>
    <w:p w14:paraId="45B7075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6、技术标准和要求；</w:t>
      </w:r>
    </w:p>
    <w:p w14:paraId="13C5568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7、图纸；</w:t>
      </w:r>
    </w:p>
    <w:p w14:paraId="070D798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8、已标价工程量清单；</w:t>
      </w:r>
    </w:p>
    <w:p w14:paraId="2734275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9、其他合同文件。</w:t>
      </w:r>
    </w:p>
    <w:p w14:paraId="667D01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上述文件互相补充和解释，如有不明确或不一致之处，以合同约定次序在先者为准。</w:t>
      </w:r>
    </w:p>
    <w:p w14:paraId="7113770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九、本协议书中有关词语定义与合同条款中的定义相同。</w:t>
      </w:r>
    </w:p>
    <w:p w14:paraId="2AE9D51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十、承包人承诺按照合同约定进行施工、竣工、交付并在缺陷责任期内对工程缺陷承担维修责任。</w:t>
      </w:r>
    </w:p>
    <w:p w14:paraId="496B20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十一、发包人承诺按照合同约定的条件、期限和方式向承包人支付合同价款。</w:t>
      </w:r>
    </w:p>
    <w:p w14:paraId="3B6A35E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十二、本协议书连同其他合同文件正本一式两份，合同双方各执一份；副本一式</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十份   </w:t>
      </w:r>
    </w:p>
    <w:p w14:paraId="09835E3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份，其中一份在合同报送建设行政主管部门备案时留存。</w:t>
      </w:r>
    </w:p>
    <w:p w14:paraId="44A528C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十三、合同未尽事宜，双方另行签订补充协议，但不得背离本协议第八条所约定的合同文件的实质性内容。补充协议是合同文件的组成部分。</w:t>
      </w:r>
    </w:p>
    <w:p w14:paraId="02C3E22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85F6B1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01EB0AE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428C384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4AEEAD78">
      <w:pPr>
        <w:rPr>
          <w:rFonts w:hint="eastAsia" w:ascii="宋体" w:hAnsi="宋体" w:eastAsia="宋体" w:cs="宋体"/>
          <w:color w:val="000000" w:themeColor="text1"/>
          <w:sz w:val="24"/>
          <w:szCs w:val="24"/>
          <w:highlight w:val="none"/>
          <w14:textFill>
            <w14:solidFill>
              <w14:schemeClr w14:val="tx1"/>
            </w14:solidFill>
          </w14:textFill>
        </w:rPr>
      </w:pPr>
    </w:p>
    <w:p w14:paraId="2757584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610DCC36">
      <w:pPr>
        <w:rPr>
          <w:rFonts w:hint="eastAsia" w:ascii="宋体" w:hAnsi="宋体" w:eastAsia="宋体" w:cs="宋体"/>
          <w:color w:val="000000" w:themeColor="text1"/>
          <w:sz w:val="24"/>
          <w:szCs w:val="24"/>
          <w:highlight w:val="none"/>
          <w14:textFill>
            <w14:solidFill>
              <w14:schemeClr w14:val="tx1"/>
            </w14:solidFill>
          </w14:textFill>
        </w:rPr>
      </w:pPr>
    </w:p>
    <w:p w14:paraId="7F721D3F">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签约地点：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24A8C3D">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附件1：</w:t>
      </w:r>
    </w:p>
    <w:p w14:paraId="7618A2B2">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建筑工程质量保修书</w:t>
      </w:r>
    </w:p>
    <w:p w14:paraId="527E7E41">
      <w:pPr>
        <w:jc w:val="center"/>
        <w:rPr>
          <w:rFonts w:hint="eastAsia" w:ascii="宋体" w:hAnsi="宋体" w:eastAsia="宋体" w:cs="宋体"/>
          <w:color w:val="000000" w:themeColor="text1"/>
          <w:sz w:val="28"/>
          <w:szCs w:val="28"/>
          <w:highlight w:val="none"/>
          <w14:textFill>
            <w14:solidFill>
              <w14:schemeClr w14:val="tx1"/>
            </w14:solidFill>
          </w14:textFill>
        </w:rPr>
      </w:pPr>
    </w:p>
    <w:p w14:paraId="0F8749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C7747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7153AC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发包人、承包人根据《中华人民共和国建筑法》、《建设工程质量管理条例》和《房屋建筑工程质量保修办法》，经协商一致，对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(工程名称)签订保修书。</w:t>
      </w:r>
    </w:p>
    <w:p w14:paraId="363B81E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一、工程保修范围和内容</w:t>
      </w:r>
    </w:p>
    <w:p w14:paraId="08695AA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承包人在保修期内，按照有关法律、法规、规章的管理规定和双方约定，承担本工程保修责任。</w:t>
      </w:r>
    </w:p>
    <w:p w14:paraId="77B27C00">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保修责任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2522FF7">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F0BCA5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二、保修期</w:t>
      </w:r>
    </w:p>
    <w:p w14:paraId="348AABC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双方根据《建设工程质量管理条例》及有关规定，在正常使用条件下约定本工程的保修期如下：</w:t>
      </w:r>
    </w:p>
    <w:p w14:paraId="2F7FF31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1、基础设施工程、房屋建筑的地基基础工程和主体结构工程，为设计文件规定的该工程合理使用年限；</w:t>
      </w:r>
    </w:p>
    <w:p w14:paraId="6A073D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2、屋面防水工程、有防水要求的卫生间、房间和外墙面的防渗漏为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5  </w:t>
      </w:r>
      <w:r>
        <w:rPr>
          <w:rFonts w:hint="eastAsia" w:ascii="宋体" w:hAnsi="宋体" w:eastAsia="宋体" w:cs="宋体"/>
          <w:color w:val="000000" w:themeColor="text1"/>
          <w:sz w:val="24"/>
          <w:szCs w:val="24"/>
          <w:highlight w:val="none"/>
          <w14:textFill>
            <w14:solidFill>
              <w14:schemeClr w14:val="tx1"/>
            </w14:solidFill>
          </w14:textFill>
        </w:rPr>
        <w:t>年；</w:t>
      </w:r>
    </w:p>
    <w:p w14:paraId="0FB2889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3、电气管线、给排水管道、设备安装和装修工程为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14:paraId="4714F84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4、供热与供冷系统为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个采暖期、供冷期；</w:t>
      </w:r>
    </w:p>
    <w:p w14:paraId="6FD1983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5、住宅小区内的给排水设施、道路等配套工程为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14:paraId="6284BE3B">
      <w:pPr>
        <w:ind w:firstLine="528" w:firstLineChars="22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6、其他项目保修期限约定如下：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C79BA7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三、保修责任</w:t>
      </w:r>
    </w:p>
    <w:p w14:paraId="2D80FA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1、属于责任范围、内容的项目，承包人应当在接到保修通知之日起7天内派人保修。承包人不在约定期限内派人保修的，发包人可以委托他人修理。保修费用从质量保修金内扣除。</w:t>
      </w:r>
    </w:p>
    <w:p w14:paraId="76F6ACF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2、发生紧急抢修事故的，承包人在接到事故通知后，应当立即到达事故现场抢修。非承包人施工质量引起的事故，抢修费用由发包人承担。</w:t>
      </w:r>
    </w:p>
    <w:p w14:paraId="69D68E0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14:paraId="45700FE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4、质量保修完成后，由发包人组织验收。</w:t>
      </w:r>
    </w:p>
    <w:p w14:paraId="4113FBB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 在保修期内，由于工程质量缺陷或因保修不及时造成财产、人身损害，由承包人承担赔偿责任。</w:t>
      </w:r>
    </w:p>
    <w:p w14:paraId="45DB293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 在国家规定的工程合理使用期限内，承包人确保地基基础工程和主体结构的质量。因承包人原因致使工程在合理使用期限内造成人身和财产损害的，承包人应承担赔偿责任。</w:t>
      </w:r>
    </w:p>
    <w:p w14:paraId="3485501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四、保修费用</w:t>
      </w:r>
    </w:p>
    <w:p w14:paraId="5D9B9B7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1、保修费用由造成质量缺陷的责任方承担。</w:t>
      </w:r>
    </w:p>
    <w:p w14:paraId="378C3C5F">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2、本工程双方约定承包人向发包人支付工程质量保修金金额为工程竣工结算价款的</w:t>
      </w:r>
      <w:r>
        <w:rPr>
          <w:rFonts w:hint="eastAsia" w:ascii="宋体" w:hAnsi="宋体" w:eastAsia="宋体" w:cs="宋体"/>
          <w:color w:val="000000" w:themeColor="text1"/>
          <w:sz w:val="24"/>
          <w:szCs w:val="24"/>
          <w:highlight w:val="none"/>
          <w:u w:val="singl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，质量保证金银行利率为：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9FA759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3、发包人在质量保修期满验收合格后一个月内支付，质量保证金不计息。</w:t>
      </w:r>
    </w:p>
    <w:p w14:paraId="341837E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五、其他</w:t>
      </w:r>
    </w:p>
    <w:p w14:paraId="08A47F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双方约定的其他工程保修责任事项：</w:t>
      </w:r>
    </w:p>
    <w:p w14:paraId="590D1A0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778D3E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本工程保修书，由施工合同发包人、承包人双方在竣工验收前共同签署，作为施工合同附件，其有效期限至保修期满。</w:t>
      </w:r>
    </w:p>
    <w:p w14:paraId="72A019A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F83395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59714A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14:paraId="7EFCD98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345B5B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0283A23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4865E27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256C40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67E9EC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950AF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00B247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945E9EB">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FAADCF9">
      <w:pPr>
        <w:rPr>
          <w:rFonts w:hint="eastAsia" w:ascii="宋体" w:hAnsi="宋体" w:eastAsia="宋体" w:cs="宋体"/>
          <w:color w:val="000000" w:themeColor="text1"/>
          <w:sz w:val="24"/>
          <w:szCs w:val="24"/>
          <w:highlight w:val="none"/>
          <w:u w:val="single"/>
          <w14:textFill>
            <w14:solidFill>
              <w14:schemeClr w14:val="tx1"/>
            </w14:solidFill>
          </w14:textFill>
        </w:rPr>
      </w:pPr>
    </w:p>
    <w:p w14:paraId="2C9AF122">
      <w:pPr>
        <w:rPr>
          <w:rFonts w:hint="eastAsia" w:ascii="宋体" w:hAnsi="宋体" w:eastAsia="宋体" w:cs="宋体"/>
          <w:color w:val="000000" w:themeColor="text1"/>
          <w:sz w:val="28"/>
          <w:szCs w:val="28"/>
          <w:highlight w:val="none"/>
          <w:u w:val="single"/>
          <w14:textFill>
            <w14:solidFill>
              <w14:schemeClr w14:val="tx1"/>
            </w14:solidFill>
          </w14:textFill>
        </w:rPr>
      </w:pPr>
    </w:p>
    <w:p w14:paraId="41DDA81C">
      <w:pPr>
        <w:rPr>
          <w:rFonts w:hint="eastAsia" w:ascii="宋体" w:hAnsi="宋体" w:eastAsia="宋体" w:cs="宋体"/>
          <w:color w:val="000000" w:themeColor="text1"/>
          <w:sz w:val="28"/>
          <w:szCs w:val="28"/>
          <w:highlight w:val="none"/>
          <w:u w:val="single"/>
          <w14:textFill>
            <w14:solidFill>
              <w14:schemeClr w14:val="tx1"/>
            </w14:solidFill>
          </w14:textFill>
        </w:rPr>
      </w:pPr>
    </w:p>
    <w:p w14:paraId="2EC3CE3E">
      <w:pPr>
        <w:rPr>
          <w:rFonts w:hint="eastAsia" w:ascii="宋体" w:hAnsi="宋体" w:eastAsia="宋体" w:cs="宋体"/>
          <w:color w:val="000000" w:themeColor="text1"/>
          <w:sz w:val="28"/>
          <w:szCs w:val="28"/>
          <w:highlight w:val="none"/>
          <w:u w:val="single"/>
          <w14:textFill>
            <w14:solidFill>
              <w14:schemeClr w14:val="tx1"/>
            </w14:solidFill>
          </w14:textFill>
        </w:rPr>
      </w:pPr>
    </w:p>
    <w:p w14:paraId="6A67B498">
      <w:pPr>
        <w:rPr>
          <w:rFonts w:hint="eastAsia" w:ascii="宋体" w:hAnsi="宋体" w:eastAsia="宋体" w:cs="宋体"/>
          <w:color w:val="000000" w:themeColor="text1"/>
          <w:sz w:val="28"/>
          <w:szCs w:val="28"/>
          <w:highlight w:val="none"/>
          <w:u w:val="single"/>
          <w14:textFill>
            <w14:solidFill>
              <w14:schemeClr w14:val="tx1"/>
            </w14:solidFill>
          </w14:textFill>
        </w:rPr>
      </w:pPr>
    </w:p>
    <w:p w14:paraId="44CD011E">
      <w:pPr>
        <w:rPr>
          <w:rFonts w:hint="eastAsia" w:ascii="宋体" w:hAnsi="宋体" w:eastAsia="宋体" w:cs="宋体"/>
          <w:color w:val="000000" w:themeColor="text1"/>
          <w:sz w:val="28"/>
          <w:szCs w:val="28"/>
          <w:highlight w:val="none"/>
          <w:u w:val="single"/>
          <w14:textFill>
            <w14:solidFill>
              <w14:schemeClr w14:val="tx1"/>
            </w14:solidFill>
          </w14:textFill>
        </w:rPr>
      </w:pPr>
    </w:p>
    <w:p w14:paraId="3DD22521">
      <w:pPr>
        <w:rPr>
          <w:rFonts w:hint="eastAsia" w:ascii="宋体" w:hAnsi="宋体" w:eastAsia="宋体" w:cs="宋体"/>
          <w:color w:val="000000" w:themeColor="text1"/>
          <w:sz w:val="28"/>
          <w:szCs w:val="28"/>
          <w:highlight w:val="none"/>
          <w:u w:val="single"/>
          <w14:textFill>
            <w14:solidFill>
              <w14:schemeClr w14:val="tx1"/>
            </w14:solidFill>
          </w14:textFill>
        </w:rPr>
      </w:pPr>
    </w:p>
    <w:p w14:paraId="2F77CE74">
      <w:pPr>
        <w:rPr>
          <w:rFonts w:hint="eastAsia" w:ascii="宋体" w:hAnsi="宋体" w:eastAsia="宋体" w:cs="宋体"/>
          <w:color w:val="000000" w:themeColor="text1"/>
          <w:sz w:val="28"/>
          <w:szCs w:val="28"/>
          <w:highlight w:val="none"/>
          <w:u w:val="single"/>
          <w14:textFill>
            <w14:solidFill>
              <w14:schemeClr w14:val="tx1"/>
            </w14:solidFill>
          </w14:textFill>
        </w:rPr>
      </w:pPr>
    </w:p>
    <w:p w14:paraId="703248A8">
      <w:pPr>
        <w:rPr>
          <w:rFonts w:hint="eastAsia" w:ascii="宋体" w:hAnsi="宋体" w:eastAsia="宋体" w:cs="宋体"/>
          <w:color w:val="000000" w:themeColor="text1"/>
          <w:sz w:val="28"/>
          <w:szCs w:val="28"/>
          <w:highlight w:val="none"/>
          <w:u w:val="single"/>
          <w14:textFill>
            <w14:solidFill>
              <w14:schemeClr w14:val="tx1"/>
            </w14:solidFill>
          </w14:textFill>
        </w:rPr>
      </w:pPr>
    </w:p>
    <w:p w14:paraId="4BE9DBC4">
      <w:pPr>
        <w:rPr>
          <w:rFonts w:hint="eastAsia" w:ascii="宋体" w:hAnsi="宋体" w:eastAsia="宋体" w:cs="宋体"/>
          <w:color w:val="000000" w:themeColor="text1"/>
          <w:sz w:val="28"/>
          <w:szCs w:val="28"/>
          <w:highlight w:val="none"/>
          <w:u w:val="single"/>
          <w14:textFill>
            <w14:solidFill>
              <w14:schemeClr w14:val="tx1"/>
            </w14:solidFill>
          </w14:textFill>
        </w:rPr>
      </w:pPr>
    </w:p>
    <w:p w14:paraId="1603EB4F">
      <w:pPr>
        <w:rPr>
          <w:rFonts w:hint="eastAsia" w:ascii="宋体" w:hAnsi="宋体" w:eastAsia="宋体" w:cs="宋体"/>
          <w:color w:val="000000" w:themeColor="text1"/>
          <w:sz w:val="28"/>
          <w:szCs w:val="28"/>
          <w:highlight w:val="none"/>
          <w:u w:val="single"/>
          <w14:textFill>
            <w14:solidFill>
              <w14:schemeClr w14:val="tx1"/>
            </w14:solidFill>
          </w14:textFill>
        </w:rPr>
      </w:pPr>
    </w:p>
    <w:p w14:paraId="4D9F5F52">
      <w:pPr>
        <w:rPr>
          <w:rFonts w:hint="eastAsia" w:ascii="宋体" w:hAnsi="宋体" w:eastAsia="宋体" w:cs="宋体"/>
          <w:color w:val="000000" w:themeColor="text1"/>
          <w:sz w:val="28"/>
          <w:szCs w:val="28"/>
          <w:highlight w:val="none"/>
          <w:u w:val="single"/>
          <w14:textFill>
            <w14:solidFill>
              <w14:schemeClr w14:val="tx1"/>
            </w14:solidFill>
          </w14:textFill>
        </w:rPr>
      </w:pPr>
    </w:p>
    <w:p w14:paraId="0DB29DE7">
      <w:pPr>
        <w:rPr>
          <w:rFonts w:hint="eastAsia" w:ascii="宋体" w:hAnsi="宋体" w:eastAsia="宋体" w:cs="宋体"/>
          <w:color w:val="000000" w:themeColor="text1"/>
          <w:sz w:val="28"/>
          <w:szCs w:val="28"/>
          <w:highlight w:val="none"/>
          <w:u w:val="single"/>
          <w14:textFill>
            <w14:solidFill>
              <w14:schemeClr w14:val="tx1"/>
            </w14:solidFill>
          </w14:textFill>
        </w:rPr>
      </w:pPr>
    </w:p>
    <w:p w14:paraId="1F719EBF">
      <w:pPr>
        <w:rPr>
          <w:rFonts w:hint="eastAsia" w:ascii="宋体" w:hAnsi="宋体" w:eastAsia="宋体" w:cs="宋体"/>
          <w:color w:val="000000" w:themeColor="text1"/>
          <w:sz w:val="28"/>
          <w:szCs w:val="28"/>
          <w:highlight w:val="none"/>
          <w:u w:val="single"/>
          <w14:textFill>
            <w14:solidFill>
              <w14:schemeClr w14:val="tx1"/>
            </w14:solidFill>
          </w14:textFill>
        </w:rPr>
      </w:pPr>
    </w:p>
    <w:p w14:paraId="6A115C88">
      <w:pPr>
        <w:rPr>
          <w:rFonts w:hint="eastAsia" w:ascii="宋体" w:hAnsi="宋体" w:eastAsia="宋体" w:cs="宋体"/>
          <w:color w:val="000000" w:themeColor="text1"/>
          <w:sz w:val="28"/>
          <w:szCs w:val="28"/>
          <w:highlight w:val="none"/>
          <w:u w:val="single"/>
          <w14:textFill>
            <w14:solidFill>
              <w14:schemeClr w14:val="tx1"/>
            </w14:solidFill>
          </w14:textFill>
        </w:rPr>
      </w:pPr>
    </w:p>
    <w:p w14:paraId="308D43E9">
      <w:pPr>
        <w:rPr>
          <w:rFonts w:hint="eastAsia" w:ascii="宋体" w:hAnsi="宋体" w:eastAsia="宋体" w:cs="宋体"/>
          <w:color w:val="000000" w:themeColor="text1"/>
          <w:sz w:val="28"/>
          <w:szCs w:val="28"/>
          <w:highlight w:val="none"/>
          <w:u w:val="single"/>
          <w14:textFill>
            <w14:solidFill>
              <w14:schemeClr w14:val="tx1"/>
            </w14:solidFill>
          </w14:textFill>
        </w:rPr>
      </w:pPr>
    </w:p>
    <w:p w14:paraId="528B8C98">
      <w:pPr>
        <w:rPr>
          <w:rFonts w:hint="eastAsia" w:ascii="宋体" w:hAnsi="宋体" w:eastAsia="宋体" w:cs="宋体"/>
          <w:color w:val="000000" w:themeColor="text1"/>
          <w:sz w:val="28"/>
          <w:szCs w:val="28"/>
          <w:highlight w:val="none"/>
          <w:u w:val="single"/>
          <w14:textFill>
            <w14:solidFill>
              <w14:schemeClr w14:val="tx1"/>
            </w14:solidFill>
          </w14:textFill>
        </w:rPr>
      </w:pPr>
    </w:p>
    <w:p w14:paraId="24E01148">
      <w:pPr>
        <w:rPr>
          <w:rFonts w:hint="eastAsia" w:ascii="宋体" w:hAnsi="宋体" w:eastAsia="宋体" w:cs="宋体"/>
          <w:color w:val="000000" w:themeColor="text1"/>
          <w:sz w:val="28"/>
          <w:szCs w:val="28"/>
          <w:highlight w:val="none"/>
          <w:u w:val="single"/>
          <w14:textFill>
            <w14:solidFill>
              <w14:schemeClr w14:val="tx1"/>
            </w14:solidFill>
          </w14:textFill>
        </w:rPr>
      </w:pPr>
    </w:p>
    <w:p w14:paraId="529CCB8E">
      <w:pPr>
        <w:rPr>
          <w:rFonts w:hint="eastAsia" w:ascii="宋体" w:hAnsi="宋体" w:eastAsia="宋体" w:cs="宋体"/>
          <w:color w:val="000000" w:themeColor="text1"/>
          <w:sz w:val="28"/>
          <w:szCs w:val="28"/>
          <w:highlight w:val="none"/>
          <w:u w:val="single"/>
          <w14:textFill>
            <w14:solidFill>
              <w14:schemeClr w14:val="tx1"/>
            </w14:solidFill>
          </w14:textFill>
        </w:rPr>
      </w:pPr>
    </w:p>
    <w:p w14:paraId="79970C2E">
      <w:pPr>
        <w:rPr>
          <w:rFonts w:hint="eastAsia" w:ascii="宋体" w:hAnsi="宋体" w:eastAsia="宋体" w:cs="宋体"/>
          <w:color w:val="000000" w:themeColor="text1"/>
          <w:sz w:val="28"/>
          <w:szCs w:val="28"/>
          <w:highlight w:val="none"/>
          <w:u w:val="single"/>
          <w14:textFill>
            <w14:solidFill>
              <w14:schemeClr w14:val="tx1"/>
            </w14:solidFill>
          </w14:textFill>
        </w:rPr>
      </w:pPr>
    </w:p>
    <w:p w14:paraId="1EB491BD">
      <w:pPr>
        <w:rPr>
          <w:rFonts w:hint="eastAsia" w:ascii="宋体" w:hAnsi="宋体" w:eastAsia="宋体" w:cs="宋体"/>
          <w:color w:val="000000" w:themeColor="text1"/>
          <w:sz w:val="28"/>
          <w:szCs w:val="28"/>
          <w:highlight w:val="none"/>
          <w:u w:val="single"/>
          <w14:textFill>
            <w14:solidFill>
              <w14:schemeClr w14:val="tx1"/>
            </w14:solidFill>
          </w14:textFill>
        </w:rPr>
      </w:pPr>
    </w:p>
    <w:p w14:paraId="562D8EAD">
      <w:pPr>
        <w:rPr>
          <w:rFonts w:hint="eastAsia" w:ascii="宋体" w:hAnsi="宋体" w:eastAsia="宋体" w:cs="宋体"/>
          <w:color w:val="000000" w:themeColor="text1"/>
          <w:sz w:val="28"/>
          <w:szCs w:val="28"/>
          <w:highlight w:val="none"/>
          <w:u w:val="single"/>
          <w14:textFill>
            <w14:solidFill>
              <w14:schemeClr w14:val="tx1"/>
            </w14:solidFill>
          </w14:textFill>
        </w:rPr>
      </w:pPr>
    </w:p>
    <w:p w14:paraId="4F49814C">
      <w:pPr>
        <w:rPr>
          <w:rFonts w:hint="eastAsia" w:ascii="宋体" w:hAnsi="宋体" w:eastAsia="宋体" w:cs="宋体"/>
          <w:color w:val="000000" w:themeColor="text1"/>
          <w:sz w:val="28"/>
          <w:szCs w:val="28"/>
          <w:highlight w:val="none"/>
          <w:u w:val="single"/>
          <w14:textFill>
            <w14:solidFill>
              <w14:schemeClr w14:val="tx1"/>
            </w14:solidFill>
          </w14:textFill>
        </w:rPr>
      </w:pPr>
    </w:p>
    <w:p w14:paraId="1156FB7A">
      <w:pPr>
        <w:rPr>
          <w:rFonts w:hint="eastAsia" w:ascii="宋体" w:hAnsi="宋体" w:eastAsia="宋体" w:cs="宋体"/>
          <w:color w:val="000000" w:themeColor="text1"/>
          <w:sz w:val="28"/>
          <w:szCs w:val="28"/>
          <w:highlight w:val="none"/>
          <w:u w:val="single"/>
          <w14:textFill>
            <w14:solidFill>
              <w14:schemeClr w14:val="tx1"/>
            </w14:solidFill>
          </w14:textFill>
        </w:rPr>
      </w:pPr>
    </w:p>
    <w:p w14:paraId="796BAAD8">
      <w:pPr>
        <w:rPr>
          <w:rFonts w:hint="eastAsia" w:ascii="宋体" w:hAnsi="宋体" w:eastAsia="宋体" w:cs="宋体"/>
          <w:color w:val="000000" w:themeColor="text1"/>
          <w:sz w:val="28"/>
          <w:szCs w:val="28"/>
          <w:highlight w:val="none"/>
          <w:u w:val="single"/>
          <w14:textFill>
            <w14:solidFill>
              <w14:schemeClr w14:val="tx1"/>
            </w14:solidFill>
          </w14:textFill>
        </w:rPr>
      </w:pPr>
    </w:p>
    <w:p w14:paraId="6EA9B5D0">
      <w:pPr>
        <w:spacing w:after="187" w:afterLines="6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14:paraId="562093E6">
      <w:pPr>
        <w:spacing w:after="187" w:afterLines="6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承包人提供的材料和工程设备一览表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348"/>
        <w:gridCol w:w="1184"/>
        <w:gridCol w:w="703"/>
        <w:gridCol w:w="703"/>
        <w:gridCol w:w="703"/>
        <w:gridCol w:w="1033"/>
        <w:gridCol w:w="1032"/>
        <w:gridCol w:w="1033"/>
        <w:gridCol w:w="1180"/>
      </w:tblGrid>
      <w:tr w14:paraId="7DBF8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716" w:type="dxa"/>
            <w:noWrap w:val="0"/>
            <w:vAlign w:val="center"/>
          </w:tcPr>
          <w:p w14:paraId="6EF121A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48" w:type="dxa"/>
            <w:noWrap w:val="0"/>
            <w:vAlign w:val="center"/>
          </w:tcPr>
          <w:p w14:paraId="48A9A66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14:paraId="3E8F3D73">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84" w:type="dxa"/>
            <w:noWrap w:val="0"/>
            <w:vAlign w:val="center"/>
          </w:tcPr>
          <w:p w14:paraId="4869710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14:paraId="51299F3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703" w:type="dxa"/>
            <w:noWrap w:val="0"/>
            <w:vAlign w:val="center"/>
          </w:tcPr>
          <w:p w14:paraId="0B81CBD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19A284A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703" w:type="dxa"/>
            <w:noWrap w:val="0"/>
            <w:vAlign w:val="center"/>
          </w:tcPr>
          <w:p w14:paraId="6EF763CF">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14:paraId="3B46017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703" w:type="dxa"/>
            <w:noWrap w:val="0"/>
            <w:vAlign w:val="center"/>
          </w:tcPr>
          <w:p w14:paraId="3FA349B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6FEF14E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1033" w:type="dxa"/>
            <w:noWrap w:val="0"/>
            <w:vAlign w:val="center"/>
          </w:tcPr>
          <w:p w14:paraId="7FE3A1C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533E1E0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32" w:type="dxa"/>
            <w:noWrap w:val="0"/>
            <w:vAlign w:val="center"/>
          </w:tcPr>
          <w:p w14:paraId="725FB0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6E9A6BD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1033" w:type="dxa"/>
            <w:noWrap w:val="0"/>
            <w:vAlign w:val="center"/>
          </w:tcPr>
          <w:p w14:paraId="76283AB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14:paraId="551AB67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4928C02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180" w:type="dxa"/>
            <w:noWrap w:val="0"/>
            <w:vAlign w:val="center"/>
          </w:tcPr>
          <w:p w14:paraId="1F4FCB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0D00F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B57C97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367BD3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4F7562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2488E8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8E5FC5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840AA51">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9E10A11">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9FAE5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F0B614F">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1C65EE9">
            <w:pPr>
              <w:rPr>
                <w:rFonts w:hint="eastAsia" w:ascii="宋体" w:hAnsi="宋体" w:eastAsia="宋体" w:cs="宋体"/>
                <w:color w:val="000000" w:themeColor="text1"/>
                <w:sz w:val="24"/>
                <w:szCs w:val="24"/>
                <w:highlight w:val="none"/>
                <w14:textFill>
                  <w14:solidFill>
                    <w14:schemeClr w14:val="tx1"/>
                  </w14:solidFill>
                </w14:textFill>
              </w:rPr>
            </w:pPr>
          </w:p>
        </w:tc>
      </w:tr>
      <w:tr w14:paraId="44DBED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7B0F56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7C6180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0368A7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4EC330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2134AD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1A1BBD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6C3022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2C19BA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7FAE918">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F701F7A">
            <w:pPr>
              <w:rPr>
                <w:rFonts w:hint="eastAsia" w:ascii="宋体" w:hAnsi="宋体" w:eastAsia="宋体" w:cs="宋体"/>
                <w:color w:val="000000" w:themeColor="text1"/>
                <w:sz w:val="24"/>
                <w:szCs w:val="24"/>
                <w:highlight w:val="none"/>
                <w14:textFill>
                  <w14:solidFill>
                    <w14:schemeClr w14:val="tx1"/>
                  </w14:solidFill>
                </w14:textFill>
              </w:rPr>
            </w:pPr>
          </w:p>
        </w:tc>
      </w:tr>
      <w:tr w14:paraId="4BFC4F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C8602B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588918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712169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CAC345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BDA9C8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BA905B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F8DDA7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CA8816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CC1BDA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7C1408F">
            <w:pPr>
              <w:rPr>
                <w:rFonts w:hint="eastAsia" w:ascii="宋体" w:hAnsi="宋体" w:eastAsia="宋体" w:cs="宋体"/>
                <w:color w:val="000000" w:themeColor="text1"/>
                <w:sz w:val="24"/>
                <w:szCs w:val="24"/>
                <w:highlight w:val="none"/>
                <w14:textFill>
                  <w14:solidFill>
                    <w14:schemeClr w14:val="tx1"/>
                  </w14:solidFill>
                </w14:textFill>
              </w:rPr>
            </w:pPr>
          </w:p>
        </w:tc>
      </w:tr>
      <w:tr w14:paraId="6828F0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3A2847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8E1FF5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E8C532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2B3904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8F80E30">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B7ED15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B1B3FF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C1C08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514F35A">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7E28A33A">
            <w:pPr>
              <w:rPr>
                <w:rFonts w:hint="eastAsia" w:ascii="宋体" w:hAnsi="宋体" w:eastAsia="宋体" w:cs="宋体"/>
                <w:color w:val="000000" w:themeColor="text1"/>
                <w:sz w:val="24"/>
                <w:szCs w:val="24"/>
                <w:highlight w:val="none"/>
                <w14:textFill>
                  <w14:solidFill>
                    <w14:schemeClr w14:val="tx1"/>
                  </w14:solidFill>
                </w14:textFill>
              </w:rPr>
            </w:pPr>
          </w:p>
        </w:tc>
      </w:tr>
      <w:tr w14:paraId="571AE3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F4ED72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01135D6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E3556C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C8CB3C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83DA3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1FB929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23B5A0F">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307C7EE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E8B9457">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9EEF1C0">
            <w:pPr>
              <w:rPr>
                <w:rFonts w:hint="eastAsia" w:ascii="宋体" w:hAnsi="宋体" w:eastAsia="宋体" w:cs="宋体"/>
                <w:color w:val="000000" w:themeColor="text1"/>
                <w:sz w:val="24"/>
                <w:szCs w:val="24"/>
                <w:highlight w:val="none"/>
                <w14:textFill>
                  <w14:solidFill>
                    <w14:schemeClr w14:val="tx1"/>
                  </w14:solidFill>
                </w14:textFill>
              </w:rPr>
            </w:pPr>
          </w:p>
        </w:tc>
      </w:tr>
      <w:tr w14:paraId="025DDA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B72780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BBAE0D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B208ED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22AB2D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30679A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FEB44E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9DE19B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1D96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5FF5AA8">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262D282">
            <w:pPr>
              <w:rPr>
                <w:rFonts w:hint="eastAsia" w:ascii="宋体" w:hAnsi="宋体" w:eastAsia="宋体" w:cs="宋体"/>
                <w:color w:val="000000" w:themeColor="text1"/>
                <w:sz w:val="24"/>
                <w:szCs w:val="24"/>
                <w:highlight w:val="none"/>
                <w14:textFill>
                  <w14:solidFill>
                    <w14:schemeClr w14:val="tx1"/>
                  </w14:solidFill>
                </w14:textFill>
              </w:rPr>
            </w:pPr>
          </w:p>
        </w:tc>
      </w:tr>
      <w:tr w14:paraId="2A2FE7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137F43A8">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6AF187">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282A83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1029B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75D7B6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620175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A2FF9E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7735D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4C7680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8C45097">
            <w:pPr>
              <w:rPr>
                <w:rFonts w:hint="eastAsia" w:ascii="宋体" w:hAnsi="宋体" w:eastAsia="宋体" w:cs="宋体"/>
                <w:color w:val="000000" w:themeColor="text1"/>
                <w:sz w:val="24"/>
                <w:szCs w:val="24"/>
                <w:highlight w:val="none"/>
                <w14:textFill>
                  <w14:solidFill>
                    <w14:schemeClr w14:val="tx1"/>
                  </w14:solidFill>
                </w14:textFill>
              </w:rPr>
            </w:pPr>
          </w:p>
        </w:tc>
      </w:tr>
      <w:tr w14:paraId="678228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FA5E68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156BEA8">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1505909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36A04E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3DDE56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D92C4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28B4CB5">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6BC1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EADBF0D">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5A6487F">
            <w:pPr>
              <w:rPr>
                <w:rFonts w:hint="eastAsia" w:ascii="宋体" w:hAnsi="宋体" w:eastAsia="宋体" w:cs="宋体"/>
                <w:color w:val="000000" w:themeColor="text1"/>
                <w:sz w:val="24"/>
                <w:szCs w:val="24"/>
                <w:highlight w:val="none"/>
                <w14:textFill>
                  <w14:solidFill>
                    <w14:schemeClr w14:val="tx1"/>
                  </w14:solidFill>
                </w14:textFill>
              </w:rPr>
            </w:pPr>
          </w:p>
        </w:tc>
      </w:tr>
      <w:tr w14:paraId="456C70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EB9C673">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D3786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10D965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C0DFA8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08A87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CC22F3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3AC2DA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0C36EE9D">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83C7C2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1FF324A">
            <w:pPr>
              <w:rPr>
                <w:rFonts w:hint="eastAsia" w:ascii="宋体" w:hAnsi="宋体" w:eastAsia="宋体" w:cs="宋体"/>
                <w:color w:val="000000" w:themeColor="text1"/>
                <w:sz w:val="24"/>
                <w:szCs w:val="24"/>
                <w:highlight w:val="none"/>
                <w14:textFill>
                  <w14:solidFill>
                    <w14:schemeClr w14:val="tx1"/>
                  </w14:solidFill>
                </w14:textFill>
              </w:rPr>
            </w:pPr>
          </w:p>
        </w:tc>
      </w:tr>
      <w:tr w14:paraId="5EBB60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32B40E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442BB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4E00AC3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5FB1A4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14319E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1FC89D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7CDFA8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34AB7A1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96B37E6">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D0E787D">
            <w:pPr>
              <w:rPr>
                <w:rFonts w:hint="eastAsia" w:ascii="宋体" w:hAnsi="宋体" w:eastAsia="宋体" w:cs="宋体"/>
                <w:color w:val="000000" w:themeColor="text1"/>
                <w:sz w:val="24"/>
                <w:szCs w:val="24"/>
                <w:highlight w:val="none"/>
                <w14:textFill>
                  <w14:solidFill>
                    <w14:schemeClr w14:val="tx1"/>
                  </w14:solidFill>
                </w14:textFill>
              </w:rPr>
            </w:pPr>
          </w:p>
        </w:tc>
      </w:tr>
      <w:tr w14:paraId="35A8AB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115B0D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003CEA8">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B2780D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E69FC9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F7E690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D69F66E">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944A47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EA7F2F5">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4A375D1">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8E27D2C">
            <w:pPr>
              <w:rPr>
                <w:rFonts w:hint="eastAsia" w:ascii="宋体" w:hAnsi="宋体" w:eastAsia="宋体" w:cs="宋体"/>
                <w:color w:val="000000" w:themeColor="text1"/>
                <w:sz w:val="24"/>
                <w:szCs w:val="24"/>
                <w:highlight w:val="none"/>
                <w14:textFill>
                  <w14:solidFill>
                    <w14:schemeClr w14:val="tx1"/>
                  </w14:solidFill>
                </w14:textFill>
              </w:rPr>
            </w:pPr>
          </w:p>
        </w:tc>
      </w:tr>
      <w:tr w14:paraId="615E1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96D269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F140EFB">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E849FE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80CF27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DF0117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32700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204AC3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64ACF7E">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1A99E80">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C7CA10B">
            <w:pPr>
              <w:rPr>
                <w:rFonts w:hint="eastAsia" w:ascii="宋体" w:hAnsi="宋体" w:eastAsia="宋体" w:cs="宋体"/>
                <w:color w:val="000000" w:themeColor="text1"/>
                <w:sz w:val="24"/>
                <w:szCs w:val="24"/>
                <w:highlight w:val="none"/>
                <w14:textFill>
                  <w14:solidFill>
                    <w14:schemeClr w14:val="tx1"/>
                  </w14:solidFill>
                </w14:textFill>
              </w:rPr>
            </w:pPr>
          </w:p>
        </w:tc>
      </w:tr>
      <w:tr w14:paraId="58D38F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1DFF60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98F0E8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0A0D14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7F54EA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F3AA96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FC7BE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03D3283">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16BEF2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737D3F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A04266A">
            <w:pPr>
              <w:rPr>
                <w:rFonts w:hint="eastAsia" w:ascii="宋体" w:hAnsi="宋体" w:eastAsia="宋体" w:cs="宋体"/>
                <w:color w:val="000000" w:themeColor="text1"/>
                <w:sz w:val="24"/>
                <w:szCs w:val="24"/>
                <w:highlight w:val="none"/>
                <w14:textFill>
                  <w14:solidFill>
                    <w14:schemeClr w14:val="tx1"/>
                  </w14:solidFill>
                </w14:textFill>
              </w:rPr>
            </w:pPr>
          </w:p>
        </w:tc>
      </w:tr>
      <w:tr w14:paraId="65C3B5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94B956E">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699881">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15A4D0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FF4685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AB7163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35E2AB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CA115E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796E80E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5AD24E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72BB88A">
            <w:pPr>
              <w:rPr>
                <w:rFonts w:hint="eastAsia" w:ascii="宋体" w:hAnsi="宋体" w:eastAsia="宋体" w:cs="宋体"/>
                <w:color w:val="000000" w:themeColor="text1"/>
                <w:sz w:val="24"/>
                <w:szCs w:val="24"/>
                <w:highlight w:val="none"/>
                <w14:textFill>
                  <w14:solidFill>
                    <w14:schemeClr w14:val="tx1"/>
                  </w14:solidFill>
                </w14:textFill>
              </w:rPr>
            </w:pPr>
          </w:p>
        </w:tc>
      </w:tr>
      <w:tr w14:paraId="0068CC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592A521">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9DE276">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51D856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0166B2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B4663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C66CC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32FD4AF">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9D387B7">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8D1F73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94912DB">
            <w:pPr>
              <w:rPr>
                <w:rFonts w:hint="eastAsia" w:ascii="宋体" w:hAnsi="宋体" w:eastAsia="宋体" w:cs="宋体"/>
                <w:color w:val="000000" w:themeColor="text1"/>
                <w:sz w:val="24"/>
                <w:szCs w:val="24"/>
                <w:highlight w:val="none"/>
                <w14:textFill>
                  <w14:solidFill>
                    <w14:schemeClr w14:val="tx1"/>
                  </w14:solidFill>
                </w14:textFill>
              </w:rPr>
            </w:pPr>
          </w:p>
        </w:tc>
      </w:tr>
      <w:tr w14:paraId="74BB30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630AAA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75BC7C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F8C698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8BF002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A44D85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97E3A8C">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88FDE8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E1786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CE6430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D6E95B6">
            <w:pPr>
              <w:rPr>
                <w:rFonts w:hint="eastAsia" w:ascii="宋体" w:hAnsi="宋体" w:eastAsia="宋体" w:cs="宋体"/>
                <w:color w:val="000000" w:themeColor="text1"/>
                <w:sz w:val="24"/>
                <w:szCs w:val="24"/>
                <w:highlight w:val="none"/>
                <w14:textFill>
                  <w14:solidFill>
                    <w14:schemeClr w14:val="tx1"/>
                  </w14:solidFill>
                </w14:textFill>
              </w:rPr>
            </w:pPr>
          </w:p>
        </w:tc>
      </w:tr>
      <w:tr w14:paraId="00FE3F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8428E4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F188BC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93A30C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6A4674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F8E2DD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150993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0BD201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0B5BC95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B9483D9">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2D72D3F">
            <w:pPr>
              <w:rPr>
                <w:rFonts w:hint="eastAsia" w:ascii="宋体" w:hAnsi="宋体" w:eastAsia="宋体" w:cs="宋体"/>
                <w:color w:val="000000" w:themeColor="text1"/>
                <w:sz w:val="24"/>
                <w:szCs w:val="24"/>
                <w:highlight w:val="none"/>
                <w14:textFill>
                  <w14:solidFill>
                    <w14:schemeClr w14:val="tx1"/>
                  </w14:solidFill>
                </w14:textFill>
              </w:rPr>
            </w:pPr>
          </w:p>
        </w:tc>
      </w:tr>
      <w:tr w14:paraId="68F43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C4CEB7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61C543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D0F1F4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3D97E2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EEFC9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8E7FB7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3EF4899">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31CC3C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B650CE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AE0BA0D">
            <w:pPr>
              <w:rPr>
                <w:rFonts w:hint="eastAsia" w:ascii="宋体" w:hAnsi="宋体" w:eastAsia="宋体" w:cs="宋体"/>
                <w:color w:val="000000" w:themeColor="text1"/>
                <w:sz w:val="24"/>
                <w:szCs w:val="24"/>
                <w:highlight w:val="none"/>
                <w14:textFill>
                  <w14:solidFill>
                    <w14:schemeClr w14:val="tx1"/>
                  </w14:solidFill>
                </w14:textFill>
              </w:rPr>
            </w:pPr>
          </w:p>
        </w:tc>
      </w:tr>
      <w:tr w14:paraId="4D834D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DCB291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37DBF5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0F06B8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4F5D9F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854D03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50B4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2927A51">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D94A74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1AFEE7F">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97A7C11">
            <w:pPr>
              <w:rPr>
                <w:rFonts w:hint="eastAsia" w:ascii="宋体" w:hAnsi="宋体" w:eastAsia="宋体" w:cs="宋体"/>
                <w:color w:val="000000" w:themeColor="text1"/>
                <w:sz w:val="24"/>
                <w:szCs w:val="24"/>
                <w:highlight w:val="none"/>
                <w14:textFill>
                  <w14:solidFill>
                    <w14:schemeClr w14:val="tx1"/>
                  </w14:solidFill>
                </w14:textFill>
              </w:rPr>
            </w:pPr>
          </w:p>
        </w:tc>
      </w:tr>
      <w:tr w14:paraId="0AA27F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3490F7B">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366664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99F7C2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6E9091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0D0A3F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45AB57">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946941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94A6EF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367D1B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376E63A">
            <w:pPr>
              <w:rPr>
                <w:rFonts w:hint="eastAsia" w:ascii="宋体" w:hAnsi="宋体" w:eastAsia="宋体" w:cs="宋体"/>
                <w:color w:val="000000" w:themeColor="text1"/>
                <w:sz w:val="24"/>
                <w:szCs w:val="24"/>
                <w:highlight w:val="none"/>
                <w14:textFill>
                  <w14:solidFill>
                    <w14:schemeClr w14:val="tx1"/>
                  </w14:solidFill>
                </w14:textFill>
              </w:rPr>
            </w:pPr>
          </w:p>
        </w:tc>
      </w:tr>
      <w:tr w14:paraId="31E74B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1210E5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E7BF8CC">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36CED21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8C30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2B8807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3DE1AD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06F62D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F50506C">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EEFDE46">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DB03355">
            <w:pPr>
              <w:rPr>
                <w:rFonts w:hint="eastAsia" w:ascii="宋体" w:hAnsi="宋体" w:eastAsia="宋体" w:cs="宋体"/>
                <w:color w:val="000000" w:themeColor="text1"/>
                <w:sz w:val="24"/>
                <w:szCs w:val="24"/>
                <w:highlight w:val="none"/>
                <w14:textFill>
                  <w14:solidFill>
                    <w14:schemeClr w14:val="tx1"/>
                  </w14:solidFill>
                </w14:textFill>
              </w:rPr>
            </w:pPr>
          </w:p>
        </w:tc>
      </w:tr>
      <w:tr w14:paraId="1C11A2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35D268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54ACA8E">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512F3D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D54A0C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DD860D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678CAD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BD1434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DA963C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96BA315">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2E87CFA">
            <w:pPr>
              <w:rPr>
                <w:rFonts w:hint="eastAsia" w:ascii="宋体" w:hAnsi="宋体" w:eastAsia="宋体" w:cs="宋体"/>
                <w:color w:val="000000" w:themeColor="text1"/>
                <w:sz w:val="24"/>
                <w:szCs w:val="24"/>
                <w:highlight w:val="none"/>
                <w14:textFill>
                  <w14:solidFill>
                    <w14:schemeClr w14:val="tx1"/>
                  </w14:solidFill>
                </w14:textFill>
              </w:rPr>
            </w:pPr>
          </w:p>
        </w:tc>
      </w:tr>
      <w:tr w14:paraId="6D297E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5C6265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2EABAC6">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07064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9E0A40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A0D9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8E26B8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22E924D">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5DC7FF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307AADA">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DFEC117">
            <w:pPr>
              <w:rPr>
                <w:rFonts w:hint="eastAsia" w:ascii="宋体" w:hAnsi="宋体" w:eastAsia="宋体" w:cs="宋体"/>
                <w:color w:val="000000" w:themeColor="text1"/>
                <w:sz w:val="24"/>
                <w:szCs w:val="24"/>
                <w:highlight w:val="none"/>
                <w14:textFill>
                  <w14:solidFill>
                    <w14:schemeClr w14:val="tx1"/>
                  </w14:solidFill>
                </w14:textFill>
              </w:rPr>
            </w:pPr>
          </w:p>
        </w:tc>
      </w:tr>
      <w:tr w14:paraId="494B3A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0901AF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47B11A4">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3DF398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B0F330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7A098C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E4B41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DE2765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6825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E1A68E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793660C2">
            <w:pPr>
              <w:rPr>
                <w:rFonts w:hint="eastAsia" w:ascii="宋体" w:hAnsi="宋体" w:eastAsia="宋体" w:cs="宋体"/>
                <w:color w:val="000000" w:themeColor="text1"/>
                <w:sz w:val="24"/>
                <w:szCs w:val="24"/>
                <w:highlight w:val="none"/>
                <w14:textFill>
                  <w14:solidFill>
                    <w14:schemeClr w14:val="tx1"/>
                  </w14:solidFill>
                </w14:textFill>
              </w:rPr>
            </w:pPr>
          </w:p>
        </w:tc>
      </w:tr>
      <w:tr w14:paraId="697171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3FA0BD7">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07CA96F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F46AC2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FB065A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08D598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AAEA84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D016B2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0CEBE6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661D260">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D294E4D">
            <w:pPr>
              <w:rPr>
                <w:rFonts w:hint="eastAsia" w:ascii="宋体" w:hAnsi="宋体" w:eastAsia="宋体" w:cs="宋体"/>
                <w:color w:val="000000" w:themeColor="text1"/>
                <w:sz w:val="24"/>
                <w:szCs w:val="24"/>
                <w:highlight w:val="none"/>
                <w14:textFill>
                  <w14:solidFill>
                    <w14:schemeClr w14:val="tx1"/>
                  </w14:solidFill>
                </w14:textFill>
              </w:rPr>
            </w:pPr>
          </w:p>
        </w:tc>
      </w:tr>
      <w:tr w14:paraId="280709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667FD29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462201E">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B21BB9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571A1C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C19A0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623969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E0D0B9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349738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A5C2C83">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D7DE829">
            <w:pPr>
              <w:rPr>
                <w:rFonts w:hint="eastAsia" w:ascii="宋体" w:hAnsi="宋体" w:eastAsia="宋体" w:cs="宋体"/>
                <w:color w:val="000000" w:themeColor="text1"/>
                <w:sz w:val="24"/>
                <w:szCs w:val="24"/>
                <w:highlight w:val="none"/>
                <w14:textFill>
                  <w14:solidFill>
                    <w14:schemeClr w14:val="tx1"/>
                  </w14:solidFill>
                </w14:textFill>
              </w:rPr>
            </w:pPr>
          </w:p>
        </w:tc>
      </w:tr>
      <w:tr w14:paraId="3411C1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753E097">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0E188A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47BFE5A">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5F54B6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A00773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C0DBD2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4C3D26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E96A7F8">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68892F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5B6EF8F">
            <w:pPr>
              <w:rPr>
                <w:rFonts w:hint="eastAsia" w:ascii="宋体" w:hAnsi="宋体" w:eastAsia="宋体" w:cs="宋体"/>
                <w:color w:val="000000" w:themeColor="text1"/>
                <w:sz w:val="24"/>
                <w:szCs w:val="24"/>
                <w:highlight w:val="none"/>
                <w14:textFill>
                  <w14:solidFill>
                    <w14:schemeClr w14:val="tx1"/>
                  </w14:solidFill>
                </w14:textFill>
              </w:rPr>
            </w:pPr>
          </w:p>
        </w:tc>
      </w:tr>
      <w:tr w14:paraId="436D95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39666F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E40415B">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38BA2E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CC71E3A">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258829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7AA0A05">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9658873">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976A0F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B2F23A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9A0822F">
            <w:pPr>
              <w:rPr>
                <w:rFonts w:hint="eastAsia" w:ascii="宋体" w:hAnsi="宋体" w:eastAsia="宋体" w:cs="宋体"/>
                <w:color w:val="000000" w:themeColor="text1"/>
                <w:sz w:val="24"/>
                <w:szCs w:val="24"/>
                <w:highlight w:val="none"/>
                <w14:textFill>
                  <w14:solidFill>
                    <w14:schemeClr w14:val="tx1"/>
                  </w14:solidFill>
                </w14:textFill>
              </w:rPr>
            </w:pPr>
          </w:p>
        </w:tc>
      </w:tr>
      <w:tr w14:paraId="224C8C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E02827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CBD403F">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1AD223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2BFB3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D6D650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94D19E8">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4FDC025">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246C53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8FA1333">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D509520">
            <w:pPr>
              <w:rPr>
                <w:rFonts w:hint="eastAsia" w:ascii="宋体" w:hAnsi="宋体" w:eastAsia="宋体" w:cs="宋体"/>
                <w:color w:val="000000" w:themeColor="text1"/>
                <w:sz w:val="24"/>
                <w:szCs w:val="24"/>
                <w:highlight w:val="none"/>
                <w14:textFill>
                  <w14:solidFill>
                    <w14:schemeClr w14:val="tx1"/>
                  </w14:solidFill>
                </w14:textFill>
              </w:rPr>
            </w:pPr>
          </w:p>
        </w:tc>
      </w:tr>
      <w:tr w14:paraId="311219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B5DAFA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BCCA1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464B93C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2BA28A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EF0DB8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AFEF34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B48CA6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53F8C8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AFC3BF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C78D256">
            <w:pPr>
              <w:rPr>
                <w:rFonts w:hint="eastAsia" w:ascii="宋体" w:hAnsi="宋体" w:eastAsia="宋体" w:cs="宋体"/>
                <w:color w:val="000000" w:themeColor="text1"/>
                <w:sz w:val="24"/>
                <w:szCs w:val="24"/>
                <w:highlight w:val="none"/>
                <w14:textFill>
                  <w14:solidFill>
                    <w14:schemeClr w14:val="tx1"/>
                  </w14:solidFill>
                </w14:textFill>
              </w:rPr>
            </w:pPr>
          </w:p>
        </w:tc>
      </w:tr>
    </w:tbl>
    <w:p w14:paraId="1AF735C3">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p>
    <w:p w14:paraId="198F9108">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附件3：</w:t>
      </w:r>
    </w:p>
    <w:p w14:paraId="39091B7D">
      <w:pPr>
        <w:spacing w:after="93" w:afterLines="3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305"/>
        <w:gridCol w:w="1147"/>
        <w:gridCol w:w="680"/>
        <w:gridCol w:w="681"/>
        <w:gridCol w:w="681"/>
        <w:gridCol w:w="999"/>
        <w:gridCol w:w="1000"/>
        <w:gridCol w:w="999"/>
        <w:gridCol w:w="1000"/>
      </w:tblGrid>
      <w:tr w14:paraId="2B2A63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923" w:hRule="atLeast"/>
          <w:jc w:val="center"/>
        </w:trPr>
        <w:tc>
          <w:tcPr>
            <w:tcW w:w="868" w:type="dxa"/>
            <w:noWrap w:val="0"/>
            <w:vAlign w:val="center"/>
          </w:tcPr>
          <w:p w14:paraId="079F7C1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05" w:type="dxa"/>
            <w:noWrap w:val="0"/>
            <w:vAlign w:val="center"/>
          </w:tcPr>
          <w:p w14:paraId="71E5F0D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14:paraId="5E279C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47" w:type="dxa"/>
            <w:noWrap w:val="0"/>
            <w:vAlign w:val="center"/>
          </w:tcPr>
          <w:p w14:paraId="62E51F0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14:paraId="026FC71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680" w:type="dxa"/>
            <w:noWrap w:val="0"/>
            <w:vAlign w:val="center"/>
          </w:tcPr>
          <w:p w14:paraId="425B9B7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6B45D1B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681" w:type="dxa"/>
            <w:noWrap w:val="0"/>
            <w:vAlign w:val="center"/>
          </w:tcPr>
          <w:p w14:paraId="23B2EA0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14:paraId="67F2316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681" w:type="dxa"/>
            <w:noWrap w:val="0"/>
            <w:vAlign w:val="center"/>
          </w:tcPr>
          <w:p w14:paraId="31D39D5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5863306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999" w:type="dxa"/>
            <w:noWrap w:val="0"/>
            <w:vAlign w:val="center"/>
          </w:tcPr>
          <w:p w14:paraId="71DE762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6FC192A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00" w:type="dxa"/>
            <w:noWrap w:val="0"/>
            <w:vAlign w:val="center"/>
          </w:tcPr>
          <w:p w14:paraId="3DB4CA2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08A5AE6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999" w:type="dxa"/>
            <w:noWrap w:val="0"/>
            <w:vAlign w:val="center"/>
          </w:tcPr>
          <w:p w14:paraId="13D28B7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14:paraId="5A21DCD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1DB4F6E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000" w:type="dxa"/>
            <w:noWrap w:val="0"/>
            <w:vAlign w:val="center"/>
          </w:tcPr>
          <w:p w14:paraId="1182B348">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3D6536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C109E8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3DA4E4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BB82F8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F0895F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580FA1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C347F9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786A40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A96EF6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ABB5674">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BA43973">
            <w:pPr>
              <w:rPr>
                <w:rFonts w:hint="eastAsia" w:ascii="宋体" w:hAnsi="宋体" w:eastAsia="宋体" w:cs="宋体"/>
                <w:color w:val="000000" w:themeColor="text1"/>
                <w:sz w:val="24"/>
                <w:szCs w:val="24"/>
                <w:highlight w:val="none"/>
                <w14:textFill>
                  <w14:solidFill>
                    <w14:schemeClr w14:val="tx1"/>
                  </w14:solidFill>
                </w14:textFill>
              </w:rPr>
            </w:pPr>
          </w:p>
        </w:tc>
      </w:tr>
      <w:tr w14:paraId="4FF6BE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23AF38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B6550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3D63AC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0FED7B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58C086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89285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D81DAC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3312A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4342CD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8D18802">
            <w:pPr>
              <w:rPr>
                <w:rFonts w:hint="eastAsia" w:ascii="宋体" w:hAnsi="宋体" w:eastAsia="宋体" w:cs="宋体"/>
                <w:color w:val="000000" w:themeColor="text1"/>
                <w:sz w:val="24"/>
                <w:szCs w:val="24"/>
                <w:highlight w:val="none"/>
                <w14:textFill>
                  <w14:solidFill>
                    <w14:schemeClr w14:val="tx1"/>
                  </w14:solidFill>
                </w14:textFill>
              </w:rPr>
            </w:pPr>
          </w:p>
        </w:tc>
      </w:tr>
      <w:tr w14:paraId="6B60DA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2B7580B">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C4AD7C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38F13B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966EAB9">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BCA131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98C367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70B7FC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54F20FA">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56CD2A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1AA1CE4">
            <w:pPr>
              <w:rPr>
                <w:rFonts w:hint="eastAsia" w:ascii="宋体" w:hAnsi="宋体" w:eastAsia="宋体" w:cs="宋体"/>
                <w:color w:val="000000" w:themeColor="text1"/>
                <w:sz w:val="24"/>
                <w:szCs w:val="24"/>
                <w:highlight w:val="none"/>
                <w14:textFill>
                  <w14:solidFill>
                    <w14:schemeClr w14:val="tx1"/>
                  </w14:solidFill>
                </w14:textFill>
              </w:rPr>
            </w:pPr>
          </w:p>
        </w:tc>
      </w:tr>
      <w:tr w14:paraId="29D3FD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052EC68">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87EB13E">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8B6562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188C7B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5E46D7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C53870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F72675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F176B5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85C330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D404F7D">
            <w:pPr>
              <w:rPr>
                <w:rFonts w:hint="eastAsia" w:ascii="宋体" w:hAnsi="宋体" w:eastAsia="宋体" w:cs="宋体"/>
                <w:color w:val="000000" w:themeColor="text1"/>
                <w:sz w:val="24"/>
                <w:szCs w:val="24"/>
                <w:highlight w:val="none"/>
                <w14:textFill>
                  <w14:solidFill>
                    <w14:schemeClr w14:val="tx1"/>
                  </w14:solidFill>
                </w14:textFill>
              </w:rPr>
            </w:pPr>
          </w:p>
        </w:tc>
      </w:tr>
      <w:tr w14:paraId="27AC69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69212C5">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F07525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41B5AA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96D2B0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A89029F">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786C06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480A98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011A74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77189E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F59910E">
            <w:pPr>
              <w:rPr>
                <w:rFonts w:hint="eastAsia" w:ascii="宋体" w:hAnsi="宋体" w:eastAsia="宋体" w:cs="宋体"/>
                <w:color w:val="000000" w:themeColor="text1"/>
                <w:sz w:val="24"/>
                <w:szCs w:val="24"/>
                <w:highlight w:val="none"/>
                <w14:textFill>
                  <w14:solidFill>
                    <w14:schemeClr w14:val="tx1"/>
                  </w14:solidFill>
                </w14:textFill>
              </w:rPr>
            </w:pPr>
          </w:p>
        </w:tc>
      </w:tr>
      <w:tr w14:paraId="5685C2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70" w:hRule="exact"/>
          <w:jc w:val="center"/>
        </w:trPr>
        <w:tc>
          <w:tcPr>
            <w:tcW w:w="868" w:type="dxa"/>
            <w:noWrap w:val="0"/>
            <w:vAlign w:val="top"/>
          </w:tcPr>
          <w:p w14:paraId="3950889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2855F8B9">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0A36A8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1B8DAE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4E53FD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E363788">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1C1A28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E30498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E3F76B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C444770">
            <w:pPr>
              <w:rPr>
                <w:rFonts w:hint="eastAsia" w:ascii="宋体" w:hAnsi="宋体" w:eastAsia="宋体" w:cs="宋体"/>
                <w:color w:val="000000" w:themeColor="text1"/>
                <w:sz w:val="24"/>
                <w:szCs w:val="24"/>
                <w:highlight w:val="none"/>
                <w14:textFill>
                  <w14:solidFill>
                    <w14:schemeClr w14:val="tx1"/>
                  </w14:solidFill>
                </w14:textFill>
              </w:rPr>
            </w:pPr>
          </w:p>
        </w:tc>
      </w:tr>
      <w:tr w14:paraId="17E550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FE2645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731B8A9">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9132A7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29D168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1D7AF1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A3DDCB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6A9237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262906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59FCF9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7530A87">
            <w:pPr>
              <w:rPr>
                <w:rFonts w:hint="eastAsia" w:ascii="宋体" w:hAnsi="宋体" w:eastAsia="宋体" w:cs="宋体"/>
                <w:color w:val="000000" w:themeColor="text1"/>
                <w:sz w:val="24"/>
                <w:szCs w:val="24"/>
                <w:highlight w:val="none"/>
                <w14:textFill>
                  <w14:solidFill>
                    <w14:schemeClr w14:val="tx1"/>
                  </w14:solidFill>
                </w14:textFill>
              </w:rPr>
            </w:pPr>
          </w:p>
        </w:tc>
      </w:tr>
      <w:tr w14:paraId="2EBFCA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D254F7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91EAC68">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4121A9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2D6C147">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A2170A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4DA2E1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F90415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C1883E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3F8911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8CA8FAA">
            <w:pPr>
              <w:rPr>
                <w:rFonts w:hint="eastAsia" w:ascii="宋体" w:hAnsi="宋体" w:eastAsia="宋体" w:cs="宋体"/>
                <w:color w:val="000000" w:themeColor="text1"/>
                <w:sz w:val="24"/>
                <w:szCs w:val="24"/>
                <w:highlight w:val="none"/>
                <w14:textFill>
                  <w14:solidFill>
                    <w14:schemeClr w14:val="tx1"/>
                  </w14:solidFill>
                </w14:textFill>
              </w:rPr>
            </w:pPr>
          </w:p>
        </w:tc>
      </w:tr>
      <w:tr w14:paraId="18A729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140B771">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2E7181D">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37D0DD5">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B7071FF">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FD756D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E5A0DE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8FCC23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3529D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59A180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F00F7F">
            <w:pPr>
              <w:rPr>
                <w:rFonts w:hint="eastAsia" w:ascii="宋体" w:hAnsi="宋体" w:eastAsia="宋体" w:cs="宋体"/>
                <w:color w:val="000000" w:themeColor="text1"/>
                <w:sz w:val="24"/>
                <w:szCs w:val="24"/>
                <w:highlight w:val="none"/>
                <w14:textFill>
                  <w14:solidFill>
                    <w14:schemeClr w14:val="tx1"/>
                  </w14:solidFill>
                </w14:textFill>
              </w:rPr>
            </w:pPr>
          </w:p>
        </w:tc>
      </w:tr>
      <w:tr w14:paraId="490A34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06B129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CB00DBE">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95B65A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9C0F1E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635EE4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AFF8B8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77D259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773F90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609230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433CE7">
            <w:pPr>
              <w:rPr>
                <w:rFonts w:hint="eastAsia" w:ascii="宋体" w:hAnsi="宋体" w:eastAsia="宋体" w:cs="宋体"/>
                <w:color w:val="000000" w:themeColor="text1"/>
                <w:sz w:val="24"/>
                <w:szCs w:val="24"/>
                <w:highlight w:val="none"/>
                <w14:textFill>
                  <w14:solidFill>
                    <w14:schemeClr w14:val="tx1"/>
                  </w14:solidFill>
                </w14:textFill>
              </w:rPr>
            </w:pPr>
          </w:p>
        </w:tc>
      </w:tr>
      <w:tr w14:paraId="2EA1FF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493221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1088A8">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0310435">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053FF7B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AA73BB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072A43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EA83D5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82E5B4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291BA2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D4CA416">
            <w:pPr>
              <w:rPr>
                <w:rFonts w:hint="eastAsia" w:ascii="宋体" w:hAnsi="宋体" w:eastAsia="宋体" w:cs="宋体"/>
                <w:color w:val="000000" w:themeColor="text1"/>
                <w:sz w:val="24"/>
                <w:szCs w:val="24"/>
                <w:highlight w:val="none"/>
                <w14:textFill>
                  <w14:solidFill>
                    <w14:schemeClr w14:val="tx1"/>
                  </w14:solidFill>
                </w14:textFill>
              </w:rPr>
            </w:pPr>
          </w:p>
        </w:tc>
      </w:tr>
      <w:tr w14:paraId="5A92F3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139134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140A951">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FC1F923">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88042F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ABDA9B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BD2ED1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E33EE7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B9DBC4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D3EAF1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7624CC">
            <w:pPr>
              <w:rPr>
                <w:rFonts w:hint="eastAsia" w:ascii="宋体" w:hAnsi="宋体" w:eastAsia="宋体" w:cs="宋体"/>
                <w:color w:val="000000" w:themeColor="text1"/>
                <w:sz w:val="24"/>
                <w:szCs w:val="24"/>
                <w:highlight w:val="none"/>
                <w14:textFill>
                  <w14:solidFill>
                    <w14:schemeClr w14:val="tx1"/>
                  </w14:solidFill>
                </w14:textFill>
              </w:rPr>
            </w:pPr>
          </w:p>
        </w:tc>
      </w:tr>
      <w:tr w14:paraId="404F7B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EB8931E">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E70423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E688A8B">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B672C2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928F1A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28D3FA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7CB53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D6ECD6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948D4B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765EE66">
            <w:pPr>
              <w:rPr>
                <w:rFonts w:hint="eastAsia" w:ascii="宋体" w:hAnsi="宋体" w:eastAsia="宋体" w:cs="宋体"/>
                <w:color w:val="000000" w:themeColor="text1"/>
                <w:sz w:val="24"/>
                <w:szCs w:val="24"/>
                <w:highlight w:val="none"/>
                <w14:textFill>
                  <w14:solidFill>
                    <w14:schemeClr w14:val="tx1"/>
                  </w14:solidFill>
                </w14:textFill>
              </w:rPr>
            </w:pPr>
          </w:p>
        </w:tc>
      </w:tr>
      <w:tr w14:paraId="6AA264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2E6A30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70DE55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FC2E7AC">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E4071FD">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C2E6DF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7BBDB0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DD1023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F56C31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6081EC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45D864F">
            <w:pPr>
              <w:rPr>
                <w:rFonts w:hint="eastAsia" w:ascii="宋体" w:hAnsi="宋体" w:eastAsia="宋体" w:cs="宋体"/>
                <w:color w:val="000000" w:themeColor="text1"/>
                <w:sz w:val="24"/>
                <w:szCs w:val="24"/>
                <w:highlight w:val="none"/>
                <w14:textFill>
                  <w14:solidFill>
                    <w14:schemeClr w14:val="tx1"/>
                  </w14:solidFill>
                </w14:textFill>
              </w:rPr>
            </w:pPr>
          </w:p>
        </w:tc>
      </w:tr>
      <w:tr w14:paraId="38DC65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2C2880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1FC1573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591279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43F55C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C4B92C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241286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104D0E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4B5ED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B5A5B1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CA69E1E">
            <w:pPr>
              <w:rPr>
                <w:rFonts w:hint="eastAsia" w:ascii="宋体" w:hAnsi="宋体" w:eastAsia="宋体" w:cs="宋体"/>
                <w:color w:val="000000" w:themeColor="text1"/>
                <w:sz w:val="24"/>
                <w:szCs w:val="24"/>
                <w:highlight w:val="none"/>
                <w14:textFill>
                  <w14:solidFill>
                    <w14:schemeClr w14:val="tx1"/>
                  </w14:solidFill>
                </w14:textFill>
              </w:rPr>
            </w:pPr>
          </w:p>
        </w:tc>
      </w:tr>
      <w:tr w14:paraId="5C3701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8368C0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B316B7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F912632">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EA3028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1D6A9A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FA15F0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513956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30332B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35CE8B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9A12C31">
            <w:pPr>
              <w:rPr>
                <w:rFonts w:hint="eastAsia" w:ascii="宋体" w:hAnsi="宋体" w:eastAsia="宋体" w:cs="宋体"/>
                <w:color w:val="000000" w:themeColor="text1"/>
                <w:sz w:val="24"/>
                <w:szCs w:val="24"/>
                <w:highlight w:val="none"/>
                <w14:textFill>
                  <w14:solidFill>
                    <w14:schemeClr w14:val="tx1"/>
                  </w14:solidFill>
                </w14:textFill>
              </w:rPr>
            </w:pPr>
          </w:p>
        </w:tc>
      </w:tr>
      <w:tr w14:paraId="33A94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0D42B7B">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AE7000D">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517D5BA">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36F9621">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FF91D77">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AA632E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6B863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AEE58D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80A64A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7D34C13">
            <w:pPr>
              <w:rPr>
                <w:rFonts w:hint="eastAsia" w:ascii="宋体" w:hAnsi="宋体" w:eastAsia="宋体" w:cs="宋体"/>
                <w:color w:val="000000" w:themeColor="text1"/>
                <w:sz w:val="24"/>
                <w:szCs w:val="24"/>
                <w:highlight w:val="none"/>
                <w14:textFill>
                  <w14:solidFill>
                    <w14:schemeClr w14:val="tx1"/>
                  </w14:solidFill>
                </w14:textFill>
              </w:rPr>
            </w:pPr>
          </w:p>
        </w:tc>
      </w:tr>
      <w:tr w14:paraId="6EF81A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DA9547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E20CE6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5E7183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FD9D53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991BE2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F8778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4C5011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75A07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D60000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BB2C7DE">
            <w:pPr>
              <w:rPr>
                <w:rFonts w:hint="eastAsia" w:ascii="宋体" w:hAnsi="宋体" w:eastAsia="宋体" w:cs="宋体"/>
                <w:color w:val="000000" w:themeColor="text1"/>
                <w:sz w:val="24"/>
                <w:szCs w:val="24"/>
                <w:highlight w:val="none"/>
                <w14:textFill>
                  <w14:solidFill>
                    <w14:schemeClr w14:val="tx1"/>
                  </w14:solidFill>
                </w14:textFill>
              </w:rPr>
            </w:pPr>
          </w:p>
        </w:tc>
      </w:tr>
      <w:tr w14:paraId="4559F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7AF9BFA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127970F">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7F639EF">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6A2A2A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4E4F89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EFFB70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776533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6C4B16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8ED2A4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274F1EB">
            <w:pPr>
              <w:rPr>
                <w:rFonts w:hint="eastAsia" w:ascii="宋体" w:hAnsi="宋体" w:eastAsia="宋体" w:cs="宋体"/>
                <w:color w:val="000000" w:themeColor="text1"/>
                <w:sz w:val="24"/>
                <w:szCs w:val="24"/>
                <w:highlight w:val="none"/>
                <w14:textFill>
                  <w14:solidFill>
                    <w14:schemeClr w14:val="tx1"/>
                  </w14:solidFill>
                </w14:textFill>
              </w:rPr>
            </w:pPr>
          </w:p>
        </w:tc>
      </w:tr>
      <w:tr w14:paraId="1D6336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6E68CD6">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4C2EE7F">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CD01F4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CBD299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FF9E73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D4ED69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BCBC0A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1178C8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E5055A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A2BD8F2">
            <w:pPr>
              <w:rPr>
                <w:rFonts w:hint="eastAsia" w:ascii="宋体" w:hAnsi="宋体" w:eastAsia="宋体" w:cs="宋体"/>
                <w:color w:val="000000" w:themeColor="text1"/>
                <w:sz w:val="24"/>
                <w:szCs w:val="24"/>
                <w:highlight w:val="none"/>
                <w14:textFill>
                  <w14:solidFill>
                    <w14:schemeClr w14:val="tx1"/>
                  </w14:solidFill>
                </w14:textFill>
              </w:rPr>
            </w:pPr>
          </w:p>
        </w:tc>
      </w:tr>
      <w:tr w14:paraId="3E840F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FAF06C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DB47C9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1F00A1E">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52E2B6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AF88F1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E70ACF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9288D4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9CE30A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6B6877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C182D3D">
            <w:pPr>
              <w:rPr>
                <w:rFonts w:hint="eastAsia" w:ascii="宋体" w:hAnsi="宋体" w:eastAsia="宋体" w:cs="宋体"/>
                <w:color w:val="000000" w:themeColor="text1"/>
                <w:sz w:val="24"/>
                <w:szCs w:val="24"/>
                <w:highlight w:val="none"/>
                <w14:textFill>
                  <w14:solidFill>
                    <w14:schemeClr w14:val="tx1"/>
                  </w14:solidFill>
                </w14:textFill>
              </w:rPr>
            </w:pPr>
          </w:p>
        </w:tc>
      </w:tr>
      <w:tr w14:paraId="452DE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2AF4E69">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5575660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4CC4E9E">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0F0427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36CDD8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A959FD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C1BAD5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208E47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BE0D93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ADFB22C">
            <w:pPr>
              <w:rPr>
                <w:rFonts w:hint="eastAsia" w:ascii="宋体" w:hAnsi="宋体" w:eastAsia="宋体" w:cs="宋体"/>
                <w:color w:val="000000" w:themeColor="text1"/>
                <w:sz w:val="24"/>
                <w:szCs w:val="24"/>
                <w:highlight w:val="none"/>
                <w14:textFill>
                  <w14:solidFill>
                    <w14:schemeClr w14:val="tx1"/>
                  </w14:solidFill>
                </w14:textFill>
              </w:rPr>
            </w:pPr>
          </w:p>
        </w:tc>
      </w:tr>
      <w:tr w14:paraId="1C6B9F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EF790F6">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18044A5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C882743">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0E2A602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8E873C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998C4B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4F878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257A2E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8D55994">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407D4A3">
            <w:pPr>
              <w:rPr>
                <w:rFonts w:hint="eastAsia" w:ascii="宋体" w:hAnsi="宋体" w:eastAsia="宋体" w:cs="宋体"/>
                <w:color w:val="000000" w:themeColor="text1"/>
                <w:sz w:val="24"/>
                <w:szCs w:val="24"/>
                <w:highlight w:val="none"/>
                <w14:textFill>
                  <w14:solidFill>
                    <w14:schemeClr w14:val="tx1"/>
                  </w14:solidFill>
                </w14:textFill>
              </w:rPr>
            </w:pPr>
          </w:p>
        </w:tc>
      </w:tr>
      <w:tr w14:paraId="2099EB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2D502DA">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9732B5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9A6E75C">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D601FB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8696C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936878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406AE7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AFB7A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289DBC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B14F320">
            <w:pPr>
              <w:rPr>
                <w:rFonts w:hint="eastAsia" w:ascii="宋体" w:hAnsi="宋体" w:eastAsia="宋体" w:cs="宋体"/>
                <w:color w:val="000000" w:themeColor="text1"/>
                <w:sz w:val="24"/>
                <w:szCs w:val="24"/>
                <w:highlight w:val="none"/>
                <w14:textFill>
                  <w14:solidFill>
                    <w14:schemeClr w14:val="tx1"/>
                  </w14:solidFill>
                </w14:textFill>
              </w:rPr>
            </w:pPr>
          </w:p>
        </w:tc>
      </w:tr>
      <w:tr w14:paraId="72BACE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6F40B60">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1C328C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622C5D8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CF087E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E02C96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3E8C21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A34BF6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FE5AB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118B79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B600D99">
            <w:pPr>
              <w:rPr>
                <w:rFonts w:hint="eastAsia" w:ascii="宋体" w:hAnsi="宋体" w:eastAsia="宋体" w:cs="宋体"/>
                <w:color w:val="000000" w:themeColor="text1"/>
                <w:sz w:val="24"/>
                <w:szCs w:val="24"/>
                <w:highlight w:val="none"/>
                <w14:textFill>
                  <w14:solidFill>
                    <w14:schemeClr w14:val="tx1"/>
                  </w14:solidFill>
                </w14:textFill>
              </w:rPr>
            </w:pPr>
          </w:p>
        </w:tc>
      </w:tr>
      <w:tr w14:paraId="470E5C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70" w:hRule="exact"/>
          <w:jc w:val="center"/>
        </w:trPr>
        <w:tc>
          <w:tcPr>
            <w:tcW w:w="868" w:type="dxa"/>
            <w:noWrap w:val="0"/>
            <w:vAlign w:val="top"/>
          </w:tcPr>
          <w:p w14:paraId="620E2AF4">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5F1E680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289196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472366D">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3EE4CB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D40ADCE">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0D362C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B89624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962A34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815D372">
            <w:pPr>
              <w:rPr>
                <w:rFonts w:hint="eastAsia" w:ascii="宋体" w:hAnsi="宋体" w:eastAsia="宋体" w:cs="宋体"/>
                <w:color w:val="000000" w:themeColor="text1"/>
                <w:sz w:val="24"/>
                <w:szCs w:val="24"/>
                <w:highlight w:val="none"/>
                <w14:textFill>
                  <w14:solidFill>
                    <w14:schemeClr w14:val="tx1"/>
                  </w14:solidFill>
                </w14:textFill>
              </w:rPr>
            </w:pPr>
          </w:p>
        </w:tc>
      </w:tr>
      <w:tr w14:paraId="7316CB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751A13E">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598729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AE478FF">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541F68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29577E9">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3F2872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C1FFF2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A8139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24FBCA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FF4BE3">
            <w:pPr>
              <w:rPr>
                <w:rFonts w:hint="eastAsia" w:ascii="宋体" w:hAnsi="宋体" w:eastAsia="宋体" w:cs="宋体"/>
                <w:color w:val="000000" w:themeColor="text1"/>
                <w:sz w:val="24"/>
                <w:szCs w:val="24"/>
                <w:highlight w:val="none"/>
                <w14:textFill>
                  <w14:solidFill>
                    <w14:schemeClr w14:val="tx1"/>
                  </w14:solidFill>
                </w14:textFill>
              </w:rPr>
            </w:pPr>
          </w:p>
        </w:tc>
      </w:tr>
      <w:tr w14:paraId="15266F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CC5B1D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1B882D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F5A186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7ACA95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C704B3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483778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23A9CC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A5E19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F07352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A4E915D">
            <w:pPr>
              <w:rPr>
                <w:rFonts w:hint="eastAsia" w:ascii="宋体" w:hAnsi="宋体" w:eastAsia="宋体" w:cs="宋体"/>
                <w:color w:val="000000" w:themeColor="text1"/>
                <w:sz w:val="24"/>
                <w:szCs w:val="24"/>
                <w:highlight w:val="none"/>
                <w14:textFill>
                  <w14:solidFill>
                    <w14:schemeClr w14:val="tx1"/>
                  </w14:solidFill>
                </w14:textFill>
              </w:rPr>
            </w:pPr>
          </w:p>
        </w:tc>
      </w:tr>
      <w:tr w14:paraId="4648E2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EB2EDA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11DC61">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5D8669A">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6C5155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820C84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4F2D29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098580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318614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D34EF3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60BE098">
            <w:pPr>
              <w:rPr>
                <w:rFonts w:hint="eastAsia" w:ascii="宋体" w:hAnsi="宋体" w:eastAsia="宋体" w:cs="宋体"/>
                <w:color w:val="000000" w:themeColor="text1"/>
                <w:sz w:val="24"/>
                <w:szCs w:val="24"/>
                <w:highlight w:val="none"/>
                <w14:textFill>
                  <w14:solidFill>
                    <w14:schemeClr w14:val="tx1"/>
                  </w14:solidFill>
                </w14:textFill>
              </w:rPr>
            </w:pPr>
          </w:p>
        </w:tc>
      </w:tr>
    </w:tbl>
    <w:p w14:paraId="1B132F8A">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备注：除合同另有约定外，本表所列发包人供应材料和工程设备的数量不考虑施工损耗，施工损耗被认为已经包括在承包人的投标价格中。</w:t>
      </w:r>
    </w:p>
    <w:p w14:paraId="65ED9282">
      <w:pPr>
        <w:rPr>
          <w:rFonts w:hint="eastAsia" w:ascii="宋体" w:hAnsi="宋体" w:eastAsia="宋体" w:cs="宋体"/>
          <w:color w:val="000000" w:themeColor="text1"/>
          <w:sz w:val="24"/>
          <w:szCs w:val="24"/>
          <w:highlight w:val="none"/>
          <w14:textFill>
            <w14:solidFill>
              <w14:schemeClr w14:val="tx1"/>
            </w14:solidFill>
          </w14:textFill>
        </w:rPr>
      </w:pPr>
    </w:p>
    <w:p w14:paraId="43954BF8">
      <w:pPr>
        <w:rPr>
          <w:rFonts w:hint="eastAsia" w:ascii="宋体" w:hAnsi="宋体" w:eastAsia="宋体" w:cs="宋体"/>
          <w:color w:val="000000" w:themeColor="text1"/>
          <w:sz w:val="24"/>
          <w:szCs w:val="24"/>
          <w:highlight w:val="none"/>
          <w14:textFill>
            <w14:solidFill>
              <w14:schemeClr w14:val="tx1"/>
            </w14:solidFill>
          </w14:textFill>
        </w:rPr>
      </w:pPr>
    </w:p>
    <w:p w14:paraId="61ABDEDE">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附件4：</w:t>
      </w:r>
    </w:p>
    <w:p w14:paraId="3B322F24">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建设工程廉政责任书</w:t>
      </w:r>
    </w:p>
    <w:p w14:paraId="58799DF5">
      <w:pPr>
        <w:rPr>
          <w:rFonts w:hint="eastAsia" w:ascii="宋体" w:hAnsi="宋体" w:eastAsia="宋体" w:cs="宋体"/>
          <w:color w:val="000000" w:themeColor="text1"/>
          <w:sz w:val="28"/>
          <w:szCs w:val="28"/>
          <w:highlight w:val="none"/>
          <w14:textFill>
            <w14:solidFill>
              <w14:schemeClr w14:val="tx1"/>
            </w14:solidFill>
          </w14:textFill>
        </w:rPr>
      </w:pPr>
    </w:p>
    <w:p w14:paraId="36B509E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9172B7E">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26197F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2237DC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一、双方的责任</w:t>
      </w:r>
    </w:p>
    <w:p w14:paraId="0F6DD02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1.1应严格遵守国家关于建设工程的有关法律、法规，相关政策，以及廉政建设的各项规定。</w:t>
      </w:r>
    </w:p>
    <w:p w14:paraId="540B798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1.2严格执行建设工程合同文件，自觉按合同办事。</w:t>
      </w:r>
    </w:p>
    <w:p w14:paraId="347679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1.3各项活动必须坚持公开、公平、公正、诚信、透明的原则(除法律法规另有规定者外)，不得为获取不正当的利益，损害国家、集体和对方利益，不得违反建设工程管理的规章制度。</w:t>
      </w:r>
    </w:p>
    <w:p w14:paraId="06158B7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1.4发现对方在业务活动中有违规、违纪、违法行为的，应及时提醒对方，情节严重的，应向其上级主管部门或纪检监察、司法等有关机关举报。</w:t>
      </w:r>
    </w:p>
    <w:p w14:paraId="65226D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二、发包人责任</w:t>
      </w:r>
    </w:p>
    <w:p w14:paraId="1D10A8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发包人的领导和从事该建设工程项目的工作人员，在工程建设的事前、事中、事后应遵守以下规定：</w:t>
      </w:r>
    </w:p>
    <w:p w14:paraId="314CF50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2.1不得向承包人和相关单位索要或接受回扣、礼金、有价证券、贵重物品和好处费、感谢费等。</w:t>
      </w:r>
    </w:p>
    <w:p w14:paraId="76E701A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2.2不得在承包人和相关单位报销任何应由发包人或个人支付的费用。</w:t>
      </w:r>
    </w:p>
    <w:p w14:paraId="5A667B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2.3不得要求、暗示或接受承包人和相关单位为个人装修住房、婚丧嫁娶、配偶子女的工作安排以及出国(境)、旅游等提供方便。</w:t>
      </w:r>
    </w:p>
    <w:p w14:paraId="545BF46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2.4不得参加有可能影响公正执行公务的承包人和相关单位的宴请、健身、娱乐等活动。</w:t>
      </w:r>
    </w:p>
    <w:p w14:paraId="65B84AA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2.5不得向承包人和相关单位介绍或为配偶、子女、亲属参与同发包人工程建设管理合同有关的业务活动；不得以任何理由要求承包人和相关单位使用某种产品、材料和设备。</w:t>
      </w:r>
    </w:p>
    <w:p w14:paraId="144A9FD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三、承包人责任</w:t>
      </w:r>
    </w:p>
    <w:p w14:paraId="1DCD29D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应与发包人保持正常的业务交往，按照有关法律法规和程序开展业务工作，严格执行工程建设的有关方针、政策，执行工程建设强制性标准，并遵守以下规定：</w:t>
      </w:r>
    </w:p>
    <w:p w14:paraId="7EEE843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3.1不得以任何理由向发包人及其工作人员索要、接受或赠送礼金、有价证券、贵重物品及回扣、好处费、感谢费等。</w:t>
      </w:r>
    </w:p>
    <w:p w14:paraId="0105B13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3.2不得以任何理由为发包人和相关单位报销应由对方或个人支付的费用。</w:t>
      </w:r>
    </w:p>
    <w:p w14:paraId="1015156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3.3不得接受或暗示为发包人、相关单位或个人装修住房、婚丧嫁娶、配偶子女的工作安排以及出国(境)、旅游等提供方便。</w:t>
      </w:r>
    </w:p>
    <w:p w14:paraId="1C26708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3.4不得以任何理由为发包人、相关单位或个人组织有可能影响公正执行公务的宴请、健身、娱乐等活动。</w:t>
      </w:r>
    </w:p>
    <w:p w14:paraId="7965BCE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四、违约责任</w:t>
      </w:r>
    </w:p>
    <w:p w14:paraId="433024E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4.1发包人工作人员有违反本责任书第一、二条责任行为的，依据有关法律、法规给予处理；涉嫌犯罪的，移交司法机关追究刑事责任；给承包人单位造成经济损失的，应予以赔偿。</w:t>
      </w:r>
    </w:p>
    <w:p w14:paraId="1A7D6E1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4.2承包人工作人员有违反本责任书第一、三条责任行为的，依据有关法律法规处理；涉嫌犯罪的，移交司法机关追究刑事责任；给发包人单位造成经济损失的，应予以赔偿。</w:t>
      </w:r>
    </w:p>
    <w:p w14:paraId="4FD8044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4.3本责任书作为建设工程合同的组成部分，与建设工程合同具有同等法律效力。经双方签署后立即生效。</w:t>
      </w:r>
    </w:p>
    <w:p w14:paraId="48D0E3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五、责任书有效期</w:t>
      </w:r>
    </w:p>
    <w:p w14:paraId="62A7587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本责任书的有效期为双方签署之日起至该工程项目竣工验收合格时止。</w:t>
      </w:r>
    </w:p>
    <w:p w14:paraId="2B2D11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六、责任书份数</w:t>
      </w:r>
    </w:p>
    <w:p w14:paraId="00AB14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本责任书一式二份，发包人承包人各执一份，具有同等效力。</w:t>
      </w:r>
    </w:p>
    <w:p w14:paraId="168A39A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4E11A9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358614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14:paraId="3EBEAE1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228938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4891730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1B83AF9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DE5560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731AD67">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EB7E93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584C39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FFE8238">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50B5CE7">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F70F73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5F3BC6B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9F33764">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A2FE4AC">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BC352EE">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04A237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23710D6">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91FDC0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7ED2EB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2F4586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02108CB">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3FD3E94">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C0EEA32">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3DC2DA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96C539A">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60C390D9">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4557E36D">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0BBBFC9">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50CFFD7">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45EC519E">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1CD4118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FB8FC33">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DDE1A4D">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二、保函书</w:t>
      </w:r>
    </w:p>
    <w:p w14:paraId="34F03FED">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附件1</w:t>
      </w:r>
    </w:p>
    <w:p w14:paraId="545C8A6C">
      <w:pPr>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承包人履约保函</w:t>
      </w:r>
    </w:p>
    <w:p w14:paraId="14D31CC6">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506B76F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(发包人名称)：</w:t>
      </w:r>
    </w:p>
    <w:p w14:paraId="6F1008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(承包人名称)(以下称“承包人”)于</w:t>
      </w:r>
    </w:p>
    <w:p w14:paraId="2355233E">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(工程名称)施工承包合同(以下称“主合同”)，应承包人申请，我方愿就承包人履行主合同约定的义务以保证的方式向你方提供如下担保：</w:t>
      </w:r>
    </w:p>
    <w:p w14:paraId="7E1F7A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14:paraId="216C9F5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我方的保证范围是承包人未按照主合同的约定履行义务，给你方造成的实际损失。</w:t>
      </w:r>
    </w:p>
    <w:p w14:paraId="071FE5B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我方保证的金额是主合同约定的合同总价款</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元(大写)。</w:t>
      </w:r>
    </w:p>
    <w:p w14:paraId="0C4C3F5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14:paraId="6CE36BD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14:paraId="71FB087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我方保证的期间为：自本合同生效之日起至主合同约定的工程竣工日期后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14:paraId="0EF59B9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你方与承包人协议变更工程竣工日期的，经我方书面同意后，保证期间按照变更后的竣工日期做相应调整。</w:t>
      </w:r>
    </w:p>
    <w:p w14:paraId="773ED2D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14:paraId="2EEE6B4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我方按照你方的要求以下列方式之一承担保证责任：</w:t>
      </w:r>
    </w:p>
    <w:p w14:paraId="4DDE48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(1)由我方提供资金及技术援助，使承包人继续履行主合同义务，支付金额不超过本保函第一条规定的保证金额。</w:t>
      </w:r>
    </w:p>
    <w:p w14:paraId="5F54765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(2)由我方在本保函第一条规定的保证金额内赔偿你方的损失。</w:t>
      </w:r>
    </w:p>
    <w:p w14:paraId="608231C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14:paraId="0678367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承包人未履行主合同约定义务的证明材料。索赔通知应写明要求索赔的金额，支付款项应到达的帐号，并附有说明承包人违反主合同造成你方损失情况的证明材料。</w:t>
      </w:r>
    </w:p>
    <w:p w14:paraId="056227F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你方以工程质量不符合主合同约定标准为由，向我方提出违约索赔的，还需同时提供符合相应条件要求的工程质量检测部门出具的质量说明材料。</w:t>
      </w:r>
    </w:p>
    <w:p w14:paraId="313F72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工作日内进行核定后按照本保函的承诺承担保证责任。</w:t>
      </w:r>
    </w:p>
    <w:p w14:paraId="1B6AD1D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14:paraId="0CF4D1B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14:paraId="6BC9CDB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2、承包人按主合同约定履行了义务的，自本保函承诺的保证期间届满次日起，我方保证责任解除。</w:t>
      </w:r>
    </w:p>
    <w:p w14:paraId="1280DF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3、我方按照本保函向你方履行保证责任所支付的金额达到本保函保证金额时，自我方向你方支付(支付款项从我方帐户划出)之日起，保证责任即解除。</w:t>
      </w:r>
    </w:p>
    <w:p w14:paraId="2CD6802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14:paraId="19AC2FF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14:paraId="6EB4A6D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14:paraId="6C33E10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1、因你方违约致使承包人不能履行义务的，我方不承担保证责任。</w:t>
      </w:r>
    </w:p>
    <w:p w14:paraId="7FE8254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2、依照法律法规的规定或你方与承包人的另行约定，免除承包人部分或全部义务的，我方亦免除其相应的保证责任。</w:t>
      </w:r>
    </w:p>
    <w:p w14:paraId="793AC68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3、你方与承包人协议变更主合同(符合主合同合同条款第15条约定的变更除外)，如加重承包人责任致使我方保证责任加重的，需征得我方书面同意，否则我方不再承担因此而加重部分的保证责任。</w:t>
      </w:r>
    </w:p>
    <w:p w14:paraId="6DD8490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4、因不可抗力造成承包人不能履行义务的，我方不承担保证责任。</w:t>
      </w:r>
    </w:p>
    <w:p w14:paraId="462D8DF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14:paraId="695AE0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14:paraId="03B4030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14:paraId="51F4752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14:paraId="4EE5F6E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0BC2540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47920E6">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14:paraId="06B85C6A">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14:paraId="0C86D8B4">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1FF3B51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14:paraId="506C4FF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CC9495C">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571699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183994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C263368">
      <w:pPr>
        <w:ind w:firstLine="3290" w:firstLineChars="1371"/>
        <w:jc w:val="right"/>
        <w:rPr>
          <w:rFonts w:hint="eastAsia" w:ascii="宋体" w:hAnsi="宋体" w:eastAsia="宋体" w:cs="宋体"/>
          <w:color w:val="000000" w:themeColor="text1"/>
          <w:sz w:val="24"/>
          <w:szCs w:val="24"/>
          <w:highlight w:val="none"/>
          <w:u w:val="single"/>
          <w14:textFill>
            <w14:solidFill>
              <w14:schemeClr w14:val="tx1"/>
            </w14:solidFill>
          </w14:textFill>
        </w:rPr>
      </w:pPr>
    </w:p>
    <w:p w14:paraId="14E19F63">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65857FCF">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14:paraId="47F4623B">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备注：本履约担保格式可以采用经发包人同意的其他格式，但相关内容不得违背合同约定的实质性内容。</w:t>
      </w:r>
    </w:p>
    <w:p w14:paraId="5ACDE894">
      <w:pPr>
        <w:rPr>
          <w:rFonts w:hint="eastAsia" w:ascii="宋体" w:hAnsi="宋体" w:eastAsia="宋体" w:cs="宋体"/>
          <w:color w:val="000000" w:themeColor="text1"/>
          <w:sz w:val="28"/>
          <w:szCs w:val="28"/>
          <w:highlight w:val="none"/>
          <w14:textFill>
            <w14:solidFill>
              <w14:schemeClr w14:val="tx1"/>
            </w14:solidFill>
          </w14:textFill>
        </w:rPr>
      </w:pPr>
    </w:p>
    <w:p w14:paraId="7458415E">
      <w:pPr>
        <w:rPr>
          <w:rFonts w:hint="eastAsia" w:ascii="宋体" w:hAnsi="宋体" w:eastAsia="宋体" w:cs="宋体"/>
          <w:color w:val="000000" w:themeColor="text1"/>
          <w:sz w:val="28"/>
          <w:szCs w:val="28"/>
          <w:highlight w:val="none"/>
          <w14:textFill>
            <w14:solidFill>
              <w14:schemeClr w14:val="tx1"/>
            </w14:solidFill>
          </w14:textFill>
        </w:rPr>
      </w:pPr>
    </w:p>
    <w:p w14:paraId="1410F0E9">
      <w:pPr>
        <w:rPr>
          <w:rFonts w:hint="eastAsia" w:ascii="宋体" w:hAnsi="宋体" w:eastAsia="宋体" w:cs="宋体"/>
          <w:color w:val="000000" w:themeColor="text1"/>
          <w:sz w:val="28"/>
          <w:szCs w:val="28"/>
          <w:highlight w:val="none"/>
          <w14:textFill>
            <w14:solidFill>
              <w14:schemeClr w14:val="tx1"/>
            </w14:solidFill>
          </w14:textFill>
        </w:rPr>
      </w:pPr>
    </w:p>
    <w:p w14:paraId="18164490">
      <w:pPr>
        <w:rPr>
          <w:rFonts w:hint="eastAsia" w:ascii="宋体" w:hAnsi="宋体" w:eastAsia="宋体" w:cs="宋体"/>
          <w:color w:val="000000" w:themeColor="text1"/>
          <w:sz w:val="28"/>
          <w:szCs w:val="28"/>
          <w:highlight w:val="none"/>
          <w14:textFill>
            <w14:solidFill>
              <w14:schemeClr w14:val="tx1"/>
            </w14:solidFill>
          </w14:textFill>
        </w:rPr>
      </w:pPr>
    </w:p>
    <w:p w14:paraId="52CDE00B">
      <w:pPr>
        <w:rPr>
          <w:rFonts w:hint="eastAsia" w:ascii="宋体" w:hAnsi="宋体" w:eastAsia="宋体" w:cs="宋体"/>
          <w:color w:val="000000" w:themeColor="text1"/>
          <w:sz w:val="28"/>
          <w:szCs w:val="28"/>
          <w:highlight w:val="none"/>
          <w14:textFill>
            <w14:solidFill>
              <w14:schemeClr w14:val="tx1"/>
            </w14:solidFill>
          </w14:textFill>
        </w:rPr>
      </w:pPr>
    </w:p>
    <w:p w14:paraId="5CEF3954">
      <w:pPr>
        <w:rPr>
          <w:rFonts w:hint="eastAsia" w:ascii="宋体" w:hAnsi="宋体" w:eastAsia="宋体" w:cs="宋体"/>
          <w:color w:val="000000" w:themeColor="text1"/>
          <w:sz w:val="28"/>
          <w:szCs w:val="28"/>
          <w:highlight w:val="none"/>
          <w14:textFill>
            <w14:solidFill>
              <w14:schemeClr w14:val="tx1"/>
            </w14:solidFill>
          </w14:textFill>
        </w:rPr>
      </w:pPr>
    </w:p>
    <w:p w14:paraId="1AB63D96">
      <w:pPr>
        <w:rPr>
          <w:rFonts w:hint="eastAsia" w:ascii="宋体" w:hAnsi="宋体" w:eastAsia="宋体" w:cs="宋体"/>
          <w:color w:val="000000" w:themeColor="text1"/>
          <w:sz w:val="28"/>
          <w:szCs w:val="28"/>
          <w:highlight w:val="none"/>
          <w14:textFill>
            <w14:solidFill>
              <w14:schemeClr w14:val="tx1"/>
            </w14:solidFill>
          </w14:textFill>
        </w:rPr>
      </w:pPr>
    </w:p>
    <w:p w14:paraId="511C6A14">
      <w:pPr>
        <w:rPr>
          <w:rFonts w:hint="eastAsia" w:ascii="宋体" w:hAnsi="宋体" w:eastAsia="宋体" w:cs="宋体"/>
          <w:color w:val="000000" w:themeColor="text1"/>
          <w:sz w:val="28"/>
          <w:szCs w:val="28"/>
          <w:highlight w:val="none"/>
          <w14:textFill>
            <w14:solidFill>
              <w14:schemeClr w14:val="tx1"/>
            </w14:solidFill>
          </w14:textFill>
        </w:rPr>
      </w:pPr>
    </w:p>
    <w:p w14:paraId="6F0521AB">
      <w:pPr>
        <w:rPr>
          <w:rFonts w:hint="eastAsia" w:ascii="宋体" w:hAnsi="宋体" w:eastAsia="宋体" w:cs="宋体"/>
          <w:color w:val="000000" w:themeColor="text1"/>
          <w:sz w:val="28"/>
          <w:szCs w:val="28"/>
          <w:highlight w:val="none"/>
          <w14:textFill>
            <w14:solidFill>
              <w14:schemeClr w14:val="tx1"/>
            </w14:solidFill>
          </w14:textFill>
        </w:rPr>
      </w:pPr>
    </w:p>
    <w:p w14:paraId="5A74FCB4">
      <w:pPr>
        <w:rPr>
          <w:rFonts w:hint="eastAsia" w:ascii="宋体" w:hAnsi="宋体" w:eastAsia="宋体" w:cs="宋体"/>
          <w:color w:val="000000" w:themeColor="text1"/>
          <w:sz w:val="28"/>
          <w:szCs w:val="28"/>
          <w:highlight w:val="none"/>
          <w14:textFill>
            <w14:solidFill>
              <w14:schemeClr w14:val="tx1"/>
            </w14:solidFill>
          </w14:textFill>
        </w:rPr>
      </w:pPr>
    </w:p>
    <w:p w14:paraId="62255D53">
      <w:pPr>
        <w:rPr>
          <w:rFonts w:hint="eastAsia" w:ascii="宋体" w:hAnsi="宋体" w:eastAsia="宋体" w:cs="宋体"/>
          <w:color w:val="000000" w:themeColor="text1"/>
          <w:sz w:val="28"/>
          <w:szCs w:val="28"/>
          <w:highlight w:val="none"/>
          <w14:textFill>
            <w14:solidFill>
              <w14:schemeClr w14:val="tx1"/>
            </w14:solidFill>
          </w14:textFill>
        </w:rPr>
      </w:pPr>
    </w:p>
    <w:p w14:paraId="453564C8">
      <w:pPr>
        <w:rPr>
          <w:rFonts w:hint="eastAsia" w:ascii="宋体" w:hAnsi="宋体" w:eastAsia="宋体" w:cs="宋体"/>
          <w:color w:val="000000" w:themeColor="text1"/>
          <w:sz w:val="28"/>
          <w:szCs w:val="28"/>
          <w:highlight w:val="none"/>
          <w14:textFill>
            <w14:solidFill>
              <w14:schemeClr w14:val="tx1"/>
            </w14:solidFill>
          </w14:textFill>
        </w:rPr>
      </w:pPr>
    </w:p>
    <w:p w14:paraId="5374BC94">
      <w:pPr>
        <w:rPr>
          <w:rFonts w:hint="eastAsia" w:ascii="宋体" w:hAnsi="宋体" w:eastAsia="宋体" w:cs="宋体"/>
          <w:color w:val="000000" w:themeColor="text1"/>
          <w:sz w:val="28"/>
          <w:szCs w:val="28"/>
          <w:highlight w:val="none"/>
          <w14:textFill>
            <w14:solidFill>
              <w14:schemeClr w14:val="tx1"/>
            </w14:solidFill>
          </w14:textFill>
        </w:rPr>
      </w:pPr>
    </w:p>
    <w:p w14:paraId="245212C9">
      <w:pPr>
        <w:rPr>
          <w:rFonts w:hint="eastAsia" w:ascii="宋体" w:hAnsi="宋体" w:eastAsia="宋体" w:cs="宋体"/>
          <w:color w:val="000000" w:themeColor="text1"/>
          <w:sz w:val="28"/>
          <w:szCs w:val="28"/>
          <w:highlight w:val="none"/>
          <w14:textFill>
            <w14:solidFill>
              <w14:schemeClr w14:val="tx1"/>
            </w14:solidFill>
          </w14:textFill>
        </w:rPr>
      </w:pPr>
    </w:p>
    <w:p w14:paraId="11D2ADF3">
      <w:pPr>
        <w:rPr>
          <w:rFonts w:hint="eastAsia" w:ascii="宋体" w:hAnsi="宋体" w:eastAsia="宋体" w:cs="宋体"/>
          <w:color w:val="000000" w:themeColor="text1"/>
          <w:sz w:val="28"/>
          <w:szCs w:val="28"/>
          <w:highlight w:val="none"/>
          <w14:textFill>
            <w14:solidFill>
              <w14:schemeClr w14:val="tx1"/>
            </w14:solidFill>
          </w14:textFill>
        </w:rPr>
      </w:pPr>
    </w:p>
    <w:p w14:paraId="42B95DD1">
      <w:pPr>
        <w:rPr>
          <w:rFonts w:hint="eastAsia" w:ascii="宋体" w:hAnsi="宋体" w:eastAsia="宋体" w:cs="宋体"/>
          <w:color w:val="000000" w:themeColor="text1"/>
          <w:sz w:val="28"/>
          <w:szCs w:val="28"/>
          <w:highlight w:val="none"/>
          <w14:textFill>
            <w14:solidFill>
              <w14:schemeClr w14:val="tx1"/>
            </w14:solidFill>
          </w14:textFill>
        </w:rPr>
      </w:pPr>
    </w:p>
    <w:p w14:paraId="1B39796A">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14:paraId="5064D094">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发包人预付款担保</w:t>
      </w:r>
    </w:p>
    <w:p w14:paraId="5071764E">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14:paraId="501E54CC">
      <w:pPr>
        <w:jc w:val="cente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保函编号：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80F4834">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w:t>
      </w:r>
    </w:p>
    <w:p w14:paraId="084C9C94">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(承包人名称)(以下称“承包人”)于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(工程名称)施工承包合同(以下称“主合同”)。</w:t>
      </w:r>
    </w:p>
    <w:p w14:paraId="36B337C6">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鉴于该主合同规定，你方将支付承包人一笔金额为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)的预付款(以下称“预付款”)，而承包人须向你方提供与预付款等额的不可撤消和无条件兑现的预付款保函。</w:t>
      </w:r>
    </w:p>
    <w:p w14:paraId="29D72A7A">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我方受承包人委托，为承包人履行主合同规定的义务作出如下不可撤销的保证：</w:t>
      </w:r>
    </w:p>
    <w:p w14:paraId="0BD90A40">
      <w:pPr>
        <w:ind w:firstLine="480" w:firstLineChars="200"/>
        <w:jc w:val="left"/>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我方将在收到你方提出要求收回上述预付款金额的部分或全部的索偿通知时，无须你方提出任何证明或证据，立即无条件地向你方支付不超过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11E3BCD">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)或根据本保函约定递减后的其他金额的任何你方要求的金额，并放弃向你方追索的权力。</w:t>
      </w:r>
    </w:p>
    <w:p w14:paraId="32065E2C">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我方特此确认并同意：我方受本保函制约的责任是连续的，主合同的任何修改、变更、</w:t>
      </w:r>
    </w:p>
    <w:p w14:paraId="4C8001E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中止、终止或失效都不能削弱或影响我方受本保函制约的责任。</w:t>
      </w:r>
    </w:p>
    <w:p w14:paraId="56E2B9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在收到你方的书面通知后，本保函的担保金额将根据你方依主合同签认的进度付款证书</w:t>
      </w:r>
    </w:p>
    <w:p w14:paraId="1BA3259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中累计扣回的预付款金额作等额调减。</w:t>
      </w:r>
    </w:p>
    <w:p w14:paraId="3169A19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本保函自预付款支付给承包人起生效，至你方签发的进度付款证书说明已抵扣完毕止。</w:t>
      </w:r>
    </w:p>
    <w:p w14:paraId="1516407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除非你方提前终止或解除本保函。本保函失效后请将本保函退回我方注销。</w:t>
      </w:r>
    </w:p>
    <w:p w14:paraId="110331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本保函项下所有权利和义务均受中华人民共和国法律管辖和制约。</w:t>
      </w:r>
    </w:p>
    <w:p w14:paraId="65D0994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A7A5E5D">
      <w:pPr>
        <w:rPr>
          <w:rFonts w:hint="eastAsia" w:ascii="宋体" w:hAnsi="宋体" w:eastAsia="宋体" w:cs="宋体"/>
          <w:color w:val="000000" w:themeColor="text1"/>
          <w:sz w:val="24"/>
          <w:szCs w:val="24"/>
          <w:highlight w:val="none"/>
          <w14:textFill>
            <w14:solidFill>
              <w14:schemeClr w14:val="tx1"/>
            </w14:solidFill>
          </w14:textFill>
        </w:rPr>
      </w:pPr>
    </w:p>
    <w:p w14:paraId="79FB8C9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w:t>
      </w:r>
    </w:p>
    <w:p w14:paraId="4580C42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7A622AE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86F9B1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5124DA">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A89868B">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CDCE0B0">
      <w:pPr>
        <w:spacing w:after="156" w:afterLines="50"/>
        <w:ind w:right="108" w:firstLine="4320" w:firstLineChars="180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520DA63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备注：本预付款担保格式可采用经发包人认可的其他格式，但相关内容不得违背合同文件约定的实质性内容。</w:t>
      </w:r>
    </w:p>
    <w:p w14:paraId="0241806B">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附件3</w:t>
      </w:r>
    </w:p>
    <w:p w14:paraId="0398B4E7">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发包人支付保函</w:t>
      </w:r>
    </w:p>
    <w:p w14:paraId="693A508D">
      <w:pPr>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33AFEEC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w:t>
      </w:r>
    </w:p>
    <w:p w14:paraId="4B182DB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鉴于你方作为承包人已经与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包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(发包人名称)(以下称“发包人”)于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(工程名称)施工承包合同(以下称“主合同”)，应发包人的申请，我方愿就发包人履行主合同约定的工程款支付义务以保证的方式向你方提供如下担保：</w:t>
      </w:r>
    </w:p>
    <w:p w14:paraId="6EF052CA">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14:paraId="6FC26179">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我方的保证范围是主合同约定的工程款。</w:t>
      </w:r>
    </w:p>
    <w:p w14:paraId="63F190E6">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本保函所称主合同约定的工程款是指主合同约定的除工程质量保证金以外的合同价款。</w:t>
      </w:r>
    </w:p>
    <w:p w14:paraId="216AF4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我方保证的金额是主合同约定的工程款的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％，数额最高不超过人民币元(大写：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3661AB1E">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14:paraId="2F91B6C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14:paraId="288F3E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我方保证的期间为：自本合同生效之日起至主合同约定的工程款支付之日后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14:paraId="0AB83EA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你方与发包人协议变更工程款支付日期的，经我方书面同意后，保证期间按照变更后的支付日期做相应调整。</w:t>
      </w:r>
    </w:p>
    <w:p w14:paraId="719D495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14:paraId="3FDFDBA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我方承担保证责任的形式是代为支付。发包人未按主合同约定向你方支付工程款的，由我方在保证金额内代为支付。</w:t>
      </w:r>
    </w:p>
    <w:p w14:paraId="37EA77B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14:paraId="2F71A4C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你方要求我方承担保证责任的，应向我方发出书面索赔通知及发包人未支付主合同约定工程款的证明材料。索赔通知应写明要求索赔的金额，支付款项应到达的帐号。</w:t>
      </w:r>
    </w:p>
    <w:p w14:paraId="125CC0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出现你方与发包人因工程质量发生争议，发包人拒绝向你方支付工程款的情形时，你方要求我方履行保证责任代为支付的，还需提供项目总监理工程师、监理人或符合相应条件要求的工程质量检测机构出具的质量说明材料。</w:t>
      </w:r>
    </w:p>
    <w:p w14:paraId="00FFCB5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个工作日内进行核定后按照本保函的承诺承担保证责任。</w:t>
      </w:r>
    </w:p>
    <w:p w14:paraId="399E80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14:paraId="66AD3E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14:paraId="5F2F03C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2、发包人按主合同约定履行了工程款的全部支付义务的，自本保函承诺的保证期间届满次日起，我方保证责任解除。</w:t>
      </w:r>
    </w:p>
    <w:p w14:paraId="0613795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3、我方按照本保函向你方履行保证责任所支付金额达到本保函保证金额时，自我方向你方支付(支付款项从我方帐户划出)之日起，保证责任即解除。</w:t>
      </w:r>
    </w:p>
    <w:p w14:paraId="2975F4A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14:paraId="62C0B5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14:paraId="0C01E59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14:paraId="1EA2BBF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1、因你方违约致使发包人不能履行义务的，我方不承担保证责任。</w:t>
      </w:r>
    </w:p>
    <w:p w14:paraId="444DA64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2、依照法律法规的规定或你方与发包人的另行约定，免除发包人部分或全部义务的，我方亦免除其相应的保证责任。</w:t>
      </w:r>
    </w:p>
    <w:p w14:paraId="34B5242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3、你方与发包人协议变更主合同的(符合主合同合同条款第15条约定的变更除外)，如加重发包人责任致使我方保证责任加重的，需征得我方书面同意，否则我方不再承担因此而加重部分的保证责任。</w:t>
      </w:r>
    </w:p>
    <w:p w14:paraId="2242E34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4、因不可抗力造成发包人不能履行义务的，我方不承担保证责任。</w:t>
      </w:r>
    </w:p>
    <w:p w14:paraId="4F073EE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14:paraId="538D206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14:paraId="0E98D53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14:paraId="1CFF27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14:paraId="0FE8084A">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444562F6">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9182555">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732452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206A6FE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14:paraId="0260FC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5F80F09">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8B7AF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953ECEA">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393EC55">
      <w:pPr>
        <w:rPr>
          <w:rFonts w:hint="eastAsia" w:ascii="宋体" w:hAnsi="宋体" w:eastAsia="宋体" w:cs="宋体"/>
          <w:color w:val="000000" w:themeColor="text1"/>
          <w:sz w:val="24"/>
          <w:szCs w:val="24"/>
          <w:highlight w:val="none"/>
          <w:u w:val="single"/>
          <w14:textFill>
            <w14:solidFill>
              <w14:schemeClr w14:val="tx1"/>
            </w14:solidFill>
          </w14:textFill>
        </w:rPr>
      </w:pPr>
    </w:p>
    <w:p w14:paraId="7EDA8217">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43F89371">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p>
    <w:p w14:paraId="5B4CC54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备注：本支付担保格式可采用经承包人同意的其他格式，但相关约定应当与履约担保对等。</w:t>
      </w:r>
    </w:p>
    <w:p w14:paraId="5C2AB153">
      <w:pPr>
        <w:rPr>
          <w:rFonts w:hint="eastAsia" w:ascii="宋体" w:hAnsi="宋体" w:eastAsia="宋体" w:cs="宋体"/>
          <w:color w:val="000000" w:themeColor="text1"/>
          <w:sz w:val="24"/>
          <w:szCs w:val="24"/>
          <w:highlight w:val="none"/>
          <w:lang w:eastAsia="zh-CN"/>
          <w14:textFill>
            <w14:solidFill>
              <w14:schemeClr w14:val="tx1"/>
            </w14:solidFill>
          </w14:textFill>
        </w:rPr>
      </w:pPr>
    </w:p>
    <w:p w14:paraId="79CB1DC3">
      <w:pPr>
        <w:rPr>
          <w:rFonts w:hint="eastAsia" w:ascii="宋体" w:hAnsi="宋体" w:eastAsia="宋体" w:cs="宋体"/>
          <w:b/>
          <w:color w:val="000000" w:themeColor="text1"/>
          <w:sz w:val="24"/>
          <w:szCs w:val="24"/>
          <w:highlight w:val="none"/>
          <w14:textFill>
            <w14:solidFill>
              <w14:schemeClr w14:val="tx1"/>
            </w14:solidFill>
          </w14:textFill>
        </w:rPr>
      </w:pPr>
    </w:p>
    <w:p w14:paraId="71E53943">
      <w:pPr>
        <w:rPr>
          <w:rFonts w:hint="eastAsia" w:ascii="宋体" w:hAnsi="宋体" w:eastAsia="宋体" w:cs="宋体"/>
          <w:b/>
          <w:color w:val="000000" w:themeColor="text1"/>
          <w:sz w:val="24"/>
          <w:szCs w:val="24"/>
          <w:highlight w:val="none"/>
          <w14:textFill>
            <w14:solidFill>
              <w14:schemeClr w14:val="tx1"/>
            </w14:solidFill>
          </w14:textFill>
        </w:rPr>
      </w:pPr>
    </w:p>
    <w:p w14:paraId="5379DA9C">
      <w:pPr>
        <w:rPr>
          <w:rFonts w:hint="eastAsia" w:ascii="宋体" w:hAnsi="宋体" w:eastAsia="宋体" w:cs="宋体"/>
          <w:color w:val="000000" w:themeColor="text1"/>
          <w:sz w:val="24"/>
          <w:szCs w:val="24"/>
          <w:highlight w:val="none"/>
          <w:lang w:eastAsia="zh-CN"/>
          <w14:textFill>
            <w14:solidFill>
              <w14:schemeClr w14:val="tx1"/>
            </w14:solidFill>
          </w14:textFill>
        </w:rPr>
        <w:sectPr>
          <w:footerReference r:id="rId6" w:type="default"/>
          <w:pgSz w:w="11906" w:h="16838"/>
          <w:pgMar w:top="1440" w:right="1080" w:bottom="1440" w:left="1080" w:header="737" w:footer="737" w:gutter="0"/>
          <w:pgNumType w:fmt="decimal"/>
          <w:cols w:space="720" w:num="1"/>
          <w:docGrid w:linePitch="312" w:charSpace="0"/>
        </w:sectPr>
      </w:pPr>
      <w:r>
        <w:rPr>
          <w:rFonts w:hint="eastAsia" w:ascii="宋体" w:hAnsi="宋体" w:eastAsia="宋体" w:cs="宋体"/>
          <w:b/>
          <w:color w:val="000000" w:themeColor="text1"/>
          <w:sz w:val="24"/>
          <w:szCs w:val="24"/>
          <w:highlight w:val="none"/>
          <w14:textFill>
            <w14:solidFill>
              <w14:schemeClr w14:val="tx1"/>
            </w14:solidFill>
          </w14:textFill>
        </w:rPr>
        <w:t>注：本合同条款仅供参考，甲乙双方可根据实际情况进行补充。</w:t>
      </w:r>
    </w:p>
    <w:p w14:paraId="1475833A">
      <w:pPr>
        <w:spacing w:after="156" w:afterLines="50"/>
        <w:jc w:val="center"/>
        <w:outlineLvl w:val="9"/>
        <w:rPr>
          <w:rFonts w:hint="eastAsia" w:ascii="宋体" w:hAnsi="宋体" w:eastAsia="宋体" w:cs="宋体"/>
          <w:color w:val="000000" w:themeColor="text1"/>
          <w:sz w:val="24"/>
          <w:szCs w:val="24"/>
          <w:highlight w:val="none"/>
          <w:lang w:val="zh-CN"/>
          <w14:textFill>
            <w14:solidFill>
              <w14:schemeClr w14:val="tx1"/>
            </w14:solidFill>
          </w14:textFill>
        </w:rPr>
      </w:pPr>
      <w:bookmarkStart w:id="289" w:name="_Toc23110"/>
      <w:bookmarkStart w:id="290" w:name="_Toc16731"/>
      <w:bookmarkStart w:id="291" w:name="_Toc7148"/>
      <w:bookmarkStart w:id="292" w:name="_Toc21360"/>
      <w:bookmarkStart w:id="293" w:name="_Toc18981"/>
      <w:bookmarkStart w:id="294" w:name="_Toc28315"/>
      <w:bookmarkStart w:id="295" w:name="_Toc563"/>
      <w:bookmarkStart w:id="296" w:name="_Toc427823747"/>
      <w:bookmarkStart w:id="297" w:name="_Toc6773"/>
      <w:bookmarkStart w:id="298" w:name="_Toc464831175"/>
    </w:p>
    <w:p w14:paraId="04B679C9">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3E202EE0">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60A56B61">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12AA206A">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2A5526D4">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5076143C">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6D5C2CB7">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57B2725F">
      <w:p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bookmarkStart w:id="299" w:name="_Toc2402"/>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六</w:t>
      </w:r>
      <w:r>
        <w:rPr>
          <w:rFonts w:hint="eastAsia" w:ascii="宋体" w:hAnsi="宋体" w:eastAsia="宋体" w:cs="宋体"/>
          <w:b/>
          <w:bCs/>
          <w:color w:val="000000" w:themeColor="text1"/>
          <w:sz w:val="36"/>
          <w:szCs w:val="36"/>
          <w:highlight w:val="none"/>
          <w14:textFill>
            <w14:solidFill>
              <w14:schemeClr w14:val="tx1"/>
            </w14:solidFill>
          </w14:textFill>
        </w:rPr>
        <w:t>章  响应文件格式</w:t>
      </w:r>
      <w:bookmarkEnd w:id="289"/>
      <w:bookmarkEnd w:id="290"/>
      <w:bookmarkEnd w:id="291"/>
      <w:bookmarkEnd w:id="292"/>
      <w:bookmarkEnd w:id="293"/>
      <w:bookmarkEnd w:id="294"/>
      <w:bookmarkEnd w:id="295"/>
      <w:bookmarkEnd w:id="296"/>
      <w:bookmarkEnd w:id="297"/>
      <w:bookmarkEnd w:id="298"/>
      <w:bookmarkEnd w:id="299"/>
    </w:p>
    <w:p w14:paraId="33681E5D">
      <w:pPr>
        <w:spacing w:line="420" w:lineRule="exact"/>
        <w:rPr>
          <w:rFonts w:hint="eastAsia" w:ascii="宋体" w:hAnsi="宋体" w:eastAsia="宋体" w:cs="宋体"/>
          <w:color w:val="000000" w:themeColor="text1"/>
          <w:highlight w:val="none"/>
          <w14:textFill>
            <w14:solidFill>
              <w14:schemeClr w14:val="tx1"/>
            </w14:solidFill>
          </w14:textFill>
        </w:rPr>
      </w:pPr>
    </w:p>
    <w:p w14:paraId="7EA5492D">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pPr>
    </w:p>
    <w:p w14:paraId="652482DA">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p>
    <w:p w14:paraId="73435043">
      <w:pPr>
        <w:spacing w:line="360" w:lineRule="auto"/>
        <w:jc w:val="center"/>
        <w:rPr>
          <w:rFonts w:hint="eastAsia" w:ascii="宋体" w:hAnsi="宋体" w:eastAsia="宋体" w:cs="宋体"/>
          <w:b/>
          <w:bCs/>
          <w:color w:val="000000" w:themeColor="text1"/>
          <w:sz w:val="52"/>
          <w:szCs w:val="52"/>
          <w:highlight w:val="none"/>
          <w:u w:val="single"/>
          <w14:textFill>
            <w14:solidFill>
              <w14:schemeClr w14:val="tx1"/>
            </w14:solidFill>
          </w14:textFill>
        </w:rPr>
      </w:pPr>
    </w:p>
    <w:p w14:paraId="7DBD16C2">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14:paraId="1A7C647C">
      <w:pPr>
        <w:spacing w:line="360" w:lineRule="auto"/>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t>项目编号：</w:t>
      </w:r>
    </w:p>
    <w:p w14:paraId="4101D75B">
      <w:pPr>
        <w:spacing w:line="360" w:lineRule="auto"/>
        <w:rPr>
          <w:rFonts w:hint="eastAsia" w:ascii="宋体" w:hAnsi="宋体" w:eastAsia="宋体" w:cs="宋体"/>
          <w:color w:val="000000" w:themeColor="text1"/>
          <w:highlight w:val="none"/>
          <w14:textFill>
            <w14:solidFill>
              <w14:schemeClr w14:val="tx1"/>
            </w14:solidFill>
          </w14:textFill>
        </w:rPr>
      </w:pPr>
    </w:p>
    <w:p w14:paraId="5DD67FEC">
      <w:pPr>
        <w:spacing w:line="360" w:lineRule="auto"/>
        <w:rPr>
          <w:rFonts w:hint="eastAsia" w:ascii="宋体" w:hAnsi="宋体" w:eastAsia="宋体" w:cs="宋体"/>
          <w:color w:val="000000" w:themeColor="text1"/>
          <w:highlight w:val="none"/>
          <w14:textFill>
            <w14:solidFill>
              <w14:schemeClr w14:val="tx1"/>
            </w14:solidFill>
          </w14:textFill>
        </w:rPr>
      </w:pPr>
    </w:p>
    <w:p w14:paraId="5DE609B3">
      <w:pPr>
        <w:spacing w:line="360" w:lineRule="auto"/>
        <w:rPr>
          <w:rFonts w:hint="eastAsia" w:ascii="宋体" w:hAnsi="宋体" w:eastAsia="宋体" w:cs="宋体"/>
          <w:color w:val="000000" w:themeColor="text1"/>
          <w:highlight w:val="none"/>
          <w14:textFill>
            <w14:solidFill>
              <w14:schemeClr w14:val="tx1"/>
            </w14:solidFill>
          </w14:textFill>
        </w:rPr>
      </w:pPr>
    </w:p>
    <w:p w14:paraId="024AFDC9">
      <w:pPr>
        <w:spacing w:line="360" w:lineRule="auto"/>
        <w:rPr>
          <w:rFonts w:hint="eastAsia" w:ascii="宋体" w:hAnsi="宋体" w:eastAsia="宋体" w:cs="宋体"/>
          <w:color w:val="000000" w:themeColor="text1"/>
          <w:highlight w:val="none"/>
          <w14:textFill>
            <w14:solidFill>
              <w14:schemeClr w14:val="tx1"/>
            </w14:solidFill>
          </w14:textFill>
        </w:rPr>
      </w:pPr>
    </w:p>
    <w:p w14:paraId="3A069FE8">
      <w:pPr>
        <w:spacing w:line="360" w:lineRule="auto"/>
        <w:rPr>
          <w:rFonts w:hint="eastAsia" w:ascii="宋体" w:hAnsi="宋体" w:eastAsia="宋体" w:cs="宋体"/>
          <w:color w:val="000000" w:themeColor="text1"/>
          <w:highlight w:val="none"/>
          <w14:textFill>
            <w14:solidFill>
              <w14:schemeClr w14:val="tx1"/>
            </w14:solidFill>
          </w14:textFill>
        </w:rPr>
      </w:pPr>
    </w:p>
    <w:p w14:paraId="3A00844B">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14:paraId="76FAEE84">
      <w:pPr>
        <w:spacing w:line="360" w:lineRule="auto"/>
        <w:jc w:val="center"/>
        <w:rPr>
          <w:rFonts w:hint="eastAsia" w:ascii="宋体" w:hAnsi="宋体" w:eastAsia="宋体" w:cs="宋体"/>
          <w:color w:val="000000" w:themeColor="text1"/>
          <w:sz w:val="44"/>
          <w:szCs w:val="52"/>
          <w:highlight w:val="none"/>
          <w14:textFill>
            <w14:solidFill>
              <w14:schemeClr w14:val="tx1"/>
            </w14:solidFill>
          </w14:textFill>
        </w:rPr>
      </w:pPr>
    </w:p>
    <w:p w14:paraId="4557B172">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14:paraId="3F65A48F">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14:paraId="56D325C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0" w:name="_Toc32738"/>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300"/>
    </w:p>
    <w:p w14:paraId="7305C63C">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1" w:name="_Toc6652"/>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301"/>
    </w:p>
    <w:p w14:paraId="31165E05">
      <w:pPr>
        <w:spacing w:line="360" w:lineRule="auto"/>
        <w:rPr>
          <w:rFonts w:hint="eastAsia" w:ascii="宋体" w:hAnsi="宋体" w:eastAsia="宋体" w:cs="宋体"/>
          <w:color w:val="000000" w:themeColor="text1"/>
          <w:sz w:val="28"/>
          <w:szCs w:val="28"/>
          <w:highlight w:val="none"/>
          <w:u w:val="single"/>
          <w14:textFill>
            <w14:solidFill>
              <w14:schemeClr w14:val="tx1"/>
            </w14:solidFill>
          </w14:textFill>
        </w:rPr>
      </w:pPr>
      <w:bookmarkStart w:id="302" w:name="_Toc3693"/>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地址：</w:t>
      </w:r>
      <w:bookmarkEnd w:id="302"/>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14:paraId="4F5B94A7">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3" w:name="_Toc10765"/>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联系电话：</w:t>
      </w:r>
      <w:bookmarkEnd w:id="303"/>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14:paraId="2748A83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4" w:name="_Toc26817"/>
      <w:r>
        <w:rPr>
          <w:rFonts w:hint="eastAsia" w:ascii="宋体" w:hAnsi="宋体" w:eastAsia="宋体" w:cs="宋体"/>
          <w:color w:val="000000" w:themeColor="text1"/>
          <w:sz w:val="28"/>
          <w:szCs w:val="28"/>
          <w:highlight w:val="none"/>
          <w14:textFill>
            <w14:solidFill>
              <w14:schemeClr w14:val="tx1"/>
            </w14:solidFill>
          </w14:textFill>
        </w:rPr>
        <w:t>年   月    日</w:t>
      </w:r>
      <w:bookmarkEnd w:id="304"/>
    </w:p>
    <w:p w14:paraId="5B6ED7B0">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67C75662">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年</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月  </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日 </w:t>
      </w:r>
      <w:r>
        <w:rPr>
          <w:rFonts w:hint="eastAsia" w:ascii="宋体" w:hAnsi="宋体" w:eastAsia="宋体" w:cs="宋体"/>
          <w:color w:val="000000" w:themeColor="text1"/>
          <w:highlight w:val="none"/>
          <w14:textFill>
            <w14:solidFill>
              <w14:schemeClr w14:val="tx1"/>
            </w14:solidFill>
          </w14:textFill>
        </w:rPr>
        <w:br w:type="page"/>
      </w:r>
    </w:p>
    <w:p w14:paraId="54FAFAE0">
      <w:pPr>
        <w:spacing w:line="360" w:lineRule="auto"/>
        <w:jc w:val="center"/>
        <w:rPr>
          <w:rFonts w:hint="eastAsia" w:ascii="宋体" w:hAnsi="宋体" w:eastAsia="宋体" w:cs="宋体"/>
          <w:color w:val="000000" w:themeColor="text1"/>
          <w:highlight w:val="none"/>
          <w14:textFill>
            <w14:solidFill>
              <w14:schemeClr w14:val="tx1"/>
            </w14:solidFill>
          </w14:textFill>
        </w:rPr>
      </w:pPr>
    </w:p>
    <w:p w14:paraId="55463D67">
      <w:pPr>
        <w:spacing w:line="360" w:lineRule="auto"/>
        <w:jc w:val="center"/>
        <w:rPr>
          <w:rFonts w:hint="eastAsia" w:ascii="宋体" w:hAnsi="宋体" w:eastAsia="宋体" w:cs="宋体"/>
          <w:color w:val="000000" w:themeColor="text1"/>
          <w:highlight w:val="none"/>
          <w14:textFill>
            <w14:solidFill>
              <w14:schemeClr w14:val="tx1"/>
            </w14:solidFill>
          </w14:textFill>
        </w:rPr>
      </w:pPr>
    </w:p>
    <w:p w14:paraId="0064F98D">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（响应文件标书封皮）</w:t>
      </w:r>
    </w:p>
    <w:p w14:paraId="03D7D18A">
      <w:pPr>
        <w:spacing w:line="360" w:lineRule="auto"/>
        <w:jc w:val="righ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kern w:val="1"/>
          <w:sz w:val="36"/>
          <w:szCs w:val="36"/>
          <w:highlight w:val="none"/>
          <w14:textFill>
            <w14:solidFill>
              <w14:schemeClr w14:val="tx1"/>
            </w14:solidFill>
          </w14:textFill>
        </w:rPr>
        <w:t>正（副）本</w:t>
      </w:r>
    </w:p>
    <w:p w14:paraId="31338D87">
      <w:pPr>
        <w:spacing w:line="360" w:lineRule="auto"/>
        <w:rPr>
          <w:rFonts w:hint="eastAsia" w:ascii="宋体" w:hAnsi="宋体" w:eastAsia="宋体" w:cs="宋体"/>
          <w:color w:val="000000" w:themeColor="text1"/>
          <w:highlight w:val="none"/>
          <w14:textFill>
            <w14:solidFill>
              <w14:schemeClr w14:val="tx1"/>
            </w14:solidFill>
          </w14:textFill>
        </w:rPr>
      </w:pPr>
    </w:p>
    <w:p w14:paraId="5D46E6AC">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14:paraId="2B2CCA35">
      <w:pPr>
        <w:spacing w:line="360" w:lineRule="auto"/>
        <w:jc w:val="center"/>
        <w:rPr>
          <w:rFonts w:hint="eastAsia" w:ascii="宋体" w:hAnsi="宋体" w:eastAsia="宋体" w:cs="宋体"/>
          <w:color w:val="000000" w:themeColor="text1"/>
          <w:sz w:val="24"/>
          <w:szCs w:val="28"/>
          <w:highlight w:val="none"/>
          <w:lang w:eastAsia="zh-CN"/>
          <w14:textFill>
            <w14:solidFill>
              <w14:schemeClr w14:val="tx1"/>
            </w14:solidFill>
          </w14:textFill>
        </w:rPr>
      </w:pPr>
      <w:r>
        <w:rPr>
          <w:rFonts w:hint="eastAsia" w:ascii="宋体" w:hAnsi="宋体" w:eastAsia="宋体" w:cs="宋体"/>
          <w:color w:val="000000" w:themeColor="text1"/>
          <w:sz w:val="24"/>
          <w:szCs w:val="28"/>
          <w:highlight w:val="none"/>
          <w:lang w:eastAsia="zh-CN"/>
          <w14:textFill>
            <w14:solidFill>
              <w14:schemeClr w14:val="tx1"/>
            </w14:solidFill>
          </w14:textFill>
        </w:rPr>
        <w:t>项目编号：</w:t>
      </w:r>
    </w:p>
    <w:p w14:paraId="53C4682E">
      <w:pPr>
        <w:spacing w:line="360" w:lineRule="auto"/>
        <w:rPr>
          <w:rFonts w:hint="eastAsia" w:ascii="宋体" w:hAnsi="宋体" w:eastAsia="宋体" w:cs="宋体"/>
          <w:color w:val="000000" w:themeColor="text1"/>
          <w:highlight w:val="none"/>
          <w14:textFill>
            <w14:solidFill>
              <w14:schemeClr w14:val="tx1"/>
            </w14:solidFill>
          </w14:textFill>
        </w:rPr>
      </w:pPr>
    </w:p>
    <w:p w14:paraId="4E0B748F">
      <w:pPr>
        <w:spacing w:line="360" w:lineRule="auto"/>
        <w:rPr>
          <w:rFonts w:hint="eastAsia" w:ascii="宋体" w:hAnsi="宋体" w:eastAsia="宋体" w:cs="宋体"/>
          <w:color w:val="000000" w:themeColor="text1"/>
          <w:highlight w:val="none"/>
          <w14:textFill>
            <w14:solidFill>
              <w14:schemeClr w14:val="tx1"/>
            </w14:solidFill>
          </w14:textFill>
        </w:rPr>
      </w:pPr>
    </w:p>
    <w:p w14:paraId="3DCBE998">
      <w:pPr>
        <w:spacing w:line="360" w:lineRule="auto"/>
        <w:rPr>
          <w:rFonts w:hint="eastAsia" w:ascii="宋体" w:hAnsi="宋体" w:eastAsia="宋体" w:cs="宋体"/>
          <w:color w:val="000000" w:themeColor="text1"/>
          <w:highlight w:val="none"/>
          <w14:textFill>
            <w14:solidFill>
              <w14:schemeClr w14:val="tx1"/>
            </w14:solidFill>
          </w14:textFill>
        </w:rPr>
      </w:pPr>
    </w:p>
    <w:p w14:paraId="0A30B532">
      <w:pPr>
        <w:spacing w:line="360" w:lineRule="auto"/>
        <w:rPr>
          <w:rFonts w:hint="eastAsia" w:ascii="宋体" w:hAnsi="宋体" w:eastAsia="宋体" w:cs="宋体"/>
          <w:color w:val="000000" w:themeColor="text1"/>
          <w:highlight w:val="none"/>
          <w14:textFill>
            <w14:solidFill>
              <w14:schemeClr w14:val="tx1"/>
            </w14:solidFill>
          </w14:textFill>
        </w:rPr>
      </w:pPr>
    </w:p>
    <w:p w14:paraId="771E6A74">
      <w:pPr>
        <w:spacing w:line="360" w:lineRule="auto"/>
        <w:rPr>
          <w:rFonts w:hint="eastAsia" w:ascii="宋体" w:hAnsi="宋体" w:eastAsia="宋体" w:cs="宋体"/>
          <w:color w:val="000000" w:themeColor="text1"/>
          <w:highlight w:val="none"/>
          <w14:textFill>
            <w14:solidFill>
              <w14:schemeClr w14:val="tx1"/>
            </w14:solidFill>
          </w14:textFill>
        </w:rPr>
      </w:pPr>
    </w:p>
    <w:p w14:paraId="09FAE02C">
      <w:pPr>
        <w:spacing w:line="360" w:lineRule="auto"/>
        <w:rPr>
          <w:rFonts w:hint="eastAsia" w:ascii="宋体" w:hAnsi="宋体" w:eastAsia="宋体" w:cs="宋体"/>
          <w:color w:val="000000" w:themeColor="text1"/>
          <w:highlight w:val="none"/>
          <w14:textFill>
            <w14:solidFill>
              <w14:schemeClr w14:val="tx1"/>
            </w14:solidFill>
          </w14:textFill>
        </w:rPr>
      </w:pPr>
    </w:p>
    <w:p w14:paraId="5CD41B9C">
      <w:pPr>
        <w:spacing w:line="360" w:lineRule="auto"/>
        <w:rPr>
          <w:rFonts w:hint="eastAsia" w:ascii="宋体" w:hAnsi="宋体" w:eastAsia="宋体" w:cs="宋体"/>
          <w:color w:val="000000" w:themeColor="text1"/>
          <w:highlight w:val="none"/>
          <w14:textFill>
            <w14:solidFill>
              <w14:schemeClr w14:val="tx1"/>
            </w14:solidFill>
          </w14:textFill>
        </w:rPr>
      </w:pPr>
    </w:p>
    <w:p w14:paraId="17ABC5AF">
      <w:pPr>
        <w:spacing w:line="360" w:lineRule="auto"/>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14:paraId="71AB390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7578A19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60F2991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1EF3A9C2">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0FC96EC6">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266A6BC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5" w:name="_Toc17052"/>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305"/>
    </w:p>
    <w:p w14:paraId="7D91149F">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6" w:name="_Toc21270"/>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306"/>
    </w:p>
    <w:p w14:paraId="587B7FDA">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center"/>
        <w:textAlignment w:val="auto"/>
        <w:rPr>
          <w:rFonts w:hint="eastAsia" w:ascii="宋体" w:hAnsi="宋体" w:eastAsia="宋体" w:cs="宋体"/>
          <w:b/>
          <w:bCs/>
          <w:color w:val="000000" w:themeColor="text1"/>
          <w:sz w:val="32"/>
          <w:szCs w:val="32"/>
          <w:highlight w:val="none"/>
          <w:lang w:val="en-US" w:eastAsia="zh-CN"/>
          <w14:textFill>
            <w14:solidFill>
              <w14:schemeClr w14:val="tx1"/>
            </w14:solidFill>
          </w14:textFill>
        </w:rPr>
      </w:pPr>
      <w:bookmarkStart w:id="307" w:name="_Toc26551"/>
      <w:r>
        <w:rPr>
          <w:rFonts w:hint="eastAsia" w:ascii="宋体" w:hAnsi="宋体" w:eastAsia="宋体" w:cs="宋体"/>
          <w:color w:val="000000" w:themeColor="text1"/>
          <w:sz w:val="28"/>
          <w:szCs w:val="28"/>
          <w:highlight w:val="none"/>
          <w14:textFill>
            <w14:solidFill>
              <w14:schemeClr w14:val="tx1"/>
            </w14:solidFill>
          </w14:textFill>
        </w:rPr>
        <w:t>年     月     日</w:t>
      </w:r>
      <w:bookmarkEnd w:id="307"/>
      <w:r>
        <w:rPr>
          <w:rFonts w:hint="eastAsia" w:ascii="宋体" w:hAnsi="宋体" w:eastAsia="宋体" w:cs="宋体"/>
          <w:color w:val="000000" w:themeColor="text1"/>
          <w:kern w:val="1"/>
          <w:sz w:val="30"/>
          <w:szCs w:val="30"/>
          <w:highlight w:val="none"/>
          <w14:textFill>
            <w14:solidFill>
              <w14:schemeClr w14:val="tx1"/>
            </w14:solidFill>
          </w14:textFill>
        </w:rPr>
        <w:br w:type="page"/>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目录</w:t>
      </w:r>
    </w:p>
    <w:p w14:paraId="3A06A7E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（1）报价函</w:t>
      </w:r>
    </w:p>
    <w:p w14:paraId="41ED8CA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（2）报价一览表</w:t>
      </w:r>
    </w:p>
    <w:p w14:paraId="05C1CC2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（3）商务偏离表</w:t>
      </w:r>
    </w:p>
    <w:p w14:paraId="7A30F21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lang w:val="en-US" w:eastAsia="zh-CN"/>
          <w14:textFill>
            <w14:solidFill>
              <w14:schemeClr w14:val="tx1"/>
            </w14:solidFill>
          </w14:textFill>
        </w:rPr>
        <w:t>）谈判保证金汇款凭证或保函</w:t>
      </w:r>
    </w:p>
    <w:p w14:paraId="362C438B">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lang w:val="en-US" w:eastAsia="zh-CN"/>
          <w14:textFill>
            <w14:solidFill>
              <w14:schemeClr w14:val="tx1"/>
            </w14:solidFill>
          </w14:textFill>
        </w:rPr>
        <w:t>）法定代表人身份证明</w:t>
      </w:r>
    </w:p>
    <w:p w14:paraId="6F1CA10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）法定代表人委托书</w:t>
      </w:r>
    </w:p>
    <w:p w14:paraId="2A798619">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）投标人基本情况一览表</w:t>
      </w:r>
    </w:p>
    <w:p w14:paraId="36D0406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8</w:t>
      </w:r>
      <w:r>
        <w:rPr>
          <w:rFonts w:hint="eastAsia" w:ascii="宋体" w:hAnsi="宋体" w:eastAsia="宋体" w:cs="宋体"/>
          <w:color w:val="000000" w:themeColor="text1"/>
          <w:sz w:val="28"/>
          <w:szCs w:val="28"/>
          <w:highlight w:val="none"/>
          <w:lang w:val="en-US" w:eastAsia="zh-CN"/>
          <w14:textFill>
            <w14:solidFill>
              <w14:schemeClr w14:val="tx1"/>
            </w14:solidFill>
          </w14:textFill>
        </w:rPr>
        <w:t>）项目管理机构</w:t>
      </w:r>
    </w:p>
    <w:p w14:paraId="5FD874DA">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（9）</w:t>
      </w:r>
      <w:r>
        <w:rPr>
          <w:rFonts w:hint="eastAsia" w:ascii="宋体" w:hAnsi="宋体" w:eastAsia="宋体" w:cs="宋体"/>
          <w:color w:val="000000" w:themeColor="text1"/>
          <w:sz w:val="28"/>
          <w:szCs w:val="28"/>
          <w:highlight w:val="none"/>
          <w:lang w:val="en-US" w:eastAsia="zh-CN"/>
          <w14:textFill>
            <w14:solidFill>
              <w14:schemeClr w14:val="tx1"/>
            </w14:solidFill>
          </w14:textFill>
        </w:rPr>
        <w:t>近年完成的工程业绩表</w:t>
      </w:r>
    </w:p>
    <w:p w14:paraId="77B41BD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0</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拟分包项目情况表</w:t>
      </w:r>
    </w:p>
    <w:p w14:paraId="77F3835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（11）完税证明及社保</w:t>
      </w:r>
    </w:p>
    <w:p w14:paraId="4FBCF4B6">
      <w:pPr>
        <w:keepNext w:val="0"/>
        <w:keepLines w:val="0"/>
        <w:pageBreakBefore w:val="0"/>
        <w:widowControl w:val="0"/>
        <w:kinsoku/>
        <w:wordWrap/>
        <w:overflowPunct/>
        <w:topLinePunct w:val="0"/>
        <w:autoSpaceDE/>
        <w:autoSpaceDN/>
        <w:bidi w:val="0"/>
        <w:adjustRightInd/>
        <w:snapToGrid/>
        <w:spacing w:line="500" w:lineRule="exact"/>
        <w:ind w:left="839" w:leftChars="266" w:hanging="280"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2</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）具有良好的商业信誉和健全的财务会计制度：提供2023年或2024年由第三方审计机构出具的审计报告和健全的财务会计制度；（2025年01月01日起至今成立的企业无需提供以上材料）。</w:t>
      </w:r>
    </w:p>
    <w:p w14:paraId="2771CE3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lang w:val="en-US" w:eastAsia="zh-CN"/>
          <w14:textFill>
            <w14:solidFill>
              <w14:schemeClr w14:val="tx1"/>
            </w14:solidFill>
          </w14:textFill>
        </w:rPr>
        <w:t>）中小企业声明函</w:t>
      </w:r>
    </w:p>
    <w:p w14:paraId="2CDC691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lang w:val="en-US" w:eastAsia="zh-CN"/>
          <w14:textFill>
            <w14:solidFill>
              <w14:schemeClr w14:val="tx1"/>
            </w14:solidFill>
          </w14:textFill>
        </w:rPr>
        <w:t>）实施方案</w:t>
      </w:r>
    </w:p>
    <w:p w14:paraId="0D77F8E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lang w:val="en-US" w:eastAsia="zh-CN"/>
          <w14:textFill>
            <w14:solidFill>
              <w14:schemeClr w14:val="tx1"/>
            </w14:solidFill>
          </w14:textFill>
        </w:rPr>
        <w:t>）提供针对本次项目《三年内无重大违法承诺书》</w:t>
      </w:r>
    </w:p>
    <w:p w14:paraId="3CF9C8F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）网站截图</w:t>
      </w:r>
    </w:p>
    <w:p w14:paraId="17B5E34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）投标建造师无在建项目承诺书</w:t>
      </w:r>
    </w:p>
    <w:p w14:paraId="1FB3BC51">
      <w:pPr>
        <w:pStyle w:val="15"/>
        <w:ind w:firstLine="560" w:firstLineChars="200"/>
        <w:rPr>
          <w:rFonts w:hint="default"/>
          <w:lang w:val="en-US" w:eastAsia="zh-CN"/>
        </w:rPr>
      </w:pPr>
      <w:r>
        <w:rPr>
          <w:rFonts w:hint="eastAsia" w:ascii="宋体" w:hAnsi="宋体" w:cs="宋体"/>
          <w:color w:val="000000" w:themeColor="text1"/>
          <w:sz w:val="28"/>
          <w:szCs w:val="28"/>
          <w:highlight w:val="none"/>
          <w:lang w:val="en-US" w:eastAsia="zh-CN"/>
          <w14:textFill>
            <w14:solidFill>
              <w14:schemeClr w14:val="tx1"/>
            </w14:solidFill>
          </w14:textFill>
        </w:rPr>
        <w:t>（18）拟承建该工程的项目班组人员无在建项目承诺书</w:t>
      </w:r>
    </w:p>
    <w:p w14:paraId="2979561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19</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项目负责人业绩真实性承诺书</w:t>
      </w:r>
    </w:p>
    <w:p w14:paraId="3C56567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（20）承诺书</w:t>
      </w:r>
    </w:p>
    <w:p w14:paraId="67077D2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21</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）投标企业认为提交的其他资料</w:t>
      </w:r>
    </w:p>
    <w:p w14:paraId="4312EEA2">
      <w:pPr>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69D18D5">
      <w:pPr>
        <w:pStyle w:val="3"/>
        <w:pageBreakBefore w:val="0"/>
        <w:kinsoku/>
        <w:wordWrap/>
        <w:overflowPunct/>
        <w:topLinePunct w:val="0"/>
        <w:autoSpaceDE/>
        <w:autoSpaceDN/>
        <w:bidi w:val="0"/>
        <w:spacing w:before="0" w:after="0" w:line="360" w:lineRule="auto"/>
        <w:jc w:val="center"/>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一、报价</w:t>
      </w:r>
      <w:r>
        <w:rPr>
          <w:rFonts w:hint="eastAsia" w:ascii="宋体" w:hAnsi="宋体" w:eastAsia="宋体" w:cs="宋体"/>
          <w:bCs/>
          <w:color w:val="000000" w:themeColor="text1"/>
          <w:sz w:val="28"/>
          <w:szCs w:val="28"/>
          <w:highlight w:val="none"/>
          <w14:textFill>
            <w14:solidFill>
              <w14:schemeClr w14:val="tx1"/>
            </w14:solidFill>
          </w14:textFill>
        </w:rPr>
        <w:t>函</w:t>
      </w:r>
    </w:p>
    <w:p w14:paraId="06D984D3">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8"/>
          <w:szCs w:val="28"/>
          <w:highlight w:val="none"/>
          <w14:textFill>
            <w14:solidFill>
              <w14:schemeClr w14:val="tx1"/>
            </w14:solidFill>
          </w14:textFill>
        </w:rPr>
      </w:pPr>
    </w:p>
    <w:p w14:paraId="74B959D5">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（采购单位）</w:t>
      </w:r>
      <w:r>
        <w:rPr>
          <w:rFonts w:hint="eastAsia" w:ascii="宋体" w:hAnsi="宋体" w:eastAsia="宋体" w:cs="宋体"/>
          <w:color w:val="000000" w:themeColor="text1"/>
          <w:sz w:val="24"/>
          <w:szCs w:val="24"/>
          <w:highlight w:val="none"/>
          <w14:textFill>
            <w14:solidFill>
              <w14:schemeClr w14:val="tx1"/>
            </w14:solidFill>
          </w14:textFill>
        </w:rPr>
        <w:t>：</w:t>
      </w:r>
    </w:p>
    <w:p w14:paraId="278FA5E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收到你们的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none"/>
          <w14:textFill>
            <w14:solidFill>
              <w14:schemeClr w14:val="tx1"/>
            </w14:solidFill>
          </w14:textFill>
        </w:rPr>
        <w:t>号</w:t>
      </w:r>
      <w:r>
        <w:rPr>
          <w:rFonts w:hint="eastAsia" w:ascii="宋体" w:hAnsi="宋体" w:eastAsia="宋体" w:cs="宋体"/>
          <w:color w:val="000000" w:themeColor="text1"/>
          <w:sz w:val="24"/>
          <w:szCs w:val="24"/>
          <w:highlight w:val="none"/>
          <w14:textFill>
            <w14:solidFill>
              <w14:schemeClr w14:val="tx1"/>
            </w14:solidFill>
          </w14:textFill>
        </w:rPr>
        <w:t>文件，经认真研究，我们决定参加谈判并报价。</w:t>
      </w:r>
    </w:p>
    <w:p w14:paraId="094301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按照文件中的一切要求，提供本项目内容的采购、</w:t>
      </w:r>
      <w:r>
        <w:rPr>
          <w:rFonts w:hint="eastAsia" w:ascii="宋体" w:hAnsi="宋体" w:eastAsia="宋体" w:cs="宋体"/>
          <w:bCs/>
          <w:color w:val="000000" w:themeColor="text1"/>
          <w:sz w:val="24"/>
          <w:szCs w:val="24"/>
          <w:highlight w:val="none"/>
          <w14:textFill>
            <w14:solidFill>
              <w14:schemeClr w14:val="tx1"/>
            </w14:solidFill>
          </w14:textFill>
        </w:rPr>
        <w:t>运输、养护、验收及相关服务等</w:t>
      </w:r>
      <w:r>
        <w:rPr>
          <w:rFonts w:hint="eastAsia" w:ascii="宋体" w:hAnsi="宋体" w:eastAsia="宋体" w:cs="宋体"/>
          <w:color w:val="000000" w:themeColor="text1"/>
          <w:sz w:val="24"/>
          <w:szCs w:val="24"/>
          <w:highlight w:val="none"/>
          <w14:textFill>
            <w14:solidFill>
              <w14:schemeClr w14:val="tx1"/>
            </w14:solidFill>
          </w14:textFill>
        </w:rPr>
        <w:t>。总价为￥：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元（用阿拉伯数字书写）人民币，</w:t>
      </w:r>
      <w:r>
        <w:rPr>
          <w:rFonts w:hint="eastAsia" w:ascii="宋体" w:hAnsi="宋体" w:cs="宋体"/>
          <w:color w:val="000000" w:themeColor="text1"/>
          <w:sz w:val="24"/>
          <w:szCs w:val="24"/>
          <w:highlight w:val="none"/>
          <w:lang w:eastAsia="zh-CN"/>
          <w14:textFill>
            <w14:solidFill>
              <w14:schemeClr w14:val="tx1"/>
            </w14:solidFill>
          </w14:textFill>
        </w:rPr>
        <w:t>大写</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明细见投标报价表。</w:t>
      </w:r>
    </w:p>
    <w:p w14:paraId="2B1B72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如果我们的报价文件被接受，我们将履行文件中规定的每一项义务和要求，按期、按质、按量完成交货。</w:t>
      </w:r>
    </w:p>
    <w:p w14:paraId="13A474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我们同意按谈判文件的规定，本报价文件的有效期为开标后</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w:t>
      </w:r>
    </w:p>
    <w:p w14:paraId="6F1ADE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我们愿意提供采购人在文件中要求的所有资料。</w:t>
      </w:r>
    </w:p>
    <w:p w14:paraId="5FACECA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我们认为你们有选择或拒绝任何投标者中标的权利。我们理解，最低报价不是中标的唯一条件。</w:t>
      </w:r>
    </w:p>
    <w:p w14:paraId="6DA312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我们愿意按合同履行自己的全部责任。</w:t>
      </w:r>
    </w:p>
    <w:p w14:paraId="364457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我们愿意遵守国家有关规定的收费标准，承付中标服务费。</w:t>
      </w:r>
    </w:p>
    <w:p w14:paraId="2D8B992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我们同意按谈判文件规定，缴纳</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元谈判保证金。</w:t>
      </w:r>
    </w:p>
    <w:p w14:paraId="6297AA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我们保证报价文件中的所有证件和内容真实有效，否则我们愿意承担一切法律责任。</w:t>
      </w:r>
    </w:p>
    <w:p w14:paraId="271351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t>其他说明。</w:t>
      </w:r>
    </w:p>
    <w:p w14:paraId="760C8F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所有有关本次谈判的函电，请按下列地址联系：</w:t>
      </w:r>
    </w:p>
    <w:p w14:paraId="02878B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xml:space="preserve">(盖章) ：                         </w:t>
      </w:r>
    </w:p>
    <w:p w14:paraId="32FF193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10E7168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p>
    <w:p w14:paraId="696265F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p w14:paraId="7F4B08C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p w14:paraId="2B8344B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p w14:paraId="07FC62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3553660E">
      <w:pPr>
        <w:pageBreakBefore w:val="0"/>
        <w:numPr>
          <w:ilvl w:val="0"/>
          <w:numId w:val="0"/>
        </w:numPr>
        <w:kinsoku/>
        <w:wordWrap/>
        <w:overflowPunct/>
        <w:topLinePunct w:val="0"/>
        <w:autoSpaceDE/>
        <w:autoSpaceDN/>
        <w:bidi w:val="0"/>
        <w:spacing w:line="360" w:lineRule="auto"/>
        <w:ind w:left="-360" w:leftChars="0"/>
        <w:jc w:val="righ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3A9E9D38">
      <w:pPr>
        <w:pageBreakBefore w:val="0"/>
        <w:widowControl/>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lang w:val="en-US" w:eastAsia="zh-CN"/>
          <w14:textFill>
            <w14:solidFill>
              <w14:schemeClr w14:val="tx1"/>
            </w14:solidFill>
          </w14:textFill>
        </w:rPr>
        <w:t>二、报价一览表</w:t>
      </w:r>
    </w:p>
    <w:p w14:paraId="1B75FE94">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14:paraId="5E0925B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 xml:space="preserve">：                           </w:t>
      </w:r>
    </w:p>
    <w:tbl>
      <w:tblPr>
        <w:tblStyle w:val="19"/>
        <w:tblW w:w="85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35"/>
        <w:gridCol w:w="3255"/>
        <w:gridCol w:w="1411"/>
        <w:gridCol w:w="1245"/>
        <w:gridCol w:w="1174"/>
      </w:tblGrid>
      <w:tr w14:paraId="10E91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trPr>
        <w:tc>
          <w:tcPr>
            <w:tcW w:w="1435" w:type="dxa"/>
            <w:noWrap w:val="0"/>
            <w:vAlign w:val="center"/>
          </w:tcPr>
          <w:p w14:paraId="3EB5189A">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3255" w:type="dxa"/>
            <w:noWrap w:val="0"/>
            <w:vAlign w:val="center"/>
          </w:tcPr>
          <w:p w14:paraId="38E00F9F">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建设规模</w:t>
            </w:r>
          </w:p>
        </w:tc>
        <w:tc>
          <w:tcPr>
            <w:tcW w:w="1411" w:type="dxa"/>
            <w:noWrap w:val="0"/>
            <w:vAlign w:val="center"/>
          </w:tcPr>
          <w:p w14:paraId="0DDE8BA5">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总价（元）</w:t>
            </w:r>
          </w:p>
        </w:tc>
        <w:tc>
          <w:tcPr>
            <w:tcW w:w="1245" w:type="dxa"/>
            <w:noWrap w:val="0"/>
            <w:vAlign w:val="center"/>
          </w:tcPr>
          <w:p w14:paraId="11648232">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计划工期</w:t>
            </w:r>
          </w:p>
        </w:tc>
        <w:tc>
          <w:tcPr>
            <w:tcW w:w="1174" w:type="dxa"/>
            <w:noWrap w:val="0"/>
            <w:vAlign w:val="center"/>
          </w:tcPr>
          <w:p w14:paraId="7819C9AC">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备注</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14:paraId="4786A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06" w:hRule="atLeast"/>
        </w:trPr>
        <w:tc>
          <w:tcPr>
            <w:tcW w:w="1435" w:type="dxa"/>
            <w:noWrap w:val="0"/>
            <w:vAlign w:val="center"/>
          </w:tcPr>
          <w:p w14:paraId="246C8214">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3255" w:type="dxa"/>
            <w:noWrap w:val="0"/>
            <w:vAlign w:val="center"/>
          </w:tcPr>
          <w:p w14:paraId="034F8ACC">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11" w:type="dxa"/>
            <w:noWrap w:val="0"/>
            <w:vAlign w:val="center"/>
          </w:tcPr>
          <w:p w14:paraId="137CEE01">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45" w:type="dxa"/>
            <w:noWrap w:val="0"/>
            <w:vAlign w:val="center"/>
          </w:tcPr>
          <w:p w14:paraId="516BCC67">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174" w:type="dxa"/>
            <w:noWrap w:val="0"/>
            <w:vAlign w:val="center"/>
          </w:tcPr>
          <w:p w14:paraId="2B11A3E0">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5178C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trPr>
        <w:tc>
          <w:tcPr>
            <w:tcW w:w="1435" w:type="dxa"/>
            <w:noWrap w:val="0"/>
            <w:vAlign w:val="center"/>
          </w:tcPr>
          <w:p w14:paraId="3097B8CB">
            <w:pPr>
              <w:pageBreakBefore w:val="0"/>
              <w:tabs>
                <w:tab w:val="left" w:pos="0"/>
              </w:tabs>
              <w:kinsoku/>
              <w:wordWrap/>
              <w:overflowPunct/>
              <w:topLinePunct w:val="0"/>
              <w:autoSpaceDE/>
              <w:autoSpaceDN/>
              <w:bidi w:val="0"/>
              <w:spacing w:line="240" w:lineRule="auto"/>
              <w:ind w:left="0" w:leftChars="0" w:firstLine="120" w:firstLineChars="5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总价：</w:t>
            </w:r>
          </w:p>
        </w:tc>
        <w:tc>
          <w:tcPr>
            <w:tcW w:w="7085" w:type="dxa"/>
            <w:gridSpan w:val="4"/>
            <w:noWrap w:val="0"/>
            <w:vAlign w:val="center"/>
          </w:tcPr>
          <w:p w14:paraId="69D91E2C">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r>
      <w:tr w14:paraId="61772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1435" w:type="dxa"/>
            <w:noWrap w:val="0"/>
            <w:vAlign w:val="center"/>
          </w:tcPr>
          <w:p w14:paraId="1BDB82F2">
            <w:pPr>
              <w:pageBreakBefore w:val="0"/>
              <w:tabs>
                <w:tab w:val="left" w:pos="0"/>
              </w:tabs>
              <w:kinsoku/>
              <w:wordWrap/>
              <w:overflowPunct/>
              <w:topLinePunct w:val="0"/>
              <w:autoSpaceDE/>
              <w:autoSpaceDN/>
              <w:bidi w:val="0"/>
              <w:spacing w:line="240" w:lineRule="auto"/>
              <w:ind w:left="0" w:leftChars="0" w:firstLine="240" w:firstLineChars="10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大写：</w:t>
            </w:r>
          </w:p>
        </w:tc>
        <w:tc>
          <w:tcPr>
            <w:tcW w:w="7085" w:type="dxa"/>
            <w:gridSpan w:val="4"/>
            <w:noWrap w:val="0"/>
            <w:vAlign w:val="center"/>
          </w:tcPr>
          <w:p w14:paraId="3D3A1698">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14:paraId="001D2B54">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注：1.此表应按“报价人须知”的规定，按文件提供的范围填报投标一览表。</w:t>
      </w:r>
    </w:p>
    <w:p w14:paraId="0014229A">
      <w:pPr>
        <w:pageBreakBefore w:val="0"/>
        <w:kinsoku/>
        <w:wordWrap/>
        <w:overflowPunct/>
        <w:topLinePunct w:val="0"/>
        <w:autoSpaceDE/>
        <w:autoSpaceDN/>
        <w:bidi w:val="0"/>
        <w:spacing w:line="360" w:lineRule="auto"/>
        <w:ind w:left="0" w:leftChars="0"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2.投标一览表中投标总报价大小应写一致，如不一致以大写为准。</w:t>
      </w:r>
    </w:p>
    <w:p w14:paraId="1893367B">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3.后附报价清单。</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C2E0F51">
      <w:pPr>
        <w:pageBreakBefore w:val="0"/>
        <w:kinsoku/>
        <w:wordWrap/>
        <w:overflowPunct/>
        <w:topLinePunct w:val="0"/>
        <w:autoSpaceDE/>
        <w:autoSpaceDN/>
        <w:bidi w:val="0"/>
        <w:spacing w:line="360" w:lineRule="auto"/>
        <w:ind w:left="0" w:leftChars="0" w:firstLine="4560" w:firstLineChars="19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14:paraId="2643D27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8096DD4">
      <w:pPr>
        <w:pageBreakBefore w:val="0"/>
        <w:kinsoku/>
        <w:wordWrap/>
        <w:overflowPunct/>
        <w:topLinePunct w:val="0"/>
        <w:autoSpaceDE/>
        <w:autoSpaceDN/>
        <w:bidi w:val="0"/>
        <w:spacing w:line="360" w:lineRule="auto"/>
        <w:ind w:left="0" w:leftChars="0" w:firstLine="3360" w:firstLineChars="140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6584065D">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ED92D28">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64C0483B">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bookmarkStart w:id="308" w:name="_Toc11818"/>
      <w:bookmarkStart w:id="309" w:name="_Toc13754"/>
      <w:bookmarkStart w:id="310" w:name="_Toc5822"/>
      <w:bookmarkStart w:id="311" w:name="_Toc8285"/>
      <w:bookmarkStart w:id="312" w:name="_Toc8617"/>
      <w:bookmarkStart w:id="313" w:name="_Toc22810"/>
      <w:bookmarkStart w:id="314" w:name="_Toc12616"/>
      <w:bookmarkStart w:id="315" w:name="_Toc16919"/>
    </w:p>
    <w:p w14:paraId="141402B9">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2D58768">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25D87CE">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C26079A">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E188DF4">
      <w:pPr>
        <w:pageBreakBefore w:val="0"/>
        <w:kinsoku/>
        <w:wordWrap/>
        <w:overflowPunct/>
        <w:topLinePunct w:val="0"/>
        <w:autoSpaceDE/>
        <w:autoSpaceDN/>
        <w:bidi w:val="0"/>
        <w:ind w:left="0" w:left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14:textFill>
            <w14:solidFill>
              <w14:schemeClr w14:val="tx1"/>
            </w14:solidFill>
          </w14:textFill>
        </w:rPr>
        <w:t>商务条款偏离表</w:t>
      </w:r>
      <w:bookmarkEnd w:id="308"/>
      <w:bookmarkEnd w:id="309"/>
    </w:p>
    <w:p w14:paraId="133035D6">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14:paraId="776EC7B6">
      <w:pPr>
        <w:pageBreakBefore w:val="0"/>
        <w:kinsoku/>
        <w:wordWrap/>
        <w:overflowPunct/>
        <w:topLinePunct w:val="0"/>
        <w:autoSpaceDE/>
        <w:autoSpaceDN/>
        <w:bidi w:val="0"/>
        <w:spacing w:line="36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w:t>
      </w:r>
    </w:p>
    <w:tbl>
      <w:tblPr>
        <w:tblStyle w:val="19"/>
        <w:tblW w:w="8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05"/>
        <w:gridCol w:w="2177"/>
        <w:gridCol w:w="2215"/>
        <w:gridCol w:w="1706"/>
      </w:tblGrid>
      <w:tr w14:paraId="0E986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414EFED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705" w:type="dxa"/>
            <w:noWrap w:val="0"/>
            <w:vAlign w:val="center"/>
          </w:tcPr>
          <w:p w14:paraId="1323885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w:t>
            </w:r>
          </w:p>
          <w:p w14:paraId="1803944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条目号</w:t>
            </w:r>
          </w:p>
        </w:tc>
        <w:tc>
          <w:tcPr>
            <w:tcW w:w="2177" w:type="dxa"/>
            <w:noWrap w:val="0"/>
            <w:vAlign w:val="center"/>
          </w:tcPr>
          <w:p w14:paraId="174478E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文件的</w:t>
            </w:r>
          </w:p>
          <w:p w14:paraId="2FB7F9A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2215" w:type="dxa"/>
            <w:noWrap w:val="0"/>
            <w:vAlign w:val="center"/>
          </w:tcPr>
          <w:p w14:paraId="23828FA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报价文件的</w:t>
            </w:r>
          </w:p>
          <w:p w14:paraId="1ADE063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1706" w:type="dxa"/>
            <w:noWrap w:val="0"/>
            <w:vAlign w:val="center"/>
          </w:tcPr>
          <w:p w14:paraId="6C8CBDF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14:paraId="18319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531714E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705" w:type="dxa"/>
            <w:noWrap w:val="0"/>
            <w:vAlign w:val="center"/>
          </w:tcPr>
          <w:p w14:paraId="77E8286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3957D8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18B698A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3724F3D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41E52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49155D8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1705" w:type="dxa"/>
            <w:noWrap w:val="0"/>
            <w:vAlign w:val="center"/>
          </w:tcPr>
          <w:p w14:paraId="208DECC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014D4B4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489CBC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883CB5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0DF23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0828742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1705" w:type="dxa"/>
            <w:noWrap w:val="0"/>
            <w:vAlign w:val="center"/>
          </w:tcPr>
          <w:p w14:paraId="6E05F32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7193ACC">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3A10FE2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9180B4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13F31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27462B3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c>
          <w:tcPr>
            <w:tcW w:w="1705" w:type="dxa"/>
            <w:noWrap w:val="0"/>
            <w:vAlign w:val="center"/>
          </w:tcPr>
          <w:p w14:paraId="1AD6D3C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2622C1E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903BB5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5FDCF5F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1D992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74705AB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49E4523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2350AF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0F10CC8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087E0D7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4F9CB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6C95CF1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5202C73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60A6917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0A3233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D4D2C0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30FB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343D6BD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1CFAA06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2B89930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192EF58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4690CDE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14:paraId="72DE8A73">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2AA1A86F">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：1、应与文件要求逐条对应填写。</w:t>
      </w:r>
    </w:p>
    <w:p w14:paraId="68DB5466">
      <w:pPr>
        <w:pageBreakBefore w:val="0"/>
        <w:numPr>
          <w:ilvl w:val="0"/>
          <w:numId w:val="0"/>
        </w:numPr>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本表如填写不完，可以续页。</w:t>
      </w:r>
    </w:p>
    <w:p w14:paraId="3B43BEEB">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B5570CA">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14:paraId="0706FBDA">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A6B5BC4">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452D1279">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F086947">
      <w:pPr>
        <w:bidi w:val="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3F2FBA7E">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340DDC03">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bookmarkEnd w:id="310"/>
    <w:bookmarkEnd w:id="311"/>
    <w:p w14:paraId="56B66CA9">
      <w:pPr>
        <w:pStyle w:val="23"/>
        <w:rPr>
          <w:rFonts w:hint="eastAsia" w:ascii="宋体" w:hAnsi="宋体" w:eastAsia="宋体" w:cs="宋体"/>
          <w:color w:val="000000" w:themeColor="text1"/>
          <w:sz w:val="28"/>
          <w:szCs w:val="28"/>
          <w:highlight w:val="none"/>
          <w14:textFill>
            <w14:solidFill>
              <w14:schemeClr w14:val="tx1"/>
            </w14:solidFill>
          </w14:textFill>
        </w:rPr>
      </w:pPr>
    </w:p>
    <w:p w14:paraId="49C272CE">
      <w:pPr>
        <w:bidi w:val="0"/>
        <w:jc w:val="center"/>
        <w:rPr>
          <w:rFonts w:hint="default" w:ascii="宋体" w:hAnsi="宋体" w:eastAsia="宋体" w:cs="宋体"/>
          <w:color w:val="000000" w:themeColor="text1"/>
          <w:kern w:val="0"/>
          <w:sz w:val="28"/>
          <w:szCs w:val="28"/>
          <w:highlight w:val="none"/>
          <w:lang w:val="en-US"/>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四</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、谈判保证金汇款凭证</w:t>
      </w:r>
      <w:r>
        <w:rPr>
          <w:rFonts w:hint="eastAsia" w:ascii="宋体" w:hAnsi="宋体" w:cs="宋体"/>
          <w:b/>
          <w:bCs/>
          <w:color w:val="000000" w:themeColor="text1"/>
          <w:sz w:val="28"/>
          <w:szCs w:val="28"/>
          <w:highlight w:val="none"/>
          <w:lang w:val="en-US" w:eastAsia="zh-CN"/>
          <w14:textFill>
            <w14:solidFill>
              <w14:schemeClr w14:val="tx1"/>
            </w14:solidFill>
          </w14:textFill>
        </w:rPr>
        <w:t>或保函</w:t>
      </w:r>
    </w:p>
    <w:p w14:paraId="7DB07659">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5674312F">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4498B689">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06C52E91">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DFFF330">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E7A7DD6">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2C88FEE">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AFB8E98">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3CA705F">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749A04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323C46B">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7C56C8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9B9FD0A">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F712AEF">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A1944B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DE7EA72">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E6834A9">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BB51705">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C9F585F">
      <w:p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br w:type="page"/>
      </w:r>
    </w:p>
    <w:p w14:paraId="6167CC28">
      <w:pPr>
        <w:pStyle w:val="3"/>
        <w:pageBreakBefore w:val="0"/>
        <w:numPr>
          <w:ilvl w:val="0"/>
          <w:numId w:val="0"/>
        </w:numPr>
        <w:kinsoku/>
        <w:wordWrap/>
        <w:overflowPunct/>
        <w:topLinePunct w:val="0"/>
        <w:autoSpaceDE/>
        <w:autoSpaceDN/>
        <w:bidi w:val="0"/>
        <w:spacing w:before="0" w:after="0" w:line="360" w:lineRule="auto"/>
        <w:jc w:val="center"/>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五、</w:t>
      </w:r>
      <w:r>
        <w:rPr>
          <w:rFonts w:hint="eastAsia" w:ascii="宋体" w:hAnsi="宋体" w:eastAsia="宋体" w:cs="宋体"/>
          <w:color w:val="000000" w:themeColor="text1"/>
          <w:kern w:val="0"/>
          <w:sz w:val="28"/>
          <w:szCs w:val="28"/>
          <w:highlight w:val="none"/>
          <w14:textFill>
            <w14:solidFill>
              <w14:schemeClr w14:val="tx1"/>
            </w14:solidFill>
          </w14:textFill>
        </w:rPr>
        <w:t>法定代表人证明书</w:t>
      </w:r>
      <w:bookmarkEnd w:id="312"/>
      <w:bookmarkEnd w:id="313"/>
    </w:p>
    <w:p w14:paraId="1005E665">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8491B32">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F58682B">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18F45A5">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p>
    <w:p w14:paraId="258E88C3">
      <w:pPr>
        <w:pStyle w:val="23"/>
        <w:rPr>
          <w:rFonts w:hint="eastAsia" w:ascii="宋体" w:hAnsi="宋体" w:eastAsia="宋体" w:cs="宋体"/>
          <w:color w:val="000000" w:themeColor="text1"/>
          <w:sz w:val="24"/>
          <w:szCs w:val="24"/>
          <w:highlight w:val="none"/>
          <w14:textFill>
            <w14:solidFill>
              <w14:schemeClr w14:val="tx1"/>
            </w14:solidFill>
          </w14:textFill>
        </w:rPr>
      </w:pPr>
    </w:p>
    <w:p w14:paraId="4A0C3463">
      <w:pPr>
        <w:pStyle w:val="23"/>
        <w:rPr>
          <w:rFonts w:hint="eastAsia" w:ascii="宋体" w:hAnsi="宋体" w:eastAsia="宋体" w:cs="宋体"/>
          <w:color w:val="000000" w:themeColor="text1"/>
          <w:sz w:val="24"/>
          <w:szCs w:val="24"/>
          <w:highlight w:val="none"/>
          <w14:textFill>
            <w14:solidFill>
              <w14:schemeClr w14:val="tx1"/>
            </w14:solidFill>
          </w14:textFill>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14:paraId="31161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6" w:hRule="atLeast"/>
        </w:trPr>
        <w:tc>
          <w:tcPr>
            <w:tcW w:w="4247" w:type="dxa"/>
            <w:noWrap w:val="0"/>
            <w:vAlign w:val="top"/>
          </w:tcPr>
          <w:p w14:paraId="3F8600EB">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top"/>
          </w:tcPr>
          <w:p w14:paraId="665623C8">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14:paraId="15067F0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44DE4F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E7573ED">
      <w:pPr>
        <w:pageBreakBefore w:val="0"/>
        <w:kinsoku/>
        <w:wordWrap/>
        <w:overflowPunct/>
        <w:topLinePunct w:val="0"/>
        <w:autoSpaceDE/>
        <w:autoSpaceDN/>
        <w:bidi w:val="0"/>
        <w:spacing w:line="360" w:lineRule="auto"/>
        <w:ind w:firstLine="3360" w:firstLineChars="14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w:t>
      </w:r>
    </w:p>
    <w:p w14:paraId="01088F88">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1FAB26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3407E1DB">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449D83F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14:paraId="180B0B3C">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14:paraId="11DFA6A2">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14:paraId="461D52CE">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14:paraId="6CCFCC17">
      <w:pPr>
        <w:pageBreakBefore w:val="0"/>
        <w:kinsoku/>
        <w:wordWrap/>
        <w:overflowPunct/>
        <w:topLinePunct w:val="0"/>
        <w:autoSpaceDE/>
        <w:autoSpaceDN/>
        <w:bidi w:val="0"/>
        <w:spacing w:line="400" w:lineRule="exact"/>
        <w:ind w:left="0" w:leftChars="0"/>
        <w:jc w:val="left"/>
        <w:textAlignment w:val="auto"/>
        <w:outlineLvl w:val="0"/>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316" w:name="_Toc20932"/>
      <w:bookmarkStart w:id="317" w:name="_Toc19953"/>
      <w:bookmarkStart w:id="318" w:name="_Toc21604"/>
      <w:bookmarkStart w:id="319" w:name="_Toc20925"/>
      <w:bookmarkStart w:id="320" w:name="_Toc512251716"/>
      <w:r>
        <w:rPr>
          <w:rFonts w:hint="eastAsia" w:ascii="宋体" w:hAnsi="宋体" w:eastAsia="宋体" w:cs="宋体"/>
          <w:b/>
          <w:color w:val="000000" w:themeColor="text1"/>
          <w:sz w:val="28"/>
          <w:szCs w:val="28"/>
          <w:highlight w:val="none"/>
          <w14:textFill>
            <w14:solidFill>
              <w14:schemeClr w14:val="tx1"/>
            </w14:solidFill>
          </w14:textFill>
        </w:rPr>
        <w:t>注：如法人开标需</w:t>
      </w:r>
      <w:r>
        <w:rPr>
          <w:rFonts w:hint="eastAsia" w:ascii="宋体" w:hAnsi="宋体" w:eastAsia="宋体" w:cs="宋体"/>
          <w:b/>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color w:val="000000" w:themeColor="text1"/>
          <w:sz w:val="28"/>
          <w:szCs w:val="28"/>
          <w:highlight w:val="none"/>
          <w14:textFill>
            <w14:solidFill>
              <w14:schemeClr w14:val="tx1"/>
            </w14:solidFill>
          </w14:textFill>
        </w:rPr>
        <w:t>出示此表</w:t>
      </w:r>
      <w:bookmarkEnd w:id="316"/>
      <w:bookmarkEnd w:id="317"/>
      <w:r>
        <w:rPr>
          <w:rFonts w:hint="eastAsia" w:ascii="宋体" w:hAnsi="宋体" w:eastAsia="宋体" w:cs="宋体"/>
          <w:b/>
          <w:color w:val="000000" w:themeColor="text1"/>
          <w:sz w:val="28"/>
          <w:szCs w:val="28"/>
          <w:highlight w:val="none"/>
          <w:lang w:eastAsia="zh-CN"/>
          <w14:textFill>
            <w14:solidFill>
              <w14:schemeClr w14:val="tx1"/>
            </w14:solidFill>
          </w14:textFill>
        </w:rPr>
        <w:t>。</w:t>
      </w:r>
      <w:bookmarkEnd w:id="318"/>
      <w:bookmarkEnd w:id="319"/>
    </w:p>
    <w:p w14:paraId="6321FC06">
      <w:pPr>
        <w:pStyle w:val="23"/>
        <w:pageBreakBefore w:val="0"/>
        <w:kinsoku/>
        <w:wordWrap/>
        <w:overflowPunct/>
        <w:topLinePunct w:val="0"/>
        <w:autoSpaceDE/>
        <w:autoSpaceDN/>
        <w:bidi w:val="0"/>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4EB7EC7E">
      <w:pPr>
        <w:rPr>
          <w:rFonts w:hint="eastAsia"/>
        </w:rPr>
      </w:pPr>
    </w:p>
    <w:p w14:paraId="78DB094D">
      <w:pPr>
        <w:rPr>
          <w:rFonts w:hint="eastAsia" w:ascii="宋体" w:hAnsi="宋体" w:eastAsia="宋体" w:cs="宋体"/>
          <w:color w:val="000000" w:themeColor="text1"/>
          <w:sz w:val="28"/>
          <w:szCs w:val="28"/>
          <w:highlight w:val="none"/>
          <w14:textFill>
            <w14:solidFill>
              <w14:schemeClr w14:val="tx1"/>
            </w14:solidFill>
          </w14:textFill>
        </w:rPr>
      </w:pPr>
    </w:p>
    <w:p w14:paraId="7F1FFADF">
      <w:pPr>
        <w:pStyle w:val="18"/>
        <w:rPr>
          <w:rFonts w:hint="eastAsia" w:ascii="宋体" w:hAnsi="宋体" w:eastAsia="宋体" w:cs="宋体"/>
          <w:color w:val="000000" w:themeColor="text1"/>
          <w:sz w:val="28"/>
          <w:szCs w:val="28"/>
          <w:highlight w:val="none"/>
          <w14:textFill>
            <w14:solidFill>
              <w14:schemeClr w14:val="tx1"/>
            </w14:solidFill>
          </w14:textFill>
        </w:rPr>
      </w:pPr>
    </w:p>
    <w:p w14:paraId="6221F016">
      <w:pPr>
        <w:pStyle w:val="23"/>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bookmarkEnd w:id="320"/>
    <w:p w14:paraId="5351FAE8">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7555487F">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六</w:t>
      </w:r>
      <w:r>
        <w:rPr>
          <w:rFonts w:hint="eastAsia" w:ascii="宋体" w:hAnsi="宋体" w:eastAsia="宋体" w:cs="宋体"/>
          <w:b/>
          <w:color w:val="000000" w:themeColor="text1"/>
          <w:sz w:val="28"/>
          <w:szCs w:val="28"/>
          <w:highlight w:val="none"/>
          <w14:textFill>
            <w14:solidFill>
              <w14:schemeClr w14:val="tx1"/>
            </w14:solidFill>
          </w14:textFill>
        </w:rPr>
        <w:t>、法定代表人授权</w:t>
      </w:r>
      <w:r>
        <w:rPr>
          <w:rFonts w:hint="eastAsia" w:ascii="宋体" w:hAnsi="宋体" w:eastAsia="宋体" w:cs="宋体"/>
          <w:b/>
          <w:color w:val="000000" w:themeColor="text1"/>
          <w:sz w:val="28"/>
          <w:szCs w:val="28"/>
          <w:highlight w:val="none"/>
          <w:lang w:val="en-US" w:eastAsia="zh-CN"/>
          <w14:textFill>
            <w14:solidFill>
              <w14:schemeClr w14:val="tx1"/>
            </w14:solidFill>
          </w14:textFill>
        </w:rPr>
        <w:t>委托</w:t>
      </w:r>
      <w:r>
        <w:rPr>
          <w:rFonts w:hint="eastAsia" w:ascii="宋体" w:hAnsi="宋体" w:eastAsia="宋体" w:cs="宋体"/>
          <w:b/>
          <w:color w:val="000000" w:themeColor="text1"/>
          <w:sz w:val="28"/>
          <w:szCs w:val="28"/>
          <w:highlight w:val="none"/>
          <w14:textFill>
            <w14:solidFill>
              <w14:schemeClr w14:val="tx1"/>
            </w14:solidFill>
          </w14:textFill>
        </w:rPr>
        <w:t>书</w:t>
      </w:r>
    </w:p>
    <w:p w14:paraId="7761F041">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4A1CB30F">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57FED6CD">
      <w:pPr>
        <w:pageBreakBefore w:val="0"/>
        <w:kinsoku/>
        <w:wordWrap/>
        <w:overflowPunct/>
        <w:topLinePunct w:val="0"/>
        <w:autoSpaceDE/>
        <w:autoSpaceDN/>
        <w:bidi w:val="0"/>
        <w:spacing w:line="400" w:lineRule="exact"/>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__________________（采购人名称）：</w:t>
      </w:r>
    </w:p>
    <w:p w14:paraId="373026DD">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（法定代表人）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（投标单位名称）         </w:t>
      </w:r>
      <w:r>
        <w:rPr>
          <w:rFonts w:hint="eastAsia" w:ascii="宋体" w:hAnsi="宋体" w:eastAsia="宋体" w:cs="宋体"/>
          <w:color w:val="000000" w:themeColor="text1"/>
          <w:sz w:val="24"/>
          <w:szCs w:val="24"/>
          <w:highlight w:val="none"/>
          <w:lang w:val="en-US" w:eastAsia="zh-CN"/>
          <w14:textFill>
            <w14:solidFill>
              <w14:schemeClr w14:val="tx1"/>
            </w14:solidFill>
          </w14:textFill>
        </w:rPr>
        <w:t>的法定代表人，现委托</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（被委托人）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为我方代理人。代理人根据授权，以我方名义签署、澄清、说明、补正、递交、撤回、修改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（项目名称）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投标文件、签订合同和处理有关事宜，其法律后果由我方承担。</w:t>
      </w:r>
    </w:p>
    <w:p w14:paraId="71E68605">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授权有效期</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w:t>
      </w:r>
    </w:p>
    <w:p w14:paraId="2F5AA5D3">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特此声明。</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14:paraId="295D0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4" w:hRule="atLeast"/>
        </w:trPr>
        <w:tc>
          <w:tcPr>
            <w:tcW w:w="4247" w:type="dxa"/>
            <w:noWrap w:val="0"/>
            <w:vAlign w:val="center"/>
          </w:tcPr>
          <w:p w14:paraId="36331A08">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center"/>
          </w:tcPr>
          <w:p w14:paraId="4FF3EDA4">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r w14:paraId="0B221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trPr>
        <w:tc>
          <w:tcPr>
            <w:tcW w:w="4247" w:type="dxa"/>
            <w:noWrap w:val="0"/>
            <w:vAlign w:val="center"/>
          </w:tcPr>
          <w:p w14:paraId="27899FC8">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“正”面</w:t>
            </w:r>
          </w:p>
        </w:tc>
        <w:tc>
          <w:tcPr>
            <w:tcW w:w="4247" w:type="dxa"/>
            <w:noWrap w:val="0"/>
            <w:vAlign w:val="center"/>
          </w:tcPr>
          <w:p w14:paraId="778673EF">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14:paraId="03B47802">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（附法人及授权委托人身份证）</w:t>
      </w:r>
    </w:p>
    <w:p w14:paraId="6486FD47">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7F714208">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（盖章）</w:t>
      </w:r>
    </w:p>
    <w:p w14:paraId="1C41C20D">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(签字或盖章)</w:t>
      </w:r>
    </w:p>
    <w:p w14:paraId="7DDF3B4F">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授权代表</w:t>
      </w:r>
      <w:r>
        <w:rPr>
          <w:rFonts w:hint="eastAsia" w:ascii="宋体" w:hAnsi="宋体" w:eastAsia="宋体" w:cs="宋体"/>
          <w:color w:val="000000" w:themeColor="text1"/>
          <w:sz w:val="24"/>
          <w:szCs w:val="24"/>
          <w:highlight w:val="none"/>
          <w:lang w:val="en-US" w:eastAsia="zh-CN"/>
          <w14:textFill>
            <w14:solidFill>
              <w14:schemeClr w14:val="tx1"/>
            </w14:solidFill>
          </w14:textFill>
        </w:rPr>
        <w:t>人</w:t>
      </w:r>
      <w:r>
        <w:rPr>
          <w:rFonts w:hint="eastAsia" w:ascii="宋体" w:hAnsi="宋体" w:eastAsia="宋体" w:cs="宋体"/>
          <w:color w:val="000000" w:themeColor="text1"/>
          <w:sz w:val="24"/>
          <w:szCs w:val="24"/>
          <w:highlight w:val="none"/>
          <w14:textFill>
            <w14:solidFill>
              <w14:schemeClr w14:val="tx1"/>
            </w14:solidFill>
          </w14:textFill>
        </w:rPr>
        <w:t>签字：</w:t>
      </w:r>
    </w:p>
    <w:p w14:paraId="67E1351A">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592CCAF">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    期：</w:t>
      </w:r>
    </w:p>
    <w:p w14:paraId="3695915E">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14:paraId="589824B0">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注：</w:t>
      </w:r>
      <w:r>
        <w:rPr>
          <w:rFonts w:hint="eastAsia" w:ascii="宋体" w:hAnsi="宋体" w:eastAsia="宋体" w:cs="宋体"/>
          <w:b/>
          <w:bCs/>
          <w:color w:val="000000" w:themeColor="text1"/>
          <w:sz w:val="28"/>
          <w:szCs w:val="28"/>
          <w:highlight w:val="none"/>
          <w14:textFill>
            <w14:solidFill>
              <w14:schemeClr w14:val="tx1"/>
            </w14:solidFill>
          </w14:textFill>
        </w:rPr>
        <w:t>如</w:t>
      </w:r>
      <w:r>
        <w:rPr>
          <w:rFonts w:hint="eastAsia" w:ascii="宋体" w:hAnsi="宋体" w:eastAsia="宋体" w:cs="宋体"/>
          <w:b/>
          <w:bCs/>
          <w:color w:val="000000" w:themeColor="text1"/>
          <w:sz w:val="28"/>
          <w:szCs w:val="28"/>
          <w:highlight w:val="none"/>
          <w:lang w:eastAsia="zh-CN"/>
          <w14:textFill>
            <w14:solidFill>
              <w14:schemeClr w14:val="tx1"/>
            </w14:solidFill>
          </w14:textFill>
        </w:rPr>
        <w:t>委托人</w:t>
      </w:r>
      <w:r>
        <w:rPr>
          <w:rFonts w:hint="eastAsia" w:ascii="宋体" w:hAnsi="宋体" w:eastAsia="宋体" w:cs="宋体"/>
          <w:b/>
          <w:bCs/>
          <w:color w:val="000000" w:themeColor="text1"/>
          <w:sz w:val="28"/>
          <w:szCs w:val="28"/>
          <w:highlight w:val="none"/>
          <w14:textFill>
            <w14:solidFill>
              <w14:schemeClr w14:val="tx1"/>
            </w14:solidFill>
          </w14:textFill>
        </w:rPr>
        <w:t>开标需</w:t>
      </w:r>
      <w:r>
        <w:rPr>
          <w:rFonts w:hint="eastAsia" w:ascii="宋体" w:hAnsi="宋体" w:eastAsia="宋体" w:cs="宋体"/>
          <w:b/>
          <w:bCs/>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bCs/>
          <w:color w:val="000000" w:themeColor="text1"/>
          <w:sz w:val="28"/>
          <w:szCs w:val="28"/>
          <w:highlight w:val="none"/>
          <w14:textFill>
            <w14:solidFill>
              <w14:schemeClr w14:val="tx1"/>
            </w14:solidFill>
          </w14:textFill>
        </w:rPr>
        <w:t>出示此表</w:t>
      </w:r>
      <w:r>
        <w:rPr>
          <w:rFonts w:hint="eastAsia" w:ascii="宋体" w:hAnsi="宋体" w:eastAsia="宋体" w:cs="宋体"/>
          <w:b/>
          <w:bCs/>
          <w:color w:val="000000" w:themeColor="text1"/>
          <w:sz w:val="28"/>
          <w:szCs w:val="28"/>
          <w:highlight w:val="none"/>
          <w:lang w:eastAsia="zh-CN"/>
          <w14:textFill>
            <w14:solidFill>
              <w14:schemeClr w14:val="tx1"/>
            </w14:solidFill>
          </w14:textFill>
        </w:rPr>
        <w:t>。</w:t>
      </w:r>
      <w:bookmarkEnd w:id="314"/>
      <w:bookmarkEnd w:id="315"/>
      <w:bookmarkStart w:id="321" w:name="_Toc3806"/>
      <w:bookmarkStart w:id="322" w:name="_Toc22721"/>
    </w:p>
    <w:p w14:paraId="69A8434E">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31EE9FAB">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13E57B05">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5F1CE6F9">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七</w:t>
      </w:r>
      <w:r>
        <w:rPr>
          <w:rFonts w:hint="eastAsia" w:ascii="宋体" w:hAnsi="宋体" w:eastAsia="宋体" w:cs="宋体"/>
          <w:b/>
          <w:color w:val="000000" w:themeColor="text1"/>
          <w:sz w:val="28"/>
          <w:szCs w:val="28"/>
          <w:highlight w:val="none"/>
          <w:lang w:val="en-US" w:eastAsia="zh-CN"/>
          <w14:textFill>
            <w14:solidFill>
              <w14:schemeClr w14:val="tx1"/>
            </w14:solidFill>
          </w14:textFill>
        </w:rPr>
        <w:t>、</w:t>
      </w:r>
      <w:bookmarkEnd w:id="321"/>
      <w:bookmarkEnd w:id="322"/>
      <w:r>
        <w:rPr>
          <w:rFonts w:hint="eastAsia" w:ascii="宋体" w:hAnsi="宋体" w:eastAsia="宋体" w:cs="宋体"/>
          <w:b/>
          <w:color w:val="000000" w:themeColor="text1"/>
          <w:sz w:val="28"/>
          <w:szCs w:val="28"/>
          <w:highlight w:val="none"/>
          <w:lang w:val="en-US" w:eastAsia="zh-CN"/>
          <w14:textFill>
            <w14:solidFill>
              <w14:schemeClr w14:val="tx1"/>
            </w14:solidFill>
          </w14:textFill>
        </w:rPr>
        <w:t>投标人基本情况一览表</w:t>
      </w:r>
    </w:p>
    <w:tbl>
      <w:tblPr>
        <w:tblStyle w:val="19"/>
        <w:tblW w:w="88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71"/>
        <w:gridCol w:w="988"/>
        <w:gridCol w:w="2568"/>
        <w:gridCol w:w="1363"/>
        <w:gridCol w:w="2349"/>
      </w:tblGrid>
      <w:tr w14:paraId="51BA75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44" w:hRule="atLeast"/>
          <w:jc w:val="center"/>
        </w:trPr>
        <w:tc>
          <w:tcPr>
            <w:tcW w:w="1571" w:type="dxa"/>
            <w:tcBorders>
              <w:tl2br w:val="nil"/>
              <w:tr2bl w:val="nil"/>
            </w:tcBorders>
            <w:noWrap w:val="0"/>
            <w:vAlign w:val="center"/>
          </w:tcPr>
          <w:p w14:paraId="13856927">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p>
        </w:tc>
        <w:tc>
          <w:tcPr>
            <w:tcW w:w="7268" w:type="dxa"/>
            <w:gridSpan w:val="4"/>
            <w:tcBorders>
              <w:tl2br w:val="nil"/>
              <w:tr2bl w:val="nil"/>
            </w:tcBorders>
            <w:noWrap w:val="0"/>
            <w:vAlign w:val="center"/>
          </w:tcPr>
          <w:p w14:paraId="1258992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6277D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06" w:hRule="atLeast"/>
          <w:jc w:val="center"/>
        </w:trPr>
        <w:tc>
          <w:tcPr>
            <w:tcW w:w="1571" w:type="dxa"/>
            <w:tcBorders>
              <w:tl2br w:val="nil"/>
              <w:tr2bl w:val="nil"/>
            </w:tcBorders>
            <w:noWrap w:val="0"/>
            <w:vAlign w:val="center"/>
          </w:tcPr>
          <w:p w14:paraId="1F0A199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注册地址</w:t>
            </w:r>
          </w:p>
        </w:tc>
        <w:tc>
          <w:tcPr>
            <w:tcW w:w="3556" w:type="dxa"/>
            <w:gridSpan w:val="2"/>
            <w:tcBorders>
              <w:tl2br w:val="nil"/>
              <w:tr2bl w:val="nil"/>
            </w:tcBorders>
            <w:noWrap w:val="0"/>
            <w:vAlign w:val="center"/>
          </w:tcPr>
          <w:p w14:paraId="5FA798A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41773CEF">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tc>
        <w:tc>
          <w:tcPr>
            <w:tcW w:w="2349" w:type="dxa"/>
            <w:tcBorders>
              <w:tl2br w:val="nil"/>
              <w:tr2bl w:val="nil"/>
            </w:tcBorders>
            <w:noWrap w:val="0"/>
            <w:vAlign w:val="center"/>
          </w:tcPr>
          <w:p w14:paraId="334C2835">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64C5F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vMerge w:val="restart"/>
            <w:tcBorders>
              <w:tl2br w:val="nil"/>
              <w:tr2bl w:val="nil"/>
            </w:tcBorders>
            <w:noWrap w:val="0"/>
            <w:vAlign w:val="center"/>
          </w:tcPr>
          <w:p w14:paraId="7F8764D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988" w:type="dxa"/>
            <w:tcBorders>
              <w:tl2br w:val="nil"/>
              <w:tr2bl w:val="nil"/>
            </w:tcBorders>
            <w:noWrap w:val="0"/>
            <w:vAlign w:val="center"/>
          </w:tcPr>
          <w:p w14:paraId="5A5FDB1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2568" w:type="dxa"/>
            <w:tcBorders>
              <w:tl2br w:val="nil"/>
              <w:tr2bl w:val="nil"/>
            </w:tcBorders>
            <w:noWrap w:val="0"/>
            <w:vAlign w:val="center"/>
          </w:tcPr>
          <w:p w14:paraId="199DB540">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2FD0F5D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14:paraId="444A365F">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F2FA0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76" w:hRule="atLeast"/>
          <w:jc w:val="center"/>
        </w:trPr>
        <w:tc>
          <w:tcPr>
            <w:tcW w:w="1571" w:type="dxa"/>
            <w:vMerge w:val="continue"/>
            <w:tcBorders>
              <w:tl2br w:val="nil"/>
              <w:tr2bl w:val="nil"/>
            </w:tcBorders>
            <w:noWrap w:val="0"/>
            <w:vAlign w:val="center"/>
          </w:tcPr>
          <w:p w14:paraId="351E458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88" w:type="dxa"/>
            <w:tcBorders>
              <w:tl2br w:val="nil"/>
              <w:tr2bl w:val="nil"/>
            </w:tcBorders>
            <w:noWrap w:val="0"/>
            <w:vAlign w:val="center"/>
          </w:tcPr>
          <w:p w14:paraId="4BB7B73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tc>
        <w:tc>
          <w:tcPr>
            <w:tcW w:w="2568" w:type="dxa"/>
            <w:tcBorders>
              <w:tl2br w:val="nil"/>
              <w:tr2bl w:val="nil"/>
            </w:tcBorders>
            <w:noWrap w:val="0"/>
            <w:vAlign w:val="center"/>
          </w:tcPr>
          <w:p w14:paraId="37763D3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6F2EADD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网址</w:t>
            </w:r>
          </w:p>
        </w:tc>
        <w:tc>
          <w:tcPr>
            <w:tcW w:w="2349" w:type="dxa"/>
            <w:tcBorders>
              <w:tl2br w:val="nil"/>
              <w:tr2bl w:val="nil"/>
            </w:tcBorders>
            <w:noWrap w:val="0"/>
            <w:vAlign w:val="center"/>
          </w:tcPr>
          <w:p w14:paraId="6FD02BA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42E09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14:paraId="138AD9D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组织结构</w:t>
            </w:r>
          </w:p>
        </w:tc>
        <w:tc>
          <w:tcPr>
            <w:tcW w:w="7268" w:type="dxa"/>
            <w:gridSpan w:val="4"/>
            <w:tcBorders>
              <w:tl2br w:val="nil"/>
              <w:tr2bl w:val="nil"/>
            </w:tcBorders>
            <w:noWrap w:val="0"/>
            <w:vAlign w:val="center"/>
          </w:tcPr>
          <w:p w14:paraId="4D7982B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26365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6" w:hRule="atLeast"/>
          <w:jc w:val="center"/>
        </w:trPr>
        <w:tc>
          <w:tcPr>
            <w:tcW w:w="1571" w:type="dxa"/>
            <w:tcBorders>
              <w:tl2br w:val="nil"/>
              <w:tr2bl w:val="nil"/>
            </w:tcBorders>
            <w:noWrap w:val="0"/>
            <w:vAlign w:val="center"/>
          </w:tcPr>
          <w:p w14:paraId="17C3E89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p>
        </w:tc>
        <w:tc>
          <w:tcPr>
            <w:tcW w:w="988" w:type="dxa"/>
            <w:tcBorders>
              <w:tl2br w:val="nil"/>
              <w:tr2bl w:val="nil"/>
            </w:tcBorders>
            <w:noWrap w:val="0"/>
            <w:vAlign w:val="center"/>
          </w:tcPr>
          <w:p w14:paraId="039BAFE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2568" w:type="dxa"/>
            <w:tcBorders>
              <w:tl2br w:val="nil"/>
              <w:tr2bl w:val="nil"/>
            </w:tcBorders>
            <w:noWrap w:val="0"/>
            <w:vAlign w:val="center"/>
          </w:tcPr>
          <w:p w14:paraId="269B9A5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7A3138F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14:paraId="7FF1D130">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852BF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14:paraId="6F472CB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成立时间</w:t>
            </w:r>
          </w:p>
        </w:tc>
        <w:tc>
          <w:tcPr>
            <w:tcW w:w="7268" w:type="dxa"/>
            <w:gridSpan w:val="4"/>
            <w:tcBorders>
              <w:tl2br w:val="nil"/>
              <w:tr2bl w:val="nil"/>
            </w:tcBorders>
            <w:noWrap w:val="0"/>
            <w:vAlign w:val="center"/>
          </w:tcPr>
          <w:p w14:paraId="53E2BD9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ABFC5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768779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企业资质</w:t>
            </w:r>
          </w:p>
          <w:p w14:paraId="25C33BC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等级</w:t>
            </w:r>
          </w:p>
        </w:tc>
        <w:tc>
          <w:tcPr>
            <w:tcW w:w="7268" w:type="dxa"/>
            <w:gridSpan w:val="4"/>
            <w:tcBorders>
              <w:tl2br w:val="nil"/>
              <w:tr2bl w:val="nil"/>
            </w:tcBorders>
            <w:noWrap w:val="0"/>
            <w:vAlign w:val="center"/>
          </w:tcPr>
          <w:p w14:paraId="7642AE9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C2EAF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11719674">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营业执照号</w:t>
            </w:r>
          </w:p>
        </w:tc>
        <w:tc>
          <w:tcPr>
            <w:tcW w:w="7268" w:type="dxa"/>
            <w:gridSpan w:val="4"/>
            <w:tcBorders>
              <w:tl2br w:val="nil"/>
              <w:tr2bl w:val="nil"/>
            </w:tcBorders>
            <w:noWrap w:val="0"/>
            <w:vAlign w:val="center"/>
          </w:tcPr>
          <w:p w14:paraId="4A28584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DACEB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E4628F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注册资金</w:t>
            </w:r>
          </w:p>
        </w:tc>
        <w:tc>
          <w:tcPr>
            <w:tcW w:w="7268" w:type="dxa"/>
            <w:gridSpan w:val="4"/>
            <w:tcBorders>
              <w:tl2br w:val="nil"/>
              <w:tr2bl w:val="nil"/>
            </w:tcBorders>
            <w:noWrap w:val="0"/>
            <w:vAlign w:val="center"/>
          </w:tcPr>
          <w:p w14:paraId="35AE7FA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FF2AD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F67B0D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p>
        </w:tc>
        <w:tc>
          <w:tcPr>
            <w:tcW w:w="7268" w:type="dxa"/>
            <w:gridSpan w:val="4"/>
            <w:tcBorders>
              <w:tl2br w:val="nil"/>
              <w:tr2bl w:val="nil"/>
            </w:tcBorders>
            <w:noWrap w:val="0"/>
            <w:vAlign w:val="center"/>
          </w:tcPr>
          <w:p w14:paraId="626D60A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D92FA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6C744CA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基本账户</w:t>
            </w:r>
          </w:p>
          <w:p w14:paraId="3670137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账号</w:t>
            </w:r>
          </w:p>
        </w:tc>
        <w:tc>
          <w:tcPr>
            <w:tcW w:w="7268" w:type="dxa"/>
            <w:gridSpan w:val="4"/>
            <w:tcBorders>
              <w:tl2br w:val="nil"/>
              <w:tr2bl w:val="nil"/>
            </w:tcBorders>
            <w:noWrap w:val="0"/>
            <w:vAlign w:val="center"/>
          </w:tcPr>
          <w:p w14:paraId="761E467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0BA9A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220" w:hRule="atLeast"/>
          <w:jc w:val="center"/>
        </w:trPr>
        <w:tc>
          <w:tcPr>
            <w:tcW w:w="1571" w:type="dxa"/>
            <w:tcBorders>
              <w:tl2br w:val="nil"/>
              <w:tr2bl w:val="nil"/>
            </w:tcBorders>
            <w:noWrap w:val="0"/>
            <w:vAlign w:val="center"/>
          </w:tcPr>
          <w:p w14:paraId="1787A4A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经营范围</w:t>
            </w:r>
          </w:p>
        </w:tc>
        <w:tc>
          <w:tcPr>
            <w:tcW w:w="7268" w:type="dxa"/>
            <w:gridSpan w:val="4"/>
            <w:tcBorders>
              <w:tl2br w:val="nil"/>
              <w:tr2bl w:val="nil"/>
            </w:tcBorders>
            <w:noWrap w:val="0"/>
            <w:vAlign w:val="center"/>
          </w:tcPr>
          <w:p w14:paraId="32C4E60C">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46A2B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132" w:hRule="atLeast"/>
          <w:jc w:val="center"/>
        </w:trPr>
        <w:tc>
          <w:tcPr>
            <w:tcW w:w="1571" w:type="dxa"/>
            <w:tcBorders>
              <w:tl2br w:val="nil"/>
              <w:tr2bl w:val="nil"/>
            </w:tcBorders>
            <w:noWrap w:val="0"/>
            <w:vAlign w:val="center"/>
          </w:tcPr>
          <w:p w14:paraId="44680F1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c>
          <w:tcPr>
            <w:tcW w:w="7268" w:type="dxa"/>
            <w:gridSpan w:val="4"/>
            <w:tcBorders>
              <w:tl2br w:val="nil"/>
              <w:tr2bl w:val="nil"/>
            </w:tcBorders>
            <w:noWrap w:val="0"/>
            <w:vAlign w:val="center"/>
          </w:tcPr>
          <w:p w14:paraId="62219747">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0E21B05E">
      <w:pPr>
        <w:pageBreakBefore w:val="0"/>
        <w:kinsoku/>
        <w:wordWrap/>
        <w:overflowPunct/>
        <w:topLinePunct w:val="0"/>
        <w:autoSpaceDE/>
        <w:autoSpaceDN/>
        <w:bidi w:val="0"/>
        <w:spacing w:line="360" w:lineRule="auto"/>
        <w:ind w:left="0" w:leftChars="0"/>
        <w:jc w:val="both"/>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注：后附营业执照、资质证书、开户许可证、进疆备案登记册（如是外地投标人）等材料的复印件。</w:t>
      </w:r>
    </w:p>
    <w:p w14:paraId="4E001F7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1C514E9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B8E3FE0">
      <w:pPr>
        <w:numPr>
          <w:ilvl w:val="0"/>
          <w:numId w:val="0"/>
        </w:numPr>
        <w:topLinePunct/>
        <w:spacing w:line="400" w:lineRule="exact"/>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八、</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项目管理机构</w:t>
      </w:r>
    </w:p>
    <w:p w14:paraId="0933A8DE">
      <w:pPr>
        <w:pStyle w:val="32"/>
        <w:numPr>
          <w:ilvl w:val="0"/>
          <w:numId w:val="0"/>
        </w:numPr>
        <w:rPr>
          <w:rFonts w:hint="eastAsia" w:ascii="宋体" w:hAnsi="宋体" w:eastAsia="宋体" w:cs="宋体"/>
          <w:color w:val="000000" w:themeColor="text1"/>
          <w:sz w:val="28"/>
          <w:szCs w:val="28"/>
          <w:highlight w:val="none"/>
          <w14:textFill>
            <w14:solidFill>
              <w14:schemeClr w14:val="tx1"/>
            </w14:solidFill>
          </w14:textFill>
        </w:rPr>
      </w:pPr>
    </w:p>
    <w:p w14:paraId="2F955D55">
      <w:pPr>
        <w:pStyle w:val="32"/>
        <w:numPr>
          <w:ilvl w:val="0"/>
          <w:numId w:val="0"/>
        </w:num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项目管理机构组成表</w:t>
      </w:r>
    </w:p>
    <w:tbl>
      <w:tblPr>
        <w:tblStyle w:val="19"/>
        <w:tblW w:w="9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1153"/>
        <w:gridCol w:w="929"/>
        <w:gridCol w:w="1157"/>
        <w:gridCol w:w="803"/>
        <w:gridCol w:w="1317"/>
        <w:gridCol w:w="801"/>
        <w:gridCol w:w="1166"/>
        <w:gridCol w:w="742"/>
      </w:tblGrid>
      <w:tr w14:paraId="0CE8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restart"/>
            <w:noWrap w:val="0"/>
            <w:vAlign w:val="center"/>
          </w:tcPr>
          <w:p w14:paraId="006285C5">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职务</w:t>
            </w:r>
          </w:p>
        </w:tc>
        <w:tc>
          <w:tcPr>
            <w:tcW w:w="1153" w:type="dxa"/>
            <w:vMerge w:val="restart"/>
            <w:noWrap w:val="0"/>
            <w:vAlign w:val="center"/>
          </w:tcPr>
          <w:p w14:paraId="1EEF2404">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929" w:type="dxa"/>
            <w:vMerge w:val="restart"/>
            <w:noWrap w:val="0"/>
            <w:vAlign w:val="center"/>
          </w:tcPr>
          <w:p w14:paraId="1E0D164A">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职称</w:t>
            </w:r>
          </w:p>
        </w:tc>
        <w:tc>
          <w:tcPr>
            <w:tcW w:w="5244" w:type="dxa"/>
            <w:gridSpan w:val="5"/>
            <w:noWrap w:val="0"/>
            <w:vAlign w:val="center"/>
          </w:tcPr>
          <w:p w14:paraId="13323CF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执业或职业资格证明</w:t>
            </w:r>
          </w:p>
        </w:tc>
        <w:tc>
          <w:tcPr>
            <w:tcW w:w="742" w:type="dxa"/>
            <w:noWrap w:val="0"/>
            <w:vAlign w:val="center"/>
          </w:tcPr>
          <w:p w14:paraId="5E7E9AA8">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62169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continue"/>
            <w:noWrap w:val="0"/>
            <w:vAlign w:val="center"/>
          </w:tcPr>
          <w:p w14:paraId="78887037">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3" w:type="dxa"/>
            <w:vMerge w:val="continue"/>
            <w:noWrap w:val="0"/>
            <w:vAlign w:val="center"/>
          </w:tcPr>
          <w:p w14:paraId="1E0029BB">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vMerge w:val="continue"/>
            <w:noWrap w:val="0"/>
            <w:vAlign w:val="center"/>
          </w:tcPr>
          <w:p w14:paraId="49D5710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5DB81876">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证书名称</w:t>
            </w:r>
          </w:p>
        </w:tc>
        <w:tc>
          <w:tcPr>
            <w:tcW w:w="803" w:type="dxa"/>
            <w:noWrap w:val="0"/>
            <w:vAlign w:val="center"/>
          </w:tcPr>
          <w:p w14:paraId="0A2F7591">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级别</w:t>
            </w:r>
          </w:p>
        </w:tc>
        <w:tc>
          <w:tcPr>
            <w:tcW w:w="1317" w:type="dxa"/>
            <w:noWrap w:val="0"/>
            <w:vAlign w:val="center"/>
          </w:tcPr>
          <w:p w14:paraId="0C4699D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证号</w:t>
            </w:r>
          </w:p>
        </w:tc>
        <w:tc>
          <w:tcPr>
            <w:tcW w:w="801" w:type="dxa"/>
            <w:noWrap w:val="0"/>
            <w:vAlign w:val="center"/>
          </w:tcPr>
          <w:p w14:paraId="42502BBF">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w:t>
            </w:r>
          </w:p>
        </w:tc>
        <w:tc>
          <w:tcPr>
            <w:tcW w:w="1166" w:type="dxa"/>
            <w:noWrap w:val="0"/>
            <w:vAlign w:val="center"/>
          </w:tcPr>
          <w:p w14:paraId="13B01314">
            <w:pPr>
              <w:spacing w:line="440" w:lineRule="exact"/>
              <w:ind w:right="109" w:rightChars="52"/>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养老保险</w:t>
            </w:r>
          </w:p>
        </w:tc>
        <w:tc>
          <w:tcPr>
            <w:tcW w:w="742" w:type="dxa"/>
            <w:noWrap w:val="0"/>
            <w:vAlign w:val="center"/>
          </w:tcPr>
          <w:p w14:paraId="36FE1590">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5FCF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1468" w:type="dxa"/>
            <w:noWrap w:val="0"/>
            <w:vAlign w:val="center"/>
          </w:tcPr>
          <w:p w14:paraId="2653E57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c>
          <w:tcPr>
            <w:tcW w:w="1153" w:type="dxa"/>
            <w:noWrap w:val="0"/>
            <w:vAlign w:val="center"/>
          </w:tcPr>
          <w:p w14:paraId="73BCBC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14:paraId="29FCFF3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0875266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14:paraId="7F1C9F2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14:paraId="36E13DD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14:paraId="243208C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14:paraId="772F7D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14:paraId="0A51CE3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B0C2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1468" w:type="dxa"/>
            <w:noWrap w:val="0"/>
            <w:vAlign w:val="center"/>
          </w:tcPr>
          <w:p w14:paraId="2CFC2C1B">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项目技术负责人</w:t>
            </w:r>
          </w:p>
        </w:tc>
        <w:tc>
          <w:tcPr>
            <w:tcW w:w="1153" w:type="dxa"/>
            <w:noWrap w:val="0"/>
            <w:vAlign w:val="center"/>
          </w:tcPr>
          <w:p w14:paraId="4137661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14:paraId="7D3015E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03A3722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14:paraId="68CAAD5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14:paraId="05AF0E2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14:paraId="632B37C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14:paraId="4DA3BC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14:paraId="2204077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CCA2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468" w:type="dxa"/>
            <w:noWrap w:val="0"/>
            <w:vAlign w:val="center"/>
          </w:tcPr>
          <w:p w14:paraId="58F641A2">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施工员</w:t>
            </w:r>
          </w:p>
        </w:tc>
        <w:tc>
          <w:tcPr>
            <w:tcW w:w="1153" w:type="dxa"/>
            <w:noWrap w:val="0"/>
            <w:vAlign w:val="top"/>
          </w:tcPr>
          <w:p w14:paraId="4503EF5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4718948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1D5DB4C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64AE66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7AD85AB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5ECBA7F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7F5B50A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1E6DDA4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5FEB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468" w:type="dxa"/>
            <w:noWrap w:val="0"/>
            <w:vAlign w:val="center"/>
          </w:tcPr>
          <w:p w14:paraId="330379FA">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质检员</w:t>
            </w:r>
          </w:p>
        </w:tc>
        <w:tc>
          <w:tcPr>
            <w:tcW w:w="1153" w:type="dxa"/>
            <w:noWrap w:val="0"/>
            <w:vAlign w:val="top"/>
          </w:tcPr>
          <w:p w14:paraId="48459F8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3544992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6A6466C8">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2D168EB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55B2078E">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60585CE7">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362783B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5937551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FA16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14:paraId="48541E5A">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安全员</w:t>
            </w:r>
          </w:p>
        </w:tc>
        <w:tc>
          <w:tcPr>
            <w:tcW w:w="1153" w:type="dxa"/>
            <w:noWrap w:val="0"/>
            <w:vAlign w:val="top"/>
          </w:tcPr>
          <w:p w14:paraId="38CB96D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2B5D614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24D09B8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1022CEC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723047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78F93C5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1728F9A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494571E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FDAB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14:paraId="134CF867">
            <w:pPr>
              <w:spacing w:line="240" w:lineRule="auto"/>
              <w:jc w:val="center"/>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标准员</w:t>
            </w:r>
          </w:p>
        </w:tc>
        <w:tc>
          <w:tcPr>
            <w:tcW w:w="1153" w:type="dxa"/>
            <w:noWrap w:val="0"/>
            <w:vAlign w:val="top"/>
          </w:tcPr>
          <w:p w14:paraId="3B05DD7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77C4346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B27D53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35FEF50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13C8ECC8">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4F35578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448A85E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7DB1D15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2861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14:paraId="6F489C0B">
            <w:pPr>
              <w:spacing w:line="240" w:lineRule="auto"/>
              <w:jc w:val="center"/>
              <w:rPr>
                <w:rFonts w:hint="default"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机械员</w:t>
            </w:r>
          </w:p>
        </w:tc>
        <w:tc>
          <w:tcPr>
            <w:tcW w:w="1153" w:type="dxa"/>
            <w:noWrap w:val="0"/>
            <w:vAlign w:val="top"/>
          </w:tcPr>
          <w:p w14:paraId="5EDCC79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4C96BF6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21B54C4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65765EE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76D9ACC7">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1D9BB9E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4BE1652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22E793A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4507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14:paraId="09C9ACA1">
            <w:pPr>
              <w:spacing w:line="240" w:lineRule="auto"/>
              <w:jc w:val="center"/>
              <w:rPr>
                <w:rFonts w:hint="default"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材料员</w:t>
            </w:r>
          </w:p>
        </w:tc>
        <w:tc>
          <w:tcPr>
            <w:tcW w:w="1153" w:type="dxa"/>
            <w:noWrap w:val="0"/>
            <w:vAlign w:val="top"/>
          </w:tcPr>
          <w:p w14:paraId="61D94DE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3ED8DC2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434355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27CCE27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399FB92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2EF988E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5BC4DF1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1ABEDFDE">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A34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14:paraId="7AB9FD1D">
            <w:pPr>
              <w:spacing w:line="240" w:lineRule="auto"/>
              <w:jc w:val="center"/>
              <w:rPr>
                <w:rFonts w:hint="default"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劳务员</w:t>
            </w:r>
          </w:p>
        </w:tc>
        <w:tc>
          <w:tcPr>
            <w:tcW w:w="1153" w:type="dxa"/>
            <w:noWrap w:val="0"/>
            <w:vAlign w:val="top"/>
          </w:tcPr>
          <w:p w14:paraId="1D27821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70D15BF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634633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21E77BB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08749AC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3D28873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725E4FA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74222F4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E3C0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14:paraId="1C62736C">
            <w:pPr>
              <w:spacing w:line="240" w:lineRule="auto"/>
              <w:jc w:val="center"/>
              <w:rPr>
                <w:rFonts w:hint="eastAsia" w:ascii="宋体" w:hAnsi="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资料员</w:t>
            </w:r>
          </w:p>
        </w:tc>
        <w:tc>
          <w:tcPr>
            <w:tcW w:w="1153" w:type="dxa"/>
            <w:noWrap w:val="0"/>
            <w:vAlign w:val="top"/>
          </w:tcPr>
          <w:p w14:paraId="2A88D1B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2012A02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1C05F2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690CF9F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688DF11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395187F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55F2891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2B487A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123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68" w:type="dxa"/>
            <w:noWrap w:val="0"/>
            <w:vAlign w:val="center"/>
          </w:tcPr>
          <w:p w14:paraId="682B8ECB">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其他人员</w:t>
            </w:r>
          </w:p>
        </w:tc>
        <w:tc>
          <w:tcPr>
            <w:tcW w:w="1153" w:type="dxa"/>
            <w:noWrap w:val="0"/>
            <w:vAlign w:val="top"/>
          </w:tcPr>
          <w:p w14:paraId="7D28F57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495084F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77D6CB7E">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7AF6B71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25C8CBE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020F61B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67CC589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100858E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38650287">
      <w:pPr>
        <w:spacing w:line="440" w:lineRule="exac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  如不真实，将按照有关规定接受处理。</w:t>
      </w:r>
    </w:p>
    <w:p w14:paraId="23057E00">
      <w:pPr>
        <w:spacing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xml:space="preserve">    </w:t>
      </w:r>
    </w:p>
    <w:p w14:paraId="4E6726AF">
      <w:pPr>
        <w:spacing w:line="360" w:lineRule="auto"/>
        <w:jc w:val="left"/>
        <w:rPr>
          <w:rFonts w:hint="eastAsia" w:ascii="宋体" w:hAnsi="宋体" w:eastAsia="宋体" w:cs="宋体"/>
          <w:color w:val="000000" w:themeColor="text1"/>
          <w:kern w:val="0"/>
          <w:sz w:val="28"/>
          <w:szCs w:val="28"/>
          <w:highlight w:val="none"/>
          <w14:textFill>
            <w14:solidFill>
              <w14:schemeClr w14:val="tx1"/>
            </w14:solidFill>
          </w14:textFill>
        </w:rPr>
      </w:pPr>
    </w:p>
    <w:p w14:paraId="2909B8EB">
      <w:pPr>
        <w:spacing w:line="360" w:lineRule="auto"/>
        <w:jc w:val="left"/>
        <w:rPr>
          <w:rFonts w:hint="eastAsia" w:ascii="宋体" w:hAnsi="宋体" w:eastAsia="宋体" w:cs="宋体"/>
          <w:color w:val="000000" w:themeColor="text1"/>
          <w:sz w:val="28"/>
          <w:szCs w:val="28"/>
          <w:highlight w:val="none"/>
          <w14:textFill>
            <w14:solidFill>
              <w14:schemeClr w14:val="tx1"/>
            </w14:solidFill>
          </w14:textFill>
        </w:rPr>
      </w:pPr>
    </w:p>
    <w:p w14:paraId="083AD023">
      <w:pPr>
        <w:spacing w:line="440" w:lineRule="exact"/>
        <w:jc w:val="left"/>
        <w:rPr>
          <w:rFonts w:hint="eastAsia" w:ascii="宋体" w:hAnsi="宋体" w:eastAsia="宋体" w:cs="宋体"/>
          <w:color w:val="000000" w:themeColor="text1"/>
          <w:sz w:val="28"/>
          <w:szCs w:val="28"/>
          <w:highlight w:val="none"/>
          <w14:textFill>
            <w14:solidFill>
              <w14:schemeClr w14:val="tx1"/>
            </w14:solidFill>
          </w14:textFill>
        </w:rPr>
      </w:pPr>
    </w:p>
    <w:p w14:paraId="770D57B6">
      <w:pPr>
        <w:topLinePunct/>
        <w:spacing w:line="40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现场主要人员简历表</w:t>
      </w:r>
    </w:p>
    <w:p w14:paraId="43DE90CD">
      <w:pPr>
        <w:spacing w:line="420" w:lineRule="exact"/>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１）项目经理简历表</w:t>
      </w:r>
    </w:p>
    <w:p w14:paraId="69B5D7CC">
      <w:pPr>
        <w:spacing w:line="42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tbl>
      <w:tblPr>
        <w:tblStyle w:val="19"/>
        <w:tblW w:w="9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507"/>
        <w:gridCol w:w="528"/>
        <w:gridCol w:w="507"/>
        <w:gridCol w:w="627"/>
        <w:gridCol w:w="507"/>
        <w:gridCol w:w="768"/>
        <w:gridCol w:w="507"/>
        <w:gridCol w:w="1336"/>
        <w:gridCol w:w="507"/>
        <w:gridCol w:w="2126"/>
      </w:tblGrid>
      <w:tr w14:paraId="62927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14:paraId="4ED7A228">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1035" w:type="dxa"/>
            <w:gridSpan w:val="2"/>
            <w:noWrap w:val="0"/>
            <w:vAlign w:val="center"/>
          </w:tcPr>
          <w:p w14:paraId="323C4821">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32F186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龄</w:t>
            </w:r>
          </w:p>
        </w:tc>
        <w:tc>
          <w:tcPr>
            <w:tcW w:w="1275" w:type="dxa"/>
            <w:gridSpan w:val="2"/>
            <w:noWrap w:val="0"/>
            <w:vAlign w:val="center"/>
          </w:tcPr>
          <w:p w14:paraId="24A296DC">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1DFEC28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w:t>
            </w:r>
          </w:p>
        </w:tc>
        <w:tc>
          <w:tcPr>
            <w:tcW w:w="2126" w:type="dxa"/>
            <w:noWrap w:val="0"/>
            <w:vAlign w:val="center"/>
          </w:tcPr>
          <w:p w14:paraId="74DB479C">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CE06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14:paraId="1FB0AD8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称</w:t>
            </w:r>
          </w:p>
        </w:tc>
        <w:tc>
          <w:tcPr>
            <w:tcW w:w="1035" w:type="dxa"/>
            <w:gridSpan w:val="2"/>
            <w:noWrap w:val="0"/>
            <w:vAlign w:val="center"/>
          </w:tcPr>
          <w:p w14:paraId="6747227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3E29C87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务</w:t>
            </w:r>
          </w:p>
        </w:tc>
        <w:tc>
          <w:tcPr>
            <w:tcW w:w="1275" w:type="dxa"/>
            <w:gridSpan w:val="2"/>
            <w:noWrap w:val="0"/>
            <w:vAlign w:val="center"/>
          </w:tcPr>
          <w:p w14:paraId="03CC8A6B">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65B712C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拟在本工程任职</w:t>
            </w:r>
          </w:p>
        </w:tc>
        <w:tc>
          <w:tcPr>
            <w:tcW w:w="2126" w:type="dxa"/>
            <w:noWrap w:val="0"/>
            <w:vAlign w:val="center"/>
          </w:tcPr>
          <w:p w14:paraId="3E1E34E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r>
      <w:tr w14:paraId="37922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14:paraId="08D0528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注册建造师执业资格等级</w:t>
            </w:r>
          </w:p>
        </w:tc>
        <w:tc>
          <w:tcPr>
            <w:tcW w:w="1275" w:type="dxa"/>
            <w:gridSpan w:val="2"/>
            <w:noWrap w:val="0"/>
            <w:vAlign w:val="center"/>
          </w:tcPr>
          <w:p w14:paraId="1B0FF75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w:t>
            </w:r>
          </w:p>
        </w:tc>
        <w:tc>
          <w:tcPr>
            <w:tcW w:w="1843" w:type="dxa"/>
            <w:gridSpan w:val="2"/>
            <w:noWrap w:val="0"/>
            <w:vAlign w:val="center"/>
          </w:tcPr>
          <w:p w14:paraId="1DC31ED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建造师专业</w:t>
            </w:r>
          </w:p>
        </w:tc>
        <w:tc>
          <w:tcPr>
            <w:tcW w:w="2633" w:type="dxa"/>
            <w:gridSpan w:val="2"/>
            <w:noWrap w:val="0"/>
            <w:vAlign w:val="center"/>
          </w:tcPr>
          <w:p w14:paraId="12E6571D">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4066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14:paraId="2F71DAE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w:t>
            </w:r>
          </w:p>
        </w:tc>
        <w:tc>
          <w:tcPr>
            <w:tcW w:w="5751" w:type="dxa"/>
            <w:gridSpan w:val="6"/>
            <w:noWrap w:val="0"/>
            <w:vAlign w:val="center"/>
          </w:tcPr>
          <w:p w14:paraId="7269940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A69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4C45B5D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7920" w:type="dxa"/>
            <w:gridSpan w:val="10"/>
            <w:noWrap w:val="0"/>
            <w:vAlign w:val="center"/>
          </w:tcPr>
          <w:p w14:paraId="6C7EA40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年毕业于                  学校            专业</w:t>
            </w:r>
          </w:p>
        </w:tc>
      </w:tr>
      <w:tr w14:paraId="7238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2" w:type="dxa"/>
            <w:gridSpan w:val="11"/>
            <w:noWrap w:val="0"/>
            <w:vAlign w:val="center"/>
          </w:tcPr>
          <w:p w14:paraId="3EBD1EC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主要工作经历</w:t>
            </w:r>
          </w:p>
        </w:tc>
      </w:tr>
      <w:tr w14:paraId="2A3EF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7B4E92B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  间</w:t>
            </w:r>
          </w:p>
        </w:tc>
        <w:tc>
          <w:tcPr>
            <w:tcW w:w="3444" w:type="dxa"/>
            <w:gridSpan w:val="6"/>
            <w:noWrap w:val="0"/>
            <w:vAlign w:val="center"/>
          </w:tcPr>
          <w:p w14:paraId="05AFBF9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参加过的项目名称</w:t>
            </w:r>
          </w:p>
        </w:tc>
        <w:tc>
          <w:tcPr>
            <w:tcW w:w="1843" w:type="dxa"/>
            <w:gridSpan w:val="2"/>
            <w:noWrap w:val="0"/>
            <w:vAlign w:val="center"/>
          </w:tcPr>
          <w:p w14:paraId="33F762F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工程概况说明</w:t>
            </w:r>
          </w:p>
        </w:tc>
        <w:tc>
          <w:tcPr>
            <w:tcW w:w="2633" w:type="dxa"/>
            <w:gridSpan w:val="2"/>
            <w:noWrap w:val="0"/>
            <w:vAlign w:val="center"/>
          </w:tcPr>
          <w:p w14:paraId="288381D3">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发包人及联系电话</w:t>
            </w:r>
          </w:p>
        </w:tc>
      </w:tr>
      <w:tr w14:paraId="5622E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A9026A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59AAB49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D435BD9">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25CA3502">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4754DA6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44E52704">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2D35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37A46BC8">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6B292FBF">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0981AFE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1E349071">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418A9BB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13AC7CE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5830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A3B0640">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3C93D08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75235C19">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04C8786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6FE636D4">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36F24C5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A569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D41D145">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617D1A98">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F05B2A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4355EC8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3757034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4A985FEE">
            <w:pPr>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10E10B49">
      <w:pPr>
        <w:pStyle w:val="12"/>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p>
    <w:p w14:paraId="0E503BD9">
      <w:pPr>
        <w:pStyle w:val="12"/>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注：本工程一旦我单位中标，将配备上述项目管理人员。上述填报内容真实，如不真实，将按照有关规定接受处理。</w:t>
      </w:r>
    </w:p>
    <w:p w14:paraId="27979790">
      <w:pPr>
        <w:spacing w:line="44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２）主要项目管理人员简历表</w:t>
      </w:r>
    </w:p>
    <w:p w14:paraId="5840092A">
      <w:pPr>
        <w:spacing w:line="42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tbl>
      <w:tblPr>
        <w:tblStyle w:val="19"/>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715"/>
        <w:gridCol w:w="3420"/>
        <w:gridCol w:w="1261"/>
        <w:gridCol w:w="2296"/>
      </w:tblGrid>
      <w:tr w14:paraId="7E087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900" w:type="dxa"/>
            <w:gridSpan w:val="5"/>
            <w:noWrap w:val="0"/>
            <w:vAlign w:val="center"/>
          </w:tcPr>
          <w:p w14:paraId="7DA5B053">
            <w:pPr>
              <w:spacing w:line="42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岗位名称</w:t>
            </w:r>
          </w:p>
        </w:tc>
      </w:tr>
      <w:tr w14:paraId="6CBC9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14:paraId="2077496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3420" w:type="dxa"/>
            <w:noWrap w:val="0"/>
            <w:vAlign w:val="center"/>
          </w:tcPr>
          <w:p w14:paraId="4815C98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14:paraId="5254A56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年龄</w:t>
            </w:r>
          </w:p>
        </w:tc>
        <w:tc>
          <w:tcPr>
            <w:tcW w:w="2296" w:type="dxa"/>
            <w:noWrap w:val="0"/>
            <w:vAlign w:val="center"/>
          </w:tcPr>
          <w:p w14:paraId="2EE71C84">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72B61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721017DB">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性别</w:t>
            </w:r>
          </w:p>
        </w:tc>
        <w:tc>
          <w:tcPr>
            <w:tcW w:w="3420" w:type="dxa"/>
            <w:noWrap w:val="0"/>
            <w:vAlign w:val="top"/>
          </w:tcPr>
          <w:p w14:paraId="1BCDC90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677957E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2296" w:type="dxa"/>
            <w:noWrap w:val="0"/>
            <w:vAlign w:val="top"/>
          </w:tcPr>
          <w:p w14:paraId="0927C03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6118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1FBC5947">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学历和专业</w:t>
            </w:r>
          </w:p>
        </w:tc>
        <w:tc>
          <w:tcPr>
            <w:tcW w:w="3420" w:type="dxa"/>
            <w:noWrap w:val="0"/>
            <w:vAlign w:val="top"/>
          </w:tcPr>
          <w:p w14:paraId="52A628C6">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73175F1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毕业时间</w:t>
            </w:r>
          </w:p>
        </w:tc>
        <w:tc>
          <w:tcPr>
            <w:tcW w:w="2296" w:type="dxa"/>
            <w:noWrap w:val="0"/>
            <w:vAlign w:val="top"/>
          </w:tcPr>
          <w:p w14:paraId="71E34997">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6F685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7FB37A8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拥有的执业资格</w:t>
            </w:r>
          </w:p>
        </w:tc>
        <w:tc>
          <w:tcPr>
            <w:tcW w:w="3420" w:type="dxa"/>
            <w:noWrap w:val="0"/>
            <w:vAlign w:val="top"/>
          </w:tcPr>
          <w:p w14:paraId="4AD2BCEB">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07F550B1">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专业职称</w:t>
            </w:r>
          </w:p>
        </w:tc>
        <w:tc>
          <w:tcPr>
            <w:tcW w:w="2296" w:type="dxa"/>
            <w:noWrap w:val="0"/>
            <w:vAlign w:val="top"/>
          </w:tcPr>
          <w:p w14:paraId="06DA7E3E">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2F636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14:paraId="26C75F6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执业资格证书编号</w:t>
            </w:r>
          </w:p>
        </w:tc>
        <w:tc>
          <w:tcPr>
            <w:tcW w:w="3420" w:type="dxa"/>
            <w:noWrap w:val="0"/>
            <w:vAlign w:val="center"/>
          </w:tcPr>
          <w:p w14:paraId="0DBBE4D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14:paraId="2301299C">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工作年限</w:t>
            </w:r>
          </w:p>
        </w:tc>
        <w:tc>
          <w:tcPr>
            <w:tcW w:w="2296" w:type="dxa"/>
            <w:noWrap w:val="0"/>
            <w:vAlign w:val="center"/>
          </w:tcPr>
          <w:p w14:paraId="79A7578C">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1572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08" w:type="dxa"/>
            <w:noWrap w:val="0"/>
            <w:vAlign w:val="center"/>
          </w:tcPr>
          <w:p w14:paraId="377AB64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68DA0C64">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主要工作业绩及担任的主要工作</w:t>
            </w:r>
          </w:p>
          <w:p w14:paraId="6EE08282">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692" w:type="dxa"/>
            <w:gridSpan w:val="4"/>
            <w:noWrap w:val="0"/>
            <w:vAlign w:val="center"/>
          </w:tcPr>
          <w:p w14:paraId="56083983">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32119036">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58D80E2">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7369F9FD">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49F467A">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18B10180">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020C3A0C">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0DEAB42">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4C237DC3">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1BA47E0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13B9C751">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038D15D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03F530B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6833DEF6">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34E03963">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bl>
    <w:p w14:paraId="6DBE0124">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137CF6A">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26B9A54">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37301247">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BCEFBF5">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8974DC6">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FA746B1">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A203D57">
      <w:pPr>
        <w:keepNext w:val="0"/>
        <w:keepLines w:val="0"/>
        <w:pageBreakBefore w:val="0"/>
        <w:widowControl w:val="0"/>
        <w:numPr>
          <w:ilvl w:val="0"/>
          <w:numId w:val="3"/>
        </w:numPr>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近年完成的工程业绩表</w:t>
      </w:r>
    </w:p>
    <w:tbl>
      <w:tblPr>
        <w:tblStyle w:val="19"/>
        <w:tblW w:w="89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4"/>
        <w:gridCol w:w="6094"/>
      </w:tblGrid>
      <w:tr w14:paraId="334DA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14:paraId="6A49194F">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序号</w:t>
            </w:r>
          </w:p>
        </w:tc>
        <w:tc>
          <w:tcPr>
            <w:tcW w:w="6094" w:type="dxa"/>
            <w:noWrap w:val="0"/>
            <w:vAlign w:val="center"/>
          </w:tcPr>
          <w:p w14:paraId="57F5DB65">
            <w:pPr>
              <w:widowControl w:val="0"/>
              <w:spacing w:line="440" w:lineRule="exact"/>
              <w:jc w:val="center"/>
              <w:rPr>
                <w:rFonts w:ascii="宋体" w:hAnsi="宋体" w:eastAsia="宋体" w:cs="宋体"/>
                <w:kern w:val="2"/>
                <w:sz w:val="32"/>
                <w:szCs w:val="32"/>
                <w:lang w:val="en-US" w:eastAsia="zh-CN" w:bidi="ar-SA"/>
              </w:rPr>
            </w:pPr>
          </w:p>
        </w:tc>
      </w:tr>
      <w:tr w14:paraId="0E7E9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14:paraId="7B13D3B8">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项目名称</w:t>
            </w:r>
          </w:p>
        </w:tc>
        <w:tc>
          <w:tcPr>
            <w:tcW w:w="6094" w:type="dxa"/>
            <w:noWrap w:val="0"/>
            <w:vAlign w:val="center"/>
          </w:tcPr>
          <w:p w14:paraId="7A582BF9">
            <w:pPr>
              <w:widowControl w:val="0"/>
              <w:spacing w:line="440" w:lineRule="exact"/>
              <w:jc w:val="center"/>
              <w:rPr>
                <w:rFonts w:ascii="宋体" w:hAnsi="宋体" w:eastAsia="宋体" w:cs="宋体"/>
                <w:kern w:val="2"/>
                <w:sz w:val="32"/>
                <w:szCs w:val="32"/>
                <w:lang w:val="en-US" w:eastAsia="zh-CN" w:bidi="ar-SA"/>
              </w:rPr>
            </w:pPr>
          </w:p>
        </w:tc>
      </w:tr>
      <w:tr w14:paraId="3A2F7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814" w:type="dxa"/>
            <w:noWrap w:val="0"/>
            <w:vAlign w:val="center"/>
          </w:tcPr>
          <w:p w14:paraId="390DE68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项目所在地</w:t>
            </w:r>
          </w:p>
        </w:tc>
        <w:tc>
          <w:tcPr>
            <w:tcW w:w="6094" w:type="dxa"/>
            <w:noWrap w:val="0"/>
            <w:vAlign w:val="center"/>
          </w:tcPr>
          <w:p w14:paraId="151BDBD5">
            <w:pPr>
              <w:widowControl w:val="0"/>
              <w:spacing w:line="440" w:lineRule="exact"/>
              <w:jc w:val="center"/>
              <w:rPr>
                <w:rFonts w:ascii="宋体" w:hAnsi="宋体" w:eastAsia="宋体" w:cs="宋体"/>
                <w:kern w:val="2"/>
                <w:sz w:val="32"/>
                <w:szCs w:val="32"/>
                <w:lang w:val="en-US" w:eastAsia="zh-CN" w:bidi="ar-SA"/>
              </w:rPr>
            </w:pPr>
          </w:p>
        </w:tc>
      </w:tr>
      <w:tr w14:paraId="0B856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14:paraId="0BFEF188">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发包人名称</w:t>
            </w:r>
          </w:p>
        </w:tc>
        <w:tc>
          <w:tcPr>
            <w:tcW w:w="6094" w:type="dxa"/>
            <w:noWrap w:val="0"/>
            <w:vAlign w:val="center"/>
          </w:tcPr>
          <w:p w14:paraId="19B9F7E6">
            <w:pPr>
              <w:widowControl w:val="0"/>
              <w:spacing w:line="440" w:lineRule="exact"/>
              <w:jc w:val="center"/>
              <w:rPr>
                <w:rFonts w:ascii="宋体" w:hAnsi="宋体" w:eastAsia="宋体" w:cs="宋体"/>
                <w:kern w:val="2"/>
                <w:sz w:val="32"/>
                <w:szCs w:val="32"/>
                <w:lang w:val="en-US" w:eastAsia="zh-CN" w:bidi="ar-SA"/>
              </w:rPr>
            </w:pPr>
          </w:p>
        </w:tc>
      </w:tr>
      <w:tr w14:paraId="3B193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2814" w:type="dxa"/>
            <w:noWrap w:val="0"/>
            <w:vAlign w:val="center"/>
          </w:tcPr>
          <w:p w14:paraId="6578E92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发包人地址</w:t>
            </w:r>
          </w:p>
        </w:tc>
        <w:tc>
          <w:tcPr>
            <w:tcW w:w="6094" w:type="dxa"/>
            <w:noWrap w:val="0"/>
            <w:vAlign w:val="center"/>
          </w:tcPr>
          <w:p w14:paraId="4E8C6DD6">
            <w:pPr>
              <w:widowControl w:val="0"/>
              <w:spacing w:line="440" w:lineRule="exact"/>
              <w:jc w:val="center"/>
              <w:rPr>
                <w:rFonts w:ascii="宋体" w:hAnsi="宋体" w:eastAsia="宋体" w:cs="宋体"/>
                <w:kern w:val="2"/>
                <w:sz w:val="32"/>
                <w:szCs w:val="32"/>
                <w:lang w:val="en-US" w:eastAsia="zh-CN" w:bidi="ar-SA"/>
              </w:rPr>
            </w:pPr>
          </w:p>
        </w:tc>
      </w:tr>
      <w:tr w14:paraId="4A9AD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814" w:type="dxa"/>
            <w:noWrap w:val="0"/>
            <w:vAlign w:val="center"/>
          </w:tcPr>
          <w:p w14:paraId="088966D9">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发包人联系人</w:t>
            </w:r>
          </w:p>
          <w:p w14:paraId="2120350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14:paraId="2C01E86F">
            <w:pPr>
              <w:widowControl w:val="0"/>
              <w:spacing w:line="440" w:lineRule="exact"/>
              <w:jc w:val="center"/>
              <w:rPr>
                <w:rFonts w:ascii="宋体" w:hAnsi="宋体" w:eastAsia="宋体" w:cs="宋体"/>
                <w:kern w:val="2"/>
                <w:sz w:val="32"/>
                <w:szCs w:val="32"/>
                <w:lang w:val="en-US" w:eastAsia="zh-CN" w:bidi="ar-SA"/>
              </w:rPr>
            </w:pPr>
          </w:p>
        </w:tc>
      </w:tr>
      <w:tr w14:paraId="4F19F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814" w:type="dxa"/>
            <w:noWrap w:val="0"/>
            <w:vAlign w:val="center"/>
          </w:tcPr>
          <w:p w14:paraId="136DF94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合同价格</w:t>
            </w:r>
          </w:p>
        </w:tc>
        <w:tc>
          <w:tcPr>
            <w:tcW w:w="6094" w:type="dxa"/>
            <w:noWrap w:val="0"/>
            <w:vAlign w:val="center"/>
          </w:tcPr>
          <w:p w14:paraId="3AD54682">
            <w:pPr>
              <w:widowControl w:val="0"/>
              <w:spacing w:line="440" w:lineRule="exact"/>
              <w:jc w:val="center"/>
              <w:rPr>
                <w:rFonts w:ascii="宋体" w:hAnsi="宋体" w:eastAsia="宋体" w:cs="宋体"/>
                <w:kern w:val="2"/>
                <w:sz w:val="32"/>
                <w:szCs w:val="32"/>
                <w:lang w:val="en-US" w:eastAsia="zh-CN" w:bidi="ar-SA"/>
              </w:rPr>
            </w:pPr>
          </w:p>
        </w:tc>
      </w:tr>
      <w:tr w14:paraId="6644B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814" w:type="dxa"/>
            <w:noWrap w:val="0"/>
            <w:vAlign w:val="center"/>
          </w:tcPr>
          <w:p w14:paraId="14D5966F">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开工日期</w:t>
            </w:r>
          </w:p>
        </w:tc>
        <w:tc>
          <w:tcPr>
            <w:tcW w:w="6094" w:type="dxa"/>
            <w:noWrap w:val="0"/>
            <w:vAlign w:val="center"/>
          </w:tcPr>
          <w:p w14:paraId="4459FA4B">
            <w:pPr>
              <w:widowControl w:val="0"/>
              <w:spacing w:line="440" w:lineRule="exact"/>
              <w:jc w:val="center"/>
              <w:rPr>
                <w:rFonts w:ascii="宋体" w:hAnsi="宋体" w:eastAsia="宋体" w:cs="宋体"/>
                <w:kern w:val="2"/>
                <w:sz w:val="32"/>
                <w:szCs w:val="32"/>
                <w:lang w:val="en-US" w:eastAsia="zh-CN" w:bidi="ar-SA"/>
              </w:rPr>
            </w:pPr>
          </w:p>
        </w:tc>
      </w:tr>
      <w:tr w14:paraId="1239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2814" w:type="dxa"/>
            <w:noWrap w:val="0"/>
            <w:vAlign w:val="center"/>
          </w:tcPr>
          <w:p w14:paraId="21231D29">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竣工日期</w:t>
            </w:r>
          </w:p>
        </w:tc>
        <w:tc>
          <w:tcPr>
            <w:tcW w:w="6094" w:type="dxa"/>
            <w:noWrap w:val="0"/>
            <w:vAlign w:val="center"/>
          </w:tcPr>
          <w:p w14:paraId="3004BE59">
            <w:pPr>
              <w:widowControl w:val="0"/>
              <w:spacing w:line="440" w:lineRule="exact"/>
              <w:jc w:val="center"/>
              <w:rPr>
                <w:rFonts w:ascii="宋体" w:hAnsi="宋体" w:eastAsia="宋体" w:cs="宋体"/>
                <w:kern w:val="2"/>
                <w:sz w:val="32"/>
                <w:szCs w:val="32"/>
                <w:lang w:val="en-US" w:eastAsia="zh-CN" w:bidi="ar-SA"/>
              </w:rPr>
            </w:pPr>
          </w:p>
        </w:tc>
      </w:tr>
      <w:tr w14:paraId="35FC3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814" w:type="dxa"/>
            <w:noWrap w:val="0"/>
            <w:vAlign w:val="center"/>
          </w:tcPr>
          <w:p w14:paraId="5DE9821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承担的工作</w:t>
            </w:r>
          </w:p>
        </w:tc>
        <w:tc>
          <w:tcPr>
            <w:tcW w:w="6094" w:type="dxa"/>
            <w:noWrap w:val="0"/>
            <w:vAlign w:val="center"/>
          </w:tcPr>
          <w:p w14:paraId="4A7398DC">
            <w:pPr>
              <w:widowControl w:val="0"/>
              <w:spacing w:line="440" w:lineRule="exact"/>
              <w:jc w:val="center"/>
              <w:rPr>
                <w:rFonts w:ascii="宋体" w:hAnsi="宋体" w:eastAsia="宋体" w:cs="宋体"/>
                <w:kern w:val="2"/>
                <w:sz w:val="32"/>
                <w:szCs w:val="32"/>
                <w:lang w:val="en-US" w:eastAsia="zh-CN" w:bidi="ar-SA"/>
              </w:rPr>
            </w:pPr>
          </w:p>
        </w:tc>
      </w:tr>
      <w:tr w14:paraId="71237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14:paraId="41BDEDB3">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工程质量</w:t>
            </w:r>
          </w:p>
        </w:tc>
        <w:tc>
          <w:tcPr>
            <w:tcW w:w="6094" w:type="dxa"/>
            <w:noWrap w:val="0"/>
            <w:vAlign w:val="center"/>
          </w:tcPr>
          <w:p w14:paraId="55BA1670">
            <w:pPr>
              <w:widowControl w:val="0"/>
              <w:spacing w:line="440" w:lineRule="exact"/>
              <w:jc w:val="center"/>
              <w:rPr>
                <w:rFonts w:ascii="宋体" w:hAnsi="宋体" w:eastAsia="宋体" w:cs="宋体"/>
                <w:kern w:val="2"/>
                <w:sz w:val="32"/>
                <w:szCs w:val="32"/>
                <w:lang w:val="en-US" w:eastAsia="zh-CN" w:bidi="ar-SA"/>
              </w:rPr>
            </w:pPr>
          </w:p>
        </w:tc>
      </w:tr>
      <w:tr w14:paraId="21F3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814" w:type="dxa"/>
            <w:noWrap w:val="0"/>
            <w:vAlign w:val="center"/>
          </w:tcPr>
          <w:p w14:paraId="736AE5F0">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项目负责人</w:t>
            </w:r>
          </w:p>
        </w:tc>
        <w:tc>
          <w:tcPr>
            <w:tcW w:w="6094" w:type="dxa"/>
            <w:noWrap w:val="0"/>
            <w:vAlign w:val="center"/>
          </w:tcPr>
          <w:p w14:paraId="79CB666F">
            <w:pPr>
              <w:widowControl w:val="0"/>
              <w:spacing w:line="440" w:lineRule="exact"/>
              <w:jc w:val="center"/>
              <w:rPr>
                <w:rFonts w:ascii="宋体" w:hAnsi="宋体" w:eastAsia="宋体" w:cs="宋体"/>
                <w:kern w:val="2"/>
                <w:sz w:val="32"/>
                <w:szCs w:val="32"/>
                <w:lang w:val="en-US" w:eastAsia="zh-CN" w:bidi="ar-SA"/>
              </w:rPr>
            </w:pPr>
          </w:p>
        </w:tc>
      </w:tr>
      <w:tr w14:paraId="33B7E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2814" w:type="dxa"/>
            <w:noWrap w:val="0"/>
            <w:vAlign w:val="center"/>
          </w:tcPr>
          <w:p w14:paraId="15F54952">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技术负责人</w:t>
            </w:r>
          </w:p>
        </w:tc>
        <w:tc>
          <w:tcPr>
            <w:tcW w:w="6094" w:type="dxa"/>
            <w:noWrap w:val="0"/>
            <w:vAlign w:val="center"/>
          </w:tcPr>
          <w:p w14:paraId="45941FA3">
            <w:pPr>
              <w:widowControl w:val="0"/>
              <w:spacing w:line="440" w:lineRule="exact"/>
              <w:jc w:val="center"/>
              <w:rPr>
                <w:rFonts w:ascii="宋体" w:hAnsi="宋体" w:eastAsia="宋体" w:cs="宋体"/>
                <w:kern w:val="2"/>
                <w:sz w:val="32"/>
                <w:szCs w:val="32"/>
                <w:lang w:val="en-US" w:eastAsia="zh-CN" w:bidi="ar-SA"/>
              </w:rPr>
            </w:pPr>
          </w:p>
        </w:tc>
      </w:tr>
      <w:tr w14:paraId="4F367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2814" w:type="dxa"/>
            <w:noWrap w:val="0"/>
            <w:vAlign w:val="center"/>
          </w:tcPr>
          <w:p w14:paraId="71AA0CD5">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总监理工程师</w:t>
            </w:r>
          </w:p>
          <w:p w14:paraId="4E6B0FCB">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14:paraId="596991A5">
            <w:pPr>
              <w:widowControl w:val="0"/>
              <w:spacing w:line="440" w:lineRule="exact"/>
              <w:jc w:val="center"/>
              <w:rPr>
                <w:rFonts w:ascii="宋体" w:hAnsi="宋体" w:eastAsia="宋体" w:cs="宋体"/>
                <w:kern w:val="2"/>
                <w:sz w:val="32"/>
                <w:szCs w:val="32"/>
                <w:lang w:val="en-US" w:eastAsia="zh-CN" w:bidi="ar-SA"/>
              </w:rPr>
            </w:pPr>
          </w:p>
        </w:tc>
      </w:tr>
      <w:tr w14:paraId="07D38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2814" w:type="dxa"/>
            <w:noWrap w:val="0"/>
            <w:vAlign w:val="center"/>
          </w:tcPr>
          <w:p w14:paraId="1028A1F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项目描述</w:t>
            </w:r>
          </w:p>
        </w:tc>
        <w:tc>
          <w:tcPr>
            <w:tcW w:w="6094" w:type="dxa"/>
            <w:noWrap w:val="0"/>
            <w:vAlign w:val="center"/>
          </w:tcPr>
          <w:p w14:paraId="2598EB14">
            <w:pPr>
              <w:widowControl w:val="0"/>
              <w:spacing w:line="440" w:lineRule="exact"/>
              <w:jc w:val="center"/>
              <w:rPr>
                <w:rFonts w:ascii="宋体" w:hAnsi="宋体" w:eastAsia="宋体" w:cs="宋体"/>
                <w:kern w:val="2"/>
                <w:sz w:val="32"/>
                <w:szCs w:val="32"/>
                <w:lang w:val="en-US" w:eastAsia="zh-CN" w:bidi="ar-SA"/>
              </w:rPr>
            </w:pPr>
          </w:p>
        </w:tc>
      </w:tr>
      <w:tr w14:paraId="1D09F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2814" w:type="dxa"/>
            <w:noWrap w:val="0"/>
            <w:vAlign w:val="center"/>
          </w:tcPr>
          <w:p w14:paraId="1247E242">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备注</w:t>
            </w:r>
          </w:p>
        </w:tc>
        <w:tc>
          <w:tcPr>
            <w:tcW w:w="6094" w:type="dxa"/>
            <w:noWrap w:val="0"/>
            <w:vAlign w:val="center"/>
          </w:tcPr>
          <w:p w14:paraId="1EE091CE">
            <w:pPr>
              <w:widowControl w:val="0"/>
              <w:spacing w:line="440" w:lineRule="exact"/>
              <w:jc w:val="center"/>
              <w:rPr>
                <w:rFonts w:ascii="宋体" w:hAnsi="宋体" w:eastAsia="宋体" w:cs="宋体"/>
                <w:kern w:val="2"/>
                <w:sz w:val="32"/>
                <w:szCs w:val="32"/>
                <w:lang w:val="en-US" w:eastAsia="zh-CN" w:bidi="ar-SA"/>
              </w:rPr>
            </w:pPr>
          </w:p>
        </w:tc>
      </w:tr>
    </w:tbl>
    <w:p w14:paraId="62BA22A6">
      <w:pPr>
        <w:spacing w:line="440" w:lineRule="exact"/>
        <w:jc w:val="left"/>
        <w:rPr>
          <w:rFonts w:ascii="宋体" w:hAnsi="宋体" w:cs="宋体"/>
          <w:b/>
          <w:bCs/>
          <w:sz w:val="28"/>
          <w:szCs w:val="28"/>
        </w:rPr>
      </w:pPr>
      <w:r>
        <w:rPr>
          <w:rFonts w:hint="eastAsia" w:ascii="宋体" w:hAnsi="宋体" w:cs="宋体"/>
          <w:b/>
          <w:bCs/>
          <w:sz w:val="28"/>
          <w:szCs w:val="28"/>
        </w:rPr>
        <w:t>注：</w:t>
      </w:r>
    </w:p>
    <w:p w14:paraId="0E0798DA">
      <w:pPr>
        <w:spacing w:line="440" w:lineRule="exact"/>
        <w:ind w:firstLine="562" w:firstLineChars="200"/>
        <w:jc w:val="left"/>
        <w:rPr>
          <w:rFonts w:ascii="宋体" w:hAnsi="宋体" w:cs="宋体"/>
          <w:b/>
          <w:bCs/>
          <w:sz w:val="28"/>
          <w:szCs w:val="28"/>
        </w:rPr>
      </w:pPr>
      <w:r>
        <w:rPr>
          <w:rFonts w:hint="eastAsia" w:ascii="宋体" w:hAnsi="宋体" w:cs="宋体"/>
          <w:b/>
          <w:bCs/>
          <w:sz w:val="28"/>
          <w:szCs w:val="28"/>
        </w:rPr>
        <w:t>1、</w:t>
      </w:r>
      <w:r>
        <w:rPr>
          <w:rFonts w:hint="eastAsia" w:ascii="宋体" w:hAnsi="宋体" w:cs="宋体"/>
          <w:b/>
          <w:bCs/>
          <w:sz w:val="28"/>
          <w:szCs w:val="28"/>
          <w:lang w:val="en-US" w:eastAsia="zh-CN"/>
        </w:rPr>
        <w:t>工程</w:t>
      </w:r>
      <w:r>
        <w:rPr>
          <w:rFonts w:hint="eastAsia" w:ascii="宋体" w:hAnsi="宋体" w:cs="宋体"/>
          <w:b/>
          <w:bCs/>
          <w:sz w:val="28"/>
          <w:szCs w:val="28"/>
        </w:rPr>
        <w:t>项目指与发包工程建设规模相似、结构类型、使用功能相同的工程项目。</w:t>
      </w:r>
    </w:p>
    <w:p w14:paraId="6EC25566">
      <w:pPr>
        <w:spacing w:line="440" w:lineRule="exact"/>
        <w:ind w:firstLine="562" w:firstLineChars="200"/>
        <w:jc w:val="left"/>
        <w:rPr>
          <w:rFonts w:hint="eastAsia" w:ascii="宋体" w:hAnsi="宋体" w:cs="宋体"/>
          <w:b/>
          <w:bCs/>
          <w:sz w:val="28"/>
          <w:szCs w:val="28"/>
        </w:rPr>
      </w:pPr>
      <w:r>
        <w:rPr>
          <w:rFonts w:hint="eastAsia" w:ascii="宋体" w:hAnsi="宋体" w:cs="宋体"/>
          <w:b/>
          <w:bCs/>
          <w:sz w:val="28"/>
          <w:szCs w:val="28"/>
        </w:rPr>
        <w:t>2、本表后附中标通知书（如有）或发包通知书（如有）、合同协议书、工程接收证书或工程竣工验收证书（表）的扫描件，具体年份要求见投标人须知前附表。每张表格只填写一个项目，并标明序号（示例：序号2-1，2是指投标人此次投标共填报2项工程业绩，1是指投标人2项业绩中的第1项工程业绩，依次类推2-1，2-2）。</w:t>
      </w:r>
    </w:p>
    <w:p w14:paraId="5158C639">
      <w:pPr>
        <w:spacing w:line="440" w:lineRule="exact"/>
        <w:ind w:firstLine="640" w:firstLineChars="200"/>
        <w:jc w:val="left"/>
        <w:rPr>
          <w:rFonts w:hint="eastAsia" w:ascii="宋体" w:hAnsi="宋体" w:cs="宋体"/>
          <w:b/>
          <w:bCs/>
          <w:sz w:val="28"/>
          <w:szCs w:val="28"/>
        </w:rPr>
      </w:pPr>
      <w:bookmarkStart w:id="323" w:name="_Toc256000148"/>
      <w:r>
        <w:rPr>
          <w:rFonts w:ascii="黑体" w:hAnsi="黑体" w:eastAsia="黑体" w:cs="黑体"/>
          <w:kern w:val="0"/>
          <w:sz w:val="32"/>
          <w:szCs w:val="24"/>
          <w:lang w:eastAsia="en-US"/>
        </w:rPr>
        <w:t>十、拟分包项目情况表</w:t>
      </w:r>
      <w:bookmarkEnd w:id="323"/>
    </w:p>
    <w:tbl>
      <w:tblPr>
        <w:tblStyle w:val="19"/>
        <w:tblpPr w:leftFromText="180" w:rightFromText="180" w:vertAnchor="text" w:horzAnchor="margin" w:tblpXSpec="center" w:tblpY="5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6"/>
        <w:gridCol w:w="2415"/>
        <w:gridCol w:w="2019"/>
        <w:gridCol w:w="2394"/>
      </w:tblGrid>
      <w:tr w14:paraId="4BB6A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2156" w:type="dxa"/>
            <w:noWrap w:val="0"/>
            <w:vAlign w:val="center"/>
          </w:tcPr>
          <w:p w14:paraId="50C271E7">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分包人名称</w:t>
            </w:r>
          </w:p>
        </w:tc>
        <w:tc>
          <w:tcPr>
            <w:tcW w:w="2415" w:type="dxa"/>
            <w:noWrap w:val="0"/>
            <w:vAlign w:val="center"/>
          </w:tcPr>
          <w:p w14:paraId="24B3941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2DA2B02C">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地 址</w:t>
            </w:r>
          </w:p>
        </w:tc>
        <w:tc>
          <w:tcPr>
            <w:tcW w:w="2394" w:type="dxa"/>
            <w:noWrap w:val="0"/>
            <w:vAlign w:val="center"/>
          </w:tcPr>
          <w:p w14:paraId="4DF9D735">
            <w:pPr>
              <w:widowControl w:val="0"/>
              <w:jc w:val="both"/>
              <w:rPr>
                <w:rFonts w:ascii="Times New Roman" w:hAnsi="Times New Roman" w:eastAsia="宋体"/>
                <w:kern w:val="2"/>
                <w:sz w:val="21"/>
                <w:szCs w:val="24"/>
                <w:lang w:val="en-US" w:eastAsia="zh-CN" w:bidi="ar-SA"/>
              </w:rPr>
            </w:pPr>
          </w:p>
        </w:tc>
      </w:tr>
      <w:tr w14:paraId="596AF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2156" w:type="dxa"/>
            <w:noWrap w:val="0"/>
            <w:vAlign w:val="center"/>
          </w:tcPr>
          <w:p w14:paraId="4061A45C">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法定代表人</w:t>
            </w:r>
          </w:p>
        </w:tc>
        <w:tc>
          <w:tcPr>
            <w:tcW w:w="2415" w:type="dxa"/>
            <w:noWrap w:val="0"/>
            <w:vAlign w:val="center"/>
          </w:tcPr>
          <w:p w14:paraId="6BD9506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968F93A">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电 话</w:t>
            </w:r>
          </w:p>
        </w:tc>
        <w:tc>
          <w:tcPr>
            <w:tcW w:w="2394" w:type="dxa"/>
            <w:noWrap w:val="0"/>
            <w:vAlign w:val="center"/>
          </w:tcPr>
          <w:p w14:paraId="5122A510">
            <w:pPr>
              <w:widowControl w:val="0"/>
              <w:jc w:val="both"/>
              <w:rPr>
                <w:rFonts w:ascii="Times New Roman" w:hAnsi="Times New Roman" w:eastAsia="宋体"/>
                <w:kern w:val="2"/>
                <w:sz w:val="21"/>
                <w:szCs w:val="24"/>
                <w:lang w:val="en-US" w:eastAsia="zh-CN" w:bidi="ar-SA"/>
              </w:rPr>
            </w:pPr>
          </w:p>
        </w:tc>
      </w:tr>
      <w:tr w14:paraId="7BC52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14:paraId="0A4B31A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统一社会信用代码</w:t>
            </w:r>
          </w:p>
        </w:tc>
        <w:tc>
          <w:tcPr>
            <w:tcW w:w="2415" w:type="dxa"/>
            <w:noWrap w:val="0"/>
            <w:vAlign w:val="center"/>
          </w:tcPr>
          <w:p w14:paraId="2B26323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543B320">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资质等级</w:t>
            </w:r>
          </w:p>
        </w:tc>
        <w:tc>
          <w:tcPr>
            <w:tcW w:w="2394" w:type="dxa"/>
            <w:noWrap w:val="0"/>
            <w:vAlign w:val="center"/>
          </w:tcPr>
          <w:p w14:paraId="0BED7976">
            <w:pPr>
              <w:widowControl w:val="0"/>
              <w:jc w:val="both"/>
              <w:rPr>
                <w:rFonts w:ascii="Times New Roman" w:hAnsi="Times New Roman" w:eastAsia="宋体"/>
                <w:kern w:val="2"/>
                <w:sz w:val="21"/>
                <w:szCs w:val="24"/>
                <w:lang w:val="en-US" w:eastAsia="zh-CN" w:bidi="ar-SA"/>
              </w:rPr>
            </w:pPr>
          </w:p>
        </w:tc>
      </w:tr>
      <w:tr w14:paraId="1BA9A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14:paraId="5C39AB93">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拟分包的工程项目</w:t>
            </w:r>
          </w:p>
        </w:tc>
        <w:tc>
          <w:tcPr>
            <w:tcW w:w="2415" w:type="dxa"/>
            <w:noWrap w:val="0"/>
            <w:vAlign w:val="center"/>
          </w:tcPr>
          <w:p w14:paraId="27520E5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主 要 内 容</w:t>
            </w:r>
          </w:p>
        </w:tc>
        <w:tc>
          <w:tcPr>
            <w:tcW w:w="2019" w:type="dxa"/>
            <w:noWrap w:val="0"/>
            <w:vAlign w:val="center"/>
          </w:tcPr>
          <w:p w14:paraId="1DC6B70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预计造价</w:t>
            </w:r>
          </w:p>
          <w:p w14:paraId="49E6FD0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（万元）</w:t>
            </w:r>
          </w:p>
        </w:tc>
        <w:tc>
          <w:tcPr>
            <w:tcW w:w="2394" w:type="dxa"/>
            <w:noWrap w:val="0"/>
            <w:vAlign w:val="center"/>
          </w:tcPr>
          <w:p w14:paraId="2169CC3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有关业绩</w:t>
            </w:r>
          </w:p>
        </w:tc>
      </w:tr>
      <w:tr w14:paraId="42B67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56" w:type="dxa"/>
            <w:noWrap w:val="0"/>
            <w:vAlign w:val="center"/>
          </w:tcPr>
          <w:p w14:paraId="5356A16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06DEA1C2">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6781F5B">
            <w:pPr>
              <w:widowControl w:val="0"/>
              <w:jc w:val="both"/>
              <w:rPr>
                <w:rFonts w:ascii="Times New Roman" w:hAnsi="Times New Roman" w:eastAsia="宋体"/>
                <w:kern w:val="2"/>
                <w:sz w:val="21"/>
                <w:szCs w:val="24"/>
                <w:lang w:val="en-US" w:eastAsia="zh-CN" w:bidi="ar-SA"/>
              </w:rPr>
            </w:pPr>
          </w:p>
        </w:tc>
        <w:tc>
          <w:tcPr>
            <w:tcW w:w="2394" w:type="dxa"/>
            <w:vMerge w:val="restart"/>
            <w:noWrap w:val="0"/>
            <w:vAlign w:val="center"/>
          </w:tcPr>
          <w:p w14:paraId="529DDFEC">
            <w:pPr>
              <w:widowControl w:val="0"/>
              <w:jc w:val="both"/>
              <w:rPr>
                <w:rFonts w:ascii="Times New Roman" w:hAnsi="Times New Roman" w:eastAsia="宋体"/>
                <w:kern w:val="2"/>
                <w:sz w:val="21"/>
                <w:szCs w:val="24"/>
                <w:lang w:val="en-US" w:eastAsia="zh-CN" w:bidi="ar-SA"/>
              </w:rPr>
            </w:pPr>
          </w:p>
          <w:p w14:paraId="7BF3A119">
            <w:pPr>
              <w:widowControl w:val="0"/>
              <w:jc w:val="both"/>
              <w:rPr>
                <w:rFonts w:ascii="Times New Roman" w:hAnsi="Times New Roman" w:eastAsia="宋体"/>
                <w:kern w:val="2"/>
                <w:sz w:val="21"/>
                <w:szCs w:val="24"/>
                <w:lang w:val="en-US" w:eastAsia="zh-CN" w:bidi="ar-SA"/>
              </w:rPr>
            </w:pPr>
          </w:p>
          <w:p w14:paraId="4F4E7A03">
            <w:pPr>
              <w:widowControl w:val="0"/>
              <w:jc w:val="both"/>
              <w:rPr>
                <w:rFonts w:ascii="Times New Roman" w:hAnsi="Times New Roman" w:eastAsia="宋体"/>
                <w:kern w:val="2"/>
                <w:sz w:val="21"/>
                <w:szCs w:val="24"/>
                <w:lang w:val="en-US" w:eastAsia="zh-CN" w:bidi="ar-SA"/>
              </w:rPr>
            </w:pPr>
          </w:p>
          <w:p w14:paraId="6AAAF096">
            <w:pPr>
              <w:widowControl w:val="0"/>
              <w:jc w:val="both"/>
              <w:rPr>
                <w:rFonts w:ascii="Times New Roman" w:hAnsi="Times New Roman" w:eastAsia="宋体"/>
                <w:kern w:val="2"/>
                <w:sz w:val="21"/>
                <w:szCs w:val="24"/>
                <w:lang w:val="en-US" w:eastAsia="zh-CN" w:bidi="ar-SA"/>
              </w:rPr>
            </w:pPr>
          </w:p>
          <w:p w14:paraId="4671F2D2">
            <w:pPr>
              <w:widowControl w:val="0"/>
              <w:jc w:val="both"/>
              <w:rPr>
                <w:rFonts w:ascii="Times New Roman" w:hAnsi="Times New Roman" w:eastAsia="宋体"/>
                <w:kern w:val="2"/>
                <w:sz w:val="21"/>
                <w:szCs w:val="24"/>
                <w:lang w:val="en-US" w:eastAsia="zh-CN" w:bidi="ar-SA"/>
              </w:rPr>
            </w:pPr>
          </w:p>
          <w:p w14:paraId="5311254D">
            <w:pPr>
              <w:widowControl w:val="0"/>
              <w:jc w:val="both"/>
              <w:rPr>
                <w:rFonts w:ascii="Times New Roman" w:hAnsi="Times New Roman" w:eastAsia="宋体"/>
                <w:kern w:val="2"/>
                <w:sz w:val="21"/>
                <w:szCs w:val="24"/>
                <w:lang w:val="en-US" w:eastAsia="zh-CN" w:bidi="ar-SA"/>
              </w:rPr>
            </w:pPr>
          </w:p>
        </w:tc>
      </w:tr>
      <w:tr w14:paraId="784B0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56" w:type="dxa"/>
            <w:noWrap w:val="0"/>
            <w:vAlign w:val="center"/>
          </w:tcPr>
          <w:p w14:paraId="54E42A02">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961BE3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269EEB7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75E2BBC">
            <w:pPr>
              <w:widowControl w:val="0"/>
              <w:jc w:val="both"/>
              <w:rPr>
                <w:rFonts w:ascii="Times New Roman" w:hAnsi="Times New Roman" w:eastAsia="宋体"/>
                <w:kern w:val="2"/>
                <w:sz w:val="21"/>
                <w:szCs w:val="24"/>
                <w:lang w:val="en-US" w:eastAsia="zh-CN" w:bidi="ar-SA"/>
              </w:rPr>
            </w:pPr>
          </w:p>
        </w:tc>
      </w:tr>
      <w:tr w14:paraId="18E2B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42CFB95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4473BD4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7681D33">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6B640AA2">
            <w:pPr>
              <w:widowControl w:val="0"/>
              <w:jc w:val="both"/>
              <w:rPr>
                <w:rFonts w:ascii="Times New Roman" w:hAnsi="Times New Roman" w:eastAsia="宋体"/>
                <w:kern w:val="2"/>
                <w:sz w:val="21"/>
                <w:szCs w:val="24"/>
                <w:lang w:val="en-US" w:eastAsia="zh-CN" w:bidi="ar-SA"/>
              </w:rPr>
            </w:pPr>
          </w:p>
        </w:tc>
      </w:tr>
      <w:tr w14:paraId="3A00E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156" w:type="dxa"/>
            <w:noWrap w:val="0"/>
            <w:vAlign w:val="center"/>
          </w:tcPr>
          <w:p w14:paraId="5EF08BEE">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88902F7">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7FE1475A">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33A4A29F">
            <w:pPr>
              <w:widowControl w:val="0"/>
              <w:jc w:val="both"/>
              <w:rPr>
                <w:rFonts w:ascii="Times New Roman" w:hAnsi="Times New Roman" w:eastAsia="宋体"/>
                <w:kern w:val="2"/>
                <w:sz w:val="21"/>
                <w:szCs w:val="24"/>
                <w:lang w:val="en-US" w:eastAsia="zh-CN" w:bidi="ar-SA"/>
              </w:rPr>
            </w:pPr>
          </w:p>
        </w:tc>
      </w:tr>
      <w:tr w14:paraId="7AAA6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56" w:type="dxa"/>
            <w:noWrap w:val="0"/>
            <w:vAlign w:val="center"/>
          </w:tcPr>
          <w:p w14:paraId="58F73DEA">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112892DF">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577E4C9">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63D1D1CA">
            <w:pPr>
              <w:widowControl w:val="0"/>
              <w:jc w:val="both"/>
              <w:rPr>
                <w:rFonts w:ascii="Times New Roman" w:hAnsi="Times New Roman" w:eastAsia="宋体"/>
                <w:kern w:val="2"/>
                <w:sz w:val="21"/>
                <w:szCs w:val="24"/>
                <w:lang w:val="en-US" w:eastAsia="zh-CN" w:bidi="ar-SA"/>
              </w:rPr>
            </w:pPr>
          </w:p>
        </w:tc>
      </w:tr>
      <w:tr w14:paraId="29DD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1EA312E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52F7490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BC11ED7">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17656D58">
            <w:pPr>
              <w:widowControl w:val="0"/>
              <w:jc w:val="both"/>
              <w:rPr>
                <w:rFonts w:ascii="Times New Roman" w:hAnsi="Times New Roman" w:eastAsia="宋体"/>
                <w:kern w:val="2"/>
                <w:sz w:val="21"/>
                <w:szCs w:val="24"/>
                <w:lang w:val="en-US" w:eastAsia="zh-CN" w:bidi="ar-SA"/>
              </w:rPr>
            </w:pPr>
          </w:p>
        </w:tc>
      </w:tr>
      <w:tr w14:paraId="6E46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6B953153">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19F15AE">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787FE84">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220D0A95">
            <w:pPr>
              <w:widowControl w:val="0"/>
              <w:jc w:val="both"/>
              <w:rPr>
                <w:rFonts w:ascii="Times New Roman" w:hAnsi="Times New Roman" w:eastAsia="宋体"/>
                <w:kern w:val="2"/>
                <w:sz w:val="21"/>
                <w:szCs w:val="24"/>
                <w:lang w:val="en-US" w:eastAsia="zh-CN" w:bidi="ar-SA"/>
              </w:rPr>
            </w:pPr>
          </w:p>
        </w:tc>
      </w:tr>
      <w:tr w14:paraId="315A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1484A12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D82AAF5">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F61FD63">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157ABB51">
            <w:pPr>
              <w:widowControl w:val="0"/>
              <w:jc w:val="both"/>
              <w:rPr>
                <w:rFonts w:ascii="Times New Roman" w:hAnsi="Times New Roman" w:eastAsia="宋体"/>
                <w:kern w:val="2"/>
                <w:sz w:val="21"/>
                <w:szCs w:val="24"/>
                <w:lang w:val="en-US" w:eastAsia="zh-CN" w:bidi="ar-SA"/>
              </w:rPr>
            </w:pPr>
          </w:p>
        </w:tc>
      </w:tr>
      <w:tr w14:paraId="1DAE5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2EB122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D01468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7E37DA6">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4A26A061">
            <w:pPr>
              <w:widowControl w:val="0"/>
              <w:jc w:val="both"/>
              <w:rPr>
                <w:rFonts w:ascii="Times New Roman" w:hAnsi="Times New Roman" w:eastAsia="宋体"/>
                <w:kern w:val="2"/>
                <w:sz w:val="21"/>
                <w:szCs w:val="24"/>
                <w:lang w:val="en-US" w:eastAsia="zh-CN" w:bidi="ar-SA"/>
              </w:rPr>
            </w:pPr>
          </w:p>
        </w:tc>
      </w:tr>
      <w:tr w14:paraId="6A4C0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F697AA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7F8DA6F8">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7764B3B2">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3302F439">
            <w:pPr>
              <w:widowControl w:val="0"/>
              <w:jc w:val="both"/>
              <w:rPr>
                <w:rFonts w:ascii="Times New Roman" w:hAnsi="Times New Roman" w:eastAsia="宋体"/>
                <w:kern w:val="2"/>
                <w:sz w:val="21"/>
                <w:szCs w:val="24"/>
                <w:lang w:val="en-US" w:eastAsia="zh-CN" w:bidi="ar-SA"/>
              </w:rPr>
            </w:pPr>
          </w:p>
        </w:tc>
      </w:tr>
      <w:tr w14:paraId="00039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46223414">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45D49C2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FD83EF4">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26C0AE10">
            <w:pPr>
              <w:widowControl w:val="0"/>
              <w:jc w:val="both"/>
              <w:rPr>
                <w:rFonts w:ascii="Times New Roman" w:hAnsi="Times New Roman" w:eastAsia="宋体"/>
                <w:kern w:val="2"/>
                <w:sz w:val="21"/>
                <w:szCs w:val="24"/>
                <w:lang w:val="en-US" w:eastAsia="zh-CN" w:bidi="ar-SA"/>
              </w:rPr>
            </w:pPr>
          </w:p>
        </w:tc>
      </w:tr>
      <w:tr w14:paraId="0ABB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5FCA9BEA">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7DF94E7B">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454B86D">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48B5AC27">
            <w:pPr>
              <w:widowControl w:val="0"/>
              <w:jc w:val="both"/>
              <w:rPr>
                <w:rFonts w:ascii="Times New Roman" w:hAnsi="Times New Roman" w:eastAsia="宋体"/>
                <w:kern w:val="2"/>
                <w:sz w:val="21"/>
                <w:szCs w:val="24"/>
                <w:lang w:val="en-US" w:eastAsia="zh-CN" w:bidi="ar-SA"/>
              </w:rPr>
            </w:pPr>
          </w:p>
        </w:tc>
      </w:tr>
      <w:tr w14:paraId="6EC1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721E0C03">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A1E2198">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61E4F77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AB44082">
            <w:pPr>
              <w:widowControl w:val="0"/>
              <w:jc w:val="both"/>
              <w:rPr>
                <w:rFonts w:ascii="Times New Roman" w:hAnsi="Times New Roman" w:eastAsia="宋体"/>
                <w:kern w:val="2"/>
                <w:sz w:val="21"/>
                <w:szCs w:val="24"/>
                <w:lang w:val="en-US" w:eastAsia="zh-CN" w:bidi="ar-SA"/>
              </w:rPr>
            </w:pPr>
          </w:p>
        </w:tc>
      </w:tr>
      <w:tr w14:paraId="2073C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75BB114B">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6535933">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0CD1B7DF">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0C209BF">
            <w:pPr>
              <w:widowControl w:val="0"/>
              <w:jc w:val="both"/>
              <w:rPr>
                <w:rFonts w:ascii="Times New Roman" w:hAnsi="Times New Roman" w:eastAsia="宋体"/>
                <w:kern w:val="2"/>
                <w:sz w:val="21"/>
                <w:szCs w:val="24"/>
                <w:lang w:val="en-US" w:eastAsia="zh-CN" w:bidi="ar-SA"/>
              </w:rPr>
            </w:pPr>
          </w:p>
        </w:tc>
      </w:tr>
      <w:tr w14:paraId="038C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C2BE3A8">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36C47E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09DCF51F">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B6C5F95">
            <w:pPr>
              <w:widowControl w:val="0"/>
              <w:jc w:val="both"/>
              <w:rPr>
                <w:rFonts w:ascii="Times New Roman" w:hAnsi="Times New Roman" w:eastAsia="宋体"/>
                <w:kern w:val="2"/>
                <w:sz w:val="21"/>
                <w:szCs w:val="24"/>
                <w:lang w:val="en-US" w:eastAsia="zh-CN" w:bidi="ar-SA"/>
              </w:rPr>
            </w:pPr>
          </w:p>
        </w:tc>
      </w:tr>
      <w:tr w14:paraId="0FFEB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2156" w:type="dxa"/>
            <w:noWrap w:val="0"/>
            <w:vAlign w:val="center"/>
          </w:tcPr>
          <w:p w14:paraId="26A732AE">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2F31FED9">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22038F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CF73196">
            <w:pPr>
              <w:widowControl w:val="0"/>
              <w:jc w:val="both"/>
              <w:rPr>
                <w:rFonts w:ascii="Times New Roman" w:hAnsi="Times New Roman" w:eastAsia="宋体"/>
                <w:kern w:val="2"/>
                <w:sz w:val="21"/>
                <w:szCs w:val="24"/>
                <w:lang w:val="en-US" w:eastAsia="zh-CN" w:bidi="ar-SA"/>
              </w:rPr>
            </w:pPr>
          </w:p>
        </w:tc>
      </w:tr>
      <w:tr w14:paraId="4E828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34E8F3BC">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1E7E2C9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F5EF36B">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CDD50D9">
            <w:pPr>
              <w:widowControl w:val="0"/>
              <w:jc w:val="both"/>
              <w:rPr>
                <w:rFonts w:ascii="Times New Roman" w:hAnsi="Times New Roman" w:eastAsia="宋体"/>
                <w:kern w:val="2"/>
                <w:sz w:val="21"/>
                <w:szCs w:val="24"/>
                <w:lang w:val="en-US" w:eastAsia="zh-CN" w:bidi="ar-SA"/>
              </w:rPr>
            </w:pPr>
          </w:p>
        </w:tc>
      </w:tr>
    </w:tbl>
    <w:p w14:paraId="4C08C04D">
      <w:pPr>
        <w:keepNext w:val="0"/>
        <w:keepLines w:val="0"/>
        <w:pageBreakBefore w:val="0"/>
        <w:widowControl w:val="0"/>
        <w:numPr>
          <w:ilvl w:val="0"/>
          <w:numId w:val="0"/>
        </w:numPr>
        <w:kinsoku/>
        <w:wordWrap/>
        <w:overflowPunct/>
        <w:topLinePunct w:val="0"/>
        <w:autoSpaceDE/>
        <w:autoSpaceDN/>
        <w:bidi w:val="0"/>
        <w:adjustRightInd/>
        <w:snapToGrid/>
        <w:ind w:leftChars="0"/>
        <w:jc w:val="both"/>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pPr>
    </w:p>
    <w:p w14:paraId="19614CB3">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6F25063D">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10C82733">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489BC38F">
      <w:pPr>
        <w:keepNext w:val="0"/>
        <w:keepLines w:val="0"/>
        <w:pageBreakBefore w:val="0"/>
        <w:widowControl w:val="0"/>
        <w:kinsoku/>
        <w:wordWrap/>
        <w:overflowPunct/>
        <w:topLinePunct w:val="0"/>
        <w:autoSpaceDE/>
        <w:autoSpaceDN/>
        <w:bidi w:val="0"/>
        <w:adjustRightInd/>
        <w:snapToGrid/>
        <w:ind w:left="0" w:leftChars="0" w:firstLine="562" w:firstLineChars="200"/>
        <w:jc w:val="left"/>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cs="宋体"/>
          <w:b/>
          <w:bCs/>
          <w:color w:val="000000" w:themeColor="text1"/>
          <w:sz w:val="28"/>
          <w:szCs w:val="28"/>
          <w:highlight w:val="none"/>
          <w:lang w:val="en-US" w:eastAsia="zh-CN"/>
          <w14:textFill>
            <w14:solidFill>
              <w14:schemeClr w14:val="tx1"/>
            </w14:solidFill>
          </w14:textFill>
        </w:rPr>
        <w:t>十一、</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完税证明</w:t>
      </w:r>
      <w:r>
        <w:rPr>
          <w:rFonts w:hint="eastAsia" w:ascii="宋体" w:hAnsi="宋体" w:cs="宋体"/>
          <w:b/>
          <w:bCs/>
          <w:color w:val="000000" w:themeColor="text1"/>
          <w:sz w:val="28"/>
          <w:szCs w:val="28"/>
          <w:highlight w:val="none"/>
          <w:lang w:val="en-US" w:eastAsia="zh-CN"/>
          <w14:textFill>
            <w14:solidFill>
              <w14:schemeClr w14:val="tx1"/>
            </w14:solidFill>
          </w14:textFill>
        </w:rPr>
        <w:t>及社保</w:t>
      </w:r>
    </w:p>
    <w:p w14:paraId="607CF0B6">
      <w:pPr>
        <w:keepNext w:val="0"/>
        <w:keepLines w:val="0"/>
        <w:pageBreakBefore w:val="0"/>
        <w:widowControl w:val="0"/>
        <w:kinsoku/>
        <w:wordWrap/>
        <w:overflowPunct/>
        <w:topLinePunct w:val="0"/>
        <w:autoSpaceDE/>
        <w:autoSpaceDN/>
        <w:bidi w:val="0"/>
        <w:adjustRightInd/>
        <w:snapToGrid/>
        <w:spacing w:line="500" w:lineRule="exact"/>
        <w:ind w:left="840" w:leftChars="266" w:hanging="281"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二</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具有良好的商业信誉和健全的财务会计制度：提供2023年或2024年由第三方审计机构出具的审计报告和健全的财务会计制度；（2025年01月01日起至今成立的企业无需提供以上材料）。</w:t>
      </w:r>
    </w:p>
    <w:p w14:paraId="69BDD278">
      <w:pPr>
        <w:pStyle w:val="33"/>
        <w:jc w:val="center"/>
        <w:rPr>
          <w:rFonts w:hint="eastAsia" w:ascii="宋体" w:hAnsi="宋体" w:eastAsia="宋体" w:cs="宋体"/>
          <w:b/>
          <w:bCs/>
          <w:color w:val="FF0000"/>
          <w:sz w:val="28"/>
          <w:szCs w:val="28"/>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FFC426E">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、中小企业声明函（服务、工程）</w:t>
      </w:r>
    </w:p>
    <w:p w14:paraId="04BD28BC">
      <w:pPr>
        <w:pStyle w:val="9"/>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14:paraId="4265C8D2">
      <w:pPr>
        <w:pStyle w:val="9"/>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14:paraId="615C0B40">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本公司（联合体）郑重声明，根据《政府采购促进中小企业发展</w:t>
      </w: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管理办法》（财库[2020]46</w:t>
      </w:r>
      <w:r>
        <w:rPr>
          <w:rFonts w:hint="eastAsia" w:ascii="宋体" w:hAnsi="宋体" w:eastAsia="宋体" w:cs="宋体"/>
          <w:color w:val="000000" w:themeColor="text1"/>
          <w:spacing w:val="-4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号）的规定，本公司（联合体）参加</w:t>
      </w:r>
      <w:r>
        <w:rPr>
          <w:rFonts w:hint="eastAsia" w:ascii="宋体" w:hAnsi="宋体" w:eastAsia="宋体" w:cs="宋体"/>
          <w:color w:val="000000" w:themeColor="text1"/>
          <w:spacing w:val="-6"/>
          <w:sz w:val="24"/>
          <w:szCs w:val="24"/>
          <w:highlight w:val="none"/>
          <w:u w:val="single" w:color="auto"/>
          <w14:textFill>
            <w14:solidFill>
              <w14:schemeClr w14:val="tx1"/>
            </w14:solidFill>
          </w14:textFill>
        </w:rPr>
        <w:t>（单</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位名称）</w:t>
      </w:r>
      <w:r>
        <w:rPr>
          <w:rFonts w:hint="eastAsia" w:ascii="宋体" w:hAnsi="宋体" w:eastAsia="宋体" w:cs="宋体"/>
          <w:color w:val="000000" w:themeColor="text1"/>
          <w:spacing w:val="-4"/>
          <w:sz w:val="24"/>
          <w:szCs w:val="24"/>
          <w:highlight w:val="none"/>
          <w14:textFill>
            <w14:solidFill>
              <w14:schemeClr w14:val="tx1"/>
            </w14:solidFill>
          </w14:textFill>
        </w:rPr>
        <w:t>的</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（项目名称）</w:t>
      </w:r>
      <w:r>
        <w:rPr>
          <w:rFonts w:hint="eastAsia" w:ascii="宋体" w:hAnsi="宋体" w:eastAsia="宋体" w:cs="宋体"/>
          <w:color w:val="000000" w:themeColor="text1"/>
          <w:spacing w:val="-4"/>
          <w:sz w:val="24"/>
          <w:szCs w:val="24"/>
          <w:highlight w:val="none"/>
          <w14:textFill>
            <w14:solidFill>
              <w14:schemeClr w14:val="tx1"/>
            </w14:solidFill>
          </w14:textFill>
        </w:rPr>
        <w:t>采购活动，提供的货物全部由符合政策要求</w:t>
      </w:r>
      <w:r>
        <w:rPr>
          <w:rFonts w:hint="eastAsia" w:ascii="宋体" w:hAnsi="宋体" w:eastAsia="宋体" w:cs="宋体"/>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的中小企业制造。相关企业（含联合体中的中小企业、签订分包意向</w:t>
      </w:r>
      <w:r>
        <w:rPr>
          <w:rFonts w:hint="eastAsia" w:ascii="宋体" w:hAnsi="宋体" w:eastAsia="宋体" w:cs="宋体"/>
          <w:color w:val="000000" w:themeColor="text1"/>
          <w:spacing w:val="-1"/>
          <w:sz w:val="24"/>
          <w:szCs w:val="24"/>
          <w:highlight w:val="none"/>
          <w14:textFill>
            <w14:solidFill>
              <w14:schemeClr w14:val="tx1"/>
            </w14:solidFill>
          </w14:textFill>
        </w:rPr>
        <w:t>协议的中小企业）的具体情况如下：</w:t>
      </w:r>
    </w:p>
    <w:p w14:paraId="00DCFE1E">
      <w:pPr>
        <w:spacing w:before="175" w:line="335" w:lineRule="auto"/>
        <w:ind w:left="28" w:right="13" w:firstLine="57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1.</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属于</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10"/>
          <w:sz w:val="24"/>
          <w:szCs w:val="24"/>
          <w:highlight w:val="none"/>
          <w14:textFill>
            <w14:solidFill>
              <w14:schemeClr w14:val="tx1"/>
            </w14:solidFill>
          </w14:textFill>
        </w:rPr>
        <w:t>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60"/>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60"/>
          <w:sz w:val="24"/>
          <w:szCs w:val="24"/>
          <w:highlight w:val="none"/>
          <w14:textFill>
            <w14:solidFill>
              <w14:schemeClr w14:val="tx1"/>
            </w14:solidFill>
          </w14:textFill>
        </w:rPr>
        <w:t>，</w:t>
      </w:r>
      <w:r>
        <w:rPr>
          <w:rFonts w:hint="eastAsia" w:ascii="宋体" w:hAnsi="宋体" w:eastAsia="宋体" w:cs="宋体"/>
          <w:color w:val="000000" w:themeColor="text1"/>
          <w:spacing w:val="-10"/>
          <w:sz w:val="24"/>
          <w:szCs w:val="24"/>
          <w:highlight w:val="none"/>
          <w14:textFill>
            <w14:solidFill>
              <w14:schemeClr w14:val="tx1"/>
            </w14:solidFill>
          </w14:textFill>
        </w:rPr>
        <w:t>从业人员</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5"/>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人，营业收入为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3"/>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万元，资产总额为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1"/>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w:t>
      </w:r>
      <w:r>
        <w:rPr>
          <w:rFonts w:hint="eastAsia" w:ascii="宋体" w:hAnsi="宋体" w:eastAsia="宋体" w:cs="宋体"/>
          <w:color w:val="000000" w:themeColor="text1"/>
          <w:spacing w:val="-1"/>
          <w:sz w:val="24"/>
          <w:szCs w:val="24"/>
          <w:highlight w:val="none"/>
          <w14:textFill>
            <w14:solidFill>
              <w14:schemeClr w14:val="tx1"/>
            </w14:solidFill>
          </w14:textFill>
        </w:rPr>
        <w:t>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pacing w:val="2"/>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2"/>
          <w:sz w:val="24"/>
          <w:szCs w:val="24"/>
          <w:highlight w:val="none"/>
          <w14:textFill>
            <w14:solidFill>
              <w14:schemeClr w14:val="tx1"/>
            </w14:solidFill>
          </w14:textFill>
        </w:rPr>
        <w:t>；</w:t>
      </w:r>
    </w:p>
    <w:p w14:paraId="0AEA2C07">
      <w:pPr>
        <w:spacing w:before="174" w:line="335" w:lineRule="auto"/>
        <w:ind w:left="30" w:right="13" w:firstLine="55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color w:val="000000" w:themeColor="text1"/>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4"/>
          <w:sz w:val="24"/>
          <w:szCs w:val="24"/>
          <w:highlight w:val="none"/>
          <w14:textFill>
            <w14:solidFill>
              <w14:schemeClr w14:val="tx1"/>
            </w14:solidFill>
          </w14:textFill>
        </w:rPr>
        <w:t>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11"/>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11"/>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从业人员</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7"/>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人，营业收入为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万元，资产总额为</w:t>
      </w:r>
      <w:r>
        <w:rPr>
          <w:rFonts w:hint="eastAsia" w:ascii="宋体" w:hAnsi="宋体" w:cs="宋体"/>
          <w:color w:val="000000" w:themeColor="text1"/>
          <w:spacing w:val="-4"/>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highlight w:val="none"/>
          <w14:textFill>
            <w14:solidFill>
              <w14:schemeClr w14:val="tx1"/>
            </w14:solidFill>
          </w14:textFill>
        </w:rPr>
        <w:t>万元，属于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z w:val="24"/>
          <w:szCs w:val="24"/>
          <w:highlight w:val="none"/>
          <w:u w:val="single" w:color="auto"/>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14:paraId="7BAC0C03">
      <w:pPr>
        <w:spacing w:before="175" w:line="442" w:lineRule="exact"/>
        <w:ind w:left="601"/>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14"/>
          <w:position w:val="3"/>
          <w:sz w:val="24"/>
          <w:szCs w:val="24"/>
          <w:highlight w:val="none"/>
          <w14:textFill>
            <w14:solidFill>
              <w14:schemeClr w14:val="tx1"/>
            </w14:solidFill>
          </w14:textFill>
        </w:rPr>
        <w:t>……</w:t>
      </w:r>
    </w:p>
    <w:p w14:paraId="7EA2C66E">
      <w:pPr>
        <w:spacing w:before="91" w:line="335" w:lineRule="auto"/>
        <w:ind w:left="25" w:right="13" w:firstLine="56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14:paraId="17DC7B02">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本企业对上述声明内容的真实性负责。如有虚假，将依法承担相应责任。</w:t>
      </w:r>
    </w:p>
    <w:p w14:paraId="239C79F2">
      <w:pPr>
        <w:pStyle w:val="2"/>
        <w:spacing w:before="120" w:line="360" w:lineRule="auto"/>
        <w:ind w:firstLine="4300" w:firstLineChars="179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（盖章）：</w:t>
      </w:r>
    </w:p>
    <w:p w14:paraId="5A639536">
      <w:pPr>
        <w:pStyle w:val="2"/>
        <w:spacing w:before="120" w:line="360" w:lineRule="auto"/>
        <w:ind w:firstLine="4320" w:firstLineChars="18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法定代表人（签字或盖章）：</w:t>
      </w:r>
    </w:p>
    <w:p w14:paraId="18F3AE01">
      <w:pPr>
        <w:pStyle w:val="2"/>
        <w:rPr>
          <w:rFonts w:hint="eastAsia" w:ascii="宋体" w:hAnsi="宋体" w:eastAsia="宋体" w:cs="宋体"/>
          <w:color w:val="000000" w:themeColor="text1"/>
          <w:sz w:val="24"/>
          <w:szCs w:val="24"/>
          <w:highlight w:val="none"/>
          <w14:textFill>
            <w14:solidFill>
              <w14:schemeClr w14:val="tx1"/>
            </w14:solidFill>
          </w14:textFill>
        </w:rPr>
      </w:pPr>
    </w:p>
    <w:p w14:paraId="71DCE642">
      <w:pPr>
        <w:spacing w:before="1" w:line="220" w:lineRule="auto"/>
        <w:ind w:left="3714" w:firstLine="80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20"/>
          <w:sz w:val="24"/>
          <w:szCs w:val="24"/>
          <w:highlight w:val="none"/>
          <w14:textFill>
            <w14:solidFill>
              <w14:schemeClr w14:val="tx1"/>
            </w14:solidFill>
          </w14:textFill>
        </w:rPr>
        <w:t>日期：</w:t>
      </w:r>
    </w:p>
    <w:p w14:paraId="33E2195D">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57B18E2A">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2865A5B3">
      <w:pPr>
        <w:rPr>
          <w:rFonts w:hint="eastAsia" w:ascii="宋体" w:hAnsi="宋体" w:eastAsia="宋体" w:cs="宋体"/>
          <w:color w:val="000000" w:themeColor="text1"/>
          <w:sz w:val="28"/>
          <w:szCs w:val="28"/>
          <w:highlight w:val="none"/>
          <w14:textFill>
            <w14:solidFill>
              <w14:schemeClr w14:val="tx1"/>
            </w14:solidFill>
          </w14:textFill>
        </w:rPr>
      </w:pPr>
    </w:p>
    <w:p w14:paraId="61F80C0B">
      <w:pPr>
        <w:rPr>
          <w:rFonts w:hint="eastAsia" w:ascii="宋体" w:hAnsi="宋体" w:eastAsia="宋体" w:cs="宋体"/>
          <w:color w:val="000000" w:themeColor="text1"/>
          <w:sz w:val="28"/>
          <w:szCs w:val="28"/>
          <w:highlight w:val="none"/>
          <w14:textFill>
            <w14:solidFill>
              <w14:schemeClr w14:val="tx1"/>
            </w14:solidFill>
          </w14:textFill>
        </w:rPr>
      </w:pPr>
    </w:p>
    <w:p w14:paraId="54DD542F">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366B391F">
      <w:pPr>
        <w:spacing w:before="59" w:line="219" w:lineRule="auto"/>
        <w:ind w:left="23"/>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从业人员、营业收入、资产总额填报上一年度数据，无上一年度数据</w:t>
      </w:r>
      <w:r>
        <w:rPr>
          <w:rFonts w:hint="eastAsia" w:ascii="宋体" w:hAnsi="宋体" w:eastAsia="宋体" w:cs="宋体"/>
          <w:color w:val="000000" w:themeColor="text1"/>
          <w:spacing w:val="-1"/>
          <w:sz w:val="24"/>
          <w:szCs w:val="24"/>
          <w:highlight w:val="none"/>
          <w14:textFill>
            <w14:solidFill>
              <w14:schemeClr w14:val="tx1"/>
            </w14:solidFill>
          </w14:textFill>
        </w:rPr>
        <w:t>的新成立企业可不填报。</w:t>
      </w:r>
    </w:p>
    <w:p w14:paraId="46E622E8">
      <w:pPr>
        <w:spacing w:line="219" w:lineRule="auto"/>
        <w:rPr>
          <w:rFonts w:hint="eastAsia" w:ascii="宋体" w:hAnsi="宋体" w:eastAsia="宋体" w:cs="宋体"/>
          <w:color w:val="000000" w:themeColor="text1"/>
          <w:sz w:val="24"/>
          <w:szCs w:val="24"/>
          <w:highlight w:val="none"/>
          <w14:textFill>
            <w14:solidFill>
              <w14:schemeClr w14:val="tx1"/>
            </w14:solidFill>
          </w14:textFill>
        </w:rPr>
        <w:sectPr>
          <w:footerReference r:id="rId8" w:type="default"/>
          <w:pgSz w:w="11906" w:h="16839"/>
          <w:pgMar w:top="1440" w:right="1800" w:bottom="1440" w:left="1800" w:header="0" w:footer="994" w:gutter="0"/>
          <w:pgNumType w:fmt="decimal"/>
          <w:cols w:space="720" w:num="1"/>
        </w:sectPr>
      </w:pPr>
    </w:p>
    <w:p w14:paraId="77CB1FE5">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四</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、实施方案</w:t>
      </w:r>
    </w:p>
    <w:p w14:paraId="06A19D03">
      <w:pPr>
        <w:pStyle w:val="33"/>
        <w:ind w:firstLine="1687" w:firstLineChars="600"/>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五、</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《三年内无重大违法承诺书》</w:t>
      </w:r>
    </w:p>
    <w:p w14:paraId="3EE1FA40">
      <w:pPr>
        <w:pStyle w:val="33"/>
        <w:ind w:firstLine="3092" w:firstLineChars="1100"/>
        <w:jc w:val="both"/>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六</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、网站截图</w:t>
      </w:r>
    </w:p>
    <w:p w14:paraId="7434BFFB">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14:paraId="3D726640">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十七、</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投标建造师无在建项目承诺书</w:t>
      </w:r>
    </w:p>
    <w:p w14:paraId="58758137">
      <w:pPr>
        <w:spacing w:line="220" w:lineRule="atLeast"/>
      </w:pPr>
    </w:p>
    <w:p w14:paraId="13029C8E">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 ：</w:t>
      </w:r>
    </w:p>
    <w:p w14:paraId="7817D9C4">
      <w:pPr>
        <w:spacing w:line="360" w:lineRule="auto"/>
        <w:ind w:left="307" w:leftChars="146"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       (项目名称)的建造师(姓名)：           ，身份证号：            ，注册建造师证注册号：       ，现未担任任何在建设工程项目负责人。</w:t>
      </w:r>
    </w:p>
    <w:p w14:paraId="1C239B98">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我公司保证上述信息的真实性和准确性，如有虚假我方自愿承担一切法律责任，并接受建设行政主管部门的处罚。</w:t>
      </w:r>
    </w:p>
    <w:p w14:paraId="5DAA512B">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14:paraId="64A631B0">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F6BE695">
      <w:pPr>
        <w:spacing w:line="220" w:lineRule="atLeas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451C0597">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14:paraId="6060D3B9">
      <w:pPr>
        <w:spacing w:line="220" w:lineRule="atLeast"/>
        <w:ind w:firstLine="1560" w:firstLineChars="6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2F16C0D0">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14:paraId="551A1CF5">
      <w:pPr>
        <w:spacing w:line="220" w:lineRule="atLeast"/>
        <w:ind w:firstLine="3240" w:firstLineChars="13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53A318A4">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14:paraId="5B998F98">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14:paraId="48D16E88">
      <w:pPr>
        <w:pStyle w:val="33"/>
        <w:numPr>
          <w:ilvl w:val="0"/>
          <w:numId w:val="0"/>
        </w:numPr>
        <w:jc w:val="both"/>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十八、</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拟承建该工程的项目班组人员无在建项目承诺书</w:t>
      </w:r>
    </w:p>
    <w:p w14:paraId="6D2E7F9C">
      <w:pPr>
        <w:pStyle w:val="33"/>
        <w:numPr>
          <w:ilvl w:val="0"/>
          <w:numId w:val="0"/>
        </w:numPr>
        <w:ind w:firstLine="3373" w:firstLineChars="1200"/>
        <w:jc w:val="both"/>
        <w:rPr>
          <w:rFonts w:hint="default"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（格式自拟）</w:t>
      </w:r>
    </w:p>
    <w:p w14:paraId="48F86F54">
      <w:pPr>
        <w:spacing w:line="220" w:lineRule="atLeast"/>
      </w:pPr>
    </w:p>
    <w:p w14:paraId="63A7D0D9">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6AF6B81">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14:paraId="0B5CBC65">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十九、</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项目负责人业绩真实性承诺书</w:t>
      </w:r>
    </w:p>
    <w:p w14:paraId="567A3162">
      <w:pPr>
        <w:rPr>
          <w:sz w:val="28"/>
          <w:szCs w:val="28"/>
        </w:rPr>
      </w:pPr>
    </w:p>
    <w:p w14:paraId="5A11F985">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w:t>
      </w:r>
    </w:p>
    <w:p w14:paraId="34F9849A">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我公司在此承诺，拟投标(项目名称)的项目负责人       (姓名)身份证号：       ，注册建造师证注册号：      ，投标文件中所提供的项目负责人业绩真实有效，无造假行为，如有虚假我方自愿承担一切法律责任，并接受建设行政主管部门的处罚。</w:t>
      </w:r>
    </w:p>
    <w:p w14:paraId="438FF51F">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14:paraId="01438D44">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713262D4">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14:paraId="2961D735">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5B25F1D1">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14:paraId="66375AD0">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0F3ECE7C">
      <w:pPr>
        <w:spacing w:line="360" w:lineRule="auto"/>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14:paraId="3E42485F">
      <w:pPr>
        <w:widowControl/>
        <w:adjustRightInd w:val="0"/>
        <w:snapToGrid w:val="0"/>
        <w:spacing w:after="200" w:line="220" w:lineRule="atLeast"/>
        <w:jc w:val="left"/>
        <w:rPr>
          <w:rFonts w:ascii="仿宋" w:hAnsi="仿宋" w:eastAsia="仿宋" w:cs="仿宋"/>
          <w:kern w:val="0"/>
          <w:sz w:val="32"/>
          <w:szCs w:val="32"/>
        </w:rPr>
      </w:pPr>
    </w:p>
    <w:p w14:paraId="7B0B7E33">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14:paraId="1E5B0F9A">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承诺书</w:t>
      </w:r>
    </w:p>
    <w:p w14:paraId="7C57BF15">
      <w:pPr>
        <w:jc w:val="center"/>
        <w:rPr>
          <w:rFonts w:hint="eastAsia" w:eastAsiaTheme="minorEastAsia"/>
          <w:sz w:val="28"/>
          <w:szCs w:val="36"/>
          <w:lang w:eastAsia="zh-CN"/>
        </w:rPr>
      </w:pPr>
      <w:r>
        <w:rPr>
          <w:rFonts w:hint="eastAsia"/>
          <w:sz w:val="28"/>
          <w:szCs w:val="36"/>
          <w:lang w:eastAsia="zh-CN"/>
        </w:rPr>
        <w:t>（</w:t>
      </w:r>
      <w:r>
        <w:rPr>
          <w:rFonts w:hint="eastAsia"/>
          <w:sz w:val="28"/>
          <w:szCs w:val="36"/>
          <w:lang w:val="en-US" w:eastAsia="zh-CN"/>
        </w:rPr>
        <w:t>格式自拟</w:t>
      </w:r>
      <w:r>
        <w:rPr>
          <w:rFonts w:hint="eastAsia"/>
          <w:sz w:val="28"/>
          <w:szCs w:val="36"/>
          <w:lang w:eastAsia="zh-CN"/>
        </w:rPr>
        <w:t>）</w:t>
      </w:r>
    </w:p>
    <w:p w14:paraId="4EE8F6BB">
      <w:pPr>
        <w:rPr>
          <w:rFonts w:hint="eastAsia" w:ascii="宋体" w:hAnsi="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br w:type="page"/>
      </w:r>
    </w:p>
    <w:p w14:paraId="173AE94A">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二十一、</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投标企业认为提交的其他资料</w:t>
      </w:r>
    </w:p>
    <w:p w14:paraId="7ABE1864">
      <w:pPr>
        <w:spacing w:line="420" w:lineRule="exact"/>
        <w:jc w:val="left"/>
        <w:rPr>
          <w:rFonts w:hint="eastAsia" w:ascii="宋体" w:hAnsi="宋体" w:eastAsia="宋体" w:cs="宋体"/>
          <w:color w:val="000000" w:themeColor="text1"/>
          <w:sz w:val="28"/>
          <w:szCs w:val="28"/>
          <w:highlight w:val="none"/>
          <w14:textFill>
            <w14:solidFill>
              <w14:schemeClr w14:val="tx1"/>
            </w14:solidFill>
          </w14:textFill>
        </w:rPr>
      </w:pPr>
    </w:p>
    <w:p w14:paraId="07414C54">
      <w:pPr>
        <w:rPr>
          <w:rFonts w:hint="eastAsia" w:ascii="宋体" w:hAnsi="宋体" w:eastAsia="宋体" w:cs="宋体"/>
          <w:color w:val="000000" w:themeColor="text1"/>
          <w:sz w:val="28"/>
          <w:szCs w:val="28"/>
          <w:highlight w:val="none"/>
          <w14:textFill>
            <w14:solidFill>
              <w14:schemeClr w14:val="tx1"/>
            </w14:solidFill>
          </w14:textFill>
        </w:rPr>
      </w:pPr>
    </w:p>
    <w:p w14:paraId="6CDD51D3">
      <w:pPr>
        <w:rPr>
          <w:rFonts w:hint="eastAsia" w:ascii="宋体" w:hAnsi="宋体" w:eastAsia="宋体" w:cs="宋体"/>
          <w:color w:val="000000" w:themeColor="text1"/>
          <w:sz w:val="28"/>
          <w:szCs w:val="28"/>
          <w:highlight w:val="none"/>
          <w14:textFill>
            <w14:solidFill>
              <w14:schemeClr w14:val="tx1"/>
            </w14:solidFill>
          </w14:textFill>
        </w:rPr>
      </w:pPr>
    </w:p>
    <w:p w14:paraId="002522F2">
      <w:pPr>
        <w:rPr>
          <w:rFonts w:hint="eastAsia" w:ascii="宋体" w:hAnsi="宋体" w:eastAsia="宋体" w:cs="宋体"/>
          <w:color w:val="000000" w:themeColor="text1"/>
          <w:sz w:val="28"/>
          <w:szCs w:val="28"/>
          <w:highlight w:val="none"/>
          <w14:textFill>
            <w14:solidFill>
              <w14:schemeClr w14:val="tx1"/>
            </w14:solidFill>
          </w14:textFill>
        </w:rPr>
      </w:pPr>
    </w:p>
    <w:p w14:paraId="18574DE0">
      <w:pPr>
        <w:pStyle w:val="4"/>
        <w:numPr>
          <w:ilvl w:val="0"/>
          <w:numId w:val="0"/>
        </w:numPr>
        <w:tabs>
          <w:tab w:val="left" w:pos="5852"/>
        </w:tabs>
        <w:ind w:leftChars="0"/>
        <w:jc w:val="center"/>
        <w:outlineLvl w:val="0"/>
        <w:rPr>
          <w:rFonts w:hint="eastAsia" w:ascii="宋体" w:hAnsi="宋体" w:eastAsia="宋体" w:cs="宋体"/>
          <w:sz w:val="21"/>
          <w:szCs w:val="21"/>
        </w:rPr>
      </w:pPr>
    </w:p>
    <w:p w14:paraId="5388B374">
      <w:pPr>
        <w:pStyle w:val="4"/>
        <w:numPr>
          <w:ilvl w:val="0"/>
          <w:numId w:val="0"/>
        </w:numPr>
        <w:tabs>
          <w:tab w:val="left" w:pos="5852"/>
        </w:tabs>
        <w:ind w:leftChars="0"/>
        <w:jc w:val="center"/>
        <w:outlineLvl w:val="0"/>
        <w:rPr>
          <w:rFonts w:hint="eastAsia" w:ascii="宋体" w:hAnsi="宋体" w:eastAsia="宋体" w:cs="宋体"/>
          <w:sz w:val="21"/>
          <w:szCs w:val="21"/>
        </w:rPr>
      </w:pPr>
    </w:p>
    <w:p w14:paraId="1FB62DB1">
      <w:pPr>
        <w:pStyle w:val="4"/>
        <w:numPr>
          <w:ilvl w:val="0"/>
          <w:numId w:val="0"/>
        </w:numPr>
        <w:tabs>
          <w:tab w:val="left" w:pos="5852"/>
        </w:tabs>
        <w:ind w:leftChars="0"/>
        <w:jc w:val="center"/>
        <w:outlineLvl w:val="0"/>
        <w:rPr>
          <w:rFonts w:hint="eastAsia" w:ascii="宋体" w:hAnsi="宋体" w:eastAsia="宋体" w:cs="宋体"/>
          <w:sz w:val="21"/>
          <w:szCs w:val="21"/>
        </w:rPr>
      </w:pPr>
    </w:p>
    <w:p w14:paraId="6B4FCC42">
      <w:pPr>
        <w:pStyle w:val="4"/>
        <w:numPr>
          <w:ilvl w:val="0"/>
          <w:numId w:val="0"/>
        </w:numPr>
        <w:tabs>
          <w:tab w:val="left" w:pos="5852"/>
        </w:tabs>
        <w:ind w:leftChars="0"/>
        <w:jc w:val="center"/>
        <w:outlineLvl w:val="0"/>
        <w:rPr>
          <w:rFonts w:hint="eastAsia" w:ascii="宋体" w:hAnsi="宋体" w:eastAsia="宋体" w:cs="宋体"/>
          <w:sz w:val="21"/>
          <w:szCs w:val="21"/>
        </w:rPr>
      </w:pPr>
    </w:p>
    <w:p w14:paraId="3B498788">
      <w:pPr>
        <w:pStyle w:val="4"/>
        <w:numPr>
          <w:ilvl w:val="0"/>
          <w:numId w:val="0"/>
        </w:numPr>
        <w:tabs>
          <w:tab w:val="left" w:pos="5852"/>
        </w:tabs>
        <w:ind w:leftChars="0"/>
        <w:jc w:val="center"/>
        <w:outlineLvl w:val="0"/>
        <w:rPr>
          <w:rFonts w:hint="eastAsia" w:ascii="宋体" w:hAnsi="宋体" w:eastAsia="宋体" w:cs="宋体"/>
          <w:sz w:val="21"/>
          <w:szCs w:val="21"/>
        </w:rPr>
      </w:pPr>
    </w:p>
    <w:p w14:paraId="7794C193">
      <w:pPr>
        <w:pStyle w:val="4"/>
        <w:numPr>
          <w:ilvl w:val="0"/>
          <w:numId w:val="0"/>
        </w:numPr>
        <w:tabs>
          <w:tab w:val="left" w:pos="5852"/>
        </w:tabs>
        <w:ind w:leftChars="0"/>
        <w:jc w:val="center"/>
        <w:outlineLvl w:val="0"/>
        <w:rPr>
          <w:rFonts w:hint="eastAsia" w:ascii="宋体" w:hAnsi="宋体" w:eastAsia="宋体" w:cs="宋体"/>
          <w:sz w:val="21"/>
          <w:szCs w:val="21"/>
        </w:rPr>
      </w:pPr>
    </w:p>
    <w:p w14:paraId="0AB384A9">
      <w:pPr>
        <w:pStyle w:val="4"/>
        <w:numPr>
          <w:ilvl w:val="0"/>
          <w:numId w:val="0"/>
        </w:numPr>
        <w:tabs>
          <w:tab w:val="left" w:pos="5852"/>
        </w:tabs>
        <w:ind w:leftChars="0"/>
        <w:jc w:val="center"/>
        <w:outlineLvl w:val="0"/>
        <w:rPr>
          <w:rFonts w:hint="eastAsia" w:ascii="宋体" w:hAnsi="宋体" w:eastAsia="宋体" w:cs="宋体"/>
          <w:sz w:val="21"/>
          <w:szCs w:val="21"/>
        </w:rPr>
      </w:pPr>
    </w:p>
    <w:p w14:paraId="60CDF03F">
      <w:pPr>
        <w:rPr>
          <w:rFonts w:hint="eastAsia" w:ascii="宋体" w:hAnsi="宋体" w:eastAsia="宋体" w:cs="宋体"/>
          <w:sz w:val="21"/>
          <w:szCs w:val="21"/>
        </w:rPr>
      </w:pPr>
    </w:p>
    <w:p w14:paraId="42DB9986">
      <w:pPr>
        <w:rPr>
          <w:rFonts w:hint="eastAsia" w:ascii="宋体" w:hAnsi="宋体" w:eastAsia="宋体" w:cs="宋体"/>
          <w:sz w:val="21"/>
          <w:szCs w:val="21"/>
        </w:rPr>
      </w:pPr>
    </w:p>
    <w:p w14:paraId="6B31862B">
      <w:pPr>
        <w:rPr>
          <w:rFonts w:hint="eastAsia" w:ascii="宋体" w:hAnsi="宋体" w:eastAsia="宋体" w:cs="宋体"/>
          <w:sz w:val="21"/>
          <w:szCs w:val="21"/>
        </w:rPr>
      </w:pPr>
    </w:p>
    <w:p w14:paraId="48C852D5">
      <w:pPr>
        <w:rPr>
          <w:rFonts w:hint="eastAsia" w:ascii="宋体" w:hAnsi="宋体" w:eastAsia="宋体" w:cs="宋体"/>
          <w:sz w:val="21"/>
          <w:szCs w:val="21"/>
        </w:rPr>
      </w:pPr>
    </w:p>
    <w:p w14:paraId="7CE6595B">
      <w:pPr>
        <w:rPr>
          <w:rFonts w:hint="eastAsia" w:ascii="宋体" w:hAnsi="宋体" w:eastAsia="宋体" w:cs="宋体"/>
          <w:sz w:val="21"/>
          <w:szCs w:val="21"/>
        </w:rPr>
      </w:pPr>
    </w:p>
    <w:p w14:paraId="544BA2E3">
      <w:pPr>
        <w:rPr>
          <w:rFonts w:hint="eastAsia" w:ascii="宋体" w:hAnsi="宋体" w:eastAsia="宋体" w:cs="宋体"/>
          <w:sz w:val="21"/>
          <w:szCs w:val="21"/>
        </w:rPr>
      </w:pPr>
    </w:p>
    <w:p w14:paraId="2CAB3604">
      <w:pPr>
        <w:rPr>
          <w:rFonts w:hint="eastAsia" w:ascii="宋体" w:hAnsi="宋体" w:eastAsia="宋体" w:cs="宋体"/>
          <w:sz w:val="21"/>
          <w:szCs w:val="21"/>
        </w:rPr>
      </w:pPr>
    </w:p>
    <w:p w14:paraId="2C04674D">
      <w:pPr>
        <w:rPr>
          <w:rFonts w:hint="eastAsia" w:ascii="宋体" w:hAnsi="宋体" w:eastAsia="宋体" w:cs="宋体"/>
          <w:sz w:val="21"/>
          <w:szCs w:val="21"/>
        </w:rPr>
      </w:pPr>
    </w:p>
    <w:p w14:paraId="0213DAB7">
      <w:pPr>
        <w:rPr>
          <w:rFonts w:hint="eastAsia" w:ascii="宋体" w:hAnsi="宋体" w:eastAsia="宋体" w:cs="宋体"/>
          <w:sz w:val="21"/>
          <w:szCs w:val="21"/>
        </w:rPr>
      </w:pPr>
    </w:p>
    <w:p w14:paraId="3D2FACC1">
      <w:pPr>
        <w:rPr>
          <w:rFonts w:hint="eastAsia" w:ascii="宋体" w:hAnsi="宋体" w:eastAsia="宋体" w:cs="宋体"/>
          <w:sz w:val="21"/>
          <w:szCs w:val="21"/>
        </w:rPr>
      </w:pPr>
    </w:p>
    <w:p w14:paraId="369E53F8">
      <w:pPr>
        <w:rPr>
          <w:rFonts w:hint="eastAsia" w:ascii="宋体" w:hAnsi="宋体" w:eastAsia="宋体" w:cs="宋体"/>
          <w:sz w:val="21"/>
          <w:szCs w:val="21"/>
        </w:rPr>
      </w:pPr>
    </w:p>
    <w:p w14:paraId="25EB510F">
      <w:pPr>
        <w:rPr>
          <w:rFonts w:hint="eastAsia" w:ascii="宋体" w:hAnsi="宋体" w:eastAsia="宋体" w:cs="宋体"/>
          <w:sz w:val="21"/>
          <w:szCs w:val="21"/>
        </w:rPr>
      </w:pPr>
    </w:p>
    <w:p w14:paraId="09471ED0">
      <w:pPr>
        <w:rPr>
          <w:rFonts w:hint="eastAsia" w:ascii="宋体" w:hAnsi="宋体" w:eastAsia="宋体" w:cs="宋体"/>
          <w:sz w:val="21"/>
          <w:szCs w:val="21"/>
        </w:rPr>
      </w:pPr>
    </w:p>
    <w:p w14:paraId="0ABF8AB1">
      <w:pPr>
        <w:rPr>
          <w:rFonts w:hint="eastAsia" w:ascii="宋体" w:hAnsi="宋体" w:eastAsia="宋体" w:cs="宋体"/>
          <w:sz w:val="21"/>
          <w:szCs w:val="21"/>
        </w:rPr>
      </w:pPr>
    </w:p>
    <w:p w14:paraId="5ACB00FC">
      <w:pPr>
        <w:rPr>
          <w:rFonts w:hint="eastAsia" w:ascii="宋体" w:hAnsi="宋体" w:eastAsia="宋体" w:cs="宋体"/>
          <w:sz w:val="21"/>
          <w:szCs w:val="21"/>
        </w:rPr>
      </w:pPr>
    </w:p>
    <w:p w14:paraId="08307288">
      <w:pPr>
        <w:rPr>
          <w:rFonts w:hint="eastAsia" w:ascii="宋体" w:hAnsi="宋体" w:eastAsia="宋体" w:cs="宋体"/>
          <w:sz w:val="21"/>
          <w:szCs w:val="21"/>
        </w:rPr>
      </w:pPr>
    </w:p>
    <w:p w14:paraId="2E56A30B">
      <w:pPr>
        <w:pStyle w:val="4"/>
        <w:numPr>
          <w:ilvl w:val="0"/>
          <w:numId w:val="0"/>
        </w:numPr>
        <w:tabs>
          <w:tab w:val="left" w:pos="5852"/>
        </w:tabs>
        <w:ind w:leftChars="0"/>
        <w:jc w:val="center"/>
        <w:outlineLvl w:val="0"/>
        <w:rPr>
          <w:rFonts w:hint="eastAsia" w:ascii="宋体" w:hAnsi="宋体" w:eastAsia="宋体" w:cs="宋体"/>
          <w:sz w:val="21"/>
          <w:szCs w:val="21"/>
        </w:rPr>
      </w:pPr>
      <w:r>
        <w:rPr>
          <w:rFonts w:hint="eastAsia" w:ascii="宋体" w:hAnsi="宋体" w:eastAsia="宋体" w:cs="宋体"/>
          <w:sz w:val="21"/>
          <w:szCs w:val="21"/>
        </w:rPr>
        <w:t>中小企业划分标准</w:t>
      </w:r>
      <w:bookmarkEnd w:id="231"/>
      <w:bookmarkEnd w:id="232"/>
      <w:bookmarkEnd w:id="233"/>
      <w:bookmarkEnd w:id="234"/>
      <w:bookmarkEnd w:id="235"/>
    </w:p>
    <w:p w14:paraId="46CA8D1D">
      <w:pPr>
        <w:ind w:firstLine="420" w:firstLineChars="200"/>
        <w:rPr>
          <w:rFonts w:hint="eastAsia" w:ascii="宋体" w:hAnsi="宋体" w:eastAsia="宋体" w:cs="宋体"/>
          <w:sz w:val="21"/>
          <w:szCs w:val="21"/>
        </w:rPr>
      </w:pPr>
      <w:r>
        <w:rPr>
          <w:rFonts w:hint="eastAsia" w:ascii="宋体" w:hAnsi="宋体" w:eastAsia="宋体" w:cs="宋体"/>
          <w:sz w:val="21"/>
          <w:szCs w:val="21"/>
        </w:rPr>
        <w:t>工业和信息化部、国家统计局、发展改革委、财政部等四部门《关于印发中小企业划型标准规定的通知》（工信部联企业〔2011〕300号）规定中小企业划型标准如表所示：</w:t>
      </w:r>
    </w:p>
    <w:tbl>
      <w:tblPr>
        <w:tblStyle w:val="19"/>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1"/>
        <w:gridCol w:w="1826"/>
        <w:gridCol w:w="6519"/>
      </w:tblGrid>
      <w:tr w14:paraId="258DB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12C543FA">
            <w:pPr>
              <w:pStyle w:val="38"/>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农、林、牧、渔业</w:t>
            </w:r>
          </w:p>
        </w:tc>
        <w:tc>
          <w:tcPr>
            <w:tcW w:w="4263" w:type="pct"/>
            <w:gridSpan w:val="2"/>
            <w:shd w:val="clear" w:color="auto" w:fill="FFFFFF"/>
            <w:noWrap w:val="0"/>
            <w:vAlign w:val="center"/>
          </w:tcPr>
          <w:p w14:paraId="5D2F9AC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营业收入20000万元以下的为中小微型企业。</w:t>
            </w:r>
          </w:p>
        </w:tc>
      </w:tr>
      <w:tr w14:paraId="4E8A2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A67466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FE535D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724EE599">
            <w:pPr>
              <w:pStyle w:val="38"/>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20 000万元</w:t>
            </w:r>
          </w:p>
        </w:tc>
      </w:tr>
      <w:tr w14:paraId="19547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AFAA497">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9C0FD0F">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0E7FA686">
            <w:pPr>
              <w:pStyle w:val="38"/>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500万元</w:t>
            </w:r>
          </w:p>
        </w:tc>
      </w:tr>
      <w:tr w14:paraId="3CCAA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F60821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B990F8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4AB4C15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50万元以下</w:t>
            </w:r>
          </w:p>
        </w:tc>
      </w:tr>
      <w:tr w14:paraId="47BF8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0ECA93A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工业</w:t>
            </w:r>
          </w:p>
          <w:p w14:paraId="3D6C213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（包括采矿业，制造业，电力、热力、燃气及水生产和供应</w:t>
            </w:r>
          </w:p>
          <w:p w14:paraId="1DA0251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业）</w:t>
            </w:r>
          </w:p>
        </w:tc>
        <w:tc>
          <w:tcPr>
            <w:tcW w:w="4263" w:type="pct"/>
            <w:gridSpan w:val="2"/>
            <w:shd w:val="clear" w:color="auto" w:fill="FFFFFF"/>
            <w:noWrap w:val="0"/>
            <w:vAlign w:val="center"/>
          </w:tcPr>
          <w:p w14:paraId="560A77D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40000万元以下的为中小微型企业。</w:t>
            </w:r>
          </w:p>
        </w:tc>
      </w:tr>
      <w:tr w14:paraId="4BD0B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2B54101">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4C0429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2E97EA2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2 000万元一40 000万元</w:t>
            </w:r>
          </w:p>
        </w:tc>
      </w:tr>
      <w:tr w14:paraId="4A97E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6B6DC0F">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3D3B4C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4F05DC0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300万元一2 000万元</w:t>
            </w:r>
          </w:p>
        </w:tc>
      </w:tr>
      <w:tr w14:paraId="08F91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71B428BB">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277C0F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767D6A7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300万元以下</w:t>
            </w:r>
          </w:p>
        </w:tc>
      </w:tr>
      <w:tr w14:paraId="65043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5017452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建筑业</w:t>
            </w:r>
          </w:p>
        </w:tc>
        <w:tc>
          <w:tcPr>
            <w:tcW w:w="4263" w:type="pct"/>
            <w:gridSpan w:val="2"/>
            <w:shd w:val="clear" w:color="auto" w:fill="FFFFFF"/>
            <w:noWrap w:val="0"/>
            <w:vAlign w:val="center"/>
          </w:tcPr>
          <w:p w14:paraId="447DBE9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营业收入80000万元以下或资产总额 80000万元以下的为中小微型企业。</w:t>
            </w:r>
          </w:p>
        </w:tc>
      </w:tr>
      <w:tr w14:paraId="6BD19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C4236B0">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C3B4B2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1CF267E4">
            <w:pPr>
              <w:pStyle w:val="38"/>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营业收入6000万元一80000万元，且资产总额 5 000万元一80 000 万元</w:t>
            </w:r>
          </w:p>
        </w:tc>
      </w:tr>
      <w:tr w14:paraId="1F28A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10135E0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A67C20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415493E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 300万元一6 000万元，且资产总额 300万一5 000万元</w:t>
            </w:r>
          </w:p>
        </w:tc>
      </w:tr>
      <w:tr w14:paraId="17541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6DDDB79">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20E401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6A326B2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营业收入300万元以下或资产总额 300万元以下</w:t>
            </w:r>
          </w:p>
        </w:tc>
      </w:tr>
      <w:tr w14:paraId="1EB30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79D0123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批发业</w:t>
            </w:r>
          </w:p>
        </w:tc>
        <w:tc>
          <w:tcPr>
            <w:tcW w:w="4263" w:type="pct"/>
            <w:gridSpan w:val="2"/>
            <w:shd w:val="clear" w:color="auto" w:fill="FFFFFF"/>
            <w:noWrap w:val="0"/>
            <w:vAlign w:val="center"/>
          </w:tcPr>
          <w:p w14:paraId="2F47F28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40 000万元以下的为中小微型企业。</w:t>
            </w:r>
          </w:p>
        </w:tc>
      </w:tr>
      <w:tr w14:paraId="5A835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16D2D475">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40BF3E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B5E60F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从业人员20人一200人，且营业收入 5 000万元一40 000万元</w:t>
            </w:r>
          </w:p>
        </w:tc>
      </w:tr>
      <w:tr w14:paraId="16556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7CAD8C5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742DFDE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16A3DA9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从业人员5人一20人，且营业收入 1 000万元一5 000万元</w:t>
            </w:r>
          </w:p>
        </w:tc>
      </w:tr>
      <w:tr w14:paraId="4D1F5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4A48C39">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C3CBAE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7E218EB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从业人员5人以下或营业收入 1 000万元以下</w:t>
            </w:r>
          </w:p>
        </w:tc>
      </w:tr>
      <w:tr w14:paraId="31009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211107F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零售业</w:t>
            </w:r>
          </w:p>
        </w:tc>
        <w:tc>
          <w:tcPr>
            <w:tcW w:w="4263" w:type="pct"/>
            <w:gridSpan w:val="2"/>
            <w:shd w:val="clear" w:color="auto" w:fill="FFFFFF"/>
            <w:noWrap w:val="0"/>
            <w:vAlign w:val="center"/>
          </w:tcPr>
          <w:p w14:paraId="690C6B6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20 000万元以下的为中小微型企业。</w:t>
            </w:r>
          </w:p>
        </w:tc>
      </w:tr>
      <w:tr w14:paraId="11B9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5D2616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871A952">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78DD292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50人一300人，且营业收入 500万元一20 000万元</w:t>
            </w:r>
          </w:p>
        </w:tc>
      </w:tr>
      <w:tr w14:paraId="3F461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BF68395">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7BE1E28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1196F15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从业人员10人一50人，且营业收入 100万元一500万元</w:t>
            </w:r>
          </w:p>
        </w:tc>
      </w:tr>
      <w:tr w14:paraId="68B92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0E6F7B1">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4B664568">
            <w:pPr>
              <w:pStyle w:val="38"/>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3AAB6EC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065E8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4538657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交通运输业 （不含铁路运输业）</w:t>
            </w:r>
          </w:p>
        </w:tc>
        <w:tc>
          <w:tcPr>
            <w:tcW w:w="4263" w:type="pct"/>
            <w:gridSpan w:val="2"/>
            <w:shd w:val="clear" w:color="auto" w:fill="FFFFFF"/>
            <w:noWrap w:val="0"/>
            <w:vAlign w:val="center"/>
          </w:tcPr>
          <w:p w14:paraId="207AD79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14:paraId="74EA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F30760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BE8988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67BBFA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3 000万元一30 000万元</w:t>
            </w:r>
          </w:p>
        </w:tc>
      </w:tr>
      <w:tr w14:paraId="77753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FAB374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AB1248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085C30D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200万元一3 000万元</w:t>
            </w:r>
          </w:p>
        </w:tc>
      </w:tr>
      <w:tr w14:paraId="6CE80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F1C287C">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4E46FE5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4454658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200万元以下</w:t>
            </w:r>
          </w:p>
        </w:tc>
      </w:tr>
      <w:tr w14:paraId="72A12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681717E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仓储业</w:t>
            </w:r>
          </w:p>
        </w:tc>
        <w:tc>
          <w:tcPr>
            <w:tcW w:w="4263" w:type="pct"/>
            <w:gridSpan w:val="2"/>
            <w:shd w:val="clear" w:color="auto" w:fill="FFFFFF"/>
            <w:noWrap w:val="0"/>
            <w:vAlign w:val="center"/>
          </w:tcPr>
          <w:p w14:paraId="56F802B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30 000万元以下的为中小微型企业。</w:t>
            </w:r>
          </w:p>
        </w:tc>
      </w:tr>
      <w:tr w14:paraId="5AEFC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CA4DB4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3E46D1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A0D41F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从业人员100人一200人，且营业收入 1 000万元一30 000万元</w:t>
            </w:r>
          </w:p>
        </w:tc>
      </w:tr>
      <w:tr w14:paraId="3D004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2784AC0">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E5E212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76E4CF2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从业人员20人一100人，且营业收入 100万元一1 000万元</w:t>
            </w:r>
          </w:p>
        </w:tc>
      </w:tr>
      <w:tr w14:paraId="0F93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8B07D3C">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426C6DF">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143B5DE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r w14:paraId="55703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173D506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邮政业</w:t>
            </w:r>
          </w:p>
        </w:tc>
        <w:tc>
          <w:tcPr>
            <w:tcW w:w="4263" w:type="pct"/>
            <w:gridSpan w:val="2"/>
            <w:shd w:val="clear" w:color="auto" w:fill="FFFFFF"/>
            <w:noWrap w:val="0"/>
            <w:vAlign w:val="center"/>
          </w:tcPr>
          <w:p w14:paraId="11A96B6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14:paraId="3189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889BA2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1EE958F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F3870F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2 000万元一30 000万元</w:t>
            </w:r>
          </w:p>
        </w:tc>
      </w:tr>
      <w:tr w14:paraId="49690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C39E6C8">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FCC01A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2304712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100万元一2 000万元</w:t>
            </w:r>
          </w:p>
        </w:tc>
      </w:tr>
      <w:tr w14:paraId="3FC03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784D64B">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646A6D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6668FA8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bl>
    <w:p w14:paraId="387FFC21">
      <w:pPr>
        <w:spacing w:line="1" w:lineRule="exact"/>
        <w:jc w:val="center"/>
        <w:rPr>
          <w:rFonts w:hint="eastAsia" w:ascii="宋体" w:hAnsi="宋体" w:eastAsia="宋体" w:cs="宋体"/>
          <w:sz w:val="21"/>
          <w:szCs w:val="21"/>
        </w:rPr>
      </w:pPr>
    </w:p>
    <w:tbl>
      <w:tblPr>
        <w:tblStyle w:val="19"/>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14:paraId="45EC1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6E2B43E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住宿业</w:t>
            </w:r>
          </w:p>
        </w:tc>
        <w:tc>
          <w:tcPr>
            <w:tcW w:w="8354" w:type="dxa"/>
            <w:gridSpan w:val="2"/>
            <w:shd w:val="clear" w:color="auto" w:fill="FFFFFF"/>
            <w:noWrap w:val="0"/>
            <w:vAlign w:val="center"/>
          </w:tcPr>
          <w:p w14:paraId="5532C5EB">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10000万元以下的为中小微型企业。</w:t>
            </w:r>
          </w:p>
        </w:tc>
      </w:tr>
      <w:tr w14:paraId="09268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7AAD08F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690CC6F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7F0038A8">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2 000万元一10 000万元</w:t>
            </w:r>
          </w:p>
        </w:tc>
      </w:tr>
      <w:tr w14:paraId="1029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0B7DC0A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97480ED">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25F4372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14:paraId="3476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B2A6769">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9594CC0">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5FE48A1D">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5C05B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4502B8BE">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餐饮业</w:t>
            </w:r>
          </w:p>
        </w:tc>
        <w:tc>
          <w:tcPr>
            <w:tcW w:w="8354" w:type="dxa"/>
            <w:gridSpan w:val="2"/>
            <w:shd w:val="clear" w:color="auto" w:fill="FFFFFF"/>
            <w:noWrap w:val="0"/>
            <w:vAlign w:val="center"/>
          </w:tcPr>
          <w:p w14:paraId="610EF26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14:paraId="2C754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2E47C1CB">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25AD32B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69156ED0">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2 000万元一10 000万元</w:t>
            </w:r>
          </w:p>
        </w:tc>
      </w:tr>
      <w:tr w14:paraId="78853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6FE141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DAAF122">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E2AC32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14:paraId="17767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DA672D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213DBE1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6280894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42B32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3AAD5A80">
            <w:pPr>
              <w:pStyle w:val="38"/>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信息传输业 （包括电信、互联网 和相关服务）</w:t>
            </w:r>
          </w:p>
        </w:tc>
        <w:tc>
          <w:tcPr>
            <w:tcW w:w="8354" w:type="dxa"/>
            <w:gridSpan w:val="2"/>
            <w:shd w:val="clear" w:color="auto" w:fill="FFFFFF"/>
            <w:noWrap w:val="0"/>
            <w:vAlign w:val="center"/>
          </w:tcPr>
          <w:p w14:paraId="59E78A76">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从业人员2 000人以下或营业收入 100 000万元以下的为中小微型企业。</w:t>
            </w:r>
          </w:p>
        </w:tc>
      </w:tr>
      <w:tr w14:paraId="61EE5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7BD914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FF4BEA9">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63DA5D53">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从业人员100人一2 000人，且营业收入 1 000万元一10 000万元</w:t>
            </w:r>
          </w:p>
        </w:tc>
      </w:tr>
      <w:tr w14:paraId="59A08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431E26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7D792F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327A6A0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100万元一1 000万元</w:t>
            </w:r>
          </w:p>
        </w:tc>
      </w:tr>
      <w:tr w14:paraId="74F9F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62B1D66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957A79D">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1D60E6DB">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6180E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5D3A73EB">
            <w:pPr>
              <w:pStyle w:val="38"/>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软件和信息技术服务业</w:t>
            </w:r>
          </w:p>
        </w:tc>
        <w:tc>
          <w:tcPr>
            <w:tcW w:w="8354" w:type="dxa"/>
            <w:gridSpan w:val="2"/>
            <w:shd w:val="clear" w:color="auto" w:fill="FFFFFF"/>
            <w:noWrap w:val="0"/>
            <w:vAlign w:val="center"/>
          </w:tcPr>
          <w:p w14:paraId="64A7F94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14:paraId="58978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25B856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0FFFF19">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34161B0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1 000万元一10 000万元</w:t>
            </w:r>
          </w:p>
        </w:tc>
      </w:tr>
      <w:tr w14:paraId="1BB7F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06C17400">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F083CB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37E67709">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50万元一1 000万元</w:t>
            </w:r>
          </w:p>
        </w:tc>
      </w:tr>
      <w:tr w14:paraId="1BA10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4E4747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1EE5134">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478BE1B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50万元以下</w:t>
            </w:r>
          </w:p>
        </w:tc>
      </w:tr>
      <w:tr w14:paraId="619A7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3DA01ADB">
            <w:pPr>
              <w:pStyle w:val="38"/>
              <w:keepNext w:val="0"/>
              <w:keepLines w:val="0"/>
              <w:suppressLineNumbers w:val="0"/>
              <w:shd w:val="clear" w:color="auto" w:fill="auto"/>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color w:val="000000"/>
                <w:sz w:val="21"/>
                <w:szCs w:val="21"/>
              </w:rPr>
              <w:t>房地产开发经营</w:t>
            </w:r>
          </w:p>
        </w:tc>
        <w:tc>
          <w:tcPr>
            <w:tcW w:w="8354" w:type="dxa"/>
            <w:gridSpan w:val="2"/>
            <w:shd w:val="clear" w:color="auto" w:fill="FFFFFF"/>
            <w:noWrap w:val="0"/>
            <w:vAlign w:val="center"/>
          </w:tcPr>
          <w:p w14:paraId="5C650953">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营业收入200 000万元以下或资产总额 10 000万元以下的为中小微型企业。</w:t>
            </w:r>
          </w:p>
        </w:tc>
      </w:tr>
      <w:tr w14:paraId="5EFB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4E962D8">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04350A7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2579E027">
            <w:pPr>
              <w:pStyle w:val="38"/>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营业收入1 000万元一200 000万元，且资产总额 5 000万元一10000万元</w:t>
            </w:r>
          </w:p>
        </w:tc>
      </w:tr>
      <w:tr w14:paraId="68D34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07C1F3A">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FF079B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3339096">
            <w:pPr>
              <w:pStyle w:val="38"/>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营业收入100万元一1 000万元，且资产总额 2 000万元一5 000 万元</w:t>
            </w:r>
          </w:p>
        </w:tc>
      </w:tr>
      <w:tr w14:paraId="7DE80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269073B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1541C37">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2064A666">
            <w:pPr>
              <w:pStyle w:val="38"/>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营业收入100万元以下或资产总额2 000万元以下的为微型企业</w:t>
            </w:r>
          </w:p>
        </w:tc>
      </w:tr>
      <w:tr w14:paraId="171E1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18F4AF31">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物业管理</w:t>
            </w:r>
          </w:p>
        </w:tc>
        <w:tc>
          <w:tcPr>
            <w:tcW w:w="8354" w:type="dxa"/>
            <w:gridSpan w:val="2"/>
            <w:shd w:val="clear" w:color="auto" w:fill="FFFFFF"/>
            <w:noWrap w:val="0"/>
            <w:vAlign w:val="center"/>
          </w:tcPr>
          <w:p w14:paraId="4B6E52CA">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5 000万元以下的为中小微型企业。</w:t>
            </w:r>
          </w:p>
        </w:tc>
      </w:tr>
      <w:tr w14:paraId="6A6D3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32D2A3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74EA259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4B3AD36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1000万元一5 000万元</w:t>
            </w:r>
          </w:p>
        </w:tc>
      </w:tr>
      <w:tr w14:paraId="313DE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45BD368">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081DA3B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45D55A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500万元一1 000万元</w:t>
            </w:r>
          </w:p>
        </w:tc>
      </w:tr>
      <w:tr w14:paraId="34E37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1F4EBD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76B240B6">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2DBE22DF">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从业人员100人以下或营业收入 500万元以下</w:t>
            </w:r>
          </w:p>
        </w:tc>
      </w:tr>
      <w:tr w14:paraId="146D1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1D5E7555">
            <w:pPr>
              <w:pStyle w:val="38"/>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租赁和商务服务业</w:t>
            </w:r>
          </w:p>
        </w:tc>
        <w:tc>
          <w:tcPr>
            <w:tcW w:w="8354" w:type="dxa"/>
            <w:gridSpan w:val="2"/>
            <w:shd w:val="clear" w:color="auto" w:fill="FFFFFF"/>
            <w:noWrap w:val="0"/>
            <w:vAlign w:val="center"/>
          </w:tcPr>
          <w:p w14:paraId="2C03DE7C">
            <w:pPr>
              <w:pStyle w:val="38"/>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000000"/>
                <w:sz w:val="21"/>
                <w:szCs w:val="21"/>
                <w:lang w:val="en-US"/>
              </w:rPr>
              <w:t>10</w:t>
            </w:r>
            <w:r>
              <w:rPr>
                <w:rFonts w:hint="eastAsia" w:ascii="宋体" w:hAnsi="宋体" w:eastAsia="宋体" w:cs="宋体"/>
                <w:color w:val="000000"/>
                <w:sz w:val="21"/>
                <w:szCs w:val="21"/>
              </w:rPr>
              <w:t>人以下或资产总额 100万元以下的为微型企业。</w:t>
            </w:r>
          </w:p>
        </w:tc>
      </w:tr>
      <w:tr w14:paraId="4CD4C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38E498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9323543">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49290E5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从业人员100人一300人，且资产总额 8 000万元一120 000万元</w:t>
            </w:r>
          </w:p>
        </w:tc>
      </w:tr>
      <w:tr w14:paraId="2CA84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CEFC40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33330A4">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7B069886">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从业人员10人一100人，且资产总额 100万元一8 000万元</w:t>
            </w:r>
          </w:p>
        </w:tc>
      </w:tr>
      <w:tr w14:paraId="3B601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C3C693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7FC79E3">
            <w:pPr>
              <w:pStyle w:val="38"/>
              <w:keepNext w:val="0"/>
              <w:keepLines w:val="0"/>
              <w:suppressLineNumbers w:val="0"/>
              <w:shd w:val="clear" w:color="auto" w:fill="auto"/>
              <w:spacing w:before="10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6049B13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从业人员10人以下或资产总额 100万元以下</w:t>
            </w:r>
          </w:p>
        </w:tc>
      </w:tr>
      <w:tr w14:paraId="1C19C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5229D670">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其他未列明行业</w:t>
            </w:r>
          </w:p>
        </w:tc>
        <w:tc>
          <w:tcPr>
            <w:tcW w:w="8354" w:type="dxa"/>
            <w:gridSpan w:val="2"/>
            <w:shd w:val="clear" w:color="auto" w:fill="FFFFFF"/>
            <w:noWrap w:val="0"/>
            <w:vAlign w:val="center"/>
          </w:tcPr>
          <w:p w14:paraId="12238371">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从业人员300人以下的为中小微型企业。</w:t>
            </w:r>
          </w:p>
        </w:tc>
      </w:tr>
      <w:tr w14:paraId="61AC1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844F6B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621595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3F92BB49">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w:t>
            </w:r>
          </w:p>
        </w:tc>
      </w:tr>
      <w:tr w14:paraId="7D97F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0783FF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12596F5">
            <w:pPr>
              <w:pStyle w:val="38"/>
              <w:keepNext w:val="0"/>
              <w:keepLines w:val="0"/>
              <w:suppressLineNumbers w:val="0"/>
              <w:shd w:val="clear" w:color="auto" w:fill="auto"/>
              <w:spacing w:before="8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1CD01178">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w:t>
            </w:r>
          </w:p>
        </w:tc>
      </w:tr>
      <w:tr w14:paraId="309A1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6FD912A0">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6D6359BB">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1E89916B">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w:t>
            </w:r>
          </w:p>
        </w:tc>
      </w:tr>
    </w:tbl>
    <w:p w14:paraId="2601ACAA">
      <w:pPr>
        <w:rPr>
          <w:rFonts w:hint="eastAsia" w:ascii="宋体" w:hAnsi="宋体" w:eastAsia="宋体" w:cs="宋体"/>
          <w:color w:val="000000" w:themeColor="text1"/>
          <w:sz w:val="28"/>
          <w:szCs w:val="28"/>
          <w:highlight w:val="none"/>
          <w14:textFill>
            <w14:solidFill>
              <w14:schemeClr w14:val="tx1"/>
            </w14:solidFill>
          </w14:textFill>
        </w:rPr>
      </w:pPr>
    </w:p>
    <w:sectPr>
      <w:headerReference r:id="rId9" w:type="default"/>
      <w:footerReference r:id="rId10"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宋?">
    <w:altName w:val="宋体"/>
    <w:panose1 w:val="00000000000000000000"/>
    <w:charset w:val="81"/>
    <w:family w:val="auto"/>
    <w:pitch w:val="default"/>
    <w:sig w:usb0="00000000" w:usb1="00000000" w:usb2="00000010" w:usb3="00000000" w:csb0="00080000"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B3A76">
    <w:pPr>
      <w:pStyle w:val="13"/>
      <w:rPr>
        <w:rFonts w:hint="eastAsia" w:ascii="宋体" w:hAnsi="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273BA">
    <w:pPr>
      <w:pStyle w:val="13"/>
      <w:rPr>
        <w:rFonts w:hint="eastAsia" w:ascii="宋体" w:hAnsi="宋体"/>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2A9803">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A2A9803">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12A70">
    <w:pPr>
      <w:pStyle w:val="13"/>
      <w:tabs>
        <w:tab w:val="center" w:pos="487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3E7BA">
                          <w:pPr>
                            <w:pStyle w:val="1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3E7BA">
                    <w:pPr>
                      <w:pStyle w:val="1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71F67">
    <w:pPr>
      <w:pStyle w:val="13"/>
      <w:tabs>
        <w:tab w:val="center" w:pos="4139"/>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2F47A7">
                          <w:pPr>
                            <w:pStyle w:val="13"/>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D2F47A7">
                    <w:pPr>
                      <w:pStyle w:val="13"/>
                    </w:pPr>
                    <w:r>
                      <w:fldChar w:fldCharType="begin"/>
                    </w:r>
                    <w:r>
                      <w:instrText xml:space="preserve"> PAGE  \* MERGEFORMAT </w:instrText>
                    </w:r>
                    <w:r>
                      <w:fldChar w:fldCharType="separate"/>
                    </w:r>
                    <w:r>
                      <w:t>127</w:t>
                    </w:r>
                    <w:r>
                      <w:fldChar w:fldCharType="end"/>
                    </w:r>
                  </w:p>
                </w:txbxContent>
              </v:textbox>
            </v:shape>
          </w:pict>
        </mc:Fallback>
      </mc:AlternateContent>
    </w:r>
    <w:r>
      <w:rPr>
        <w:rFonts w:hint="eastAsia"/>
        <w:lang w:eastAsia="zh-CN"/>
      </w:rPr>
      <w:tab/>
    </w:r>
    <w:r>
      <w:rPr>
        <w:rFonts w:hint="eastAsia" w:ascii="宋体" w:hAnsi="宋体" w:eastAsia="宋体" w:cs="宋体"/>
        <w:sz w:val="21"/>
        <w:szCs w:val="21"/>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3AE44">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A4CA89">
                          <w:pPr>
                            <w:pStyle w:val="13"/>
                          </w:pPr>
                          <w:r>
                            <w:fldChar w:fldCharType="begin"/>
                          </w:r>
                          <w:r>
                            <w:instrText xml:space="preserve"> PAGE  \* MERGEFORMAT </w:instrText>
                          </w:r>
                          <w:r>
                            <w:fldChar w:fldCharType="separate"/>
                          </w:r>
                          <w:r>
                            <w:t>143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0A4CA89">
                    <w:pPr>
                      <w:pStyle w:val="13"/>
                    </w:pPr>
                    <w:r>
                      <w:fldChar w:fldCharType="begin"/>
                    </w:r>
                    <w:r>
                      <w:instrText xml:space="preserve"> PAGE  \* MERGEFORMAT </w:instrText>
                    </w:r>
                    <w:r>
                      <w:fldChar w:fldCharType="separate"/>
                    </w:r>
                    <w:r>
                      <w:t>143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D6F3C">
    <w:pPr>
      <w:spacing w:line="176" w:lineRule="auto"/>
      <w:ind w:left="46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EAB1C5">
                          <w:pPr>
                            <w:pStyle w:val="13"/>
                          </w:pPr>
                          <w:r>
                            <w:fldChar w:fldCharType="begin"/>
                          </w:r>
                          <w:r>
                            <w:instrText xml:space="preserve"> PAGE  \* MERGEFORMAT </w:instrText>
                          </w:r>
                          <w:r>
                            <w:fldChar w:fldCharType="separate"/>
                          </w:r>
                          <w:r>
                            <w:t>147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EEAB1C5">
                    <w:pPr>
                      <w:pStyle w:val="13"/>
                    </w:pPr>
                    <w:r>
                      <w:fldChar w:fldCharType="begin"/>
                    </w:r>
                    <w:r>
                      <w:instrText xml:space="preserve"> PAGE  \* MERGEFORMAT </w:instrText>
                    </w:r>
                    <w:r>
                      <w:fldChar w:fldCharType="separate"/>
                    </w:r>
                    <w:r>
                      <w:t>147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5AB7C">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15B59">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A30B00"/>
    <w:multiLevelType w:val="singleLevel"/>
    <w:tmpl w:val="86A30B00"/>
    <w:lvl w:ilvl="0" w:tentative="0">
      <w:start w:val="9"/>
      <w:numFmt w:val="chineseCounting"/>
      <w:suff w:val="nothing"/>
      <w:lvlText w:val="%1、"/>
      <w:lvlJc w:val="left"/>
      <w:rPr>
        <w:rFonts w:hint="eastAsia"/>
      </w:rPr>
    </w:lvl>
  </w:abstractNum>
  <w:abstractNum w:abstractNumId="1">
    <w:nsid w:val="C58AC0F8"/>
    <w:multiLevelType w:val="singleLevel"/>
    <w:tmpl w:val="C58AC0F8"/>
    <w:lvl w:ilvl="0" w:tentative="0">
      <w:start w:val="5"/>
      <w:numFmt w:val="chineseCounting"/>
      <w:suff w:val="space"/>
      <w:lvlText w:val="第%1章"/>
      <w:lvlJc w:val="left"/>
      <w:rPr>
        <w:rFonts w:hint="eastAsia"/>
      </w:rPr>
    </w:lvl>
  </w:abstractNum>
  <w:abstractNum w:abstractNumId="2">
    <w:nsid w:val="E555D575"/>
    <w:multiLevelType w:val="singleLevel"/>
    <w:tmpl w:val="E555D575"/>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dit="readOnly" w:formatting="1" w:enforcement="1" w:cryptProviderType="rsaFull" w:cryptAlgorithmClass="hash" w:cryptAlgorithmType="typeAny" w:cryptAlgorithmSid="4" w:cryptSpinCount="0" w:hash="TIX/6hNguzRSBgahMQybT4/0n70=" w:salt="biohJd0L8jBd8bWnCeu5dA=="/>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MDRlY2VmNmQ2NDlkY2FmYWNmZmM5Mzk1ODNiNjcifQ=="/>
  </w:docVars>
  <w:rsids>
    <w:rsidRoot w:val="4AC75B3B"/>
    <w:rsid w:val="00016D8E"/>
    <w:rsid w:val="001612B1"/>
    <w:rsid w:val="0026154C"/>
    <w:rsid w:val="0031535E"/>
    <w:rsid w:val="00437D78"/>
    <w:rsid w:val="007E79DC"/>
    <w:rsid w:val="007F0A1D"/>
    <w:rsid w:val="009269A2"/>
    <w:rsid w:val="009C779F"/>
    <w:rsid w:val="00B34633"/>
    <w:rsid w:val="00C14B91"/>
    <w:rsid w:val="00DF677C"/>
    <w:rsid w:val="00E84B06"/>
    <w:rsid w:val="00F37A63"/>
    <w:rsid w:val="00FC02AA"/>
    <w:rsid w:val="00FF4772"/>
    <w:rsid w:val="00FF6F56"/>
    <w:rsid w:val="011E3D92"/>
    <w:rsid w:val="011F1764"/>
    <w:rsid w:val="012810B4"/>
    <w:rsid w:val="012C687B"/>
    <w:rsid w:val="01330404"/>
    <w:rsid w:val="01341807"/>
    <w:rsid w:val="014D2402"/>
    <w:rsid w:val="015B73CA"/>
    <w:rsid w:val="015E4ACC"/>
    <w:rsid w:val="01692E5D"/>
    <w:rsid w:val="016E4D66"/>
    <w:rsid w:val="017546F1"/>
    <w:rsid w:val="019C23B2"/>
    <w:rsid w:val="019C51DF"/>
    <w:rsid w:val="01C35AF5"/>
    <w:rsid w:val="01CB21A9"/>
    <w:rsid w:val="01D17056"/>
    <w:rsid w:val="01E22B26"/>
    <w:rsid w:val="01F30850"/>
    <w:rsid w:val="01F66ABD"/>
    <w:rsid w:val="02012E78"/>
    <w:rsid w:val="02182C5B"/>
    <w:rsid w:val="021F76D7"/>
    <w:rsid w:val="02215E8E"/>
    <w:rsid w:val="026C7207"/>
    <w:rsid w:val="028B7ABC"/>
    <w:rsid w:val="02A27609"/>
    <w:rsid w:val="02DE6C21"/>
    <w:rsid w:val="02E234DD"/>
    <w:rsid w:val="02FE1FF9"/>
    <w:rsid w:val="030D350D"/>
    <w:rsid w:val="031921E1"/>
    <w:rsid w:val="032260BD"/>
    <w:rsid w:val="037A3B41"/>
    <w:rsid w:val="038C50E0"/>
    <w:rsid w:val="03A42787"/>
    <w:rsid w:val="03BC36B1"/>
    <w:rsid w:val="03E147EA"/>
    <w:rsid w:val="03F5128D"/>
    <w:rsid w:val="04117BDE"/>
    <w:rsid w:val="04152967"/>
    <w:rsid w:val="041733F7"/>
    <w:rsid w:val="04387860"/>
    <w:rsid w:val="04422DCA"/>
    <w:rsid w:val="044E739D"/>
    <w:rsid w:val="04762AE0"/>
    <w:rsid w:val="047E5D41"/>
    <w:rsid w:val="04B8484E"/>
    <w:rsid w:val="04B96A4C"/>
    <w:rsid w:val="04DC0AA0"/>
    <w:rsid w:val="050339C8"/>
    <w:rsid w:val="050B14B3"/>
    <w:rsid w:val="05145E61"/>
    <w:rsid w:val="05336716"/>
    <w:rsid w:val="056B7B7D"/>
    <w:rsid w:val="05781409"/>
    <w:rsid w:val="05AB50DB"/>
    <w:rsid w:val="05B9677F"/>
    <w:rsid w:val="05BD667A"/>
    <w:rsid w:val="05DC680B"/>
    <w:rsid w:val="060E737E"/>
    <w:rsid w:val="061F2E9B"/>
    <w:rsid w:val="063A14C7"/>
    <w:rsid w:val="065564A8"/>
    <w:rsid w:val="0665688A"/>
    <w:rsid w:val="06755013"/>
    <w:rsid w:val="067B1F30"/>
    <w:rsid w:val="06D80A8A"/>
    <w:rsid w:val="06EB44E8"/>
    <w:rsid w:val="06F63309"/>
    <w:rsid w:val="070457D8"/>
    <w:rsid w:val="072858CC"/>
    <w:rsid w:val="072C44ED"/>
    <w:rsid w:val="07362663"/>
    <w:rsid w:val="07524795"/>
    <w:rsid w:val="07B11FAD"/>
    <w:rsid w:val="07C531CC"/>
    <w:rsid w:val="07CD046F"/>
    <w:rsid w:val="07CD2038"/>
    <w:rsid w:val="07DC6674"/>
    <w:rsid w:val="07E0507A"/>
    <w:rsid w:val="07E55674"/>
    <w:rsid w:val="07EF7893"/>
    <w:rsid w:val="08130D4D"/>
    <w:rsid w:val="08215AE4"/>
    <w:rsid w:val="08257D6D"/>
    <w:rsid w:val="082702D5"/>
    <w:rsid w:val="083F0917"/>
    <w:rsid w:val="0866222B"/>
    <w:rsid w:val="08760957"/>
    <w:rsid w:val="08805332"/>
    <w:rsid w:val="08986A27"/>
    <w:rsid w:val="08AD034C"/>
    <w:rsid w:val="08E56EA5"/>
    <w:rsid w:val="08F700C6"/>
    <w:rsid w:val="08FD1FCF"/>
    <w:rsid w:val="090E7CEB"/>
    <w:rsid w:val="091E160B"/>
    <w:rsid w:val="095216D9"/>
    <w:rsid w:val="095F2F6D"/>
    <w:rsid w:val="09697100"/>
    <w:rsid w:val="096C05AB"/>
    <w:rsid w:val="09773E97"/>
    <w:rsid w:val="098269A5"/>
    <w:rsid w:val="09854A56"/>
    <w:rsid w:val="09D771D4"/>
    <w:rsid w:val="09DF42DA"/>
    <w:rsid w:val="09F91B56"/>
    <w:rsid w:val="0A1E6855"/>
    <w:rsid w:val="0A2574B3"/>
    <w:rsid w:val="0A4F2875"/>
    <w:rsid w:val="0A9B4EF3"/>
    <w:rsid w:val="0ABE2142"/>
    <w:rsid w:val="0ACB34C4"/>
    <w:rsid w:val="0B056A0E"/>
    <w:rsid w:val="0B060E22"/>
    <w:rsid w:val="0B090DAA"/>
    <w:rsid w:val="0B157411"/>
    <w:rsid w:val="0B32416D"/>
    <w:rsid w:val="0B385646"/>
    <w:rsid w:val="0B4D1E43"/>
    <w:rsid w:val="0B8B368D"/>
    <w:rsid w:val="0B94510B"/>
    <w:rsid w:val="0B971913"/>
    <w:rsid w:val="0BC26BCB"/>
    <w:rsid w:val="0BC301D9"/>
    <w:rsid w:val="0BD95C00"/>
    <w:rsid w:val="0BFD70B9"/>
    <w:rsid w:val="0C1237DB"/>
    <w:rsid w:val="0C2C7C08"/>
    <w:rsid w:val="0CB41A4E"/>
    <w:rsid w:val="0CF85DDF"/>
    <w:rsid w:val="0D010EE5"/>
    <w:rsid w:val="0D1A078A"/>
    <w:rsid w:val="0D3D54C7"/>
    <w:rsid w:val="0D4940E8"/>
    <w:rsid w:val="0D4E59FF"/>
    <w:rsid w:val="0D5A5442"/>
    <w:rsid w:val="0D5E59FB"/>
    <w:rsid w:val="0D787914"/>
    <w:rsid w:val="0DEF71E2"/>
    <w:rsid w:val="0E244D27"/>
    <w:rsid w:val="0E247D43"/>
    <w:rsid w:val="0E573A15"/>
    <w:rsid w:val="0E677F50"/>
    <w:rsid w:val="0E6C0137"/>
    <w:rsid w:val="0E9F2797"/>
    <w:rsid w:val="0EDD16F0"/>
    <w:rsid w:val="0EFA6AA1"/>
    <w:rsid w:val="0F075DB7"/>
    <w:rsid w:val="0F3F5F47"/>
    <w:rsid w:val="0F4D0AAA"/>
    <w:rsid w:val="0F5F5CA1"/>
    <w:rsid w:val="0F634E4C"/>
    <w:rsid w:val="0F73799F"/>
    <w:rsid w:val="0FA35C35"/>
    <w:rsid w:val="0FF137B6"/>
    <w:rsid w:val="100D7863"/>
    <w:rsid w:val="1018101F"/>
    <w:rsid w:val="101F3001"/>
    <w:rsid w:val="1023499A"/>
    <w:rsid w:val="103B4960"/>
    <w:rsid w:val="104222BC"/>
    <w:rsid w:val="104A18C6"/>
    <w:rsid w:val="10616837"/>
    <w:rsid w:val="10B81C0F"/>
    <w:rsid w:val="10CB7841"/>
    <w:rsid w:val="10D17073"/>
    <w:rsid w:val="10E67546"/>
    <w:rsid w:val="10EE01D6"/>
    <w:rsid w:val="110C1984"/>
    <w:rsid w:val="11274EE5"/>
    <w:rsid w:val="113A6FD0"/>
    <w:rsid w:val="11501174"/>
    <w:rsid w:val="11614964"/>
    <w:rsid w:val="116752E1"/>
    <w:rsid w:val="118947D1"/>
    <w:rsid w:val="11915461"/>
    <w:rsid w:val="11A976A8"/>
    <w:rsid w:val="11C72224"/>
    <w:rsid w:val="11CE5105"/>
    <w:rsid w:val="11DE1CDD"/>
    <w:rsid w:val="121C2E46"/>
    <w:rsid w:val="12483364"/>
    <w:rsid w:val="12584811"/>
    <w:rsid w:val="125E4936"/>
    <w:rsid w:val="127A31E0"/>
    <w:rsid w:val="12EB6997"/>
    <w:rsid w:val="12F7414E"/>
    <w:rsid w:val="12FB03D7"/>
    <w:rsid w:val="130B33CC"/>
    <w:rsid w:val="13103353"/>
    <w:rsid w:val="13324B8D"/>
    <w:rsid w:val="134F44BD"/>
    <w:rsid w:val="135350C1"/>
    <w:rsid w:val="135E3453"/>
    <w:rsid w:val="13876815"/>
    <w:rsid w:val="13A74B4C"/>
    <w:rsid w:val="13B860EB"/>
    <w:rsid w:val="13CE4A0B"/>
    <w:rsid w:val="13DE7224"/>
    <w:rsid w:val="13E25670"/>
    <w:rsid w:val="140F6AF9"/>
    <w:rsid w:val="1430702E"/>
    <w:rsid w:val="145E6879"/>
    <w:rsid w:val="147A2925"/>
    <w:rsid w:val="14935A4E"/>
    <w:rsid w:val="14A50B30"/>
    <w:rsid w:val="14AE78FC"/>
    <w:rsid w:val="14C41AA0"/>
    <w:rsid w:val="14F831F4"/>
    <w:rsid w:val="150A4793"/>
    <w:rsid w:val="152F37AA"/>
    <w:rsid w:val="15305B2B"/>
    <w:rsid w:val="154148ED"/>
    <w:rsid w:val="155223BE"/>
    <w:rsid w:val="1559227C"/>
    <w:rsid w:val="15AF4F21"/>
    <w:rsid w:val="15B06226"/>
    <w:rsid w:val="15B44C2C"/>
    <w:rsid w:val="15C31468"/>
    <w:rsid w:val="15D05455"/>
    <w:rsid w:val="15F1340C"/>
    <w:rsid w:val="15F80BFE"/>
    <w:rsid w:val="15FD2AA2"/>
    <w:rsid w:val="160114A8"/>
    <w:rsid w:val="160B461A"/>
    <w:rsid w:val="1629525B"/>
    <w:rsid w:val="162B5273"/>
    <w:rsid w:val="162F4575"/>
    <w:rsid w:val="163946DF"/>
    <w:rsid w:val="16822CFB"/>
    <w:rsid w:val="16880487"/>
    <w:rsid w:val="16946498"/>
    <w:rsid w:val="16A513BB"/>
    <w:rsid w:val="16D0087B"/>
    <w:rsid w:val="16D23D7F"/>
    <w:rsid w:val="16E834C7"/>
    <w:rsid w:val="16EF3DAF"/>
    <w:rsid w:val="16F72C63"/>
    <w:rsid w:val="16FD0446"/>
    <w:rsid w:val="171F3B6A"/>
    <w:rsid w:val="1759391E"/>
    <w:rsid w:val="175D6F94"/>
    <w:rsid w:val="175E0F34"/>
    <w:rsid w:val="1782733C"/>
    <w:rsid w:val="17856554"/>
    <w:rsid w:val="17A13152"/>
    <w:rsid w:val="17BE7C25"/>
    <w:rsid w:val="17DD3DD8"/>
    <w:rsid w:val="18022764"/>
    <w:rsid w:val="1802755F"/>
    <w:rsid w:val="18052E77"/>
    <w:rsid w:val="181B0BD3"/>
    <w:rsid w:val="183E4110"/>
    <w:rsid w:val="18833745"/>
    <w:rsid w:val="188B43D5"/>
    <w:rsid w:val="189F77F2"/>
    <w:rsid w:val="18A74BFE"/>
    <w:rsid w:val="18BB53A4"/>
    <w:rsid w:val="18D36D47"/>
    <w:rsid w:val="18D55226"/>
    <w:rsid w:val="18DF1F83"/>
    <w:rsid w:val="18ED6A14"/>
    <w:rsid w:val="18F02060"/>
    <w:rsid w:val="18FC27B3"/>
    <w:rsid w:val="18FD340F"/>
    <w:rsid w:val="190F4D31"/>
    <w:rsid w:val="19173FB9"/>
    <w:rsid w:val="1932773E"/>
    <w:rsid w:val="193B777F"/>
    <w:rsid w:val="1955189F"/>
    <w:rsid w:val="19717B4A"/>
    <w:rsid w:val="19722F3E"/>
    <w:rsid w:val="197752D7"/>
    <w:rsid w:val="197E72DA"/>
    <w:rsid w:val="198B3467"/>
    <w:rsid w:val="19923902"/>
    <w:rsid w:val="19A54B21"/>
    <w:rsid w:val="19AA0FA9"/>
    <w:rsid w:val="19B00339"/>
    <w:rsid w:val="19C608D9"/>
    <w:rsid w:val="19CF1023"/>
    <w:rsid w:val="19F50124"/>
    <w:rsid w:val="19FC5530"/>
    <w:rsid w:val="1A1409D8"/>
    <w:rsid w:val="1A18186E"/>
    <w:rsid w:val="1A1A4AE0"/>
    <w:rsid w:val="1A306C84"/>
    <w:rsid w:val="1A387913"/>
    <w:rsid w:val="1A4F7538"/>
    <w:rsid w:val="1A5F77D3"/>
    <w:rsid w:val="1A6E148E"/>
    <w:rsid w:val="1A8B0292"/>
    <w:rsid w:val="1AAC1FB7"/>
    <w:rsid w:val="1B0537E4"/>
    <w:rsid w:val="1B240CFC"/>
    <w:rsid w:val="1B342696"/>
    <w:rsid w:val="1B4F4EDD"/>
    <w:rsid w:val="1B59326E"/>
    <w:rsid w:val="1B697C85"/>
    <w:rsid w:val="1B6B3188"/>
    <w:rsid w:val="1B710915"/>
    <w:rsid w:val="1B753A98"/>
    <w:rsid w:val="1B803B6F"/>
    <w:rsid w:val="1B8371BB"/>
    <w:rsid w:val="1B974A15"/>
    <w:rsid w:val="1BD56F23"/>
    <w:rsid w:val="1BE069CA"/>
    <w:rsid w:val="1BEF11E3"/>
    <w:rsid w:val="1C174926"/>
    <w:rsid w:val="1C27133D"/>
    <w:rsid w:val="1C322F51"/>
    <w:rsid w:val="1C3276CE"/>
    <w:rsid w:val="1C3560D4"/>
    <w:rsid w:val="1C3B45AA"/>
    <w:rsid w:val="1C823FD5"/>
    <w:rsid w:val="1C8242BD"/>
    <w:rsid w:val="1CA3450A"/>
    <w:rsid w:val="1CA5548E"/>
    <w:rsid w:val="1CA74072"/>
    <w:rsid w:val="1CAC4E19"/>
    <w:rsid w:val="1CB02068"/>
    <w:rsid w:val="1CCC4B92"/>
    <w:rsid w:val="1CFE5B1D"/>
    <w:rsid w:val="1D031B48"/>
    <w:rsid w:val="1D0B4E33"/>
    <w:rsid w:val="1D1075D0"/>
    <w:rsid w:val="1D3C18D5"/>
    <w:rsid w:val="1D3F091B"/>
    <w:rsid w:val="1D441B15"/>
    <w:rsid w:val="1D576491"/>
    <w:rsid w:val="1D715E5C"/>
    <w:rsid w:val="1DE06110"/>
    <w:rsid w:val="1DF05690"/>
    <w:rsid w:val="1E004446"/>
    <w:rsid w:val="1E1B2A71"/>
    <w:rsid w:val="1E392382"/>
    <w:rsid w:val="1E47236C"/>
    <w:rsid w:val="1E6C6310"/>
    <w:rsid w:val="1E76134C"/>
    <w:rsid w:val="1E990AA4"/>
    <w:rsid w:val="1E9B1B6C"/>
    <w:rsid w:val="1EA13FCF"/>
    <w:rsid w:val="1EA33C4F"/>
    <w:rsid w:val="1EB25197"/>
    <w:rsid w:val="1F1A7472"/>
    <w:rsid w:val="1F262C04"/>
    <w:rsid w:val="1F2E5690"/>
    <w:rsid w:val="1F31221E"/>
    <w:rsid w:val="1F5339F5"/>
    <w:rsid w:val="1F59377E"/>
    <w:rsid w:val="1F5F50E4"/>
    <w:rsid w:val="1F794B99"/>
    <w:rsid w:val="1F8232BD"/>
    <w:rsid w:val="1F865547"/>
    <w:rsid w:val="1FAC1F03"/>
    <w:rsid w:val="1FE110D8"/>
    <w:rsid w:val="1FE424EF"/>
    <w:rsid w:val="1FEA4231"/>
    <w:rsid w:val="1FEB3115"/>
    <w:rsid w:val="20142AD8"/>
    <w:rsid w:val="20185475"/>
    <w:rsid w:val="202D3756"/>
    <w:rsid w:val="20512691"/>
    <w:rsid w:val="20731CCC"/>
    <w:rsid w:val="209854B7"/>
    <w:rsid w:val="2099410A"/>
    <w:rsid w:val="20AE4CDA"/>
    <w:rsid w:val="20BB20C0"/>
    <w:rsid w:val="20BC7B42"/>
    <w:rsid w:val="20C5639C"/>
    <w:rsid w:val="20D14264"/>
    <w:rsid w:val="20DC5E78"/>
    <w:rsid w:val="20EB4E0E"/>
    <w:rsid w:val="20EB5A13"/>
    <w:rsid w:val="21295BFA"/>
    <w:rsid w:val="213977FF"/>
    <w:rsid w:val="213E2E90"/>
    <w:rsid w:val="21690F5F"/>
    <w:rsid w:val="21725FEC"/>
    <w:rsid w:val="217C1966"/>
    <w:rsid w:val="21AC2CCE"/>
    <w:rsid w:val="21B6105F"/>
    <w:rsid w:val="21C969FA"/>
    <w:rsid w:val="21E253A6"/>
    <w:rsid w:val="21E45026"/>
    <w:rsid w:val="21E5632B"/>
    <w:rsid w:val="21EC1E61"/>
    <w:rsid w:val="21F030D1"/>
    <w:rsid w:val="21F97134"/>
    <w:rsid w:val="21FF6ED4"/>
    <w:rsid w:val="220E74EF"/>
    <w:rsid w:val="222443D1"/>
    <w:rsid w:val="226E080D"/>
    <w:rsid w:val="227635D6"/>
    <w:rsid w:val="2284712E"/>
    <w:rsid w:val="229067C3"/>
    <w:rsid w:val="22993850"/>
    <w:rsid w:val="229E2B2D"/>
    <w:rsid w:val="22A10C5C"/>
    <w:rsid w:val="22AE547D"/>
    <w:rsid w:val="22B456FE"/>
    <w:rsid w:val="22B91B86"/>
    <w:rsid w:val="22C55A01"/>
    <w:rsid w:val="22DC21C0"/>
    <w:rsid w:val="22FD5263"/>
    <w:rsid w:val="2308452D"/>
    <w:rsid w:val="23092BD5"/>
    <w:rsid w:val="23225D32"/>
    <w:rsid w:val="23431AEA"/>
    <w:rsid w:val="23682C23"/>
    <w:rsid w:val="23726DB6"/>
    <w:rsid w:val="23953287"/>
    <w:rsid w:val="23A25387"/>
    <w:rsid w:val="23AC5C96"/>
    <w:rsid w:val="23AD3718"/>
    <w:rsid w:val="23AD7E95"/>
    <w:rsid w:val="23BF2431"/>
    <w:rsid w:val="240864B0"/>
    <w:rsid w:val="24102138"/>
    <w:rsid w:val="242C4FA9"/>
    <w:rsid w:val="24383C3C"/>
    <w:rsid w:val="243C1D02"/>
    <w:rsid w:val="245A12B2"/>
    <w:rsid w:val="24610C3D"/>
    <w:rsid w:val="246B6FCE"/>
    <w:rsid w:val="248003D7"/>
    <w:rsid w:val="24952391"/>
    <w:rsid w:val="24AB4534"/>
    <w:rsid w:val="24B74494"/>
    <w:rsid w:val="24BA4B4F"/>
    <w:rsid w:val="24C97368"/>
    <w:rsid w:val="24D01560"/>
    <w:rsid w:val="24DA5084"/>
    <w:rsid w:val="24EB0BA1"/>
    <w:rsid w:val="25251434"/>
    <w:rsid w:val="25275183"/>
    <w:rsid w:val="25300011"/>
    <w:rsid w:val="25370A70"/>
    <w:rsid w:val="253C76A7"/>
    <w:rsid w:val="254856B7"/>
    <w:rsid w:val="255A5461"/>
    <w:rsid w:val="256162F1"/>
    <w:rsid w:val="256776B8"/>
    <w:rsid w:val="25805811"/>
    <w:rsid w:val="25A4254E"/>
    <w:rsid w:val="25D52D1D"/>
    <w:rsid w:val="26013D28"/>
    <w:rsid w:val="2607472D"/>
    <w:rsid w:val="26257624"/>
    <w:rsid w:val="26290229"/>
    <w:rsid w:val="26683591"/>
    <w:rsid w:val="26AB74FD"/>
    <w:rsid w:val="26B11081"/>
    <w:rsid w:val="26D94762"/>
    <w:rsid w:val="26DC1351"/>
    <w:rsid w:val="2702378F"/>
    <w:rsid w:val="27052538"/>
    <w:rsid w:val="270F17A0"/>
    <w:rsid w:val="271B64E8"/>
    <w:rsid w:val="271B7152"/>
    <w:rsid w:val="274A0DD4"/>
    <w:rsid w:val="27520F90"/>
    <w:rsid w:val="27544493"/>
    <w:rsid w:val="277F4E19"/>
    <w:rsid w:val="2785737E"/>
    <w:rsid w:val="278A496D"/>
    <w:rsid w:val="27943258"/>
    <w:rsid w:val="27AC35F6"/>
    <w:rsid w:val="27B0758A"/>
    <w:rsid w:val="27C869D0"/>
    <w:rsid w:val="27CC1EEA"/>
    <w:rsid w:val="27E0001A"/>
    <w:rsid w:val="27EE00B2"/>
    <w:rsid w:val="27F5667A"/>
    <w:rsid w:val="280E3605"/>
    <w:rsid w:val="2814104E"/>
    <w:rsid w:val="281C69CE"/>
    <w:rsid w:val="285E01C8"/>
    <w:rsid w:val="28696559"/>
    <w:rsid w:val="288F248E"/>
    <w:rsid w:val="289B47AA"/>
    <w:rsid w:val="28AE59C9"/>
    <w:rsid w:val="28C2758B"/>
    <w:rsid w:val="28F57442"/>
    <w:rsid w:val="28F72945"/>
    <w:rsid w:val="29146F70"/>
    <w:rsid w:val="29181DA8"/>
    <w:rsid w:val="294F0C22"/>
    <w:rsid w:val="29550782"/>
    <w:rsid w:val="2967011C"/>
    <w:rsid w:val="298A7967"/>
    <w:rsid w:val="29997F50"/>
    <w:rsid w:val="29A0362E"/>
    <w:rsid w:val="29B4657B"/>
    <w:rsid w:val="29BD5F8E"/>
    <w:rsid w:val="29E37333"/>
    <w:rsid w:val="29EF765A"/>
    <w:rsid w:val="2A1F73DE"/>
    <w:rsid w:val="2A340855"/>
    <w:rsid w:val="2A475AEA"/>
    <w:rsid w:val="2A5A31E3"/>
    <w:rsid w:val="2A600C13"/>
    <w:rsid w:val="2A982071"/>
    <w:rsid w:val="2A9D4251"/>
    <w:rsid w:val="2A9D64F9"/>
    <w:rsid w:val="2A9F38E6"/>
    <w:rsid w:val="2AA50082"/>
    <w:rsid w:val="2AA9450A"/>
    <w:rsid w:val="2AAB2DC7"/>
    <w:rsid w:val="2AB37D82"/>
    <w:rsid w:val="2AE01395"/>
    <w:rsid w:val="2AE17EE7"/>
    <w:rsid w:val="2AE2376A"/>
    <w:rsid w:val="2AE5754B"/>
    <w:rsid w:val="2B3134E9"/>
    <w:rsid w:val="2B357971"/>
    <w:rsid w:val="2B3758CC"/>
    <w:rsid w:val="2B3F744B"/>
    <w:rsid w:val="2B642A3F"/>
    <w:rsid w:val="2B742CD9"/>
    <w:rsid w:val="2BB74A47"/>
    <w:rsid w:val="2BE77795"/>
    <w:rsid w:val="2BEA3703"/>
    <w:rsid w:val="2BF65BCF"/>
    <w:rsid w:val="2BFD736F"/>
    <w:rsid w:val="2C506D1D"/>
    <w:rsid w:val="2C6A1AAC"/>
    <w:rsid w:val="2C6B57F0"/>
    <w:rsid w:val="2C6E074E"/>
    <w:rsid w:val="2C921E2C"/>
    <w:rsid w:val="2CA43B3A"/>
    <w:rsid w:val="2CBF201D"/>
    <w:rsid w:val="2CE3551B"/>
    <w:rsid w:val="2CF352A8"/>
    <w:rsid w:val="2D0B1F79"/>
    <w:rsid w:val="2D1D7D25"/>
    <w:rsid w:val="2D2D6159"/>
    <w:rsid w:val="2D3816C0"/>
    <w:rsid w:val="2D637F86"/>
    <w:rsid w:val="2D697572"/>
    <w:rsid w:val="2D6C2E14"/>
    <w:rsid w:val="2D8A23C4"/>
    <w:rsid w:val="2D974F5D"/>
    <w:rsid w:val="2DA509EF"/>
    <w:rsid w:val="2DB81C0E"/>
    <w:rsid w:val="2DB94CBF"/>
    <w:rsid w:val="2DED4667"/>
    <w:rsid w:val="2E02460C"/>
    <w:rsid w:val="2E036815"/>
    <w:rsid w:val="2E0629C2"/>
    <w:rsid w:val="2E3D248B"/>
    <w:rsid w:val="2E4F2F2D"/>
    <w:rsid w:val="2E6049A6"/>
    <w:rsid w:val="2E994780"/>
    <w:rsid w:val="2EA46A38"/>
    <w:rsid w:val="2EC92D50"/>
    <w:rsid w:val="2EDA686E"/>
    <w:rsid w:val="2EE6487F"/>
    <w:rsid w:val="2EF23F15"/>
    <w:rsid w:val="2EFD22A6"/>
    <w:rsid w:val="2F1034C5"/>
    <w:rsid w:val="2F120BC6"/>
    <w:rsid w:val="2F46011B"/>
    <w:rsid w:val="2F54283A"/>
    <w:rsid w:val="2F5716BB"/>
    <w:rsid w:val="2F5F53F2"/>
    <w:rsid w:val="2F8D1F5F"/>
    <w:rsid w:val="2F971030"/>
    <w:rsid w:val="2FBB4C65"/>
    <w:rsid w:val="2FFB6945"/>
    <w:rsid w:val="30234286"/>
    <w:rsid w:val="3028070E"/>
    <w:rsid w:val="303B192D"/>
    <w:rsid w:val="304212B8"/>
    <w:rsid w:val="30640F12"/>
    <w:rsid w:val="3091013E"/>
    <w:rsid w:val="309148BA"/>
    <w:rsid w:val="30CF21A1"/>
    <w:rsid w:val="30EC3CCF"/>
    <w:rsid w:val="30EF096B"/>
    <w:rsid w:val="30F2145C"/>
    <w:rsid w:val="30F524B2"/>
    <w:rsid w:val="312915B6"/>
    <w:rsid w:val="31362CC3"/>
    <w:rsid w:val="314D7BF8"/>
    <w:rsid w:val="31561180"/>
    <w:rsid w:val="31A002FB"/>
    <w:rsid w:val="31A428EC"/>
    <w:rsid w:val="31A77C86"/>
    <w:rsid w:val="31BF532C"/>
    <w:rsid w:val="31D37F2E"/>
    <w:rsid w:val="31F521F9"/>
    <w:rsid w:val="32002EBC"/>
    <w:rsid w:val="32005D96"/>
    <w:rsid w:val="322A1CE7"/>
    <w:rsid w:val="32390A1C"/>
    <w:rsid w:val="325E19B3"/>
    <w:rsid w:val="325E612F"/>
    <w:rsid w:val="32674029"/>
    <w:rsid w:val="326F3E4B"/>
    <w:rsid w:val="327526A5"/>
    <w:rsid w:val="328A65D8"/>
    <w:rsid w:val="328B33A1"/>
    <w:rsid w:val="32A92D2C"/>
    <w:rsid w:val="32AA07AD"/>
    <w:rsid w:val="32BD2B5B"/>
    <w:rsid w:val="32C600DD"/>
    <w:rsid w:val="32C91062"/>
    <w:rsid w:val="32E5510F"/>
    <w:rsid w:val="32FC1801"/>
    <w:rsid w:val="32FF5CB9"/>
    <w:rsid w:val="33126ED8"/>
    <w:rsid w:val="331E076C"/>
    <w:rsid w:val="332A7E02"/>
    <w:rsid w:val="336D6FF1"/>
    <w:rsid w:val="337C76E9"/>
    <w:rsid w:val="33964F33"/>
    <w:rsid w:val="33A367C7"/>
    <w:rsid w:val="33B61BE4"/>
    <w:rsid w:val="33BF05E4"/>
    <w:rsid w:val="33FB0DE1"/>
    <w:rsid w:val="340D5E76"/>
    <w:rsid w:val="341D068F"/>
    <w:rsid w:val="341E6110"/>
    <w:rsid w:val="34473235"/>
    <w:rsid w:val="345D6EFA"/>
    <w:rsid w:val="34723B00"/>
    <w:rsid w:val="34881F3C"/>
    <w:rsid w:val="34902BCC"/>
    <w:rsid w:val="349C315B"/>
    <w:rsid w:val="34C71A6F"/>
    <w:rsid w:val="352B2EEF"/>
    <w:rsid w:val="352E7146"/>
    <w:rsid w:val="353436DA"/>
    <w:rsid w:val="3537465F"/>
    <w:rsid w:val="354A587E"/>
    <w:rsid w:val="35584B93"/>
    <w:rsid w:val="355D1673"/>
    <w:rsid w:val="35675000"/>
    <w:rsid w:val="35825586"/>
    <w:rsid w:val="35A47211"/>
    <w:rsid w:val="35BD6AB6"/>
    <w:rsid w:val="35C16A85"/>
    <w:rsid w:val="35DD6386"/>
    <w:rsid w:val="35E05D71"/>
    <w:rsid w:val="35FD3123"/>
    <w:rsid w:val="360A6FB9"/>
    <w:rsid w:val="361374C5"/>
    <w:rsid w:val="366053C6"/>
    <w:rsid w:val="366672CF"/>
    <w:rsid w:val="36714543"/>
    <w:rsid w:val="3673637F"/>
    <w:rsid w:val="36820DFD"/>
    <w:rsid w:val="368653F6"/>
    <w:rsid w:val="3696201C"/>
    <w:rsid w:val="36E561CA"/>
    <w:rsid w:val="373566A3"/>
    <w:rsid w:val="374878C2"/>
    <w:rsid w:val="375D490D"/>
    <w:rsid w:val="3772660A"/>
    <w:rsid w:val="37907CB6"/>
    <w:rsid w:val="3791016F"/>
    <w:rsid w:val="37910FBB"/>
    <w:rsid w:val="37BD2706"/>
    <w:rsid w:val="37C157A0"/>
    <w:rsid w:val="37E706C5"/>
    <w:rsid w:val="38157F0F"/>
    <w:rsid w:val="38196F8C"/>
    <w:rsid w:val="382F2686"/>
    <w:rsid w:val="38581CD3"/>
    <w:rsid w:val="38604B0B"/>
    <w:rsid w:val="38674496"/>
    <w:rsid w:val="3875702F"/>
    <w:rsid w:val="38866F49"/>
    <w:rsid w:val="38A5396D"/>
    <w:rsid w:val="38C05E29"/>
    <w:rsid w:val="38C95049"/>
    <w:rsid w:val="38E23715"/>
    <w:rsid w:val="39096AFA"/>
    <w:rsid w:val="391C2CC0"/>
    <w:rsid w:val="39224BC9"/>
    <w:rsid w:val="392F7192"/>
    <w:rsid w:val="394538AA"/>
    <w:rsid w:val="396F4CC8"/>
    <w:rsid w:val="39855933"/>
    <w:rsid w:val="398B750F"/>
    <w:rsid w:val="39900A80"/>
    <w:rsid w:val="39923F83"/>
    <w:rsid w:val="39926182"/>
    <w:rsid w:val="39AB70AC"/>
    <w:rsid w:val="39BE4A47"/>
    <w:rsid w:val="39C932AF"/>
    <w:rsid w:val="39D620EE"/>
    <w:rsid w:val="39DA2F98"/>
    <w:rsid w:val="39E06281"/>
    <w:rsid w:val="3A0D004A"/>
    <w:rsid w:val="3A1F37E7"/>
    <w:rsid w:val="3A235A71"/>
    <w:rsid w:val="3A427619"/>
    <w:rsid w:val="3A6E6DEA"/>
    <w:rsid w:val="3A824DB6"/>
    <w:rsid w:val="3A8E5120"/>
    <w:rsid w:val="3A9934B1"/>
    <w:rsid w:val="3AA70248"/>
    <w:rsid w:val="3AAA11CD"/>
    <w:rsid w:val="3AB6078B"/>
    <w:rsid w:val="3AE17129"/>
    <w:rsid w:val="3AEB54BA"/>
    <w:rsid w:val="3AEF063D"/>
    <w:rsid w:val="3B105364"/>
    <w:rsid w:val="3B3A1CDA"/>
    <w:rsid w:val="3B3B2CBA"/>
    <w:rsid w:val="3B701AC7"/>
    <w:rsid w:val="3B7905A1"/>
    <w:rsid w:val="3B7E29F9"/>
    <w:rsid w:val="3B82342F"/>
    <w:rsid w:val="3B9A0AD5"/>
    <w:rsid w:val="3BB52F69"/>
    <w:rsid w:val="3BB60406"/>
    <w:rsid w:val="3BB653A8"/>
    <w:rsid w:val="3BBC1BB7"/>
    <w:rsid w:val="3BE321CE"/>
    <w:rsid w:val="3BEC505C"/>
    <w:rsid w:val="3BFF5F92"/>
    <w:rsid w:val="3C0F6516"/>
    <w:rsid w:val="3C134F1C"/>
    <w:rsid w:val="3C1952EA"/>
    <w:rsid w:val="3C57218D"/>
    <w:rsid w:val="3CA408E8"/>
    <w:rsid w:val="3CB13B21"/>
    <w:rsid w:val="3CBD7933"/>
    <w:rsid w:val="3CD11E57"/>
    <w:rsid w:val="3CD334F8"/>
    <w:rsid w:val="3CE52298"/>
    <w:rsid w:val="3CEC4BFF"/>
    <w:rsid w:val="3CF4361D"/>
    <w:rsid w:val="3D1228C0"/>
    <w:rsid w:val="3D212EDB"/>
    <w:rsid w:val="3D2D1ADF"/>
    <w:rsid w:val="3D54160E"/>
    <w:rsid w:val="3D550DAB"/>
    <w:rsid w:val="3D5620B0"/>
    <w:rsid w:val="3D613ED0"/>
    <w:rsid w:val="3D806841"/>
    <w:rsid w:val="3DC966B3"/>
    <w:rsid w:val="3DF05AD0"/>
    <w:rsid w:val="3DF83E38"/>
    <w:rsid w:val="3DFC0389"/>
    <w:rsid w:val="3E1D0E70"/>
    <w:rsid w:val="3E3B3627"/>
    <w:rsid w:val="3E530005"/>
    <w:rsid w:val="3E605DE6"/>
    <w:rsid w:val="3E721583"/>
    <w:rsid w:val="3E955C5C"/>
    <w:rsid w:val="3E9B4013"/>
    <w:rsid w:val="3EBC7066"/>
    <w:rsid w:val="3EE250BA"/>
    <w:rsid w:val="3EE65CBF"/>
    <w:rsid w:val="3EF1768B"/>
    <w:rsid w:val="3F0110BB"/>
    <w:rsid w:val="3F341641"/>
    <w:rsid w:val="3F5A3A7F"/>
    <w:rsid w:val="3F64438F"/>
    <w:rsid w:val="3F6C708F"/>
    <w:rsid w:val="3F916157"/>
    <w:rsid w:val="3FCD6F0E"/>
    <w:rsid w:val="3FD55947"/>
    <w:rsid w:val="3FE01600"/>
    <w:rsid w:val="3FE15239"/>
    <w:rsid w:val="3FE24C5D"/>
    <w:rsid w:val="3FF12096"/>
    <w:rsid w:val="3FF27622"/>
    <w:rsid w:val="3FFE458D"/>
    <w:rsid w:val="401541B2"/>
    <w:rsid w:val="402F14D9"/>
    <w:rsid w:val="40374E6F"/>
    <w:rsid w:val="404A5FA7"/>
    <w:rsid w:val="404F780F"/>
    <w:rsid w:val="405145CB"/>
    <w:rsid w:val="40546CD1"/>
    <w:rsid w:val="405B10A3"/>
    <w:rsid w:val="405B6EA5"/>
    <w:rsid w:val="40A06315"/>
    <w:rsid w:val="40BE58C5"/>
    <w:rsid w:val="40CE13E2"/>
    <w:rsid w:val="41323600"/>
    <w:rsid w:val="414561D0"/>
    <w:rsid w:val="41640875"/>
    <w:rsid w:val="41872B03"/>
    <w:rsid w:val="41872D8F"/>
    <w:rsid w:val="41C13E9F"/>
    <w:rsid w:val="41D81894"/>
    <w:rsid w:val="41DD1898"/>
    <w:rsid w:val="41F45941"/>
    <w:rsid w:val="41F91DC9"/>
    <w:rsid w:val="41FC07CF"/>
    <w:rsid w:val="421D3391"/>
    <w:rsid w:val="4230600B"/>
    <w:rsid w:val="42311ECC"/>
    <w:rsid w:val="4249440B"/>
    <w:rsid w:val="42625F75"/>
    <w:rsid w:val="426E780A"/>
    <w:rsid w:val="42726210"/>
    <w:rsid w:val="42744F96"/>
    <w:rsid w:val="428A38B6"/>
    <w:rsid w:val="42941C47"/>
    <w:rsid w:val="42947A49"/>
    <w:rsid w:val="429C278D"/>
    <w:rsid w:val="42B70F03"/>
    <w:rsid w:val="42CE346F"/>
    <w:rsid w:val="42E73C50"/>
    <w:rsid w:val="42EA29D6"/>
    <w:rsid w:val="42F26851"/>
    <w:rsid w:val="43274A3A"/>
    <w:rsid w:val="43275583"/>
    <w:rsid w:val="432B3B11"/>
    <w:rsid w:val="43310182"/>
    <w:rsid w:val="434C3974"/>
    <w:rsid w:val="434D13F6"/>
    <w:rsid w:val="434D4C79"/>
    <w:rsid w:val="434E26FB"/>
    <w:rsid w:val="434F7125"/>
    <w:rsid w:val="43733481"/>
    <w:rsid w:val="43BD29AF"/>
    <w:rsid w:val="43C12820"/>
    <w:rsid w:val="43D55E57"/>
    <w:rsid w:val="44027C20"/>
    <w:rsid w:val="44066376"/>
    <w:rsid w:val="442B6866"/>
    <w:rsid w:val="44357175"/>
    <w:rsid w:val="444E3361"/>
    <w:rsid w:val="44722BFE"/>
    <w:rsid w:val="44865C7B"/>
    <w:rsid w:val="448A687F"/>
    <w:rsid w:val="448E07FB"/>
    <w:rsid w:val="44B042CE"/>
    <w:rsid w:val="44BA3256"/>
    <w:rsid w:val="44E36014"/>
    <w:rsid w:val="44E93C84"/>
    <w:rsid w:val="451467E3"/>
    <w:rsid w:val="453F568F"/>
    <w:rsid w:val="4554734F"/>
    <w:rsid w:val="45787E3F"/>
    <w:rsid w:val="4585361F"/>
    <w:rsid w:val="45A96EDA"/>
    <w:rsid w:val="45CC270F"/>
    <w:rsid w:val="45E8203F"/>
    <w:rsid w:val="45EA3344"/>
    <w:rsid w:val="45F509A8"/>
    <w:rsid w:val="45FC0CDF"/>
    <w:rsid w:val="463446BC"/>
    <w:rsid w:val="46540183"/>
    <w:rsid w:val="46610A04"/>
    <w:rsid w:val="46655126"/>
    <w:rsid w:val="4667038F"/>
    <w:rsid w:val="467B6B5D"/>
    <w:rsid w:val="467E5DB6"/>
    <w:rsid w:val="469F0A9E"/>
    <w:rsid w:val="46B16AEE"/>
    <w:rsid w:val="46B96E9F"/>
    <w:rsid w:val="46C40B3F"/>
    <w:rsid w:val="46D74E6D"/>
    <w:rsid w:val="46D9157A"/>
    <w:rsid w:val="46E86601"/>
    <w:rsid w:val="47193A36"/>
    <w:rsid w:val="471B6F39"/>
    <w:rsid w:val="472A5ECE"/>
    <w:rsid w:val="47446A78"/>
    <w:rsid w:val="474D22A8"/>
    <w:rsid w:val="47580F9C"/>
    <w:rsid w:val="476A6CB8"/>
    <w:rsid w:val="478D0946"/>
    <w:rsid w:val="47B265AF"/>
    <w:rsid w:val="47DC4A34"/>
    <w:rsid w:val="47E66258"/>
    <w:rsid w:val="480E2235"/>
    <w:rsid w:val="480F755D"/>
    <w:rsid w:val="4811150C"/>
    <w:rsid w:val="48264E6C"/>
    <w:rsid w:val="483B158F"/>
    <w:rsid w:val="48584940"/>
    <w:rsid w:val="48B06F92"/>
    <w:rsid w:val="48B57FD2"/>
    <w:rsid w:val="48BF75E9"/>
    <w:rsid w:val="48C308D3"/>
    <w:rsid w:val="48D82712"/>
    <w:rsid w:val="48F80521"/>
    <w:rsid w:val="491017DF"/>
    <w:rsid w:val="49260006"/>
    <w:rsid w:val="49264A0F"/>
    <w:rsid w:val="493A36B0"/>
    <w:rsid w:val="493C2BF3"/>
    <w:rsid w:val="494707C7"/>
    <w:rsid w:val="49483794"/>
    <w:rsid w:val="495E03EC"/>
    <w:rsid w:val="49697141"/>
    <w:rsid w:val="497E0921"/>
    <w:rsid w:val="498B0AA8"/>
    <w:rsid w:val="498C7C37"/>
    <w:rsid w:val="4A3B0ADD"/>
    <w:rsid w:val="4A4A12EF"/>
    <w:rsid w:val="4A542F03"/>
    <w:rsid w:val="4A6A5635"/>
    <w:rsid w:val="4A7224B3"/>
    <w:rsid w:val="4A722DBC"/>
    <w:rsid w:val="4A8449B6"/>
    <w:rsid w:val="4A934476"/>
    <w:rsid w:val="4AC431B7"/>
    <w:rsid w:val="4AC75B3B"/>
    <w:rsid w:val="4ACF1232"/>
    <w:rsid w:val="4AE11B0D"/>
    <w:rsid w:val="4B32706E"/>
    <w:rsid w:val="4B434D8A"/>
    <w:rsid w:val="4B746E6A"/>
    <w:rsid w:val="4B773D97"/>
    <w:rsid w:val="4B96350F"/>
    <w:rsid w:val="4B963A09"/>
    <w:rsid w:val="4BA44460"/>
    <w:rsid w:val="4BCE772F"/>
    <w:rsid w:val="4C190454"/>
    <w:rsid w:val="4C1922D7"/>
    <w:rsid w:val="4C1E4213"/>
    <w:rsid w:val="4C1F59F2"/>
    <w:rsid w:val="4C204934"/>
    <w:rsid w:val="4C31118F"/>
    <w:rsid w:val="4C4E2CBD"/>
    <w:rsid w:val="4C5A1917"/>
    <w:rsid w:val="4C626ABB"/>
    <w:rsid w:val="4C812213"/>
    <w:rsid w:val="4C9F13C1"/>
    <w:rsid w:val="4CB12D62"/>
    <w:rsid w:val="4CC01CF8"/>
    <w:rsid w:val="4CC22C7C"/>
    <w:rsid w:val="4CC82987"/>
    <w:rsid w:val="4CCE2DC3"/>
    <w:rsid w:val="4CEC7977"/>
    <w:rsid w:val="4CF40329"/>
    <w:rsid w:val="4D0258E3"/>
    <w:rsid w:val="4D0C2FE6"/>
    <w:rsid w:val="4D19148D"/>
    <w:rsid w:val="4D1C4610"/>
    <w:rsid w:val="4D252D21"/>
    <w:rsid w:val="4D42484F"/>
    <w:rsid w:val="4D773A25"/>
    <w:rsid w:val="4D836E49"/>
    <w:rsid w:val="4D9C1893"/>
    <w:rsid w:val="4DA25B6E"/>
    <w:rsid w:val="4DB07082"/>
    <w:rsid w:val="4DD90246"/>
    <w:rsid w:val="4DF26BF1"/>
    <w:rsid w:val="4E1835AE"/>
    <w:rsid w:val="4E19102F"/>
    <w:rsid w:val="4E545991"/>
    <w:rsid w:val="4E703C3C"/>
    <w:rsid w:val="4E797E26"/>
    <w:rsid w:val="4EA431B6"/>
    <w:rsid w:val="4EB04A26"/>
    <w:rsid w:val="4EC3779A"/>
    <w:rsid w:val="4EC436C7"/>
    <w:rsid w:val="4ED70169"/>
    <w:rsid w:val="4ED901C0"/>
    <w:rsid w:val="4EDE7AF4"/>
    <w:rsid w:val="4EE41DF2"/>
    <w:rsid w:val="4EFE2294"/>
    <w:rsid w:val="4F0444B0"/>
    <w:rsid w:val="4F0C0C9A"/>
    <w:rsid w:val="4F1D2E5C"/>
    <w:rsid w:val="4F1E452A"/>
    <w:rsid w:val="4F2F38E7"/>
    <w:rsid w:val="4F4C4F97"/>
    <w:rsid w:val="4F560A37"/>
    <w:rsid w:val="4F8C5937"/>
    <w:rsid w:val="4F9827A5"/>
    <w:rsid w:val="4F9E0E2B"/>
    <w:rsid w:val="4F9E46AF"/>
    <w:rsid w:val="4FDC445E"/>
    <w:rsid w:val="4FE70901"/>
    <w:rsid w:val="4FF053B2"/>
    <w:rsid w:val="4FF24139"/>
    <w:rsid w:val="4FF86042"/>
    <w:rsid w:val="4FF95CC2"/>
    <w:rsid w:val="500F5C67"/>
    <w:rsid w:val="5012466D"/>
    <w:rsid w:val="501442ED"/>
    <w:rsid w:val="503C7A30"/>
    <w:rsid w:val="504812C4"/>
    <w:rsid w:val="506C277D"/>
    <w:rsid w:val="5078079B"/>
    <w:rsid w:val="507D3D1D"/>
    <w:rsid w:val="50816EA0"/>
    <w:rsid w:val="50854860"/>
    <w:rsid w:val="509B32CD"/>
    <w:rsid w:val="50B25872"/>
    <w:rsid w:val="50B618F8"/>
    <w:rsid w:val="50C05A8B"/>
    <w:rsid w:val="50C959ED"/>
    <w:rsid w:val="50E27F05"/>
    <w:rsid w:val="50E449C6"/>
    <w:rsid w:val="50FD6AED"/>
    <w:rsid w:val="5108417B"/>
    <w:rsid w:val="51160A18"/>
    <w:rsid w:val="511C4B20"/>
    <w:rsid w:val="512963B4"/>
    <w:rsid w:val="512A76B9"/>
    <w:rsid w:val="51326CC3"/>
    <w:rsid w:val="513E6359"/>
    <w:rsid w:val="515F5A90"/>
    <w:rsid w:val="51630526"/>
    <w:rsid w:val="516C5BA3"/>
    <w:rsid w:val="516F237F"/>
    <w:rsid w:val="517045AA"/>
    <w:rsid w:val="517664B3"/>
    <w:rsid w:val="517E7143"/>
    <w:rsid w:val="51850CCC"/>
    <w:rsid w:val="51CE23C5"/>
    <w:rsid w:val="51D07D5D"/>
    <w:rsid w:val="51DE4BDE"/>
    <w:rsid w:val="51E647F0"/>
    <w:rsid w:val="51E909F0"/>
    <w:rsid w:val="52190FE2"/>
    <w:rsid w:val="52466B8B"/>
    <w:rsid w:val="524C3D9F"/>
    <w:rsid w:val="524D2C93"/>
    <w:rsid w:val="524D4C50"/>
    <w:rsid w:val="525C54AC"/>
    <w:rsid w:val="52722ED3"/>
    <w:rsid w:val="52765273"/>
    <w:rsid w:val="52AB07CA"/>
    <w:rsid w:val="52BA32C7"/>
    <w:rsid w:val="52D576F4"/>
    <w:rsid w:val="52FE6B4C"/>
    <w:rsid w:val="52FE7B5C"/>
    <w:rsid w:val="530C28D8"/>
    <w:rsid w:val="530C534A"/>
    <w:rsid w:val="531F2FEB"/>
    <w:rsid w:val="533B291C"/>
    <w:rsid w:val="53481B98"/>
    <w:rsid w:val="536F1AF1"/>
    <w:rsid w:val="53864A32"/>
    <w:rsid w:val="538D1507"/>
    <w:rsid w:val="539D474F"/>
    <w:rsid w:val="53E917BB"/>
    <w:rsid w:val="53F66B23"/>
    <w:rsid w:val="540F0375"/>
    <w:rsid w:val="543108C8"/>
    <w:rsid w:val="543842E0"/>
    <w:rsid w:val="545220E4"/>
    <w:rsid w:val="54540E6A"/>
    <w:rsid w:val="54570EE0"/>
    <w:rsid w:val="54886F27"/>
    <w:rsid w:val="54B57798"/>
    <w:rsid w:val="54C855A5"/>
    <w:rsid w:val="54DB67C4"/>
    <w:rsid w:val="54E603D9"/>
    <w:rsid w:val="55000F83"/>
    <w:rsid w:val="550C3CB1"/>
    <w:rsid w:val="55120345"/>
    <w:rsid w:val="551A792E"/>
    <w:rsid w:val="552104C7"/>
    <w:rsid w:val="55390642"/>
    <w:rsid w:val="553A77E5"/>
    <w:rsid w:val="55413F6A"/>
    <w:rsid w:val="55517A88"/>
    <w:rsid w:val="558477DD"/>
    <w:rsid w:val="55902BF9"/>
    <w:rsid w:val="559612BE"/>
    <w:rsid w:val="559F5609"/>
    <w:rsid w:val="55B55BE8"/>
    <w:rsid w:val="55CE28D5"/>
    <w:rsid w:val="55E23AF4"/>
    <w:rsid w:val="55E31FCB"/>
    <w:rsid w:val="55EC6455"/>
    <w:rsid w:val="56062A2F"/>
    <w:rsid w:val="562A2FA0"/>
    <w:rsid w:val="56501BA9"/>
    <w:rsid w:val="566045E6"/>
    <w:rsid w:val="567120DE"/>
    <w:rsid w:val="567D5EF0"/>
    <w:rsid w:val="56AB0FBE"/>
    <w:rsid w:val="56B77B9A"/>
    <w:rsid w:val="56CA1873"/>
    <w:rsid w:val="56D20E7E"/>
    <w:rsid w:val="57004346"/>
    <w:rsid w:val="571A38C4"/>
    <w:rsid w:val="571A57FF"/>
    <w:rsid w:val="572949E5"/>
    <w:rsid w:val="576047D5"/>
    <w:rsid w:val="57622CEB"/>
    <w:rsid w:val="576E23B2"/>
    <w:rsid w:val="57722F85"/>
    <w:rsid w:val="577E6D98"/>
    <w:rsid w:val="57833220"/>
    <w:rsid w:val="57871C26"/>
    <w:rsid w:val="57990C47"/>
    <w:rsid w:val="57996E43"/>
    <w:rsid w:val="57A62B2B"/>
    <w:rsid w:val="57C65F30"/>
    <w:rsid w:val="57F325DA"/>
    <w:rsid w:val="57FC2B10"/>
    <w:rsid w:val="57FC5363"/>
    <w:rsid w:val="58055D78"/>
    <w:rsid w:val="58175C92"/>
    <w:rsid w:val="582B3909"/>
    <w:rsid w:val="58657096"/>
    <w:rsid w:val="587E21BE"/>
    <w:rsid w:val="58835464"/>
    <w:rsid w:val="58851B49"/>
    <w:rsid w:val="589A6C2B"/>
    <w:rsid w:val="58A6596B"/>
    <w:rsid w:val="58B24ED6"/>
    <w:rsid w:val="58BB67A0"/>
    <w:rsid w:val="58C02C27"/>
    <w:rsid w:val="58CD5B48"/>
    <w:rsid w:val="58FC5041"/>
    <w:rsid w:val="591304B3"/>
    <w:rsid w:val="59281352"/>
    <w:rsid w:val="592B61C1"/>
    <w:rsid w:val="59301FE2"/>
    <w:rsid w:val="594B280B"/>
    <w:rsid w:val="59525A19"/>
    <w:rsid w:val="59564420"/>
    <w:rsid w:val="59632FFE"/>
    <w:rsid w:val="599D4019"/>
    <w:rsid w:val="59B30962"/>
    <w:rsid w:val="59C77C98"/>
    <w:rsid w:val="59DE0E81"/>
    <w:rsid w:val="5A03251D"/>
    <w:rsid w:val="5A5E0BC1"/>
    <w:rsid w:val="5A6279C1"/>
    <w:rsid w:val="5A647BDD"/>
    <w:rsid w:val="5A7C4951"/>
    <w:rsid w:val="5A7E1904"/>
    <w:rsid w:val="5A7F2D94"/>
    <w:rsid w:val="5A874791"/>
    <w:rsid w:val="5AAF3758"/>
    <w:rsid w:val="5ACD7484"/>
    <w:rsid w:val="5ADE798F"/>
    <w:rsid w:val="5AE7002E"/>
    <w:rsid w:val="5BC94934"/>
    <w:rsid w:val="5BEA43D9"/>
    <w:rsid w:val="5BF32AEA"/>
    <w:rsid w:val="5BFB5978"/>
    <w:rsid w:val="5C0A1B37"/>
    <w:rsid w:val="5C2313D1"/>
    <w:rsid w:val="5C2344D8"/>
    <w:rsid w:val="5C5F565F"/>
    <w:rsid w:val="5C617A1B"/>
    <w:rsid w:val="5C6A7BC1"/>
    <w:rsid w:val="5C732359"/>
    <w:rsid w:val="5C7E485A"/>
    <w:rsid w:val="5C8561D7"/>
    <w:rsid w:val="5C915E6B"/>
    <w:rsid w:val="5CB149B1"/>
    <w:rsid w:val="5CB14C2F"/>
    <w:rsid w:val="5CC62AC2"/>
    <w:rsid w:val="5CDB71E4"/>
    <w:rsid w:val="5CF00EE7"/>
    <w:rsid w:val="5D120EA2"/>
    <w:rsid w:val="5D3665F9"/>
    <w:rsid w:val="5D3F1487"/>
    <w:rsid w:val="5D4F1722"/>
    <w:rsid w:val="5D5339AB"/>
    <w:rsid w:val="5D7C12EC"/>
    <w:rsid w:val="5D826A79"/>
    <w:rsid w:val="5D84417A"/>
    <w:rsid w:val="5DA311AC"/>
    <w:rsid w:val="5DAB1E3B"/>
    <w:rsid w:val="5DAB65B8"/>
    <w:rsid w:val="5DBD6E2E"/>
    <w:rsid w:val="5DD3777C"/>
    <w:rsid w:val="5DD923CF"/>
    <w:rsid w:val="5E007347"/>
    <w:rsid w:val="5E015742"/>
    <w:rsid w:val="5E48511F"/>
    <w:rsid w:val="5E497F75"/>
    <w:rsid w:val="5E823228"/>
    <w:rsid w:val="5E993BCD"/>
    <w:rsid w:val="5EB016E9"/>
    <w:rsid w:val="5EBB7A7A"/>
    <w:rsid w:val="5EBC76FA"/>
    <w:rsid w:val="5EC609A8"/>
    <w:rsid w:val="5ED276B4"/>
    <w:rsid w:val="5EE52114"/>
    <w:rsid w:val="5EF81ADD"/>
    <w:rsid w:val="5EFA4FE0"/>
    <w:rsid w:val="5F0223ED"/>
    <w:rsid w:val="5F0B0AFE"/>
    <w:rsid w:val="5F292A9E"/>
    <w:rsid w:val="5F5A4218"/>
    <w:rsid w:val="5F6D1A9C"/>
    <w:rsid w:val="5F7239A5"/>
    <w:rsid w:val="5F79590E"/>
    <w:rsid w:val="5F8D4FB7"/>
    <w:rsid w:val="5F9C5723"/>
    <w:rsid w:val="5FD903D8"/>
    <w:rsid w:val="5FE22D60"/>
    <w:rsid w:val="604D575A"/>
    <w:rsid w:val="60AD7EAA"/>
    <w:rsid w:val="60AF5A9D"/>
    <w:rsid w:val="60B3076C"/>
    <w:rsid w:val="60BB42CE"/>
    <w:rsid w:val="60CC4EDB"/>
    <w:rsid w:val="60D1526D"/>
    <w:rsid w:val="60D422E8"/>
    <w:rsid w:val="61107F4E"/>
    <w:rsid w:val="611778D9"/>
    <w:rsid w:val="614D49C5"/>
    <w:rsid w:val="61543FF9"/>
    <w:rsid w:val="61656152"/>
    <w:rsid w:val="61770BF8"/>
    <w:rsid w:val="61907BF0"/>
    <w:rsid w:val="619D5782"/>
    <w:rsid w:val="619D77B2"/>
    <w:rsid w:val="61AB234B"/>
    <w:rsid w:val="61B606DC"/>
    <w:rsid w:val="61D03DA9"/>
    <w:rsid w:val="61D1258B"/>
    <w:rsid w:val="61DA0784"/>
    <w:rsid w:val="61E01520"/>
    <w:rsid w:val="61ED6638"/>
    <w:rsid w:val="61F12AC0"/>
    <w:rsid w:val="62007857"/>
    <w:rsid w:val="62142C74"/>
    <w:rsid w:val="621625BE"/>
    <w:rsid w:val="62221901"/>
    <w:rsid w:val="62487C4B"/>
    <w:rsid w:val="62542147"/>
    <w:rsid w:val="62703611"/>
    <w:rsid w:val="6279041A"/>
    <w:rsid w:val="627A5E9C"/>
    <w:rsid w:val="629152E7"/>
    <w:rsid w:val="62960B4F"/>
    <w:rsid w:val="62AA7CF0"/>
    <w:rsid w:val="62D853C1"/>
    <w:rsid w:val="62E62FCC"/>
    <w:rsid w:val="63246334"/>
    <w:rsid w:val="635A680F"/>
    <w:rsid w:val="63755831"/>
    <w:rsid w:val="63806A4E"/>
    <w:rsid w:val="639D4CF9"/>
    <w:rsid w:val="63DF02D4"/>
    <w:rsid w:val="63E46773"/>
    <w:rsid w:val="640843A9"/>
    <w:rsid w:val="642D3F0B"/>
    <w:rsid w:val="642F7AEC"/>
    <w:rsid w:val="643C1380"/>
    <w:rsid w:val="646E75D0"/>
    <w:rsid w:val="64952D13"/>
    <w:rsid w:val="64AE5E3B"/>
    <w:rsid w:val="64BA54D1"/>
    <w:rsid w:val="64C45DE1"/>
    <w:rsid w:val="64CD66F0"/>
    <w:rsid w:val="64D811FE"/>
    <w:rsid w:val="64F94FB6"/>
    <w:rsid w:val="654F0B24"/>
    <w:rsid w:val="656A1DF2"/>
    <w:rsid w:val="656C52F5"/>
    <w:rsid w:val="65950765"/>
    <w:rsid w:val="659C2241"/>
    <w:rsid w:val="65B31E66"/>
    <w:rsid w:val="65B56D12"/>
    <w:rsid w:val="65C24246"/>
    <w:rsid w:val="65D76BA2"/>
    <w:rsid w:val="65E8076A"/>
    <w:rsid w:val="65FB005C"/>
    <w:rsid w:val="65FB63B1"/>
    <w:rsid w:val="664571D6"/>
    <w:rsid w:val="665242EE"/>
    <w:rsid w:val="66533F6E"/>
    <w:rsid w:val="665B6338"/>
    <w:rsid w:val="66696111"/>
    <w:rsid w:val="667D7330"/>
    <w:rsid w:val="667F2833"/>
    <w:rsid w:val="6687372F"/>
    <w:rsid w:val="66B40B0F"/>
    <w:rsid w:val="66B52A70"/>
    <w:rsid w:val="66BA1819"/>
    <w:rsid w:val="66D07A5D"/>
    <w:rsid w:val="66D87F7E"/>
    <w:rsid w:val="66DE4873"/>
    <w:rsid w:val="66ED66EB"/>
    <w:rsid w:val="67261D48"/>
    <w:rsid w:val="673100D9"/>
    <w:rsid w:val="67373758"/>
    <w:rsid w:val="674572F5"/>
    <w:rsid w:val="67547394"/>
    <w:rsid w:val="676B283C"/>
    <w:rsid w:val="67A04E78"/>
    <w:rsid w:val="67A21691"/>
    <w:rsid w:val="67A55E99"/>
    <w:rsid w:val="67D516F5"/>
    <w:rsid w:val="67D80844"/>
    <w:rsid w:val="67EB6F82"/>
    <w:rsid w:val="68077114"/>
    <w:rsid w:val="681F3F15"/>
    <w:rsid w:val="684F16FD"/>
    <w:rsid w:val="685B0BE7"/>
    <w:rsid w:val="685E5C6B"/>
    <w:rsid w:val="68636470"/>
    <w:rsid w:val="68AF3DCD"/>
    <w:rsid w:val="68BA7FE1"/>
    <w:rsid w:val="68FD3ECC"/>
    <w:rsid w:val="690833DF"/>
    <w:rsid w:val="69110044"/>
    <w:rsid w:val="6924760F"/>
    <w:rsid w:val="692D6C1A"/>
    <w:rsid w:val="69394E1A"/>
    <w:rsid w:val="693C1432"/>
    <w:rsid w:val="69587D8B"/>
    <w:rsid w:val="696B7D83"/>
    <w:rsid w:val="69725190"/>
    <w:rsid w:val="69726A30"/>
    <w:rsid w:val="69891532"/>
    <w:rsid w:val="69B610FC"/>
    <w:rsid w:val="6A12254A"/>
    <w:rsid w:val="6A1A14DF"/>
    <w:rsid w:val="6A2664C8"/>
    <w:rsid w:val="6A333F49"/>
    <w:rsid w:val="6A567BD5"/>
    <w:rsid w:val="6A586707"/>
    <w:rsid w:val="6AA33303"/>
    <w:rsid w:val="6ABA2F28"/>
    <w:rsid w:val="6AEA1A38"/>
    <w:rsid w:val="6AEC1C54"/>
    <w:rsid w:val="6AF86AEC"/>
    <w:rsid w:val="6B205734"/>
    <w:rsid w:val="6B601138"/>
    <w:rsid w:val="6B8270EE"/>
    <w:rsid w:val="6B835E7D"/>
    <w:rsid w:val="6B8538F6"/>
    <w:rsid w:val="6B856669"/>
    <w:rsid w:val="6B877C81"/>
    <w:rsid w:val="6B8B57FF"/>
    <w:rsid w:val="6BA0061E"/>
    <w:rsid w:val="6BDC4305"/>
    <w:rsid w:val="6BDF7488"/>
    <w:rsid w:val="6BF419AB"/>
    <w:rsid w:val="6BF670AD"/>
    <w:rsid w:val="6C050FB1"/>
    <w:rsid w:val="6C133D38"/>
    <w:rsid w:val="6C1F5711"/>
    <w:rsid w:val="6C302F5A"/>
    <w:rsid w:val="6C303E6B"/>
    <w:rsid w:val="6C371207"/>
    <w:rsid w:val="6C3F5DB4"/>
    <w:rsid w:val="6C472EBA"/>
    <w:rsid w:val="6C88441D"/>
    <w:rsid w:val="6CA82754"/>
    <w:rsid w:val="6D0E20F8"/>
    <w:rsid w:val="6D170809"/>
    <w:rsid w:val="6D3C4D14"/>
    <w:rsid w:val="6D4B1F5D"/>
    <w:rsid w:val="6D536C48"/>
    <w:rsid w:val="6D7917A7"/>
    <w:rsid w:val="6D8952C5"/>
    <w:rsid w:val="6DBE449A"/>
    <w:rsid w:val="6DFB21AE"/>
    <w:rsid w:val="6E016208"/>
    <w:rsid w:val="6E1F083E"/>
    <w:rsid w:val="6E34430C"/>
    <w:rsid w:val="6E3B5AC3"/>
    <w:rsid w:val="6E675BAD"/>
    <w:rsid w:val="6EDC1FE0"/>
    <w:rsid w:val="6EFB592F"/>
    <w:rsid w:val="6F000329"/>
    <w:rsid w:val="6F131548"/>
    <w:rsid w:val="6F1D1E58"/>
    <w:rsid w:val="6F3B6D06"/>
    <w:rsid w:val="6F4319DE"/>
    <w:rsid w:val="6F437969"/>
    <w:rsid w:val="6F5F0D3C"/>
    <w:rsid w:val="6F6822D7"/>
    <w:rsid w:val="6F792572"/>
    <w:rsid w:val="6FAA79E8"/>
    <w:rsid w:val="6FC87D72"/>
    <w:rsid w:val="6FC935F6"/>
    <w:rsid w:val="6FCE54FF"/>
    <w:rsid w:val="6FE0321B"/>
    <w:rsid w:val="6FEA3942"/>
    <w:rsid w:val="6FF82AC0"/>
    <w:rsid w:val="70077857"/>
    <w:rsid w:val="70095F02"/>
    <w:rsid w:val="7075605A"/>
    <w:rsid w:val="707B1384"/>
    <w:rsid w:val="70B0226E"/>
    <w:rsid w:val="70B2624B"/>
    <w:rsid w:val="70C62A65"/>
    <w:rsid w:val="70E67D8E"/>
    <w:rsid w:val="71016B75"/>
    <w:rsid w:val="71072C7D"/>
    <w:rsid w:val="710E2608"/>
    <w:rsid w:val="713524C7"/>
    <w:rsid w:val="71386CCF"/>
    <w:rsid w:val="71411B5D"/>
    <w:rsid w:val="715C343B"/>
    <w:rsid w:val="71703D80"/>
    <w:rsid w:val="7176761D"/>
    <w:rsid w:val="717C1858"/>
    <w:rsid w:val="718A5018"/>
    <w:rsid w:val="718B5455"/>
    <w:rsid w:val="7198476A"/>
    <w:rsid w:val="719A5A6F"/>
    <w:rsid w:val="719C3171"/>
    <w:rsid w:val="71B7463E"/>
    <w:rsid w:val="72031C1B"/>
    <w:rsid w:val="721C4D44"/>
    <w:rsid w:val="722A0C5E"/>
    <w:rsid w:val="7237336F"/>
    <w:rsid w:val="72671940"/>
    <w:rsid w:val="728743F3"/>
    <w:rsid w:val="72A5093A"/>
    <w:rsid w:val="72AC3695"/>
    <w:rsid w:val="72D16F0C"/>
    <w:rsid w:val="72E7380A"/>
    <w:rsid w:val="72ED6E1D"/>
    <w:rsid w:val="72FD3671"/>
    <w:rsid w:val="730168D6"/>
    <w:rsid w:val="73214147"/>
    <w:rsid w:val="732C4B81"/>
    <w:rsid w:val="734967EC"/>
    <w:rsid w:val="735238B8"/>
    <w:rsid w:val="73866514"/>
    <w:rsid w:val="7387590E"/>
    <w:rsid w:val="738B5D82"/>
    <w:rsid w:val="73974BA2"/>
    <w:rsid w:val="73A81F4C"/>
    <w:rsid w:val="73C019B4"/>
    <w:rsid w:val="73C86084"/>
    <w:rsid w:val="73E73BB3"/>
    <w:rsid w:val="73F92CEC"/>
    <w:rsid w:val="740C41EF"/>
    <w:rsid w:val="740D1C70"/>
    <w:rsid w:val="740D76F2"/>
    <w:rsid w:val="743957DE"/>
    <w:rsid w:val="74822F34"/>
    <w:rsid w:val="749173C8"/>
    <w:rsid w:val="749C18DF"/>
    <w:rsid w:val="74B80DF9"/>
    <w:rsid w:val="74BF7515"/>
    <w:rsid w:val="74C8762A"/>
    <w:rsid w:val="74CC6652"/>
    <w:rsid w:val="74D516B9"/>
    <w:rsid w:val="74E8615B"/>
    <w:rsid w:val="74EA0887"/>
    <w:rsid w:val="74F27AE5"/>
    <w:rsid w:val="75003802"/>
    <w:rsid w:val="752C68BC"/>
    <w:rsid w:val="753C2362"/>
    <w:rsid w:val="754E0E15"/>
    <w:rsid w:val="75581C94"/>
    <w:rsid w:val="756844AB"/>
    <w:rsid w:val="756C4D79"/>
    <w:rsid w:val="75707935"/>
    <w:rsid w:val="75895CE5"/>
    <w:rsid w:val="75A426F4"/>
    <w:rsid w:val="75C96ACE"/>
    <w:rsid w:val="75D15764"/>
    <w:rsid w:val="75D77FE2"/>
    <w:rsid w:val="75DE31F0"/>
    <w:rsid w:val="75EB6C83"/>
    <w:rsid w:val="76203C5A"/>
    <w:rsid w:val="76394550"/>
    <w:rsid w:val="76400E20"/>
    <w:rsid w:val="764F753B"/>
    <w:rsid w:val="76637BC6"/>
    <w:rsid w:val="767D3FF3"/>
    <w:rsid w:val="76B344CD"/>
    <w:rsid w:val="76BB697E"/>
    <w:rsid w:val="76C46966"/>
    <w:rsid w:val="76C84BF7"/>
    <w:rsid w:val="76E6342A"/>
    <w:rsid w:val="76EA1012"/>
    <w:rsid w:val="76FC5BC6"/>
    <w:rsid w:val="76FF4B26"/>
    <w:rsid w:val="771801CC"/>
    <w:rsid w:val="771F15FE"/>
    <w:rsid w:val="77230004"/>
    <w:rsid w:val="774C33C7"/>
    <w:rsid w:val="775D6EE5"/>
    <w:rsid w:val="77850FA2"/>
    <w:rsid w:val="778F5135"/>
    <w:rsid w:val="77935205"/>
    <w:rsid w:val="779F1B4C"/>
    <w:rsid w:val="77AC46E5"/>
    <w:rsid w:val="77B27390"/>
    <w:rsid w:val="77DA1086"/>
    <w:rsid w:val="77F80350"/>
    <w:rsid w:val="78361F07"/>
    <w:rsid w:val="783A77CC"/>
    <w:rsid w:val="784C2F6A"/>
    <w:rsid w:val="787231A9"/>
    <w:rsid w:val="78795E14"/>
    <w:rsid w:val="788354A1"/>
    <w:rsid w:val="788A0850"/>
    <w:rsid w:val="789939B6"/>
    <w:rsid w:val="78C101A2"/>
    <w:rsid w:val="78C806DE"/>
    <w:rsid w:val="78DB3308"/>
    <w:rsid w:val="78E0065C"/>
    <w:rsid w:val="78E916F5"/>
    <w:rsid w:val="78FF6291"/>
    <w:rsid w:val="790A4622"/>
    <w:rsid w:val="793E15F9"/>
    <w:rsid w:val="794A5553"/>
    <w:rsid w:val="79676F3A"/>
    <w:rsid w:val="797030CC"/>
    <w:rsid w:val="79924194"/>
    <w:rsid w:val="799E4E95"/>
    <w:rsid w:val="79C31852"/>
    <w:rsid w:val="79CD2C51"/>
    <w:rsid w:val="7A011336"/>
    <w:rsid w:val="7A124E54"/>
    <w:rsid w:val="7A284DF9"/>
    <w:rsid w:val="7A2C76EB"/>
    <w:rsid w:val="7A30316D"/>
    <w:rsid w:val="7A417F22"/>
    <w:rsid w:val="7A430EA6"/>
    <w:rsid w:val="7A48123C"/>
    <w:rsid w:val="7A4D5B40"/>
    <w:rsid w:val="7A527E3C"/>
    <w:rsid w:val="7A6300D6"/>
    <w:rsid w:val="7A851910"/>
    <w:rsid w:val="7AB968E7"/>
    <w:rsid w:val="7ABB6566"/>
    <w:rsid w:val="7AF763CB"/>
    <w:rsid w:val="7B5909EE"/>
    <w:rsid w:val="7B646D7F"/>
    <w:rsid w:val="7B676A54"/>
    <w:rsid w:val="7B6B1DB3"/>
    <w:rsid w:val="7B8149EA"/>
    <w:rsid w:val="7BFF6BFE"/>
    <w:rsid w:val="7C287DC2"/>
    <w:rsid w:val="7C4D6CFD"/>
    <w:rsid w:val="7C544109"/>
    <w:rsid w:val="7C582B10"/>
    <w:rsid w:val="7C5E6C17"/>
    <w:rsid w:val="7C60211A"/>
    <w:rsid w:val="7C662EE9"/>
    <w:rsid w:val="7C7970C0"/>
    <w:rsid w:val="7C8F0C60"/>
    <w:rsid w:val="7CAF571D"/>
    <w:rsid w:val="7D077714"/>
    <w:rsid w:val="7D1D3B52"/>
    <w:rsid w:val="7D364FB1"/>
    <w:rsid w:val="7D707253"/>
    <w:rsid w:val="7D80622C"/>
    <w:rsid w:val="7D99311C"/>
    <w:rsid w:val="7DA44D30"/>
    <w:rsid w:val="7DAA3C87"/>
    <w:rsid w:val="7DF228B1"/>
    <w:rsid w:val="7DFC793D"/>
    <w:rsid w:val="7DFE2E40"/>
    <w:rsid w:val="7E01184C"/>
    <w:rsid w:val="7E11407B"/>
    <w:rsid w:val="7E244E09"/>
    <w:rsid w:val="7E301A00"/>
    <w:rsid w:val="7E3F4F2E"/>
    <w:rsid w:val="7E5B6A5D"/>
    <w:rsid w:val="7E5C0C5B"/>
    <w:rsid w:val="7E84439E"/>
    <w:rsid w:val="7E9136B4"/>
    <w:rsid w:val="7E93243A"/>
    <w:rsid w:val="7E970E40"/>
    <w:rsid w:val="7EA1645A"/>
    <w:rsid w:val="7EA82F2C"/>
    <w:rsid w:val="7EB652B5"/>
    <w:rsid w:val="7ED421CF"/>
    <w:rsid w:val="7EEF18BB"/>
    <w:rsid w:val="7EFE38AC"/>
    <w:rsid w:val="7F080287"/>
    <w:rsid w:val="7F0E1779"/>
    <w:rsid w:val="7F190115"/>
    <w:rsid w:val="7F194892"/>
    <w:rsid w:val="7F4853E1"/>
    <w:rsid w:val="7F525CF0"/>
    <w:rsid w:val="7F742637"/>
    <w:rsid w:val="7F975160"/>
    <w:rsid w:val="7FAB531A"/>
    <w:rsid w:val="7FB73496"/>
    <w:rsid w:val="7FC65CAF"/>
    <w:rsid w:val="7FD065BE"/>
    <w:rsid w:val="7FF8479F"/>
    <w:rsid w:val="7FFE5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2"/>
    <w:basedOn w:val="1"/>
    <w:next w:val="1"/>
    <w:autoRedefine/>
    <w:qFormat/>
    <w:uiPriority w:val="0"/>
    <w:pPr>
      <w:keepNext/>
      <w:keepLines/>
      <w:spacing w:before="260" w:after="260" w:line="416" w:lineRule="auto"/>
      <w:jc w:val="center"/>
      <w:outlineLvl w:val="1"/>
    </w:pPr>
    <w:rPr>
      <w:rFonts w:ascii="Arial" w:hAnsi="Arial" w:eastAsia="黑体"/>
      <w:b/>
      <w:bCs/>
      <w:sz w:val="5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footnote text"/>
    <w:basedOn w:val="1"/>
    <w:autoRedefine/>
    <w:qFormat/>
    <w:uiPriority w:val="0"/>
    <w:pPr>
      <w:snapToGrid w:val="0"/>
      <w:jc w:val="left"/>
    </w:pPr>
    <w:rPr>
      <w:sz w:val="18"/>
    </w:rPr>
  </w:style>
  <w:style w:type="paragraph" w:styleId="6">
    <w:name w:val="Normal Indent"/>
    <w:basedOn w:val="1"/>
    <w:next w:val="1"/>
    <w:autoRedefine/>
    <w:qFormat/>
    <w:uiPriority w:val="0"/>
    <w:pPr>
      <w:ind w:firstLine="420" w:firstLineChars="200"/>
    </w:pPr>
  </w:style>
  <w:style w:type="paragraph" w:styleId="7">
    <w:name w:val="index 5"/>
    <w:basedOn w:val="1"/>
    <w:next w:val="1"/>
    <w:autoRedefine/>
    <w:qFormat/>
    <w:uiPriority w:val="0"/>
    <w:pPr>
      <w:ind w:left="800" w:leftChars="800"/>
    </w:pPr>
  </w:style>
  <w:style w:type="paragraph" w:styleId="8">
    <w:name w:val="toa heading"/>
    <w:basedOn w:val="1"/>
    <w:next w:val="1"/>
    <w:qFormat/>
    <w:uiPriority w:val="99"/>
    <w:pPr>
      <w:spacing w:before="120"/>
    </w:pPr>
    <w:rPr>
      <w:rFonts w:ascii="Arial" w:hAnsi="Arial" w:eastAsia="仿宋"/>
      <w:sz w:val="24"/>
      <w:szCs w:val="20"/>
    </w:rPr>
  </w:style>
  <w:style w:type="paragraph" w:styleId="9">
    <w:name w:val="Body Text"/>
    <w:basedOn w:val="1"/>
    <w:next w:val="1"/>
    <w:autoRedefine/>
    <w:semiHidden/>
    <w:qFormat/>
    <w:uiPriority w:val="0"/>
    <w:pPr>
      <w:autoSpaceDE w:val="0"/>
      <w:autoSpaceDN w:val="0"/>
      <w:adjustRightInd w:val="0"/>
      <w:spacing w:before="40" w:beforeLines="0" w:after="40" w:afterLines="0" w:line="320" w:lineRule="atLeast"/>
      <w:ind w:firstLine="357"/>
      <w:textAlignment w:val="baseline"/>
    </w:pPr>
    <w:rPr>
      <w:sz w:val="18"/>
    </w:rPr>
  </w:style>
  <w:style w:type="paragraph" w:styleId="10">
    <w:name w:val="Body Text Indent"/>
    <w:basedOn w:val="1"/>
    <w:next w:val="5"/>
    <w:autoRedefine/>
    <w:qFormat/>
    <w:uiPriority w:val="0"/>
    <w:pPr>
      <w:spacing w:after="120"/>
      <w:ind w:left="420" w:leftChars="200"/>
    </w:pPr>
    <w:rPr>
      <w:rFonts w:ascii="Times New Roman" w:hAnsi="Times New Roman" w:eastAsia="Times New Roman"/>
      <w:kern w:val="0"/>
      <w:sz w:val="20"/>
      <w:szCs w:val="21"/>
    </w:rPr>
  </w:style>
  <w:style w:type="paragraph" w:styleId="11">
    <w:name w:val="Plain Text"/>
    <w:basedOn w:val="1"/>
    <w:next w:val="1"/>
    <w:autoRedefine/>
    <w:qFormat/>
    <w:uiPriority w:val="0"/>
    <w:rPr>
      <w:rFonts w:ascii="宋体" w:hAnsi="Courier New" w:eastAsia="宋体" w:cs="Times New Roman"/>
      <w:szCs w:val="22"/>
    </w:rPr>
  </w:style>
  <w:style w:type="paragraph" w:styleId="12">
    <w:name w:val="Body Text Indent 2"/>
    <w:basedOn w:val="1"/>
    <w:autoRedefine/>
    <w:qFormat/>
    <w:uiPriority w:val="0"/>
    <w:pPr>
      <w:widowControl/>
      <w:overflowPunct w:val="0"/>
      <w:autoSpaceDE w:val="0"/>
      <w:autoSpaceDN w:val="0"/>
      <w:adjustRightInd w:val="0"/>
      <w:spacing w:line="360" w:lineRule="auto"/>
      <w:ind w:firstLine="555"/>
      <w:textAlignment w:val="baseline"/>
    </w:pPr>
    <w:rPr>
      <w:rFonts w:ascii="宋体" w:hAnsi="MS Sans Serif"/>
      <w:spacing w:val="12"/>
      <w:sz w:val="24"/>
      <w:szCs w:val="20"/>
    </w:rPr>
  </w:style>
  <w:style w:type="paragraph" w:styleId="13">
    <w:name w:val="footer"/>
    <w:basedOn w:val="1"/>
    <w:next w:val="7"/>
    <w:autoRedefine/>
    <w:unhideWhenUsed/>
    <w:qFormat/>
    <w:uiPriority w:val="99"/>
    <w:pPr>
      <w:tabs>
        <w:tab w:val="center" w:pos="4153"/>
        <w:tab w:val="right" w:pos="8306"/>
      </w:tabs>
      <w:snapToGrid w:val="0"/>
      <w:jc w:val="left"/>
    </w:pPr>
    <w:rPr>
      <w:sz w:val="18"/>
      <w:szCs w:val="18"/>
    </w:rPr>
  </w:style>
  <w:style w:type="paragraph" w:styleId="14">
    <w:name w:val="header"/>
    <w:basedOn w:val="1"/>
    <w:next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Body Text 2"/>
    <w:basedOn w:val="1"/>
    <w:qFormat/>
    <w:uiPriority w:val="0"/>
    <w:rPr>
      <w:bCs/>
      <w:sz w:val="28"/>
      <w:szCs w:val="20"/>
    </w:rPr>
  </w:style>
  <w:style w:type="paragraph" w:styleId="16">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7">
    <w:name w:val="Body Text First Indent"/>
    <w:basedOn w:val="9"/>
    <w:autoRedefine/>
    <w:qFormat/>
    <w:uiPriority w:val="99"/>
    <w:pPr>
      <w:ind w:firstLine="420" w:firstLineChars="100"/>
    </w:pPr>
    <w:rPr>
      <w:rFonts w:eastAsia="仿宋_GB2312"/>
      <w:sz w:val="28"/>
      <w:szCs w:val="20"/>
    </w:rPr>
  </w:style>
  <w:style w:type="paragraph" w:styleId="18">
    <w:name w:val="Body Text First Indent 2"/>
    <w:basedOn w:val="10"/>
    <w:autoRedefine/>
    <w:qFormat/>
    <w:uiPriority w:val="0"/>
    <w:pPr>
      <w:ind w:firstLine="420" w:firstLineChars="200"/>
    </w:pPr>
    <w:rPr>
      <w:rFonts w:ascii="Times New Roman" w:hAnsi="Times New Roman" w:eastAsia="宋?"/>
      <w:szCs w:val="20"/>
    </w:rPr>
  </w:style>
  <w:style w:type="table" w:styleId="20">
    <w:name w:val="Table Grid"/>
    <w:basedOn w:val="1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basedOn w:val="21"/>
    <w:autoRedefine/>
    <w:qFormat/>
    <w:uiPriority w:val="0"/>
    <w:rPr>
      <w:color w:val="0000FF"/>
      <w:u w:val="single"/>
    </w:rPr>
  </w:style>
  <w:style w:type="paragraph" w:customStyle="1" w:styleId="23">
    <w:name w:val="NormalIndent"/>
    <w:basedOn w:val="1"/>
    <w:next w:val="1"/>
    <w:autoRedefine/>
    <w:qFormat/>
    <w:uiPriority w:val="0"/>
    <w:pPr>
      <w:ind w:firstLine="420" w:firstLineChars="200"/>
    </w:pPr>
    <w:rPr>
      <w:sz w:val="24"/>
      <w:szCs w:val="20"/>
    </w:rPr>
  </w:style>
  <w:style w:type="character" w:customStyle="1" w:styleId="24">
    <w:name w:val="样式 仿宋"/>
    <w:autoRedefine/>
    <w:qFormat/>
    <w:uiPriority w:val="0"/>
    <w:rPr>
      <w:rFonts w:ascii="仿宋" w:hAnsi="仿宋" w:eastAsia="仿宋"/>
      <w:kern w:val="1"/>
    </w:rPr>
  </w:style>
  <w:style w:type="table" w:customStyle="1" w:styleId="25">
    <w:name w:val="Table Normal"/>
    <w:autoRedefine/>
    <w:unhideWhenUsed/>
    <w:qFormat/>
    <w:uiPriority w:val="0"/>
    <w:tblPr>
      <w:tblCellMar>
        <w:top w:w="0" w:type="dxa"/>
        <w:left w:w="0" w:type="dxa"/>
        <w:bottom w:w="0" w:type="dxa"/>
        <w:right w:w="0" w:type="dxa"/>
      </w:tblCellMar>
    </w:tblPr>
  </w:style>
  <w:style w:type="paragraph" w:customStyle="1" w:styleId="26">
    <w:name w:val="样式 仿宋 行距: 1.5 倍行距"/>
    <w:basedOn w:val="1"/>
    <w:autoRedefine/>
    <w:qFormat/>
    <w:uiPriority w:val="0"/>
    <w:pPr>
      <w:spacing w:line="360" w:lineRule="auto"/>
    </w:pPr>
    <w:rPr>
      <w:rFonts w:ascii="仿宋" w:hAnsi="仿宋" w:eastAsia="仿宋" w:cs="宋体"/>
      <w:sz w:val="24"/>
      <w:szCs w:val="20"/>
    </w:rPr>
  </w:style>
  <w:style w:type="paragraph" w:customStyle="1" w:styleId="27">
    <w:name w:val="样式 宋体 四号 居中 行距: 1.5 倍行距"/>
    <w:basedOn w:val="1"/>
    <w:autoRedefine/>
    <w:qFormat/>
    <w:uiPriority w:val="0"/>
    <w:pPr>
      <w:spacing w:line="360" w:lineRule="auto"/>
      <w:jc w:val="center"/>
    </w:pPr>
    <w:rPr>
      <w:rFonts w:ascii="宋体" w:hAnsi="Cambria" w:cs="宋体"/>
      <w:sz w:val="28"/>
      <w:szCs w:val="20"/>
    </w:rPr>
  </w:style>
  <w:style w:type="paragraph" w:customStyle="1" w:styleId="28">
    <w:name w:val="UserStyle_0"/>
    <w:basedOn w:val="1"/>
    <w:autoRedefine/>
    <w:qFormat/>
    <w:uiPriority w:val="0"/>
    <w:pPr>
      <w:widowControl/>
      <w:spacing w:before="100" w:beforeAutospacing="1" w:after="100" w:afterAutospacing="1"/>
      <w:jc w:val="left"/>
      <w:textAlignment w:val="baseline"/>
    </w:pPr>
    <w:rPr>
      <w:rFonts w:ascii="宋体" w:hAnsi="Calibri" w:eastAsia="宋体"/>
      <w:kern w:val="0"/>
      <w:sz w:val="24"/>
      <w:szCs w:val="24"/>
      <w:lang w:val="en-US" w:eastAsia="zh-CN" w:bidi="ar-SA"/>
    </w:rPr>
  </w:style>
  <w:style w:type="character" w:customStyle="1" w:styleId="29">
    <w:name w:val="NormalCharacter"/>
    <w:autoRedefine/>
    <w:qFormat/>
    <w:uiPriority w:val="0"/>
    <w:rPr>
      <w:rFonts w:ascii="Times New Roman" w:hAnsi="Times New Roman" w:eastAsia="宋体" w:cs="Times New Roman"/>
      <w:kern w:val="2"/>
      <w:sz w:val="21"/>
      <w:szCs w:val="24"/>
      <w:lang w:val="en-US" w:eastAsia="zh-CN" w:bidi="ar-SA"/>
    </w:rPr>
  </w:style>
  <w:style w:type="paragraph" w:customStyle="1" w:styleId="30">
    <w:name w:val="Normal_10"/>
    <w:autoRedefine/>
    <w:qFormat/>
    <w:uiPriority w:val="0"/>
    <w:rPr>
      <w:rFonts w:ascii="黑体" w:hAnsi="黑体" w:eastAsia="黑体" w:cs="Times New Roman"/>
      <w:b/>
      <w:sz w:val="32"/>
      <w:szCs w:val="24"/>
      <w:lang w:val="en-US" w:eastAsia="zh-CN" w:bidi="ar-SA"/>
    </w:rPr>
  </w:style>
  <w:style w:type="paragraph" w:customStyle="1" w:styleId="31">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3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WPSOffice手动目录 1"/>
    <w:autoRedefine/>
    <w:qFormat/>
    <w:uiPriority w:val="0"/>
    <w:pPr>
      <w:ind w:leftChars="0"/>
    </w:pPr>
    <w:rPr>
      <w:rFonts w:ascii="Times New Roman" w:hAnsi="Times New Roman" w:eastAsia="宋体" w:cs="Times New Roman"/>
      <w:sz w:val="20"/>
      <w:szCs w:val="20"/>
    </w:rPr>
  </w:style>
  <w:style w:type="paragraph" w:customStyle="1" w:styleId="35">
    <w:name w:val="正文_0"/>
    <w:unhideWhenUsed/>
    <w:qFormat/>
    <w:uiPriority w:val="0"/>
    <w:pPr>
      <w:widowControl w:val="0"/>
      <w:jc w:val="both"/>
    </w:pPr>
    <w:rPr>
      <w:rFonts w:ascii="Calibri" w:hAnsi="Calibri" w:eastAsia="宋体" w:cs="Times New Roman"/>
      <w:kern w:val="2"/>
      <w:sz w:val="21"/>
      <w:szCs w:val="24"/>
      <w:lang w:eastAsia="en-US"/>
    </w:rPr>
  </w:style>
  <w:style w:type="paragraph" w:customStyle="1" w:styleId="36">
    <w:name w:val="表格文字2"/>
    <w:basedOn w:val="37"/>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7">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38">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character" w:customStyle="1" w:styleId="39">
    <w:name w:val="font31"/>
    <w:basedOn w:val="21"/>
    <w:qFormat/>
    <w:uiPriority w:val="0"/>
    <w:rPr>
      <w:rFonts w:hint="eastAsia" w:ascii="宋体" w:hAnsi="宋体" w:eastAsia="宋体" w:cs="宋体"/>
      <w:b/>
      <w:bCs/>
      <w:color w:val="000000"/>
      <w:sz w:val="20"/>
      <w:szCs w:val="20"/>
      <w:u w:val="none"/>
    </w:rPr>
  </w:style>
  <w:style w:type="character" w:customStyle="1" w:styleId="40">
    <w:name w:val="font51"/>
    <w:basedOn w:val="21"/>
    <w:qFormat/>
    <w:uiPriority w:val="0"/>
    <w:rPr>
      <w:rFonts w:hint="default" w:ascii="Times New Roman" w:hAnsi="Times New Roman" w:cs="Times New Roman"/>
      <w:b/>
      <w:bCs/>
      <w:color w:val="000000"/>
      <w:sz w:val="20"/>
      <w:szCs w:val="20"/>
      <w:u w:val="none"/>
    </w:rPr>
  </w:style>
  <w:style w:type="character" w:customStyle="1" w:styleId="41">
    <w:name w:val="font41"/>
    <w:basedOn w:val="21"/>
    <w:qFormat/>
    <w:uiPriority w:val="0"/>
    <w:rPr>
      <w:rFonts w:hint="eastAsia" w:ascii="宋体" w:hAnsi="宋体" w:eastAsia="宋体" w:cs="宋体"/>
      <w:b/>
      <w:bCs/>
      <w:color w:val="000000"/>
      <w:sz w:val="20"/>
      <w:szCs w:val="20"/>
      <w:u w:val="none"/>
    </w:rPr>
  </w:style>
  <w:style w:type="character" w:customStyle="1" w:styleId="42">
    <w:name w:val="font21"/>
    <w:basedOn w:val="21"/>
    <w:qFormat/>
    <w:uiPriority w:val="0"/>
    <w:rPr>
      <w:rFonts w:hint="default" w:ascii="Times New Roman" w:hAnsi="Times New Roman" w:cs="Times New Roman"/>
      <w:b/>
      <w:bCs/>
      <w:color w:val="000000"/>
      <w:sz w:val="20"/>
      <w:szCs w:val="20"/>
      <w:u w:val="none"/>
    </w:rPr>
  </w:style>
  <w:style w:type="character" w:customStyle="1" w:styleId="43">
    <w:name w:val="font71"/>
    <w:basedOn w:val="21"/>
    <w:qFormat/>
    <w:uiPriority w:val="0"/>
    <w:rPr>
      <w:rFonts w:hint="eastAsia" w:ascii="宋体" w:hAnsi="宋体" w:eastAsia="宋体" w:cs="宋体"/>
      <w:color w:val="000000"/>
      <w:sz w:val="20"/>
      <w:szCs w:val="20"/>
      <w:u w:val="none"/>
    </w:rPr>
  </w:style>
  <w:style w:type="character" w:customStyle="1" w:styleId="44">
    <w:name w:val="font61"/>
    <w:basedOn w:val="21"/>
    <w:qFormat/>
    <w:uiPriority w:val="0"/>
    <w:rPr>
      <w:rFonts w:hint="default" w:ascii="Times New Roman" w:hAnsi="Times New Roman" w:cs="Times New Roman"/>
      <w:color w:val="000000"/>
      <w:sz w:val="20"/>
      <w:szCs w:val="20"/>
      <w:u w:val="none"/>
    </w:rPr>
  </w:style>
  <w:style w:type="character" w:customStyle="1" w:styleId="45">
    <w:name w:val="font81"/>
    <w:basedOn w:val="21"/>
    <w:qFormat/>
    <w:uiPriority w:val="0"/>
    <w:rPr>
      <w:rFonts w:hint="eastAsia" w:ascii="宋体" w:hAnsi="宋体" w:eastAsia="宋体" w:cs="宋体"/>
      <w:color w:val="000000"/>
      <w:sz w:val="20"/>
      <w:szCs w:val="20"/>
      <w:u w:val="none"/>
    </w:rPr>
  </w:style>
  <w:style w:type="paragraph" w:customStyle="1" w:styleId="46">
    <w:name w:val="表"/>
    <w:next w:val="1"/>
    <w:qFormat/>
    <w:uiPriority w:val="0"/>
    <w:pPr>
      <w:pBdr>
        <w:between w:val="dashSmallGap" w:color="666699" w:sz="4" w:space="1"/>
      </w:pBdr>
      <w:topLinePunct/>
      <w:adjustRightInd w:val="0"/>
      <w:snapToGrid w:val="0"/>
      <w:spacing w:line="288" w:lineRule="auto"/>
      <w:jc w:val="center"/>
      <w:textAlignment w:val="center"/>
    </w:pPr>
    <w:rPr>
      <w:rFonts w:ascii="宋体" w:hAnsi="宋体" w:eastAsia="宋体" w:cs="宋体"/>
      <w:color w:val="000000"/>
      <w:sz w:val="21"/>
      <w:szCs w:val="21"/>
      <w:highlight w:val="yellow"/>
      <w:lang w:val="en-US" w:eastAsia="zh-CN" w:bidi="ar-SA"/>
    </w:rPr>
  </w:style>
  <w:style w:type="paragraph" w:customStyle="1" w:styleId="47">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31427</Words>
  <Characters>33849</Characters>
  <Lines>0</Lines>
  <Paragraphs>0</Paragraphs>
  <TotalTime>23</TotalTime>
  <ScaleCrop>false</ScaleCrop>
  <LinksUpToDate>false</LinksUpToDate>
  <CharactersWithSpaces>36997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2023-12-01T07:59:00Z</dcterms:created>
  <dc:creator>别动我的糖</dc:creator>
  <cp:lastModifiedBy>Administrator</cp:lastModifiedBy>
  <cp:lastPrinted>2025-02-07T10:48:00Z</cp:lastPrinted>
  <dcterms:modified xsi:type="dcterms:W3CDTF">2025-04-01T11:15:53Z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CA70ACF08CB349F0AEFAAEC6113BB310_13</vt:lpwstr>
  </property>
  <property fmtid="{D5CDD505-2E9C-101B-9397-08002B2CF9AE}" pid="4" name="KSOTemplateDocerSaveRecord">
    <vt:lpwstr>eyJoZGlkIjoiZWM0NzBkOGViNDBkYTI2MzgxYzZiODZlM2EyNDg4NDYiLCJ1c2VySWQiOiI1ODg1MjM4MTAifQ==</vt:lpwstr>
  </property>
</Properties>
</file>