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07724">
      <w:pPr>
        <w:spacing w:line="360" w:lineRule="auto"/>
        <w:jc w:val="left"/>
        <w:outlineLvl w:val="0"/>
        <w:rPr>
          <w:rFonts w:hint="default" w:ascii="宋体" w:hAnsi="宋体" w:eastAsia="宋体" w:cs="Times New Roman"/>
          <w:b/>
          <w:color w:val="auto"/>
          <w:w w:val="90"/>
          <w:sz w:val="36"/>
          <w:szCs w:val="36"/>
          <w:highlight w:val="none"/>
          <w:lang w:val="en-US" w:eastAsia="zh-CN"/>
        </w:rPr>
      </w:pPr>
      <w:bookmarkStart w:id="0" w:name="_Toc25787"/>
      <w:r>
        <w:rPr>
          <w:rFonts w:hint="eastAsia" w:ascii="宋体" w:hAnsi="宋体" w:eastAsia="宋体" w:cs="Times New Roman"/>
          <w:b/>
          <w:color w:val="auto"/>
          <w:w w:val="90"/>
          <w:sz w:val="36"/>
          <w:szCs w:val="36"/>
          <w:highlight w:val="none"/>
          <w:lang w:val="en-US" w:eastAsia="zh-CN"/>
        </w:rPr>
        <w:t>项目编号：</w:t>
      </w:r>
      <w:bookmarkEnd w:id="0"/>
      <w:r>
        <w:rPr>
          <w:rFonts w:hint="eastAsia" w:ascii="宋体" w:hAnsi="宋体" w:cs="Times New Roman"/>
          <w:b/>
          <w:color w:val="auto"/>
          <w:w w:val="90"/>
          <w:sz w:val="36"/>
          <w:szCs w:val="36"/>
          <w:highlight w:val="none"/>
          <w:lang w:val="en-US" w:eastAsia="zh-CN"/>
        </w:rPr>
        <w:t>GTZB(ZC)2024-245-01</w:t>
      </w:r>
    </w:p>
    <w:p w14:paraId="27347FBB">
      <w:pPr>
        <w:pStyle w:val="2"/>
        <w:ind w:firstLine="640"/>
        <w:rPr>
          <w:rFonts w:hint="eastAsia" w:ascii="黑体" w:hAnsi="黑体" w:eastAsia="黑体" w:cs="黑体"/>
          <w:color w:val="auto"/>
          <w:kern w:val="0"/>
          <w:sz w:val="32"/>
          <w:szCs w:val="32"/>
          <w:highlight w:val="none"/>
        </w:rPr>
      </w:pPr>
    </w:p>
    <w:p w14:paraId="2DA5545E">
      <w:pPr>
        <w:pStyle w:val="2"/>
        <w:ind w:firstLine="640"/>
        <w:rPr>
          <w:rFonts w:hint="eastAsia" w:ascii="黑体" w:hAnsi="黑体" w:eastAsia="黑体" w:cs="黑体"/>
          <w:color w:val="auto"/>
          <w:kern w:val="0"/>
          <w:sz w:val="32"/>
          <w:szCs w:val="32"/>
          <w:highlight w:val="none"/>
        </w:rPr>
      </w:pPr>
    </w:p>
    <w:p w14:paraId="60EFFD40">
      <w:pPr>
        <w:pStyle w:val="2"/>
        <w:ind w:firstLine="640"/>
        <w:rPr>
          <w:rFonts w:hint="eastAsia" w:ascii="黑体" w:hAnsi="黑体" w:eastAsia="黑体" w:cs="黑体"/>
          <w:color w:val="auto"/>
          <w:kern w:val="0"/>
          <w:sz w:val="32"/>
          <w:szCs w:val="32"/>
          <w:highlight w:val="none"/>
        </w:rPr>
      </w:pPr>
    </w:p>
    <w:p w14:paraId="1765E687">
      <w:pPr>
        <w:pStyle w:val="2"/>
        <w:ind w:firstLine="640"/>
        <w:rPr>
          <w:rFonts w:hint="eastAsia" w:ascii="黑体" w:hAnsi="黑体" w:eastAsia="黑体" w:cs="黑体"/>
          <w:color w:val="auto"/>
          <w:kern w:val="0"/>
          <w:sz w:val="32"/>
          <w:szCs w:val="32"/>
          <w:highlight w:val="none"/>
        </w:rPr>
      </w:pPr>
    </w:p>
    <w:p w14:paraId="619B8482">
      <w:pPr>
        <w:pStyle w:val="2"/>
        <w:spacing w:line="360" w:lineRule="auto"/>
        <w:ind w:firstLine="640"/>
        <w:jc w:val="center"/>
        <w:rPr>
          <w:rFonts w:hint="eastAsia" w:ascii="黑体" w:hAnsi="黑体" w:eastAsia="黑体" w:cs="黑体"/>
          <w:color w:val="auto"/>
          <w:kern w:val="0"/>
          <w:sz w:val="32"/>
          <w:szCs w:val="32"/>
          <w:highlight w:val="none"/>
        </w:rPr>
      </w:pPr>
    </w:p>
    <w:p w14:paraId="6B0D36E0">
      <w:pPr>
        <w:spacing w:line="360" w:lineRule="auto"/>
        <w:jc w:val="center"/>
        <w:outlineLvl w:val="0"/>
        <w:rPr>
          <w:rFonts w:hint="eastAsia" w:ascii="宋体" w:hAnsi="宋体" w:eastAsia="宋体" w:cs="Times New Roman"/>
          <w:b/>
          <w:color w:val="auto"/>
          <w:sz w:val="56"/>
          <w:szCs w:val="56"/>
          <w:highlight w:val="none"/>
        </w:rPr>
      </w:pPr>
      <w:r>
        <w:rPr>
          <w:rFonts w:hint="eastAsia" w:ascii="宋体" w:hAnsi="宋体" w:cs="Times New Roman"/>
          <w:b/>
          <w:color w:val="auto"/>
          <w:sz w:val="56"/>
          <w:szCs w:val="56"/>
          <w:highlight w:val="none"/>
          <w:lang w:eastAsia="zh-CN"/>
        </w:rPr>
        <w:t>库尔勒市文化符号和民族视觉形象示范点项目（一标段）二次</w:t>
      </w:r>
    </w:p>
    <w:p w14:paraId="78BFBC09">
      <w:pPr>
        <w:pStyle w:val="2"/>
        <w:ind w:firstLine="0" w:firstLineChars="0"/>
        <w:jc w:val="center"/>
        <w:rPr>
          <w:rFonts w:hint="eastAsia" w:ascii="黑体" w:hAnsi="黑体" w:eastAsia="黑体" w:cs="黑体"/>
          <w:color w:val="auto"/>
          <w:kern w:val="0"/>
          <w:sz w:val="56"/>
          <w:szCs w:val="56"/>
          <w:highlight w:val="none"/>
        </w:rPr>
      </w:pPr>
    </w:p>
    <w:p w14:paraId="63B66F6F">
      <w:pPr>
        <w:pStyle w:val="2"/>
        <w:ind w:firstLine="0" w:firstLineChars="0"/>
        <w:jc w:val="center"/>
        <w:rPr>
          <w:rFonts w:hint="eastAsia" w:ascii="黑体" w:hAnsi="黑体" w:eastAsia="黑体" w:cs="黑体"/>
          <w:b/>
          <w:color w:val="auto"/>
          <w:sz w:val="48"/>
          <w:szCs w:val="48"/>
          <w:highlight w:val="none"/>
        </w:rPr>
      </w:pPr>
      <w:r>
        <w:rPr>
          <w:rFonts w:hint="eastAsia" w:ascii="黑体" w:hAnsi="黑体" w:eastAsia="黑体" w:cs="黑体"/>
          <w:color w:val="auto"/>
          <w:kern w:val="0"/>
          <w:sz w:val="72"/>
          <w:szCs w:val="72"/>
          <w:highlight w:val="none"/>
          <w:lang w:val="en-US" w:eastAsia="zh-CN"/>
        </w:rPr>
        <w:t xml:space="preserve">招 标 </w:t>
      </w:r>
      <w:r>
        <w:rPr>
          <w:rFonts w:hint="eastAsia" w:ascii="黑体" w:hAnsi="黑体" w:eastAsia="黑体" w:cs="黑体"/>
          <w:color w:val="auto"/>
          <w:kern w:val="0"/>
          <w:sz w:val="72"/>
          <w:szCs w:val="72"/>
          <w:highlight w:val="none"/>
        </w:rPr>
        <w:t>文</w:t>
      </w:r>
      <w:r>
        <w:rPr>
          <w:rFonts w:hint="eastAsia" w:ascii="黑体" w:hAnsi="黑体" w:eastAsia="黑体" w:cs="黑体"/>
          <w:color w:val="auto"/>
          <w:kern w:val="0"/>
          <w:sz w:val="72"/>
          <w:szCs w:val="72"/>
          <w:highlight w:val="none"/>
          <w:lang w:val="en-US" w:eastAsia="zh-CN"/>
        </w:rPr>
        <w:t xml:space="preserve"> </w:t>
      </w:r>
      <w:r>
        <w:rPr>
          <w:rFonts w:hint="eastAsia" w:ascii="黑体" w:hAnsi="黑体" w:eastAsia="黑体" w:cs="黑体"/>
          <w:color w:val="auto"/>
          <w:kern w:val="0"/>
          <w:sz w:val="72"/>
          <w:szCs w:val="72"/>
          <w:highlight w:val="none"/>
        </w:rPr>
        <w:t>件</w:t>
      </w:r>
    </w:p>
    <w:p w14:paraId="569A91AC">
      <w:pPr>
        <w:spacing w:line="360" w:lineRule="auto"/>
        <w:ind w:left="2525" w:leftChars="299" w:right="-535" w:rightChars="-255" w:hanging="1897" w:hangingChars="525"/>
        <w:rPr>
          <w:rFonts w:hint="eastAsia" w:ascii="黑体" w:hAnsi="黑体" w:eastAsia="黑体" w:cs="黑体"/>
          <w:b/>
          <w:color w:val="auto"/>
          <w:sz w:val="36"/>
          <w:szCs w:val="36"/>
          <w:highlight w:val="none"/>
        </w:rPr>
      </w:pPr>
    </w:p>
    <w:p w14:paraId="11B0468D">
      <w:pPr>
        <w:spacing w:line="360" w:lineRule="auto"/>
        <w:ind w:left="2525" w:leftChars="299" w:right="-535" w:rightChars="-255" w:hanging="1897" w:hangingChars="525"/>
        <w:rPr>
          <w:rFonts w:hint="eastAsia" w:ascii="黑体" w:hAnsi="黑体" w:eastAsia="黑体" w:cs="黑体"/>
          <w:b/>
          <w:color w:val="auto"/>
          <w:sz w:val="36"/>
          <w:szCs w:val="36"/>
          <w:highlight w:val="none"/>
        </w:rPr>
      </w:pPr>
    </w:p>
    <w:p w14:paraId="2A4A085D">
      <w:pPr>
        <w:spacing w:line="360" w:lineRule="auto"/>
        <w:ind w:left="2525" w:leftChars="299" w:right="-535" w:rightChars="-255" w:hanging="1897" w:hangingChars="525"/>
        <w:rPr>
          <w:rFonts w:hint="eastAsia" w:ascii="黑体" w:hAnsi="黑体" w:eastAsia="黑体" w:cs="黑体"/>
          <w:b/>
          <w:color w:val="auto"/>
          <w:sz w:val="36"/>
          <w:szCs w:val="36"/>
          <w:highlight w:val="none"/>
        </w:rPr>
      </w:pPr>
    </w:p>
    <w:p w14:paraId="43495C93">
      <w:pPr>
        <w:spacing w:line="360" w:lineRule="auto"/>
        <w:ind w:right="-535" w:rightChars="-255"/>
        <w:rPr>
          <w:rFonts w:hint="eastAsia" w:ascii="黑体" w:hAnsi="黑体" w:eastAsia="黑体" w:cs="黑体"/>
          <w:b/>
          <w:color w:val="auto"/>
          <w:sz w:val="36"/>
          <w:szCs w:val="36"/>
          <w:highlight w:val="none"/>
        </w:rPr>
      </w:pPr>
    </w:p>
    <w:p w14:paraId="5EEF52F8">
      <w:pPr>
        <w:pStyle w:val="14"/>
        <w:rPr>
          <w:rFonts w:hint="eastAsia"/>
          <w:color w:val="auto"/>
          <w:highlight w:val="none"/>
        </w:rPr>
      </w:pPr>
    </w:p>
    <w:p w14:paraId="0A9FB326">
      <w:pPr>
        <w:pStyle w:val="8"/>
        <w:rPr>
          <w:rFonts w:hint="eastAsia" w:ascii="黑体" w:hAnsi="黑体" w:eastAsia="黑体" w:cs="黑体"/>
          <w:color w:val="auto"/>
          <w:sz w:val="15"/>
          <w:szCs w:val="15"/>
          <w:highlight w:val="none"/>
        </w:rPr>
      </w:pPr>
    </w:p>
    <w:p w14:paraId="0EFB2519">
      <w:pPr>
        <w:spacing w:line="360" w:lineRule="auto"/>
        <w:jc w:val="center"/>
        <w:rPr>
          <w:rFonts w:hint="eastAsia" w:ascii="宋体" w:hAnsi="宋体" w:eastAsia="宋体"/>
          <w:b/>
          <w:color w:val="auto"/>
          <w:w w:val="90"/>
          <w:sz w:val="36"/>
          <w:szCs w:val="36"/>
          <w:highlight w:val="none"/>
          <w:lang w:eastAsia="zh-CN"/>
        </w:rPr>
      </w:pPr>
      <w:r>
        <w:rPr>
          <w:rFonts w:hint="eastAsia" w:ascii="宋体" w:hAnsi="宋体"/>
          <w:b/>
          <w:color w:val="auto"/>
          <w:w w:val="90"/>
          <w:sz w:val="36"/>
          <w:szCs w:val="36"/>
          <w:highlight w:val="none"/>
          <w:lang w:eastAsia="zh-CN"/>
        </w:rPr>
        <w:t>招标人</w:t>
      </w:r>
      <w:r>
        <w:rPr>
          <w:rFonts w:hint="eastAsia" w:ascii="宋体" w:hAnsi="宋体"/>
          <w:b/>
          <w:color w:val="auto"/>
          <w:w w:val="90"/>
          <w:sz w:val="36"/>
          <w:szCs w:val="36"/>
          <w:highlight w:val="none"/>
        </w:rPr>
        <w:t>：</w:t>
      </w:r>
      <w:r>
        <w:rPr>
          <w:rFonts w:hint="eastAsia" w:ascii="宋体" w:hAnsi="宋体"/>
          <w:b/>
          <w:color w:val="auto"/>
          <w:w w:val="90"/>
          <w:sz w:val="36"/>
          <w:szCs w:val="36"/>
          <w:highlight w:val="none"/>
          <w:lang w:eastAsia="zh-CN"/>
        </w:rPr>
        <w:t>中共库尔勒市委员会宣传部</w:t>
      </w:r>
    </w:p>
    <w:p w14:paraId="7E112E5D">
      <w:pPr>
        <w:spacing w:line="360" w:lineRule="auto"/>
        <w:jc w:val="center"/>
        <w:outlineLvl w:val="0"/>
        <w:rPr>
          <w:rFonts w:hint="eastAsia" w:ascii="宋体" w:hAnsi="宋体" w:eastAsia="宋体"/>
          <w:b/>
          <w:color w:val="auto"/>
          <w:w w:val="90"/>
          <w:sz w:val="36"/>
          <w:szCs w:val="36"/>
          <w:highlight w:val="none"/>
          <w:lang w:eastAsia="zh-CN"/>
        </w:rPr>
      </w:pPr>
      <w:bookmarkStart w:id="1" w:name="_Toc24700"/>
      <w:r>
        <w:rPr>
          <w:rFonts w:hint="eastAsia" w:ascii="宋体" w:hAnsi="宋体"/>
          <w:b/>
          <w:color w:val="auto"/>
          <w:w w:val="90"/>
          <w:sz w:val="36"/>
          <w:szCs w:val="36"/>
          <w:highlight w:val="none"/>
        </w:rPr>
        <w:t>代理机构：</w:t>
      </w:r>
      <w:bookmarkEnd w:id="1"/>
      <w:r>
        <w:rPr>
          <w:rFonts w:hint="eastAsia" w:ascii="宋体" w:hAnsi="宋体"/>
          <w:b/>
          <w:color w:val="auto"/>
          <w:w w:val="90"/>
          <w:sz w:val="36"/>
          <w:szCs w:val="36"/>
          <w:highlight w:val="none"/>
          <w:lang w:eastAsia="zh-CN"/>
        </w:rPr>
        <w:t>新疆国腾工程项目管理咨询有限公司</w:t>
      </w:r>
    </w:p>
    <w:p w14:paraId="0351E576">
      <w:pPr>
        <w:pStyle w:val="14"/>
        <w:rPr>
          <w:color w:val="auto"/>
          <w:highlight w:val="none"/>
        </w:rPr>
      </w:pPr>
    </w:p>
    <w:p w14:paraId="3E40D750">
      <w:pPr>
        <w:rPr>
          <w:color w:val="auto"/>
          <w:highlight w:val="none"/>
        </w:rPr>
      </w:pPr>
    </w:p>
    <w:p w14:paraId="32725A4C">
      <w:pPr>
        <w:spacing w:line="720" w:lineRule="exact"/>
        <w:jc w:val="center"/>
        <w:rPr>
          <w:rFonts w:hint="eastAsia" w:ascii="宋体" w:hAnsi="宋体"/>
          <w:b/>
          <w:color w:val="auto"/>
          <w:w w:val="90"/>
          <w:sz w:val="36"/>
          <w:szCs w:val="36"/>
          <w:highlight w:val="none"/>
        </w:rPr>
      </w:pPr>
      <w:r>
        <w:rPr>
          <w:rFonts w:hint="eastAsia" w:ascii="宋体" w:hAnsi="宋体"/>
          <w:b/>
          <w:color w:val="auto"/>
          <w:w w:val="90"/>
          <w:sz w:val="36"/>
          <w:szCs w:val="36"/>
          <w:highlight w:val="none"/>
        </w:rPr>
        <w:t>二○二</w:t>
      </w:r>
      <w:r>
        <w:rPr>
          <w:rFonts w:hint="eastAsia" w:ascii="宋体" w:hAnsi="宋体"/>
          <w:b/>
          <w:color w:val="auto"/>
          <w:w w:val="90"/>
          <w:sz w:val="36"/>
          <w:szCs w:val="36"/>
          <w:highlight w:val="none"/>
          <w:lang w:val="en-US" w:eastAsia="zh-CN"/>
        </w:rPr>
        <w:t>四</w:t>
      </w:r>
      <w:r>
        <w:rPr>
          <w:rFonts w:hint="eastAsia" w:ascii="宋体" w:hAnsi="宋体"/>
          <w:b/>
          <w:color w:val="auto"/>
          <w:w w:val="90"/>
          <w:sz w:val="36"/>
          <w:szCs w:val="36"/>
          <w:highlight w:val="none"/>
        </w:rPr>
        <w:t>年</w:t>
      </w:r>
      <w:r>
        <w:rPr>
          <w:rFonts w:hint="eastAsia" w:ascii="宋体" w:hAnsi="宋体"/>
          <w:b/>
          <w:color w:val="auto"/>
          <w:w w:val="90"/>
          <w:sz w:val="36"/>
          <w:szCs w:val="36"/>
          <w:highlight w:val="none"/>
          <w:lang w:val="en-US" w:eastAsia="zh-CN"/>
        </w:rPr>
        <w:t>十二</w:t>
      </w:r>
      <w:r>
        <w:rPr>
          <w:rFonts w:hint="eastAsia" w:ascii="宋体" w:hAnsi="宋体"/>
          <w:b/>
          <w:color w:val="auto"/>
          <w:w w:val="90"/>
          <w:sz w:val="36"/>
          <w:szCs w:val="36"/>
          <w:highlight w:val="none"/>
        </w:rPr>
        <w:t>月</w:t>
      </w:r>
    </w:p>
    <w:p w14:paraId="0CB76E03">
      <w:pPr>
        <w:spacing w:line="360" w:lineRule="auto"/>
        <w:jc w:val="center"/>
        <w:rPr>
          <w:rFonts w:hint="eastAsia" w:ascii="Calibri" w:hAnsi="Calibri" w:eastAsia="宋体" w:cs="Times New Roman"/>
          <w:b/>
          <w:bCs/>
          <w:color w:val="auto"/>
          <w:sz w:val="40"/>
          <w:szCs w:val="48"/>
          <w:highlight w:val="none"/>
        </w:rPr>
        <w:sectPr>
          <w:headerReference r:id="rId3" w:type="default"/>
          <w:footerReference r:id="rId4" w:type="default"/>
          <w:pgSz w:w="11906" w:h="16838"/>
          <w:pgMar w:top="1528" w:right="1080" w:bottom="1440" w:left="1080" w:header="907" w:footer="623" w:gutter="0"/>
          <w:pgBorders>
            <w:top w:val="none" w:sz="0" w:space="0"/>
            <w:left w:val="none" w:sz="0" w:space="0"/>
            <w:bottom w:val="none" w:sz="0" w:space="0"/>
            <w:right w:val="none" w:sz="0" w:space="0"/>
          </w:pgBorders>
          <w:pgNumType w:fmt="decimal"/>
          <w:cols w:space="720" w:num="1"/>
          <w:docGrid w:linePitch="312" w:charSpace="0"/>
        </w:sectPr>
      </w:pPr>
    </w:p>
    <w:p w14:paraId="6CBAED26">
      <w:pPr>
        <w:spacing w:line="720" w:lineRule="exact"/>
        <w:ind w:left="1679" w:leftChars="266" w:hanging="1120" w:hangingChars="400"/>
        <w:rPr>
          <w:rFonts w:hint="eastAsia" w:ascii="宋体" w:hAnsi="宋体" w:cs="仿宋_GB2312"/>
          <w:color w:val="auto"/>
          <w:sz w:val="28"/>
          <w:szCs w:val="28"/>
          <w:highlight w:val="none"/>
        </w:rPr>
      </w:pPr>
    </w:p>
    <w:p w14:paraId="0FD822E3">
      <w:pPr>
        <w:spacing w:line="720" w:lineRule="exact"/>
        <w:ind w:left="1679" w:leftChars="266" w:hanging="1120" w:hangingChars="400"/>
        <w:rPr>
          <w:rFonts w:hint="eastAsia" w:ascii="宋体" w:hAnsi="宋体" w:cs="仿宋_GB2312"/>
          <w:color w:val="auto"/>
          <w:sz w:val="28"/>
          <w:szCs w:val="28"/>
          <w:highlight w:val="none"/>
        </w:rPr>
      </w:pPr>
    </w:p>
    <w:p w14:paraId="61A9E8B9">
      <w:pPr>
        <w:spacing w:line="720" w:lineRule="exact"/>
        <w:ind w:firstLine="480" w:firstLineChars="200"/>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rPr>
        <w:t>采购项目名称：</w:t>
      </w:r>
      <w:r>
        <w:rPr>
          <w:rFonts w:hint="eastAsia" w:ascii="宋体" w:hAnsi="宋体" w:cs="仿宋_GB2312"/>
          <w:color w:val="auto"/>
          <w:sz w:val="24"/>
          <w:szCs w:val="24"/>
          <w:highlight w:val="none"/>
          <w:lang w:eastAsia="zh-CN"/>
        </w:rPr>
        <w:t>库尔勒市文化符号和民族视觉形象示范点项目（一标段）二次</w:t>
      </w:r>
    </w:p>
    <w:p w14:paraId="1B5E5603">
      <w:pPr>
        <w:spacing w:line="720" w:lineRule="exact"/>
        <w:ind w:firstLine="484" w:firstLineChars="202"/>
        <w:rPr>
          <w:rFonts w:hint="eastAsia" w:ascii="宋体" w:hAnsi="宋体" w:cs="仿宋_GB2312"/>
          <w:color w:val="auto"/>
          <w:sz w:val="24"/>
          <w:szCs w:val="24"/>
          <w:highlight w:val="none"/>
          <w:lang w:eastAsia="zh-CN"/>
        </w:rPr>
      </w:pPr>
      <w:r>
        <w:rPr>
          <w:rFonts w:hint="eastAsia" w:ascii="宋体" w:hAnsi="宋体" w:cs="仿宋_GB2312"/>
          <w:color w:val="auto"/>
          <w:sz w:val="24"/>
          <w:szCs w:val="24"/>
          <w:highlight w:val="none"/>
        </w:rPr>
        <w:t>采  购  人（公章）：</w:t>
      </w:r>
      <w:r>
        <w:rPr>
          <w:rFonts w:hint="eastAsia" w:ascii="宋体" w:hAnsi="宋体" w:cs="仿宋_GB2312"/>
          <w:color w:val="auto"/>
          <w:sz w:val="24"/>
          <w:szCs w:val="24"/>
          <w:highlight w:val="none"/>
          <w:lang w:eastAsia="zh-CN"/>
        </w:rPr>
        <w:t>中共库尔勒市委员会宣传部</w:t>
      </w:r>
    </w:p>
    <w:p w14:paraId="44C40D29">
      <w:pPr>
        <w:pStyle w:val="8"/>
        <w:rPr>
          <w:rFonts w:hint="eastAsia" w:ascii="宋体" w:hAnsi="宋体" w:cs="仿宋_GB2312"/>
          <w:color w:val="auto"/>
          <w:sz w:val="24"/>
          <w:szCs w:val="24"/>
          <w:highlight w:val="none"/>
        </w:rPr>
      </w:pPr>
    </w:p>
    <w:p w14:paraId="6019F08B">
      <w:pPr>
        <w:pStyle w:val="8"/>
        <w:rPr>
          <w:rFonts w:hint="eastAsia"/>
          <w:b/>
          <w:bCs/>
          <w:color w:val="auto"/>
          <w:highlight w:val="none"/>
          <w:lang w:eastAsia="zh-CN"/>
        </w:rPr>
      </w:pPr>
      <w:r>
        <w:rPr>
          <w:rFonts w:hint="eastAsia" w:ascii="宋体" w:hAnsi="宋体" w:cs="仿宋_GB2312"/>
          <w:color w:val="auto"/>
          <w:sz w:val="24"/>
          <w:szCs w:val="24"/>
          <w:highlight w:val="none"/>
        </w:rPr>
        <w:t>委托代理人：</w:t>
      </w:r>
      <w:r>
        <w:rPr>
          <w:rFonts w:hint="eastAsia" w:ascii="宋体" w:hAnsi="宋体" w:cs="仿宋_GB2312"/>
          <w:color w:val="auto"/>
          <w:sz w:val="24"/>
          <w:szCs w:val="24"/>
          <w:highlight w:val="none"/>
          <w:lang w:eastAsia="zh-CN"/>
        </w:rPr>
        <w:t>蒋焱</w:t>
      </w:r>
    </w:p>
    <w:p w14:paraId="2028BF68">
      <w:pPr>
        <w:spacing w:line="720" w:lineRule="exact"/>
        <w:ind w:firstLine="484" w:firstLineChars="202"/>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rPr>
        <w:t>联系电话：</w:t>
      </w:r>
      <w:r>
        <w:rPr>
          <w:rFonts w:hint="eastAsia" w:ascii="宋体" w:hAnsi="宋体" w:cs="宋体"/>
          <w:color w:val="auto"/>
          <w:sz w:val="24"/>
          <w:szCs w:val="24"/>
          <w:highlight w:val="none"/>
          <w:lang w:eastAsia="zh-CN"/>
        </w:rPr>
        <w:t>13139737266</w:t>
      </w:r>
    </w:p>
    <w:p w14:paraId="530BE757">
      <w:pPr>
        <w:spacing w:line="720" w:lineRule="exact"/>
        <w:ind w:firstLine="484" w:firstLineChars="202"/>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rPr>
        <w:t>邮政编码：</w:t>
      </w:r>
      <w:r>
        <w:rPr>
          <w:rFonts w:hint="eastAsia" w:ascii="宋体" w:hAnsi="宋体" w:cs="仿宋_GB2312"/>
          <w:color w:val="auto"/>
          <w:sz w:val="24"/>
          <w:szCs w:val="24"/>
          <w:highlight w:val="none"/>
          <w:lang w:eastAsia="zh-CN"/>
        </w:rPr>
        <w:t>841000</w:t>
      </w:r>
    </w:p>
    <w:p w14:paraId="448E1F18">
      <w:pPr>
        <w:spacing w:line="520" w:lineRule="exact"/>
        <w:ind w:firstLine="484" w:firstLineChars="202"/>
        <w:rPr>
          <w:rFonts w:ascii="宋体" w:hAnsi="宋体" w:cs="仿宋_GB2312"/>
          <w:color w:val="auto"/>
          <w:sz w:val="24"/>
          <w:szCs w:val="24"/>
          <w:highlight w:val="none"/>
        </w:rPr>
      </w:pPr>
    </w:p>
    <w:p w14:paraId="57057F48">
      <w:pPr>
        <w:spacing w:line="520" w:lineRule="exact"/>
        <w:ind w:firstLine="484" w:firstLineChars="202"/>
        <w:rPr>
          <w:rFonts w:ascii="宋体" w:hAnsi="宋体" w:cs="仿宋_GB2312"/>
          <w:color w:val="auto"/>
          <w:sz w:val="24"/>
          <w:szCs w:val="24"/>
          <w:highlight w:val="none"/>
        </w:rPr>
      </w:pPr>
    </w:p>
    <w:p w14:paraId="142E6955">
      <w:pPr>
        <w:spacing w:line="520" w:lineRule="exact"/>
        <w:ind w:firstLine="484" w:firstLineChars="202"/>
        <w:rPr>
          <w:rFonts w:ascii="宋体" w:hAnsi="宋体" w:cs="仿宋_GB2312"/>
          <w:color w:val="auto"/>
          <w:sz w:val="24"/>
          <w:szCs w:val="24"/>
          <w:highlight w:val="none"/>
        </w:rPr>
      </w:pPr>
    </w:p>
    <w:p w14:paraId="1EFDA4A1">
      <w:pPr>
        <w:spacing w:line="720" w:lineRule="exact"/>
        <w:ind w:firstLine="484" w:firstLineChars="202"/>
        <w:rPr>
          <w:rFonts w:hint="eastAsia" w:ascii="宋体" w:hAnsi="宋体" w:eastAsia="宋体" w:cs="仿宋_GB2312"/>
          <w:color w:val="auto"/>
          <w:sz w:val="24"/>
          <w:szCs w:val="24"/>
          <w:highlight w:val="none"/>
          <w:lang w:eastAsia="zh-CN"/>
        </w:rPr>
      </w:pPr>
      <w:r>
        <w:rPr>
          <w:rFonts w:hint="eastAsia" w:ascii="宋体" w:hAnsi="宋体" w:cs="仿宋_GB2312"/>
          <w:color w:val="auto"/>
          <w:sz w:val="24"/>
          <w:szCs w:val="24"/>
          <w:highlight w:val="none"/>
        </w:rPr>
        <w:t>采购代理机构（公章）：</w:t>
      </w:r>
      <w:r>
        <w:rPr>
          <w:rFonts w:hint="eastAsia" w:ascii="宋体" w:hAnsi="宋体" w:cs="宋体"/>
          <w:color w:val="auto"/>
          <w:sz w:val="24"/>
          <w:szCs w:val="21"/>
          <w:highlight w:val="none"/>
          <w:lang w:eastAsia="zh-CN"/>
        </w:rPr>
        <w:t>新疆国腾工程项目管理咨询有限公司</w:t>
      </w:r>
    </w:p>
    <w:p w14:paraId="640B1033">
      <w:pPr>
        <w:spacing w:line="720" w:lineRule="exact"/>
        <w:ind w:firstLine="484" w:firstLineChars="202"/>
        <w:rPr>
          <w:rFonts w:hint="eastAsia"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rPr>
        <w:t>委托代理人：</w:t>
      </w:r>
      <w:r>
        <w:rPr>
          <w:rFonts w:hint="eastAsia" w:ascii="宋体" w:hAnsi="宋体" w:cs="仿宋_GB2312"/>
          <w:color w:val="auto"/>
          <w:sz w:val="24"/>
          <w:szCs w:val="24"/>
          <w:highlight w:val="none"/>
          <w:lang w:val="en-US" w:eastAsia="zh-CN"/>
        </w:rPr>
        <w:t>姚嘉瑜</w:t>
      </w:r>
    </w:p>
    <w:p w14:paraId="0A48A33D">
      <w:pPr>
        <w:spacing w:line="720" w:lineRule="exact"/>
        <w:ind w:firstLine="484" w:firstLineChars="202"/>
        <w:rPr>
          <w:rFonts w:hint="default" w:ascii="宋体" w:hAnsi="宋体" w:eastAsia="宋体" w:cs="仿宋_GB2312"/>
          <w:color w:val="auto"/>
          <w:sz w:val="24"/>
          <w:szCs w:val="24"/>
          <w:highlight w:val="none"/>
          <w:lang w:val="en-US" w:eastAsia="zh-CN"/>
        </w:rPr>
      </w:pPr>
      <w:r>
        <w:rPr>
          <w:rFonts w:hint="eastAsia" w:ascii="宋体" w:hAnsi="宋体" w:cs="仿宋_GB2312"/>
          <w:color w:val="auto"/>
          <w:sz w:val="24"/>
          <w:szCs w:val="24"/>
          <w:highlight w:val="none"/>
        </w:rPr>
        <w:t>联系电话：</w:t>
      </w:r>
      <w:r>
        <w:rPr>
          <w:rFonts w:hint="eastAsia" w:ascii="宋体" w:hAnsi="宋体" w:cs="仿宋_GB2312"/>
          <w:color w:val="auto"/>
          <w:sz w:val="24"/>
          <w:szCs w:val="24"/>
          <w:highlight w:val="none"/>
          <w:lang w:val="en-US" w:eastAsia="zh-CN"/>
        </w:rPr>
        <w:t>16609906037</w:t>
      </w:r>
    </w:p>
    <w:p w14:paraId="40498FC0">
      <w:pPr>
        <w:spacing w:line="720" w:lineRule="exact"/>
        <w:ind w:right="105" w:firstLine="484" w:firstLineChars="202"/>
        <w:rPr>
          <w:rFonts w:hint="eastAsia" w:ascii="宋体" w:eastAsia="宋体"/>
          <w:b/>
          <w:color w:val="auto"/>
          <w:sz w:val="32"/>
          <w:highlight w:val="none"/>
          <w:lang w:eastAsia="zh-CN"/>
        </w:rPr>
        <w:sectPr>
          <w:footerReference r:id="rId5" w:type="default"/>
          <w:pgSz w:w="11906" w:h="16838"/>
          <w:pgMar w:top="1528" w:right="1080" w:bottom="1440" w:left="1080" w:header="907" w:footer="623"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cs="仿宋_GB2312"/>
          <w:color w:val="auto"/>
          <w:sz w:val="24"/>
          <w:szCs w:val="24"/>
          <w:highlight w:val="none"/>
        </w:rPr>
        <w:t>邮政编码：</w:t>
      </w:r>
      <w:r>
        <w:rPr>
          <w:rFonts w:hint="eastAsia" w:ascii="宋体" w:hAnsi="宋体" w:cs="仿宋_GB2312"/>
          <w:color w:val="auto"/>
          <w:sz w:val="24"/>
          <w:szCs w:val="24"/>
          <w:highlight w:val="none"/>
          <w:lang w:val="en-US" w:eastAsia="zh-CN"/>
        </w:rPr>
        <w:t xml:space="preserve">841000 </w:t>
      </w:r>
    </w:p>
    <w:p w14:paraId="2796BC1C">
      <w:pPr>
        <w:spacing w:line="360" w:lineRule="auto"/>
        <w:jc w:val="center"/>
        <w:rPr>
          <w:rFonts w:ascii="宋体"/>
          <w:color w:val="auto"/>
          <w:sz w:val="32"/>
          <w:highlight w:val="none"/>
        </w:rPr>
      </w:pPr>
      <w:r>
        <w:rPr>
          <w:rFonts w:hint="eastAsia" w:ascii="宋体"/>
          <w:b/>
          <w:color w:val="auto"/>
          <w:sz w:val="32"/>
          <w:highlight w:val="none"/>
        </w:rPr>
        <w:t>目  录</w:t>
      </w:r>
    </w:p>
    <w:p w14:paraId="71DF5B5B">
      <w:pPr>
        <w:pStyle w:val="71"/>
        <w:tabs>
          <w:tab w:val="right" w:leader="dot" w:pos="9746"/>
        </w:tabs>
        <w:rPr>
          <w:color w:val="auto"/>
          <w:sz w:val="24"/>
          <w:szCs w:val="24"/>
          <w:highlight w:val="none"/>
        </w:rPr>
      </w:pPr>
      <w:r>
        <w:rPr>
          <w:rFonts w:hint="eastAsia"/>
          <w:color w:val="auto"/>
          <w:sz w:val="24"/>
          <w:szCs w:val="24"/>
          <w:highlight w:val="none"/>
        </w:rPr>
        <w:fldChar w:fldCharType="begin"/>
      </w:r>
      <w:r>
        <w:rPr>
          <w:rFonts w:hint="eastAsia"/>
          <w:color w:val="auto"/>
          <w:sz w:val="24"/>
          <w:szCs w:val="24"/>
          <w:highlight w:val="none"/>
        </w:rPr>
        <w:instrText xml:space="preserve"> HYPERLINK \l _Toc25025 </w:instrText>
      </w:r>
      <w:r>
        <w:rPr>
          <w:rFonts w:hint="eastAsia"/>
          <w:color w:val="auto"/>
          <w:sz w:val="24"/>
          <w:szCs w:val="24"/>
          <w:highlight w:val="none"/>
        </w:rPr>
        <w:fldChar w:fldCharType="separate"/>
      </w:r>
      <w:r>
        <w:rPr>
          <w:rFonts w:hint="eastAsia" w:ascii="宋体" w:hAnsi="宋体" w:eastAsia="宋体"/>
          <w:color w:val="auto"/>
          <w:sz w:val="24"/>
          <w:szCs w:val="24"/>
          <w:highlight w:val="none"/>
        </w:rPr>
        <w:t xml:space="preserve">第一章 </w:t>
      </w:r>
      <w:r>
        <w:rPr>
          <w:rFonts w:hint="eastAsia" w:ascii="宋体" w:hAnsi="宋体" w:eastAsia="宋体"/>
          <w:color w:val="auto"/>
          <w:sz w:val="24"/>
          <w:szCs w:val="24"/>
          <w:highlight w:val="none"/>
          <w:lang w:eastAsia="zh-CN"/>
        </w:rPr>
        <w:t>招标公告</w:t>
      </w:r>
      <w:r>
        <w:rPr>
          <w:color w:val="auto"/>
          <w:sz w:val="24"/>
          <w:szCs w:val="24"/>
          <w:highlight w:val="none"/>
        </w:rPr>
        <w:tab/>
      </w:r>
      <w:r>
        <w:rPr>
          <w:rFonts w:hint="eastAsia"/>
          <w:color w:val="auto"/>
          <w:sz w:val="24"/>
          <w:szCs w:val="24"/>
          <w:highlight w:val="none"/>
          <w:lang w:val="en-US" w:eastAsia="zh-CN"/>
        </w:rPr>
        <w:t>3</w:t>
      </w:r>
      <w:r>
        <w:rPr>
          <w:rFonts w:hint="eastAsia"/>
          <w:color w:val="auto"/>
          <w:sz w:val="24"/>
          <w:szCs w:val="24"/>
          <w:highlight w:val="none"/>
        </w:rPr>
        <w:fldChar w:fldCharType="end"/>
      </w:r>
    </w:p>
    <w:p w14:paraId="1D1BEEB8">
      <w:pPr>
        <w:pStyle w:val="71"/>
        <w:tabs>
          <w:tab w:val="right" w:leader="dot" w:pos="9746"/>
        </w:tabs>
        <w:rPr>
          <w:color w:val="auto"/>
          <w:sz w:val="24"/>
          <w:szCs w:val="24"/>
          <w:highlight w:val="none"/>
        </w:rPr>
      </w:pPr>
      <w:r>
        <w:rPr>
          <w:rFonts w:hint="eastAsia"/>
          <w:color w:val="auto"/>
          <w:sz w:val="24"/>
          <w:szCs w:val="24"/>
          <w:highlight w:val="none"/>
        </w:rPr>
        <w:fldChar w:fldCharType="begin"/>
      </w:r>
      <w:r>
        <w:rPr>
          <w:rFonts w:hint="eastAsia"/>
          <w:color w:val="auto"/>
          <w:sz w:val="24"/>
          <w:szCs w:val="24"/>
          <w:highlight w:val="none"/>
        </w:rPr>
        <w:instrText xml:space="preserve"> HYPERLINK \l _Toc2296 </w:instrText>
      </w:r>
      <w:r>
        <w:rPr>
          <w:rFonts w:hint="eastAsia"/>
          <w:color w:val="auto"/>
          <w:sz w:val="24"/>
          <w:szCs w:val="24"/>
          <w:highlight w:val="none"/>
        </w:rPr>
        <w:fldChar w:fldCharType="separate"/>
      </w:r>
      <w:r>
        <w:rPr>
          <w:rFonts w:hint="eastAsia" w:ascii="宋体" w:hAnsi="宋体" w:eastAsia="宋体"/>
          <w:color w:val="auto"/>
          <w:sz w:val="24"/>
          <w:szCs w:val="24"/>
          <w:highlight w:val="none"/>
        </w:rPr>
        <w:t xml:space="preserve">第二章 </w:t>
      </w:r>
      <w:r>
        <w:rPr>
          <w:rFonts w:hint="eastAsia" w:ascii="宋体" w:hAnsi="宋体"/>
          <w:color w:val="auto"/>
          <w:sz w:val="24"/>
          <w:szCs w:val="24"/>
          <w:highlight w:val="none"/>
          <w:lang w:eastAsia="zh-CN"/>
        </w:rPr>
        <w:t>供应商</w:t>
      </w:r>
      <w:r>
        <w:rPr>
          <w:rFonts w:hint="eastAsia" w:ascii="宋体" w:hAnsi="宋体" w:eastAsia="宋体"/>
          <w:color w:val="auto"/>
          <w:sz w:val="24"/>
          <w:szCs w:val="24"/>
          <w:highlight w:val="none"/>
        </w:rPr>
        <w:t>须知</w:t>
      </w:r>
      <w:r>
        <w:rPr>
          <w:color w:val="auto"/>
          <w:sz w:val="24"/>
          <w:szCs w:val="24"/>
          <w:highlight w:val="none"/>
        </w:rPr>
        <w:tab/>
      </w:r>
      <w:r>
        <w:rPr>
          <w:rFonts w:hint="eastAsia"/>
          <w:color w:val="auto"/>
          <w:sz w:val="24"/>
          <w:szCs w:val="24"/>
          <w:highlight w:val="none"/>
          <w:lang w:val="en-US" w:eastAsia="zh-CN"/>
        </w:rPr>
        <w:t>8</w:t>
      </w:r>
      <w:r>
        <w:rPr>
          <w:rFonts w:hint="eastAsia"/>
          <w:color w:val="auto"/>
          <w:sz w:val="24"/>
          <w:szCs w:val="24"/>
          <w:highlight w:val="none"/>
        </w:rPr>
        <w:fldChar w:fldCharType="end"/>
      </w:r>
    </w:p>
    <w:p w14:paraId="1914CD90">
      <w:pPr>
        <w:pStyle w:val="71"/>
        <w:tabs>
          <w:tab w:val="right" w:leader="dot" w:pos="9746"/>
        </w:tabs>
        <w:rPr>
          <w:rFonts w:hint="eastAsia" w:eastAsia="宋体"/>
          <w:color w:val="auto"/>
          <w:sz w:val="24"/>
          <w:szCs w:val="24"/>
          <w:highlight w:val="none"/>
          <w:lang w:val="en-US" w:eastAsia="zh-CN"/>
        </w:rPr>
      </w:pPr>
      <w:r>
        <w:rPr>
          <w:rFonts w:hint="eastAsia"/>
          <w:color w:val="auto"/>
          <w:sz w:val="24"/>
          <w:szCs w:val="24"/>
          <w:highlight w:val="none"/>
        </w:rPr>
        <w:fldChar w:fldCharType="begin"/>
      </w:r>
      <w:r>
        <w:rPr>
          <w:rFonts w:hint="eastAsia"/>
          <w:color w:val="auto"/>
          <w:sz w:val="24"/>
          <w:szCs w:val="24"/>
          <w:highlight w:val="none"/>
        </w:rPr>
        <w:instrText xml:space="preserve"> HYPERLINK \l _Toc525 </w:instrText>
      </w:r>
      <w:r>
        <w:rPr>
          <w:rFonts w:hint="eastAsia"/>
          <w:color w:val="auto"/>
          <w:sz w:val="24"/>
          <w:szCs w:val="24"/>
          <w:highlight w:val="none"/>
        </w:rPr>
        <w:fldChar w:fldCharType="separate"/>
      </w:r>
      <w:r>
        <w:rPr>
          <w:rFonts w:hint="eastAsia" w:ascii="宋体" w:hAnsi="宋体" w:eastAsia="宋体"/>
          <w:color w:val="auto"/>
          <w:sz w:val="24"/>
          <w:szCs w:val="24"/>
          <w:highlight w:val="none"/>
        </w:rPr>
        <w:t xml:space="preserve">第三章 </w:t>
      </w:r>
      <w:r>
        <w:rPr>
          <w:rFonts w:hint="eastAsia" w:ascii="宋体" w:hAnsi="宋体" w:eastAsia="宋体"/>
          <w:color w:val="auto"/>
          <w:sz w:val="24"/>
          <w:szCs w:val="24"/>
          <w:highlight w:val="none"/>
          <w:lang w:eastAsia="zh-CN"/>
        </w:rPr>
        <w:t>招标人需求</w:t>
      </w:r>
      <w:r>
        <w:rPr>
          <w:color w:val="auto"/>
          <w:sz w:val="24"/>
          <w:szCs w:val="24"/>
          <w:highlight w:val="none"/>
        </w:rPr>
        <w:tab/>
      </w:r>
      <w:r>
        <w:rPr>
          <w:rFonts w:hint="eastAsia"/>
          <w:color w:val="auto"/>
          <w:sz w:val="24"/>
          <w:szCs w:val="24"/>
          <w:highlight w:val="none"/>
          <w:lang w:val="en-US" w:eastAsia="zh-CN"/>
        </w:rPr>
        <w:t>2</w:t>
      </w:r>
      <w:r>
        <w:rPr>
          <w:rFonts w:hint="eastAsia"/>
          <w:color w:val="auto"/>
          <w:sz w:val="24"/>
          <w:szCs w:val="24"/>
          <w:highlight w:val="none"/>
        </w:rPr>
        <w:fldChar w:fldCharType="end"/>
      </w:r>
      <w:r>
        <w:rPr>
          <w:rFonts w:hint="eastAsia"/>
          <w:color w:val="auto"/>
          <w:sz w:val="24"/>
          <w:szCs w:val="24"/>
          <w:highlight w:val="none"/>
          <w:lang w:val="en-US" w:eastAsia="zh-CN"/>
        </w:rPr>
        <w:t>3</w:t>
      </w:r>
    </w:p>
    <w:p w14:paraId="791A225C">
      <w:pPr>
        <w:pStyle w:val="71"/>
        <w:tabs>
          <w:tab w:val="right" w:leader="dot" w:pos="9746"/>
        </w:tabs>
        <w:rPr>
          <w:rFonts w:hint="eastAsia" w:eastAsia="宋体"/>
          <w:color w:val="auto"/>
          <w:sz w:val="24"/>
          <w:szCs w:val="24"/>
          <w:highlight w:val="none"/>
          <w:lang w:val="en-US" w:eastAsia="zh-CN"/>
        </w:rPr>
      </w:pPr>
      <w:r>
        <w:rPr>
          <w:rFonts w:hint="eastAsia"/>
          <w:color w:val="auto"/>
          <w:sz w:val="24"/>
          <w:szCs w:val="24"/>
          <w:highlight w:val="none"/>
        </w:rPr>
        <w:fldChar w:fldCharType="begin"/>
      </w:r>
      <w:r>
        <w:rPr>
          <w:rFonts w:hint="eastAsia"/>
          <w:color w:val="auto"/>
          <w:sz w:val="24"/>
          <w:szCs w:val="24"/>
          <w:highlight w:val="none"/>
        </w:rPr>
        <w:instrText xml:space="preserve"> HYPERLINK \l _Toc14667 </w:instrText>
      </w:r>
      <w:r>
        <w:rPr>
          <w:rFonts w:hint="eastAsia"/>
          <w:color w:val="auto"/>
          <w:sz w:val="24"/>
          <w:szCs w:val="24"/>
          <w:highlight w:val="none"/>
        </w:rPr>
        <w:fldChar w:fldCharType="separate"/>
      </w:r>
      <w:r>
        <w:rPr>
          <w:rFonts w:hint="eastAsia" w:ascii="time of new roman" w:hAnsi="time of new roman" w:eastAsia="宋体"/>
          <w:color w:val="auto"/>
          <w:kern w:val="0"/>
          <w:sz w:val="24"/>
          <w:szCs w:val="24"/>
          <w:highlight w:val="none"/>
        </w:rPr>
        <w:t>第四章 评标文件</w:t>
      </w:r>
      <w:r>
        <w:rPr>
          <w:color w:val="auto"/>
          <w:sz w:val="24"/>
          <w:szCs w:val="24"/>
          <w:highlight w:val="none"/>
        </w:rPr>
        <w:tab/>
      </w:r>
      <w:r>
        <w:rPr>
          <w:rFonts w:hint="eastAsia"/>
          <w:color w:val="auto"/>
          <w:sz w:val="24"/>
          <w:szCs w:val="24"/>
          <w:highlight w:val="none"/>
          <w:lang w:val="en-US" w:eastAsia="zh-CN"/>
        </w:rPr>
        <w:t>2</w:t>
      </w:r>
      <w:r>
        <w:rPr>
          <w:rFonts w:hint="eastAsia"/>
          <w:color w:val="auto"/>
          <w:sz w:val="24"/>
          <w:szCs w:val="24"/>
          <w:highlight w:val="none"/>
        </w:rPr>
        <w:fldChar w:fldCharType="end"/>
      </w:r>
      <w:r>
        <w:rPr>
          <w:rFonts w:hint="eastAsia"/>
          <w:color w:val="auto"/>
          <w:sz w:val="24"/>
          <w:szCs w:val="24"/>
          <w:highlight w:val="none"/>
          <w:lang w:val="en-US" w:eastAsia="zh-CN"/>
        </w:rPr>
        <w:t>6</w:t>
      </w:r>
    </w:p>
    <w:p w14:paraId="1D0B9469">
      <w:pPr>
        <w:pStyle w:val="71"/>
        <w:tabs>
          <w:tab w:val="right" w:leader="dot" w:pos="9746"/>
        </w:tabs>
        <w:rPr>
          <w:rFonts w:hint="eastAsia" w:eastAsia="宋体"/>
          <w:color w:val="auto"/>
          <w:sz w:val="24"/>
          <w:szCs w:val="24"/>
          <w:highlight w:val="none"/>
          <w:lang w:val="en-US" w:eastAsia="zh-CN"/>
        </w:rPr>
      </w:pPr>
      <w:r>
        <w:rPr>
          <w:rFonts w:hint="eastAsia"/>
          <w:color w:val="auto"/>
          <w:sz w:val="24"/>
          <w:szCs w:val="24"/>
          <w:highlight w:val="none"/>
        </w:rPr>
        <w:fldChar w:fldCharType="begin"/>
      </w:r>
      <w:r>
        <w:rPr>
          <w:rFonts w:hint="eastAsia"/>
          <w:color w:val="auto"/>
          <w:sz w:val="24"/>
          <w:szCs w:val="24"/>
          <w:highlight w:val="none"/>
        </w:rPr>
        <w:instrText xml:space="preserve"> HYPERLINK \l _Toc2571 </w:instrText>
      </w:r>
      <w:r>
        <w:rPr>
          <w:rFonts w:hint="eastAsia"/>
          <w:color w:val="auto"/>
          <w:sz w:val="24"/>
          <w:szCs w:val="24"/>
          <w:highlight w:val="none"/>
        </w:rPr>
        <w:fldChar w:fldCharType="separate"/>
      </w:r>
      <w:r>
        <w:rPr>
          <w:rFonts w:hint="eastAsia" w:ascii="宋体" w:hAnsi="宋体" w:eastAsia="宋体"/>
          <w:color w:val="auto"/>
          <w:sz w:val="24"/>
          <w:szCs w:val="24"/>
          <w:highlight w:val="none"/>
        </w:rPr>
        <w:t>第五章 合同（样本）</w:t>
      </w:r>
      <w:r>
        <w:rPr>
          <w:color w:val="auto"/>
          <w:sz w:val="24"/>
          <w:szCs w:val="24"/>
          <w:highlight w:val="none"/>
        </w:rPr>
        <w:tab/>
      </w:r>
      <w:r>
        <w:rPr>
          <w:rFonts w:hint="eastAsia"/>
          <w:color w:val="auto"/>
          <w:sz w:val="24"/>
          <w:szCs w:val="24"/>
          <w:highlight w:val="none"/>
          <w:lang w:val="en-US" w:eastAsia="zh-CN"/>
        </w:rPr>
        <w:t>4</w:t>
      </w:r>
      <w:r>
        <w:rPr>
          <w:rFonts w:hint="eastAsia"/>
          <w:color w:val="auto"/>
          <w:sz w:val="24"/>
          <w:szCs w:val="24"/>
          <w:highlight w:val="none"/>
        </w:rPr>
        <w:fldChar w:fldCharType="end"/>
      </w:r>
      <w:r>
        <w:rPr>
          <w:rFonts w:hint="eastAsia"/>
          <w:color w:val="auto"/>
          <w:sz w:val="24"/>
          <w:szCs w:val="24"/>
          <w:highlight w:val="none"/>
          <w:lang w:val="en-US" w:eastAsia="zh-CN"/>
        </w:rPr>
        <w:t>0</w:t>
      </w:r>
    </w:p>
    <w:p w14:paraId="789174D1">
      <w:pPr>
        <w:pStyle w:val="71"/>
        <w:tabs>
          <w:tab w:val="right" w:leader="dot" w:pos="9746"/>
        </w:tabs>
        <w:rPr>
          <w:rFonts w:hint="eastAsia" w:eastAsia="宋体"/>
          <w:color w:val="auto"/>
          <w:sz w:val="24"/>
          <w:szCs w:val="24"/>
          <w:highlight w:val="none"/>
          <w:lang w:val="en-US" w:eastAsia="zh-CN"/>
        </w:rPr>
      </w:pPr>
      <w:r>
        <w:rPr>
          <w:rFonts w:hint="eastAsia"/>
          <w:color w:val="auto"/>
          <w:sz w:val="24"/>
          <w:szCs w:val="24"/>
          <w:highlight w:val="none"/>
        </w:rPr>
        <w:fldChar w:fldCharType="begin"/>
      </w:r>
      <w:r>
        <w:rPr>
          <w:rFonts w:hint="eastAsia"/>
          <w:color w:val="auto"/>
          <w:sz w:val="24"/>
          <w:szCs w:val="24"/>
          <w:highlight w:val="none"/>
        </w:rPr>
        <w:instrText xml:space="preserve"> HYPERLINK \l _Toc29417 </w:instrText>
      </w:r>
      <w:r>
        <w:rPr>
          <w:rFonts w:hint="eastAsia"/>
          <w:color w:val="auto"/>
          <w:sz w:val="24"/>
          <w:szCs w:val="24"/>
          <w:highlight w:val="none"/>
        </w:rPr>
        <w:fldChar w:fldCharType="separate"/>
      </w:r>
      <w:r>
        <w:rPr>
          <w:rFonts w:hint="eastAsia" w:ascii="宋体" w:hAnsi="宋体" w:eastAsia="宋体"/>
          <w:color w:val="auto"/>
          <w:sz w:val="24"/>
          <w:szCs w:val="24"/>
          <w:highlight w:val="none"/>
        </w:rPr>
        <w:t xml:space="preserve">第六章 </w:t>
      </w:r>
      <w:r>
        <w:rPr>
          <w:rFonts w:hint="eastAsia" w:ascii="宋体" w:hAnsi="宋体"/>
          <w:color w:val="auto"/>
          <w:sz w:val="24"/>
          <w:szCs w:val="24"/>
          <w:highlight w:val="none"/>
          <w:lang w:eastAsia="zh-CN"/>
        </w:rPr>
        <w:t>响应文件</w:t>
      </w:r>
      <w:r>
        <w:rPr>
          <w:rFonts w:hint="eastAsia" w:ascii="宋体" w:hAnsi="宋体" w:eastAsia="宋体"/>
          <w:color w:val="auto"/>
          <w:sz w:val="24"/>
          <w:szCs w:val="24"/>
          <w:highlight w:val="none"/>
        </w:rPr>
        <w:t>格式</w:t>
      </w:r>
      <w:r>
        <w:rPr>
          <w:color w:val="auto"/>
          <w:sz w:val="24"/>
          <w:szCs w:val="24"/>
          <w:highlight w:val="none"/>
        </w:rPr>
        <w:tab/>
      </w:r>
      <w:r>
        <w:rPr>
          <w:rFonts w:hint="eastAsia"/>
          <w:color w:val="auto"/>
          <w:sz w:val="24"/>
          <w:szCs w:val="24"/>
          <w:highlight w:val="none"/>
          <w:lang w:val="en-US" w:eastAsia="zh-CN"/>
        </w:rPr>
        <w:t>4</w:t>
      </w:r>
      <w:r>
        <w:rPr>
          <w:rFonts w:hint="eastAsia"/>
          <w:color w:val="auto"/>
          <w:sz w:val="24"/>
          <w:szCs w:val="24"/>
          <w:highlight w:val="none"/>
        </w:rPr>
        <w:fldChar w:fldCharType="end"/>
      </w:r>
      <w:r>
        <w:rPr>
          <w:rFonts w:hint="eastAsia"/>
          <w:color w:val="auto"/>
          <w:sz w:val="24"/>
          <w:szCs w:val="24"/>
          <w:highlight w:val="none"/>
          <w:lang w:val="en-US" w:eastAsia="zh-CN"/>
        </w:rPr>
        <w:t>4</w:t>
      </w:r>
    </w:p>
    <w:p w14:paraId="680EA6D3">
      <w:pPr>
        <w:spacing w:line="360" w:lineRule="auto"/>
        <w:rPr>
          <w:rFonts w:hint="eastAsia"/>
          <w:color w:val="auto"/>
          <w:highlight w:val="none"/>
        </w:rPr>
      </w:pPr>
    </w:p>
    <w:p w14:paraId="419C548F">
      <w:pPr>
        <w:spacing w:line="360" w:lineRule="auto"/>
        <w:rPr>
          <w:rFonts w:hint="eastAsia"/>
          <w:color w:val="auto"/>
          <w:highlight w:val="none"/>
        </w:rPr>
      </w:pPr>
    </w:p>
    <w:p w14:paraId="7270FE52">
      <w:pPr>
        <w:spacing w:line="360" w:lineRule="auto"/>
        <w:rPr>
          <w:rFonts w:hint="eastAsia"/>
          <w:color w:val="auto"/>
          <w:highlight w:val="none"/>
        </w:rPr>
      </w:pPr>
    </w:p>
    <w:p w14:paraId="5AA3175C">
      <w:pPr>
        <w:spacing w:line="360" w:lineRule="auto"/>
        <w:rPr>
          <w:rFonts w:hint="eastAsia"/>
          <w:color w:val="auto"/>
          <w:highlight w:val="none"/>
        </w:rPr>
      </w:pPr>
    </w:p>
    <w:p w14:paraId="57467E76">
      <w:pPr>
        <w:spacing w:line="360" w:lineRule="auto"/>
        <w:rPr>
          <w:rFonts w:hint="eastAsia"/>
          <w:color w:val="auto"/>
          <w:highlight w:val="none"/>
        </w:rPr>
      </w:pPr>
    </w:p>
    <w:p w14:paraId="600EF30C">
      <w:pPr>
        <w:spacing w:line="360" w:lineRule="auto"/>
        <w:rPr>
          <w:rFonts w:hint="eastAsia"/>
          <w:color w:val="auto"/>
          <w:highlight w:val="none"/>
        </w:rPr>
      </w:pPr>
    </w:p>
    <w:p w14:paraId="65DBAA7D">
      <w:pPr>
        <w:spacing w:line="360" w:lineRule="auto"/>
        <w:rPr>
          <w:rFonts w:hint="eastAsia"/>
          <w:color w:val="auto"/>
          <w:highlight w:val="none"/>
        </w:rPr>
      </w:pPr>
    </w:p>
    <w:p w14:paraId="382233E4">
      <w:pPr>
        <w:spacing w:line="360" w:lineRule="auto"/>
        <w:rPr>
          <w:rFonts w:hint="eastAsia"/>
          <w:color w:val="auto"/>
          <w:highlight w:val="none"/>
        </w:rPr>
      </w:pPr>
    </w:p>
    <w:p w14:paraId="60512852">
      <w:pPr>
        <w:spacing w:line="360" w:lineRule="auto"/>
        <w:rPr>
          <w:rFonts w:hint="eastAsia"/>
          <w:color w:val="auto"/>
          <w:highlight w:val="none"/>
        </w:rPr>
      </w:pPr>
    </w:p>
    <w:p w14:paraId="6632790B">
      <w:pPr>
        <w:spacing w:line="360" w:lineRule="auto"/>
        <w:rPr>
          <w:rFonts w:hint="eastAsia"/>
          <w:color w:val="auto"/>
          <w:highlight w:val="none"/>
        </w:rPr>
      </w:pPr>
    </w:p>
    <w:p w14:paraId="6ECC7F74">
      <w:pPr>
        <w:spacing w:line="360" w:lineRule="auto"/>
        <w:rPr>
          <w:rFonts w:hint="eastAsia"/>
          <w:color w:val="auto"/>
          <w:highlight w:val="none"/>
        </w:rPr>
      </w:pPr>
    </w:p>
    <w:p w14:paraId="1ECBF487">
      <w:pPr>
        <w:spacing w:line="360" w:lineRule="auto"/>
        <w:rPr>
          <w:rFonts w:hint="eastAsia"/>
          <w:color w:val="auto"/>
          <w:highlight w:val="none"/>
        </w:rPr>
      </w:pPr>
    </w:p>
    <w:p w14:paraId="546B070D">
      <w:pPr>
        <w:spacing w:line="360" w:lineRule="auto"/>
        <w:rPr>
          <w:rFonts w:hint="default" w:eastAsia="宋体"/>
          <w:color w:val="auto"/>
          <w:highlight w:val="none"/>
          <w:lang w:val="en-US" w:eastAsia="zh-CN"/>
        </w:rPr>
      </w:pPr>
    </w:p>
    <w:p w14:paraId="1B8CCC22">
      <w:pPr>
        <w:rPr>
          <w:rFonts w:hint="eastAsia" w:ascii="宋体" w:hAnsi="宋体" w:eastAsia="宋体"/>
          <w:color w:val="auto"/>
          <w:sz w:val="48"/>
          <w:szCs w:val="48"/>
          <w:highlight w:val="none"/>
        </w:rPr>
      </w:pPr>
      <w:bookmarkStart w:id="2" w:name="_Toc297209392"/>
      <w:bookmarkStart w:id="3" w:name="_Toc11582"/>
      <w:r>
        <w:rPr>
          <w:rFonts w:hint="eastAsia" w:ascii="宋体" w:hAnsi="宋体" w:eastAsia="宋体"/>
          <w:color w:val="auto"/>
          <w:sz w:val="48"/>
          <w:szCs w:val="48"/>
          <w:highlight w:val="none"/>
        </w:rPr>
        <w:br w:type="page"/>
      </w:r>
    </w:p>
    <w:p w14:paraId="3B59FA09">
      <w:pPr>
        <w:pStyle w:val="4"/>
        <w:spacing w:line="360" w:lineRule="auto"/>
        <w:jc w:val="center"/>
        <w:rPr>
          <w:rFonts w:hint="eastAsia" w:ascii="宋体" w:hAnsi="宋体" w:eastAsia="宋体"/>
          <w:color w:val="auto"/>
          <w:sz w:val="48"/>
          <w:szCs w:val="48"/>
          <w:highlight w:val="none"/>
        </w:rPr>
      </w:pPr>
    </w:p>
    <w:p w14:paraId="6E8F1C94">
      <w:pPr>
        <w:pStyle w:val="4"/>
        <w:spacing w:line="360" w:lineRule="auto"/>
        <w:jc w:val="center"/>
        <w:rPr>
          <w:rFonts w:hint="eastAsia" w:ascii="宋体" w:hAnsi="宋体" w:eastAsia="宋体"/>
          <w:color w:val="auto"/>
          <w:sz w:val="48"/>
          <w:szCs w:val="48"/>
          <w:highlight w:val="none"/>
        </w:rPr>
      </w:pPr>
    </w:p>
    <w:p w14:paraId="35CEADA6">
      <w:pPr>
        <w:pStyle w:val="4"/>
        <w:spacing w:line="360" w:lineRule="auto"/>
        <w:jc w:val="center"/>
        <w:rPr>
          <w:rFonts w:hint="eastAsia" w:ascii="宋体" w:hAnsi="宋体" w:eastAsia="宋体"/>
          <w:color w:val="auto"/>
          <w:sz w:val="48"/>
          <w:szCs w:val="48"/>
          <w:highlight w:val="none"/>
        </w:rPr>
      </w:pPr>
    </w:p>
    <w:p w14:paraId="7F647E5D">
      <w:pPr>
        <w:pStyle w:val="4"/>
        <w:spacing w:line="360" w:lineRule="auto"/>
        <w:jc w:val="center"/>
        <w:rPr>
          <w:rFonts w:hint="eastAsia" w:ascii="宋体" w:hAnsi="宋体" w:eastAsia="宋体"/>
          <w:color w:val="auto"/>
          <w:sz w:val="48"/>
          <w:szCs w:val="48"/>
          <w:highlight w:val="none"/>
        </w:rPr>
      </w:pPr>
    </w:p>
    <w:p w14:paraId="3DD2C4CE">
      <w:pPr>
        <w:pStyle w:val="4"/>
        <w:spacing w:line="360" w:lineRule="auto"/>
        <w:jc w:val="center"/>
        <w:rPr>
          <w:rFonts w:hint="eastAsia" w:ascii="宋体" w:hAnsi="宋体" w:eastAsia="宋体"/>
          <w:color w:val="auto"/>
          <w:sz w:val="48"/>
          <w:szCs w:val="48"/>
          <w:highlight w:val="none"/>
          <w:lang w:eastAsia="zh-CN"/>
        </w:rPr>
      </w:pPr>
      <w:r>
        <w:rPr>
          <w:rFonts w:hint="eastAsia" w:ascii="宋体" w:hAnsi="宋体" w:eastAsia="宋体"/>
          <w:color w:val="auto"/>
          <w:sz w:val="48"/>
          <w:szCs w:val="48"/>
          <w:highlight w:val="none"/>
        </w:rPr>
        <w:t xml:space="preserve">第一章 </w:t>
      </w:r>
      <w:bookmarkEnd w:id="2"/>
      <w:bookmarkEnd w:id="3"/>
      <w:r>
        <w:rPr>
          <w:rFonts w:hint="eastAsia" w:ascii="宋体" w:hAnsi="宋体" w:eastAsia="宋体"/>
          <w:color w:val="auto"/>
          <w:sz w:val="48"/>
          <w:szCs w:val="48"/>
          <w:highlight w:val="none"/>
          <w:lang w:eastAsia="zh-CN"/>
        </w:rPr>
        <w:t>招标公告</w:t>
      </w:r>
    </w:p>
    <w:p w14:paraId="1755DD50">
      <w:pPr>
        <w:pStyle w:val="2"/>
        <w:tabs>
          <w:tab w:val="left" w:pos="640"/>
          <w:tab w:val="clear" w:pos="993"/>
        </w:tabs>
        <w:spacing w:line="360" w:lineRule="auto"/>
        <w:ind w:left="0" w:leftChars="0" w:firstLine="0" w:firstLineChars="0"/>
        <w:jc w:val="center"/>
        <w:rPr>
          <w:b/>
          <w:bCs/>
          <w:color w:val="auto"/>
          <w:sz w:val="36"/>
          <w:szCs w:val="36"/>
          <w:highlight w:val="none"/>
        </w:rPr>
      </w:pPr>
      <w:r>
        <w:rPr>
          <w:rFonts w:ascii="宋体"/>
          <w:color w:val="auto"/>
          <w:highlight w:val="none"/>
        </w:rPr>
        <w:br w:type="page"/>
      </w:r>
      <w:r>
        <w:rPr>
          <w:rFonts w:hint="eastAsia" w:ascii="宋体" w:eastAsia="宋体" w:cs="宋体"/>
          <w:b/>
          <w:bCs/>
          <w:color w:val="auto"/>
          <w:sz w:val="32"/>
          <w:szCs w:val="32"/>
          <w:highlight w:val="none"/>
          <w:lang w:eastAsia="zh-CN"/>
        </w:rPr>
        <w:t>新疆国腾工程项目管理咨询有限公司</w:t>
      </w:r>
      <w:r>
        <w:rPr>
          <w:rFonts w:hint="eastAsia" w:ascii="宋体" w:hAnsi="宋体" w:eastAsia="宋体" w:cs="宋体"/>
          <w:b/>
          <w:bCs/>
          <w:color w:val="auto"/>
          <w:sz w:val="32"/>
          <w:szCs w:val="32"/>
          <w:highlight w:val="none"/>
        </w:rPr>
        <w:t>关于</w:t>
      </w:r>
      <w:r>
        <w:rPr>
          <w:rFonts w:hint="eastAsia" w:ascii="宋体" w:eastAsia="宋体" w:cs="宋体"/>
          <w:b/>
          <w:bCs/>
          <w:color w:val="auto"/>
          <w:sz w:val="32"/>
          <w:szCs w:val="32"/>
          <w:highlight w:val="none"/>
          <w:lang w:eastAsia="zh-CN"/>
        </w:rPr>
        <w:t>库尔勒市文化符号和民族视觉形象示范点项目（一标段）二次</w:t>
      </w:r>
      <w:r>
        <w:rPr>
          <w:rFonts w:hint="eastAsia" w:ascii="宋体" w:hAnsi="宋体" w:eastAsia="宋体" w:cs="宋体"/>
          <w:b/>
          <w:bCs/>
          <w:color w:val="auto"/>
          <w:sz w:val="32"/>
          <w:szCs w:val="32"/>
          <w:highlight w:val="none"/>
        </w:rPr>
        <w:t>的公开招标公告</w:t>
      </w:r>
    </w:p>
    <w:p w14:paraId="7FF27D10">
      <w:pPr>
        <w:pStyle w:val="11"/>
        <w:keepNext w:val="0"/>
        <w:keepLines w:val="0"/>
        <w:widowControl/>
        <w:suppressLineNumbers w:val="0"/>
        <w:spacing w:before="60" w:beforeAutospacing="0" w:after="60" w:afterAutospacing="0" w:line="36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项目概况</w:t>
      </w:r>
    </w:p>
    <w:p w14:paraId="4E94C16E">
      <w:pPr>
        <w:pStyle w:val="11"/>
        <w:keepNext w:val="0"/>
        <w:keepLines w:val="0"/>
        <w:widowControl/>
        <w:suppressLineNumbers w:val="0"/>
        <w:spacing w:before="60" w:beforeAutospacing="0" w:after="60" w:afterAutospacing="0" w:line="360" w:lineRule="auto"/>
        <w:ind w:left="0" w:right="0"/>
        <w:rPr>
          <w:rStyle w:val="33"/>
          <w:rFonts w:hint="eastAsia" w:ascii="宋体" w:hAnsi="宋体" w:eastAsia="宋体" w:cs="宋体"/>
          <w:color w:val="auto"/>
          <w:sz w:val="24"/>
          <w:szCs w:val="24"/>
          <w:highlight w:val="none"/>
        </w:rPr>
      </w:pPr>
      <w:r>
        <w:rPr>
          <w:rFonts w:hint="eastAsia" w:cs="宋体"/>
          <w:color w:val="auto"/>
          <w:sz w:val="24"/>
          <w:szCs w:val="24"/>
          <w:highlight w:val="none"/>
          <w:lang w:eastAsia="zh-CN"/>
        </w:rPr>
        <w:t>库尔勒市文化符号和民族视觉形象示范点项目（一标段）二次</w:t>
      </w:r>
      <w:r>
        <w:rPr>
          <w:rFonts w:hint="eastAsia" w:ascii="宋体" w:hAnsi="宋体" w:eastAsia="宋体" w:cs="宋体"/>
          <w:color w:val="auto"/>
          <w:sz w:val="24"/>
          <w:szCs w:val="24"/>
          <w:highlight w:val="none"/>
        </w:rPr>
        <w:t>的潜在</w:t>
      </w:r>
      <w:r>
        <w:rPr>
          <w:rFonts w:hint="eastAsia" w:cs="宋体"/>
          <w:color w:val="auto"/>
          <w:sz w:val="24"/>
          <w:szCs w:val="24"/>
          <w:highlight w:val="none"/>
          <w:lang w:eastAsia="zh-CN"/>
        </w:rPr>
        <w:t>供应商</w:t>
      </w:r>
      <w:r>
        <w:rPr>
          <w:rFonts w:hint="eastAsia" w:ascii="宋体" w:hAnsi="宋体" w:eastAsia="宋体" w:cs="宋体"/>
          <w:color w:val="auto"/>
          <w:sz w:val="24"/>
          <w:szCs w:val="24"/>
          <w:highlight w:val="none"/>
        </w:rPr>
        <w:t>应在政采云平</w:t>
      </w:r>
      <w:r>
        <w:rPr>
          <w:rFonts w:hint="eastAsia" w:eastAsia="宋体" w:cs="宋体"/>
          <w:color w:val="auto"/>
          <w:sz w:val="24"/>
          <w:szCs w:val="24"/>
          <w:highlight w:val="none"/>
          <w:lang w:eastAsia="zh-CN"/>
        </w:rPr>
        <w:t>台</w:t>
      </w:r>
      <w:r>
        <w:rPr>
          <w:rFonts w:hint="eastAsia" w:ascii="宋体" w:hAnsi="宋体" w:eastAsia="宋体" w:cs="宋体"/>
          <w:color w:val="auto"/>
          <w:sz w:val="24"/>
          <w:szCs w:val="24"/>
          <w:highlight w:val="none"/>
        </w:rPr>
        <w:t>（https://www.zcygov.cn）获取招标文件，并于</w:t>
      </w:r>
      <w:bookmarkStart w:id="723" w:name="_GoBack"/>
      <w:bookmarkEnd w:id="723"/>
      <w:r>
        <w:rPr>
          <w:rFonts w:hint="eastAsia" w:cs="宋体"/>
          <w:color w:val="auto"/>
          <w:sz w:val="24"/>
          <w:szCs w:val="24"/>
          <w:highlight w:val="none"/>
          <w:lang w:eastAsia="zh-CN"/>
        </w:rPr>
        <w:t>2025年01月13日 16:30</w:t>
      </w:r>
      <w:r>
        <w:rPr>
          <w:rFonts w:hint="eastAsia" w:eastAsia="宋体" w:cs="宋体"/>
          <w:color w:val="auto"/>
          <w:sz w:val="24"/>
          <w:szCs w:val="24"/>
          <w:highlight w:val="none"/>
          <w:lang w:eastAsia="zh-CN"/>
        </w:rPr>
        <w:t>（北京时间）</w:t>
      </w:r>
      <w:r>
        <w:rPr>
          <w:rFonts w:hint="eastAsia" w:ascii="宋体" w:hAnsi="宋体" w:eastAsia="宋体" w:cs="宋体"/>
          <w:color w:val="auto"/>
          <w:sz w:val="24"/>
          <w:szCs w:val="24"/>
          <w:highlight w:val="none"/>
        </w:rPr>
        <w:t>前递交</w:t>
      </w:r>
      <w:r>
        <w:rPr>
          <w:rFonts w:hint="eastAsia" w:cs="宋体"/>
          <w:color w:val="auto"/>
          <w:sz w:val="24"/>
          <w:szCs w:val="24"/>
          <w:highlight w:val="none"/>
          <w:lang w:eastAsia="zh-CN"/>
        </w:rPr>
        <w:t>响应文件</w:t>
      </w:r>
      <w:r>
        <w:rPr>
          <w:rFonts w:hint="eastAsia" w:ascii="宋体" w:hAnsi="宋体" w:eastAsia="宋体" w:cs="宋体"/>
          <w:color w:val="auto"/>
          <w:sz w:val="24"/>
          <w:szCs w:val="24"/>
          <w:highlight w:val="none"/>
        </w:rPr>
        <w:t>。</w:t>
      </w:r>
    </w:p>
    <w:p w14:paraId="2E34DB3D">
      <w:pPr>
        <w:pStyle w:val="11"/>
        <w:keepNext w:val="0"/>
        <w:keepLines w:val="0"/>
        <w:widowControl/>
        <w:suppressLineNumbers w:val="0"/>
        <w:spacing w:before="204" w:beforeAutospacing="0" w:after="0" w:afterLines="0" w:afterAutospacing="0" w:line="360" w:lineRule="auto"/>
        <w:ind w:left="0" w:right="0"/>
        <w:jc w:val="both"/>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一、项目基本情况</w:t>
      </w:r>
    </w:p>
    <w:p w14:paraId="40AE955D">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项目编号：</w:t>
      </w:r>
      <w:r>
        <w:rPr>
          <w:rFonts w:hint="eastAsia" w:cs="宋体"/>
          <w:color w:val="auto"/>
          <w:sz w:val="24"/>
          <w:szCs w:val="24"/>
          <w:highlight w:val="none"/>
          <w:lang w:eastAsia="zh-CN"/>
        </w:rPr>
        <w:t>GTZB(ZC)2024-245-01</w:t>
      </w:r>
    </w:p>
    <w:p w14:paraId="50E6B1C0">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cs="宋体"/>
          <w:color w:val="auto"/>
          <w:sz w:val="24"/>
          <w:szCs w:val="24"/>
          <w:highlight w:val="none"/>
          <w:lang w:eastAsia="zh-CN"/>
        </w:rPr>
        <w:t>库尔勒市文化符号和民族视觉形象示范点项目（一标段）二次</w:t>
      </w:r>
    </w:p>
    <w:p w14:paraId="7A956936">
      <w:pPr>
        <w:pStyle w:val="11"/>
        <w:keepNext w:val="0"/>
        <w:keepLines w:val="0"/>
        <w:widowControl/>
        <w:suppressLineNumbers w:val="0"/>
        <w:spacing w:before="60" w:beforeAutospacing="0" w:after="60" w:afterAutospacing="0" w:line="360" w:lineRule="auto"/>
        <w:ind w:left="0" w:right="0" w:firstLine="42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t>采购方式：</w:t>
      </w:r>
      <w:r>
        <w:rPr>
          <w:rFonts w:hint="eastAsia" w:cs="宋体"/>
          <w:color w:val="auto"/>
          <w:sz w:val="24"/>
          <w:szCs w:val="24"/>
          <w:highlight w:val="none"/>
          <w:lang w:val="en-US" w:eastAsia="zh-CN"/>
        </w:rPr>
        <w:t>公开招标</w:t>
      </w:r>
    </w:p>
    <w:p w14:paraId="781149CF">
      <w:pPr>
        <w:pStyle w:val="11"/>
        <w:keepNext w:val="0"/>
        <w:keepLines w:val="0"/>
        <w:widowControl/>
        <w:suppressLineNumbers w:val="0"/>
        <w:spacing w:before="60" w:beforeAutospacing="0" w:after="60" w:afterAutospacing="0" w:line="360" w:lineRule="auto"/>
        <w:ind w:left="0" w:right="0" w:firstLine="420"/>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预算金额（元）：</w:t>
      </w:r>
      <w:r>
        <w:rPr>
          <w:rFonts w:hint="eastAsia" w:cs="宋体"/>
          <w:color w:val="auto"/>
          <w:sz w:val="24"/>
          <w:szCs w:val="24"/>
          <w:highlight w:val="none"/>
          <w:lang w:val="en-US" w:eastAsia="zh-CN"/>
        </w:rPr>
        <w:t>156800元</w:t>
      </w:r>
    </w:p>
    <w:p w14:paraId="7D5163D3">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最高限价（元）：</w:t>
      </w:r>
      <w:r>
        <w:rPr>
          <w:rFonts w:hint="eastAsia" w:cs="宋体"/>
          <w:color w:val="auto"/>
          <w:sz w:val="24"/>
          <w:szCs w:val="24"/>
          <w:highlight w:val="none"/>
          <w:lang w:val="en-US" w:eastAsia="zh-CN"/>
        </w:rPr>
        <w:t>/</w:t>
      </w:r>
    </w:p>
    <w:p w14:paraId="096CAA80">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  </w:t>
      </w:r>
    </w:p>
    <w:p w14:paraId="4B32AF23">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标项一</w:t>
      </w:r>
    </w:p>
    <w:p w14:paraId="6E4FDEAC">
      <w:pPr>
        <w:pStyle w:val="11"/>
        <w:keepNext w:val="0"/>
        <w:keepLines w:val="0"/>
        <w:widowControl/>
        <w:suppressLineNumbers w:val="0"/>
        <w:spacing w:before="60" w:beforeAutospacing="0" w:after="60" w:afterAutospacing="0" w:line="360" w:lineRule="auto"/>
        <w:ind w:left="0" w:right="0" w:firstLine="42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标项名称：新时代文明实践中心及居民小区植入中华文化元素</w:t>
      </w:r>
    </w:p>
    <w:p w14:paraId="16F345EE">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数量：1     </w:t>
      </w:r>
    </w:p>
    <w:p w14:paraId="51DAFD5D">
      <w:pPr>
        <w:keepNext w:val="0"/>
        <w:keepLines w:val="0"/>
        <w:pageBreakBefore w:val="0"/>
        <w:widowControl w:val="0"/>
        <w:kinsoku/>
        <w:wordWrap/>
        <w:overflowPunct/>
        <w:topLinePunct w:val="0"/>
        <w:bidi w:val="0"/>
        <w:spacing w:beforeAutospacing="0" w:afterAutospacing="0" w:line="360" w:lineRule="auto"/>
        <w:ind w:firstLine="480" w:firstLineChars="200"/>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预算金额（元）：</w:t>
      </w:r>
      <w:r>
        <w:rPr>
          <w:rFonts w:hint="eastAsia" w:ascii="宋体" w:hAnsi="宋体" w:cs="宋体"/>
          <w:color w:val="auto"/>
          <w:kern w:val="0"/>
          <w:sz w:val="24"/>
          <w:szCs w:val="24"/>
          <w:highlight w:val="none"/>
          <w:lang w:val="en-US" w:eastAsia="zh-CN" w:bidi="ar-SA"/>
        </w:rPr>
        <w:t>156800</w:t>
      </w:r>
      <w:r>
        <w:rPr>
          <w:rFonts w:hint="eastAsia" w:ascii="宋体" w:hAnsi="宋体" w:eastAsia="宋体" w:cs="宋体"/>
          <w:color w:val="auto"/>
          <w:kern w:val="0"/>
          <w:sz w:val="24"/>
          <w:szCs w:val="24"/>
          <w:highlight w:val="none"/>
          <w:lang w:val="en-US" w:eastAsia="zh-CN" w:bidi="ar-SA"/>
        </w:rPr>
        <w:t>元</w:t>
      </w:r>
    </w:p>
    <w:p w14:paraId="0C4182E4">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单位：项 </w:t>
      </w:r>
    </w:p>
    <w:p w14:paraId="6A3991ED">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简要规格描述或项目基本概况介绍、用途：</w:t>
      </w:r>
      <w:r>
        <w:rPr>
          <w:rFonts w:hint="eastAsia" w:cs="宋体"/>
          <w:color w:val="auto"/>
          <w:kern w:val="0"/>
          <w:sz w:val="24"/>
          <w:szCs w:val="24"/>
          <w:highlight w:val="none"/>
          <w:lang w:val="en-US" w:eastAsia="zh-CN" w:bidi="ar-SA"/>
        </w:rPr>
        <w:t>采购及安装路灯杆上中国结、灯箱等（详见招标文件）</w:t>
      </w:r>
    </w:p>
    <w:p w14:paraId="51543B2F">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合同履约期限：标项 1：自合同签订之日起25天内完成供应及安装</w:t>
      </w:r>
    </w:p>
    <w:p w14:paraId="6194B2FC">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本项目（否）接受联合体投标。 </w:t>
      </w:r>
    </w:p>
    <w:p w14:paraId="59C3DE40">
      <w:pPr>
        <w:pStyle w:val="11"/>
        <w:keepNext w:val="0"/>
        <w:keepLines w:val="0"/>
        <w:widowControl/>
        <w:suppressLineNumbers w:val="0"/>
        <w:spacing w:before="60" w:beforeAutospacing="0" w:after="60" w:afterAutospacing="0" w:line="360" w:lineRule="auto"/>
        <w:ind w:left="0" w:right="0"/>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二、申请人的资格要求：</w:t>
      </w:r>
    </w:p>
    <w:p w14:paraId="05E262EB">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r>
        <w:rPr>
          <w:rFonts w:hint="eastAsia" w:eastAsia="宋体" w:cs="宋体"/>
          <w:color w:val="auto"/>
          <w:sz w:val="24"/>
          <w:szCs w:val="24"/>
          <w:highlight w:val="none"/>
          <w:lang w:eastAsia="zh-CN"/>
        </w:rPr>
        <w:t>：</w:t>
      </w:r>
    </w:p>
    <w:p w14:paraId="4975C430">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76151FB0">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25D94C54">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）具有依法缴纳税收和社会保障资金的良好记录；</w:t>
      </w:r>
    </w:p>
    <w:p w14:paraId="1DE92BA9">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）具有履行合同所必需的</w:t>
      </w:r>
      <w:r>
        <w:rPr>
          <w:rFonts w:hint="eastAsia" w:eastAsia="宋体" w:cs="宋体"/>
          <w:color w:val="auto"/>
          <w:sz w:val="24"/>
          <w:szCs w:val="24"/>
          <w:highlight w:val="none"/>
          <w:lang w:eastAsia="zh-CN"/>
        </w:rPr>
        <w:t>货物</w:t>
      </w:r>
      <w:r>
        <w:rPr>
          <w:rFonts w:hint="eastAsia" w:ascii="宋体" w:hAnsi="宋体" w:eastAsia="宋体" w:cs="宋体"/>
          <w:color w:val="auto"/>
          <w:sz w:val="24"/>
          <w:szCs w:val="24"/>
          <w:highlight w:val="none"/>
        </w:rPr>
        <w:t>和专业技术能力；</w:t>
      </w:r>
    </w:p>
    <w:p w14:paraId="0BEE64A1">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）参加政府采购活动前三年内，在经营活动中没有重大违法记录；</w:t>
      </w:r>
    </w:p>
    <w:p w14:paraId="1FE116F0">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）法律、行政法规规定的其他条件。</w:t>
      </w:r>
    </w:p>
    <w:p w14:paraId="04AAAAAF">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2.落实政府采购政策需满足的资格要求：</w:t>
      </w:r>
      <w:r>
        <w:rPr>
          <w:rFonts w:hint="eastAsia" w:cs="宋体"/>
          <w:color w:val="auto"/>
          <w:sz w:val="24"/>
          <w:szCs w:val="24"/>
          <w:highlight w:val="none"/>
          <w:lang w:eastAsia="zh-CN"/>
        </w:rPr>
        <w:t>本项目专门面向中小企业（</w:t>
      </w:r>
      <w:r>
        <w:rPr>
          <w:rFonts w:hint="eastAsia" w:cs="宋体"/>
          <w:color w:val="auto"/>
          <w:sz w:val="24"/>
          <w:szCs w:val="24"/>
          <w:highlight w:val="none"/>
          <w:lang w:val="en-US" w:eastAsia="zh-CN"/>
        </w:rPr>
        <w:t>含中型、小型、微型</w:t>
      </w:r>
      <w:r>
        <w:rPr>
          <w:rFonts w:hint="eastAsia" w:cs="宋体"/>
          <w:color w:val="auto"/>
          <w:sz w:val="24"/>
          <w:szCs w:val="24"/>
          <w:highlight w:val="none"/>
          <w:lang w:eastAsia="zh-CN"/>
        </w:rPr>
        <w:t>）。</w:t>
      </w:r>
    </w:p>
    <w:p w14:paraId="3C88EE61">
      <w:pPr>
        <w:pStyle w:val="11"/>
        <w:keepNext w:val="0"/>
        <w:keepLines w:val="0"/>
        <w:widowControl/>
        <w:suppressLineNumbers w:val="0"/>
        <w:spacing w:before="60" w:beforeAutospacing="0" w:after="60" w:afterAutospacing="0" w:line="360" w:lineRule="auto"/>
        <w:ind w:left="0" w:right="0" w:firstLine="420"/>
        <w:rPr>
          <w:rFonts w:hint="eastAsia" w:cs="宋体"/>
          <w:color w:val="auto"/>
          <w:sz w:val="24"/>
          <w:szCs w:val="24"/>
          <w:highlight w:val="none"/>
          <w:lang w:val="en-US" w:eastAsia="zh-CN"/>
        </w:rPr>
      </w:pPr>
      <w:r>
        <w:rPr>
          <w:rFonts w:hint="eastAsia" w:cs="宋体"/>
          <w:color w:val="auto"/>
          <w:sz w:val="24"/>
          <w:szCs w:val="24"/>
          <w:highlight w:val="none"/>
          <w:lang w:val="en-US" w:eastAsia="zh-CN"/>
        </w:rPr>
        <w:t>（1）财政部、工业和信息化部《关于印发〈政府采购促进中小企业发展管理办法〉的通知》（财库[2020]46号文）；</w:t>
      </w:r>
    </w:p>
    <w:p w14:paraId="56625371">
      <w:pPr>
        <w:pStyle w:val="11"/>
        <w:keepNext w:val="0"/>
        <w:keepLines w:val="0"/>
        <w:widowControl/>
        <w:suppressLineNumbers w:val="0"/>
        <w:spacing w:before="60" w:beforeAutospacing="0" w:after="60" w:afterAutospacing="0" w:line="360" w:lineRule="auto"/>
        <w:ind w:left="0" w:right="0" w:firstLine="420"/>
        <w:rPr>
          <w:rFonts w:hint="eastAsia" w:cs="宋体"/>
          <w:color w:val="auto"/>
          <w:sz w:val="24"/>
          <w:szCs w:val="24"/>
          <w:highlight w:val="none"/>
          <w:lang w:val="en-US" w:eastAsia="zh-CN"/>
        </w:rPr>
      </w:pPr>
      <w:r>
        <w:rPr>
          <w:rFonts w:hint="eastAsia" w:cs="宋体"/>
          <w:color w:val="auto"/>
          <w:sz w:val="24"/>
          <w:szCs w:val="24"/>
          <w:highlight w:val="none"/>
          <w:lang w:val="en-US" w:eastAsia="zh-CN"/>
        </w:rPr>
        <w:t>（2）财政部、司法部《关于政府采购支持监狱企业发展有关问题的通知》（财库[2014]68号文）；</w:t>
      </w:r>
    </w:p>
    <w:p w14:paraId="478D7B77">
      <w:pPr>
        <w:pStyle w:val="11"/>
        <w:keepNext w:val="0"/>
        <w:keepLines w:val="0"/>
        <w:widowControl/>
        <w:suppressLineNumbers w:val="0"/>
        <w:spacing w:before="60" w:beforeAutospacing="0" w:after="60" w:afterAutospacing="0" w:line="360" w:lineRule="auto"/>
        <w:ind w:left="0" w:right="0" w:firstLine="420"/>
        <w:rPr>
          <w:rFonts w:hint="eastAsia" w:cs="宋体"/>
          <w:color w:val="auto"/>
          <w:sz w:val="24"/>
          <w:szCs w:val="24"/>
          <w:highlight w:val="none"/>
          <w:lang w:val="en-US" w:eastAsia="zh-CN"/>
        </w:rPr>
      </w:pPr>
      <w:r>
        <w:rPr>
          <w:rFonts w:hint="eastAsia" w:cs="宋体"/>
          <w:color w:val="auto"/>
          <w:sz w:val="24"/>
          <w:szCs w:val="24"/>
          <w:highlight w:val="none"/>
          <w:lang w:val="en-US" w:eastAsia="zh-CN"/>
        </w:rPr>
        <w:t>（3）财政部、民政部、中国残疾人联合会《关于促进残疾人就业政府采购政策的通知》（财库[2026]141号）；</w:t>
      </w:r>
    </w:p>
    <w:p w14:paraId="4DF659A1">
      <w:pPr>
        <w:pStyle w:val="11"/>
        <w:keepNext w:val="0"/>
        <w:keepLines w:val="0"/>
        <w:widowControl/>
        <w:suppressLineNumbers w:val="0"/>
        <w:spacing w:before="60" w:beforeAutospacing="0" w:after="60" w:afterAutospacing="0" w:line="360" w:lineRule="auto"/>
        <w:ind w:left="0" w:right="0" w:firstLine="420"/>
        <w:rPr>
          <w:rFonts w:hint="default" w:eastAsia="宋体" w:cs="宋体"/>
          <w:color w:val="auto"/>
          <w:sz w:val="24"/>
          <w:szCs w:val="24"/>
          <w:highlight w:val="none"/>
          <w:lang w:val="en-US" w:eastAsia="zh-CN"/>
        </w:rPr>
      </w:pPr>
      <w:r>
        <w:rPr>
          <w:rFonts w:hint="eastAsia" w:cs="宋体"/>
          <w:color w:val="auto"/>
          <w:sz w:val="24"/>
          <w:szCs w:val="24"/>
          <w:highlight w:val="none"/>
          <w:lang w:val="en-US" w:eastAsia="zh-CN"/>
        </w:rPr>
        <w:t>3、在中华人民共和国境内依法注册的、具有独立承担民事责任的能力，提供有效的营业执照；</w:t>
      </w:r>
    </w:p>
    <w:p w14:paraId="588DA688">
      <w:pPr>
        <w:pStyle w:val="42"/>
        <w:keepNext w:val="0"/>
        <w:keepLines w:val="0"/>
        <w:pageBreakBefore w:val="0"/>
        <w:kinsoku/>
        <w:wordWrap/>
        <w:overflowPunct/>
        <w:topLinePunct w:val="0"/>
        <w:autoSpaceDE/>
        <w:autoSpaceDN/>
        <w:bidi w:val="0"/>
        <w:adjustRightInd/>
        <w:snapToGrid/>
        <w:spacing w:before="74" w:line="240" w:lineRule="auto"/>
        <w:ind w:left="42" w:leftChars="20" w:right="42" w:rightChars="20" w:firstLine="42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bidi="ar-SA"/>
        </w:rPr>
        <w:t>法定代表人身份证原件或法定代表人授权委托书和委托代理人身份证原件（授权委托书应附上法人和代理人身份证复印件）；</w:t>
      </w:r>
    </w:p>
    <w:p w14:paraId="1A4A9F71">
      <w:pPr>
        <w:pStyle w:val="11"/>
        <w:spacing w:after="0" w:afterLines="0" w:afterAutospacing="0" w:line="360" w:lineRule="auto"/>
        <w:ind w:firstLine="420" w:firstLineChars="0"/>
        <w:contextualSpacing/>
        <w:rPr>
          <w:rFonts w:hint="eastAsia"/>
          <w:color w:val="auto"/>
          <w:highlight w:val="none"/>
        </w:rPr>
      </w:pPr>
      <w:r>
        <w:rPr>
          <w:rFonts w:hint="eastAsia"/>
          <w:color w:val="auto"/>
          <w:highlight w:val="none"/>
          <w:lang w:val="en-US" w:eastAsia="zh-CN"/>
        </w:rPr>
        <w:t>5、符合国家有关法律法规的规定；</w:t>
      </w:r>
    </w:p>
    <w:p w14:paraId="1773F745">
      <w:pPr>
        <w:pStyle w:val="11"/>
        <w:spacing w:after="0" w:afterLines="0" w:afterAutospacing="0" w:line="360" w:lineRule="auto"/>
        <w:ind w:firstLine="420" w:firstLineChars="0"/>
        <w:contextualSpacing/>
        <w:rPr>
          <w:rFonts w:hint="default" w:eastAsia="宋体"/>
          <w:color w:val="auto"/>
          <w:highlight w:val="none"/>
          <w:lang w:val="en-US" w:eastAsia="zh-CN"/>
        </w:rPr>
      </w:pPr>
      <w:r>
        <w:rPr>
          <w:rFonts w:hint="eastAsia"/>
          <w:color w:val="auto"/>
          <w:highlight w:val="none"/>
          <w:lang w:val="en-US" w:eastAsia="zh-CN"/>
        </w:rPr>
        <w:t>6、本项目不接受联合体投标；</w:t>
      </w:r>
    </w:p>
    <w:p w14:paraId="121FD416">
      <w:pPr>
        <w:pStyle w:val="11"/>
        <w:keepNext w:val="0"/>
        <w:keepLines w:val="0"/>
        <w:widowControl/>
        <w:suppressLineNumbers w:val="0"/>
        <w:spacing w:before="60" w:beforeAutospacing="0" w:after="60" w:afterAutospacing="0" w:line="360" w:lineRule="auto"/>
        <w:ind w:left="0" w:right="0" w:firstLine="420"/>
        <w:rPr>
          <w:rFonts w:hint="default" w:eastAsia="宋体" w:cs="宋体"/>
          <w:b/>
          <w:bCs/>
          <w:color w:val="auto"/>
          <w:sz w:val="24"/>
          <w:szCs w:val="24"/>
          <w:highlight w:val="none"/>
          <w:lang w:val="en-US" w:eastAsia="zh-CN"/>
        </w:rPr>
      </w:pPr>
      <w:r>
        <w:rPr>
          <w:rFonts w:hint="eastAsia" w:cs="宋体"/>
          <w:b/>
          <w:bCs/>
          <w:color w:val="auto"/>
          <w:sz w:val="24"/>
          <w:szCs w:val="24"/>
          <w:highlight w:val="none"/>
          <w:lang w:val="en-US" w:eastAsia="zh-CN"/>
        </w:rPr>
        <w:t>7</w:t>
      </w:r>
      <w:r>
        <w:rPr>
          <w:rFonts w:hint="eastAsia" w:ascii="宋体" w:hAnsi="宋体" w:eastAsia="宋体" w:cs="宋体"/>
          <w:b/>
          <w:bCs/>
          <w:color w:val="auto"/>
          <w:sz w:val="24"/>
          <w:szCs w:val="24"/>
          <w:highlight w:val="none"/>
        </w:rPr>
        <w:t>.本项目的特定资格要求：</w:t>
      </w:r>
      <w:r>
        <w:rPr>
          <w:rFonts w:hint="eastAsia" w:cs="宋体"/>
          <w:b/>
          <w:bCs/>
          <w:color w:val="auto"/>
          <w:sz w:val="24"/>
          <w:szCs w:val="24"/>
          <w:highlight w:val="none"/>
          <w:lang w:val="en-US" w:eastAsia="zh-CN"/>
        </w:rPr>
        <w:t>无</w:t>
      </w:r>
    </w:p>
    <w:p w14:paraId="13DE5B06">
      <w:pPr>
        <w:pStyle w:val="11"/>
        <w:keepNext w:val="0"/>
        <w:keepLines w:val="0"/>
        <w:widowControl/>
        <w:suppressLineNumbers w:val="0"/>
        <w:spacing w:before="204" w:beforeAutospacing="0" w:after="104" w:afterLines="0" w:afterAutospacing="0" w:line="360" w:lineRule="auto"/>
        <w:ind w:left="0" w:right="0"/>
        <w:jc w:val="both"/>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三、获取招标文件</w:t>
      </w:r>
    </w:p>
    <w:p w14:paraId="142D0B12">
      <w:pPr>
        <w:pStyle w:val="11"/>
        <w:keepNext w:val="0"/>
        <w:keepLines w:val="0"/>
        <w:widowControl/>
        <w:suppressLineNumbers w:val="0"/>
        <w:spacing w:before="60" w:beforeAutospacing="0" w:after="0" w:afterLines="0" w:afterAutospacing="0" w:line="360" w:lineRule="auto"/>
        <w:ind w:right="0" w:firstLine="42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时间：202</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24</w:t>
      </w:r>
      <w:r>
        <w:rPr>
          <w:rFonts w:hint="eastAsia" w:ascii="宋体" w:hAnsi="宋体" w:eastAsia="宋体" w:cs="宋体"/>
          <w:color w:val="auto"/>
          <w:sz w:val="24"/>
          <w:szCs w:val="24"/>
          <w:highlight w:val="none"/>
        </w:rPr>
        <w:t>日至：202</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31</w:t>
      </w:r>
      <w:r>
        <w:rPr>
          <w:rFonts w:hint="eastAsia" w:ascii="宋体" w:hAnsi="宋体" w:eastAsia="宋体" w:cs="宋体"/>
          <w:color w:val="auto"/>
          <w:sz w:val="24"/>
          <w:szCs w:val="24"/>
          <w:highlight w:val="none"/>
        </w:rPr>
        <w:t>日；每天上午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lang w:val="en-US" w:eastAsia="zh-CN"/>
        </w:rPr>
        <w:t xml:space="preserve"> 0</w:t>
      </w:r>
      <w:r>
        <w:rPr>
          <w:rFonts w:hint="eastAsia" w:ascii="宋体" w:hAnsi="宋体" w:eastAsia="宋体" w:cs="宋体"/>
          <w:color w:val="auto"/>
          <w:sz w:val="24"/>
          <w:szCs w:val="24"/>
          <w:highlight w:val="none"/>
        </w:rPr>
        <w:t>0分至1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0分，下</w:t>
      </w:r>
      <w:r>
        <w:rPr>
          <w:rFonts w:hint="eastAsia" w:ascii="宋体" w:hAnsi="宋体" w:eastAsia="宋体" w:cs="宋体"/>
          <w:color w:val="auto"/>
          <w:sz w:val="24"/>
          <w:szCs w:val="24"/>
          <w:highlight w:val="none"/>
          <w:lang w:val="en-US" w:eastAsia="zh-CN"/>
        </w:rPr>
        <w:t>午</w:t>
      </w:r>
      <w:r>
        <w:rPr>
          <w:rFonts w:hint="eastAsia" w:cs="宋体"/>
          <w:color w:val="auto"/>
          <w:sz w:val="24"/>
          <w:szCs w:val="24"/>
          <w:highlight w:val="none"/>
          <w:lang w:val="en-US" w:eastAsia="zh-CN"/>
        </w:rPr>
        <w:t>15</w:t>
      </w:r>
      <w:r>
        <w:rPr>
          <w:rFonts w:hint="eastAsia" w:ascii="宋体" w:hAnsi="宋体" w:eastAsia="宋体" w:cs="宋体"/>
          <w:color w:val="auto"/>
          <w:sz w:val="24"/>
          <w:szCs w:val="24"/>
          <w:highlight w:val="none"/>
        </w:rPr>
        <w:t>时</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0分至</w:t>
      </w:r>
      <w:r>
        <w:rPr>
          <w:rFonts w:hint="eastAsia" w:cs="宋体"/>
          <w:color w:val="auto"/>
          <w:sz w:val="24"/>
          <w:szCs w:val="24"/>
          <w:highlight w:val="none"/>
          <w:lang w:val="en-US" w:eastAsia="zh-CN"/>
        </w:rPr>
        <w:t>19</w:t>
      </w:r>
      <w:r>
        <w:rPr>
          <w:rFonts w:hint="eastAsia" w:ascii="宋体" w:hAnsi="宋体" w:eastAsia="宋体" w:cs="宋体"/>
          <w:color w:val="auto"/>
          <w:sz w:val="24"/>
          <w:szCs w:val="24"/>
          <w:highlight w:val="none"/>
        </w:rPr>
        <w:t>时</w:t>
      </w:r>
      <w:r>
        <w:rPr>
          <w:rFonts w:hint="eastAsia" w:cs="宋体"/>
          <w:color w:val="auto"/>
          <w:sz w:val="24"/>
          <w:szCs w:val="24"/>
          <w:highlight w:val="none"/>
          <w:lang w:val="en-US" w:eastAsia="zh-CN"/>
        </w:rPr>
        <w:t>30</w:t>
      </w:r>
      <w:r>
        <w:rPr>
          <w:rFonts w:hint="eastAsia" w:ascii="宋体" w:hAnsi="宋体" w:eastAsia="宋体" w:cs="宋体"/>
          <w:color w:val="auto"/>
          <w:sz w:val="24"/>
          <w:szCs w:val="24"/>
          <w:highlight w:val="none"/>
        </w:rPr>
        <w:t>分（北京时间，法定节假日除外）</w:t>
      </w:r>
      <w:r>
        <w:rPr>
          <w:rFonts w:hint="eastAsia" w:ascii="宋体" w:hAnsi="宋体" w:eastAsia="宋体" w:cs="宋体"/>
          <w:color w:val="auto"/>
          <w:sz w:val="24"/>
          <w:szCs w:val="24"/>
          <w:highlight w:val="none"/>
          <w:lang w:eastAsia="zh-CN"/>
        </w:rPr>
        <w:t>。</w:t>
      </w:r>
    </w:p>
    <w:p w14:paraId="431183ED">
      <w:pPr>
        <w:pStyle w:val="11"/>
        <w:keepNext w:val="0"/>
        <w:keepLines w:val="0"/>
        <w:widowControl/>
        <w:suppressLineNumbers w:val="0"/>
        <w:spacing w:before="60" w:beforeAutospacing="0" w:after="0" w:afterLines="0" w:afterAutospacing="0" w:line="360" w:lineRule="auto"/>
        <w:ind w:right="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地点：登陆政采云平台http://www.</w:t>
      </w:r>
      <w:r>
        <w:rPr>
          <w:rFonts w:hint="eastAsia" w:ascii="宋体" w:hAnsi="宋体" w:eastAsia="宋体" w:cs="宋体"/>
          <w:color w:val="auto"/>
          <w:sz w:val="24"/>
          <w:szCs w:val="24"/>
          <w:highlight w:val="none"/>
          <w:lang w:eastAsia="zh-CN"/>
        </w:rPr>
        <w:t>ZC</w:t>
      </w:r>
      <w:r>
        <w:rPr>
          <w:rFonts w:hint="eastAsia" w:ascii="宋体" w:hAnsi="宋体" w:eastAsia="宋体" w:cs="宋体"/>
          <w:color w:val="auto"/>
          <w:sz w:val="24"/>
          <w:szCs w:val="24"/>
          <w:highlight w:val="none"/>
        </w:rPr>
        <w:t>ygov.cn/在线申请获取。</w:t>
      </w:r>
    </w:p>
    <w:p w14:paraId="2E97A9BC">
      <w:pPr>
        <w:pStyle w:val="11"/>
        <w:keepNext w:val="0"/>
        <w:keepLines w:val="0"/>
        <w:widowControl/>
        <w:suppressLineNumbers w:val="0"/>
        <w:spacing w:before="60" w:beforeAutospacing="0" w:after="0" w:afterLines="0" w:afterAutospacing="0" w:line="360" w:lineRule="auto"/>
        <w:ind w:right="0"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方式：（1）线上获取（登录政府采购云平台→项目采购→获取</w:t>
      </w:r>
      <w:r>
        <w:rPr>
          <w:rFonts w:hint="eastAsia"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→申请，审核通过后可下载</w:t>
      </w:r>
      <w:r>
        <w:rPr>
          <w:rFonts w:hint="eastAsia"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w:t>
      </w:r>
    </w:p>
    <w:p w14:paraId="3FB50450">
      <w:pPr>
        <w:pStyle w:val="11"/>
        <w:keepNext w:val="0"/>
        <w:keepLines w:val="0"/>
        <w:widowControl/>
        <w:suppressLineNumbers w:val="0"/>
        <w:spacing w:before="60" w:beforeAutospacing="0" w:after="0" w:afterLines="0" w:afterAutospacing="0" w:line="360" w:lineRule="auto"/>
        <w:ind w:left="0" w:right="0"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售价（元）：0</w:t>
      </w:r>
      <w:r>
        <w:rPr>
          <w:rFonts w:hint="eastAsia" w:cs="宋体"/>
          <w:color w:val="auto"/>
          <w:sz w:val="24"/>
          <w:szCs w:val="24"/>
          <w:highlight w:val="none"/>
          <w:lang w:val="en-US" w:eastAsia="zh-CN"/>
        </w:rPr>
        <w:t>元</w:t>
      </w:r>
    </w:p>
    <w:p w14:paraId="62A49FF2">
      <w:pPr>
        <w:pStyle w:val="11"/>
        <w:keepNext w:val="0"/>
        <w:keepLines w:val="0"/>
        <w:widowControl/>
        <w:suppressLineNumbers w:val="0"/>
        <w:spacing w:before="74" w:beforeLines="0" w:beforeAutospacing="0" w:after="74" w:afterLines="0" w:afterAutospacing="0" w:line="360" w:lineRule="auto"/>
        <w:ind w:left="0" w:right="0"/>
        <w:jc w:val="both"/>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四、提交</w:t>
      </w:r>
      <w:r>
        <w:rPr>
          <w:rStyle w:val="33"/>
          <w:rFonts w:hint="eastAsia" w:cs="宋体"/>
          <w:color w:val="auto"/>
          <w:sz w:val="24"/>
          <w:szCs w:val="24"/>
          <w:highlight w:val="none"/>
          <w:lang w:eastAsia="zh-CN"/>
        </w:rPr>
        <w:t>响应文件</w:t>
      </w:r>
      <w:r>
        <w:rPr>
          <w:rStyle w:val="33"/>
          <w:rFonts w:hint="eastAsia" w:ascii="宋体" w:hAnsi="宋体" w:eastAsia="宋体" w:cs="宋体"/>
          <w:color w:val="auto"/>
          <w:sz w:val="24"/>
          <w:szCs w:val="24"/>
          <w:highlight w:val="none"/>
        </w:rPr>
        <w:t>截止时间、开标时间和地点</w:t>
      </w:r>
    </w:p>
    <w:p w14:paraId="1709797A">
      <w:pPr>
        <w:pStyle w:val="11"/>
        <w:keepNext w:val="0"/>
        <w:keepLines w:val="0"/>
        <w:widowControl/>
        <w:suppressLineNumbers w:val="0"/>
        <w:spacing w:before="0" w:beforeLines="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w:t>
      </w:r>
      <w:r>
        <w:rPr>
          <w:rFonts w:hint="eastAsia" w:cs="宋体"/>
          <w:color w:val="auto"/>
          <w:sz w:val="24"/>
          <w:szCs w:val="24"/>
          <w:highlight w:val="none"/>
          <w:lang w:eastAsia="zh-CN"/>
        </w:rPr>
        <w:t>响应文件</w:t>
      </w:r>
      <w:r>
        <w:rPr>
          <w:rFonts w:hint="eastAsia" w:ascii="宋体" w:hAnsi="宋体" w:eastAsia="宋体" w:cs="宋体"/>
          <w:color w:val="auto"/>
          <w:sz w:val="24"/>
          <w:szCs w:val="24"/>
          <w:highlight w:val="none"/>
        </w:rPr>
        <w:t>截止时间：</w:t>
      </w:r>
      <w:r>
        <w:rPr>
          <w:rFonts w:hint="eastAsia" w:cs="宋体"/>
          <w:color w:val="auto"/>
          <w:sz w:val="24"/>
          <w:szCs w:val="24"/>
          <w:highlight w:val="none"/>
          <w:lang w:eastAsia="zh-CN"/>
        </w:rPr>
        <w:t>2025年01月13日 16:30</w:t>
      </w:r>
      <w:r>
        <w:rPr>
          <w:rFonts w:hint="eastAsia" w:eastAsia="宋体" w:cs="宋体"/>
          <w:color w:val="auto"/>
          <w:sz w:val="24"/>
          <w:szCs w:val="24"/>
          <w:highlight w:val="none"/>
          <w:lang w:eastAsia="zh-CN"/>
        </w:rPr>
        <w:t>（北京时间）</w:t>
      </w:r>
    </w:p>
    <w:p w14:paraId="79733588">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投标地点：政采云平台（https://www.zcygov.cn）</w:t>
      </w:r>
    </w:p>
    <w:p w14:paraId="4722B3FC">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开标时间：</w:t>
      </w:r>
      <w:r>
        <w:rPr>
          <w:rFonts w:hint="eastAsia" w:cs="宋体"/>
          <w:color w:val="auto"/>
          <w:sz w:val="24"/>
          <w:szCs w:val="24"/>
          <w:highlight w:val="none"/>
          <w:lang w:eastAsia="zh-CN"/>
        </w:rPr>
        <w:t>2025年01月13日 16:30</w:t>
      </w:r>
      <w:r>
        <w:rPr>
          <w:rFonts w:hint="eastAsia" w:eastAsia="宋体" w:cs="宋体"/>
          <w:color w:val="auto"/>
          <w:sz w:val="24"/>
          <w:szCs w:val="24"/>
          <w:highlight w:val="none"/>
          <w:lang w:eastAsia="zh-CN"/>
        </w:rPr>
        <w:t>（北京时间）</w:t>
      </w:r>
    </w:p>
    <w:p w14:paraId="2EDFDDA8">
      <w:pPr>
        <w:pStyle w:val="11"/>
        <w:keepNext w:val="0"/>
        <w:keepLines w:val="0"/>
        <w:widowControl/>
        <w:suppressLineNumbers w:val="0"/>
        <w:spacing w:before="60" w:beforeAutospacing="0" w:after="0" w:afterLines="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开标地点：政采云平台（https://www.zcygov.cn）</w:t>
      </w:r>
    </w:p>
    <w:p w14:paraId="703BC8E2">
      <w:pPr>
        <w:pStyle w:val="11"/>
        <w:keepNext w:val="0"/>
        <w:keepLines w:val="0"/>
        <w:widowControl/>
        <w:suppressLineNumbers w:val="0"/>
        <w:spacing w:before="64" w:beforeLines="0" w:beforeAutospacing="0" w:after="64" w:afterLines="0" w:afterAutospacing="0" w:line="360" w:lineRule="auto"/>
        <w:ind w:left="0" w:right="0"/>
        <w:jc w:val="both"/>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五、公告期限</w:t>
      </w:r>
    </w:p>
    <w:p w14:paraId="25113C2C">
      <w:pPr>
        <w:pStyle w:val="11"/>
        <w:keepNext w:val="0"/>
        <w:keepLines w:val="0"/>
        <w:widowControl/>
        <w:suppressLineNumbers w:val="0"/>
        <w:spacing w:before="0" w:beforeLines="0" w:beforeAutospacing="0" w:after="0" w:afterLines="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个工作日。</w:t>
      </w:r>
    </w:p>
    <w:p w14:paraId="6D361B7B">
      <w:pPr>
        <w:pStyle w:val="11"/>
        <w:keepNext w:val="0"/>
        <w:keepLines w:val="0"/>
        <w:widowControl/>
        <w:suppressLineNumbers w:val="0"/>
        <w:spacing w:before="74" w:beforeLines="0" w:beforeAutospacing="0" w:after="74" w:afterLines="0" w:afterAutospacing="0" w:line="360" w:lineRule="auto"/>
        <w:ind w:left="0" w:right="0"/>
        <w:jc w:val="both"/>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六、其他补充事宜</w:t>
      </w:r>
    </w:p>
    <w:p w14:paraId="178950EC">
      <w:pPr>
        <w:pStyle w:val="11"/>
        <w:keepNext w:val="0"/>
        <w:keepLines w:val="0"/>
        <w:widowControl/>
        <w:suppressLineNumbers w:val="0"/>
        <w:spacing w:before="64" w:beforeLines="0" w:beforeAutospacing="0" w:after="64" w:afterLines="0" w:afterAutospacing="0" w:line="360" w:lineRule="auto"/>
        <w:ind w:left="0" w:right="0" w:firstLine="420" w:firstLineChars="0"/>
        <w:jc w:val="both"/>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xml:space="preserve">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 </w:t>
      </w:r>
    </w:p>
    <w:p w14:paraId="7B236C9E">
      <w:pPr>
        <w:pStyle w:val="11"/>
        <w:keepNext w:val="0"/>
        <w:keepLines w:val="0"/>
        <w:widowControl/>
        <w:suppressLineNumbers w:val="0"/>
        <w:spacing w:before="64" w:beforeLines="0" w:beforeAutospacing="0" w:after="64" w:afterLines="0" w:afterAutospacing="0" w:line="360" w:lineRule="auto"/>
        <w:ind w:left="0" w:right="0" w:firstLine="420" w:firstLineChars="0"/>
        <w:jc w:val="both"/>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2.本项目实行网上投标，采用电子</w:t>
      </w:r>
      <w:r>
        <w:rPr>
          <w:rStyle w:val="33"/>
          <w:rFonts w:hint="eastAsia" w:ascii="宋体" w:hAnsi="宋体" w:eastAsia="宋体" w:cs="宋体"/>
          <w:b w:val="0"/>
          <w:bCs w:val="0"/>
          <w:color w:val="auto"/>
          <w:sz w:val="24"/>
          <w:szCs w:val="24"/>
          <w:highlight w:val="none"/>
          <w:lang w:val="en-US" w:eastAsia="zh-CN"/>
        </w:rPr>
        <w:t>响应</w:t>
      </w:r>
      <w:r>
        <w:rPr>
          <w:rStyle w:val="33"/>
          <w:rFonts w:hint="eastAsia" w:ascii="宋体" w:hAnsi="宋体" w:eastAsia="宋体" w:cs="宋体"/>
          <w:b w:val="0"/>
          <w:bCs w:val="0"/>
          <w:color w:val="auto"/>
          <w:sz w:val="24"/>
          <w:szCs w:val="24"/>
          <w:highlight w:val="none"/>
        </w:rPr>
        <w:t>文件(供应商须使用CA加密设备通过政采云电子投标客户端制作</w:t>
      </w:r>
      <w:r>
        <w:rPr>
          <w:rStyle w:val="33"/>
          <w:rFonts w:hint="eastAsia" w:ascii="宋体" w:hAnsi="宋体" w:eastAsia="宋体" w:cs="宋体"/>
          <w:b w:val="0"/>
          <w:bCs w:val="0"/>
          <w:color w:val="auto"/>
          <w:sz w:val="24"/>
          <w:szCs w:val="24"/>
          <w:highlight w:val="none"/>
          <w:lang w:val="en-US" w:eastAsia="zh-CN"/>
        </w:rPr>
        <w:t>响应</w:t>
      </w:r>
      <w:r>
        <w:rPr>
          <w:rStyle w:val="33"/>
          <w:rFonts w:hint="eastAsia" w:ascii="宋体" w:hAnsi="宋体" w:eastAsia="宋体" w:cs="宋体"/>
          <w:b w:val="0"/>
          <w:bCs w:val="0"/>
          <w:color w:val="auto"/>
          <w:sz w:val="24"/>
          <w:szCs w:val="24"/>
          <w:highlight w:val="none"/>
        </w:rPr>
        <w:t xml:space="preserve">文件)。若供应商参与投标，自行承担投标一切费用。 </w:t>
      </w:r>
    </w:p>
    <w:p w14:paraId="6714F70F">
      <w:pPr>
        <w:pStyle w:val="11"/>
        <w:keepNext w:val="0"/>
        <w:keepLines w:val="0"/>
        <w:widowControl/>
        <w:suppressLineNumbers w:val="0"/>
        <w:spacing w:before="64" w:beforeLines="0" w:beforeAutospacing="0" w:after="64" w:afterLines="0" w:afterAutospacing="0" w:line="360" w:lineRule="auto"/>
        <w:ind w:left="0" w:right="0" w:firstLine="420" w:firstLineChars="0"/>
        <w:jc w:val="both"/>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xml:space="preserve">3.各供应商应在开标前应确保成为新疆维吾尔自治区政府采购网正式注册入库供应商，并完成CA数字证书申领。因未注册入库、未办理CA数字证书等原因造成无法投标或投标失败等后果由供应商自行承担。 </w:t>
      </w:r>
    </w:p>
    <w:p w14:paraId="426B2BD7">
      <w:pPr>
        <w:pStyle w:val="11"/>
        <w:keepNext w:val="0"/>
        <w:keepLines w:val="0"/>
        <w:widowControl/>
        <w:suppressLineNumbers w:val="0"/>
        <w:spacing w:before="64" w:beforeLines="0" w:beforeAutospacing="0" w:after="64" w:afterLines="0" w:afterAutospacing="0" w:line="360" w:lineRule="auto"/>
        <w:ind w:left="0" w:right="0" w:firstLine="420" w:firstLineChars="0"/>
        <w:jc w:val="both"/>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4.供应商将政采云电子交易客户端下载、安装完成后，可通过账号密码或CA登录客户端进行</w:t>
      </w:r>
      <w:r>
        <w:rPr>
          <w:rStyle w:val="33"/>
          <w:rFonts w:hint="eastAsia" w:ascii="宋体" w:hAnsi="宋体" w:eastAsia="宋体" w:cs="宋体"/>
          <w:b w:val="0"/>
          <w:bCs w:val="0"/>
          <w:color w:val="auto"/>
          <w:sz w:val="24"/>
          <w:szCs w:val="24"/>
          <w:highlight w:val="none"/>
          <w:lang w:val="en-US" w:eastAsia="zh-CN"/>
        </w:rPr>
        <w:t>响应</w:t>
      </w:r>
      <w:r>
        <w:rPr>
          <w:rStyle w:val="33"/>
          <w:rFonts w:hint="eastAsia" w:ascii="宋体" w:hAnsi="宋体" w:eastAsia="宋体" w:cs="宋体"/>
          <w:b w:val="0"/>
          <w:bCs w:val="0"/>
          <w:color w:val="auto"/>
          <w:sz w:val="24"/>
          <w:szCs w:val="24"/>
          <w:highlight w:val="none"/>
        </w:rPr>
        <w:t>文件制作。在使用政采云投标客户端时，建议使用WIN7及以上操作系统。客户端请至新疆政府采购网（http://www.ccgp-xinjiang.gov.cn/）下载专区查看，如有问题可拨打政采云客户服务热线</w:t>
      </w:r>
      <w:r>
        <w:rPr>
          <w:rStyle w:val="33"/>
          <w:rFonts w:hint="eastAsia" w:ascii="宋体" w:hAnsi="宋体" w:eastAsia="宋体" w:cs="宋体"/>
          <w:b w:val="0"/>
          <w:bCs w:val="0"/>
          <w:color w:val="auto"/>
          <w:sz w:val="24"/>
          <w:szCs w:val="24"/>
          <w:highlight w:val="none"/>
          <w:lang w:eastAsia="zh-CN"/>
        </w:rPr>
        <w:t>95763</w:t>
      </w:r>
      <w:r>
        <w:rPr>
          <w:rStyle w:val="33"/>
          <w:rFonts w:hint="eastAsia" w:ascii="宋体" w:hAnsi="宋体" w:eastAsia="宋体" w:cs="宋体"/>
          <w:b w:val="0"/>
          <w:bCs w:val="0"/>
          <w:color w:val="auto"/>
          <w:sz w:val="24"/>
          <w:szCs w:val="24"/>
          <w:highlight w:val="none"/>
        </w:rPr>
        <w:t xml:space="preserve">进行咨询。 </w:t>
      </w:r>
    </w:p>
    <w:p w14:paraId="5DA3133B">
      <w:pPr>
        <w:pStyle w:val="11"/>
        <w:keepNext w:val="0"/>
        <w:keepLines w:val="0"/>
        <w:widowControl/>
        <w:suppressLineNumbers w:val="0"/>
        <w:spacing w:before="64" w:beforeLines="0" w:beforeAutospacing="0" w:after="64" w:afterLines="0" w:afterAutospacing="0" w:line="360" w:lineRule="auto"/>
        <w:ind w:left="0" w:right="0" w:firstLine="420" w:firstLineChars="0"/>
        <w:jc w:val="both"/>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5.供应商在开标时须使用制作加密电子</w:t>
      </w:r>
      <w:r>
        <w:rPr>
          <w:rStyle w:val="33"/>
          <w:rFonts w:hint="eastAsia" w:ascii="宋体" w:hAnsi="宋体" w:eastAsia="宋体" w:cs="宋体"/>
          <w:b w:val="0"/>
          <w:bCs w:val="0"/>
          <w:color w:val="auto"/>
          <w:sz w:val="24"/>
          <w:szCs w:val="24"/>
          <w:highlight w:val="none"/>
          <w:lang w:val="en-US" w:eastAsia="zh-CN"/>
        </w:rPr>
        <w:t>响应</w:t>
      </w:r>
      <w:r>
        <w:rPr>
          <w:rStyle w:val="33"/>
          <w:rFonts w:hint="eastAsia" w:ascii="宋体" w:hAnsi="宋体" w:eastAsia="宋体" w:cs="宋体"/>
          <w:b w:val="0"/>
          <w:bCs w:val="0"/>
          <w:color w:val="auto"/>
          <w:sz w:val="24"/>
          <w:szCs w:val="24"/>
          <w:highlight w:val="none"/>
        </w:rPr>
        <w:t xml:space="preserve">文件所使用的CA锁及电脑，电脑须提前配置好浏览器，以便开标时解锁。  </w:t>
      </w:r>
    </w:p>
    <w:p w14:paraId="4A9D366A">
      <w:pPr>
        <w:pStyle w:val="11"/>
        <w:keepNext w:val="0"/>
        <w:keepLines w:val="0"/>
        <w:widowControl/>
        <w:suppressLineNumbers w:val="0"/>
        <w:spacing w:before="64" w:beforeLines="0" w:beforeAutospacing="0" w:after="64" w:afterLines="0" w:afterAutospacing="0" w:line="360" w:lineRule="auto"/>
        <w:ind w:left="0" w:right="0" w:firstLine="420" w:firstLineChars="0"/>
        <w:jc w:val="both"/>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6.供应商对不见面开评标系统的技术操作咨询，可通过https://edu.</w:t>
      </w:r>
      <w:r>
        <w:rPr>
          <w:rStyle w:val="33"/>
          <w:rFonts w:hint="eastAsia" w:ascii="宋体" w:hAnsi="宋体" w:eastAsia="宋体" w:cs="宋体"/>
          <w:b w:val="0"/>
          <w:bCs w:val="0"/>
          <w:color w:val="auto"/>
          <w:sz w:val="24"/>
          <w:szCs w:val="24"/>
          <w:highlight w:val="none"/>
          <w:lang w:eastAsia="zh-CN"/>
        </w:rPr>
        <w:t>ZC</w:t>
      </w:r>
      <w:r>
        <w:rPr>
          <w:rStyle w:val="33"/>
          <w:rFonts w:hint="eastAsia" w:ascii="宋体" w:hAnsi="宋体" w:eastAsia="宋体" w:cs="宋体"/>
          <w:b w:val="0"/>
          <w:bCs w:val="0"/>
          <w:color w:val="auto"/>
          <w:sz w:val="24"/>
          <w:szCs w:val="24"/>
          <w:highlight w:val="none"/>
        </w:rPr>
        <w:t>ygov.cn/luban/xinjiang-e-biding自助查询，也可在政采云帮助中心常见问题解答和操作流程讲解视频中自助查询，网址为：https://service.</w:t>
      </w:r>
      <w:r>
        <w:rPr>
          <w:rStyle w:val="33"/>
          <w:rFonts w:hint="eastAsia" w:ascii="宋体" w:hAnsi="宋体" w:eastAsia="宋体" w:cs="宋体"/>
          <w:b w:val="0"/>
          <w:bCs w:val="0"/>
          <w:color w:val="auto"/>
          <w:sz w:val="24"/>
          <w:szCs w:val="24"/>
          <w:highlight w:val="none"/>
          <w:lang w:eastAsia="zh-CN"/>
        </w:rPr>
        <w:t>ZC</w:t>
      </w:r>
      <w:r>
        <w:rPr>
          <w:rStyle w:val="33"/>
          <w:rFonts w:hint="eastAsia" w:ascii="宋体" w:hAnsi="宋体" w:eastAsia="宋体" w:cs="宋体"/>
          <w:b w:val="0"/>
          <w:bCs w:val="0"/>
          <w:color w:val="auto"/>
          <w:sz w:val="24"/>
          <w:szCs w:val="24"/>
          <w:highlight w:val="none"/>
        </w:rPr>
        <w:t>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7A2E3A69">
      <w:pPr>
        <w:pStyle w:val="11"/>
        <w:keepNext w:val="0"/>
        <w:keepLines w:val="0"/>
        <w:widowControl/>
        <w:suppressLineNumbers w:val="0"/>
        <w:spacing w:before="64" w:beforeLines="0" w:beforeAutospacing="0" w:after="64" w:afterLines="0" w:afterAutospacing="0" w:line="360" w:lineRule="auto"/>
        <w:ind w:left="0" w:right="0"/>
        <w:jc w:val="both"/>
        <w:rPr>
          <w:rFonts w:hint="eastAsia" w:ascii="宋体" w:hAnsi="宋体" w:eastAsia="宋体" w:cs="宋体"/>
          <w:color w:val="auto"/>
          <w:sz w:val="24"/>
          <w:szCs w:val="24"/>
          <w:highlight w:val="none"/>
        </w:rPr>
      </w:pPr>
      <w:r>
        <w:rPr>
          <w:rStyle w:val="33"/>
          <w:rFonts w:hint="eastAsia" w:ascii="宋体" w:hAnsi="宋体" w:eastAsia="宋体" w:cs="宋体"/>
          <w:color w:val="auto"/>
          <w:sz w:val="24"/>
          <w:szCs w:val="24"/>
          <w:highlight w:val="none"/>
        </w:rPr>
        <w:t>七、对本次采购提出询问，请按以下方式联系</w:t>
      </w:r>
    </w:p>
    <w:p w14:paraId="2E876ECB">
      <w:pPr>
        <w:pStyle w:val="11"/>
        <w:keepNext w:val="0"/>
        <w:keepLines w:val="0"/>
        <w:widowControl/>
        <w:suppressLineNumbers w:val="0"/>
        <w:spacing w:before="0" w:beforeLines="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cs="宋体"/>
          <w:color w:val="auto"/>
          <w:sz w:val="24"/>
          <w:szCs w:val="24"/>
          <w:highlight w:val="none"/>
          <w:lang w:eastAsia="zh-CN"/>
        </w:rPr>
        <w:t>招标人</w:t>
      </w:r>
      <w:r>
        <w:rPr>
          <w:rFonts w:hint="eastAsia" w:ascii="宋体" w:hAnsi="宋体" w:eastAsia="宋体" w:cs="宋体"/>
          <w:color w:val="auto"/>
          <w:sz w:val="24"/>
          <w:szCs w:val="24"/>
          <w:highlight w:val="none"/>
        </w:rPr>
        <w:t>信息</w:t>
      </w:r>
    </w:p>
    <w:p w14:paraId="6756E39B">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Style w:val="35"/>
          <w:rFonts w:hint="eastAsia" w:cs="宋体"/>
          <w:color w:val="auto"/>
          <w:sz w:val="24"/>
          <w:szCs w:val="24"/>
          <w:highlight w:val="none"/>
          <w:lang w:eastAsia="zh-CN"/>
        </w:rPr>
        <w:t>中共库尔勒市委员会宣传部</w:t>
      </w:r>
    </w:p>
    <w:p w14:paraId="594E908F">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r>
        <w:rPr>
          <w:rFonts w:hint="eastAsia" w:cs="宋体"/>
          <w:color w:val="auto"/>
          <w:sz w:val="24"/>
          <w:szCs w:val="24"/>
          <w:highlight w:val="none"/>
          <w:lang w:eastAsia="zh-CN"/>
        </w:rPr>
        <w:t>库尔勒市</w:t>
      </w:r>
    </w:p>
    <w:p w14:paraId="352F7D6C">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cs="宋体"/>
          <w:color w:val="auto"/>
          <w:sz w:val="24"/>
          <w:szCs w:val="24"/>
          <w:highlight w:val="none"/>
          <w:lang w:eastAsia="zh-CN"/>
        </w:rPr>
        <w:t>13139737266</w:t>
      </w:r>
    </w:p>
    <w:p w14:paraId="41AAD1AE">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5A6DE627">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cs="宋体"/>
          <w:color w:val="auto"/>
          <w:sz w:val="24"/>
          <w:szCs w:val="24"/>
          <w:highlight w:val="none"/>
          <w:lang w:eastAsia="zh-CN"/>
        </w:rPr>
        <w:t>新疆国腾工程项目管理咨询有限公司</w:t>
      </w:r>
    </w:p>
    <w:p w14:paraId="7BC62EE4">
      <w:pPr>
        <w:pStyle w:val="11"/>
        <w:keepNext w:val="0"/>
        <w:keepLines w:val="0"/>
        <w:widowControl/>
        <w:suppressLineNumbers w:val="0"/>
        <w:spacing w:before="60" w:beforeAutospacing="0" w:after="60" w:afterAutospacing="0" w:line="360" w:lineRule="auto"/>
        <w:ind w:left="0" w:right="0" w:firstLine="420"/>
        <w:rPr>
          <w:rFonts w:hint="eastAsia"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r>
        <w:rPr>
          <w:rFonts w:hint="eastAsia" w:cs="宋体"/>
          <w:color w:val="auto"/>
          <w:sz w:val="24"/>
          <w:szCs w:val="24"/>
          <w:highlight w:val="none"/>
          <w:lang w:eastAsia="zh-CN"/>
        </w:rPr>
        <w:t>库尔勒市永安大道观棠云邸18号楼一层</w:t>
      </w:r>
    </w:p>
    <w:p w14:paraId="35D2A1B5">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Style w:val="35"/>
          <w:rFonts w:hint="eastAsia" w:cs="宋体"/>
          <w:color w:val="auto"/>
          <w:sz w:val="24"/>
          <w:szCs w:val="24"/>
          <w:highlight w:val="none"/>
          <w:lang w:val="en-US" w:eastAsia="zh-CN"/>
        </w:rPr>
        <w:t>姚嘉瑜</w:t>
      </w:r>
    </w:p>
    <w:p w14:paraId="00EBD3D6">
      <w:pPr>
        <w:pStyle w:val="11"/>
        <w:keepNext w:val="0"/>
        <w:keepLines w:val="0"/>
        <w:widowControl/>
        <w:suppressLineNumbers w:val="0"/>
        <w:spacing w:before="60" w:beforeAutospacing="0" w:after="60" w:afterAutospacing="0" w:line="360" w:lineRule="auto"/>
        <w:ind w:left="0" w:right="0" w:firstLine="420"/>
        <w:rPr>
          <w:rFonts w:hint="eastAsia"/>
          <w:color w:val="auto"/>
          <w:highlight w:val="none"/>
        </w:rPr>
      </w:pPr>
      <w:r>
        <w:rPr>
          <w:rFonts w:hint="eastAsia" w:ascii="宋体" w:hAnsi="宋体" w:eastAsia="宋体" w:cs="宋体"/>
          <w:color w:val="auto"/>
          <w:sz w:val="24"/>
          <w:szCs w:val="24"/>
          <w:highlight w:val="none"/>
        </w:rPr>
        <w:t>联系方式：</w:t>
      </w:r>
      <w:r>
        <w:rPr>
          <w:rFonts w:hint="eastAsia" w:cs="宋体"/>
          <w:color w:val="auto"/>
          <w:sz w:val="24"/>
          <w:szCs w:val="24"/>
          <w:highlight w:val="none"/>
          <w:lang w:val="en-US" w:eastAsia="zh-CN"/>
        </w:rPr>
        <w:t>16609906037</w:t>
      </w:r>
    </w:p>
    <w:p w14:paraId="02ED0738">
      <w:pPr>
        <w:rPr>
          <w:rFonts w:hint="eastAsia" w:ascii="宋体" w:hAnsi="宋体" w:eastAsia="宋体"/>
          <w:color w:val="auto"/>
          <w:sz w:val="48"/>
          <w:szCs w:val="48"/>
          <w:highlight w:val="none"/>
        </w:rPr>
      </w:pPr>
      <w:bookmarkStart w:id="4" w:name="_Toc297209393"/>
      <w:bookmarkStart w:id="5" w:name="_Toc12430"/>
      <w:r>
        <w:rPr>
          <w:rFonts w:hint="eastAsia" w:ascii="宋体" w:hAnsi="宋体" w:eastAsia="宋体"/>
          <w:color w:val="auto"/>
          <w:sz w:val="48"/>
          <w:szCs w:val="48"/>
          <w:highlight w:val="none"/>
          <w:lang w:eastAsia="zh-CN"/>
        </w:rPr>
        <w:br w:type="page"/>
      </w:r>
    </w:p>
    <w:p w14:paraId="55304F1E">
      <w:pPr>
        <w:pStyle w:val="4"/>
        <w:keepNext/>
        <w:keepLines/>
        <w:pageBreakBefore w:val="0"/>
        <w:widowControl w:val="0"/>
        <w:numPr>
          <w:ilvl w:val="0"/>
          <w:numId w:val="2"/>
        </w:numPr>
        <w:kinsoku/>
        <w:wordWrap/>
        <w:overflowPunct/>
        <w:topLinePunct w:val="0"/>
        <w:autoSpaceDE/>
        <w:autoSpaceDN/>
        <w:bidi w:val="0"/>
        <w:adjustRightInd/>
        <w:snapToGrid/>
        <w:spacing w:line="240" w:lineRule="auto"/>
        <w:jc w:val="center"/>
        <w:textAlignment w:val="auto"/>
        <w:rPr>
          <w:rFonts w:hint="eastAsia" w:ascii="宋体" w:hAnsi="宋体" w:eastAsia="宋体"/>
          <w:color w:val="auto"/>
          <w:sz w:val="48"/>
          <w:szCs w:val="48"/>
          <w:highlight w:val="none"/>
        </w:rPr>
      </w:pPr>
      <w:r>
        <w:rPr>
          <w:rFonts w:hint="eastAsia" w:ascii="宋体" w:hAnsi="宋体" w:eastAsia="宋体"/>
          <w:color w:val="auto"/>
          <w:sz w:val="48"/>
          <w:szCs w:val="48"/>
          <w:highlight w:val="none"/>
          <w:lang w:eastAsia="zh-CN"/>
        </w:rPr>
        <w:t>供应商</w:t>
      </w:r>
      <w:r>
        <w:rPr>
          <w:rFonts w:hint="eastAsia" w:ascii="宋体" w:hAnsi="宋体" w:eastAsia="宋体"/>
          <w:color w:val="auto"/>
          <w:sz w:val="48"/>
          <w:szCs w:val="48"/>
          <w:highlight w:val="none"/>
        </w:rPr>
        <w:t>须知</w:t>
      </w:r>
      <w:bookmarkEnd w:id="4"/>
      <w:bookmarkEnd w:id="5"/>
      <w:bookmarkStart w:id="6" w:name="_Toc11750"/>
    </w:p>
    <w:p w14:paraId="462F7D82">
      <w:pPr>
        <w:pStyle w:val="4"/>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cs="宋体"/>
          <w:color w:val="auto"/>
          <w:sz w:val="36"/>
          <w:szCs w:val="22"/>
          <w:highlight w:val="none"/>
        </w:rPr>
      </w:pPr>
      <w:r>
        <w:rPr>
          <w:rFonts w:hint="eastAsia"/>
          <w:color w:val="auto"/>
          <w:sz w:val="36"/>
          <w:szCs w:val="22"/>
          <w:highlight w:val="none"/>
          <w:lang w:val="en-US" w:eastAsia="zh-CN"/>
        </w:rPr>
        <w:t>一、</w:t>
      </w:r>
      <w:r>
        <w:rPr>
          <w:rFonts w:hint="eastAsia"/>
          <w:color w:val="auto"/>
          <w:sz w:val="36"/>
          <w:szCs w:val="22"/>
          <w:highlight w:val="none"/>
          <w:lang w:eastAsia="zh-CN"/>
        </w:rPr>
        <w:t>供应商</w:t>
      </w:r>
      <w:r>
        <w:rPr>
          <w:rFonts w:hint="eastAsia"/>
          <w:color w:val="auto"/>
          <w:sz w:val="36"/>
          <w:szCs w:val="22"/>
          <w:highlight w:val="none"/>
        </w:rPr>
        <w:t>须知附表</w:t>
      </w:r>
      <w:bookmarkEnd w:id="6"/>
    </w:p>
    <w:tbl>
      <w:tblPr>
        <w:tblStyle w:val="30"/>
        <w:tblW w:w="9750" w:type="dxa"/>
        <w:tblInd w:w="12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2160"/>
        <w:gridCol w:w="6470"/>
      </w:tblGrid>
      <w:tr w14:paraId="5CD48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1120" w:type="dxa"/>
            <w:tcBorders>
              <w:tl2br w:val="nil"/>
              <w:tr2bl w:val="nil"/>
            </w:tcBorders>
            <w:shd w:val="clear" w:color="auto" w:fill="D7D7D7"/>
            <w:noWrap w:val="0"/>
            <w:vAlign w:val="center"/>
          </w:tcPr>
          <w:p w14:paraId="265789FC">
            <w:pPr>
              <w:pStyle w:val="42"/>
              <w:spacing w:beforeAutospacing="0" w:line="400" w:lineRule="exact"/>
              <w:ind w:left="42" w:leftChars="20" w:right="42" w:rightChars="2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序号</w:t>
            </w:r>
          </w:p>
        </w:tc>
        <w:tc>
          <w:tcPr>
            <w:tcW w:w="2160" w:type="dxa"/>
            <w:tcBorders>
              <w:tl2br w:val="nil"/>
              <w:tr2bl w:val="nil"/>
            </w:tcBorders>
            <w:shd w:val="clear" w:color="auto" w:fill="D7D7D7"/>
            <w:noWrap w:val="0"/>
            <w:vAlign w:val="center"/>
          </w:tcPr>
          <w:p w14:paraId="51B80F11">
            <w:pPr>
              <w:pStyle w:val="42"/>
              <w:spacing w:before="74" w:line="400" w:lineRule="exact"/>
              <w:ind w:left="42" w:leftChars="20" w:right="42" w:rightChars="2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6470" w:type="dxa"/>
            <w:tcBorders>
              <w:tl2br w:val="nil"/>
              <w:tr2bl w:val="nil"/>
            </w:tcBorders>
            <w:shd w:val="clear" w:color="auto" w:fill="D7D7D7"/>
            <w:noWrap w:val="0"/>
            <w:vAlign w:val="center"/>
          </w:tcPr>
          <w:p w14:paraId="7F2B909E">
            <w:pPr>
              <w:pStyle w:val="42"/>
              <w:spacing w:before="74" w:line="400" w:lineRule="exact"/>
              <w:ind w:left="42" w:leftChars="20" w:right="42" w:rightChars="20"/>
              <w:jc w:val="center"/>
              <w:rPr>
                <w:rFonts w:hint="eastAsia" w:ascii="宋体" w:hAnsi="宋体" w:eastAsia="宋体" w:cs="宋体"/>
                <w:b/>
                <w:color w:val="auto"/>
                <w:kern w:val="2"/>
                <w:sz w:val="24"/>
                <w:szCs w:val="24"/>
                <w:highlight w:val="none"/>
                <w:lang w:val="en-US" w:bidi="ar-SA"/>
              </w:rPr>
            </w:pPr>
            <w:r>
              <w:rPr>
                <w:rFonts w:hint="eastAsia" w:ascii="宋体" w:hAnsi="宋体" w:eastAsia="宋体" w:cs="宋体"/>
                <w:b/>
                <w:color w:val="auto"/>
                <w:kern w:val="2"/>
                <w:sz w:val="24"/>
                <w:szCs w:val="24"/>
                <w:highlight w:val="none"/>
                <w:lang w:val="en-US" w:bidi="ar-SA"/>
              </w:rPr>
              <w:t>编列内容</w:t>
            </w:r>
          </w:p>
        </w:tc>
      </w:tr>
      <w:tr w14:paraId="3A5C5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120" w:type="dxa"/>
            <w:tcBorders>
              <w:tl2br w:val="nil"/>
              <w:tr2bl w:val="nil"/>
            </w:tcBorders>
            <w:noWrap w:val="0"/>
            <w:vAlign w:val="center"/>
          </w:tcPr>
          <w:p w14:paraId="2FF5FF2F">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160" w:type="dxa"/>
            <w:tcBorders>
              <w:tl2br w:val="nil"/>
              <w:tr2bl w:val="nil"/>
            </w:tcBorders>
            <w:noWrap w:val="0"/>
            <w:vAlign w:val="center"/>
          </w:tcPr>
          <w:p w14:paraId="3B265517">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招标人</w:t>
            </w:r>
          </w:p>
        </w:tc>
        <w:tc>
          <w:tcPr>
            <w:tcW w:w="6470" w:type="dxa"/>
            <w:tcBorders>
              <w:tl2br w:val="nil"/>
              <w:tr2bl w:val="nil"/>
            </w:tcBorders>
            <w:noWrap w:val="0"/>
            <w:vAlign w:val="center"/>
          </w:tcPr>
          <w:p w14:paraId="35587E09">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单位名称</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中共库尔勒市委员会宣传部</w:t>
            </w:r>
          </w:p>
          <w:p w14:paraId="12E5E725">
            <w:pPr>
              <w:pStyle w:val="42"/>
              <w:spacing w:before="74" w:line="400" w:lineRule="exact"/>
              <w:ind w:left="42" w:leftChars="20" w:right="42" w:rightChars="2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rPr>
              <w:t>单位地址</w:t>
            </w:r>
            <w:r>
              <w:rPr>
                <w:rFonts w:hint="eastAsia" w:ascii="宋体" w:hAnsi="宋体" w:eastAsia="宋体" w:cs="宋体"/>
                <w:color w:val="auto"/>
                <w:sz w:val="24"/>
                <w:szCs w:val="24"/>
                <w:highlight w:val="none"/>
                <w:shd w:val="clear" w:color="auto" w:fill="FFFFFF"/>
                <w:lang w:val="en-US" w:eastAsia="zh-CN"/>
              </w:rPr>
              <w:t>:</w:t>
            </w:r>
            <w:r>
              <w:rPr>
                <w:rFonts w:hint="eastAsia" w:ascii="宋体" w:hAnsi="宋体" w:cs="宋体"/>
                <w:color w:val="auto"/>
                <w:sz w:val="24"/>
                <w:szCs w:val="24"/>
                <w:highlight w:val="none"/>
                <w:shd w:val="clear" w:color="auto" w:fill="FFFFFF"/>
                <w:lang w:val="en-US" w:eastAsia="zh-CN"/>
              </w:rPr>
              <w:t>库尔勒市</w:t>
            </w:r>
          </w:p>
          <w:p w14:paraId="7CB6F40A">
            <w:pPr>
              <w:pStyle w:val="42"/>
              <w:spacing w:before="74" w:line="400" w:lineRule="exact"/>
              <w:ind w:left="42" w:leftChars="20" w:right="42" w:rightChars="2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蒋焱</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lang w:val="en-US" w:eastAsia="zh-CN"/>
              </w:rPr>
              <w:t>13139737266</w:t>
            </w:r>
          </w:p>
        </w:tc>
      </w:tr>
      <w:tr w14:paraId="336A8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9" w:hRule="atLeast"/>
        </w:trPr>
        <w:tc>
          <w:tcPr>
            <w:tcW w:w="1120" w:type="dxa"/>
            <w:tcBorders>
              <w:tl2br w:val="nil"/>
              <w:tr2bl w:val="nil"/>
            </w:tcBorders>
            <w:noWrap w:val="0"/>
            <w:vAlign w:val="center"/>
          </w:tcPr>
          <w:p w14:paraId="3AA45A57">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160" w:type="dxa"/>
            <w:tcBorders>
              <w:tl2br w:val="nil"/>
              <w:tr2bl w:val="nil"/>
            </w:tcBorders>
            <w:noWrap w:val="0"/>
            <w:vAlign w:val="center"/>
          </w:tcPr>
          <w:p w14:paraId="043B2A2B">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代理机构</w:t>
            </w:r>
          </w:p>
        </w:tc>
        <w:tc>
          <w:tcPr>
            <w:tcW w:w="6470" w:type="dxa"/>
            <w:tcBorders>
              <w:tl2br w:val="nil"/>
              <w:tr2bl w:val="nil"/>
            </w:tcBorders>
            <w:noWrap w:val="0"/>
            <w:vAlign w:val="center"/>
          </w:tcPr>
          <w:p w14:paraId="321BCF14">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代理机构</w:t>
            </w:r>
            <w:r>
              <w:rPr>
                <w:rFonts w:hint="eastAsia" w:ascii="宋体" w:hAnsi="宋体" w:eastAsia="宋体" w:cs="宋体"/>
                <w:color w:val="auto"/>
                <w:kern w:val="2"/>
                <w:sz w:val="24"/>
                <w:szCs w:val="24"/>
                <w:highlight w:val="none"/>
                <w:lang w:val="en-US" w:bidi="ar-SA"/>
              </w:rPr>
              <w:t>名称</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新疆国腾工程项目管理咨询有限公司</w:t>
            </w:r>
          </w:p>
          <w:p w14:paraId="68F8B198">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地址</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库尔勒市永安大道观棠云邸18号楼一层</w:t>
            </w:r>
          </w:p>
          <w:p w14:paraId="20D178D9">
            <w:pPr>
              <w:pStyle w:val="42"/>
              <w:spacing w:before="74" w:line="400" w:lineRule="exact"/>
              <w:ind w:left="42" w:leftChars="20" w:right="42" w:rightChars="2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联系人：</w:t>
            </w:r>
            <w:r>
              <w:rPr>
                <w:rFonts w:hint="eastAsia" w:ascii="宋体" w:hAnsi="宋体" w:cs="宋体"/>
                <w:color w:val="auto"/>
                <w:kern w:val="2"/>
                <w:sz w:val="24"/>
                <w:szCs w:val="24"/>
                <w:highlight w:val="none"/>
                <w:lang w:val="en-US" w:eastAsia="zh-CN" w:bidi="ar-SA"/>
              </w:rPr>
              <w:t>姚嘉瑜</w:t>
            </w:r>
            <w:r>
              <w:rPr>
                <w:rFonts w:hint="eastAsia" w:ascii="宋体" w:hAnsi="宋体" w:eastAsia="宋体" w:cs="宋体"/>
                <w:color w:val="auto"/>
                <w:kern w:val="2"/>
                <w:sz w:val="24"/>
                <w:szCs w:val="24"/>
                <w:highlight w:val="none"/>
                <w:lang w:val="en-US" w:bidi="ar-SA"/>
              </w:rPr>
              <w:t xml:space="preserve">       联系电话：</w:t>
            </w:r>
            <w:r>
              <w:rPr>
                <w:rFonts w:hint="eastAsia" w:ascii="宋体" w:hAnsi="宋体" w:cs="宋体"/>
                <w:color w:val="auto"/>
                <w:kern w:val="2"/>
                <w:sz w:val="24"/>
                <w:szCs w:val="24"/>
                <w:highlight w:val="none"/>
                <w:lang w:val="en-US" w:eastAsia="zh-CN" w:bidi="ar-SA"/>
              </w:rPr>
              <w:t>16609906037</w:t>
            </w:r>
          </w:p>
        </w:tc>
      </w:tr>
      <w:tr w14:paraId="6EB31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1120" w:type="dxa"/>
            <w:tcBorders>
              <w:tl2br w:val="nil"/>
              <w:tr2bl w:val="nil"/>
            </w:tcBorders>
            <w:noWrap w:val="0"/>
            <w:vAlign w:val="center"/>
          </w:tcPr>
          <w:p w14:paraId="3E6358A7">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160" w:type="dxa"/>
            <w:tcBorders>
              <w:tl2br w:val="nil"/>
              <w:tr2bl w:val="nil"/>
            </w:tcBorders>
            <w:noWrap w:val="0"/>
            <w:vAlign w:val="center"/>
          </w:tcPr>
          <w:p w14:paraId="77919FB2">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项目名称</w:t>
            </w:r>
          </w:p>
        </w:tc>
        <w:tc>
          <w:tcPr>
            <w:tcW w:w="6470" w:type="dxa"/>
            <w:tcBorders>
              <w:tl2br w:val="nil"/>
              <w:tr2bl w:val="nil"/>
            </w:tcBorders>
            <w:noWrap w:val="0"/>
            <w:vAlign w:val="center"/>
          </w:tcPr>
          <w:p w14:paraId="08074FCA">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库尔勒市文化符号和民族视觉形象示范点项目（一标段）二次</w:t>
            </w:r>
          </w:p>
        </w:tc>
      </w:tr>
      <w:tr w14:paraId="213F0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0" w:type="dxa"/>
            <w:tcBorders>
              <w:tl2br w:val="nil"/>
              <w:tr2bl w:val="nil"/>
            </w:tcBorders>
            <w:noWrap w:val="0"/>
            <w:vAlign w:val="center"/>
          </w:tcPr>
          <w:p w14:paraId="3FB12D3B">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160" w:type="dxa"/>
            <w:tcBorders>
              <w:tl2br w:val="nil"/>
              <w:tr2bl w:val="nil"/>
            </w:tcBorders>
            <w:noWrap w:val="0"/>
            <w:vAlign w:val="center"/>
          </w:tcPr>
          <w:p w14:paraId="260A6CDD">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预算</w:t>
            </w:r>
            <w:r>
              <w:rPr>
                <w:rFonts w:hint="eastAsia" w:ascii="宋体" w:hAnsi="宋体" w:eastAsia="宋体" w:cs="宋体"/>
                <w:color w:val="auto"/>
                <w:sz w:val="24"/>
                <w:szCs w:val="24"/>
                <w:highlight w:val="none"/>
                <w:lang w:eastAsia="zh-CN"/>
              </w:rPr>
              <w:t>总</w:t>
            </w:r>
            <w:r>
              <w:rPr>
                <w:rFonts w:hint="eastAsia" w:ascii="宋体" w:hAnsi="宋体" w:eastAsia="宋体" w:cs="宋体"/>
                <w:color w:val="auto"/>
                <w:sz w:val="24"/>
                <w:szCs w:val="24"/>
                <w:highlight w:val="none"/>
              </w:rPr>
              <w:t>金额</w:t>
            </w:r>
          </w:p>
        </w:tc>
        <w:tc>
          <w:tcPr>
            <w:tcW w:w="6470" w:type="dxa"/>
            <w:tcBorders>
              <w:tl2br w:val="nil"/>
              <w:tr2bl w:val="nil"/>
            </w:tcBorders>
            <w:shd w:val="clear" w:color="auto" w:fill="FFFFFF" w:themeFill="background1"/>
            <w:noWrap w:val="0"/>
            <w:vAlign w:val="center"/>
          </w:tcPr>
          <w:p w14:paraId="41EE1211">
            <w:pPr>
              <w:pStyle w:val="42"/>
              <w:spacing w:before="74" w:line="400" w:lineRule="exact"/>
              <w:ind w:left="42" w:leftChars="20" w:right="42" w:rightChars="20"/>
              <w:rPr>
                <w:rFonts w:hint="default" w:ascii="宋体" w:hAnsi="宋体" w:eastAsia="宋体" w:cs="宋体"/>
                <w:color w:val="auto"/>
                <w:kern w:val="2"/>
                <w:sz w:val="24"/>
                <w:szCs w:val="24"/>
                <w:highlight w:val="none"/>
                <w:lang w:val="en-US" w:bidi="ar-SA"/>
              </w:rPr>
            </w:pPr>
            <w:r>
              <w:rPr>
                <w:rFonts w:hint="eastAsia" w:ascii="宋体" w:hAnsi="宋体" w:cs="宋体"/>
                <w:color w:val="auto"/>
                <w:kern w:val="2"/>
                <w:sz w:val="24"/>
                <w:szCs w:val="24"/>
                <w:highlight w:val="none"/>
                <w:lang w:val="en-US" w:eastAsia="zh-CN" w:bidi="ar-SA"/>
              </w:rPr>
              <w:t>156800元</w:t>
            </w:r>
          </w:p>
        </w:tc>
      </w:tr>
      <w:tr w14:paraId="14868F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7" w:hRule="atLeast"/>
        </w:trPr>
        <w:tc>
          <w:tcPr>
            <w:tcW w:w="1120" w:type="dxa"/>
            <w:tcBorders>
              <w:tl2br w:val="nil"/>
              <w:tr2bl w:val="nil"/>
            </w:tcBorders>
            <w:noWrap w:val="0"/>
            <w:vAlign w:val="center"/>
          </w:tcPr>
          <w:p w14:paraId="00177D3B">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160" w:type="dxa"/>
            <w:tcBorders>
              <w:tl2br w:val="nil"/>
              <w:tr2bl w:val="nil"/>
            </w:tcBorders>
            <w:noWrap w:val="0"/>
            <w:vAlign w:val="center"/>
          </w:tcPr>
          <w:p w14:paraId="6AAA08DB">
            <w:pPr>
              <w:pStyle w:val="42"/>
              <w:spacing w:before="74" w:line="400" w:lineRule="exact"/>
              <w:ind w:left="42" w:leftChars="20" w:right="42" w:rightChars="2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最高</w:t>
            </w:r>
            <w:r>
              <w:rPr>
                <w:rFonts w:hint="eastAsia" w:ascii="宋体" w:hAnsi="宋体" w:eastAsia="宋体" w:cs="宋体"/>
                <w:color w:val="auto"/>
                <w:sz w:val="24"/>
                <w:szCs w:val="24"/>
                <w:highlight w:val="none"/>
              </w:rPr>
              <w:t>限价</w:t>
            </w:r>
          </w:p>
        </w:tc>
        <w:tc>
          <w:tcPr>
            <w:tcW w:w="6470" w:type="dxa"/>
            <w:tcBorders>
              <w:tl2br w:val="nil"/>
              <w:tr2bl w:val="nil"/>
            </w:tcBorders>
            <w:shd w:val="clear" w:color="auto" w:fill="FFFFFF" w:themeFill="background1"/>
            <w:noWrap w:val="0"/>
            <w:vAlign w:val="center"/>
          </w:tcPr>
          <w:p w14:paraId="37A4F82E">
            <w:pPr>
              <w:pStyle w:val="42"/>
              <w:spacing w:before="74" w:line="400" w:lineRule="exact"/>
              <w:ind w:left="42" w:leftChars="20" w:right="42" w:rightChars="20"/>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最高限价：156800元</w:t>
            </w:r>
          </w:p>
          <w:p w14:paraId="1E635F3C">
            <w:pPr>
              <w:pStyle w:val="42"/>
              <w:spacing w:before="74" w:line="400" w:lineRule="exact"/>
              <w:ind w:left="42" w:leftChars="20" w:right="42" w:rightChars="20"/>
              <w:rPr>
                <w:rFonts w:hint="default" w:ascii="宋体" w:hAnsi="宋体" w:cs="宋体"/>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注：供应商报价不得高于最高限价，高于最高限价视为无效响应。</w:t>
            </w:r>
          </w:p>
        </w:tc>
      </w:tr>
      <w:tr w14:paraId="1A0FE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1" w:hRule="atLeast"/>
        </w:trPr>
        <w:tc>
          <w:tcPr>
            <w:tcW w:w="1120" w:type="dxa"/>
            <w:tcBorders>
              <w:tl2br w:val="nil"/>
              <w:tr2bl w:val="nil"/>
            </w:tcBorders>
            <w:noWrap w:val="0"/>
            <w:vAlign w:val="center"/>
          </w:tcPr>
          <w:p w14:paraId="6431078B">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160" w:type="dxa"/>
            <w:tcBorders>
              <w:tl2br w:val="nil"/>
              <w:tr2bl w:val="nil"/>
            </w:tcBorders>
            <w:noWrap w:val="0"/>
            <w:vAlign w:val="center"/>
          </w:tcPr>
          <w:p w14:paraId="26F877E3">
            <w:pPr>
              <w:jc w:val="center"/>
              <w:rPr>
                <w:rFonts w:hint="eastAsia" w:ascii="宋体" w:hAnsi="宋体" w:eastAsia="宋体" w:cs="宋体"/>
                <w:color w:val="auto"/>
                <w:sz w:val="24"/>
                <w:szCs w:val="24"/>
                <w:highlight w:val="none"/>
              </w:rPr>
            </w:pPr>
            <w:r>
              <w:rPr>
                <w:rFonts w:hint="eastAsia" w:ascii="宋体" w:hAnsi="宋体" w:cs="宋体"/>
                <w:color w:val="auto"/>
                <w:spacing w:val="-6"/>
                <w:sz w:val="24"/>
                <w:szCs w:val="24"/>
                <w:highlight w:val="none"/>
                <w:lang w:val="en-US" w:eastAsia="zh-CN"/>
              </w:rPr>
              <w:t>采购内容</w:t>
            </w:r>
          </w:p>
        </w:tc>
        <w:tc>
          <w:tcPr>
            <w:tcW w:w="6470" w:type="dxa"/>
            <w:tcBorders>
              <w:tl2br w:val="nil"/>
              <w:tr2bl w:val="nil"/>
            </w:tcBorders>
            <w:noWrap w:val="0"/>
            <w:vAlign w:val="center"/>
          </w:tcPr>
          <w:p w14:paraId="2A78A54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新时代文明实践中心及居民小区植入中华文化元素</w:t>
            </w:r>
          </w:p>
        </w:tc>
      </w:tr>
      <w:tr w14:paraId="5DE0E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8" w:hRule="atLeast"/>
        </w:trPr>
        <w:tc>
          <w:tcPr>
            <w:tcW w:w="1120" w:type="dxa"/>
            <w:vMerge w:val="restart"/>
            <w:tcBorders>
              <w:tl2br w:val="nil"/>
              <w:tr2bl w:val="nil"/>
            </w:tcBorders>
            <w:noWrap w:val="0"/>
            <w:vAlign w:val="center"/>
          </w:tcPr>
          <w:p w14:paraId="2500612E">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160" w:type="dxa"/>
            <w:tcBorders>
              <w:tl2br w:val="nil"/>
              <w:tr2bl w:val="nil"/>
            </w:tcBorders>
            <w:noWrap w:val="0"/>
            <w:vAlign w:val="center"/>
          </w:tcPr>
          <w:p w14:paraId="02EA0EDF">
            <w:pPr>
              <w:pStyle w:val="42"/>
              <w:spacing w:before="74" w:line="400" w:lineRule="exact"/>
              <w:ind w:left="42" w:leftChars="20" w:right="42" w:rightChars="2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供货期限</w:t>
            </w:r>
          </w:p>
          <w:p w14:paraId="00682B7F">
            <w:pPr>
              <w:pStyle w:val="42"/>
              <w:spacing w:before="74" w:line="400" w:lineRule="exact"/>
              <w:ind w:left="42" w:leftChars="20" w:right="42" w:rightChars="20"/>
              <w:jc w:val="center"/>
              <w:rPr>
                <w:rFonts w:hint="eastAsia" w:ascii="宋体" w:hAnsi="宋体" w:eastAsia="宋体" w:cs="宋体"/>
                <w:color w:val="auto"/>
                <w:sz w:val="24"/>
                <w:szCs w:val="24"/>
                <w:highlight w:val="none"/>
                <w:lang w:eastAsia="zh-CN"/>
              </w:rPr>
            </w:pPr>
            <w:r>
              <w:rPr>
                <w:rFonts w:hint="eastAsia" w:ascii="宋体" w:cs="宋体"/>
                <w:b/>
                <w:bCs/>
                <w:color w:val="auto"/>
                <w:kern w:val="0"/>
                <w:sz w:val="24"/>
                <w:szCs w:val="24"/>
                <w:highlight w:val="none"/>
                <w:lang w:val="en-US" w:eastAsia="zh-CN"/>
              </w:rPr>
              <w:t>（实质性要求）</w:t>
            </w:r>
          </w:p>
        </w:tc>
        <w:tc>
          <w:tcPr>
            <w:tcW w:w="6470" w:type="dxa"/>
            <w:tcBorders>
              <w:tl2br w:val="nil"/>
              <w:tr2bl w:val="nil"/>
            </w:tcBorders>
            <w:noWrap w:val="0"/>
            <w:vAlign w:val="center"/>
          </w:tcPr>
          <w:p w14:paraId="777C34C9">
            <w:pPr>
              <w:pStyle w:val="42"/>
              <w:spacing w:before="74" w:line="400" w:lineRule="exact"/>
              <w:ind w:left="42" w:leftChars="20" w:right="42" w:rightChars="2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自合同签订之日起</w:t>
            </w:r>
            <w:r>
              <w:rPr>
                <w:rFonts w:hint="eastAsia" w:ascii="宋体" w:hAnsi="宋体" w:cs="宋体"/>
                <w:b/>
                <w:bCs/>
                <w:color w:val="auto"/>
                <w:kern w:val="2"/>
                <w:sz w:val="24"/>
                <w:szCs w:val="24"/>
                <w:highlight w:val="none"/>
                <w:lang w:val="en-US" w:eastAsia="zh-CN" w:bidi="ar-SA"/>
              </w:rPr>
              <w:t>25</w:t>
            </w:r>
            <w:r>
              <w:rPr>
                <w:rFonts w:hint="eastAsia" w:ascii="宋体" w:hAnsi="宋体" w:eastAsia="宋体" w:cs="宋体"/>
                <w:b/>
                <w:bCs/>
                <w:color w:val="auto"/>
                <w:kern w:val="2"/>
                <w:sz w:val="24"/>
                <w:szCs w:val="24"/>
                <w:highlight w:val="none"/>
                <w:lang w:val="en-US" w:eastAsia="zh-CN" w:bidi="ar-SA"/>
              </w:rPr>
              <w:t>天内完成供应及安装</w:t>
            </w:r>
          </w:p>
        </w:tc>
      </w:tr>
      <w:tr w14:paraId="2502E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8" w:hRule="atLeast"/>
        </w:trPr>
        <w:tc>
          <w:tcPr>
            <w:tcW w:w="1120" w:type="dxa"/>
            <w:vMerge w:val="continue"/>
            <w:tcBorders>
              <w:tl2br w:val="nil"/>
              <w:tr2bl w:val="nil"/>
            </w:tcBorders>
            <w:noWrap w:val="0"/>
            <w:vAlign w:val="center"/>
          </w:tcPr>
          <w:p w14:paraId="437071BD">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p>
        </w:tc>
        <w:tc>
          <w:tcPr>
            <w:tcW w:w="2160" w:type="dxa"/>
            <w:tcBorders>
              <w:tl2br w:val="nil"/>
              <w:tr2bl w:val="nil"/>
            </w:tcBorders>
            <w:noWrap w:val="0"/>
            <w:vAlign w:val="center"/>
          </w:tcPr>
          <w:p w14:paraId="40725285">
            <w:pPr>
              <w:pStyle w:val="42"/>
              <w:spacing w:before="74" w:line="400" w:lineRule="exact"/>
              <w:ind w:left="42" w:leftChars="20" w:right="42" w:rightChars="20"/>
              <w:jc w:val="center"/>
              <w:rPr>
                <w:rFonts w:hint="eastAsia" w:ascii="宋体" w:cs="宋体"/>
                <w:b/>
                <w:bCs/>
                <w:color w:val="auto"/>
                <w:kern w:val="0"/>
                <w:sz w:val="24"/>
                <w:szCs w:val="24"/>
                <w:highlight w:val="none"/>
                <w:lang w:val="en-US" w:eastAsia="zh-CN"/>
              </w:rPr>
            </w:pPr>
            <w:r>
              <w:rPr>
                <w:rFonts w:hint="eastAsia" w:ascii="宋体" w:cs="宋体"/>
                <w:b/>
                <w:bCs/>
                <w:color w:val="auto"/>
                <w:kern w:val="0"/>
                <w:sz w:val="24"/>
                <w:szCs w:val="24"/>
                <w:highlight w:val="none"/>
                <w:lang w:val="en-US" w:eastAsia="zh-CN"/>
              </w:rPr>
              <w:t>质保期</w:t>
            </w:r>
          </w:p>
          <w:p w14:paraId="4E50C3E6">
            <w:pPr>
              <w:pStyle w:val="42"/>
              <w:spacing w:before="74" w:line="400" w:lineRule="exact"/>
              <w:ind w:left="42" w:leftChars="20" w:right="42" w:rightChars="20"/>
              <w:jc w:val="center"/>
              <w:rPr>
                <w:rFonts w:hint="default" w:ascii="宋体" w:cs="宋体"/>
                <w:b/>
                <w:bCs/>
                <w:color w:val="auto"/>
                <w:kern w:val="0"/>
                <w:sz w:val="24"/>
                <w:szCs w:val="24"/>
                <w:highlight w:val="none"/>
                <w:lang w:val="en-US" w:eastAsia="zh-CN"/>
              </w:rPr>
            </w:pPr>
            <w:r>
              <w:rPr>
                <w:rFonts w:hint="eastAsia" w:ascii="宋体" w:cs="宋体"/>
                <w:b/>
                <w:bCs/>
                <w:color w:val="auto"/>
                <w:kern w:val="0"/>
                <w:sz w:val="24"/>
                <w:szCs w:val="24"/>
                <w:highlight w:val="none"/>
                <w:lang w:val="en-US" w:eastAsia="zh-CN"/>
              </w:rPr>
              <w:t>（实质性要求）</w:t>
            </w:r>
          </w:p>
        </w:tc>
        <w:tc>
          <w:tcPr>
            <w:tcW w:w="6470" w:type="dxa"/>
            <w:tcBorders>
              <w:tl2br w:val="nil"/>
              <w:tr2bl w:val="nil"/>
            </w:tcBorders>
            <w:noWrap w:val="0"/>
            <w:vAlign w:val="center"/>
          </w:tcPr>
          <w:p w14:paraId="36191629">
            <w:pPr>
              <w:pStyle w:val="42"/>
              <w:spacing w:before="74" w:line="400" w:lineRule="exact"/>
              <w:ind w:left="42" w:leftChars="20" w:right="42" w:rightChars="2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质保期</w:t>
            </w:r>
            <w:r>
              <w:rPr>
                <w:rFonts w:hint="eastAsia" w:ascii="宋体" w:hAnsi="宋体" w:cs="宋体"/>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年</w:t>
            </w:r>
          </w:p>
        </w:tc>
      </w:tr>
      <w:tr w14:paraId="7AD49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1120" w:type="dxa"/>
            <w:tcBorders>
              <w:tl2br w:val="nil"/>
              <w:tr2bl w:val="nil"/>
            </w:tcBorders>
            <w:noWrap w:val="0"/>
            <w:vAlign w:val="center"/>
          </w:tcPr>
          <w:p w14:paraId="586CEB5B">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160" w:type="dxa"/>
            <w:tcBorders>
              <w:tl2br w:val="nil"/>
              <w:tr2bl w:val="nil"/>
            </w:tcBorders>
            <w:noWrap w:val="0"/>
            <w:vAlign w:val="center"/>
          </w:tcPr>
          <w:p w14:paraId="4D08C3E8">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w:t>
            </w:r>
          </w:p>
        </w:tc>
        <w:tc>
          <w:tcPr>
            <w:tcW w:w="6470" w:type="dxa"/>
            <w:tcBorders>
              <w:tl2br w:val="nil"/>
              <w:tr2bl w:val="nil"/>
            </w:tcBorders>
            <w:noWrap w:val="0"/>
            <w:vAlign w:val="center"/>
          </w:tcPr>
          <w:p w14:paraId="3CF82C92">
            <w:pPr>
              <w:pStyle w:val="42"/>
              <w:spacing w:before="74" w:line="400" w:lineRule="exact"/>
              <w:ind w:left="42" w:leftChars="20" w:right="42" w:rightChars="20"/>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详见第三章  招标人需求</w:t>
            </w:r>
          </w:p>
        </w:tc>
      </w:tr>
      <w:tr w14:paraId="20FEB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trPr>
        <w:tc>
          <w:tcPr>
            <w:tcW w:w="1120" w:type="dxa"/>
            <w:tcBorders>
              <w:tl2br w:val="nil"/>
              <w:tr2bl w:val="nil"/>
            </w:tcBorders>
            <w:noWrap w:val="0"/>
            <w:vAlign w:val="center"/>
          </w:tcPr>
          <w:p w14:paraId="4D970F37">
            <w:pPr>
              <w:pStyle w:val="42"/>
              <w:spacing w:before="74" w:line="400" w:lineRule="exact"/>
              <w:ind w:left="42" w:leftChars="20" w:right="42" w:rightChars="2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2160" w:type="dxa"/>
            <w:tcBorders>
              <w:tl2br w:val="nil"/>
              <w:tr2bl w:val="nil"/>
            </w:tcBorders>
            <w:noWrap w:val="0"/>
            <w:vAlign w:val="center"/>
          </w:tcPr>
          <w:p w14:paraId="20F47CAB">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付款方式</w:t>
            </w:r>
          </w:p>
        </w:tc>
        <w:tc>
          <w:tcPr>
            <w:tcW w:w="6470" w:type="dxa"/>
            <w:tcBorders>
              <w:tl2br w:val="nil"/>
              <w:tr2bl w:val="nil"/>
            </w:tcBorders>
            <w:noWrap w:val="0"/>
            <w:vAlign w:val="center"/>
          </w:tcPr>
          <w:p w14:paraId="55C1EF64">
            <w:pPr>
              <w:pStyle w:val="13"/>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具体甲乙双方签订合同自行协商</w:t>
            </w:r>
          </w:p>
        </w:tc>
      </w:tr>
      <w:tr w14:paraId="06084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0" w:type="dxa"/>
            <w:tcBorders>
              <w:tl2br w:val="nil"/>
              <w:tr2bl w:val="nil"/>
            </w:tcBorders>
            <w:noWrap w:val="0"/>
            <w:vAlign w:val="center"/>
          </w:tcPr>
          <w:p w14:paraId="4C1310A2">
            <w:pPr>
              <w:pStyle w:val="42"/>
              <w:spacing w:before="74" w:line="400" w:lineRule="exact"/>
              <w:ind w:left="42" w:leftChars="20" w:right="42" w:rightChars="2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2160" w:type="dxa"/>
            <w:tcBorders>
              <w:tl2br w:val="nil"/>
              <w:tr2bl w:val="nil"/>
            </w:tcBorders>
            <w:noWrap w:val="0"/>
            <w:vAlign w:val="center"/>
          </w:tcPr>
          <w:p w14:paraId="58A99C15">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资格要求</w:t>
            </w:r>
          </w:p>
        </w:tc>
        <w:tc>
          <w:tcPr>
            <w:tcW w:w="6470" w:type="dxa"/>
            <w:tcBorders>
              <w:tl2br w:val="nil"/>
              <w:tr2bl w:val="nil"/>
            </w:tcBorders>
            <w:noWrap w:val="0"/>
            <w:vAlign w:val="center"/>
          </w:tcPr>
          <w:p w14:paraId="55F6FFDF">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1.满足《中华人民共和国政府采购法》第二十二条规定：</w:t>
            </w:r>
          </w:p>
          <w:p w14:paraId="1224B96D">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（1）具有独立承担民事责任的能力；</w:t>
            </w:r>
          </w:p>
          <w:p w14:paraId="5D704A8A">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（2）具有良好的商业信誉和健全的财务会计制度；</w:t>
            </w:r>
          </w:p>
          <w:p w14:paraId="6D8CCBCB">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（3）具有依法缴纳税收和社会保障资金的良好记录；</w:t>
            </w:r>
          </w:p>
          <w:p w14:paraId="57321A29">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（4）具有履行合同所必需的货物和专业技术能力；</w:t>
            </w:r>
          </w:p>
          <w:p w14:paraId="36E7565F">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（5）参加政府采购活动前三年内，在经营活动中没有重大违法记录；</w:t>
            </w:r>
          </w:p>
          <w:p w14:paraId="7839D436">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（6）法律、行政法规规定的其他条件。</w:t>
            </w:r>
          </w:p>
          <w:p w14:paraId="264154F3">
            <w:pPr>
              <w:pStyle w:val="42"/>
              <w:spacing w:before="74" w:line="360" w:lineRule="auto"/>
              <w:ind w:left="42" w:leftChars="20" w:right="42" w:rightChars="2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2.落实政府采购政策需满足的资格要求：</w:t>
            </w:r>
            <w:r>
              <w:rPr>
                <w:rFonts w:hint="eastAsia" w:ascii="宋体" w:hAnsi="宋体" w:cs="宋体"/>
                <w:color w:val="auto"/>
                <w:kern w:val="2"/>
                <w:sz w:val="24"/>
                <w:szCs w:val="24"/>
                <w:highlight w:val="none"/>
                <w:lang w:val="en-US" w:eastAsia="zh-CN" w:bidi="ar-SA"/>
              </w:rPr>
              <w:t>本项目专门面向中小企业。</w:t>
            </w:r>
            <w:r>
              <w:rPr>
                <w:rFonts w:hint="eastAsia" w:cs="宋体"/>
                <w:color w:val="auto"/>
                <w:sz w:val="24"/>
                <w:szCs w:val="24"/>
                <w:highlight w:val="none"/>
                <w:lang w:eastAsia="zh-CN"/>
              </w:rPr>
              <w:t>（</w:t>
            </w:r>
            <w:r>
              <w:rPr>
                <w:rFonts w:hint="eastAsia" w:cs="宋体"/>
                <w:color w:val="auto"/>
                <w:sz w:val="24"/>
                <w:szCs w:val="24"/>
                <w:highlight w:val="none"/>
                <w:lang w:val="en-US" w:eastAsia="zh-CN"/>
              </w:rPr>
              <w:t>含中型、小型、微型</w:t>
            </w:r>
            <w:r>
              <w:rPr>
                <w:rFonts w:hint="eastAsia" w:cs="宋体"/>
                <w:color w:val="auto"/>
                <w:sz w:val="24"/>
                <w:szCs w:val="24"/>
                <w:highlight w:val="none"/>
                <w:lang w:eastAsia="zh-CN"/>
              </w:rPr>
              <w:t>）</w:t>
            </w:r>
            <w:r>
              <w:rPr>
                <w:rFonts w:hint="eastAsia" w:cs="宋体"/>
                <w:color w:val="auto"/>
                <w:sz w:val="24"/>
                <w:szCs w:val="24"/>
                <w:highlight w:val="none"/>
                <w:lang w:val="en-US" w:eastAsia="zh-CN"/>
              </w:rPr>
              <w:t>.</w:t>
            </w:r>
            <w:r>
              <w:rPr>
                <w:rFonts w:hint="eastAsia" w:ascii="宋体" w:hAnsi="宋体" w:eastAsia="宋体" w:cs="宋体"/>
                <w:b/>
                <w:bCs/>
                <w:color w:val="auto"/>
                <w:sz w:val="24"/>
                <w:szCs w:val="24"/>
                <w:highlight w:val="none"/>
              </w:rPr>
              <w:t>本项目采购标的对应的中小企业划分标准所属行业为</w:t>
            </w:r>
            <w:r>
              <w:rPr>
                <w:rFonts w:hint="eastAsia" w:ascii="宋体" w:hAnsi="宋体" w:cs="宋体"/>
                <w:b/>
                <w:bCs/>
                <w:color w:val="auto"/>
                <w:sz w:val="24"/>
                <w:szCs w:val="24"/>
                <w:highlight w:val="none"/>
                <w:lang w:eastAsia="zh-CN"/>
              </w:rPr>
              <w:t>“未列明的其它行业”。</w:t>
            </w:r>
          </w:p>
          <w:p w14:paraId="23FE92AD">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（1）财政部、工业和信息化部《关于印发〈政府采购促进中小企业发展管理办法〉的通知》（财库[2020]46号文）；</w:t>
            </w:r>
          </w:p>
          <w:p w14:paraId="417D797F">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（2）财政部、司法部《关于政府采购支持监狱企业发展有关问题的通知》（财库[2014]68号文）；</w:t>
            </w:r>
          </w:p>
          <w:p w14:paraId="6CE9A28A">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（3）财政部、民政部、中国残疾人联合会《关于促进残疾人就业政府采购政策的通知》（财库[2026]141号）；</w:t>
            </w:r>
          </w:p>
          <w:p w14:paraId="5DB9BDE5">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3、在中华人民共和国境内依法注册的、具有独立承担民事责任的能力，提供有效的营业执照；</w:t>
            </w:r>
          </w:p>
          <w:p w14:paraId="286D57A9">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4、法定代表人身份证原件或法定代表人授权委托书和委托代理人身份证原件（授权委托书应附上法人和代理人身份证复印件）；</w:t>
            </w:r>
          </w:p>
          <w:p w14:paraId="58AA7568">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5、符合国家有关法律法规的规定；</w:t>
            </w:r>
          </w:p>
          <w:p w14:paraId="73FC2F85">
            <w:pPr>
              <w:pStyle w:val="42"/>
              <w:spacing w:before="74" w:line="360" w:lineRule="auto"/>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6、本项目不接受联合体投标</w:t>
            </w:r>
            <w:r>
              <w:rPr>
                <w:rFonts w:hint="eastAsia" w:ascii="宋体" w:hAnsi="宋体" w:cs="宋体"/>
                <w:color w:val="auto"/>
                <w:kern w:val="2"/>
                <w:sz w:val="24"/>
                <w:szCs w:val="24"/>
                <w:highlight w:val="none"/>
                <w:lang w:val="en-US" w:eastAsia="zh-CN" w:bidi="ar-SA"/>
              </w:rPr>
              <w:t>；</w:t>
            </w:r>
          </w:p>
          <w:p w14:paraId="11BEAE67">
            <w:pPr>
              <w:pStyle w:val="11"/>
              <w:keepNext w:val="0"/>
              <w:keepLines w:val="0"/>
              <w:widowControl/>
              <w:suppressLineNumbers w:val="0"/>
              <w:spacing w:before="60" w:beforeAutospacing="0" w:after="60" w:afterAutospacing="0" w:line="360" w:lineRule="auto"/>
              <w:ind w:left="0" w:right="0" w:firstLine="4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7.本项目的特定资格要求：</w:t>
            </w:r>
            <w:r>
              <w:rPr>
                <w:rFonts w:hint="eastAsia" w:cs="宋体"/>
                <w:b/>
                <w:bCs/>
                <w:color w:val="auto"/>
                <w:sz w:val="24"/>
                <w:szCs w:val="24"/>
                <w:highlight w:val="none"/>
                <w:lang w:val="en-US" w:eastAsia="zh-CN"/>
              </w:rPr>
              <w:t>无。</w:t>
            </w:r>
          </w:p>
        </w:tc>
      </w:tr>
      <w:tr w14:paraId="2B669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1120" w:type="dxa"/>
            <w:tcBorders>
              <w:tl2br w:val="nil"/>
              <w:tr2bl w:val="nil"/>
            </w:tcBorders>
            <w:noWrap w:val="0"/>
            <w:vAlign w:val="center"/>
          </w:tcPr>
          <w:p w14:paraId="7DA0C4DE">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w:t>
            </w:r>
          </w:p>
        </w:tc>
        <w:tc>
          <w:tcPr>
            <w:tcW w:w="2160" w:type="dxa"/>
            <w:tcBorders>
              <w:tl2br w:val="nil"/>
              <w:tr2bl w:val="nil"/>
            </w:tcBorders>
            <w:noWrap w:val="0"/>
            <w:vAlign w:val="center"/>
          </w:tcPr>
          <w:p w14:paraId="4A94297B">
            <w:pPr>
              <w:pStyle w:val="42"/>
              <w:spacing w:before="74" w:line="400" w:lineRule="exact"/>
              <w:ind w:left="42" w:leftChars="20" w:right="42" w:rightChars="2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是否接受联合体</w:t>
            </w:r>
          </w:p>
        </w:tc>
        <w:tc>
          <w:tcPr>
            <w:tcW w:w="6470" w:type="dxa"/>
            <w:tcBorders>
              <w:tl2br w:val="nil"/>
              <w:tr2bl w:val="nil"/>
            </w:tcBorders>
            <w:noWrap w:val="0"/>
            <w:vAlign w:val="center"/>
          </w:tcPr>
          <w:p w14:paraId="0A46CCC7">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不接受</w:t>
            </w:r>
          </w:p>
        </w:tc>
      </w:tr>
      <w:tr w14:paraId="31564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trPr>
        <w:tc>
          <w:tcPr>
            <w:tcW w:w="1120" w:type="dxa"/>
            <w:tcBorders>
              <w:tl2br w:val="nil"/>
              <w:tr2bl w:val="nil"/>
            </w:tcBorders>
            <w:noWrap w:val="0"/>
            <w:vAlign w:val="center"/>
          </w:tcPr>
          <w:p w14:paraId="6FFB050A">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w:t>
            </w:r>
          </w:p>
        </w:tc>
        <w:tc>
          <w:tcPr>
            <w:tcW w:w="2160" w:type="dxa"/>
            <w:tcBorders>
              <w:tl2br w:val="nil"/>
              <w:tr2bl w:val="nil"/>
            </w:tcBorders>
            <w:shd w:val="clear" w:color="auto" w:fill="auto"/>
            <w:noWrap w:val="0"/>
            <w:vAlign w:val="center"/>
          </w:tcPr>
          <w:p w14:paraId="6CFE30F3">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现场考察</w:t>
            </w:r>
          </w:p>
        </w:tc>
        <w:tc>
          <w:tcPr>
            <w:tcW w:w="6470" w:type="dxa"/>
            <w:tcBorders>
              <w:tl2br w:val="nil"/>
              <w:tr2bl w:val="nil"/>
            </w:tcBorders>
            <w:shd w:val="clear" w:color="auto" w:fill="auto"/>
            <w:noWrap w:val="0"/>
            <w:vAlign w:val="center"/>
          </w:tcPr>
          <w:p w14:paraId="28B81E8D">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不组织</w:t>
            </w:r>
            <w:r>
              <w:rPr>
                <w:rFonts w:hint="eastAsia" w:ascii="宋体" w:hAnsi="宋体" w:eastAsia="宋体" w:cs="宋体"/>
                <w:color w:val="auto"/>
                <w:kern w:val="2"/>
                <w:sz w:val="24"/>
                <w:szCs w:val="24"/>
                <w:highlight w:val="none"/>
                <w:lang w:val="en-US" w:bidi="ar-SA"/>
              </w:rPr>
              <w:t>考察</w:t>
            </w:r>
          </w:p>
        </w:tc>
      </w:tr>
      <w:tr w14:paraId="70D1B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1120" w:type="dxa"/>
            <w:tcBorders>
              <w:tl2br w:val="nil"/>
              <w:tr2bl w:val="nil"/>
            </w:tcBorders>
            <w:noWrap w:val="0"/>
            <w:vAlign w:val="center"/>
          </w:tcPr>
          <w:p w14:paraId="3BD07CE4">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13</w:t>
            </w:r>
          </w:p>
        </w:tc>
        <w:tc>
          <w:tcPr>
            <w:tcW w:w="2160" w:type="dxa"/>
            <w:tcBorders>
              <w:tl2br w:val="nil"/>
              <w:tr2bl w:val="nil"/>
            </w:tcBorders>
            <w:shd w:val="clear" w:color="auto" w:fill="auto"/>
            <w:noWrap w:val="0"/>
            <w:vAlign w:val="center"/>
          </w:tcPr>
          <w:p w14:paraId="1CE0CEE3">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开标前答疑会</w:t>
            </w:r>
          </w:p>
        </w:tc>
        <w:tc>
          <w:tcPr>
            <w:tcW w:w="6470" w:type="dxa"/>
            <w:tcBorders>
              <w:tl2br w:val="nil"/>
              <w:tr2bl w:val="nil"/>
            </w:tcBorders>
            <w:shd w:val="clear" w:color="auto" w:fill="auto"/>
            <w:noWrap w:val="0"/>
            <w:vAlign w:val="center"/>
          </w:tcPr>
          <w:p w14:paraId="2C84EC4F">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不召开</w:t>
            </w:r>
          </w:p>
        </w:tc>
      </w:tr>
      <w:tr w14:paraId="53092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120" w:type="dxa"/>
            <w:tcBorders>
              <w:tl2br w:val="nil"/>
              <w:tr2bl w:val="nil"/>
            </w:tcBorders>
            <w:noWrap w:val="0"/>
            <w:vAlign w:val="center"/>
          </w:tcPr>
          <w:p w14:paraId="58F4636D">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14</w:t>
            </w:r>
          </w:p>
        </w:tc>
        <w:tc>
          <w:tcPr>
            <w:tcW w:w="2160" w:type="dxa"/>
            <w:tcBorders>
              <w:tl2br w:val="nil"/>
              <w:tr2bl w:val="nil"/>
            </w:tcBorders>
            <w:shd w:val="clear" w:color="auto" w:fill="auto"/>
            <w:noWrap w:val="0"/>
            <w:vAlign w:val="center"/>
          </w:tcPr>
          <w:p w14:paraId="6A25E5F9">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分包转包</w:t>
            </w:r>
          </w:p>
        </w:tc>
        <w:tc>
          <w:tcPr>
            <w:tcW w:w="6470" w:type="dxa"/>
            <w:tcBorders>
              <w:tl2br w:val="nil"/>
              <w:tr2bl w:val="nil"/>
            </w:tcBorders>
            <w:shd w:val="clear" w:color="auto" w:fill="auto"/>
            <w:noWrap w:val="0"/>
            <w:vAlign w:val="center"/>
          </w:tcPr>
          <w:p w14:paraId="552BA6FE">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不允许</w:t>
            </w:r>
          </w:p>
        </w:tc>
      </w:tr>
      <w:tr w14:paraId="44044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1120" w:type="dxa"/>
            <w:tcBorders>
              <w:tl2br w:val="nil"/>
              <w:tr2bl w:val="nil"/>
            </w:tcBorders>
            <w:noWrap w:val="0"/>
            <w:vAlign w:val="center"/>
          </w:tcPr>
          <w:p w14:paraId="67ECDED2">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w:t>
            </w:r>
          </w:p>
        </w:tc>
        <w:tc>
          <w:tcPr>
            <w:tcW w:w="2160" w:type="dxa"/>
            <w:tcBorders>
              <w:tl2br w:val="nil"/>
              <w:tr2bl w:val="nil"/>
            </w:tcBorders>
            <w:shd w:val="clear" w:color="auto" w:fill="auto"/>
            <w:noWrap w:val="0"/>
            <w:vAlign w:val="center"/>
          </w:tcPr>
          <w:p w14:paraId="56E264A7">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实质性要求和条件</w:t>
            </w:r>
          </w:p>
        </w:tc>
        <w:tc>
          <w:tcPr>
            <w:tcW w:w="6470" w:type="dxa"/>
            <w:tcBorders>
              <w:tl2br w:val="nil"/>
              <w:tr2bl w:val="nil"/>
            </w:tcBorders>
            <w:shd w:val="clear" w:color="auto" w:fill="auto"/>
            <w:noWrap w:val="0"/>
            <w:vAlign w:val="center"/>
          </w:tcPr>
          <w:p w14:paraId="33C32914">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详见全文“</w:t>
            </w:r>
            <w:r>
              <w:rPr>
                <w:rFonts w:hint="eastAsia" w:ascii="宋体" w:cs="宋体"/>
                <w:b/>
                <w:bCs/>
                <w:color w:val="auto"/>
                <w:kern w:val="0"/>
                <w:sz w:val="24"/>
                <w:szCs w:val="24"/>
                <w:highlight w:val="none"/>
                <w:lang w:val="en-US" w:eastAsia="zh-CN"/>
              </w:rPr>
              <w:t>（实质性要求）</w:t>
            </w:r>
            <w:r>
              <w:rPr>
                <w:rFonts w:hint="eastAsia" w:ascii="宋体" w:hAnsi="宋体" w:eastAsia="宋体" w:cs="宋体"/>
                <w:color w:val="auto"/>
                <w:kern w:val="2"/>
                <w:sz w:val="24"/>
                <w:szCs w:val="24"/>
                <w:highlight w:val="none"/>
                <w:lang w:val="en-US" w:eastAsia="zh-CN" w:bidi="ar-SA"/>
              </w:rPr>
              <w:t>”</w:t>
            </w:r>
          </w:p>
        </w:tc>
      </w:tr>
      <w:tr w14:paraId="7B92A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trPr>
        <w:tc>
          <w:tcPr>
            <w:tcW w:w="1120" w:type="dxa"/>
            <w:tcBorders>
              <w:tl2br w:val="nil"/>
              <w:tr2bl w:val="nil"/>
            </w:tcBorders>
            <w:noWrap w:val="0"/>
            <w:vAlign w:val="center"/>
          </w:tcPr>
          <w:p w14:paraId="0E81A874">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16</w:t>
            </w:r>
          </w:p>
        </w:tc>
        <w:tc>
          <w:tcPr>
            <w:tcW w:w="2160" w:type="dxa"/>
            <w:tcBorders>
              <w:tl2br w:val="nil"/>
              <w:tr2bl w:val="nil"/>
            </w:tcBorders>
            <w:shd w:val="clear" w:color="auto" w:fill="auto"/>
            <w:noWrap w:val="0"/>
            <w:vAlign w:val="center"/>
          </w:tcPr>
          <w:p w14:paraId="29087124">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w:t>
            </w:r>
          </w:p>
        </w:tc>
        <w:tc>
          <w:tcPr>
            <w:tcW w:w="6470" w:type="dxa"/>
            <w:tcBorders>
              <w:tl2br w:val="nil"/>
              <w:tr2bl w:val="nil"/>
            </w:tcBorders>
            <w:shd w:val="clear" w:color="auto" w:fill="auto"/>
            <w:noWrap w:val="0"/>
            <w:vAlign w:val="center"/>
          </w:tcPr>
          <w:p w14:paraId="658EB796">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不允许</w:t>
            </w:r>
          </w:p>
        </w:tc>
      </w:tr>
      <w:tr w14:paraId="05119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0" w:type="dxa"/>
            <w:tcBorders>
              <w:tl2br w:val="nil"/>
              <w:tr2bl w:val="nil"/>
            </w:tcBorders>
            <w:noWrap w:val="0"/>
            <w:vAlign w:val="center"/>
          </w:tcPr>
          <w:p w14:paraId="6619DB6F">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17</w:t>
            </w:r>
          </w:p>
        </w:tc>
        <w:tc>
          <w:tcPr>
            <w:tcW w:w="2160" w:type="dxa"/>
            <w:tcBorders>
              <w:tl2br w:val="nil"/>
              <w:tr2bl w:val="nil"/>
            </w:tcBorders>
            <w:shd w:val="clear" w:color="auto" w:fill="auto"/>
            <w:noWrap w:val="0"/>
            <w:vAlign w:val="center"/>
          </w:tcPr>
          <w:p w14:paraId="578D16F2">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构成</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的其他资料</w:t>
            </w:r>
          </w:p>
        </w:tc>
        <w:tc>
          <w:tcPr>
            <w:tcW w:w="6470" w:type="dxa"/>
            <w:tcBorders>
              <w:tl2br w:val="nil"/>
              <w:tr2bl w:val="nil"/>
            </w:tcBorders>
            <w:shd w:val="clear" w:color="auto" w:fill="auto"/>
            <w:noWrap w:val="0"/>
            <w:vAlign w:val="center"/>
          </w:tcPr>
          <w:p w14:paraId="1862842E">
            <w:pPr>
              <w:pStyle w:val="42"/>
              <w:spacing w:before="74" w:line="400" w:lineRule="exact"/>
              <w:ind w:left="42" w:leftChars="20" w:right="42" w:rightChars="2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招标答疑补充文件等</w:t>
            </w:r>
          </w:p>
        </w:tc>
      </w:tr>
      <w:tr w14:paraId="7ADF7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1120" w:type="dxa"/>
            <w:tcBorders>
              <w:tl2br w:val="nil"/>
              <w:tr2bl w:val="nil"/>
            </w:tcBorders>
            <w:noWrap w:val="0"/>
            <w:vAlign w:val="center"/>
          </w:tcPr>
          <w:p w14:paraId="5A1DEB7F">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18</w:t>
            </w:r>
          </w:p>
        </w:tc>
        <w:tc>
          <w:tcPr>
            <w:tcW w:w="2160" w:type="dxa"/>
            <w:tcBorders>
              <w:tl2br w:val="nil"/>
              <w:tr2bl w:val="nil"/>
            </w:tcBorders>
            <w:shd w:val="clear" w:color="auto" w:fill="auto"/>
            <w:noWrap w:val="0"/>
            <w:vAlign w:val="center"/>
          </w:tcPr>
          <w:p w14:paraId="0F1ADF7D">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构成</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的其他资料</w:t>
            </w:r>
          </w:p>
        </w:tc>
        <w:tc>
          <w:tcPr>
            <w:tcW w:w="6470" w:type="dxa"/>
            <w:tcBorders>
              <w:tl2br w:val="nil"/>
              <w:tr2bl w:val="nil"/>
            </w:tcBorders>
            <w:shd w:val="clear" w:color="auto" w:fill="auto"/>
            <w:noWrap w:val="0"/>
            <w:vAlign w:val="center"/>
          </w:tcPr>
          <w:p w14:paraId="15CD1AEC">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评审现场根据评标委员会的要求进行的澄清答疑说明文件，澄清答疑说明文件将补充、</w:t>
            </w:r>
            <w:r>
              <w:rPr>
                <w:rFonts w:hint="eastAsia" w:ascii="宋体" w:hAnsi="宋体" w:eastAsia="宋体" w:cs="宋体"/>
                <w:color w:val="auto"/>
                <w:kern w:val="2"/>
                <w:sz w:val="24"/>
                <w:szCs w:val="24"/>
                <w:highlight w:val="none"/>
                <w:lang w:val="en-US" w:eastAsia="zh-CN" w:bidi="ar-SA"/>
              </w:rPr>
              <w:t>取代</w:t>
            </w:r>
            <w:r>
              <w:rPr>
                <w:rFonts w:hint="eastAsia" w:ascii="宋体" w:hAnsi="宋体" w:cs="宋体"/>
                <w:color w:val="auto"/>
                <w:kern w:val="2"/>
                <w:sz w:val="24"/>
                <w:szCs w:val="24"/>
                <w:highlight w:val="none"/>
                <w:lang w:val="en-US" w:eastAsia="zh-CN" w:bidi="ar-SA"/>
              </w:rPr>
              <w:t>响应文件</w:t>
            </w:r>
            <w:r>
              <w:rPr>
                <w:rFonts w:hint="eastAsia" w:ascii="宋体" w:hAnsi="宋体" w:eastAsia="宋体" w:cs="宋体"/>
                <w:color w:val="auto"/>
                <w:kern w:val="2"/>
                <w:sz w:val="24"/>
                <w:szCs w:val="24"/>
                <w:highlight w:val="none"/>
                <w:lang w:val="en-US" w:bidi="ar-SA"/>
              </w:rPr>
              <w:t>中相应内容</w:t>
            </w:r>
          </w:p>
        </w:tc>
      </w:tr>
      <w:tr w14:paraId="6E073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1120" w:type="dxa"/>
            <w:tcBorders>
              <w:tl2br w:val="nil"/>
              <w:tr2bl w:val="nil"/>
            </w:tcBorders>
            <w:noWrap w:val="0"/>
            <w:vAlign w:val="center"/>
          </w:tcPr>
          <w:p w14:paraId="50E8063B">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19</w:t>
            </w:r>
          </w:p>
        </w:tc>
        <w:tc>
          <w:tcPr>
            <w:tcW w:w="2160" w:type="dxa"/>
            <w:tcBorders>
              <w:tl2br w:val="nil"/>
              <w:tr2bl w:val="nil"/>
            </w:tcBorders>
            <w:shd w:val="clear" w:color="auto" w:fill="auto"/>
            <w:noWrap w:val="0"/>
            <w:vAlign w:val="center"/>
          </w:tcPr>
          <w:p w14:paraId="5DD52133">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增值税税金的计算方法</w:t>
            </w:r>
          </w:p>
        </w:tc>
        <w:tc>
          <w:tcPr>
            <w:tcW w:w="6470" w:type="dxa"/>
            <w:tcBorders>
              <w:tl2br w:val="nil"/>
              <w:tr2bl w:val="nil"/>
            </w:tcBorders>
            <w:shd w:val="clear" w:color="auto" w:fill="auto"/>
            <w:noWrap w:val="0"/>
            <w:vAlign w:val="center"/>
          </w:tcPr>
          <w:p w14:paraId="41585B10">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按国家、地区、行业最新规定执行</w:t>
            </w:r>
          </w:p>
        </w:tc>
      </w:tr>
      <w:tr w14:paraId="775F4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0" w:type="dxa"/>
            <w:tcBorders>
              <w:tl2br w:val="nil"/>
              <w:tr2bl w:val="nil"/>
            </w:tcBorders>
            <w:noWrap w:val="0"/>
            <w:vAlign w:val="center"/>
          </w:tcPr>
          <w:p w14:paraId="1E0E6AD4">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20</w:t>
            </w:r>
          </w:p>
        </w:tc>
        <w:tc>
          <w:tcPr>
            <w:tcW w:w="2160" w:type="dxa"/>
            <w:tcBorders>
              <w:tl2br w:val="nil"/>
              <w:tr2bl w:val="nil"/>
            </w:tcBorders>
            <w:shd w:val="clear" w:color="auto" w:fill="auto"/>
            <w:noWrap w:val="0"/>
            <w:vAlign w:val="center"/>
          </w:tcPr>
          <w:p w14:paraId="2F1DA994">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投标报价的其他要求</w:t>
            </w:r>
          </w:p>
          <w:p w14:paraId="08BEF263">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cs="宋体"/>
                <w:b/>
                <w:bCs/>
                <w:color w:val="auto"/>
                <w:kern w:val="0"/>
                <w:sz w:val="24"/>
                <w:szCs w:val="24"/>
                <w:highlight w:val="none"/>
                <w:lang w:val="en-US" w:eastAsia="zh-CN"/>
              </w:rPr>
              <w:t>（实质性要求）</w:t>
            </w:r>
          </w:p>
        </w:tc>
        <w:tc>
          <w:tcPr>
            <w:tcW w:w="6470" w:type="dxa"/>
            <w:tcBorders>
              <w:tl2br w:val="nil"/>
              <w:tr2bl w:val="nil"/>
            </w:tcBorders>
            <w:shd w:val="clear" w:color="auto" w:fill="auto"/>
            <w:noWrap w:val="0"/>
            <w:vAlign w:val="center"/>
          </w:tcPr>
          <w:p w14:paraId="7685A038">
            <w:pPr>
              <w:pStyle w:val="42"/>
              <w:spacing w:before="74" w:line="400" w:lineRule="exact"/>
              <w:ind w:left="42" w:leftChars="20" w:right="42" w:rightChars="20"/>
              <w:rPr>
                <w:rFonts w:hint="eastAsia" w:ascii="宋体" w:hAnsi="宋体" w:eastAsia="宋体" w:cs="宋体"/>
                <w:b/>
                <w:bCs/>
                <w:color w:val="auto"/>
                <w:sz w:val="24"/>
                <w:szCs w:val="24"/>
                <w:highlight w:val="none"/>
                <w:lang w:val="en-US"/>
              </w:rPr>
            </w:pPr>
            <w:r>
              <w:rPr>
                <w:rFonts w:hint="eastAsia" w:ascii="宋体" w:hAnsi="宋体" w:cs="宋体"/>
                <w:b/>
                <w:bCs/>
                <w:color w:val="auto"/>
                <w:kern w:val="2"/>
                <w:sz w:val="24"/>
                <w:szCs w:val="24"/>
                <w:highlight w:val="none"/>
                <w:lang w:val="en-US" w:eastAsia="zh-CN" w:bidi="ar-SA"/>
              </w:rPr>
              <w:t>投标报价应包括：有关本项目所需货物采购、包装费、运输费、保险费、人员工资、验收、售后服务、税金等。运输途中风险由成交单位自行承担；</w:t>
            </w:r>
          </w:p>
          <w:p w14:paraId="22984ABE">
            <w:pPr>
              <w:pStyle w:val="42"/>
              <w:spacing w:before="74" w:line="400" w:lineRule="exact"/>
              <w:ind w:left="42" w:leftChars="20" w:right="42" w:rightChars="20"/>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（本项目为一次报价，即一次报价为最终报价）</w:t>
            </w:r>
          </w:p>
        </w:tc>
      </w:tr>
      <w:tr w14:paraId="6A163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atLeast"/>
        </w:trPr>
        <w:tc>
          <w:tcPr>
            <w:tcW w:w="1120" w:type="dxa"/>
            <w:tcBorders>
              <w:tl2br w:val="nil"/>
              <w:tr2bl w:val="nil"/>
            </w:tcBorders>
            <w:noWrap w:val="0"/>
            <w:vAlign w:val="center"/>
          </w:tcPr>
          <w:p w14:paraId="06A038D4">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p>
        </w:tc>
        <w:tc>
          <w:tcPr>
            <w:tcW w:w="2160" w:type="dxa"/>
            <w:tcBorders>
              <w:tl2br w:val="nil"/>
              <w:tr2bl w:val="nil"/>
            </w:tcBorders>
            <w:shd w:val="clear" w:color="auto" w:fill="auto"/>
            <w:noWrap w:val="0"/>
            <w:vAlign w:val="center"/>
          </w:tcPr>
          <w:p w14:paraId="79FA78D6">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p w14:paraId="669AFB70">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cs="宋体"/>
                <w:b/>
                <w:bCs/>
                <w:color w:val="auto"/>
                <w:kern w:val="0"/>
                <w:sz w:val="24"/>
                <w:szCs w:val="24"/>
                <w:highlight w:val="none"/>
                <w:lang w:val="en-US" w:eastAsia="zh-CN"/>
              </w:rPr>
              <w:t>（实质性要求）</w:t>
            </w:r>
          </w:p>
        </w:tc>
        <w:tc>
          <w:tcPr>
            <w:tcW w:w="6470" w:type="dxa"/>
            <w:tcBorders>
              <w:tl2br w:val="nil"/>
              <w:tr2bl w:val="nil"/>
            </w:tcBorders>
            <w:shd w:val="clear" w:color="auto" w:fill="auto"/>
            <w:noWrap w:val="0"/>
            <w:vAlign w:val="center"/>
          </w:tcPr>
          <w:p w14:paraId="4B753391">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自</w:t>
            </w:r>
            <w:r>
              <w:rPr>
                <w:rFonts w:hint="eastAsia" w:ascii="宋体" w:hAnsi="宋体" w:cs="宋体"/>
                <w:color w:val="auto"/>
                <w:kern w:val="2"/>
                <w:sz w:val="24"/>
                <w:szCs w:val="24"/>
                <w:highlight w:val="none"/>
                <w:lang w:val="en-US" w:eastAsia="zh-CN" w:bidi="ar-SA"/>
              </w:rPr>
              <w:t>投标截止</w:t>
            </w:r>
            <w:r>
              <w:rPr>
                <w:rFonts w:hint="eastAsia" w:ascii="宋体" w:hAnsi="宋体" w:eastAsia="宋体" w:cs="宋体"/>
                <w:color w:val="auto"/>
                <w:kern w:val="2"/>
                <w:sz w:val="24"/>
                <w:szCs w:val="24"/>
                <w:highlight w:val="none"/>
                <w:lang w:val="en-US" w:eastAsia="zh-CN" w:bidi="ar-SA"/>
              </w:rPr>
              <w:t>之日起90</w:t>
            </w:r>
            <w:r>
              <w:rPr>
                <w:rFonts w:hint="eastAsia" w:ascii="宋体" w:hAnsi="宋体" w:eastAsia="宋体" w:cs="宋体"/>
                <w:color w:val="auto"/>
                <w:kern w:val="2"/>
                <w:sz w:val="24"/>
                <w:szCs w:val="24"/>
                <w:highlight w:val="none"/>
                <w:lang w:val="en-US" w:bidi="ar-SA"/>
              </w:rPr>
              <w:t>日历天</w:t>
            </w:r>
          </w:p>
        </w:tc>
      </w:tr>
      <w:tr w14:paraId="6A756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20" w:type="dxa"/>
            <w:tcBorders>
              <w:tl2br w:val="nil"/>
              <w:tr2bl w:val="nil"/>
            </w:tcBorders>
            <w:noWrap w:val="0"/>
            <w:vAlign w:val="center"/>
          </w:tcPr>
          <w:p w14:paraId="6FA3BDE2">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22</w:t>
            </w:r>
          </w:p>
        </w:tc>
        <w:tc>
          <w:tcPr>
            <w:tcW w:w="2160" w:type="dxa"/>
            <w:tcBorders>
              <w:tl2br w:val="nil"/>
              <w:tr2bl w:val="nil"/>
            </w:tcBorders>
            <w:shd w:val="clear" w:color="auto" w:fill="auto"/>
            <w:noWrap w:val="0"/>
            <w:vAlign w:val="center"/>
          </w:tcPr>
          <w:p w14:paraId="58208014">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p w14:paraId="17071B6B">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cs="宋体"/>
                <w:b/>
                <w:bCs/>
                <w:color w:val="auto"/>
                <w:kern w:val="0"/>
                <w:sz w:val="24"/>
                <w:szCs w:val="24"/>
                <w:highlight w:val="none"/>
                <w:lang w:val="en-US" w:eastAsia="zh-CN"/>
              </w:rPr>
              <w:t>（实质性要求）</w:t>
            </w:r>
          </w:p>
        </w:tc>
        <w:tc>
          <w:tcPr>
            <w:tcW w:w="6470" w:type="dxa"/>
            <w:tcBorders>
              <w:tl2br w:val="nil"/>
              <w:tr2bl w:val="nil"/>
            </w:tcBorders>
            <w:shd w:val="clear" w:color="auto" w:fill="auto"/>
            <w:noWrap w:val="0"/>
            <w:vAlign w:val="center"/>
          </w:tcPr>
          <w:p w14:paraId="7720352E">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金额：</w:t>
            </w:r>
          </w:p>
          <w:p w14:paraId="1F9047AD">
            <w:pPr>
              <w:pStyle w:val="78"/>
              <w:keepNext w:val="0"/>
              <w:keepLines w:val="0"/>
              <w:pageBreakBefore w:val="0"/>
              <w:widowControl w:val="0"/>
              <w:kinsoku/>
              <w:wordWrap/>
              <w:overflowPunct/>
              <w:topLinePunct w:val="0"/>
              <w:autoSpaceDE/>
              <w:autoSpaceDN/>
              <w:bidi w:val="0"/>
              <w:adjustRightInd/>
              <w:snapToGrid/>
              <w:spacing w:after="0" w:line="300" w:lineRule="exact"/>
              <w:textAlignment w:val="auto"/>
              <w:rPr>
                <w:rFonts w:hint="eastAsia" w:ascii="宋体" w:hAnsi="宋体" w:eastAsia="宋体" w:cs="宋体"/>
                <w:b/>
                <w:bCs w:val="0"/>
                <w:color w:val="auto"/>
                <w:kern w:val="2"/>
                <w:sz w:val="24"/>
                <w:szCs w:val="22"/>
                <w:highlight w:val="none"/>
                <w:lang w:val="en-US" w:eastAsia="zh-CN" w:bidi="ar-SA"/>
              </w:rPr>
            </w:pPr>
            <w:r>
              <w:rPr>
                <w:rFonts w:hint="eastAsia" w:ascii="宋体" w:hAnsi="宋体" w:eastAsia="宋体" w:cs="宋体"/>
                <w:b/>
                <w:bCs w:val="0"/>
                <w:color w:val="auto"/>
                <w:kern w:val="2"/>
                <w:sz w:val="24"/>
                <w:szCs w:val="22"/>
                <w:highlight w:val="none"/>
                <w:lang w:val="en-US" w:eastAsia="zh-CN" w:bidi="ar-SA"/>
              </w:rPr>
              <w:t>3130元（叁仟壹佰叁拾元整）</w:t>
            </w:r>
          </w:p>
          <w:p w14:paraId="4C0ED725">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的形式：</w:t>
            </w:r>
            <w:r>
              <w:rPr>
                <w:rFonts w:hint="eastAsia" w:ascii="宋体" w:hAnsi="宋体" w:cs="宋体"/>
                <w:b/>
                <w:bCs/>
                <w:color w:val="auto"/>
                <w:sz w:val="24"/>
                <w:szCs w:val="24"/>
                <w:highlight w:val="none"/>
                <w:lang w:val="en-US" w:eastAsia="zh-CN"/>
              </w:rPr>
              <w:t>政府采购保证金应当以支票、汇票、本票或者金融机构</w:t>
            </w:r>
            <w:r>
              <w:rPr>
                <w:rFonts w:hint="eastAsia" w:ascii="宋体" w:hAnsi="宋体" w:eastAsia="宋体" w:cs="宋体"/>
                <w:b/>
                <w:bCs/>
                <w:color w:val="auto"/>
                <w:sz w:val="24"/>
                <w:szCs w:val="24"/>
                <w:highlight w:val="none"/>
                <w:lang w:val="en-US" w:eastAsia="zh-CN"/>
              </w:rPr>
              <w:t>、担保机构出具的保函等非现金的形式提交。</w:t>
            </w:r>
          </w:p>
          <w:p w14:paraId="4C91B393">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采购代理机构的开户银行及账号如下：</w:t>
            </w:r>
          </w:p>
          <w:p w14:paraId="3F64EA2E">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账户名称：</w:t>
            </w:r>
            <w:r>
              <w:rPr>
                <w:rFonts w:hint="eastAsia" w:ascii="宋体" w:hAnsi="宋体" w:cs="宋体"/>
                <w:b/>
                <w:bCs/>
                <w:color w:val="auto"/>
                <w:sz w:val="24"/>
                <w:szCs w:val="24"/>
                <w:highlight w:val="none"/>
                <w:lang w:val="en-US" w:eastAsia="zh-CN"/>
              </w:rPr>
              <w:t>新疆国腾工程项目管理咨询有限公司</w:t>
            </w:r>
          </w:p>
          <w:p w14:paraId="7DC5043D">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开户账号：843011612010139071773</w:t>
            </w:r>
          </w:p>
          <w:p w14:paraId="6D419E8D">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行  号：402888000263</w:t>
            </w:r>
          </w:p>
          <w:p w14:paraId="4E3B32A6">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开 户 行：新疆库尔勒农村商业银行股份有限公司梨香南路支行</w:t>
            </w:r>
          </w:p>
          <w:p w14:paraId="5CB8ED65">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    意：本项目无须换取保证金收据，开标时</w:t>
            </w: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en-US" w:eastAsia="zh-CN"/>
              </w:rPr>
              <w:t>须持能够证明其</w:t>
            </w: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从其基本账户转出且已交存的有效凭证</w:t>
            </w:r>
          </w:p>
          <w:p w14:paraId="21CA44FB">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en-US" w:eastAsia="zh-CN"/>
              </w:rPr>
              <w:t>提交</w:t>
            </w: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应充分考虑资金在途时间。各</w:t>
            </w: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en-US" w:eastAsia="zh-CN"/>
              </w:rPr>
              <w:t>缴纳</w:t>
            </w: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时须在附加信息及用途栏内注明“</w:t>
            </w:r>
            <w:r>
              <w:rPr>
                <w:rFonts w:hint="eastAsia" w:ascii="宋体" w:hAnsi="宋体" w:cs="宋体"/>
                <w:b/>
                <w:bCs/>
                <w:color w:val="auto"/>
                <w:kern w:val="2"/>
                <w:sz w:val="24"/>
                <w:szCs w:val="24"/>
                <w:highlight w:val="none"/>
                <w:lang w:val="en-US" w:eastAsia="zh-CN" w:bidi="ar-SA"/>
              </w:rPr>
              <w:t>具体标段信息</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或项目名称</w:t>
            </w:r>
            <w:r>
              <w:rPr>
                <w:rFonts w:hint="eastAsia" w:ascii="宋体" w:hAnsi="宋体" w:eastAsia="宋体" w:cs="宋体"/>
                <w:b/>
                <w:bCs/>
                <w:color w:val="auto"/>
                <w:sz w:val="24"/>
                <w:szCs w:val="24"/>
                <w:highlight w:val="none"/>
                <w:lang w:val="en-US" w:eastAsia="zh-CN"/>
              </w:rPr>
              <w:t>（以</w:t>
            </w: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接收方银行到账信息为准）。</w:t>
            </w:r>
          </w:p>
          <w:p w14:paraId="3251A9F8">
            <w:pPr>
              <w:keepNext w:val="0"/>
              <w:keepLines w:val="0"/>
              <w:pageBreakBefore w:val="0"/>
              <w:widowControl w:val="0"/>
              <w:numPr>
                <w:ilvl w:val="0"/>
                <w:numId w:val="3"/>
              </w:numPr>
              <w:kinsoku/>
              <w:wordWrap/>
              <w:overflowPunct/>
              <w:topLinePunct w:val="0"/>
              <w:autoSpaceDE/>
              <w:autoSpaceDN/>
              <w:bidi w:val="0"/>
              <w:adjustRightInd w:val="0"/>
              <w:snapToGrid w:val="0"/>
              <w:spacing w:before="120" w:beforeLines="50" w:line="24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若</w:t>
            </w: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en-US" w:eastAsia="zh-CN"/>
              </w:rPr>
              <w:t>未按照上述规定缴纳</w:t>
            </w:r>
            <w:r>
              <w:rPr>
                <w:rFonts w:hint="eastAsia" w:ascii="宋体" w:hAnsi="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响应文件</w:t>
            </w:r>
            <w:r>
              <w:rPr>
                <w:rFonts w:hint="eastAsia" w:ascii="宋体" w:hAnsi="宋体" w:eastAsia="宋体" w:cs="宋体"/>
                <w:b/>
                <w:bCs/>
                <w:color w:val="auto"/>
                <w:sz w:val="24"/>
                <w:szCs w:val="24"/>
                <w:highlight w:val="none"/>
                <w:lang w:val="en-US" w:eastAsia="zh-CN"/>
              </w:rPr>
              <w:t>将被拒绝评审。</w:t>
            </w:r>
          </w:p>
        </w:tc>
      </w:tr>
      <w:tr w14:paraId="5E9E3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1120" w:type="dxa"/>
            <w:tcBorders>
              <w:tl2br w:val="nil"/>
              <w:tr2bl w:val="nil"/>
            </w:tcBorders>
            <w:noWrap w:val="0"/>
            <w:vAlign w:val="center"/>
          </w:tcPr>
          <w:p w14:paraId="24A1D18A">
            <w:pPr>
              <w:pStyle w:val="42"/>
              <w:spacing w:before="74" w:line="400" w:lineRule="exact"/>
              <w:ind w:left="42" w:leftChars="20" w:right="42" w:rightChars="20"/>
              <w:jc w:val="center"/>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23</w:t>
            </w:r>
          </w:p>
        </w:tc>
        <w:tc>
          <w:tcPr>
            <w:tcW w:w="2160" w:type="dxa"/>
            <w:tcBorders>
              <w:tl2br w:val="nil"/>
              <w:tr2bl w:val="nil"/>
            </w:tcBorders>
            <w:noWrap w:val="0"/>
            <w:vAlign w:val="center"/>
          </w:tcPr>
          <w:p w14:paraId="6BF19D26">
            <w:pPr>
              <w:keepNext w:val="0"/>
              <w:keepLines w:val="0"/>
              <w:pageBreakBefore w:val="0"/>
              <w:kinsoku/>
              <w:wordWrap/>
              <w:overflowPunct/>
              <w:topLinePunct w:val="0"/>
              <w:autoSpaceDE/>
              <w:autoSpaceDN/>
              <w:bidi w:val="0"/>
              <w:adjustRightInd/>
              <w:snapToGrid/>
              <w:spacing w:line="300" w:lineRule="exact"/>
              <w:ind w:right="-126" w:rightChars="-6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投标</w:t>
            </w:r>
            <w:r>
              <w:rPr>
                <w:rFonts w:hint="eastAsia" w:ascii="宋体" w:hAnsi="宋体" w:eastAsia="宋体" w:cs="宋体"/>
                <w:b/>
                <w:color w:val="auto"/>
                <w:sz w:val="24"/>
                <w:szCs w:val="24"/>
                <w:highlight w:val="none"/>
              </w:rPr>
              <w:t>保证金的退还</w:t>
            </w:r>
          </w:p>
          <w:p w14:paraId="656A185C">
            <w:pPr>
              <w:keepNext w:val="0"/>
              <w:keepLines w:val="0"/>
              <w:pageBreakBefore w:val="0"/>
              <w:kinsoku/>
              <w:wordWrap/>
              <w:overflowPunct/>
              <w:topLinePunct w:val="0"/>
              <w:autoSpaceDE/>
              <w:autoSpaceDN/>
              <w:bidi w:val="0"/>
              <w:adjustRightInd/>
              <w:snapToGrid/>
              <w:spacing w:line="300" w:lineRule="exact"/>
              <w:ind w:right="-126" w:rightChars="-60"/>
              <w:jc w:val="both"/>
              <w:textAlignment w:val="auto"/>
              <w:rPr>
                <w:rFonts w:hint="eastAsia" w:ascii="宋体" w:hAnsi="宋体" w:eastAsia="宋体" w:cs="宋体"/>
                <w:color w:val="auto"/>
                <w:kern w:val="2"/>
                <w:sz w:val="24"/>
                <w:szCs w:val="24"/>
                <w:highlight w:val="none"/>
                <w:lang w:val="en-US" w:eastAsia="zh-CN" w:bidi="ar-SA"/>
              </w:rPr>
            </w:pPr>
          </w:p>
        </w:tc>
        <w:tc>
          <w:tcPr>
            <w:tcW w:w="6470" w:type="dxa"/>
            <w:tcBorders>
              <w:tl2br w:val="nil"/>
              <w:tr2bl w:val="nil"/>
            </w:tcBorders>
            <w:noWrap w:val="0"/>
            <w:vAlign w:val="center"/>
          </w:tcPr>
          <w:p w14:paraId="3896B306">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(1)未</w:t>
            </w:r>
            <w:r>
              <w:rPr>
                <w:rFonts w:hint="eastAsia" w:ascii="宋体" w:hAnsi="宋体" w:cs="宋体"/>
                <w:color w:val="auto"/>
                <w:sz w:val="24"/>
                <w:szCs w:val="24"/>
                <w:highlight w:val="none"/>
                <w:lang w:val="en-US" w:eastAsia="zh-CN"/>
              </w:rPr>
              <w:t>成交单位</w:t>
            </w:r>
            <w:r>
              <w:rPr>
                <w:rFonts w:hint="eastAsia" w:ascii="宋体" w:hAnsi="宋体" w:eastAsia="宋体" w:cs="宋体"/>
                <w:color w:val="auto"/>
                <w:sz w:val="24"/>
                <w:szCs w:val="24"/>
                <w:highlight w:val="none"/>
                <w:lang w:val="en-US" w:eastAsia="zh-CN"/>
              </w:rPr>
              <w:t>，自</w:t>
            </w:r>
            <w:r>
              <w:rPr>
                <w:rFonts w:hint="eastAsia" w:ascii="宋体" w:hAnsi="宋体" w:cs="宋体"/>
                <w:color w:val="auto"/>
                <w:sz w:val="24"/>
                <w:szCs w:val="24"/>
                <w:highlight w:val="none"/>
                <w:lang w:val="en-US" w:eastAsia="zh-CN"/>
              </w:rPr>
              <w:t>成交通知书</w:t>
            </w:r>
            <w:r>
              <w:rPr>
                <w:rFonts w:hint="eastAsia" w:ascii="宋体" w:hAnsi="宋体" w:eastAsia="宋体" w:cs="宋体"/>
                <w:color w:val="auto"/>
                <w:sz w:val="24"/>
                <w:szCs w:val="24"/>
                <w:highlight w:val="none"/>
                <w:lang w:val="en-US" w:eastAsia="zh-CN"/>
              </w:rPr>
              <w:t>发出之日起5个工作日内原账户退还，</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需提供反开收据交至代理处；</w:t>
            </w:r>
          </w:p>
          <w:p w14:paraId="2C614DAD">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成交单位</w:t>
            </w:r>
            <w:r>
              <w:rPr>
                <w:rFonts w:hint="eastAsia" w:ascii="宋体" w:hAnsi="宋体" w:eastAsia="宋体" w:cs="宋体"/>
                <w:color w:val="auto"/>
                <w:sz w:val="24"/>
                <w:szCs w:val="24"/>
                <w:highlight w:val="none"/>
                <w:lang w:val="zh-CN"/>
              </w:rPr>
              <w:t>在</w:t>
            </w:r>
            <w:r>
              <w:rPr>
                <w:rFonts w:hint="eastAsia" w:ascii="宋体" w:hAnsi="宋体" w:eastAsia="宋体" w:cs="宋体"/>
                <w:color w:val="auto"/>
                <w:sz w:val="24"/>
                <w:szCs w:val="24"/>
                <w:highlight w:val="none"/>
                <w:lang w:val="en-US" w:eastAsia="zh-CN"/>
              </w:rPr>
              <w:t>业主方确认</w:t>
            </w:r>
            <w:r>
              <w:rPr>
                <w:rFonts w:hint="eastAsia" w:ascii="宋体" w:hAnsi="宋体" w:cs="宋体"/>
                <w:color w:val="auto"/>
                <w:sz w:val="24"/>
                <w:szCs w:val="24"/>
                <w:highlight w:val="none"/>
                <w:lang w:val="en-US" w:eastAsia="zh-CN"/>
              </w:rPr>
              <w:t>成交单位</w:t>
            </w:r>
            <w:r>
              <w:rPr>
                <w:rFonts w:hint="eastAsia" w:ascii="宋体" w:hAnsi="宋体" w:eastAsia="宋体" w:cs="宋体"/>
                <w:color w:val="auto"/>
                <w:sz w:val="24"/>
                <w:szCs w:val="24"/>
                <w:highlight w:val="none"/>
                <w:lang w:val="en-US" w:eastAsia="zh-CN"/>
              </w:rPr>
              <w:t>后自合同签订之日起5个工作日内</w:t>
            </w:r>
            <w:r>
              <w:rPr>
                <w:rFonts w:hint="eastAsia" w:ascii="宋体" w:hAnsi="宋体" w:eastAsia="宋体" w:cs="宋体"/>
                <w:color w:val="auto"/>
                <w:sz w:val="24"/>
                <w:szCs w:val="24"/>
                <w:highlight w:val="none"/>
                <w:lang w:val="zh-CN"/>
              </w:rPr>
              <w:t>退还</w:t>
            </w:r>
            <w:r>
              <w:rPr>
                <w:rFonts w:hint="eastAsia" w:ascii="宋体" w:hAnsi="宋体" w:cs="宋体"/>
                <w:color w:val="auto"/>
                <w:sz w:val="24"/>
                <w:szCs w:val="24"/>
                <w:highlight w:val="none"/>
                <w:lang w:val="en-US" w:eastAsia="zh-CN"/>
              </w:rPr>
              <w:t>成交单位</w:t>
            </w:r>
            <w:r>
              <w:rPr>
                <w:rFonts w:hint="eastAsia" w:ascii="宋体" w:hAnsi="宋体" w:eastAsia="宋体" w:cs="宋体"/>
                <w:color w:val="auto"/>
                <w:sz w:val="24"/>
                <w:szCs w:val="24"/>
                <w:highlight w:val="none"/>
                <w:lang w:val="zh-CN"/>
              </w:rPr>
              <w:t>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rPr>
              <w:t>保证金</w:t>
            </w:r>
          </w:p>
          <w:p w14:paraId="6E7D7016">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(3)因</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账户问题导致无法正常时间内退付的，采购人和采购代理机构不承担相应责任；</w:t>
            </w:r>
          </w:p>
        </w:tc>
      </w:tr>
      <w:tr w14:paraId="76B78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0" w:type="dxa"/>
            <w:tcBorders>
              <w:tl2br w:val="nil"/>
              <w:tr2bl w:val="nil"/>
            </w:tcBorders>
            <w:noWrap w:val="0"/>
            <w:vAlign w:val="center"/>
          </w:tcPr>
          <w:p w14:paraId="661F8963">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p>
        </w:tc>
        <w:tc>
          <w:tcPr>
            <w:tcW w:w="2160" w:type="dxa"/>
            <w:tcBorders>
              <w:tl2br w:val="nil"/>
              <w:tr2bl w:val="nil"/>
            </w:tcBorders>
            <w:noWrap w:val="0"/>
            <w:vAlign w:val="center"/>
          </w:tcPr>
          <w:p w14:paraId="0F400F39">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近年财务状况的年份要求</w:t>
            </w:r>
          </w:p>
        </w:tc>
        <w:tc>
          <w:tcPr>
            <w:tcW w:w="6470" w:type="dxa"/>
            <w:tcBorders>
              <w:tl2br w:val="nil"/>
              <w:tr2bl w:val="nil"/>
            </w:tcBorders>
            <w:noWrap w:val="0"/>
            <w:vAlign w:val="center"/>
          </w:tcPr>
          <w:p w14:paraId="321DBA44">
            <w:pPr>
              <w:pStyle w:val="42"/>
              <w:spacing w:before="74" w:line="400" w:lineRule="exact"/>
              <w:ind w:left="42" w:leftChars="20" w:right="42" w:rightChars="2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202</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年或</w:t>
            </w:r>
            <w:r>
              <w:rPr>
                <w:rFonts w:hint="eastAsia" w:ascii="宋体" w:hAnsi="宋体" w:eastAsia="宋体" w:cs="宋体"/>
                <w:color w:val="auto"/>
                <w:kern w:val="2"/>
                <w:sz w:val="24"/>
                <w:szCs w:val="24"/>
                <w:highlight w:val="none"/>
                <w:lang w:val="en-US" w:bidi="ar-SA"/>
              </w:rPr>
              <w:t>20</w:t>
            </w:r>
            <w:r>
              <w:rPr>
                <w:rFonts w:hint="eastAsia" w:ascii="宋体" w:hAnsi="宋体" w:cs="宋体"/>
                <w:color w:val="auto"/>
                <w:kern w:val="2"/>
                <w:sz w:val="24"/>
                <w:szCs w:val="24"/>
                <w:highlight w:val="none"/>
                <w:lang w:val="en-US" w:eastAsia="zh-CN" w:bidi="ar-SA"/>
              </w:rPr>
              <w:t>23</w:t>
            </w:r>
            <w:r>
              <w:rPr>
                <w:rFonts w:hint="eastAsia" w:ascii="宋体" w:hAnsi="宋体" w:eastAsia="宋体" w:cs="宋体"/>
                <w:color w:val="auto"/>
                <w:kern w:val="2"/>
                <w:sz w:val="24"/>
                <w:szCs w:val="24"/>
                <w:highlight w:val="none"/>
                <w:lang w:val="en-US" w:bidi="ar-SA"/>
              </w:rPr>
              <w:t>年</w:t>
            </w:r>
          </w:p>
        </w:tc>
      </w:tr>
      <w:tr w14:paraId="66B84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trPr>
        <w:tc>
          <w:tcPr>
            <w:tcW w:w="1120" w:type="dxa"/>
            <w:tcBorders>
              <w:tl2br w:val="nil"/>
              <w:tr2bl w:val="nil"/>
            </w:tcBorders>
            <w:noWrap w:val="0"/>
            <w:vAlign w:val="center"/>
          </w:tcPr>
          <w:p w14:paraId="492E7647">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25</w:t>
            </w:r>
          </w:p>
        </w:tc>
        <w:tc>
          <w:tcPr>
            <w:tcW w:w="2160" w:type="dxa"/>
            <w:tcBorders>
              <w:tl2br w:val="nil"/>
              <w:tr2bl w:val="nil"/>
            </w:tcBorders>
            <w:noWrap w:val="0"/>
            <w:vAlign w:val="center"/>
          </w:tcPr>
          <w:p w14:paraId="5AB8457B">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类似项目的时间要求</w:t>
            </w:r>
          </w:p>
        </w:tc>
        <w:tc>
          <w:tcPr>
            <w:tcW w:w="6470" w:type="dxa"/>
            <w:tcBorders>
              <w:tl2br w:val="nil"/>
              <w:tr2bl w:val="nil"/>
            </w:tcBorders>
            <w:noWrap w:val="0"/>
            <w:vAlign w:val="center"/>
          </w:tcPr>
          <w:p w14:paraId="538ACF3A">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指20</w:t>
            </w: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bidi="ar-SA"/>
              </w:rPr>
              <w:t>年</w:t>
            </w:r>
            <w:r>
              <w:rPr>
                <w:rFonts w:hint="eastAsia" w:ascii="宋体"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bidi="ar-SA"/>
              </w:rPr>
              <w:t>月至</w:t>
            </w:r>
            <w:r>
              <w:rPr>
                <w:rFonts w:hint="eastAsia" w:ascii="宋体" w:hAnsi="宋体" w:eastAsia="宋体" w:cs="宋体"/>
                <w:color w:val="auto"/>
                <w:kern w:val="2"/>
                <w:sz w:val="24"/>
                <w:szCs w:val="24"/>
                <w:highlight w:val="none"/>
                <w:lang w:val="en-US" w:eastAsia="zh-CN" w:bidi="ar-SA"/>
              </w:rPr>
              <w:t>今</w:t>
            </w:r>
          </w:p>
        </w:tc>
      </w:tr>
      <w:tr w14:paraId="3C6A3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8" w:hRule="atLeast"/>
        </w:trPr>
        <w:tc>
          <w:tcPr>
            <w:tcW w:w="1120" w:type="dxa"/>
            <w:tcBorders>
              <w:tl2br w:val="nil"/>
              <w:tr2bl w:val="nil"/>
            </w:tcBorders>
            <w:noWrap w:val="0"/>
            <w:vAlign w:val="center"/>
          </w:tcPr>
          <w:p w14:paraId="541A88B8">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2160" w:type="dxa"/>
            <w:tcBorders>
              <w:tl2br w:val="nil"/>
              <w:tr2bl w:val="nil"/>
            </w:tcBorders>
            <w:noWrap w:val="0"/>
            <w:vAlign w:val="center"/>
          </w:tcPr>
          <w:p w14:paraId="295CE57B">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是否允许递交备选投标方案</w:t>
            </w:r>
          </w:p>
        </w:tc>
        <w:tc>
          <w:tcPr>
            <w:tcW w:w="6470" w:type="dxa"/>
            <w:tcBorders>
              <w:tl2br w:val="nil"/>
              <w:tr2bl w:val="nil"/>
            </w:tcBorders>
            <w:noWrap w:val="0"/>
            <w:vAlign w:val="center"/>
          </w:tcPr>
          <w:p w14:paraId="6C1F951A">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不允许</w:t>
            </w:r>
          </w:p>
        </w:tc>
      </w:tr>
      <w:tr w14:paraId="09DAC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0" w:type="dxa"/>
            <w:tcBorders>
              <w:tl2br w:val="nil"/>
              <w:tr2bl w:val="nil"/>
            </w:tcBorders>
            <w:noWrap w:val="0"/>
            <w:vAlign w:val="center"/>
          </w:tcPr>
          <w:p w14:paraId="065E72E5">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7</w:t>
            </w:r>
          </w:p>
        </w:tc>
        <w:tc>
          <w:tcPr>
            <w:tcW w:w="2160" w:type="dxa"/>
            <w:tcBorders>
              <w:tl2br w:val="nil"/>
              <w:tr2bl w:val="nil"/>
            </w:tcBorders>
            <w:noWrap w:val="0"/>
            <w:vAlign w:val="center"/>
          </w:tcPr>
          <w:p w14:paraId="3175A969">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lang w:val="en-US" w:eastAsia="zh-CN"/>
              </w:rPr>
              <w:t>说明</w:t>
            </w:r>
          </w:p>
        </w:tc>
        <w:tc>
          <w:tcPr>
            <w:tcW w:w="6470" w:type="dxa"/>
            <w:tcBorders>
              <w:tl2br w:val="nil"/>
              <w:tr2bl w:val="nil"/>
            </w:tcBorders>
            <w:noWrap w:val="0"/>
            <w:vAlign w:val="center"/>
          </w:tcPr>
          <w:p w14:paraId="7DC92865">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1.请</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提前自学线上开标流程；</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截止时间</w:t>
            </w:r>
            <w:r>
              <w:rPr>
                <w:rFonts w:hint="eastAsia" w:ascii="宋体" w:hAnsi="宋体" w:eastAsia="宋体" w:cs="宋体"/>
                <w:color w:val="auto"/>
                <w:sz w:val="24"/>
                <w:szCs w:val="24"/>
                <w:highlight w:val="none"/>
              </w:rPr>
              <w:t>当天，线上开标环节，</w:t>
            </w: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rPr>
              <w:t>解密时长30分钟，请各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请自带笔记本电脑及CA锁网上进行文件解密以及操作投标事项，请</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提前调试好在线参标电脑各项配置。</w:t>
            </w:r>
          </w:p>
          <w:p w14:paraId="2337E3D4">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中采购清单、技术需求等如有偏差，如有疑义请澄清中及时提出；否则视为充分理解</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各项要求。</w:t>
            </w:r>
          </w:p>
          <w:p w14:paraId="570DD5FE">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3.本次采用政府采购云平台线上招标、投标，请各潜在</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及时办理CA锁和学习政府采购云平台线上投标相关知识。请在政府采购云平台登录后，进行下载</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。请各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获取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商文件</w:t>
            </w:r>
            <w:r>
              <w:rPr>
                <w:rFonts w:hint="eastAsia" w:ascii="宋体" w:hAnsi="宋体" w:eastAsia="宋体" w:cs="宋体"/>
                <w:color w:val="auto"/>
                <w:sz w:val="24"/>
                <w:szCs w:val="24"/>
                <w:highlight w:val="none"/>
              </w:rPr>
              <w:t>后及时关注云平台答疑文件获取栏目。具体相关事宜见政府采购云平台。本项目采用资格后审，请</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仔细阅读</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和各项要求，制作文件及相关资料过程中，若因</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资格条件不符、提供资料不全等原因导致</w:t>
            </w: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rPr>
              <w:t>予以退还，责任自负。</w:t>
            </w:r>
          </w:p>
          <w:p w14:paraId="27DB3B58">
            <w:pPr>
              <w:pStyle w:val="42"/>
              <w:numPr>
                <w:ilvl w:val="0"/>
                <w:numId w:val="0"/>
              </w:numPr>
              <w:spacing w:before="74" w:line="400" w:lineRule="exact"/>
              <w:ind w:leftChars="0" w:right="42" w:rightChars="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中如有内容冲突的地方，以</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须知要求为准。</w:t>
            </w:r>
          </w:p>
        </w:tc>
      </w:tr>
      <w:tr w14:paraId="56595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0" w:type="dxa"/>
            <w:tcBorders>
              <w:tl2br w:val="nil"/>
              <w:tr2bl w:val="nil"/>
            </w:tcBorders>
            <w:noWrap w:val="0"/>
            <w:vAlign w:val="center"/>
          </w:tcPr>
          <w:p w14:paraId="34978D0A">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28</w:t>
            </w:r>
          </w:p>
        </w:tc>
        <w:tc>
          <w:tcPr>
            <w:tcW w:w="2160" w:type="dxa"/>
            <w:tcBorders>
              <w:tl2br w:val="nil"/>
              <w:tr2bl w:val="nil"/>
            </w:tcBorders>
            <w:noWrap w:val="0"/>
            <w:vAlign w:val="center"/>
          </w:tcPr>
          <w:p w14:paraId="0EBB9114">
            <w:pPr>
              <w:bidi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的份数</w:t>
            </w:r>
          </w:p>
        </w:tc>
        <w:tc>
          <w:tcPr>
            <w:tcW w:w="6470" w:type="dxa"/>
            <w:tcBorders>
              <w:tl2br w:val="nil"/>
              <w:tr2bl w:val="nil"/>
            </w:tcBorders>
            <w:noWrap w:val="0"/>
            <w:vAlign w:val="center"/>
          </w:tcPr>
          <w:p w14:paraId="085FB084">
            <w:pPr>
              <w:bidi w:val="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中标人提供纸质版文件一</w:t>
            </w:r>
            <w:r>
              <w:rPr>
                <w:rFonts w:hint="eastAsia" w:ascii="宋体" w:hAnsi="宋体" w:cs="宋体"/>
                <w:color w:val="auto"/>
                <w:sz w:val="24"/>
                <w:szCs w:val="24"/>
                <w:highlight w:val="none"/>
                <w:lang w:val="en-US" w:eastAsia="zh-CN"/>
              </w:rPr>
              <w:t>正</w:t>
            </w:r>
            <w:r>
              <w:rPr>
                <w:rFonts w:hint="eastAsia" w:ascii="宋体" w:hAnsi="宋体" w:eastAsia="宋体" w:cs="宋体"/>
                <w:color w:val="auto"/>
                <w:sz w:val="24"/>
                <w:szCs w:val="24"/>
                <w:highlight w:val="none"/>
                <w:lang w:val="en-US" w:eastAsia="zh-CN"/>
              </w:rPr>
              <w:t>三</w:t>
            </w:r>
            <w:r>
              <w:rPr>
                <w:rFonts w:hint="eastAsia" w:ascii="宋体" w:hAnsi="宋体" w:cs="宋体"/>
                <w:color w:val="auto"/>
                <w:sz w:val="24"/>
                <w:szCs w:val="24"/>
                <w:highlight w:val="none"/>
                <w:lang w:val="en-US" w:eastAsia="zh-CN"/>
              </w:rPr>
              <w:t>副</w:t>
            </w:r>
            <w:r>
              <w:rPr>
                <w:rFonts w:hint="eastAsia" w:ascii="宋体" w:hAnsi="宋体" w:eastAsia="宋体" w:cs="宋体"/>
                <w:color w:val="auto"/>
                <w:sz w:val="24"/>
                <w:szCs w:val="24"/>
                <w:highlight w:val="none"/>
                <w:lang w:val="en-US" w:eastAsia="zh-CN"/>
              </w:rPr>
              <w:t>及电子版U盘一份于中标公示期递交(寄送)至</w:t>
            </w:r>
            <w:r>
              <w:rPr>
                <w:rFonts w:hint="eastAsia" w:ascii="宋体" w:hAnsi="宋体" w:cs="宋体"/>
                <w:color w:val="auto"/>
                <w:sz w:val="24"/>
                <w:szCs w:val="24"/>
                <w:highlight w:val="none"/>
                <w:lang w:val="zh-CN" w:eastAsia="zh-CN"/>
              </w:rPr>
              <w:t>新疆国腾工程项目管理咨询有限公司</w:t>
            </w:r>
          </w:p>
        </w:tc>
      </w:tr>
      <w:tr w14:paraId="57942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1120" w:type="dxa"/>
            <w:tcBorders>
              <w:tl2br w:val="nil"/>
              <w:tr2bl w:val="nil"/>
            </w:tcBorders>
            <w:noWrap w:val="0"/>
            <w:vAlign w:val="center"/>
          </w:tcPr>
          <w:p w14:paraId="3F25A840">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29</w:t>
            </w:r>
          </w:p>
        </w:tc>
        <w:tc>
          <w:tcPr>
            <w:tcW w:w="2160" w:type="dxa"/>
            <w:tcBorders>
              <w:tl2br w:val="nil"/>
              <w:tr2bl w:val="nil"/>
            </w:tcBorders>
            <w:noWrap w:val="0"/>
            <w:vAlign w:val="center"/>
          </w:tcPr>
          <w:p w14:paraId="022DA874">
            <w:pPr>
              <w:pStyle w:val="42"/>
              <w:spacing w:before="74" w:line="400" w:lineRule="exact"/>
              <w:ind w:left="42" w:leftChars="20" w:right="42" w:rightChars="2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投标截止时间</w:t>
            </w:r>
          </w:p>
        </w:tc>
        <w:tc>
          <w:tcPr>
            <w:tcW w:w="6470" w:type="dxa"/>
            <w:tcBorders>
              <w:tl2br w:val="nil"/>
              <w:tr2bl w:val="nil"/>
            </w:tcBorders>
            <w:noWrap w:val="0"/>
            <w:vAlign w:val="center"/>
          </w:tcPr>
          <w:p w14:paraId="7A25C60E">
            <w:pPr>
              <w:pStyle w:val="42"/>
              <w:spacing w:before="74" w:line="400" w:lineRule="exact"/>
              <w:ind w:left="42" w:leftChars="20" w:right="42" w:rightChars="20"/>
              <w:rPr>
                <w:rFonts w:hint="eastAsia" w:ascii="宋体" w:hAnsi="宋体" w:eastAsia="宋体" w:cs="宋体"/>
                <w:color w:val="auto"/>
                <w:sz w:val="24"/>
                <w:szCs w:val="24"/>
                <w:highlight w:val="none"/>
                <w:lang w:val="en-US" w:eastAsia="zh-CN"/>
              </w:rPr>
            </w:pPr>
            <w:r>
              <w:rPr>
                <w:rFonts w:hint="eastAsia" w:ascii="宋体" w:hAnsi="宋体" w:cs="宋体"/>
                <w:color w:val="auto"/>
                <w:kern w:val="2"/>
                <w:sz w:val="24"/>
                <w:szCs w:val="24"/>
                <w:highlight w:val="none"/>
                <w:lang w:val="en-US" w:eastAsia="zh-CN" w:bidi="ar-SA"/>
              </w:rPr>
              <w:t>2025年01月13日 16:30</w:t>
            </w:r>
            <w:r>
              <w:rPr>
                <w:rFonts w:hint="eastAsia" w:ascii="宋体" w:hAnsi="宋体" w:eastAsia="宋体" w:cs="宋体"/>
                <w:color w:val="auto"/>
                <w:kern w:val="2"/>
                <w:sz w:val="24"/>
                <w:szCs w:val="24"/>
                <w:highlight w:val="none"/>
                <w:lang w:val="en-US" w:eastAsia="zh-CN" w:bidi="ar-SA"/>
              </w:rPr>
              <w:t>（北京时间）</w:t>
            </w:r>
          </w:p>
        </w:tc>
      </w:tr>
      <w:tr w14:paraId="312EE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0" w:type="dxa"/>
            <w:tcBorders>
              <w:tl2br w:val="nil"/>
              <w:tr2bl w:val="nil"/>
            </w:tcBorders>
            <w:noWrap w:val="0"/>
            <w:vAlign w:val="center"/>
          </w:tcPr>
          <w:p w14:paraId="7F296483">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30</w:t>
            </w:r>
          </w:p>
        </w:tc>
        <w:tc>
          <w:tcPr>
            <w:tcW w:w="2160" w:type="dxa"/>
            <w:tcBorders>
              <w:tl2br w:val="nil"/>
              <w:tr2bl w:val="nil"/>
            </w:tcBorders>
            <w:noWrap w:val="0"/>
            <w:vAlign w:val="center"/>
          </w:tcPr>
          <w:p w14:paraId="2AC2CFDC">
            <w:pPr>
              <w:pStyle w:val="42"/>
              <w:spacing w:before="74" w:line="400" w:lineRule="exact"/>
              <w:ind w:left="42" w:leftChars="20" w:right="42" w:rightChar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递交</w:t>
            </w:r>
            <w:r>
              <w:rPr>
                <w:rFonts w:hint="eastAsia" w:ascii="宋体" w:hAnsi="宋体" w:cs="宋体"/>
                <w:color w:val="auto"/>
                <w:sz w:val="24"/>
                <w:szCs w:val="24"/>
                <w:highlight w:val="none"/>
                <w:lang w:eastAsia="zh-CN"/>
              </w:rPr>
              <w:t>响应文件</w:t>
            </w:r>
          </w:p>
        </w:tc>
        <w:tc>
          <w:tcPr>
            <w:tcW w:w="6470" w:type="dxa"/>
            <w:tcBorders>
              <w:tl2br w:val="nil"/>
              <w:tr2bl w:val="nil"/>
            </w:tcBorders>
            <w:noWrap w:val="0"/>
            <w:vAlign w:val="center"/>
          </w:tcPr>
          <w:p w14:paraId="43C6F48C">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政采云线上开标大厅（https://www.zcygov.cn在线投标）</w:t>
            </w:r>
          </w:p>
          <w:p w14:paraId="18A021D8">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w:t>
            </w:r>
            <w:r>
              <w:rPr>
                <w:rFonts w:hint="eastAsia" w:ascii="宋体" w:hAnsi="宋体" w:cs="宋体"/>
                <w:color w:val="auto"/>
                <w:kern w:val="2"/>
                <w:sz w:val="24"/>
                <w:szCs w:val="24"/>
                <w:highlight w:val="none"/>
                <w:lang w:val="en-US" w:eastAsia="zh-CN" w:bidi="ar-SA"/>
              </w:rPr>
              <w:t>供应商</w:t>
            </w:r>
            <w:r>
              <w:rPr>
                <w:rFonts w:hint="eastAsia" w:ascii="宋体" w:hAnsi="宋体" w:eastAsia="宋体" w:cs="宋体"/>
                <w:color w:val="auto"/>
                <w:kern w:val="2"/>
                <w:sz w:val="24"/>
                <w:szCs w:val="24"/>
                <w:highlight w:val="none"/>
                <w:lang w:val="en-US" w:eastAsia="zh-CN" w:bidi="ar-SA"/>
              </w:rPr>
              <w:t>需将加密的</w:t>
            </w:r>
            <w:r>
              <w:rPr>
                <w:rFonts w:hint="eastAsia" w:ascii="宋体" w:hAnsi="宋体" w:cs="宋体"/>
                <w:color w:val="auto"/>
                <w:kern w:val="2"/>
                <w:sz w:val="24"/>
                <w:szCs w:val="24"/>
                <w:highlight w:val="none"/>
                <w:lang w:val="en-US" w:eastAsia="zh-CN" w:bidi="ar-SA"/>
              </w:rPr>
              <w:t>响应文件</w:t>
            </w:r>
            <w:r>
              <w:rPr>
                <w:rFonts w:hint="eastAsia" w:ascii="宋体" w:hAnsi="宋体" w:eastAsia="宋体" w:cs="宋体"/>
                <w:color w:val="auto"/>
                <w:kern w:val="2"/>
                <w:sz w:val="24"/>
                <w:szCs w:val="24"/>
                <w:highlight w:val="none"/>
                <w:lang w:val="en-US" w:eastAsia="zh-CN" w:bidi="ar-SA"/>
              </w:rPr>
              <w:t>上传至政采云平台，到达开标时间后，解密</w:t>
            </w:r>
            <w:r>
              <w:rPr>
                <w:rFonts w:hint="eastAsia" w:ascii="宋体" w:hAnsi="宋体" w:cs="宋体"/>
                <w:color w:val="auto"/>
                <w:kern w:val="2"/>
                <w:sz w:val="24"/>
                <w:szCs w:val="24"/>
                <w:highlight w:val="none"/>
                <w:lang w:val="en-US" w:eastAsia="zh-CN" w:bidi="ar-SA"/>
              </w:rPr>
              <w:t>响应文件</w:t>
            </w:r>
            <w:r>
              <w:rPr>
                <w:rFonts w:hint="eastAsia" w:ascii="宋体" w:hAnsi="宋体" w:eastAsia="宋体" w:cs="宋体"/>
                <w:color w:val="auto"/>
                <w:kern w:val="2"/>
                <w:sz w:val="24"/>
                <w:szCs w:val="24"/>
                <w:highlight w:val="none"/>
                <w:lang w:val="en-US" w:eastAsia="zh-CN" w:bidi="ar-SA"/>
              </w:rPr>
              <w:t>。</w:t>
            </w:r>
          </w:p>
        </w:tc>
      </w:tr>
      <w:tr w14:paraId="4BB5E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1120" w:type="dxa"/>
            <w:tcBorders>
              <w:tl2br w:val="nil"/>
              <w:tr2bl w:val="nil"/>
            </w:tcBorders>
            <w:noWrap w:val="0"/>
            <w:vAlign w:val="center"/>
          </w:tcPr>
          <w:p w14:paraId="539A6CD9">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31</w:t>
            </w:r>
          </w:p>
        </w:tc>
        <w:tc>
          <w:tcPr>
            <w:tcW w:w="2160" w:type="dxa"/>
            <w:tcBorders>
              <w:tl2br w:val="nil"/>
              <w:tr2bl w:val="nil"/>
            </w:tcBorders>
            <w:noWrap w:val="0"/>
            <w:vAlign w:val="center"/>
          </w:tcPr>
          <w:p w14:paraId="08B41CA1">
            <w:pPr>
              <w:pStyle w:val="42"/>
              <w:spacing w:before="74" w:line="400" w:lineRule="exact"/>
              <w:ind w:left="42" w:leftChars="20" w:right="42" w:rightChar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p>
        </w:tc>
        <w:tc>
          <w:tcPr>
            <w:tcW w:w="6470" w:type="dxa"/>
            <w:tcBorders>
              <w:tl2br w:val="nil"/>
              <w:tr2bl w:val="nil"/>
            </w:tcBorders>
            <w:noWrap w:val="0"/>
            <w:vAlign w:val="center"/>
          </w:tcPr>
          <w:p w14:paraId="70D6A94B">
            <w:pPr>
              <w:pStyle w:val="42"/>
              <w:spacing w:before="74" w:line="400" w:lineRule="exact"/>
              <w:ind w:left="42" w:leftChars="20" w:right="42" w:rightChars="20"/>
              <w:rPr>
                <w:rFonts w:hint="eastAsia" w:ascii="宋体" w:hAnsi="宋体" w:eastAsia="宋体" w:cs="宋体"/>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2025年01月13日 16:30</w:t>
            </w:r>
            <w:r>
              <w:rPr>
                <w:rFonts w:hint="eastAsia" w:ascii="宋体" w:hAnsi="宋体" w:eastAsia="宋体" w:cs="宋体"/>
                <w:b w:val="0"/>
                <w:bCs/>
                <w:color w:val="auto"/>
                <w:kern w:val="2"/>
                <w:sz w:val="24"/>
                <w:szCs w:val="24"/>
                <w:highlight w:val="none"/>
                <w:lang w:val="en-US" w:eastAsia="zh-CN" w:bidi="ar-SA"/>
              </w:rPr>
              <w:t>（北京时间），开标后30分钟内</w:t>
            </w:r>
            <w:r>
              <w:rPr>
                <w:rFonts w:hint="eastAsia" w:ascii="宋体" w:hAnsi="宋体" w:cs="宋体"/>
                <w:b w:val="0"/>
                <w:bCs/>
                <w:color w:val="auto"/>
                <w:kern w:val="2"/>
                <w:sz w:val="24"/>
                <w:szCs w:val="24"/>
                <w:highlight w:val="none"/>
                <w:lang w:val="en-US" w:eastAsia="zh-CN" w:bidi="ar-SA"/>
              </w:rPr>
              <w:t>供应商</w:t>
            </w:r>
            <w:r>
              <w:rPr>
                <w:rFonts w:hint="eastAsia" w:ascii="宋体" w:hAnsi="宋体" w:eastAsia="宋体" w:cs="宋体"/>
                <w:b w:val="0"/>
                <w:bCs/>
                <w:color w:val="auto"/>
                <w:kern w:val="2"/>
                <w:sz w:val="24"/>
                <w:szCs w:val="24"/>
                <w:highlight w:val="none"/>
                <w:lang w:val="en-US" w:eastAsia="zh-CN" w:bidi="ar-SA"/>
              </w:rPr>
              <w:t>需在线解密</w:t>
            </w:r>
            <w:r>
              <w:rPr>
                <w:rFonts w:hint="eastAsia" w:ascii="宋体" w:hAnsi="宋体" w:cs="宋体"/>
                <w:b w:val="0"/>
                <w:bCs/>
                <w:color w:val="auto"/>
                <w:kern w:val="2"/>
                <w:sz w:val="24"/>
                <w:szCs w:val="24"/>
                <w:highlight w:val="none"/>
                <w:lang w:val="en-US" w:eastAsia="zh-CN" w:bidi="ar-SA"/>
              </w:rPr>
              <w:t>响应文件</w:t>
            </w:r>
            <w:r>
              <w:rPr>
                <w:rFonts w:hint="eastAsia" w:ascii="宋体" w:hAnsi="宋体" w:eastAsia="宋体" w:cs="宋体"/>
                <w:b w:val="0"/>
                <w:bCs/>
                <w:color w:val="auto"/>
                <w:kern w:val="2"/>
                <w:sz w:val="24"/>
                <w:szCs w:val="24"/>
                <w:highlight w:val="none"/>
                <w:lang w:val="en-US" w:eastAsia="zh-CN" w:bidi="ar-SA"/>
              </w:rPr>
              <w:t>。</w:t>
            </w:r>
          </w:p>
        </w:tc>
      </w:tr>
      <w:tr w14:paraId="7B4CC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7" w:hRule="atLeast"/>
        </w:trPr>
        <w:tc>
          <w:tcPr>
            <w:tcW w:w="1120" w:type="dxa"/>
            <w:tcBorders>
              <w:tl2br w:val="nil"/>
              <w:tr2bl w:val="nil"/>
            </w:tcBorders>
            <w:noWrap w:val="0"/>
            <w:vAlign w:val="center"/>
          </w:tcPr>
          <w:p w14:paraId="5133801E">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32</w:t>
            </w:r>
          </w:p>
        </w:tc>
        <w:tc>
          <w:tcPr>
            <w:tcW w:w="2160" w:type="dxa"/>
            <w:tcBorders>
              <w:tl2br w:val="nil"/>
              <w:tr2bl w:val="nil"/>
            </w:tcBorders>
            <w:noWrap w:val="0"/>
            <w:vAlign w:val="center"/>
          </w:tcPr>
          <w:p w14:paraId="49366EA5">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通讯联系</w:t>
            </w:r>
          </w:p>
        </w:tc>
        <w:tc>
          <w:tcPr>
            <w:tcW w:w="6470" w:type="dxa"/>
            <w:tcBorders>
              <w:tl2br w:val="nil"/>
              <w:tr2bl w:val="nil"/>
            </w:tcBorders>
            <w:noWrap w:val="0"/>
            <w:vAlign w:val="center"/>
          </w:tcPr>
          <w:p w14:paraId="30F1DCF4">
            <w:pPr>
              <w:bidi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自递交</w:t>
            </w: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之时起至</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en-US" w:eastAsia="zh-CN"/>
              </w:rPr>
              <w:t>结束止，应确保其提供的联系方式一直保持有效和畅通，以保证在</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en-US" w:eastAsia="zh-CN"/>
              </w:rPr>
              <w:t>期间需进行往来函件（</w:t>
            </w: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的澄清等）或与</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en-US" w:eastAsia="zh-CN"/>
              </w:rPr>
              <w:t>有关事宜能及时通知或发送给</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，并能及时反馈信息。否则，招标人（或采购代理机构）不承担由此（提供的联系方式无效或通讯不畅、无法联系等）引起的一切后果。</w:t>
            </w:r>
          </w:p>
        </w:tc>
      </w:tr>
      <w:tr w14:paraId="2651B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1120" w:type="dxa"/>
            <w:tcBorders>
              <w:tl2br w:val="nil"/>
              <w:tr2bl w:val="nil"/>
            </w:tcBorders>
            <w:noWrap w:val="0"/>
            <w:vAlign w:val="center"/>
          </w:tcPr>
          <w:p w14:paraId="6FB99E62">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33</w:t>
            </w:r>
          </w:p>
        </w:tc>
        <w:tc>
          <w:tcPr>
            <w:tcW w:w="2160" w:type="dxa"/>
            <w:vAlign w:val="center"/>
          </w:tcPr>
          <w:p w14:paraId="36F6183D">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代理服务费</w:t>
            </w:r>
          </w:p>
        </w:tc>
        <w:tc>
          <w:tcPr>
            <w:tcW w:w="6470" w:type="dxa"/>
            <w:vAlign w:val="center"/>
          </w:tcPr>
          <w:p w14:paraId="261844FC">
            <w:pPr>
              <w:bidi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代理报酬的计算方法：</w:t>
            </w:r>
          </w:p>
          <w:p w14:paraId="69418011">
            <w:pPr>
              <w:bidi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zh-CN" w:eastAsia="zh-CN"/>
              </w:rPr>
              <w:t>）1、发改价格</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2015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299号文执行</w:t>
            </w:r>
          </w:p>
          <w:p w14:paraId="70F81F8B">
            <w:pPr>
              <w:bidi w:val="0"/>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zh-CN" w:eastAsia="zh-CN"/>
              </w:rPr>
              <w:t>2、代理报酬支付方式：由</w:t>
            </w:r>
            <w:r>
              <w:rPr>
                <w:rFonts w:hint="eastAsia" w:ascii="宋体" w:hAnsi="宋体" w:cs="宋体"/>
                <w:color w:val="auto"/>
                <w:sz w:val="24"/>
                <w:szCs w:val="24"/>
                <w:highlight w:val="none"/>
                <w:lang w:val="en-US" w:eastAsia="zh-CN"/>
              </w:rPr>
              <w:t>中标</w:t>
            </w:r>
            <w:r>
              <w:rPr>
                <w:rFonts w:hint="eastAsia" w:ascii="宋体" w:hAnsi="宋体" w:cs="宋体"/>
                <w:color w:val="auto"/>
                <w:sz w:val="24"/>
                <w:szCs w:val="24"/>
                <w:highlight w:val="none"/>
                <w:lang w:val="zh-CN" w:eastAsia="zh-CN"/>
              </w:rPr>
              <w:t>人</w:t>
            </w:r>
            <w:r>
              <w:rPr>
                <w:rFonts w:hint="eastAsia" w:ascii="宋体" w:hAnsi="宋体" w:eastAsia="宋体" w:cs="宋体"/>
                <w:color w:val="auto"/>
                <w:sz w:val="24"/>
                <w:szCs w:val="24"/>
                <w:highlight w:val="none"/>
                <w:lang w:val="zh-CN" w:eastAsia="zh-CN"/>
              </w:rPr>
              <w:t>支付</w:t>
            </w:r>
          </w:p>
          <w:p w14:paraId="4F2DC2C5">
            <w:pPr>
              <w:keepNext w:val="0"/>
              <w:keepLines w:val="0"/>
              <w:widowControl/>
              <w:suppressLineNumbers w:val="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3、代理报酬的支付时间：由</w:t>
            </w:r>
            <w:r>
              <w:rPr>
                <w:rFonts w:hint="eastAsia" w:ascii="宋体" w:hAnsi="宋体" w:cs="宋体"/>
                <w:color w:val="auto"/>
                <w:sz w:val="24"/>
                <w:szCs w:val="24"/>
                <w:highlight w:val="none"/>
                <w:lang w:val="zh-CN" w:eastAsia="zh-CN"/>
              </w:rPr>
              <w:t>中标人</w:t>
            </w:r>
            <w:r>
              <w:rPr>
                <w:rFonts w:hint="eastAsia" w:ascii="宋体" w:hAnsi="宋体" w:eastAsia="宋体" w:cs="宋体"/>
                <w:color w:val="auto"/>
                <w:sz w:val="24"/>
                <w:szCs w:val="24"/>
                <w:highlight w:val="none"/>
                <w:lang w:val="zh-CN" w:eastAsia="zh-CN"/>
              </w:rPr>
              <w:t>领取中标（成交）通知书前支付。</w:t>
            </w:r>
          </w:p>
          <w:p w14:paraId="67E1C351">
            <w:pPr>
              <w:keepNext w:val="0"/>
              <w:keepLines w:val="0"/>
              <w:widowControl/>
              <w:suppressLineNumbers w:val="0"/>
              <w:jc w:val="left"/>
              <w:rPr>
                <w:rFonts w:hint="eastAsia"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注：</w:t>
            </w:r>
            <w:r>
              <w:rPr>
                <w:rFonts w:hint="eastAsia" w:ascii="宋体" w:hAnsi="宋体" w:eastAsia="宋体" w:cs="宋体"/>
                <w:b/>
                <w:bCs/>
                <w:color w:val="auto"/>
                <w:kern w:val="0"/>
                <w:sz w:val="24"/>
                <w:szCs w:val="24"/>
                <w:highlight w:val="none"/>
                <w:lang w:val="en-US" w:eastAsia="zh-CN" w:bidi="ar"/>
              </w:rPr>
              <w:t>不论投标的结果如何，</w:t>
            </w:r>
            <w:r>
              <w:rPr>
                <w:rFonts w:hint="eastAsia" w:ascii="宋体" w:hAnsi="宋体" w:cs="宋体"/>
                <w:b/>
                <w:bCs/>
                <w:color w:val="auto"/>
                <w:kern w:val="0"/>
                <w:sz w:val="24"/>
                <w:szCs w:val="24"/>
                <w:highlight w:val="none"/>
                <w:lang w:val="en-US" w:eastAsia="zh-CN" w:bidi="ar"/>
              </w:rPr>
              <w:t>供应商</w:t>
            </w:r>
            <w:r>
              <w:rPr>
                <w:rFonts w:hint="eastAsia" w:ascii="宋体" w:hAnsi="宋体" w:eastAsia="宋体" w:cs="宋体"/>
                <w:b/>
                <w:bCs/>
                <w:color w:val="auto"/>
                <w:kern w:val="0"/>
                <w:sz w:val="24"/>
                <w:szCs w:val="24"/>
                <w:highlight w:val="none"/>
                <w:lang w:val="en-US" w:eastAsia="zh-CN" w:bidi="ar"/>
              </w:rPr>
              <w:t>均应自行承担所有与参加投标有关的全部费用。</w:t>
            </w:r>
          </w:p>
        </w:tc>
      </w:tr>
      <w:tr w14:paraId="196E1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1120" w:type="dxa"/>
            <w:vAlign w:val="center"/>
          </w:tcPr>
          <w:p w14:paraId="298D3FDB">
            <w:pPr>
              <w:pStyle w:val="42"/>
              <w:spacing w:before="74" w:line="400" w:lineRule="exact"/>
              <w:ind w:left="42" w:leftChars="20" w:right="42" w:rightChars="2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34</w:t>
            </w:r>
          </w:p>
        </w:tc>
        <w:tc>
          <w:tcPr>
            <w:tcW w:w="2160" w:type="dxa"/>
            <w:shd w:val="clear" w:color="auto" w:fill="auto"/>
            <w:vAlign w:val="center"/>
          </w:tcPr>
          <w:p w14:paraId="1EBB49B4">
            <w:pPr>
              <w:bidi w:val="0"/>
              <w:jc w:val="center"/>
              <w:rPr>
                <w:rFonts w:hint="eastAsia" w:ascii="宋体" w:hAnsi="宋体" w:eastAsia="宋体" w:cs="宋体"/>
                <w:b w:val="0"/>
                <w:bCs w:val="0"/>
                <w:color w:val="auto"/>
                <w:kern w:val="2"/>
                <w:sz w:val="24"/>
                <w:szCs w:val="24"/>
                <w:highlight w:val="none"/>
                <w:lang w:val="en-US" w:eastAsia="zh-CN" w:bidi="ar-SA"/>
              </w:rPr>
            </w:pPr>
            <w:r>
              <w:rPr>
                <w:rFonts w:hint="default" w:ascii="宋体" w:hAnsi="宋体" w:cs="宋体"/>
                <w:b w:val="0"/>
                <w:bCs w:val="0"/>
                <w:color w:val="auto"/>
                <w:sz w:val="24"/>
                <w:szCs w:val="24"/>
                <w:highlight w:val="none"/>
                <w:lang w:val="en-US" w:eastAsia="zh-CN"/>
              </w:rPr>
              <w:t>政府采购政策支持</w:t>
            </w:r>
          </w:p>
        </w:tc>
        <w:tc>
          <w:tcPr>
            <w:tcW w:w="6470" w:type="dxa"/>
            <w:shd w:val="clear" w:color="auto" w:fill="auto"/>
            <w:vAlign w:val="center"/>
          </w:tcPr>
          <w:p w14:paraId="6F6D62EA">
            <w:pPr>
              <w:pStyle w:val="37"/>
              <w:ind w:left="0" w:leftChars="0" w:firstLine="0" w:firstLineChars="0"/>
              <w:rPr>
                <w:rFonts w:hint="eastAsia"/>
                <w:b w:val="0"/>
                <w:bCs w:val="0"/>
                <w:color w:val="auto"/>
                <w:highlight w:val="none"/>
                <w:lang w:val="en-US" w:eastAsia="zh-CN"/>
              </w:rPr>
            </w:pPr>
            <w:r>
              <w:rPr>
                <w:rFonts w:hint="eastAsia"/>
                <w:b w:val="0"/>
                <w:bCs w:val="0"/>
                <w:color w:val="auto"/>
                <w:highlight w:val="none"/>
                <w:lang w:val="en-US" w:eastAsia="zh-CN"/>
              </w:rPr>
              <w:t>1.促进中小企业发展政策：根据《政府采购促进中小企业发展管理办法》规定，小型或微型企业且报价产品为小型或微型企业生产的，将对该报价产品的评标报价给予10%的扣除。供应商和制造商应出具响应文件要求的《中小企业声明函》给予证明，否则评标时不予认可。供应商和制造商应对提交的中小企业声明函的真实性负责，提交的中小企业声明函不真实的，应承担相应的法律责任。</w:t>
            </w:r>
          </w:p>
          <w:p w14:paraId="35072147">
            <w:pPr>
              <w:pStyle w:val="38"/>
              <w:rPr>
                <w:rFonts w:hint="eastAsia" w:ascii="宋体" w:hAnsi="Times New Roman" w:eastAsia="宋体" w:cs="Times New Roman"/>
                <w:b/>
                <w:bCs/>
                <w:color w:val="auto"/>
                <w:kern w:val="0"/>
                <w:sz w:val="24"/>
                <w:szCs w:val="20"/>
                <w:highlight w:val="none"/>
                <w:lang w:val="en-US" w:eastAsia="zh-CN" w:bidi="ar-SA"/>
              </w:rPr>
            </w:pPr>
            <w:r>
              <w:rPr>
                <w:rFonts w:hint="eastAsia" w:ascii="宋体" w:hAnsi="Times New Roman" w:eastAsia="宋体" w:cs="Times New Roman"/>
                <w:b/>
                <w:bCs/>
                <w:color w:val="auto"/>
                <w:kern w:val="0"/>
                <w:sz w:val="24"/>
                <w:szCs w:val="20"/>
                <w:highlight w:val="none"/>
                <w:lang w:val="en-US" w:eastAsia="zh-CN" w:bidi="ar-SA"/>
              </w:rPr>
              <w:t>注：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391AD56">
            <w:pPr>
              <w:pStyle w:val="37"/>
              <w:ind w:left="0" w:leftChars="0" w:firstLine="0" w:firstLineChars="0"/>
              <w:rPr>
                <w:rFonts w:hint="eastAsia"/>
                <w:b w:val="0"/>
                <w:bCs w:val="0"/>
                <w:color w:val="auto"/>
                <w:highlight w:val="none"/>
                <w:lang w:val="en-US" w:eastAsia="zh-CN"/>
              </w:rPr>
            </w:pPr>
            <w:r>
              <w:rPr>
                <w:rFonts w:hint="eastAsia"/>
                <w:b w:val="0"/>
                <w:bCs w:val="0"/>
                <w:color w:val="auto"/>
                <w:highlight w:val="none"/>
                <w:lang w:val="en-US" w:eastAsia="zh-CN"/>
              </w:rPr>
              <w:t>2.监狱企业扶持政策：供应商如为监狱企业将视同小型或微型企业，且报价产品为小型或微型企业生产的，将对该产品的评标报价给予10%的扣除。供应商为监狱企业的，应提供由省级以上监狱管理局、戒毒管理局（含新疆生产建设兵团）出具的属于监狱企业的证明文件。供应商应对提交属于监狱企业的证明文件的真实性负责，提交的监狱企业的证明文件不真实的，应承担相应的法律责任。</w:t>
            </w:r>
          </w:p>
          <w:p w14:paraId="622AE8CE">
            <w:pPr>
              <w:pStyle w:val="37"/>
              <w:ind w:left="0" w:leftChars="0" w:firstLine="0" w:firstLineChars="0"/>
              <w:rPr>
                <w:rFonts w:hint="eastAsia"/>
                <w:b w:val="0"/>
                <w:bCs w:val="0"/>
                <w:color w:val="auto"/>
                <w:highlight w:val="none"/>
                <w:lang w:val="en-US" w:eastAsia="zh-CN"/>
              </w:rPr>
            </w:pPr>
            <w:r>
              <w:rPr>
                <w:rFonts w:hint="eastAsia"/>
                <w:b w:val="0"/>
                <w:bCs w:val="0"/>
                <w:color w:val="auto"/>
                <w:highlight w:val="none"/>
                <w:lang w:val="en-US" w:eastAsia="zh-CN"/>
              </w:rPr>
              <w:t>3.残疾人福利性单位视同小型、微型企业。不重复享受政策。</w:t>
            </w:r>
          </w:p>
          <w:p w14:paraId="0C709270">
            <w:pPr>
              <w:pStyle w:val="37"/>
              <w:ind w:left="0" w:leftChars="0" w:right="-58" w:rightChars="0" w:firstLine="0" w:firstLineChars="0"/>
              <w:rPr>
                <w:rFonts w:hint="default" w:ascii="宋体" w:hAnsi="Times New Roman" w:eastAsia="宋体" w:cs="Times New Roman"/>
                <w:b w:val="0"/>
                <w:bCs w:val="0"/>
                <w:color w:val="auto"/>
                <w:kern w:val="0"/>
                <w:sz w:val="24"/>
                <w:szCs w:val="20"/>
                <w:highlight w:val="none"/>
                <w:lang w:val="en-US" w:eastAsia="zh-CN" w:bidi="ar-SA"/>
              </w:rPr>
            </w:pPr>
            <w:r>
              <w:rPr>
                <w:rFonts w:hint="eastAsia"/>
                <w:b w:val="0"/>
                <w:bCs w:val="0"/>
                <w:color w:val="auto"/>
                <w:highlight w:val="none"/>
                <w:lang w:val="en-US" w:eastAsia="zh-CN"/>
              </w:rPr>
              <w:t>列入财政部会同国务院有关部门发布的节能产品、环境标志产品品目清单，供应商应当提供国家确定的认证机构出具的、处于有效期之内的节能产品、环境标志产品认证证书。</w:t>
            </w:r>
          </w:p>
        </w:tc>
      </w:tr>
    </w:tbl>
    <w:p w14:paraId="692BBDE2">
      <w:pPr>
        <w:pStyle w:val="43"/>
        <w:widowControl w:val="0"/>
        <w:spacing w:before="0" w:beforeAutospacing="0" w:after="0" w:afterAutospacing="0" w:line="360" w:lineRule="auto"/>
        <w:jc w:val="both"/>
        <w:rPr>
          <w:rFonts w:hint="eastAsia"/>
          <w:b/>
          <w:bCs/>
          <w:color w:val="auto"/>
          <w:sz w:val="24"/>
          <w:szCs w:val="24"/>
          <w:highlight w:val="none"/>
        </w:rPr>
      </w:pPr>
    </w:p>
    <w:p w14:paraId="2FD7991D">
      <w:pPr>
        <w:pStyle w:val="43"/>
        <w:widowControl w:val="0"/>
        <w:spacing w:before="0" w:beforeAutospacing="0" w:after="0" w:afterAutospacing="0" w:line="360" w:lineRule="auto"/>
        <w:ind w:firstLine="482" w:firstLineChars="200"/>
        <w:jc w:val="both"/>
        <w:rPr>
          <w:bCs/>
          <w:color w:val="auto"/>
          <w:sz w:val="28"/>
          <w:highlight w:val="none"/>
        </w:rPr>
      </w:pPr>
      <w:r>
        <w:rPr>
          <w:rFonts w:hint="eastAsia"/>
          <w:b/>
          <w:bCs/>
          <w:color w:val="auto"/>
          <w:sz w:val="24"/>
          <w:szCs w:val="24"/>
          <w:highlight w:val="none"/>
        </w:rPr>
        <w:t>注：</w:t>
      </w:r>
      <w:r>
        <w:rPr>
          <w:rFonts w:hint="eastAsia"/>
          <w:b/>
          <w:bCs/>
          <w:color w:val="auto"/>
          <w:sz w:val="24"/>
          <w:szCs w:val="24"/>
          <w:highlight w:val="none"/>
          <w:lang w:eastAsia="zh-CN"/>
        </w:rPr>
        <w:t>供应商</w:t>
      </w:r>
      <w:r>
        <w:rPr>
          <w:rFonts w:hint="eastAsia"/>
          <w:b/>
          <w:bCs/>
          <w:color w:val="auto"/>
          <w:sz w:val="24"/>
          <w:szCs w:val="24"/>
          <w:highlight w:val="none"/>
        </w:rPr>
        <w:t>必须认真阅读</w:t>
      </w:r>
      <w:r>
        <w:rPr>
          <w:rFonts w:hint="eastAsia"/>
          <w:b/>
          <w:bCs/>
          <w:color w:val="auto"/>
          <w:sz w:val="24"/>
          <w:szCs w:val="24"/>
          <w:highlight w:val="none"/>
          <w:lang w:eastAsia="zh-CN"/>
        </w:rPr>
        <w:t>招标文件</w:t>
      </w:r>
      <w:r>
        <w:rPr>
          <w:rFonts w:hint="eastAsia"/>
          <w:b/>
          <w:bCs/>
          <w:color w:val="auto"/>
          <w:sz w:val="24"/>
          <w:szCs w:val="24"/>
          <w:highlight w:val="none"/>
        </w:rPr>
        <w:t>中所有的事项、格式、条款和</w:t>
      </w:r>
      <w:r>
        <w:rPr>
          <w:rFonts w:hint="eastAsia"/>
          <w:b/>
          <w:bCs/>
          <w:color w:val="auto"/>
          <w:sz w:val="24"/>
          <w:szCs w:val="24"/>
          <w:highlight w:val="none"/>
          <w:lang w:eastAsia="zh-CN"/>
        </w:rPr>
        <w:t>招标人需求</w:t>
      </w:r>
      <w:r>
        <w:rPr>
          <w:rFonts w:hint="eastAsia"/>
          <w:b/>
          <w:bCs/>
          <w:color w:val="auto"/>
          <w:sz w:val="24"/>
          <w:szCs w:val="24"/>
          <w:highlight w:val="none"/>
        </w:rPr>
        <w:t>等。</w:t>
      </w:r>
      <w:r>
        <w:rPr>
          <w:rFonts w:hint="eastAsia"/>
          <w:b/>
          <w:bCs/>
          <w:color w:val="auto"/>
          <w:sz w:val="24"/>
          <w:szCs w:val="24"/>
          <w:highlight w:val="none"/>
          <w:lang w:eastAsia="zh-CN"/>
        </w:rPr>
        <w:t>供应商</w:t>
      </w:r>
      <w:r>
        <w:rPr>
          <w:rFonts w:hint="eastAsia"/>
          <w:b/>
          <w:bCs/>
          <w:color w:val="auto"/>
          <w:sz w:val="24"/>
          <w:szCs w:val="24"/>
          <w:highlight w:val="none"/>
        </w:rPr>
        <w:t>没有按照</w:t>
      </w:r>
      <w:r>
        <w:rPr>
          <w:rFonts w:hint="eastAsia"/>
          <w:b/>
          <w:bCs/>
          <w:color w:val="auto"/>
          <w:sz w:val="24"/>
          <w:szCs w:val="24"/>
          <w:highlight w:val="none"/>
          <w:lang w:eastAsia="zh-CN"/>
        </w:rPr>
        <w:t>招标文件</w:t>
      </w:r>
      <w:r>
        <w:rPr>
          <w:rFonts w:hint="eastAsia"/>
          <w:b/>
          <w:bCs/>
          <w:color w:val="auto"/>
          <w:sz w:val="24"/>
          <w:szCs w:val="24"/>
          <w:highlight w:val="none"/>
        </w:rPr>
        <w:t>要求提交全部资料，或者</w:t>
      </w:r>
      <w:r>
        <w:rPr>
          <w:rFonts w:hint="eastAsia"/>
          <w:b/>
          <w:bCs/>
          <w:color w:val="auto"/>
          <w:sz w:val="24"/>
          <w:szCs w:val="24"/>
          <w:highlight w:val="none"/>
          <w:lang w:eastAsia="zh-CN"/>
        </w:rPr>
        <w:t>响应文件</w:t>
      </w:r>
      <w:r>
        <w:rPr>
          <w:rFonts w:hint="eastAsia"/>
          <w:b/>
          <w:bCs/>
          <w:color w:val="auto"/>
          <w:sz w:val="24"/>
          <w:szCs w:val="24"/>
          <w:highlight w:val="none"/>
        </w:rPr>
        <w:t>没有对</w:t>
      </w:r>
      <w:r>
        <w:rPr>
          <w:rFonts w:hint="eastAsia"/>
          <w:b/>
          <w:bCs/>
          <w:color w:val="auto"/>
          <w:sz w:val="24"/>
          <w:szCs w:val="24"/>
          <w:highlight w:val="none"/>
          <w:lang w:eastAsia="zh-CN"/>
        </w:rPr>
        <w:t>招标文件</w:t>
      </w:r>
      <w:r>
        <w:rPr>
          <w:rFonts w:hint="eastAsia"/>
          <w:b/>
          <w:bCs/>
          <w:color w:val="auto"/>
          <w:sz w:val="24"/>
          <w:szCs w:val="24"/>
          <w:highlight w:val="none"/>
        </w:rPr>
        <w:t>在各方面都做出实质性响应是</w:t>
      </w:r>
      <w:r>
        <w:rPr>
          <w:rFonts w:hint="eastAsia"/>
          <w:b/>
          <w:bCs/>
          <w:color w:val="auto"/>
          <w:sz w:val="24"/>
          <w:szCs w:val="24"/>
          <w:highlight w:val="none"/>
          <w:lang w:eastAsia="zh-CN"/>
        </w:rPr>
        <w:t>供应商</w:t>
      </w:r>
      <w:r>
        <w:rPr>
          <w:rFonts w:hint="eastAsia"/>
          <w:b/>
          <w:bCs/>
          <w:color w:val="auto"/>
          <w:sz w:val="24"/>
          <w:szCs w:val="24"/>
          <w:highlight w:val="none"/>
        </w:rPr>
        <w:t>的风险，并可能导致其投标无效或被拒绝。</w:t>
      </w:r>
      <w:bookmarkStart w:id="7" w:name="_Toc414510776"/>
      <w:bookmarkStart w:id="8" w:name="_Toc298190380"/>
      <w:bookmarkStart w:id="9" w:name="_Toc498899367"/>
      <w:bookmarkStart w:id="10" w:name="_Toc298829957"/>
      <w:bookmarkStart w:id="11" w:name="_Toc298829716"/>
      <w:bookmarkStart w:id="12" w:name="_Toc470184437"/>
      <w:bookmarkStart w:id="13" w:name="_Toc20291"/>
      <w:bookmarkStart w:id="14" w:name="_Toc299108386"/>
      <w:bookmarkStart w:id="15" w:name="_Toc479340785"/>
      <w:bookmarkStart w:id="16" w:name="_Toc458980389"/>
      <w:bookmarkStart w:id="17" w:name="_Toc438513730"/>
      <w:bookmarkStart w:id="18" w:name="_Toc458635592"/>
      <w:bookmarkStart w:id="19" w:name="_Toc49135195"/>
      <w:bookmarkStart w:id="20" w:name="_Toc298920088"/>
      <w:bookmarkStart w:id="21" w:name="_Toc486969375"/>
      <w:bookmarkStart w:id="22" w:name="_Toc418023329"/>
      <w:bookmarkStart w:id="23" w:name="_Toc422865417"/>
      <w:bookmarkStart w:id="24" w:name="_Toc49082409"/>
      <w:bookmarkStart w:id="25" w:name="_Toc383124044"/>
      <w:bookmarkStart w:id="26" w:name="_Toc518912731"/>
      <w:bookmarkStart w:id="27" w:name="_Toc365033702"/>
      <w:bookmarkStart w:id="28" w:name="_Toc435687345"/>
      <w:bookmarkStart w:id="29" w:name="_Toc435623750"/>
      <w:bookmarkStart w:id="30" w:name="_Toc343857022"/>
      <w:bookmarkStart w:id="31" w:name="_Toc25778"/>
      <w:bookmarkStart w:id="32" w:name="_Toc439513441"/>
      <w:bookmarkStart w:id="33" w:name="_Toc297209415"/>
      <w:bookmarkStart w:id="34" w:name="_Toc435629788"/>
      <w:bookmarkStart w:id="35" w:name="_Toc435687271"/>
      <w:bookmarkStart w:id="36" w:name="_Toc439679264"/>
      <w:bookmarkStart w:id="37" w:name="_Toc498871240"/>
      <w:bookmarkStart w:id="38" w:name="_Toc477879836"/>
      <w:bookmarkStart w:id="39" w:name="_Toc438641461"/>
      <w:bookmarkStart w:id="40" w:name="_Toc479325588"/>
      <w:bookmarkStart w:id="41" w:name="_Toc422161988"/>
      <w:bookmarkStart w:id="42" w:name="_Toc356489049"/>
      <w:bookmarkStart w:id="43" w:name="_Toc438508593"/>
      <w:bookmarkStart w:id="44" w:name="_Toc350417820"/>
      <w:bookmarkStart w:id="45" w:name="_Toc435686976"/>
      <w:bookmarkStart w:id="46" w:name="_Toc439513157"/>
      <w:bookmarkStart w:id="47" w:name="_Toc364846096"/>
      <w:bookmarkStart w:id="48" w:name="_Toc435629834"/>
      <w:bookmarkStart w:id="49" w:name="_Toc416208482"/>
      <w:bookmarkStart w:id="50" w:name="_Toc380533806"/>
      <w:bookmarkStart w:id="51" w:name="_Toc494832083"/>
      <w:bookmarkStart w:id="52" w:name="_Toc425347658"/>
      <w:bookmarkStart w:id="53" w:name="_Toc438722126"/>
      <w:bookmarkStart w:id="54" w:name="_Toc487044248"/>
    </w:p>
    <w:p w14:paraId="5DCA5DB1">
      <w:pPr>
        <w:rPr>
          <w:bCs/>
          <w:color w:val="auto"/>
          <w:sz w:val="28"/>
          <w:highlight w:val="none"/>
        </w:rPr>
      </w:pPr>
      <w:r>
        <w:rPr>
          <w:rFonts w:hint="eastAsia"/>
          <w:bCs/>
          <w:color w:val="auto"/>
          <w:sz w:val="28"/>
          <w:highlight w:val="none"/>
        </w:rPr>
        <w:br w:type="page"/>
      </w:r>
    </w:p>
    <w:p w14:paraId="6EB81993">
      <w:pPr>
        <w:pStyle w:val="6"/>
        <w:numPr>
          <w:ilvl w:val="0"/>
          <w:numId w:val="4"/>
        </w:numPr>
        <w:tabs>
          <w:tab w:val="left" w:pos="425"/>
          <w:tab w:val="clear" w:pos="147"/>
        </w:tabs>
        <w:ind w:left="425"/>
        <w:rPr>
          <w:bCs/>
          <w:color w:val="auto"/>
          <w:sz w:val="28"/>
          <w:highlight w:val="none"/>
        </w:rPr>
      </w:pPr>
      <w:r>
        <w:rPr>
          <w:rFonts w:hint="eastAsia"/>
          <w:bCs/>
          <w:color w:val="auto"/>
          <w:sz w:val="28"/>
          <w:highlight w:val="none"/>
        </w:rPr>
        <w:t>总体说明</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42D9F20">
      <w:pPr>
        <w:numPr>
          <w:ilvl w:val="1"/>
          <w:numId w:val="4"/>
        </w:numPr>
        <w:tabs>
          <w:tab w:val="left" w:pos="525"/>
          <w:tab w:val="left" w:pos="567"/>
          <w:tab w:val="left" w:pos="630"/>
          <w:tab w:val="clear" w:pos="289"/>
        </w:tabs>
        <w:spacing w:line="360" w:lineRule="auto"/>
        <w:ind w:left="567"/>
        <w:outlineLvl w:val="3"/>
        <w:rPr>
          <w:rFonts w:ascii="宋体" w:hAnsi="宋体"/>
          <w:b/>
          <w:bCs/>
          <w:color w:val="auto"/>
          <w:sz w:val="24"/>
          <w:highlight w:val="none"/>
        </w:rPr>
      </w:pPr>
      <w:r>
        <w:rPr>
          <w:rFonts w:hint="eastAsia" w:ascii="宋体" w:hAnsi="宋体"/>
          <w:b/>
          <w:bCs/>
          <w:color w:val="auto"/>
          <w:sz w:val="24"/>
          <w:highlight w:val="none"/>
        </w:rPr>
        <w:t>资金来源</w:t>
      </w:r>
    </w:p>
    <w:p w14:paraId="540077C7">
      <w:pPr>
        <w:spacing w:line="360" w:lineRule="auto"/>
        <w:ind w:firstLine="482" w:firstLineChars="200"/>
        <w:rPr>
          <w:rFonts w:hint="eastAsia" w:ascii="宋体" w:hAnsi="宋体" w:eastAsia="宋体"/>
          <w:b/>
          <w:bCs/>
          <w:color w:val="auto"/>
          <w:sz w:val="24"/>
          <w:highlight w:val="none"/>
          <w:lang w:val="en-US" w:eastAsia="zh-CN"/>
        </w:rPr>
      </w:pPr>
      <w:r>
        <w:rPr>
          <w:rFonts w:hint="eastAsia" w:ascii="宋体" w:cs="宋体"/>
          <w:b/>
          <w:bCs/>
          <w:color w:val="auto"/>
          <w:kern w:val="0"/>
          <w:sz w:val="24"/>
          <w:szCs w:val="24"/>
          <w:highlight w:val="none"/>
          <w:lang w:val="en-US" w:eastAsia="zh-CN"/>
        </w:rPr>
        <w:t>援疆资金</w:t>
      </w:r>
    </w:p>
    <w:p w14:paraId="5DD8ED2D">
      <w:pPr>
        <w:numPr>
          <w:ilvl w:val="1"/>
          <w:numId w:val="4"/>
        </w:numPr>
        <w:tabs>
          <w:tab w:val="left" w:pos="525"/>
          <w:tab w:val="left" w:pos="567"/>
          <w:tab w:val="left" w:pos="630"/>
          <w:tab w:val="clear" w:pos="289"/>
        </w:tabs>
        <w:spacing w:line="360" w:lineRule="auto"/>
        <w:ind w:left="567"/>
        <w:outlineLvl w:val="3"/>
        <w:rPr>
          <w:rFonts w:ascii="宋体" w:hAnsi="宋体"/>
          <w:color w:val="auto"/>
          <w:sz w:val="24"/>
          <w:highlight w:val="none"/>
        </w:rPr>
      </w:pPr>
      <w:r>
        <w:rPr>
          <w:rFonts w:hint="eastAsia" w:ascii="宋体" w:hAnsi="宋体"/>
          <w:b/>
          <w:bCs/>
          <w:color w:val="auto"/>
          <w:sz w:val="24"/>
          <w:highlight w:val="none"/>
        </w:rPr>
        <w:t>适用范围</w:t>
      </w:r>
    </w:p>
    <w:p w14:paraId="241FF36B">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依据《中华人民共和国政府采购法》等有关政府采购的法律法规制定本须知。</w:t>
      </w:r>
    </w:p>
    <w:p w14:paraId="64D0BA63">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招标人</w:t>
      </w:r>
      <w:r>
        <w:rPr>
          <w:rFonts w:hint="eastAsia" w:ascii="宋体" w:hAnsi="宋体"/>
          <w:color w:val="auto"/>
          <w:sz w:val="24"/>
          <w:highlight w:val="none"/>
        </w:rPr>
        <w:t>、采购代理机构、</w:t>
      </w:r>
      <w:r>
        <w:rPr>
          <w:rFonts w:hint="eastAsia" w:ascii="宋体" w:hAnsi="宋体"/>
          <w:color w:val="auto"/>
          <w:sz w:val="24"/>
          <w:highlight w:val="none"/>
          <w:lang w:eastAsia="zh-CN"/>
        </w:rPr>
        <w:t>供应商</w:t>
      </w:r>
      <w:r>
        <w:rPr>
          <w:rFonts w:hint="eastAsia" w:ascii="宋体" w:hAnsi="宋体"/>
          <w:color w:val="auto"/>
          <w:sz w:val="24"/>
          <w:highlight w:val="none"/>
        </w:rPr>
        <w:t>及各方当事人适用本须知。</w:t>
      </w:r>
    </w:p>
    <w:p w14:paraId="3CE404D8">
      <w:pPr>
        <w:numPr>
          <w:ilvl w:val="1"/>
          <w:numId w:val="4"/>
        </w:numPr>
        <w:tabs>
          <w:tab w:val="left" w:pos="525"/>
          <w:tab w:val="left" w:pos="567"/>
          <w:tab w:val="left" w:pos="630"/>
          <w:tab w:val="clear" w:pos="289"/>
        </w:tabs>
        <w:spacing w:line="360" w:lineRule="auto"/>
        <w:ind w:left="567"/>
        <w:outlineLvl w:val="3"/>
        <w:rPr>
          <w:b/>
          <w:bCs/>
          <w:color w:val="auto"/>
          <w:sz w:val="24"/>
          <w:highlight w:val="none"/>
        </w:rPr>
      </w:pPr>
      <w:r>
        <w:rPr>
          <w:rFonts w:hint="eastAsia"/>
          <w:b/>
          <w:bCs/>
          <w:color w:val="auto"/>
          <w:sz w:val="24"/>
          <w:highlight w:val="none"/>
        </w:rPr>
        <w:t>关于定标方式</w:t>
      </w:r>
    </w:p>
    <w:p w14:paraId="7E5764A2">
      <w:pPr>
        <w:spacing w:line="360" w:lineRule="auto"/>
        <w:ind w:firstLine="480" w:firstLineChars="200"/>
        <w:rPr>
          <w:rFonts w:ascii="宋体" w:hAnsi="宋体"/>
          <w:color w:val="auto"/>
          <w:highlight w:val="none"/>
        </w:rPr>
      </w:pPr>
      <w:r>
        <w:rPr>
          <w:rFonts w:hint="eastAsia" w:ascii="宋体" w:hAnsi="宋体"/>
          <w:bCs/>
          <w:color w:val="auto"/>
          <w:sz w:val="24"/>
          <w:highlight w:val="none"/>
        </w:rPr>
        <w:t>本次招标采用一次报价一次评标定标的方式；</w:t>
      </w:r>
      <w:r>
        <w:rPr>
          <w:rFonts w:hint="eastAsia" w:ascii="宋体" w:hAnsi="宋体"/>
          <w:bCs/>
          <w:color w:val="auto"/>
          <w:sz w:val="24"/>
          <w:highlight w:val="none"/>
          <w:lang w:eastAsia="zh-CN"/>
        </w:rPr>
        <w:t>招标人</w:t>
      </w:r>
      <w:r>
        <w:rPr>
          <w:rFonts w:hint="eastAsia" w:ascii="宋体" w:hAnsi="宋体"/>
          <w:bCs/>
          <w:color w:val="auto"/>
          <w:sz w:val="24"/>
          <w:highlight w:val="none"/>
        </w:rPr>
        <w:t>拒绝接受有选择性报价的投标。</w:t>
      </w:r>
    </w:p>
    <w:p w14:paraId="140BD53D">
      <w:pPr>
        <w:numPr>
          <w:ilvl w:val="1"/>
          <w:numId w:val="4"/>
        </w:numPr>
        <w:tabs>
          <w:tab w:val="left" w:pos="525"/>
          <w:tab w:val="left" w:pos="567"/>
          <w:tab w:val="left" w:pos="630"/>
          <w:tab w:val="clear" w:pos="289"/>
        </w:tabs>
        <w:spacing w:line="360" w:lineRule="auto"/>
        <w:ind w:left="567"/>
        <w:outlineLvl w:val="3"/>
        <w:rPr>
          <w:b/>
          <w:bCs/>
          <w:color w:val="auto"/>
          <w:sz w:val="24"/>
          <w:highlight w:val="none"/>
        </w:rPr>
      </w:pPr>
      <w:r>
        <w:rPr>
          <w:rFonts w:hint="eastAsia"/>
          <w:b/>
          <w:bCs/>
          <w:color w:val="auto"/>
          <w:sz w:val="24"/>
          <w:highlight w:val="none"/>
        </w:rPr>
        <w:t>定义</w:t>
      </w:r>
    </w:p>
    <w:p w14:paraId="046EFD7B">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招标人</w:t>
      </w:r>
      <w:r>
        <w:rPr>
          <w:rFonts w:hint="eastAsia" w:ascii="宋体" w:hAnsi="宋体"/>
          <w:color w:val="auto"/>
          <w:sz w:val="24"/>
          <w:highlight w:val="none"/>
        </w:rPr>
        <w:t>：是指</w:t>
      </w:r>
      <w:r>
        <w:rPr>
          <w:rFonts w:hint="eastAsia" w:ascii="宋体" w:hAnsi="宋体"/>
          <w:color w:val="auto"/>
          <w:sz w:val="24"/>
          <w:highlight w:val="none"/>
          <w:lang w:eastAsia="zh-CN"/>
        </w:rPr>
        <w:t>中共库尔勒市委员会宣传部</w:t>
      </w:r>
      <w:r>
        <w:rPr>
          <w:rFonts w:hint="eastAsia" w:ascii="宋体" w:hAnsi="宋体"/>
          <w:color w:val="auto"/>
          <w:sz w:val="24"/>
          <w:highlight w:val="none"/>
        </w:rPr>
        <w:t>。</w:t>
      </w:r>
    </w:p>
    <w:p w14:paraId="791555AD">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采购代理机构：是指</w:t>
      </w:r>
      <w:r>
        <w:rPr>
          <w:rFonts w:hint="eastAsia" w:ascii="宋体" w:hAnsi="宋体"/>
          <w:color w:val="auto"/>
          <w:sz w:val="24"/>
          <w:highlight w:val="none"/>
          <w:lang w:eastAsia="zh-CN"/>
        </w:rPr>
        <w:t>新疆国腾工程项目管理咨询有限公司</w:t>
      </w:r>
      <w:r>
        <w:rPr>
          <w:rFonts w:hint="eastAsia" w:ascii="宋体" w:hAnsi="宋体"/>
          <w:color w:val="auto"/>
          <w:sz w:val="24"/>
          <w:highlight w:val="none"/>
        </w:rPr>
        <w:t>。</w:t>
      </w:r>
    </w:p>
    <w:p w14:paraId="520BFC75">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：是指向采购代理机构提交</w:t>
      </w:r>
      <w:r>
        <w:rPr>
          <w:rFonts w:hint="eastAsia" w:ascii="宋体" w:hAnsi="宋体"/>
          <w:color w:val="auto"/>
          <w:sz w:val="24"/>
          <w:highlight w:val="none"/>
          <w:lang w:eastAsia="zh-CN"/>
        </w:rPr>
        <w:t>响应文件</w:t>
      </w:r>
      <w:r>
        <w:rPr>
          <w:rFonts w:hint="eastAsia" w:ascii="宋体" w:hAnsi="宋体"/>
          <w:color w:val="auto"/>
          <w:sz w:val="24"/>
          <w:highlight w:val="none"/>
        </w:rPr>
        <w:t>的</w:t>
      </w:r>
      <w:r>
        <w:rPr>
          <w:rFonts w:hint="eastAsia" w:ascii="宋体" w:hAnsi="宋体"/>
          <w:color w:val="auto"/>
          <w:sz w:val="24"/>
          <w:highlight w:val="none"/>
          <w:lang w:eastAsia="zh-CN"/>
        </w:rPr>
        <w:t>供应商</w:t>
      </w:r>
      <w:r>
        <w:rPr>
          <w:rFonts w:hint="eastAsia" w:ascii="宋体" w:hAnsi="宋体"/>
          <w:color w:val="auto"/>
          <w:sz w:val="24"/>
          <w:highlight w:val="none"/>
        </w:rPr>
        <w:t>。</w:t>
      </w:r>
    </w:p>
    <w:p w14:paraId="216F68AB">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中标人：是指经合法招、投标程序评选出来的</w:t>
      </w:r>
      <w:r>
        <w:rPr>
          <w:rFonts w:hint="eastAsia" w:ascii="宋体" w:hAnsi="宋体"/>
          <w:color w:val="auto"/>
          <w:sz w:val="24"/>
          <w:highlight w:val="none"/>
          <w:lang w:eastAsia="zh-CN"/>
        </w:rPr>
        <w:t>供应商</w:t>
      </w:r>
      <w:r>
        <w:rPr>
          <w:rFonts w:hint="eastAsia" w:ascii="宋体" w:hAnsi="宋体"/>
          <w:color w:val="auto"/>
          <w:sz w:val="24"/>
          <w:highlight w:val="none"/>
        </w:rPr>
        <w:t>。</w:t>
      </w:r>
    </w:p>
    <w:p w14:paraId="12186AFB">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货物</w:t>
      </w:r>
      <w:r>
        <w:rPr>
          <w:rFonts w:hint="eastAsia" w:ascii="宋体" w:hAnsi="宋体"/>
          <w:color w:val="auto"/>
          <w:sz w:val="24"/>
          <w:highlight w:val="none"/>
        </w:rPr>
        <w:t>：是指</w:t>
      </w:r>
      <w:r>
        <w:rPr>
          <w:rFonts w:hint="eastAsia" w:ascii="宋体" w:hAnsi="宋体"/>
          <w:color w:val="auto"/>
          <w:sz w:val="24"/>
          <w:highlight w:val="none"/>
          <w:lang w:eastAsia="zh-CN"/>
        </w:rPr>
        <w:t>供应商</w:t>
      </w:r>
      <w:r>
        <w:rPr>
          <w:rFonts w:hint="eastAsia" w:ascii="宋体" w:hAnsi="宋体"/>
          <w:color w:val="auto"/>
          <w:sz w:val="24"/>
          <w:highlight w:val="none"/>
        </w:rPr>
        <w:t>按</w:t>
      </w:r>
      <w:r>
        <w:rPr>
          <w:rFonts w:hint="eastAsia" w:ascii="宋体" w:hAnsi="宋体"/>
          <w:color w:val="auto"/>
          <w:sz w:val="24"/>
          <w:highlight w:val="none"/>
          <w:lang w:eastAsia="zh-CN"/>
        </w:rPr>
        <w:t>招标文件</w:t>
      </w:r>
      <w:r>
        <w:rPr>
          <w:rFonts w:hint="eastAsia" w:ascii="宋体" w:hAnsi="宋体"/>
          <w:color w:val="auto"/>
          <w:sz w:val="24"/>
          <w:highlight w:val="none"/>
        </w:rPr>
        <w:t>规定，须向</w:t>
      </w:r>
      <w:r>
        <w:rPr>
          <w:rFonts w:hint="eastAsia" w:ascii="宋体" w:hAnsi="宋体"/>
          <w:color w:val="auto"/>
          <w:sz w:val="24"/>
          <w:highlight w:val="none"/>
          <w:lang w:eastAsia="zh-CN"/>
        </w:rPr>
        <w:t>招标人</w:t>
      </w:r>
      <w:r>
        <w:rPr>
          <w:rFonts w:hint="eastAsia" w:ascii="宋体" w:hAnsi="宋体"/>
          <w:color w:val="auto"/>
          <w:sz w:val="24"/>
          <w:highlight w:val="none"/>
        </w:rPr>
        <w:t>提供的</w:t>
      </w:r>
      <w:r>
        <w:rPr>
          <w:rFonts w:hint="eastAsia" w:ascii="宋体" w:hAnsi="宋体"/>
          <w:color w:val="auto"/>
          <w:sz w:val="24"/>
          <w:highlight w:val="none"/>
          <w:lang w:eastAsia="zh-CN"/>
        </w:rPr>
        <w:t>货物</w:t>
      </w:r>
      <w:r>
        <w:rPr>
          <w:rFonts w:hint="eastAsia" w:ascii="宋体" w:hAnsi="宋体"/>
          <w:color w:val="auto"/>
          <w:sz w:val="24"/>
          <w:highlight w:val="none"/>
        </w:rPr>
        <w:t>、备件、工具、手册及其它技术资料和材料。</w:t>
      </w:r>
    </w:p>
    <w:p w14:paraId="00C1D317">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服务：是指</w:t>
      </w:r>
      <w:r>
        <w:rPr>
          <w:rFonts w:hint="eastAsia" w:ascii="宋体" w:hAnsi="宋体"/>
          <w:color w:val="auto"/>
          <w:sz w:val="24"/>
          <w:highlight w:val="none"/>
          <w:lang w:eastAsia="zh-CN"/>
        </w:rPr>
        <w:t>招标文件</w:t>
      </w:r>
      <w:r>
        <w:rPr>
          <w:rFonts w:hint="eastAsia" w:ascii="宋体" w:hAnsi="宋体"/>
          <w:color w:val="auto"/>
          <w:sz w:val="24"/>
          <w:highlight w:val="none"/>
        </w:rPr>
        <w:t>规定</w:t>
      </w:r>
      <w:r>
        <w:rPr>
          <w:rFonts w:hint="eastAsia" w:ascii="宋体" w:hAnsi="宋体"/>
          <w:color w:val="auto"/>
          <w:sz w:val="24"/>
          <w:highlight w:val="none"/>
          <w:lang w:eastAsia="zh-CN"/>
        </w:rPr>
        <w:t>供应商</w:t>
      </w:r>
      <w:r>
        <w:rPr>
          <w:rFonts w:hint="eastAsia" w:ascii="宋体" w:hAnsi="宋体"/>
          <w:color w:val="auto"/>
          <w:sz w:val="24"/>
          <w:highlight w:val="none"/>
        </w:rPr>
        <w:t>须承担的有关服务。</w:t>
      </w:r>
    </w:p>
    <w:p w14:paraId="2532D54A">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实质性响应：是指符合</w:t>
      </w:r>
      <w:r>
        <w:rPr>
          <w:rFonts w:hint="eastAsia" w:ascii="宋体" w:hAnsi="宋体"/>
          <w:color w:val="auto"/>
          <w:sz w:val="24"/>
          <w:highlight w:val="none"/>
          <w:lang w:eastAsia="zh-CN"/>
        </w:rPr>
        <w:t>招标文件</w:t>
      </w:r>
      <w:r>
        <w:rPr>
          <w:rFonts w:hint="eastAsia" w:ascii="宋体" w:hAnsi="宋体"/>
          <w:color w:val="auto"/>
          <w:sz w:val="24"/>
          <w:highlight w:val="none"/>
        </w:rPr>
        <w:t>的要求、条款、条件和规定，且没有重大偏离或保留。</w:t>
      </w:r>
    </w:p>
    <w:p w14:paraId="7127C140">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重大偏离或保留：是指</w:t>
      </w:r>
      <w:r>
        <w:rPr>
          <w:rFonts w:hint="eastAsia" w:ascii="宋体" w:hAnsi="宋体"/>
          <w:color w:val="auto"/>
          <w:sz w:val="24"/>
          <w:highlight w:val="none"/>
          <w:lang w:eastAsia="zh-CN"/>
        </w:rPr>
        <w:t>响应文件</w:t>
      </w:r>
      <w:r>
        <w:rPr>
          <w:rFonts w:hint="eastAsia" w:ascii="宋体" w:hAnsi="宋体"/>
          <w:color w:val="auto"/>
          <w:sz w:val="24"/>
          <w:highlight w:val="none"/>
        </w:rPr>
        <w:t>中影响到</w:t>
      </w:r>
      <w:r>
        <w:rPr>
          <w:rFonts w:hint="eastAsia" w:ascii="宋体" w:hAnsi="宋体"/>
          <w:color w:val="auto"/>
          <w:sz w:val="24"/>
          <w:highlight w:val="none"/>
          <w:lang w:eastAsia="zh-CN"/>
        </w:rPr>
        <w:t>招标文件</w:t>
      </w:r>
      <w:r>
        <w:rPr>
          <w:rFonts w:hint="eastAsia" w:ascii="宋体" w:hAnsi="宋体"/>
          <w:color w:val="auto"/>
          <w:sz w:val="24"/>
          <w:highlight w:val="none"/>
        </w:rPr>
        <w:t>规定的货物和服务质量或限制了</w:t>
      </w:r>
      <w:r>
        <w:rPr>
          <w:rFonts w:hint="eastAsia" w:ascii="宋体" w:hAnsi="宋体"/>
          <w:color w:val="auto"/>
          <w:sz w:val="24"/>
          <w:highlight w:val="none"/>
          <w:lang w:eastAsia="zh-CN"/>
        </w:rPr>
        <w:t>招标人</w:t>
      </w:r>
      <w:r>
        <w:rPr>
          <w:rFonts w:hint="eastAsia" w:ascii="宋体" w:hAnsi="宋体"/>
          <w:color w:val="auto"/>
          <w:sz w:val="24"/>
          <w:highlight w:val="none"/>
        </w:rPr>
        <w:t>的权利/</w:t>
      </w:r>
      <w:r>
        <w:rPr>
          <w:rFonts w:hint="eastAsia" w:ascii="宋体" w:hAnsi="宋体"/>
          <w:color w:val="auto"/>
          <w:sz w:val="24"/>
          <w:highlight w:val="none"/>
          <w:lang w:eastAsia="zh-CN"/>
        </w:rPr>
        <w:t>供应商</w:t>
      </w:r>
      <w:r>
        <w:rPr>
          <w:rFonts w:hint="eastAsia" w:ascii="宋体" w:hAnsi="宋体"/>
          <w:color w:val="auto"/>
          <w:sz w:val="24"/>
          <w:highlight w:val="none"/>
        </w:rPr>
        <w:t>的义务的规定，而认可该等规定偏离将影响到其他</w:t>
      </w:r>
      <w:r>
        <w:rPr>
          <w:rFonts w:hint="eastAsia" w:ascii="宋体" w:hAnsi="宋体"/>
          <w:color w:val="auto"/>
          <w:sz w:val="24"/>
          <w:highlight w:val="none"/>
          <w:lang w:eastAsia="zh-CN"/>
        </w:rPr>
        <w:t>供应商</w:t>
      </w:r>
      <w:r>
        <w:rPr>
          <w:rFonts w:hint="eastAsia" w:ascii="宋体" w:hAnsi="宋体"/>
          <w:color w:val="auto"/>
          <w:sz w:val="24"/>
          <w:highlight w:val="none"/>
        </w:rPr>
        <w:t>的公平竞争地位。</w:t>
      </w:r>
    </w:p>
    <w:p w14:paraId="14D68C84">
      <w:pPr>
        <w:numPr>
          <w:ilvl w:val="2"/>
          <w:numId w:val="4"/>
        </w:numPr>
        <w:tabs>
          <w:tab w:val="left" w:pos="624"/>
          <w:tab w:val="left" w:pos="840"/>
          <w:tab w:val="clear" w:pos="1050"/>
        </w:tabs>
        <w:spacing w:line="360" w:lineRule="auto"/>
        <w:ind w:left="840" w:hanging="840"/>
        <w:rPr>
          <w:rFonts w:ascii="宋体" w:hAnsi="宋体"/>
          <w:color w:val="auto"/>
          <w:sz w:val="24"/>
          <w:highlight w:val="none"/>
        </w:rPr>
      </w:pPr>
      <w:r>
        <w:rPr>
          <w:rFonts w:hint="eastAsia" w:ascii="宋体" w:hAnsi="宋体"/>
          <w:color w:val="auto"/>
          <w:sz w:val="24"/>
          <w:highlight w:val="none"/>
        </w:rPr>
        <w:t>投标保证金：指</w:t>
      </w:r>
      <w:r>
        <w:rPr>
          <w:rFonts w:hint="eastAsia" w:ascii="宋体" w:hAnsi="宋体"/>
          <w:color w:val="auto"/>
          <w:sz w:val="24"/>
          <w:highlight w:val="none"/>
          <w:lang w:eastAsia="zh-CN"/>
        </w:rPr>
        <w:t>供应商</w:t>
      </w:r>
      <w:r>
        <w:rPr>
          <w:rFonts w:hint="eastAsia" w:ascii="宋体" w:hAnsi="宋体"/>
          <w:color w:val="auto"/>
          <w:sz w:val="24"/>
          <w:highlight w:val="none"/>
        </w:rPr>
        <w:t>按照本</w:t>
      </w:r>
      <w:r>
        <w:rPr>
          <w:rFonts w:hint="eastAsia" w:ascii="宋体" w:hAnsi="宋体"/>
          <w:color w:val="auto"/>
          <w:sz w:val="24"/>
          <w:highlight w:val="none"/>
          <w:lang w:eastAsia="zh-CN"/>
        </w:rPr>
        <w:t>招标文件</w:t>
      </w:r>
      <w:r>
        <w:rPr>
          <w:rFonts w:hint="eastAsia" w:ascii="宋体" w:hAnsi="宋体"/>
          <w:color w:val="auto"/>
          <w:sz w:val="24"/>
          <w:highlight w:val="none"/>
        </w:rPr>
        <w:t>规定向采购代理机构或</w:t>
      </w:r>
      <w:r>
        <w:rPr>
          <w:rFonts w:hint="eastAsia" w:ascii="宋体" w:hAnsi="宋体"/>
          <w:color w:val="auto"/>
          <w:sz w:val="24"/>
          <w:highlight w:val="none"/>
          <w:lang w:eastAsia="zh-CN"/>
        </w:rPr>
        <w:t>招标人</w:t>
      </w:r>
      <w:r>
        <w:rPr>
          <w:rFonts w:hint="eastAsia" w:ascii="宋体" w:hAnsi="宋体"/>
          <w:color w:val="auto"/>
          <w:sz w:val="24"/>
          <w:highlight w:val="none"/>
        </w:rPr>
        <w:t>提交的款项。采购代理机构或者</w:t>
      </w:r>
      <w:r>
        <w:rPr>
          <w:rFonts w:hint="eastAsia" w:ascii="宋体" w:hAnsi="宋体"/>
          <w:color w:val="auto"/>
          <w:sz w:val="24"/>
          <w:highlight w:val="none"/>
          <w:lang w:eastAsia="zh-CN"/>
        </w:rPr>
        <w:t>招标人</w:t>
      </w:r>
      <w:r>
        <w:rPr>
          <w:rFonts w:hint="eastAsia" w:ascii="宋体" w:hAnsi="宋体"/>
          <w:color w:val="auto"/>
          <w:sz w:val="24"/>
          <w:highlight w:val="none"/>
        </w:rPr>
        <w:t>因</w:t>
      </w:r>
      <w:r>
        <w:rPr>
          <w:rFonts w:hint="eastAsia" w:ascii="宋体" w:hAnsi="宋体"/>
          <w:color w:val="auto"/>
          <w:sz w:val="24"/>
          <w:highlight w:val="none"/>
          <w:lang w:eastAsia="zh-CN"/>
        </w:rPr>
        <w:t>供应商</w:t>
      </w:r>
      <w:r>
        <w:rPr>
          <w:rFonts w:hint="eastAsia" w:ascii="宋体" w:hAnsi="宋体"/>
          <w:color w:val="auto"/>
          <w:sz w:val="24"/>
          <w:highlight w:val="none"/>
        </w:rPr>
        <w:t>的行为而蒙受损失之时，采购代理机构和</w:t>
      </w:r>
      <w:r>
        <w:rPr>
          <w:rFonts w:hint="eastAsia" w:ascii="宋体" w:hAnsi="宋体"/>
          <w:color w:val="auto"/>
          <w:sz w:val="24"/>
          <w:highlight w:val="none"/>
          <w:lang w:eastAsia="zh-CN"/>
        </w:rPr>
        <w:t>招标人</w:t>
      </w:r>
      <w:r>
        <w:rPr>
          <w:rFonts w:hint="eastAsia" w:ascii="宋体" w:hAnsi="宋体"/>
          <w:color w:val="auto"/>
          <w:sz w:val="24"/>
          <w:highlight w:val="none"/>
        </w:rPr>
        <w:t>可根据规定予以没收的款项。</w:t>
      </w:r>
    </w:p>
    <w:p w14:paraId="2859C3AA">
      <w:pPr>
        <w:numPr>
          <w:ilvl w:val="2"/>
          <w:numId w:val="4"/>
        </w:numPr>
        <w:tabs>
          <w:tab w:val="left" w:pos="624"/>
          <w:tab w:val="left" w:pos="840"/>
          <w:tab w:val="clear" w:pos="1050"/>
        </w:tabs>
        <w:spacing w:line="360" w:lineRule="auto"/>
        <w:ind w:left="840" w:hanging="840"/>
        <w:rPr>
          <w:rFonts w:ascii="宋体" w:hAnsi="宋体"/>
          <w:color w:val="auto"/>
          <w:sz w:val="24"/>
          <w:highlight w:val="none"/>
        </w:rPr>
      </w:pPr>
      <w:r>
        <w:rPr>
          <w:rFonts w:hint="eastAsia" w:ascii="宋体" w:hAnsi="宋体"/>
          <w:color w:val="auto"/>
          <w:sz w:val="24"/>
          <w:highlight w:val="none"/>
        </w:rPr>
        <w:t>合同期、</w:t>
      </w:r>
      <w:r>
        <w:rPr>
          <w:rFonts w:hint="eastAsia" w:ascii="宋体" w:hAnsi="宋体"/>
          <w:color w:val="auto"/>
          <w:sz w:val="24"/>
          <w:highlight w:val="none"/>
          <w:lang w:eastAsia="zh-CN"/>
        </w:rPr>
        <w:t>供货期限</w:t>
      </w:r>
      <w:r>
        <w:rPr>
          <w:rFonts w:hint="eastAsia" w:ascii="宋体" w:hAnsi="宋体"/>
          <w:color w:val="auto"/>
          <w:sz w:val="24"/>
          <w:highlight w:val="none"/>
        </w:rPr>
        <w:t>：是指签订采购合同之日起至按要求交货并通过验收的期限。</w:t>
      </w:r>
    </w:p>
    <w:p w14:paraId="2CA45227">
      <w:pPr>
        <w:numPr>
          <w:ilvl w:val="2"/>
          <w:numId w:val="4"/>
        </w:numPr>
        <w:tabs>
          <w:tab w:val="left" w:pos="624"/>
          <w:tab w:val="left" w:pos="840"/>
          <w:tab w:val="clear" w:pos="1050"/>
        </w:tabs>
        <w:spacing w:line="360" w:lineRule="auto"/>
        <w:ind w:left="840" w:hanging="840"/>
        <w:rPr>
          <w:rFonts w:ascii="宋体" w:hAnsi="宋体"/>
          <w:color w:val="auto"/>
          <w:sz w:val="24"/>
          <w:highlight w:val="none"/>
        </w:rPr>
      </w:pPr>
      <w:r>
        <w:rPr>
          <w:rFonts w:hint="eastAsia" w:ascii="宋体" w:hAnsi="宋体"/>
          <w:color w:val="auto"/>
          <w:sz w:val="24"/>
          <w:highlight w:val="none"/>
        </w:rPr>
        <w:t>日期、天数、时间：无特别说明时是指公历日及北京时间。</w:t>
      </w:r>
    </w:p>
    <w:p w14:paraId="61FD9669">
      <w:pPr>
        <w:numPr>
          <w:ilvl w:val="2"/>
          <w:numId w:val="4"/>
        </w:numPr>
        <w:tabs>
          <w:tab w:val="left" w:pos="624"/>
          <w:tab w:val="left" w:pos="840"/>
          <w:tab w:val="clear" w:pos="1050"/>
        </w:tabs>
        <w:spacing w:line="360" w:lineRule="auto"/>
        <w:ind w:left="840" w:hanging="840"/>
        <w:rPr>
          <w:rFonts w:ascii="宋体" w:hAnsi="宋体"/>
          <w:color w:val="auto"/>
          <w:sz w:val="24"/>
          <w:highlight w:val="none"/>
        </w:rPr>
      </w:pPr>
      <w:r>
        <w:rPr>
          <w:rFonts w:hint="eastAsia" w:ascii="宋体" w:hAnsi="宋体"/>
          <w:color w:val="auto"/>
          <w:sz w:val="24"/>
          <w:highlight w:val="none"/>
          <w:lang w:eastAsia="zh-CN"/>
        </w:rPr>
        <w:t>招标文件</w:t>
      </w:r>
      <w:r>
        <w:rPr>
          <w:rFonts w:hint="eastAsia" w:ascii="宋体" w:hAnsi="宋体"/>
          <w:color w:val="auto"/>
          <w:sz w:val="24"/>
          <w:highlight w:val="none"/>
        </w:rPr>
        <w:t>中的标题或题名仅起引导作用，而不应该作为对</w:t>
      </w:r>
      <w:r>
        <w:rPr>
          <w:rFonts w:hint="eastAsia" w:ascii="宋体" w:hAnsi="宋体"/>
          <w:color w:val="auto"/>
          <w:sz w:val="24"/>
          <w:highlight w:val="none"/>
          <w:lang w:eastAsia="zh-CN"/>
        </w:rPr>
        <w:t>招标文件</w:t>
      </w:r>
      <w:r>
        <w:rPr>
          <w:rFonts w:hint="eastAsia" w:ascii="宋体" w:hAnsi="宋体"/>
          <w:color w:val="auto"/>
          <w:sz w:val="24"/>
          <w:highlight w:val="none"/>
        </w:rPr>
        <w:t>内容的理解或解释。</w:t>
      </w:r>
    </w:p>
    <w:p w14:paraId="439A1831">
      <w:pPr>
        <w:numPr>
          <w:ilvl w:val="1"/>
          <w:numId w:val="4"/>
        </w:numPr>
        <w:tabs>
          <w:tab w:val="left" w:pos="525"/>
          <w:tab w:val="left" w:pos="567"/>
          <w:tab w:val="left" w:pos="630"/>
          <w:tab w:val="clear" w:pos="289"/>
        </w:tabs>
        <w:spacing w:line="360" w:lineRule="auto"/>
        <w:ind w:left="567"/>
        <w:outlineLvl w:val="3"/>
        <w:rPr>
          <w:rFonts w:ascii="宋体" w:hAnsi="宋体"/>
          <w:b/>
          <w:color w:val="auto"/>
          <w:sz w:val="24"/>
          <w:highlight w:val="none"/>
        </w:rPr>
      </w:pPr>
      <w:bookmarkStart w:id="55" w:name="_Toc264616629"/>
      <w:r>
        <w:rPr>
          <w:rFonts w:hint="eastAsia" w:ascii="宋体" w:hAnsi="宋体"/>
          <w:b/>
          <w:color w:val="auto"/>
          <w:sz w:val="24"/>
          <w:highlight w:val="none"/>
        </w:rPr>
        <w:t>应遵循的原则</w:t>
      </w:r>
      <w:bookmarkEnd w:id="55"/>
    </w:p>
    <w:p w14:paraId="50D05962">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遵循公开、公平、公正和诚实信用原则。</w:t>
      </w:r>
    </w:p>
    <w:p w14:paraId="1A05A0B5">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坚持价格合理、质量优先、服务优质。</w:t>
      </w:r>
    </w:p>
    <w:p w14:paraId="1CDDF26D">
      <w:pPr>
        <w:numPr>
          <w:ilvl w:val="2"/>
          <w:numId w:val="4"/>
        </w:numPr>
        <w:tabs>
          <w:tab w:val="left" w:pos="624"/>
          <w:tab w:val="left" w:pos="735"/>
          <w:tab w:val="clear" w:pos="1050"/>
        </w:tabs>
        <w:spacing w:line="360" w:lineRule="auto"/>
        <w:ind w:left="735" w:hanging="735"/>
        <w:rPr>
          <w:rFonts w:ascii="Verdana" w:hAnsi="Verdana"/>
          <w:color w:val="auto"/>
          <w:sz w:val="24"/>
          <w:highlight w:val="none"/>
        </w:rPr>
      </w:pPr>
      <w:r>
        <w:rPr>
          <w:rFonts w:hint="eastAsia" w:ascii="宋体" w:hAnsi="宋体"/>
          <w:color w:val="auto"/>
          <w:sz w:val="24"/>
          <w:highlight w:val="none"/>
        </w:rPr>
        <w:t>利用</w:t>
      </w:r>
      <w:r>
        <w:rPr>
          <w:rFonts w:hint="eastAsia" w:ascii="Verdana" w:hAnsi="Verdana"/>
          <w:color w:val="auto"/>
          <w:sz w:val="24"/>
          <w:highlight w:val="none"/>
        </w:rPr>
        <w:t>法律手段强化竞争机制，贯彻统一、规范、简化、高效的要求。</w:t>
      </w:r>
    </w:p>
    <w:p w14:paraId="7FD11E06">
      <w:pPr>
        <w:numPr>
          <w:ilvl w:val="1"/>
          <w:numId w:val="4"/>
        </w:numPr>
        <w:tabs>
          <w:tab w:val="left" w:pos="525"/>
          <w:tab w:val="left" w:pos="567"/>
          <w:tab w:val="left" w:pos="630"/>
          <w:tab w:val="clear" w:pos="289"/>
        </w:tabs>
        <w:snapToGrid w:val="0"/>
        <w:spacing w:line="360" w:lineRule="auto"/>
        <w:ind w:left="567"/>
        <w:outlineLvl w:val="3"/>
        <w:rPr>
          <w:rFonts w:ascii="宋体" w:hAnsi="宋体"/>
          <w:b/>
          <w:color w:val="auto"/>
          <w:sz w:val="24"/>
          <w:highlight w:val="none"/>
        </w:rPr>
      </w:pPr>
      <w:bookmarkStart w:id="56" w:name="_Toc264616632"/>
      <w:r>
        <w:rPr>
          <w:rFonts w:hint="eastAsia" w:ascii="宋体" w:hAnsi="宋体"/>
          <w:b/>
          <w:color w:val="auto"/>
          <w:sz w:val="24"/>
          <w:highlight w:val="none"/>
        </w:rPr>
        <w:t>合格的货物和服务</w:t>
      </w:r>
      <w:bookmarkEnd w:id="56"/>
    </w:p>
    <w:p w14:paraId="39541454">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ascii="宋体" w:hAnsi="宋体"/>
          <w:color w:val="auto"/>
          <w:sz w:val="24"/>
          <w:highlight w:val="none"/>
        </w:rPr>
        <w:t>提供的所有货物及服务，其来源地均应为中华人民共和国或与中华人民共和国有官方贸易关系的国家或地区。</w:t>
      </w:r>
    </w:p>
    <w:p w14:paraId="41DCB6B5">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ascii="宋体" w:hAnsi="宋体"/>
          <w:color w:val="auto"/>
          <w:sz w:val="24"/>
          <w:highlight w:val="none"/>
        </w:rPr>
        <w:t>提供的所有货物和服务，其质量、技术等特征必须符合国家、行业现行的标准及</w:t>
      </w:r>
      <w:r>
        <w:rPr>
          <w:rFonts w:hint="eastAsia" w:ascii="宋体" w:hAnsi="宋体"/>
          <w:color w:val="auto"/>
          <w:sz w:val="24"/>
          <w:highlight w:val="none"/>
          <w:lang w:eastAsia="zh-CN"/>
        </w:rPr>
        <w:t>招标人需求</w:t>
      </w:r>
      <w:r>
        <w:rPr>
          <w:rFonts w:ascii="宋体" w:hAnsi="宋体"/>
          <w:color w:val="auto"/>
          <w:sz w:val="24"/>
          <w:highlight w:val="none"/>
        </w:rPr>
        <w:t>。</w:t>
      </w:r>
    </w:p>
    <w:p w14:paraId="691215EF">
      <w:pPr>
        <w:numPr>
          <w:ilvl w:val="2"/>
          <w:numId w:val="4"/>
        </w:numPr>
        <w:tabs>
          <w:tab w:val="left" w:pos="624"/>
          <w:tab w:val="left" w:pos="735"/>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招标人</w:t>
      </w:r>
      <w:r>
        <w:rPr>
          <w:rFonts w:ascii="宋体" w:hAnsi="宋体"/>
          <w:color w:val="auto"/>
          <w:sz w:val="24"/>
          <w:highlight w:val="none"/>
        </w:rPr>
        <w:t>将拒绝接受不合格的货物和服务，由此产生的费用及相关后果均由</w:t>
      </w:r>
      <w:r>
        <w:rPr>
          <w:rFonts w:hint="eastAsia" w:ascii="宋体" w:hAnsi="宋体"/>
          <w:color w:val="auto"/>
          <w:sz w:val="24"/>
          <w:highlight w:val="none"/>
          <w:lang w:eastAsia="zh-CN"/>
        </w:rPr>
        <w:t>供应商</w:t>
      </w:r>
      <w:r>
        <w:rPr>
          <w:rFonts w:ascii="宋体" w:hAnsi="宋体"/>
          <w:color w:val="auto"/>
          <w:sz w:val="24"/>
          <w:highlight w:val="none"/>
        </w:rPr>
        <w:t>自行承担。</w:t>
      </w:r>
    </w:p>
    <w:p w14:paraId="203161D5">
      <w:pPr>
        <w:numPr>
          <w:ilvl w:val="2"/>
          <w:numId w:val="4"/>
        </w:numPr>
        <w:tabs>
          <w:tab w:val="left" w:pos="624"/>
          <w:tab w:val="left" w:pos="735"/>
          <w:tab w:val="clear" w:pos="1050"/>
        </w:tabs>
        <w:spacing w:line="360" w:lineRule="auto"/>
        <w:ind w:left="735" w:hanging="735"/>
        <w:rPr>
          <w:rFonts w:ascii="宋体" w:hAnsi="宋体"/>
          <w:b/>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应保证本项目下提供的服务或其任何一部分不会产生因第三方依法享有的专利权、商标权或其他知识产权；如果</w:t>
      </w:r>
      <w:r>
        <w:rPr>
          <w:rFonts w:hint="eastAsia" w:ascii="宋体" w:hAnsi="宋体"/>
          <w:color w:val="auto"/>
          <w:sz w:val="24"/>
          <w:highlight w:val="none"/>
          <w:lang w:eastAsia="zh-CN"/>
        </w:rPr>
        <w:t>供应商</w:t>
      </w:r>
      <w:r>
        <w:rPr>
          <w:rFonts w:hint="eastAsia" w:ascii="宋体" w:hAnsi="宋体"/>
          <w:color w:val="auto"/>
          <w:sz w:val="24"/>
          <w:highlight w:val="none"/>
        </w:rPr>
        <w:t>不拥有相应的知识产权，则须在报价中包括合法获取该知识产权的相关费用，并在</w:t>
      </w:r>
      <w:r>
        <w:rPr>
          <w:rFonts w:hint="eastAsia" w:ascii="宋体" w:hAnsi="宋体"/>
          <w:color w:val="auto"/>
          <w:sz w:val="24"/>
          <w:highlight w:val="none"/>
          <w:lang w:eastAsia="zh-CN"/>
        </w:rPr>
        <w:t>响应文件</w:t>
      </w:r>
      <w:r>
        <w:rPr>
          <w:rFonts w:hint="eastAsia" w:ascii="宋体" w:hAnsi="宋体"/>
          <w:color w:val="auto"/>
          <w:sz w:val="24"/>
          <w:highlight w:val="none"/>
        </w:rPr>
        <w:t>中附有相关证明文件，如因第三方提出其专利权、商标权或其他知识产权的侵权之诉，则一切法律责任由</w:t>
      </w:r>
      <w:r>
        <w:rPr>
          <w:rFonts w:hint="eastAsia" w:ascii="宋体" w:hAnsi="宋体" w:cs="宋体"/>
          <w:color w:val="auto"/>
          <w:sz w:val="24"/>
          <w:highlight w:val="none"/>
          <w:lang w:eastAsia="zh-CN"/>
        </w:rPr>
        <w:t>供应商</w:t>
      </w:r>
      <w:r>
        <w:rPr>
          <w:rFonts w:hint="eastAsia" w:ascii="宋体" w:hAnsi="宋体"/>
          <w:color w:val="auto"/>
          <w:sz w:val="24"/>
          <w:highlight w:val="none"/>
        </w:rPr>
        <w:t>承担。</w:t>
      </w:r>
    </w:p>
    <w:p w14:paraId="2968824C">
      <w:pPr>
        <w:numPr>
          <w:ilvl w:val="1"/>
          <w:numId w:val="4"/>
        </w:numPr>
        <w:tabs>
          <w:tab w:val="left" w:pos="525"/>
          <w:tab w:val="left" w:pos="567"/>
          <w:tab w:val="left" w:pos="630"/>
          <w:tab w:val="clear" w:pos="289"/>
        </w:tabs>
        <w:snapToGrid w:val="0"/>
        <w:spacing w:line="240" w:lineRule="auto"/>
        <w:ind w:left="567"/>
        <w:outlineLvl w:val="3"/>
        <w:rPr>
          <w:b/>
          <w:color w:val="auto"/>
          <w:sz w:val="24"/>
          <w:highlight w:val="none"/>
        </w:rPr>
      </w:pPr>
      <w:bookmarkStart w:id="57" w:name="_Toc264616633"/>
      <w:r>
        <w:rPr>
          <w:rFonts w:hint="eastAsia"/>
          <w:b/>
          <w:color w:val="auto"/>
          <w:sz w:val="24"/>
          <w:highlight w:val="none"/>
        </w:rPr>
        <w:t>保密</w:t>
      </w:r>
      <w:bookmarkEnd w:id="57"/>
    </w:p>
    <w:p w14:paraId="262C2A23">
      <w:pPr>
        <w:pStyle w:val="16"/>
        <w:keepNext w:val="0"/>
        <w:keepLines w:val="0"/>
        <w:pageBreakBefore w:val="0"/>
        <w:widowControl w:val="0"/>
        <w:tabs>
          <w:tab w:val="left" w:pos="978"/>
        </w:tabs>
        <w:kinsoku/>
        <w:wordWrap/>
        <w:overflowPunct/>
        <w:topLinePunct w:val="0"/>
        <w:autoSpaceDE/>
        <w:autoSpaceDN/>
        <w:bidi w:val="0"/>
        <w:adjustRightInd/>
        <w:snapToGrid/>
        <w:spacing w:after="60" w:afterLines="25" w:line="360" w:lineRule="auto"/>
        <w:ind w:firstLine="480" w:firstLineChars="200"/>
        <w:textAlignment w:val="auto"/>
        <w:rPr>
          <w:rFonts w:hAnsi="宋体"/>
          <w:color w:val="auto"/>
          <w:sz w:val="24"/>
          <w:highlight w:val="none"/>
        </w:rPr>
      </w:pPr>
      <w:r>
        <w:rPr>
          <w:rFonts w:hint="eastAsia" w:hAnsi="宋体"/>
          <w:color w:val="auto"/>
          <w:sz w:val="24"/>
          <w:highlight w:val="none"/>
        </w:rPr>
        <w:t>招投标双方应分别为对方在</w:t>
      </w:r>
      <w:r>
        <w:rPr>
          <w:rFonts w:hint="eastAsia" w:hAnsi="宋体"/>
          <w:color w:val="auto"/>
          <w:sz w:val="24"/>
          <w:highlight w:val="none"/>
          <w:lang w:eastAsia="zh-CN"/>
        </w:rPr>
        <w:t>响应文件</w:t>
      </w:r>
      <w:r>
        <w:rPr>
          <w:rFonts w:hint="eastAsia" w:hAnsi="宋体"/>
          <w:color w:val="auto"/>
          <w:sz w:val="24"/>
          <w:highlight w:val="none"/>
        </w:rPr>
        <w:t>和</w:t>
      </w:r>
      <w:r>
        <w:rPr>
          <w:rFonts w:hint="eastAsia" w:hAnsi="宋体"/>
          <w:color w:val="auto"/>
          <w:sz w:val="24"/>
          <w:highlight w:val="none"/>
          <w:lang w:eastAsia="zh-CN"/>
        </w:rPr>
        <w:t>招标文件</w:t>
      </w:r>
      <w:r>
        <w:rPr>
          <w:rFonts w:hint="eastAsia" w:hAnsi="宋体"/>
          <w:color w:val="auto"/>
          <w:sz w:val="24"/>
          <w:highlight w:val="none"/>
        </w:rPr>
        <w:t>中涉及的商业和技术等秘密保密，违者应对由此造成的后果承担责任。投标方不得将参加此次投标活动的事实进行商业性宣传。</w:t>
      </w:r>
    </w:p>
    <w:p w14:paraId="4772B4BD">
      <w:pPr>
        <w:numPr>
          <w:ilvl w:val="1"/>
          <w:numId w:val="4"/>
        </w:numPr>
        <w:tabs>
          <w:tab w:val="left" w:pos="567"/>
          <w:tab w:val="left" w:pos="630"/>
          <w:tab w:val="clear" w:pos="289"/>
        </w:tabs>
        <w:spacing w:line="360" w:lineRule="auto"/>
        <w:ind w:left="567"/>
        <w:outlineLvl w:val="3"/>
        <w:rPr>
          <w:rFonts w:ascii="宋体" w:hAnsi="宋体"/>
          <w:b/>
          <w:color w:val="auto"/>
          <w:sz w:val="24"/>
          <w:szCs w:val="24"/>
          <w:highlight w:val="none"/>
        </w:rPr>
      </w:pPr>
      <w:bookmarkStart w:id="58" w:name="_Toc278459939"/>
      <w:bookmarkStart w:id="59" w:name="_Toc278962736"/>
      <w:r>
        <w:rPr>
          <w:rFonts w:hint="eastAsia" w:ascii="宋体" w:hAnsi="宋体"/>
          <w:b/>
          <w:color w:val="auto"/>
          <w:sz w:val="24"/>
          <w:szCs w:val="24"/>
          <w:highlight w:val="none"/>
        </w:rPr>
        <w:t>质疑与</w:t>
      </w:r>
      <w:bookmarkEnd w:id="58"/>
      <w:bookmarkEnd w:id="59"/>
      <w:r>
        <w:rPr>
          <w:rFonts w:hint="eastAsia" w:ascii="宋体" w:hAnsi="宋体"/>
          <w:b/>
          <w:color w:val="auto"/>
          <w:sz w:val="24"/>
          <w:szCs w:val="24"/>
          <w:highlight w:val="none"/>
        </w:rPr>
        <w:t>投诉</w:t>
      </w:r>
    </w:p>
    <w:p w14:paraId="0043F7EA">
      <w:pPr>
        <w:numPr>
          <w:ilvl w:val="2"/>
          <w:numId w:val="4"/>
        </w:numPr>
        <w:tabs>
          <w:tab w:val="left" w:pos="624"/>
          <w:tab w:val="left" w:pos="735"/>
          <w:tab w:val="left" w:pos="840"/>
          <w:tab w:val="left" w:pos="1455"/>
          <w:tab w:val="clear" w:pos="1050"/>
        </w:tabs>
        <w:spacing w:line="360" w:lineRule="auto"/>
        <w:ind w:left="840" w:hanging="840" w:hangingChars="350"/>
        <w:rPr>
          <w:color w:val="auto"/>
          <w:sz w:val="24"/>
          <w:szCs w:val="24"/>
          <w:highlight w:val="none"/>
        </w:rPr>
      </w:pPr>
      <w:bookmarkStart w:id="60" w:name="_Toc264616637"/>
      <w:r>
        <w:rPr>
          <w:rFonts w:hint="eastAsia"/>
          <w:color w:val="auto"/>
          <w:sz w:val="24"/>
          <w:szCs w:val="24"/>
          <w:highlight w:val="none"/>
        </w:rPr>
        <w:t xml:space="preserve"> </w:t>
      </w:r>
      <w:r>
        <w:rPr>
          <w:rFonts w:hint="eastAsia"/>
          <w:color w:val="auto"/>
          <w:sz w:val="24"/>
          <w:szCs w:val="24"/>
          <w:highlight w:val="none"/>
          <w:lang w:eastAsia="zh-CN"/>
        </w:rPr>
        <w:t>供应商</w:t>
      </w:r>
      <w:r>
        <w:rPr>
          <w:rFonts w:hint="eastAsia"/>
          <w:color w:val="auto"/>
          <w:sz w:val="24"/>
          <w:szCs w:val="24"/>
          <w:highlight w:val="none"/>
        </w:rPr>
        <w:t>认为</w:t>
      </w:r>
      <w:r>
        <w:rPr>
          <w:rFonts w:hint="eastAsia"/>
          <w:color w:val="auto"/>
          <w:sz w:val="24"/>
          <w:szCs w:val="24"/>
          <w:highlight w:val="none"/>
          <w:lang w:eastAsia="zh-CN"/>
        </w:rPr>
        <w:t>招标文件</w:t>
      </w:r>
      <w:r>
        <w:rPr>
          <w:rFonts w:hint="eastAsia"/>
          <w:color w:val="auto"/>
          <w:sz w:val="24"/>
          <w:szCs w:val="24"/>
          <w:highlight w:val="none"/>
        </w:rPr>
        <w:t>的内容损害其权益的，可以在</w:t>
      </w:r>
      <w:r>
        <w:rPr>
          <w:rFonts w:hint="eastAsia"/>
          <w:color w:val="auto"/>
          <w:sz w:val="24"/>
          <w:szCs w:val="24"/>
          <w:highlight w:val="none"/>
          <w:lang w:eastAsia="zh-CN"/>
        </w:rPr>
        <w:t>招标文件</w:t>
      </w:r>
      <w:r>
        <w:rPr>
          <w:rFonts w:hint="eastAsia"/>
          <w:color w:val="auto"/>
          <w:sz w:val="24"/>
          <w:szCs w:val="24"/>
          <w:highlight w:val="none"/>
        </w:rPr>
        <w:t>公示期间或者自期满之日起7个工作日内以书面形式向</w:t>
      </w:r>
      <w:r>
        <w:rPr>
          <w:rFonts w:hint="eastAsia"/>
          <w:color w:val="auto"/>
          <w:sz w:val="24"/>
          <w:szCs w:val="24"/>
          <w:highlight w:val="none"/>
          <w:lang w:eastAsia="zh-CN"/>
        </w:rPr>
        <w:t>招标人</w:t>
      </w:r>
      <w:r>
        <w:rPr>
          <w:rFonts w:hint="eastAsia"/>
          <w:color w:val="auto"/>
          <w:sz w:val="24"/>
          <w:szCs w:val="24"/>
          <w:highlight w:val="none"/>
        </w:rPr>
        <w:t>或采购代理机构提出质疑，逾期质疑无效。</w:t>
      </w:r>
    </w:p>
    <w:p w14:paraId="023F10D0">
      <w:pPr>
        <w:numPr>
          <w:ilvl w:val="2"/>
          <w:numId w:val="4"/>
        </w:numPr>
        <w:tabs>
          <w:tab w:val="left" w:pos="624"/>
          <w:tab w:val="left" w:pos="735"/>
          <w:tab w:val="left" w:pos="840"/>
          <w:tab w:val="left" w:pos="1455"/>
          <w:tab w:val="clear" w:pos="1050"/>
        </w:tabs>
        <w:spacing w:line="360" w:lineRule="auto"/>
        <w:ind w:left="840" w:hanging="840" w:hangingChars="350"/>
        <w:rPr>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认为采购过程和中标结果使自己的权益受到损害的，可以在知道或者应知其权益受到损害之日起7个工作日内，以书面形式向</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或采购代理机构提出质疑，逾期质疑无效。</w:t>
      </w:r>
    </w:p>
    <w:p w14:paraId="777396E9">
      <w:pPr>
        <w:numPr>
          <w:ilvl w:val="2"/>
          <w:numId w:val="4"/>
        </w:numPr>
        <w:tabs>
          <w:tab w:val="left" w:pos="624"/>
          <w:tab w:val="left" w:pos="735"/>
          <w:tab w:val="left" w:pos="840"/>
          <w:tab w:val="left" w:pos="1455"/>
          <w:tab w:val="clear" w:pos="1050"/>
        </w:tabs>
        <w:spacing w:line="360" w:lineRule="auto"/>
        <w:ind w:left="840" w:hanging="840" w:hangingChars="350"/>
        <w:rPr>
          <w:color w:val="auto"/>
          <w:sz w:val="24"/>
          <w:szCs w:val="24"/>
          <w:highlight w:val="none"/>
        </w:rPr>
      </w:pPr>
      <w:r>
        <w:rPr>
          <w:rFonts w:hint="eastAsia"/>
          <w:color w:val="auto"/>
          <w:sz w:val="24"/>
          <w:highlight w:val="none"/>
        </w:rPr>
        <w:t xml:space="preserve"> </w:t>
      </w:r>
      <w:r>
        <w:rPr>
          <w:rFonts w:hint="eastAsia"/>
          <w:color w:val="auto"/>
          <w:sz w:val="24"/>
          <w:highlight w:val="none"/>
          <w:lang w:eastAsia="zh-CN"/>
        </w:rPr>
        <w:t>供应商</w:t>
      </w:r>
      <w:r>
        <w:rPr>
          <w:rFonts w:hint="eastAsia"/>
          <w:color w:val="auto"/>
          <w:sz w:val="24"/>
          <w:highlight w:val="none"/>
        </w:rPr>
        <w:t>有质疑时，应当以书面形式在质疑有效期限内向采购代</w:t>
      </w:r>
      <w:r>
        <w:rPr>
          <w:rFonts w:hint="eastAsia" w:ascii="宋体" w:hAnsi="宋体"/>
          <w:color w:val="auto"/>
          <w:sz w:val="24"/>
          <w:szCs w:val="24"/>
          <w:highlight w:val="none"/>
        </w:rPr>
        <w:t>理机构提交质疑书原件，逾期质疑无效。质疑书应当署名</w:t>
      </w:r>
      <w:r>
        <w:rPr>
          <w:rFonts w:hint="eastAsia"/>
          <w:color w:val="auto"/>
          <w:sz w:val="24"/>
          <w:highlight w:val="none"/>
        </w:rPr>
        <w:t>。质疑</w:t>
      </w:r>
      <w:r>
        <w:rPr>
          <w:rFonts w:hint="eastAsia"/>
          <w:color w:val="auto"/>
          <w:sz w:val="24"/>
          <w:highlight w:val="none"/>
          <w:lang w:eastAsia="zh-CN"/>
        </w:rPr>
        <w:t>供应商</w:t>
      </w:r>
      <w:r>
        <w:rPr>
          <w:rFonts w:hint="eastAsia"/>
          <w:color w:val="auto"/>
          <w:sz w:val="24"/>
          <w:highlight w:val="none"/>
        </w:rPr>
        <w:t>为自然人的，应当由本人签字；质疑</w:t>
      </w:r>
      <w:r>
        <w:rPr>
          <w:rFonts w:hint="eastAsia"/>
          <w:color w:val="auto"/>
          <w:sz w:val="24"/>
          <w:highlight w:val="none"/>
          <w:lang w:eastAsia="zh-CN"/>
        </w:rPr>
        <w:t>供应商</w:t>
      </w:r>
      <w:r>
        <w:rPr>
          <w:rFonts w:hint="eastAsia"/>
          <w:color w:val="auto"/>
          <w:sz w:val="24"/>
          <w:highlight w:val="none"/>
        </w:rPr>
        <w:t>为法人或者其他组织的，应当由法定代表人或者主要负责人签字盖章并加盖公章，同时注明联系人、联系电话</w:t>
      </w:r>
      <w:r>
        <w:rPr>
          <w:rFonts w:hint="eastAsia"/>
          <w:color w:val="auto"/>
          <w:sz w:val="24"/>
          <w:szCs w:val="24"/>
          <w:highlight w:val="none"/>
        </w:rPr>
        <w:t>与质疑时间</w:t>
      </w:r>
      <w:r>
        <w:rPr>
          <w:rFonts w:hint="eastAsia"/>
          <w:color w:val="auto"/>
          <w:sz w:val="24"/>
          <w:highlight w:val="none"/>
        </w:rPr>
        <w:t>。</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以</w:t>
      </w:r>
      <w:r>
        <w:rPr>
          <w:rFonts w:hint="eastAsia"/>
          <w:color w:val="auto"/>
          <w:sz w:val="24"/>
          <w:szCs w:val="24"/>
          <w:highlight w:val="none"/>
        </w:rPr>
        <w:t>电话、传真或电邮形式提交的质疑书属于无效质疑。</w:t>
      </w:r>
    </w:p>
    <w:p w14:paraId="625770A8">
      <w:pPr>
        <w:numPr>
          <w:ilvl w:val="2"/>
          <w:numId w:val="4"/>
        </w:numPr>
        <w:tabs>
          <w:tab w:val="left" w:pos="624"/>
          <w:tab w:val="left" w:pos="735"/>
          <w:tab w:val="left" w:pos="840"/>
          <w:tab w:val="left" w:pos="1455"/>
          <w:tab w:val="clear" w:pos="1050"/>
        </w:tabs>
        <w:spacing w:line="360" w:lineRule="auto"/>
        <w:ind w:left="840" w:hanging="840" w:hangingChars="350"/>
        <w:rPr>
          <w:rFonts w:ascii="宋体" w:hAnsi="宋体"/>
          <w:color w:val="auto"/>
          <w:sz w:val="24"/>
          <w:szCs w:val="24"/>
          <w:highlight w:val="none"/>
        </w:rPr>
      </w:pPr>
      <w:r>
        <w:rPr>
          <w:rFonts w:hint="eastAsia" w:ascii="宋体" w:hAnsi="宋体"/>
          <w:color w:val="auto"/>
          <w:sz w:val="24"/>
          <w:szCs w:val="24"/>
          <w:highlight w:val="none"/>
        </w:rPr>
        <w:t xml:space="preserve"> 质疑内容不得含有虚假、恶意成分。依据谁主张谁举证的原则，质疑者提供的</w:t>
      </w:r>
      <w:r>
        <w:rPr>
          <w:rFonts w:hint="eastAsia"/>
          <w:color w:val="auto"/>
          <w:sz w:val="24"/>
          <w:szCs w:val="24"/>
          <w:highlight w:val="none"/>
        </w:rPr>
        <w:t>质疑书应当明确具体的质疑事项、事实依据，同时提交相关确凿的证明材料和注明证据的确切来源、证据来源必须合法，采购代理机构有权将质疑函转发质疑事项各关联方，请其作出解释说明。</w:t>
      </w:r>
      <w:r>
        <w:rPr>
          <w:rFonts w:hint="eastAsia" w:ascii="宋体" w:hAnsi="宋体"/>
          <w:color w:val="auto"/>
          <w:sz w:val="24"/>
          <w:szCs w:val="24"/>
          <w:highlight w:val="none"/>
        </w:rPr>
        <w:t>对捏造事实、滥用维权扰乱采购秩序的恶意质疑者，将上报采购监督管理部门依法处理。</w:t>
      </w:r>
    </w:p>
    <w:p w14:paraId="22FEB46A">
      <w:pPr>
        <w:numPr>
          <w:ilvl w:val="2"/>
          <w:numId w:val="4"/>
        </w:numPr>
        <w:tabs>
          <w:tab w:val="left" w:pos="624"/>
          <w:tab w:val="left" w:pos="735"/>
          <w:tab w:val="left" w:pos="840"/>
          <w:tab w:val="left" w:pos="1455"/>
          <w:tab w:val="clear" w:pos="1050"/>
        </w:tabs>
        <w:spacing w:line="360" w:lineRule="auto"/>
        <w:ind w:left="840" w:hanging="840" w:hangingChars="350"/>
        <w:rPr>
          <w:rFonts w:ascii="宋体" w:hAnsi="宋体"/>
          <w:color w:val="auto"/>
          <w:sz w:val="24"/>
          <w:highlight w:val="none"/>
        </w:rPr>
      </w:pPr>
      <w:r>
        <w:rPr>
          <w:rFonts w:hint="eastAsia" w:ascii="宋体" w:hAnsi="宋体"/>
          <w:color w:val="auto"/>
          <w:sz w:val="24"/>
          <w:szCs w:val="24"/>
          <w:highlight w:val="none"/>
        </w:rPr>
        <w:t xml:space="preserve"> 采购代理机构在收到</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的有效书面质疑后七个工作日内作出答复，但答复的内容不涉及商业秘密，质疑</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对</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、采购代理机构的质疑答复不满意，或</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、采购代理机构未在规定期限内作出答复的，可以在答复期满后15个工作日内向采购监督管理部门提起投诉。</w:t>
      </w:r>
    </w:p>
    <w:p w14:paraId="275A2FF5">
      <w:pPr>
        <w:numPr>
          <w:ilvl w:val="1"/>
          <w:numId w:val="4"/>
        </w:numPr>
        <w:tabs>
          <w:tab w:val="left" w:pos="525"/>
          <w:tab w:val="left" w:pos="567"/>
          <w:tab w:val="left" w:pos="630"/>
          <w:tab w:val="clear" w:pos="289"/>
        </w:tabs>
        <w:spacing w:line="360" w:lineRule="auto"/>
        <w:ind w:left="567"/>
        <w:outlineLvl w:val="3"/>
        <w:rPr>
          <w:rFonts w:ascii="宋体" w:hAnsi="宋体"/>
          <w:b/>
          <w:color w:val="auto"/>
          <w:sz w:val="24"/>
          <w:highlight w:val="none"/>
        </w:rPr>
      </w:pPr>
      <w:r>
        <w:rPr>
          <w:rFonts w:hint="eastAsia" w:ascii="宋体" w:hAnsi="宋体"/>
          <w:b/>
          <w:color w:val="auto"/>
          <w:sz w:val="24"/>
          <w:highlight w:val="none"/>
        </w:rPr>
        <w:t>不得参与同一采购项目竞争的</w:t>
      </w:r>
      <w:bookmarkEnd w:id="60"/>
      <w:r>
        <w:rPr>
          <w:rFonts w:hint="eastAsia" w:ascii="宋体" w:hAnsi="宋体" w:cs="宋体"/>
          <w:b/>
          <w:color w:val="auto"/>
          <w:sz w:val="24"/>
          <w:highlight w:val="none"/>
          <w:lang w:eastAsia="zh-CN"/>
        </w:rPr>
        <w:t>供应商</w:t>
      </w:r>
    </w:p>
    <w:p w14:paraId="139E7AC2">
      <w:pPr>
        <w:spacing w:line="360" w:lineRule="auto"/>
        <w:ind w:firstLine="566" w:firstLineChars="236"/>
        <w:rPr>
          <w:color w:val="auto"/>
          <w:highlight w:val="none"/>
        </w:rPr>
      </w:pPr>
      <w:r>
        <w:rPr>
          <w:rFonts w:hint="eastAsia" w:ascii="宋体" w:hAnsi="宋体"/>
          <w:color w:val="auto"/>
          <w:sz w:val="24"/>
          <w:highlight w:val="none"/>
        </w:rPr>
        <w:t>单位负责人为同一人或者存在直接控股、管理关系的不同</w:t>
      </w:r>
      <w:r>
        <w:rPr>
          <w:rFonts w:hint="eastAsia" w:ascii="宋体" w:hAnsi="宋体"/>
          <w:color w:val="auto"/>
          <w:sz w:val="24"/>
          <w:highlight w:val="none"/>
          <w:lang w:eastAsia="zh-CN"/>
        </w:rPr>
        <w:t>供应商</w:t>
      </w:r>
      <w:r>
        <w:rPr>
          <w:rFonts w:hint="eastAsia" w:ascii="宋体" w:hAnsi="宋体"/>
          <w:color w:val="auto"/>
          <w:sz w:val="24"/>
          <w:highlight w:val="none"/>
        </w:rPr>
        <w:t>，不得参加同一合同项下的采购活动。</w:t>
      </w:r>
    </w:p>
    <w:p w14:paraId="12EA769D">
      <w:pPr>
        <w:numPr>
          <w:ilvl w:val="1"/>
          <w:numId w:val="4"/>
        </w:numPr>
        <w:tabs>
          <w:tab w:val="left" w:pos="567"/>
          <w:tab w:val="left" w:pos="630"/>
          <w:tab w:val="clear" w:pos="289"/>
        </w:tabs>
        <w:spacing w:line="360" w:lineRule="auto"/>
        <w:ind w:left="567"/>
        <w:outlineLvl w:val="3"/>
        <w:rPr>
          <w:rFonts w:ascii="宋体" w:hAnsi="宋体"/>
          <w:b/>
          <w:color w:val="auto"/>
          <w:sz w:val="24"/>
          <w:szCs w:val="24"/>
          <w:highlight w:val="none"/>
        </w:rPr>
      </w:pPr>
      <w:r>
        <w:rPr>
          <w:rFonts w:hint="eastAsia" w:ascii="宋体" w:hAnsi="宋体"/>
          <w:b/>
          <w:color w:val="auto"/>
          <w:sz w:val="24"/>
          <w:szCs w:val="24"/>
          <w:highlight w:val="none"/>
        </w:rPr>
        <w:t>关于中小企业投标</w:t>
      </w:r>
    </w:p>
    <w:p w14:paraId="1696A73E">
      <w:pPr>
        <w:spacing w:line="360" w:lineRule="auto"/>
        <w:ind w:firstLine="480" w:firstLineChars="200"/>
        <w:rPr>
          <w:rFonts w:ascii="宋体" w:hAnsi="宋体"/>
          <w:color w:val="auto"/>
          <w:sz w:val="24"/>
          <w:szCs w:val="24"/>
          <w:highlight w:val="none"/>
        </w:rPr>
      </w:pPr>
      <w:r>
        <w:rPr>
          <w:rFonts w:hint="eastAsia" w:ascii="宋体" w:hAnsi="宋体"/>
          <w:color w:val="auto"/>
          <w:sz w:val="24"/>
          <w:highlight w:val="none"/>
        </w:rPr>
        <w:t>中小企业投标是指符合</w:t>
      </w:r>
      <w:r>
        <w:rPr>
          <w:rFonts w:hint="eastAsia" w:ascii="宋体" w:hAnsi="宋体"/>
          <w:color w:val="auto"/>
          <w:sz w:val="24"/>
          <w:szCs w:val="24"/>
          <w:highlight w:val="none"/>
        </w:rPr>
        <w:t>《中小企业划型标准规定》</w:t>
      </w:r>
      <w:r>
        <w:rPr>
          <w:rFonts w:hint="eastAsia" w:ascii="宋体" w:hAnsi="宋体"/>
          <w:color w:val="auto"/>
          <w:sz w:val="24"/>
          <w:highlight w:val="none"/>
        </w:rPr>
        <w:t>的</w:t>
      </w:r>
      <w:r>
        <w:rPr>
          <w:rFonts w:hint="eastAsia" w:ascii="宋体" w:hAnsi="宋体"/>
          <w:color w:val="auto"/>
          <w:sz w:val="24"/>
          <w:highlight w:val="none"/>
          <w:lang w:eastAsia="zh-CN"/>
        </w:rPr>
        <w:t>供应商</w:t>
      </w:r>
      <w:r>
        <w:rPr>
          <w:rFonts w:hint="eastAsia" w:ascii="宋体" w:hAnsi="宋体"/>
          <w:color w:val="auto"/>
          <w:sz w:val="24"/>
          <w:highlight w:val="none"/>
        </w:rPr>
        <w:t>，通过投标提供本企业制造的货物、承担的工程或者服务，或者提供其他中小企业制造的货物。本项所指货物不包括使用大型企业注册商标的货物。中小企业投标应提供《中小企业声明函》。</w:t>
      </w:r>
    </w:p>
    <w:p w14:paraId="2D85CFF3">
      <w:pPr>
        <w:numPr>
          <w:ilvl w:val="1"/>
          <w:numId w:val="4"/>
        </w:numPr>
        <w:tabs>
          <w:tab w:val="left" w:pos="567"/>
          <w:tab w:val="left" w:pos="630"/>
          <w:tab w:val="clear" w:pos="289"/>
        </w:tabs>
        <w:spacing w:line="360" w:lineRule="auto"/>
        <w:ind w:left="567"/>
        <w:outlineLvl w:val="3"/>
        <w:rPr>
          <w:rFonts w:hint="eastAsia" w:ascii="宋体" w:hAnsi="宋体"/>
          <w:b/>
          <w:color w:val="auto"/>
          <w:sz w:val="24"/>
          <w:szCs w:val="24"/>
          <w:highlight w:val="none"/>
        </w:rPr>
      </w:pPr>
      <w:r>
        <w:rPr>
          <w:rFonts w:hint="eastAsia" w:ascii="宋体" w:hAnsi="宋体"/>
          <w:b/>
          <w:color w:val="auto"/>
          <w:sz w:val="24"/>
          <w:szCs w:val="24"/>
          <w:highlight w:val="none"/>
        </w:rPr>
        <w:t>关于</w:t>
      </w:r>
      <w:r>
        <w:rPr>
          <w:rFonts w:hint="eastAsia" w:ascii="宋体" w:hAnsi="宋体"/>
          <w:b/>
          <w:color w:val="auto"/>
          <w:sz w:val="24"/>
          <w:szCs w:val="24"/>
          <w:highlight w:val="none"/>
          <w:lang w:val="en-US" w:eastAsia="zh-CN"/>
        </w:rPr>
        <w:t>投标保证金的缴纳形式</w:t>
      </w:r>
    </w:p>
    <w:p w14:paraId="557C9A47">
      <w:pPr>
        <w:pStyle w:val="8"/>
        <w:tabs>
          <w:tab w:val="left" w:pos="540"/>
        </w:tabs>
        <w:spacing w:line="360" w:lineRule="auto"/>
        <w:ind w:firstLine="480" w:firstLineChars="200"/>
        <w:rPr>
          <w:rFonts w:ascii="宋体" w:hAnsi="宋体"/>
          <w:color w:val="auto"/>
          <w:sz w:val="24"/>
          <w:szCs w:val="24"/>
          <w:highlight w:val="none"/>
        </w:rPr>
      </w:pPr>
      <w:r>
        <w:rPr>
          <w:rFonts w:hint="eastAsia" w:ascii="宋体" w:hAnsi="宋体"/>
          <w:color w:val="auto"/>
          <w:sz w:val="24"/>
          <w:highlight w:val="none"/>
          <w:lang w:val="en-US" w:eastAsia="zh-CN"/>
        </w:rPr>
        <w:t>投标保证金的形式：政府采购保证金应当以支票、汇票、本票或者金融机构、担保机构出具的保函等非现金的形式提交。</w:t>
      </w:r>
    </w:p>
    <w:p w14:paraId="006A0086">
      <w:pPr>
        <w:numPr>
          <w:ilvl w:val="1"/>
          <w:numId w:val="4"/>
        </w:numPr>
        <w:tabs>
          <w:tab w:val="left" w:pos="525"/>
          <w:tab w:val="left" w:pos="567"/>
          <w:tab w:val="left" w:pos="630"/>
          <w:tab w:val="clear" w:pos="289"/>
        </w:tabs>
        <w:spacing w:line="360" w:lineRule="auto"/>
        <w:ind w:left="567"/>
        <w:outlineLvl w:val="3"/>
        <w:rPr>
          <w:rFonts w:hint="eastAsia" w:ascii="宋体" w:hAnsi="宋体"/>
          <w:b/>
          <w:color w:val="auto"/>
          <w:sz w:val="24"/>
          <w:szCs w:val="22"/>
          <w:highlight w:val="none"/>
        </w:rPr>
      </w:pPr>
      <w:bookmarkStart w:id="61" w:name="_Toc264616638"/>
      <w:r>
        <w:rPr>
          <w:rFonts w:hint="eastAsia" w:ascii="宋体" w:hAnsi="宋体"/>
          <w:b/>
          <w:color w:val="auto"/>
          <w:sz w:val="24"/>
          <w:szCs w:val="22"/>
          <w:highlight w:val="none"/>
        </w:rPr>
        <w:t>通知</w:t>
      </w:r>
      <w:bookmarkEnd w:id="61"/>
    </w:p>
    <w:p w14:paraId="6E2133D7">
      <w:pPr>
        <w:tabs>
          <w:tab w:val="left" w:pos="900"/>
        </w:tabs>
        <w:adjustRightInd w:val="0"/>
        <w:snapToGrid w:val="0"/>
        <w:spacing w:line="360" w:lineRule="auto"/>
        <w:ind w:firstLine="480" w:firstLineChars="200"/>
        <w:rPr>
          <w:color w:val="auto"/>
          <w:sz w:val="24"/>
          <w:highlight w:val="none"/>
        </w:rPr>
      </w:pPr>
      <w:r>
        <w:rPr>
          <w:rFonts w:hint="eastAsia"/>
          <w:color w:val="auto"/>
          <w:sz w:val="24"/>
          <w:highlight w:val="none"/>
        </w:rPr>
        <w:t>对与本项目有关的通知，</w:t>
      </w:r>
      <w:r>
        <w:rPr>
          <w:rFonts w:hint="eastAsia" w:ascii="宋体" w:hAnsi="宋体"/>
          <w:color w:val="auto"/>
          <w:sz w:val="24"/>
          <w:highlight w:val="none"/>
        </w:rPr>
        <w:t>采购代理机构</w:t>
      </w:r>
      <w:r>
        <w:rPr>
          <w:rFonts w:hint="eastAsia"/>
          <w:color w:val="auto"/>
          <w:sz w:val="24"/>
          <w:highlight w:val="none"/>
        </w:rPr>
        <w:t>将以书面（包括书面材料、信函、传真等，下同）或在本次</w:t>
      </w:r>
      <w:r>
        <w:rPr>
          <w:rFonts w:hint="eastAsia"/>
          <w:color w:val="auto"/>
          <w:sz w:val="24"/>
          <w:highlight w:val="none"/>
          <w:lang w:eastAsia="zh-CN"/>
        </w:rPr>
        <w:t>招标公告</w:t>
      </w:r>
      <w:r>
        <w:rPr>
          <w:rFonts w:hint="eastAsia"/>
          <w:color w:val="auto"/>
          <w:sz w:val="24"/>
          <w:highlight w:val="none"/>
        </w:rPr>
        <w:t>刊登的媒体上以发布公告的形式，送达所有与通知有关的已领取了</w:t>
      </w:r>
      <w:r>
        <w:rPr>
          <w:rFonts w:hint="eastAsia" w:ascii="宋体" w:hAnsi="宋体" w:cs="宋体"/>
          <w:color w:val="auto"/>
          <w:sz w:val="24"/>
          <w:highlight w:val="none"/>
          <w:lang w:eastAsia="zh-CN"/>
        </w:rPr>
        <w:t>招标文件</w:t>
      </w:r>
      <w:r>
        <w:rPr>
          <w:rFonts w:hint="eastAsia"/>
          <w:color w:val="auto"/>
          <w:sz w:val="24"/>
          <w:highlight w:val="none"/>
        </w:rPr>
        <w:t>的</w:t>
      </w:r>
      <w:r>
        <w:rPr>
          <w:rFonts w:hint="eastAsia" w:ascii="宋体" w:hAnsi="宋体" w:cs="宋体"/>
          <w:color w:val="auto"/>
          <w:sz w:val="24"/>
          <w:highlight w:val="none"/>
          <w:lang w:eastAsia="zh-CN"/>
        </w:rPr>
        <w:t>供应商</w:t>
      </w:r>
      <w:r>
        <w:rPr>
          <w:rFonts w:hint="eastAsia"/>
          <w:color w:val="auto"/>
          <w:sz w:val="24"/>
          <w:highlight w:val="none"/>
        </w:rPr>
        <w:t>，传真号码以</w:t>
      </w:r>
      <w:r>
        <w:rPr>
          <w:rFonts w:hint="eastAsia"/>
          <w:color w:val="auto"/>
          <w:sz w:val="24"/>
          <w:highlight w:val="none"/>
          <w:lang w:eastAsia="zh-CN"/>
        </w:rPr>
        <w:t>供应商</w:t>
      </w:r>
      <w:r>
        <w:rPr>
          <w:rFonts w:hint="eastAsia"/>
          <w:color w:val="auto"/>
          <w:sz w:val="24"/>
          <w:highlight w:val="none"/>
        </w:rPr>
        <w:t>的登记为准。</w:t>
      </w:r>
      <w:r>
        <w:rPr>
          <w:rFonts w:hint="eastAsia"/>
          <w:color w:val="auto"/>
          <w:sz w:val="24"/>
          <w:highlight w:val="none"/>
          <w:lang w:eastAsia="zh-CN"/>
        </w:rPr>
        <w:t>供应商</w:t>
      </w:r>
      <w:r>
        <w:rPr>
          <w:rFonts w:hint="eastAsia"/>
          <w:color w:val="auto"/>
          <w:sz w:val="24"/>
          <w:highlight w:val="none"/>
        </w:rPr>
        <w:t>应于收到通知的当日以书面方式予以回复确认。因</w:t>
      </w:r>
      <w:r>
        <w:rPr>
          <w:rFonts w:hint="eastAsia"/>
          <w:color w:val="auto"/>
          <w:sz w:val="24"/>
          <w:highlight w:val="none"/>
          <w:lang w:eastAsia="zh-CN"/>
        </w:rPr>
        <w:t>供应商</w:t>
      </w:r>
      <w:r>
        <w:rPr>
          <w:rFonts w:hint="eastAsia"/>
          <w:color w:val="auto"/>
          <w:sz w:val="24"/>
          <w:highlight w:val="none"/>
        </w:rPr>
        <w:t>登记的传真号码有误、传真线路故障或</w:t>
      </w:r>
      <w:r>
        <w:rPr>
          <w:rFonts w:hint="eastAsia" w:ascii="宋体" w:hAnsi="宋体"/>
          <w:color w:val="auto"/>
          <w:sz w:val="24"/>
          <w:highlight w:val="none"/>
        </w:rPr>
        <w:t>其它任何意外情形，</w:t>
      </w:r>
      <w:r>
        <w:rPr>
          <w:rFonts w:hint="eastAsia"/>
          <w:color w:val="auto"/>
          <w:sz w:val="24"/>
          <w:highlight w:val="none"/>
        </w:rPr>
        <w:t>导致</w:t>
      </w:r>
      <w:r>
        <w:rPr>
          <w:rFonts w:hint="eastAsia" w:ascii="宋体" w:hAnsi="宋体"/>
          <w:color w:val="auto"/>
          <w:sz w:val="24"/>
          <w:highlight w:val="none"/>
        </w:rPr>
        <w:t>所发出的</w:t>
      </w:r>
      <w:r>
        <w:rPr>
          <w:rFonts w:hint="eastAsia"/>
          <w:color w:val="auto"/>
          <w:sz w:val="24"/>
          <w:highlight w:val="none"/>
        </w:rPr>
        <w:t>通知延迟送达或无法送达</w:t>
      </w:r>
      <w:r>
        <w:rPr>
          <w:rFonts w:hint="eastAsia"/>
          <w:color w:val="auto"/>
          <w:sz w:val="24"/>
          <w:highlight w:val="none"/>
          <w:lang w:eastAsia="zh-CN"/>
        </w:rPr>
        <w:t>供应商</w:t>
      </w:r>
      <w:r>
        <w:rPr>
          <w:rFonts w:hint="eastAsia"/>
          <w:color w:val="auto"/>
          <w:sz w:val="24"/>
          <w:highlight w:val="none"/>
        </w:rPr>
        <w:t>，</w:t>
      </w:r>
      <w:r>
        <w:rPr>
          <w:rFonts w:hint="eastAsia" w:ascii="宋体" w:hAnsi="宋体"/>
          <w:color w:val="auto"/>
          <w:sz w:val="24"/>
          <w:highlight w:val="none"/>
        </w:rPr>
        <w:t>采购代理机构</w:t>
      </w:r>
      <w:r>
        <w:rPr>
          <w:rFonts w:hint="eastAsia"/>
          <w:color w:val="auto"/>
          <w:sz w:val="24"/>
          <w:highlight w:val="none"/>
        </w:rPr>
        <w:t>不承担责任。</w:t>
      </w:r>
    </w:p>
    <w:p w14:paraId="1AD00B14">
      <w:pPr>
        <w:numPr>
          <w:ilvl w:val="0"/>
          <w:numId w:val="0"/>
        </w:numPr>
        <w:tabs>
          <w:tab w:val="left" w:pos="525"/>
          <w:tab w:val="left" w:pos="567"/>
          <w:tab w:val="left" w:pos="630"/>
        </w:tabs>
        <w:spacing w:line="360" w:lineRule="auto"/>
        <w:ind w:leftChars="0"/>
        <w:outlineLvl w:val="3"/>
        <w:rPr>
          <w:rFonts w:ascii="宋体" w:hAnsi="宋体"/>
          <w:b/>
          <w:color w:val="auto"/>
          <w:sz w:val="24"/>
          <w:highlight w:val="none"/>
        </w:rPr>
      </w:pPr>
      <w:bookmarkStart w:id="62" w:name="_Toc264616639"/>
      <w:r>
        <w:rPr>
          <w:rFonts w:hint="eastAsia" w:ascii="宋体" w:hAnsi="宋体" w:cs="宋体"/>
          <w:b/>
          <w:color w:val="auto"/>
          <w:sz w:val="24"/>
          <w:highlight w:val="none"/>
          <w:lang w:eastAsia="zh-CN"/>
        </w:rPr>
        <w:t>招标文件</w:t>
      </w:r>
      <w:r>
        <w:rPr>
          <w:rFonts w:hint="eastAsia" w:ascii="宋体" w:hAnsi="宋体"/>
          <w:b/>
          <w:color w:val="auto"/>
          <w:sz w:val="24"/>
          <w:highlight w:val="none"/>
        </w:rPr>
        <w:t>的解释权</w:t>
      </w:r>
      <w:bookmarkEnd w:id="62"/>
    </w:p>
    <w:p w14:paraId="39E87C04">
      <w:pPr>
        <w:pStyle w:val="8"/>
        <w:keepNext w:val="0"/>
        <w:keepLines w:val="0"/>
        <w:pageBreakBefore w:val="0"/>
        <w:kinsoku/>
        <w:overflowPunct/>
        <w:topLinePunct w:val="0"/>
        <w:autoSpaceDE/>
        <w:autoSpaceDN/>
        <w:bidi w:val="0"/>
        <w:adjustRightInd/>
        <w:snapToGrid/>
        <w:spacing w:afterAutospacing="0" w:line="360" w:lineRule="auto"/>
        <w:ind w:left="0" w:leftChars="0" w:firstLine="480" w:firstLineChars="200"/>
        <w:textAlignment w:val="auto"/>
        <w:rPr>
          <w:rFonts w:ascii="宋体" w:hAnsi="宋体"/>
          <w:color w:val="auto"/>
          <w:sz w:val="24"/>
          <w:highlight w:val="none"/>
        </w:rPr>
      </w:pPr>
      <w:r>
        <w:rPr>
          <w:rFonts w:hint="eastAsia"/>
          <w:color w:val="auto"/>
          <w:sz w:val="24"/>
          <w:highlight w:val="none"/>
        </w:rPr>
        <w:t>本</w:t>
      </w:r>
      <w:r>
        <w:rPr>
          <w:rFonts w:hint="eastAsia" w:ascii="宋体" w:hAnsi="宋体" w:cs="宋体"/>
          <w:color w:val="auto"/>
          <w:sz w:val="24"/>
          <w:highlight w:val="none"/>
          <w:lang w:eastAsia="zh-CN"/>
        </w:rPr>
        <w:t>招标文件</w:t>
      </w:r>
      <w:r>
        <w:rPr>
          <w:rFonts w:hint="eastAsia"/>
          <w:color w:val="auto"/>
          <w:sz w:val="24"/>
          <w:highlight w:val="none"/>
        </w:rPr>
        <w:t>的解释权归“</w:t>
      </w:r>
      <w:r>
        <w:rPr>
          <w:rFonts w:hint="eastAsia" w:ascii="宋体" w:hAnsi="宋体" w:cs="宋体"/>
          <w:color w:val="auto"/>
          <w:kern w:val="0"/>
          <w:sz w:val="24"/>
          <w:szCs w:val="24"/>
          <w:highlight w:val="none"/>
          <w:lang w:eastAsia="zh-CN"/>
        </w:rPr>
        <w:t>新疆国腾工程项目管理咨询有限公司</w:t>
      </w:r>
      <w:r>
        <w:rPr>
          <w:rFonts w:hint="eastAsia"/>
          <w:color w:val="auto"/>
          <w:sz w:val="24"/>
          <w:highlight w:val="none"/>
        </w:rPr>
        <w:t>”所有。</w:t>
      </w:r>
    </w:p>
    <w:p w14:paraId="01F531F3">
      <w:pPr>
        <w:pStyle w:val="6"/>
        <w:numPr>
          <w:ilvl w:val="0"/>
          <w:numId w:val="4"/>
        </w:numPr>
        <w:tabs>
          <w:tab w:val="left" w:pos="425"/>
          <w:tab w:val="clear" w:pos="147"/>
        </w:tabs>
        <w:spacing w:before="0" w:beforeLines="0" w:beforeAutospacing="0" w:after="0" w:afterLines="0" w:afterAutospacing="0" w:line="360" w:lineRule="auto"/>
        <w:ind w:left="425"/>
        <w:rPr>
          <w:color w:val="auto"/>
          <w:highlight w:val="none"/>
        </w:rPr>
      </w:pPr>
      <w:bookmarkStart w:id="63" w:name="_Toc9666"/>
      <w:r>
        <w:rPr>
          <w:rFonts w:hint="eastAsia"/>
          <w:color w:val="auto"/>
          <w:highlight w:val="none"/>
          <w:lang w:val="en-US" w:eastAsia="zh-CN"/>
        </w:rPr>
        <w:t>招标</w:t>
      </w:r>
      <w:r>
        <w:rPr>
          <w:rFonts w:hint="eastAsia"/>
          <w:color w:val="auto"/>
          <w:highlight w:val="none"/>
          <w:lang w:eastAsia="zh-CN"/>
        </w:rPr>
        <w:t>文件</w:t>
      </w:r>
      <w:bookmarkEnd w:id="63"/>
    </w:p>
    <w:p w14:paraId="0D85D431">
      <w:pPr>
        <w:numPr>
          <w:ilvl w:val="1"/>
          <w:numId w:val="4"/>
        </w:numPr>
        <w:tabs>
          <w:tab w:val="left" w:pos="567"/>
          <w:tab w:val="clear" w:pos="289"/>
        </w:tabs>
        <w:spacing w:beforeAutospacing="0" w:line="360" w:lineRule="auto"/>
        <w:ind w:left="567"/>
        <w:outlineLvl w:val="3"/>
        <w:rPr>
          <w:rFonts w:ascii="宋体" w:hAnsi="宋体"/>
          <w:b/>
          <w:bCs/>
          <w:color w:val="auto"/>
          <w:highlight w:val="none"/>
        </w:rPr>
      </w:pPr>
      <w:r>
        <w:rPr>
          <w:rFonts w:hint="eastAsia" w:ascii="宋体" w:hAnsi="宋体"/>
          <w:b/>
          <w:bCs/>
          <w:color w:val="auto"/>
          <w:sz w:val="24"/>
          <w:highlight w:val="none"/>
          <w:lang w:val="en-US" w:eastAsia="zh-CN"/>
        </w:rPr>
        <w:t>招标</w:t>
      </w:r>
      <w:r>
        <w:rPr>
          <w:rFonts w:hint="eastAsia" w:ascii="宋体" w:hAnsi="宋体"/>
          <w:b/>
          <w:bCs/>
          <w:color w:val="auto"/>
          <w:sz w:val="24"/>
          <w:highlight w:val="none"/>
          <w:lang w:eastAsia="zh-CN"/>
        </w:rPr>
        <w:t>文件</w:t>
      </w:r>
      <w:r>
        <w:rPr>
          <w:rFonts w:hint="eastAsia" w:ascii="宋体" w:hAnsi="宋体"/>
          <w:b/>
          <w:bCs/>
          <w:color w:val="auto"/>
          <w:sz w:val="24"/>
          <w:highlight w:val="none"/>
        </w:rPr>
        <w:t>的组成</w:t>
      </w:r>
    </w:p>
    <w:p w14:paraId="41912C2E">
      <w:pPr>
        <w:spacing w:line="360" w:lineRule="auto"/>
        <w:ind w:left="1108" w:hanging="583"/>
        <w:rPr>
          <w:rFonts w:hint="eastAsia" w:ascii="宋体" w:hAnsi="宋体" w:eastAsia="宋体"/>
          <w:color w:val="auto"/>
          <w:sz w:val="24"/>
          <w:highlight w:val="none"/>
          <w:lang w:eastAsia="zh-CN"/>
        </w:rPr>
      </w:pPr>
      <w:r>
        <w:rPr>
          <w:rFonts w:hint="eastAsia" w:ascii="宋体" w:hAnsi="宋体"/>
          <w:color w:val="auto"/>
          <w:sz w:val="24"/>
          <w:highlight w:val="none"/>
        </w:rPr>
        <w:t>（1）</w:t>
      </w:r>
      <w:r>
        <w:rPr>
          <w:rFonts w:hint="eastAsia" w:ascii="宋体" w:hAnsi="宋体"/>
          <w:color w:val="auto"/>
          <w:sz w:val="24"/>
          <w:highlight w:val="none"/>
          <w:lang w:eastAsia="zh-CN"/>
        </w:rPr>
        <w:t>招标公告</w:t>
      </w:r>
    </w:p>
    <w:p w14:paraId="3D217887">
      <w:pPr>
        <w:spacing w:line="360" w:lineRule="auto"/>
        <w:ind w:left="1108" w:hanging="583"/>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eastAsia="zh-CN"/>
        </w:rPr>
        <w:t>供应商</w:t>
      </w:r>
      <w:r>
        <w:rPr>
          <w:rFonts w:hint="eastAsia" w:ascii="宋体" w:hAnsi="宋体"/>
          <w:color w:val="auto"/>
          <w:sz w:val="24"/>
          <w:highlight w:val="none"/>
        </w:rPr>
        <w:t>须知</w:t>
      </w:r>
    </w:p>
    <w:p w14:paraId="787ACCDC">
      <w:pPr>
        <w:spacing w:line="360" w:lineRule="auto"/>
        <w:ind w:left="1108" w:hanging="583"/>
        <w:rPr>
          <w:rFonts w:hint="eastAsia" w:ascii="宋体" w:hAnsi="宋体" w:eastAsia="宋体"/>
          <w:color w:val="auto"/>
          <w:sz w:val="24"/>
          <w:highlight w:val="none"/>
          <w:lang w:eastAsia="zh-CN"/>
        </w:rPr>
      </w:pPr>
      <w:r>
        <w:rPr>
          <w:rFonts w:hint="eastAsia" w:ascii="宋体" w:hAnsi="宋体"/>
          <w:color w:val="auto"/>
          <w:sz w:val="24"/>
          <w:highlight w:val="none"/>
        </w:rPr>
        <w:t>（3）</w:t>
      </w:r>
      <w:r>
        <w:rPr>
          <w:rFonts w:hint="eastAsia" w:ascii="宋体" w:hAnsi="宋体"/>
          <w:color w:val="auto"/>
          <w:sz w:val="24"/>
          <w:highlight w:val="none"/>
          <w:lang w:eastAsia="zh-CN"/>
        </w:rPr>
        <w:t>招标人需求</w:t>
      </w:r>
    </w:p>
    <w:p w14:paraId="74A34488">
      <w:pPr>
        <w:spacing w:line="360" w:lineRule="auto"/>
        <w:ind w:left="1108" w:hanging="583"/>
        <w:rPr>
          <w:rFonts w:ascii="宋体" w:hAnsi="宋体"/>
          <w:color w:val="auto"/>
          <w:sz w:val="24"/>
          <w:highlight w:val="none"/>
        </w:rPr>
      </w:pPr>
      <w:r>
        <w:rPr>
          <w:rFonts w:hint="eastAsia" w:ascii="宋体" w:hAnsi="宋体"/>
          <w:color w:val="auto"/>
          <w:sz w:val="24"/>
          <w:highlight w:val="none"/>
        </w:rPr>
        <w:t>（4）评标文件</w:t>
      </w:r>
    </w:p>
    <w:p w14:paraId="4EDEEEED">
      <w:pPr>
        <w:spacing w:line="360" w:lineRule="auto"/>
        <w:ind w:left="1108" w:hanging="583"/>
        <w:rPr>
          <w:rFonts w:ascii="宋体" w:hAnsi="宋体"/>
          <w:color w:val="auto"/>
          <w:sz w:val="24"/>
          <w:highlight w:val="none"/>
        </w:rPr>
      </w:pPr>
      <w:r>
        <w:rPr>
          <w:rFonts w:hint="eastAsia" w:ascii="宋体" w:hAnsi="宋体"/>
          <w:color w:val="auto"/>
          <w:sz w:val="24"/>
          <w:highlight w:val="none"/>
        </w:rPr>
        <w:t>（5）合同（样本）</w:t>
      </w:r>
    </w:p>
    <w:p w14:paraId="59287A4D">
      <w:pPr>
        <w:spacing w:line="360" w:lineRule="auto"/>
        <w:ind w:left="1108" w:hanging="583"/>
        <w:rPr>
          <w:rFonts w:ascii="宋体" w:hAnsi="宋体"/>
          <w:color w:val="auto"/>
          <w:sz w:val="24"/>
          <w:highlight w:val="none"/>
        </w:rPr>
      </w:pPr>
      <w:r>
        <w:rPr>
          <w:rFonts w:hint="eastAsia" w:ascii="宋体" w:hAnsi="宋体"/>
          <w:color w:val="auto"/>
          <w:sz w:val="24"/>
          <w:highlight w:val="none"/>
        </w:rPr>
        <w:t>（6）</w:t>
      </w:r>
      <w:r>
        <w:rPr>
          <w:rFonts w:hint="eastAsia" w:ascii="宋体" w:hAnsi="宋体"/>
          <w:color w:val="auto"/>
          <w:sz w:val="24"/>
          <w:highlight w:val="none"/>
          <w:lang w:eastAsia="zh-CN"/>
        </w:rPr>
        <w:t>响应文件</w:t>
      </w:r>
      <w:r>
        <w:rPr>
          <w:rFonts w:hint="eastAsia" w:ascii="宋体" w:hAnsi="宋体"/>
          <w:color w:val="auto"/>
          <w:sz w:val="24"/>
          <w:highlight w:val="none"/>
        </w:rPr>
        <w:t>格式</w:t>
      </w:r>
    </w:p>
    <w:p w14:paraId="0F30B700">
      <w:pPr>
        <w:spacing w:line="360" w:lineRule="auto"/>
        <w:ind w:left="1108" w:hanging="583"/>
        <w:rPr>
          <w:rFonts w:ascii="宋体" w:hAnsi="宋体"/>
          <w:color w:val="auto"/>
          <w:sz w:val="24"/>
          <w:highlight w:val="none"/>
        </w:rPr>
      </w:pPr>
      <w:r>
        <w:rPr>
          <w:rFonts w:hint="eastAsia" w:ascii="宋体" w:hAnsi="宋体"/>
          <w:color w:val="auto"/>
          <w:sz w:val="24"/>
          <w:highlight w:val="none"/>
        </w:rPr>
        <w:t>（7）根据</w:t>
      </w:r>
      <w:r>
        <w:rPr>
          <w:rFonts w:hint="eastAsia" w:ascii="宋体" w:hAnsi="宋体"/>
          <w:color w:val="auto"/>
          <w:sz w:val="24"/>
          <w:highlight w:val="none"/>
          <w:lang w:eastAsia="zh-CN"/>
        </w:rPr>
        <w:t>招标文件</w:t>
      </w:r>
      <w:r>
        <w:rPr>
          <w:rFonts w:hint="eastAsia" w:ascii="宋体" w:hAnsi="宋体"/>
          <w:color w:val="auto"/>
          <w:sz w:val="24"/>
          <w:highlight w:val="none"/>
        </w:rPr>
        <w:t>规定发出的澄清、修改及补充文件（如有）；</w:t>
      </w:r>
    </w:p>
    <w:p w14:paraId="5181AB42">
      <w:pPr>
        <w:numPr>
          <w:ilvl w:val="1"/>
          <w:numId w:val="4"/>
        </w:numPr>
        <w:tabs>
          <w:tab w:val="left" w:pos="567"/>
          <w:tab w:val="clear" w:pos="289"/>
        </w:tabs>
        <w:spacing w:line="360" w:lineRule="auto"/>
        <w:ind w:left="567"/>
        <w:outlineLvl w:val="3"/>
        <w:rPr>
          <w:rFonts w:ascii="宋体" w:hAnsi="宋体"/>
          <w:b/>
          <w:bCs/>
          <w:color w:val="auto"/>
          <w:highlight w:val="none"/>
        </w:rPr>
      </w:pPr>
      <w:r>
        <w:rPr>
          <w:rFonts w:hint="eastAsia" w:ascii="宋体" w:hAnsi="宋体"/>
          <w:b/>
          <w:bCs/>
          <w:color w:val="auto"/>
          <w:sz w:val="24"/>
          <w:highlight w:val="none"/>
          <w:lang w:val="en-US" w:eastAsia="zh-CN"/>
        </w:rPr>
        <w:t>招标</w:t>
      </w:r>
      <w:r>
        <w:rPr>
          <w:rFonts w:hint="eastAsia" w:ascii="宋体" w:hAnsi="宋体"/>
          <w:b/>
          <w:bCs/>
          <w:color w:val="auto"/>
          <w:sz w:val="24"/>
          <w:highlight w:val="none"/>
          <w:lang w:eastAsia="zh-CN"/>
        </w:rPr>
        <w:t>文件</w:t>
      </w:r>
      <w:r>
        <w:rPr>
          <w:rFonts w:hint="eastAsia" w:ascii="宋体" w:hAnsi="宋体"/>
          <w:b/>
          <w:bCs/>
          <w:color w:val="auto"/>
          <w:sz w:val="24"/>
          <w:highlight w:val="none"/>
        </w:rPr>
        <w:t>的澄清</w:t>
      </w:r>
      <w:r>
        <w:rPr>
          <w:rFonts w:hint="eastAsia" w:ascii="宋体" w:hAnsi="宋体"/>
          <w:b/>
          <w:bCs/>
          <w:color w:val="auto"/>
          <w:sz w:val="24"/>
          <w:highlight w:val="none"/>
          <w:lang w:val="en-US" w:eastAsia="zh-CN"/>
        </w:rPr>
        <w:t>和修改</w:t>
      </w:r>
    </w:p>
    <w:p w14:paraId="61C449B1">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val="en-US" w:eastAsia="zh-CN"/>
        </w:rPr>
        <w:t>招标</w:t>
      </w:r>
      <w:r>
        <w:rPr>
          <w:rFonts w:hint="eastAsia" w:ascii="宋体" w:hAnsi="宋体"/>
          <w:color w:val="auto"/>
          <w:sz w:val="24"/>
          <w:highlight w:val="none"/>
          <w:lang w:eastAsia="zh-CN"/>
        </w:rPr>
        <w:t>单位</w:t>
      </w:r>
      <w:r>
        <w:rPr>
          <w:rFonts w:hint="eastAsia" w:ascii="宋体" w:hAnsi="宋体"/>
          <w:color w:val="auto"/>
          <w:sz w:val="24"/>
          <w:highlight w:val="none"/>
        </w:rPr>
        <w:t>可以依法对招标文件进行澄清或者修改。</w:t>
      </w:r>
    </w:p>
    <w:p w14:paraId="27E33FD8">
      <w:pPr>
        <w:numPr>
          <w:ilvl w:val="2"/>
          <w:numId w:val="4"/>
        </w:numPr>
        <w:tabs>
          <w:tab w:val="left" w:pos="624"/>
          <w:tab w:val="left" w:pos="735"/>
          <w:tab w:val="left" w:pos="1254"/>
          <w:tab w:val="clear" w:pos="1050"/>
        </w:tabs>
        <w:spacing w:line="360" w:lineRule="auto"/>
        <w:ind w:left="735" w:hanging="735"/>
        <w:rPr>
          <w:rFonts w:hint="eastAsia" w:ascii="宋体" w:hAnsi="宋体" w:eastAsia="宋体" w:cs="Times New Roman"/>
          <w:color w:val="auto"/>
          <w:sz w:val="24"/>
          <w:highlight w:val="none"/>
        </w:rPr>
      </w:pPr>
      <w:r>
        <w:rPr>
          <w:rFonts w:hint="eastAsia" w:ascii="宋体" w:hAnsi="宋体" w:cs="Times New Roman"/>
          <w:color w:val="auto"/>
          <w:sz w:val="24"/>
          <w:highlight w:val="none"/>
          <w:lang w:val="en-US" w:eastAsia="zh-CN"/>
        </w:rPr>
        <w:t>招标</w:t>
      </w:r>
      <w:r>
        <w:rPr>
          <w:rFonts w:hint="eastAsia" w:ascii="宋体" w:hAnsi="宋体" w:eastAsia="宋体" w:cs="Times New Roman"/>
          <w:color w:val="auto"/>
          <w:sz w:val="24"/>
          <w:highlight w:val="none"/>
          <w:lang w:eastAsia="zh-CN"/>
        </w:rPr>
        <w:t>单位</w:t>
      </w:r>
      <w:r>
        <w:rPr>
          <w:rFonts w:hint="eastAsia" w:ascii="宋体" w:hAnsi="宋体" w:eastAsia="宋体" w:cs="Times New Roman"/>
          <w:color w:val="auto"/>
          <w:sz w:val="24"/>
          <w:highlight w:val="none"/>
        </w:rPr>
        <w:t>对已发出的招标文件进行澄清或者修改，应当以书面形式将澄清或者修改的内容通知所有购买了招标文件的</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w:t>
      </w:r>
      <w:r>
        <w:rPr>
          <w:rFonts w:hint="eastAsia" w:ascii="宋体" w:hAnsi="宋体" w:cs="Times New Roman"/>
          <w:color w:val="auto"/>
          <w:sz w:val="24"/>
          <w:highlight w:val="none"/>
          <w:lang w:eastAsia="zh-CN"/>
        </w:rPr>
        <w:t>或</w:t>
      </w:r>
      <w:r>
        <w:rPr>
          <w:rFonts w:hint="eastAsia" w:ascii="宋体" w:hAnsi="宋体" w:eastAsia="宋体" w:cs="Times New Roman"/>
          <w:color w:val="auto"/>
          <w:sz w:val="24"/>
          <w:highlight w:val="none"/>
        </w:rPr>
        <w:t>在</w:t>
      </w:r>
      <w:r>
        <w:rPr>
          <w:rFonts w:hint="eastAsia" w:ascii="宋体" w:hAnsi="宋体" w:eastAsia="宋体" w:cs="Times New Roman"/>
          <w:color w:val="auto"/>
          <w:sz w:val="24"/>
          <w:highlight w:val="none"/>
          <w:lang w:eastAsia="zh-CN"/>
        </w:rPr>
        <w:t>新疆政府采购网</w:t>
      </w:r>
      <w:r>
        <w:rPr>
          <w:rFonts w:hint="eastAsia" w:ascii="宋体" w:hAnsi="宋体" w:eastAsia="宋体" w:cs="Times New Roman"/>
          <w:color w:val="auto"/>
          <w:sz w:val="24"/>
          <w:highlight w:val="none"/>
        </w:rPr>
        <w:t>上发布更正公告。该澄清或者修改的内容为招标文件的组成部分，澄清或者修改的内容可能影响</w:t>
      </w:r>
      <w:r>
        <w:rPr>
          <w:rFonts w:hint="eastAsia" w:ascii="宋体" w:hAnsi="宋体" w:cs="Times New Roman"/>
          <w:color w:val="auto"/>
          <w:sz w:val="24"/>
          <w:highlight w:val="none"/>
          <w:lang w:eastAsia="zh-CN"/>
        </w:rPr>
        <w:t>响应文件</w:t>
      </w:r>
      <w:r>
        <w:rPr>
          <w:rFonts w:hint="eastAsia" w:ascii="宋体" w:hAnsi="宋体" w:eastAsia="宋体" w:cs="Times New Roman"/>
          <w:color w:val="auto"/>
          <w:sz w:val="24"/>
          <w:highlight w:val="none"/>
        </w:rPr>
        <w:t>、资格预审申请文件编制的，</w:t>
      </w:r>
      <w:r>
        <w:rPr>
          <w:rFonts w:hint="eastAsia" w:ascii="宋体" w:hAnsi="宋体" w:cs="Times New Roman"/>
          <w:color w:val="auto"/>
          <w:sz w:val="24"/>
          <w:highlight w:val="none"/>
          <w:lang w:eastAsia="zh-CN"/>
        </w:rPr>
        <w:t>招标人</w:t>
      </w:r>
      <w:r>
        <w:rPr>
          <w:rFonts w:hint="eastAsia" w:ascii="宋体" w:hAnsi="宋体" w:eastAsia="宋体" w:cs="Times New Roman"/>
          <w:color w:val="auto"/>
          <w:sz w:val="24"/>
          <w:highlight w:val="none"/>
        </w:rPr>
        <w:t>或者采购代理机构发布公告</w:t>
      </w:r>
      <w:r>
        <w:rPr>
          <w:rFonts w:hint="eastAsia" w:ascii="宋体" w:hAnsi="宋体" w:cs="Times New Roman"/>
          <w:color w:val="auto"/>
          <w:sz w:val="24"/>
          <w:highlight w:val="none"/>
          <w:lang w:eastAsia="zh-CN"/>
        </w:rPr>
        <w:t>或</w:t>
      </w:r>
      <w:r>
        <w:rPr>
          <w:rFonts w:hint="eastAsia" w:ascii="宋体" w:hAnsi="宋体" w:eastAsia="宋体" w:cs="Times New Roman"/>
          <w:color w:val="auto"/>
          <w:sz w:val="24"/>
          <w:highlight w:val="none"/>
        </w:rPr>
        <w:t>书面通知</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的时间，应当在投标截止时间至少15日前、提交资格预审申请文件截止时间至少3日前；不足上述时间的，应当顺延提交</w:t>
      </w:r>
      <w:r>
        <w:rPr>
          <w:rFonts w:hint="eastAsia" w:ascii="宋体" w:hAnsi="宋体" w:cs="Times New Roman"/>
          <w:color w:val="auto"/>
          <w:sz w:val="24"/>
          <w:highlight w:val="none"/>
          <w:lang w:eastAsia="zh-CN"/>
        </w:rPr>
        <w:t>响应文件</w:t>
      </w:r>
      <w:r>
        <w:rPr>
          <w:rFonts w:hint="eastAsia" w:ascii="宋体" w:hAnsi="宋体" w:eastAsia="宋体" w:cs="Times New Roman"/>
          <w:color w:val="auto"/>
          <w:sz w:val="24"/>
          <w:highlight w:val="none"/>
        </w:rPr>
        <w:t>、资格预审申请文件的截止时间。</w:t>
      </w:r>
    </w:p>
    <w:p w14:paraId="3D9C63D5">
      <w:pPr>
        <w:numPr>
          <w:ilvl w:val="2"/>
          <w:numId w:val="4"/>
        </w:numPr>
        <w:tabs>
          <w:tab w:val="left" w:pos="624"/>
          <w:tab w:val="left" w:pos="735"/>
          <w:tab w:val="left" w:pos="1254"/>
          <w:tab w:val="clear" w:pos="1050"/>
        </w:tabs>
        <w:spacing w:line="360" w:lineRule="auto"/>
        <w:ind w:left="735" w:hanging="735"/>
        <w:rPr>
          <w:rFonts w:hint="eastAsia" w:ascii="宋体" w:hAnsi="宋体" w:eastAsia="宋体" w:cs="Times New Roman"/>
          <w:color w:val="auto"/>
          <w:sz w:val="24"/>
          <w:highlight w:val="none"/>
        </w:rPr>
      </w:pP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应于</w:t>
      </w:r>
      <w:r>
        <w:rPr>
          <w:rFonts w:hint="eastAsia" w:ascii="宋体" w:hAnsi="宋体" w:cs="Times New Roman"/>
          <w:color w:val="auto"/>
          <w:sz w:val="24"/>
          <w:highlight w:val="none"/>
          <w:lang w:eastAsia="zh-CN"/>
        </w:rPr>
        <w:t>响应文件</w:t>
      </w:r>
      <w:r>
        <w:rPr>
          <w:rFonts w:hint="eastAsia" w:ascii="宋体" w:hAnsi="宋体" w:eastAsia="宋体" w:cs="Times New Roman"/>
          <w:color w:val="auto"/>
          <w:sz w:val="24"/>
          <w:highlight w:val="none"/>
        </w:rPr>
        <w:t>递交截止时间之前在</w:t>
      </w:r>
      <w:r>
        <w:rPr>
          <w:rFonts w:hint="eastAsia" w:ascii="宋体" w:hAnsi="宋体" w:eastAsia="宋体" w:cs="Times New Roman"/>
          <w:color w:val="auto"/>
          <w:sz w:val="24"/>
          <w:highlight w:val="none"/>
          <w:lang w:eastAsia="zh-CN"/>
        </w:rPr>
        <w:t>新疆政府采购网</w:t>
      </w:r>
      <w:r>
        <w:rPr>
          <w:rFonts w:hint="eastAsia" w:ascii="宋体" w:hAnsi="宋体" w:eastAsia="宋体" w:cs="Times New Roman"/>
          <w:color w:val="auto"/>
          <w:sz w:val="24"/>
          <w:highlight w:val="none"/>
        </w:rPr>
        <w:t>查询本项目的更正公告，以保证其对招标文件做出正确的响应。</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未按要求下载相关文件，或由于未及时关注更正公告的信息造成的后果，其责任由</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自行负责。</w:t>
      </w:r>
    </w:p>
    <w:p w14:paraId="1470BEAC">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认为需要对招标文件进行澄清或者修改的，可以书面形式向</w:t>
      </w:r>
      <w:r>
        <w:rPr>
          <w:rFonts w:hint="eastAsia" w:ascii="宋体" w:hAnsi="宋体" w:cs="Times New Roman"/>
          <w:color w:val="auto"/>
          <w:sz w:val="24"/>
          <w:highlight w:val="none"/>
          <w:lang w:val="en-US" w:eastAsia="zh-CN"/>
        </w:rPr>
        <w:t>招标</w:t>
      </w:r>
      <w:r>
        <w:rPr>
          <w:rFonts w:hint="eastAsia" w:ascii="宋体" w:hAnsi="宋体" w:eastAsia="宋体" w:cs="Times New Roman"/>
          <w:color w:val="auto"/>
          <w:sz w:val="24"/>
          <w:highlight w:val="none"/>
          <w:lang w:eastAsia="zh-CN"/>
        </w:rPr>
        <w:t>单位</w:t>
      </w:r>
      <w:r>
        <w:rPr>
          <w:rFonts w:hint="eastAsia" w:ascii="宋体" w:hAnsi="宋体" w:eastAsia="宋体" w:cs="Times New Roman"/>
          <w:color w:val="auto"/>
          <w:sz w:val="24"/>
          <w:highlight w:val="none"/>
        </w:rPr>
        <w:t>提出申请，但</w:t>
      </w:r>
      <w:r>
        <w:rPr>
          <w:rFonts w:hint="eastAsia" w:ascii="宋体" w:hAnsi="宋体" w:cs="Times New Roman"/>
          <w:color w:val="auto"/>
          <w:sz w:val="24"/>
          <w:highlight w:val="none"/>
          <w:lang w:val="en-US" w:eastAsia="zh-CN"/>
        </w:rPr>
        <w:t>招标</w:t>
      </w:r>
      <w:r>
        <w:rPr>
          <w:rFonts w:hint="eastAsia" w:ascii="宋体" w:hAnsi="宋体" w:eastAsia="宋体" w:cs="Times New Roman"/>
          <w:color w:val="auto"/>
          <w:sz w:val="24"/>
          <w:highlight w:val="none"/>
          <w:lang w:eastAsia="zh-CN"/>
        </w:rPr>
        <w:t>单位</w:t>
      </w:r>
      <w:r>
        <w:rPr>
          <w:rFonts w:hint="eastAsia" w:ascii="宋体" w:hAnsi="宋体" w:eastAsia="宋体" w:cs="Times New Roman"/>
          <w:color w:val="auto"/>
          <w:sz w:val="24"/>
          <w:highlight w:val="none"/>
        </w:rPr>
        <w:t>可以决定是否采纳</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的申请事项。</w:t>
      </w:r>
    </w:p>
    <w:p w14:paraId="1394D590">
      <w:pPr>
        <w:pStyle w:val="6"/>
        <w:numPr>
          <w:ilvl w:val="0"/>
          <w:numId w:val="4"/>
        </w:numPr>
        <w:tabs>
          <w:tab w:val="left" w:pos="425"/>
          <w:tab w:val="clear" w:pos="147"/>
        </w:tabs>
        <w:spacing w:before="0" w:beforeLines="0" w:beforeAutospacing="0" w:after="0" w:afterLines="0" w:afterAutospacing="0" w:line="360" w:lineRule="auto"/>
        <w:ind w:left="425"/>
        <w:rPr>
          <w:color w:val="auto"/>
          <w:highlight w:val="none"/>
        </w:rPr>
      </w:pPr>
      <w:bookmarkStart w:id="64" w:name="_Toc49135197"/>
      <w:bookmarkStart w:id="65" w:name="_Toc49082411"/>
      <w:r>
        <w:rPr>
          <w:rFonts w:hint="eastAsia"/>
          <w:color w:val="auto"/>
          <w:highlight w:val="none"/>
          <w:lang w:eastAsia="zh-CN"/>
        </w:rPr>
        <w:t>响应文件</w:t>
      </w:r>
    </w:p>
    <w:p w14:paraId="08B9E3B3">
      <w:pPr>
        <w:numPr>
          <w:ilvl w:val="1"/>
          <w:numId w:val="4"/>
        </w:numPr>
        <w:tabs>
          <w:tab w:val="left" w:pos="567"/>
          <w:tab w:val="clear" w:pos="289"/>
        </w:tabs>
        <w:spacing w:beforeAutospacing="0" w:line="360" w:lineRule="auto"/>
        <w:ind w:left="567"/>
        <w:outlineLvl w:val="3"/>
        <w:rPr>
          <w:rFonts w:ascii="宋体" w:hAnsi="宋体"/>
          <w:b/>
          <w:bCs/>
          <w:color w:val="auto"/>
          <w:highlight w:val="none"/>
        </w:rPr>
      </w:pPr>
      <w:r>
        <w:rPr>
          <w:rFonts w:hint="eastAsia" w:ascii="宋体" w:hAnsi="宋体"/>
          <w:b/>
          <w:bCs/>
          <w:color w:val="auto"/>
          <w:sz w:val="24"/>
          <w:highlight w:val="none"/>
          <w:lang w:eastAsia="zh-CN"/>
        </w:rPr>
        <w:t>响应文件</w:t>
      </w:r>
      <w:r>
        <w:rPr>
          <w:rFonts w:hint="eastAsia" w:ascii="宋体" w:hAnsi="宋体"/>
          <w:b/>
          <w:bCs/>
          <w:color w:val="auto"/>
          <w:sz w:val="24"/>
          <w:highlight w:val="none"/>
        </w:rPr>
        <w:t>的编写</w:t>
      </w:r>
      <w:r>
        <w:rPr>
          <w:rFonts w:hint="eastAsia" w:ascii="宋体" w:hAnsi="宋体"/>
          <w:b/>
          <w:bCs/>
          <w:color w:val="auto"/>
          <w:sz w:val="24"/>
          <w:szCs w:val="24"/>
          <w:highlight w:val="none"/>
        </w:rPr>
        <w:t>（实质性要求）</w:t>
      </w:r>
    </w:p>
    <w:p w14:paraId="6972C57A">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应仔细阅读</w:t>
      </w:r>
      <w:r>
        <w:rPr>
          <w:rFonts w:hint="eastAsia" w:ascii="宋体" w:hAnsi="宋体"/>
          <w:color w:val="auto"/>
          <w:sz w:val="24"/>
          <w:highlight w:val="none"/>
          <w:lang w:eastAsia="zh-CN"/>
        </w:rPr>
        <w:t>招标文件</w:t>
      </w:r>
      <w:r>
        <w:rPr>
          <w:rFonts w:hint="eastAsia" w:ascii="宋体" w:hAnsi="宋体"/>
          <w:color w:val="auto"/>
          <w:sz w:val="24"/>
          <w:highlight w:val="none"/>
        </w:rPr>
        <w:t>的所有内容，</w:t>
      </w:r>
      <w:r>
        <w:rPr>
          <w:rFonts w:hint="eastAsia" w:ascii="宋体" w:hAnsi="宋体"/>
          <w:bCs/>
          <w:color w:val="auto"/>
          <w:sz w:val="24"/>
          <w:highlight w:val="none"/>
        </w:rPr>
        <w:t>按</w:t>
      </w:r>
      <w:r>
        <w:rPr>
          <w:rFonts w:hint="eastAsia" w:ascii="宋体" w:hAnsi="宋体"/>
          <w:bCs/>
          <w:color w:val="auto"/>
          <w:sz w:val="24"/>
          <w:highlight w:val="none"/>
          <w:lang w:eastAsia="zh-CN"/>
        </w:rPr>
        <w:t>招标文件</w:t>
      </w:r>
      <w:r>
        <w:rPr>
          <w:rFonts w:hint="eastAsia" w:ascii="宋体" w:hAnsi="宋体"/>
          <w:bCs/>
          <w:color w:val="auto"/>
          <w:sz w:val="24"/>
          <w:highlight w:val="none"/>
        </w:rPr>
        <w:t>的要求制作并递交</w:t>
      </w:r>
      <w:r>
        <w:rPr>
          <w:rFonts w:hint="eastAsia" w:ascii="宋体" w:hAnsi="宋体"/>
          <w:bCs/>
          <w:color w:val="auto"/>
          <w:sz w:val="24"/>
          <w:highlight w:val="none"/>
          <w:lang w:eastAsia="zh-CN"/>
        </w:rPr>
        <w:t>响应文件</w:t>
      </w:r>
      <w:r>
        <w:rPr>
          <w:rFonts w:hint="eastAsia" w:ascii="宋体" w:hAnsi="宋体"/>
          <w:bCs/>
          <w:color w:val="auto"/>
          <w:sz w:val="24"/>
          <w:highlight w:val="none"/>
        </w:rPr>
        <w:t>，并保证所提供的全部资料的真实性、准确性，以确保其投标对</w:t>
      </w:r>
      <w:r>
        <w:rPr>
          <w:rFonts w:hint="eastAsia" w:ascii="宋体" w:hAnsi="宋体"/>
          <w:bCs/>
          <w:color w:val="auto"/>
          <w:sz w:val="24"/>
          <w:highlight w:val="none"/>
          <w:lang w:eastAsia="zh-CN"/>
        </w:rPr>
        <w:t>招标文件</w:t>
      </w:r>
      <w:r>
        <w:rPr>
          <w:rFonts w:hint="eastAsia" w:ascii="宋体" w:hAnsi="宋体"/>
          <w:bCs/>
          <w:color w:val="auto"/>
          <w:sz w:val="24"/>
          <w:highlight w:val="none"/>
        </w:rPr>
        <w:t>做出实质性响应；否则，将拒绝其投标。</w:t>
      </w:r>
      <w:r>
        <w:rPr>
          <w:rFonts w:hint="eastAsia" w:ascii="宋体" w:hAnsi="宋体"/>
          <w:bCs/>
          <w:color w:val="auto"/>
          <w:sz w:val="24"/>
          <w:highlight w:val="none"/>
          <w:lang w:eastAsia="zh-CN"/>
        </w:rPr>
        <w:t>供应商</w:t>
      </w:r>
      <w:r>
        <w:rPr>
          <w:rFonts w:hint="eastAsia" w:ascii="宋体" w:hAnsi="宋体"/>
          <w:bCs/>
          <w:color w:val="auto"/>
          <w:sz w:val="24"/>
          <w:highlight w:val="none"/>
        </w:rPr>
        <w:t>在投标中提供不真实的材料，无论其材料是否重要，都将直接导致</w:t>
      </w:r>
      <w:r>
        <w:rPr>
          <w:rFonts w:hint="eastAsia" w:ascii="宋体" w:hAnsi="宋体"/>
          <w:bCs/>
          <w:color w:val="auto"/>
          <w:sz w:val="24"/>
          <w:highlight w:val="none"/>
          <w:lang w:eastAsia="zh-CN"/>
        </w:rPr>
        <w:t>响应文件</w:t>
      </w:r>
      <w:r>
        <w:rPr>
          <w:rFonts w:hint="eastAsia" w:ascii="宋体" w:hAnsi="宋体"/>
          <w:bCs/>
          <w:color w:val="auto"/>
          <w:sz w:val="24"/>
          <w:highlight w:val="none"/>
        </w:rPr>
        <w:t>无效，并承担由此产生的法律责任。</w:t>
      </w:r>
    </w:p>
    <w:p w14:paraId="209AD990">
      <w:pPr>
        <w:numPr>
          <w:ilvl w:val="2"/>
          <w:numId w:val="4"/>
        </w:numPr>
        <w:tabs>
          <w:tab w:val="left" w:pos="624"/>
          <w:tab w:val="left" w:pos="735"/>
          <w:tab w:val="left" w:pos="1254"/>
          <w:tab w:val="clear" w:pos="1050"/>
        </w:tabs>
        <w:spacing w:line="360" w:lineRule="auto"/>
        <w:ind w:left="735" w:hanging="735"/>
        <w:rPr>
          <w:rFonts w:ascii="宋体" w:hAnsi="宋体"/>
          <w:b/>
          <w:bCs/>
          <w:color w:val="auto"/>
          <w:sz w:val="24"/>
          <w:highlight w:val="none"/>
        </w:rPr>
      </w:pPr>
      <w:r>
        <w:rPr>
          <w:rFonts w:hint="eastAsia" w:ascii="宋体" w:hAnsi="宋体"/>
          <w:color w:val="auto"/>
          <w:sz w:val="24"/>
          <w:highlight w:val="none"/>
        </w:rPr>
        <w:t>投标语言和计量单位</w:t>
      </w:r>
    </w:p>
    <w:p w14:paraId="3569C020">
      <w:pPr>
        <w:spacing w:line="360" w:lineRule="auto"/>
        <w:ind w:left="718" w:leftChars="342"/>
        <w:rPr>
          <w:rFonts w:ascii="宋体" w:hAnsi="宋体"/>
          <w:color w:val="auto"/>
          <w:sz w:val="24"/>
          <w:highlight w:val="none"/>
        </w:rPr>
      </w:pPr>
      <w:r>
        <w:rPr>
          <w:rFonts w:hint="eastAsia" w:ascii="宋体" w:hAnsi="宋体"/>
          <w:color w:val="auto"/>
          <w:sz w:val="24"/>
          <w:highlight w:val="none"/>
          <w:lang w:eastAsia="zh-CN"/>
        </w:rPr>
        <w:t>响应文件</w:t>
      </w:r>
      <w:r>
        <w:rPr>
          <w:rFonts w:hint="eastAsia" w:ascii="宋体" w:hAnsi="宋体"/>
          <w:color w:val="auto"/>
          <w:sz w:val="24"/>
          <w:highlight w:val="none"/>
        </w:rPr>
        <w:t>和来往函件应用中文书写，</w:t>
      </w:r>
      <w:r>
        <w:rPr>
          <w:rFonts w:hint="eastAsia" w:ascii="宋体" w:hAnsi="宋体"/>
          <w:color w:val="auto"/>
          <w:sz w:val="24"/>
          <w:highlight w:val="none"/>
          <w:lang w:eastAsia="zh-CN"/>
        </w:rPr>
        <w:t>供应商</w:t>
      </w:r>
      <w:r>
        <w:rPr>
          <w:rFonts w:hint="eastAsia" w:ascii="宋体" w:hAnsi="宋体"/>
          <w:color w:val="auto"/>
          <w:sz w:val="24"/>
          <w:highlight w:val="none"/>
        </w:rPr>
        <w:t>提供的支持文件、技术资料和印刷的文献可以用其它语言，但相应内容应附有中文翻译本（经公证处公证），以中文为准，计量单位应使用国际公制单位。</w:t>
      </w:r>
    </w:p>
    <w:p w14:paraId="0FC75891">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必须以</w:t>
      </w:r>
      <w:r>
        <w:rPr>
          <w:rFonts w:hint="eastAsia" w:ascii="宋体" w:hAnsi="宋体"/>
          <w:color w:val="auto"/>
          <w:sz w:val="24"/>
          <w:highlight w:val="none"/>
          <w:lang w:eastAsia="zh-CN"/>
        </w:rPr>
        <w:t>人民币</w:t>
      </w:r>
      <w:r>
        <w:rPr>
          <w:rFonts w:hint="eastAsia" w:ascii="宋体" w:hAnsi="宋体"/>
          <w:color w:val="auto"/>
          <w:sz w:val="24"/>
          <w:highlight w:val="none"/>
        </w:rPr>
        <w:t>报价，并保留小数点后两位。</w:t>
      </w:r>
      <w:r>
        <w:rPr>
          <w:rFonts w:hint="eastAsia" w:ascii="宋体" w:hAnsi="宋体"/>
          <w:color w:val="auto"/>
          <w:sz w:val="24"/>
          <w:highlight w:val="none"/>
          <w:lang w:eastAsia="zh-CN"/>
        </w:rPr>
        <w:t>响应文件</w:t>
      </w:r>
      <w:r>
        <w:rPr>
          <w:rFonts w:hint="eastAsia" w:ascii="宋体" w:hAnsi="宋体"/>
          <w:color w:val="auto"/>
          <w:sz w:val="24"/>
          <w:highlight w:val="none"/>
        </w:rPr>
        <w:t>中开标一览表内容与</w:t>
      </w:r>
      <w:r>
        <w:rPr>
          <w:rFonts w:hint="eastAsia" w:ascii="宋体" w:hAnsi="宋体"/>
          <w:color w:val="auto"/>
          <w:sz w:val="24"/>
          <w:highlight w:val="none"/>
          <w:lang w:eastAsia="zh-CN"/>
        </w:rPr>
        <w:t>响应文件</w:t>
      </w:r>
      <w:r>
        <w:rPr>
          <w:rFonts w:hint="eastAsia" w:ascii="宋体" w:hAnsi="宋体"/>
          <w:color w:val="auto"/>
          <w:sz w:val="24"/>
          <w:highlight w:val="none"/>
        </w:rPr>
        <w:t>中相应内容不一致的，以开标一览表为准；</w:t>
      </w:r>
      <w:r>
        <w:rPr>
          <w:rFonts w:hint="eastAsia" w:ascii="宋体" w:hAnsi="宋体"/>
          <w:color w:val="auto"/>
          <w:sz w:val="24"/>
          <w:highlight w:val="none"/>
          <w:lang w:eastAsia="zh-CN"/>
        </w:rPr>
        <w:t>响应文件</w:t>
      </w:r>
      <w:r>
        <w:rPr>
          <w:rFonts w:hint="eastAsia" w:ascii="宋体" w:hAnsi="宋体"/>
          <w:color w:val="auto"/>
          <w:sz w:val="24"/>
          <w:highlight w:val="none"/>
        </w:rPr>
        <w:t>中的大写金额和小写金额不一致的，以大写金额为准；单价金额小数点或者百分比有明显错位的，以开标一览表为准，并修改单价；总价金额与单价金额和数量乘积不一致的，以单价金额计算结果为准；对不同文字文本</w:t>
      </w:r>
      <w:r>
        <w:rPr>
          <w:rFonts w:hint="eastAsia" w:ascii="宋体" w:hAnsi="宋体"/>
          <w:color w:val="auto"/>
          <w:sz w:val="24"/>
          <w:highlight w:val="none"/>
          <w:lang w:eastAsia="zh-CN"/>
        </w:rPr>
        <w:t>响应文件</w:t>
      </w:r>
      <w:r>
        <w:rPr>
          <w:rFonts w:hint="eastAsia" w:ascii="宋体" w:hAnsi="宋体"/>
          <w:color w:val="auto"/>
          <w:sz w:val="24"/>
          <w:highlight w:val="none"/>
        </w:rPr>
        <w:t>的解释发生异议的，以中文文本为准。</w:t>
      </w:r>
    </w:p>
    <w:p w14:paraId="2EA0EDBD">
      <w:pPr>
        <w:numPr>
          <w:ilvl w:val="1"/>
          <w:numId w:val="4"/>
        </w:numPr>
        <w:tabs>
          <w:tab w:val="left" w:pos="567"/>
          <w:tab w:val="clear" w:pos="289"/>
        </w:tabs>
        <w:spacing w:line="360" w:lineRule="auto"/>
        <w:ind w:left="567"/>
        <w:outlineLvl w:val="3"/>
        <w:rPr>
          <w:rFonts w:ascii="宋体" w:hAnsi="宋体"/>
          <w:b/>
          <w:bCs/>
          <w:color w:val="auto"/>
          <w:sz w:val="24"/>
          <w:highlight w:val="none"/>
        </w:rPr>
      </w:pPr>
      <w:r>
        <w:rPr>
          <w:rFonts w:hint="eastAsia" w:ascii="宋体" w:hAnsi="宋体"/>
          <w:b/>
          <w:bCs/>
          <w:color w:val="auto"/>
          <w:sz w:val="24"/>
          <w:highlight w:val="none"/>
          <w:lang w:eastAsia="zh-CN"/>
        </w:rPr>
        <w:t>响应文件</w:t>
      </w:r>
      <w:r>
        <w:rPr>
          <w:rFonts w:hint="eastAsia" w:ascii="宋体" w:hAnsi="宋体"/>
          <w:b/>
          <w:bCs/>
          <w:color w:val="auto"/>
          <w:sz w:val="24"/>
          <w:highlight w:val="none"/>
        </w:rPr>
        <w:t>的组成</w:t>
      </w:r>
    </w:p>
    <w:p w14:paraId="3AFFFBF0">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准备的</w:t>
      </w:r>
      <w:r>
        <w:rPr>
          <w:rFonts w:hint="eastAsia" w:ascii="宋体" w:hAnsi="宋体"/>
          <w:color w:val="auto"/>
          <w:sz w:val="24"/>
          <w:highlight w:val="none"/>
          <w:lang w:eastAsia="zh-CN"/>
        </w:rPr>
        <w:t>响应文件</w:t>
      </w:r>
      <w:r>
        <w:rPr>
          <w:rFonts w:hint="eastAsia" w:ascii="宋体" w:hAnsi="宋体"/>
          <w:color w:val="auto"/>
          <w:sz w:val="24"/>
          <w:highlight w:val="none"/>
        </w:rPr>
        <w:t xml:space="preserve">应包括《第六章 </w:t>
      </w:r>
      <w:r>
        <w:rPr>
          <w:rFonts w:hint="eastAsia" w:ascii="宋体" w:hAnsi="宋体"/>
          <w:color w:val="auto"/>
          <w:sz w:val="24"/>
          <w:highlight w:val="none"/>
          <w:lang w:eastAsia="zh-CN"/>
        </w:rPr>
        <w:t>响应文件</w:t>
      </w:r>
      <w:r>
        <w:rPr>
          <w:rFonts w:hint="eastAsia" w:ascii="宋体" w:hAnsi="宋体"/>
          <w:color w:val="auto"/>
          <w:sz w:val="24"/>
          <w:highlight w:val="none"/>
        </w:rPr>
        <w:t>格式》。</w:t>
      </w:r>
    </w:p>
    <w:p w14:paraId="380419C5">
      <w:pPr>
        <w:numPr>
          <w:ilvl w:val="2"/>
          <w:numId w:val="4"/>
        </w:numPr>
        <w:tabs>
          <w:tab w:val="left" w:pos="624"/>
          <w:tab w:val="left" w:pos="735"/>
          <w:tab w:val="left" w:pos="1254"/>
          <w:tab w:val="clear" w:pos="1050"/>
        </w:tabs>
        <w:spacing w:line="360" w:lineRule="auto"/>
        <w:ind w:left="735" w:hanging="735"/>
        <w:rPr>
          <w:rFonts w:hint="eastAsia" w:ascii="宋体" w:hAnsi="宋体"/>
          <w:color w:val="auto"/>
          <w:sz w:val="24"/>
          <w:highlight w:val="none"/>
          <w:u w:val="double"/>
        </w:rPr>
      </w:pPr>
      <w:r>
        <w:rPr>
          <w:rFonts w:hint="eastAsia" w:ascii="宋体" w:hAnsi="宋体"/>
          <w:b/>
          <w:color w:val="auto"/>
          <w:sz w:val="24"/>
          <w:highlight w:val="none"/>
          <w:u w:val="double"/>
          <w:lang w:eastAsia="zh-CN"/>
        </w:rPr>
        <w:t>供应商</w:t>
      </w:r>
      <w:r>
        <w:rPr>
          <w:rFonts w:hint="eastAsia" w:ascii="宋体" w:hAnsi="宋体"/>
          <w:b/>
          <w:color w:val="auto"/>
          <w:sz w:val="24"/>
          <w:highlight w:val="none"/>
          <w:u w:val="double"/>
        </w:rPr>
        <w:t>必须</w:t>
      </w:r>
      <w:r>
        <w:rPr>
          <w:rFonts w:hint="eastAsia" w:ascii="宋体" w:hAnsi="宋体"/>
          <w:b/>
          <w:color w:val="auto"/>
          <w:sz w:val="24"/>
          <w:highlight w:val="none"/>
          <w:u w:val="double"/>
          <w:lang w:eastAsia="zh-CN"/>
        </w:rPr>
        <w:t>响应招标文件的要求，在政采云供应商客户端</w:t>
      </w:r>
      <w:r>
        <w:rPr>
          <w:rFonts w:hint="eastAsia" w:ascii="宋体" w:hAnsi="宋体"/>
          <w:b/>
          <w:color w:val="auto"/>
          <w:sz w:val="24"/>
          <w:highlight w:val="none"/>
          <w:u w:val="double"/>
        </w:rPr>
        <w:t>编制完整的</w:t>
      </w:r>
      <w:r>
        <w:rPr>
          <w:rFonts w:hint="eastAsia" w:ascii="宋体" w:hAnsi="宋体"/>
          <w:b/>
          <w:color w:val="auto"/>
          <w:sz w:val="24"/>
          <w:highlight w:val="none"/>
          <w:u w:val="double"/>
          <w:lang w:eastAsia="zh-CN"/>
        </w:rPr>
        <w:t>响应文件并在规定的时间内投标，响应文件含有多个组成部分，供应商须对每个部分进行响应。</w:t>
      </w:r>
    </w:p>
    <w:p w14:paraId="557165D7">
      <w:pPr>
        <w:numPr>
          <w:ilvl w:val="2"/>
          <w:numId w:val="4"/>
        </w:numPr>
        <w:tabs>
          <w:tab w:val="left" w:pos="624"/>
          <w:tab w:val="left" w:pos="735"/>
          <w:tab w:val="left" w:pos="1254"/>
          <w:tab w:val="clear" w:pos="1050"/>
        </w:tabs>
        <w:spacing w:line="360" w:lineRule="auto"/>
        <w:ind w:left="735" w:hanging="735"/>
        <w:rPr>
          <w:rFonts w:hint="eastAsia" w:ascii="宋体" w:hAnsi="宋体"/>
          <w:color w:val="auto"/>
          <w:sz w:val="24"/>
          <w:highlight w:val="none"/>
          <w:u w:val="none"/>
        </w:rPr>
      </w:pPr>
      <w:r>
        <w:rPr>
          <w:rFonts w:hint="eastAsia" w:ascii="宋体" w:hAnsi="宋体"/>
          <w:color w:val="auto"/>
          <w:sz w:val="24"/>
          <w:highlight w:val="none"/>
          <w:lang w:eastAsia="zh-CN"/>
        </w:rPr>
        <w:t>供应商</w:t>
      </w:r>
      <w:r>
        <w:rPr>
          <w:rFonts w:hint="eastAsia" w:ascii="宋体" w:hAnsi="宋体"/>
          <w:color w:val="auto"/>
          <w:sz w:val="24"/>
          <w:highlight w:val="none"/>
        </w:rPr>
        <w:t>必须自行承担因其</w:t>
      </w:r>
      <w:r>
        <w:rPr>
          <w:rFonts w:hint="eastAsia" w:ascii="宋体" w:hAnsi="宋体"/>
          <w:color w:val="auto"/>
          <w:sz w:val="24"/>
          <w:highlight w:val="none"/>
          <w:lang w:eastAsia="zh-CN"/>
        </w:rPr>
        <w:t>响应文件</w:t>
      </w:r>
      <w:r>
        <w:rPr>
          <w:rFonts w:hint="eastAsia" w:ascii="宋体" w:hAnsi="宋体"/>
          <w:color w:val="auto"/>
          <w:sz w:val="24"/>
          <w:highlight w:val="none"/>
        </w:rPr>
        <w:t>的任何错漏而导致的一切后果</w:t>
      </w:r>
      <w:r>
        <w:rPr>
          <w:rFonts w:hint="eastAsia" w:ascii="宋体" w:hAnsi="宋体"/>
          <w:b/>
          <w:color w:val="auto"/>
          <w:sz w:val="24"/>
          <w:highlight w:val="none"/>
          <w:u w:val="none"/>
        </w:rPr>
        <w:t>。</w:t>
      </w:r>
    </w:p>
    <w:p w14:paraId="4B7AFB2F">
      <w:pPr>
        <w:numPr>
          <w:ilvl w:val="1"/>
          <w:numId w:val="4"/>
        </w:numPr>
        <w:tabs>
          <w:tab w:val="left" w:pos="567"/>
          <w:tab w:val="clear" w:pos="289"/>
        </w:tabs>
        <w:spacing w:line="360" w:lineRule="auto"/>
        <w:ind w:left="567"/>
        <w:outlineLvl w:val="3"/>
        <w:rPr>
          <w:rFonts w:ascii="宋体" w:hAnsi="宋体"/>
          <w:b/>
          <w:bCs/>
          <w:color w:val="auto"/>
          <w:sz w:val="24"/>
          <w:highlight w:val="none"/>
        </w:rPr>
      </w:pPr>
      <w:r>
        <w:rPr>
          <w:rFonts w:hint="eastAsia" w:ascii="宋体" w:hAnsi="宋体"/>
          <w:b/>
          <w:bCs/>
          <w:color w:val="auto"/>
          <w:sz w:val="24"/>
          <w:highlight w:val="none"/>
        </w:rPr>
        <w:t>投标的修改和撤回</w:t>
      </w:r>
    </w:p>
    <w:p w14:paraId="579E47EE">
      <w:pPr>
        <w:pStyle w:val="8"/>
        <w:spacing w:afterAutospacing="0" w:line="360" w:lineRule="auto"/>
        <w:ind w:firstLine="480" w:firstLineChars="200"/>
        <w:rPr>
          <w:color w:val="auto"/>
          <w:highlight w:val="none"/>
        </w:rPr>
      </w:pPr>
      <w:r>
        <w:rPr>
          <w:rFonts w:hint="eastAsia" w:ascii="宋体" w:hAnsi="宋体"/>
          <w:color w:val="auto"/>
          <w:sz w:val="24"/>
          <w:highlight w:val="none"/>
        </w:rPr>
        <w:t>在投标截止时间前</w:t>
      </w:r>
      <w:r>
        <w:rPr>
          <w:rFonts w:hint="eastAsia" w:ascii="宋体" w:hAnsi="宋体"/>
          <w:color w:val="auto"/>
          <w:sz w:val="24"/>
          <w:highlight w:val="none"/>
          <w:lang w:eastAsia="zh-CN"/>
        </w:rPr>
        <w:t>供应商</w:t>
      </w:r>
      <w:r>
        <w:rPr>
          <w:rFonts w:hint="eastAsia" w:ascii="宋体" w:hAnsi="宋体"/>
          <w:color w:val="auto"/>
          <w:sz w:val="24"/>
          <w:highlight w:val="none"/>
        </w:rPr>
        <w:t>可以修改和</w:t>
      </w:r>
      <w:r>
        <w:rPr>
          <w:rFonts w:hint="eastAsia" w:ascii="宋体" w:hAnsi="宋体"/>
          <w:bCs/>
          <w:color w:val="auto"/>
          <w:sz w:val="24"/>
          <w:highlight w:val="none"/>
        </w:rPr>
        <w:t>撤回</w:t>
      </w:r>
      <w:r>
        <w:rPr>
          <w:rFonts w:hint="eastAsia" w:ascii="宋体" w:hAnsi="宋体"/>
          <w:color w:val="auto"/>
          <w:sz w:val="24"/>
          <w:highlight w:val="none"/>
        </w:rPr>
        <w:t>其</w:t>
      </w:r>
      <w:r>
        <w:rPr>
          <w:rFonts w:hint="eastAsia" w:ascii="宋体" w:hAnsi="宋体"/>
          <w:color w:val="auto"/>
          <w:sz w:val="24"/>
          <w:highlight w:val="none"/>
          <w:lang w:eastAsia="zh-CN"/>
        </w:rPr>
        <w:t>响应文件</w:t>
      </w:r>
      <w:r>
        <w:rPr>
          <w:rFonts w:hint="eastAsia" w:ascii="宋体" w:hAnsi="宋体"/>
          <w:color w:val="auto"/>
          <w:sz w:val="24"/>
          <w:highlight w:val="none"/>
        </w:rPr>
        <w:t>，投标截止后不得修改和</w:t>
      </w:r>
      <w:r>
        <w:rPr>
          <w:rFonts w:hint="eastAsia" w:ascii="宋体" w:hAnsi="宋体"/>
          <w:bCs/>
          <w:color w:val="auto"/>
          <w:sz w:val="24"/>
          <w:highlight w:val="none"/>
        </w:rPr>
        <w:t>撤回</w:t>
      </w:r>
      <w:r>
        <w:rPr>
          <w:rFonts w:hint="eastAsia" w:ascii="宋体" w:hAnsi="宋体"/>
          <w:color w:val="auto"/>
          <w:sz w:val="24"/>
          <w:highlight w:val="none"/>
        </w:rPr>
        <w:t>其</w:t>
      </w:r>
      <w:r>
        <w:rPr>
          <w:rFonts w:hint="eastAsia" w:ascii="宋体" w:hAnsi="宋体"/>
          <w:color w:val="auto"/>
          <w:sz w:val="24"/>
          <w:highlight w:val="none"/>
          <w:lang w:eastAsia="zh-CN"/>
        </w:rPr>
        <w:t>响应文件</w:t>
      </w:r>
      <w:r>
        <w:rPr>
          <w:rFonts w:hint="eastAsia" w:ascii="宋体" w:hAnsi="宋体"/>
          <w:color w:val="auto"/>
          <w:sz w:val="24"/>
          <w:highlight w:val="none"/>
        </w:rPr>
        <w:t>。</w:t>
      </w:r>
    </w:p>
    <w:p w14:paraId="3A17D9DF">
      <w:pPr>
        <w:pStyle w:val="6"/>
        <w:numPr>
          <w:ilvl w:val="0"/>
          <w:numId w:val="4"/>
        </w:numPr>
        <w:tabs>
          <w:tab w:val="left" w:pos="425"/>
          <w:tab w:val="clear" w:pos="147"/>
        </w:tabs>
        <w:spacing w:before="0" w:beforeLines="0" w:beforeAutospacing="0" w:after="0" w:afterLines="0" w:afterAutospacing="0" w:line="360" w:lineRule="auto"/>
        <w:ind w:left="425"/>
        <w:rPr>
          <w:color w:val="auto"/>
          <w:highlight w:val="none"/>
        </w:rPr>
      </w:pPr>
      <w:bookmarkStart w:id="66" w:name="_Toc380533809"/>
      <w:bookmarkStart w:id="67" w:name="_Toc439513160"/>
      <w:bookmarkStart w:id="68" w:name="_Toc498899370"/>
      <w:bookmarkStart w:id="69" w:name="_Toc518912734"/>
      <w:bookmarkStart w:id="70" w:name="_Toc439513444"/>
      <w:bookmarkStart w:id="71" w:name="_Toc435629837"/>
      <w:bookmarkStart w:id="72" w:name="_Toc479325591"/>
      <w:bookmarkStart w:id="73" w:name="_Toc383124047"/>
      <w:bookmarkStart w:id="74" w:name="_Toc298920091"/>
      <w:bookmarkStart w:id="75" w:name="_Toc343857025"/>
      <w:bookmarkStart w:id="76" w:name="_Toc486969378"/>
      <w:bookmarkStart w:id="77" w:name="_Toc494832086"/>
      <w:bookmarkStart w:id="78" w:name="_Toc22582"/>
      <w:bookmarkStart w:id="79" w:name="_Toc298829960"/>
      <w:bookmarkStart w:id="80" w:name="_Toc298829719"/>
      <w:bookmarkStart w:id="81" w:name="_Toc435623753"/>
      <w:bookmarkStart w:id="82" w:name="_Toc479340788"/>
      <w:bookmarkStart w:id="83" w:name="_Toc435629791"/>
      <w:bookmarkStart w:id="84" w:name="_Toc422161991"/>
      <w:bookmarkStart w:id="85" w:name="_Toc416208485"/>
      <w:bookmarkStart w:id="86" w:name="_Toc438722129"/>
      <w:bookmarkStart w:id="87" w:name="_Toc470184440"/>
      <w:bookmarkStart w:id="88" w:name="_Toc299108389"/>
      <w:bookmarkStart w:id="89" w:name="_Toc439679267"/>
      <w:bookmarkStart w:id="90" w:name="_Toc498871243"/>
      <w:bookmarkStart w:id="91" w:name="_Toc438513733"/>
      <w:bookmarkStart w:id="92" w:name="_Toc364846099"/>
      <w:bookmarkStart w:id="93" w:name="_Toc435687348"/>
      <w:bookmarkStart w:id="94" w:name="_Toc458635595"/>
      <w:bookmarkStart w:id="95" w:name="_Toc414510779"/>
      <w:bookmarkStart w:id="96" w:name="_Toc298190383"/>
      <w:bookmarkStart w:id="97" w:name="_Toc3192"/>
      <w:bookmarkStart w:id="98" w:name="_Toc435686979"/>
      <w:bookmarkStart w:id="99" w:name="_Toc418023332"/>
      <w:bookmarkStart w:id="100" w:name="_Toc458980392"/>
      <w:bookmarkStart w:id="101" w:name="_Toc438508596"/>
      <w:bookmarkStart w:id="102" w:name="_Toc350417823"/>
      <w:bookmarkStart w:id="103" w:name="_Toc477879839"/>
      <w:bookmarkStart w:id="104" w:name="_Toc365033705"/>
      <w:bookmarkStart w:id="105" w:name="_Toc425347661"/>
      <w:bookmarkStart w:id="106" w:name="_Toc356489052"/>
      <w:bookmarkStart w:id="107" w:name="_Toc422865420"/>
      <w:bookmarkStart w:id="108" w:name="_Toc435687274"/>
      <w:bookmarkStart w:id="109" w:name="_Toc438641464"/>
      <w:bookmarkStart w:id="110" w:name="_Toc487044251"/>
      <w:bookmarkStart w:id="111" w:name="_Toc297209418"/>
      <w:r>
        <w:rPr>
          <w:rFonts w:hint="eastAsia"/>
          <w:color w:val="auto"/>
          <w:highlight w:val="none"/>
        </w:rPr>
        <w:t>投标总则</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41A3116">
      <w:pPr>
        <w:numPr>
          <w:ilvl w:val="1"/>
          <w:numId w:val="4"/>
        </w:numPr>
        <w:tabs>
          <w:tab w:val="left" w:pos="567"/>
          <w:tab w:val="clear" w:pos="289"/>
        </w:tabs>
        <w:spacing w:beforeAutospacing="0" w:line="360" w:lineRule="auto"/>
        <w:ind w:left="567"/>
        <w:outlineLvl w:val="3"/>
        <w:rPr>
          <w:rFonts w:ascii="宋体" w:hAnsi="宋体"/>
          <w:b/>
          <w:bCs/>
          <w:color w:val="auto"/>
          <w:sz w:val="24"/>
          <w:highlight w:val="none"/>
        </w:rPr>
      </w:pPr>
      <w:r>
        <w:rPr>
          <w:rFonts w:hint="eastAsia" w:ascii="宋体" w:hAnsi="宋体"/>
          <w:b/>
          <w:bCs/>
          <w:color w:val="auto"/>
          <w:sz w:val="24"/>
          <w:highlight w:val="none"/>
        </w:rPr>
        <w:t>投标</w:t>
      </w:r>
    </w:p>
    <w:p w14:paraId="12E45C9D">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所</w:t>
      </w:r>
      <w:r>
        <w:rPr>
          <w:rFonts w:hint="eastAsia" w:ascii="宋体" w:hAnsi="宋体"/>
          <w:color w:val="auto"/>
          <w:sz w:val="24"/>
          <w:highlight w:val="none"/>
        </w:rPr>
        <w:t>有</w:t>
      </w:r>
      <w:r>
        <w:rPr>
          <w:rFonts w:hint="eastAsia" w:ascii="宋体" w:hAnsi="宋体"/>
          <w:color w:val="auto"/>
          <w:sz w:val="24"/>
          <w:highlight w:val="none"/>
          <w:lang w:eastAsia="zh-CN"/>
        </w:rPr>
        <w:t>响应文件</w:t>
      </w:r>
      <w:r>
        <w:rPr>
          <w:rFonts w:hint="eastAsia" w:ascii="宋体" w:hAnsi="宋体"/>
          <w:color w:val="auto"/>
          <w:sz w:val="24"/>
          <w:highlight w:val="none"/>
        </w:rPr>
        <w:t>应在投标截止时间前</w:t>
      </w:r>
      <w:r>
        <w:rPr>
          <w:rFonts w:hint="eastAsia" w:ascii="宋体" w:hAnsi="宋体"/>
          <w:color w:val="auto"/>
          <w:sz w:val="24"/>
          <w:highlight w:val="none"/>
          <w:lang w:eastAsia="zh-CN"/>
        </w:rPr>
        <w:t>提交至政采云平台（https://www.zcygov.cn），</w:t>
      </w:r>
      <w:r>
        <w:rPr>
          <w:rFonts w:hint="eastAsia" w:ascii="宋体" w:hAnsi="宋体"/>
          <w:color w:val="auto"/>
          <w:sz w:val="24"/>
          <w:highlight w:val="none"/>
        </w:rPr>
        <w:t>任何迟于这个时间的投标将被拒绝。</w:t>
      </w:r>
    </w:p>
    <w:p w14:paraId="71DD415C">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所有响应文件的备份文件可自愿在采购代理机构规定时间内以U盘邮寄或电子邮件方式提供给代理机构，</w:t>
      </w:r>
      <w:r>
        <w:rPr>
          <w:rFonts w:hint="eastAsia" w:ascii="宋体" w:hAnsi="宋体"/>
          <w:color w:val="auto"/>
          <w:sz w:val="24"/>
          <w:highlight w:val="none"/>
        </w:rPr>
        <w:t>任何迟于这个时间的</w:t>
      </w:r>
      <w:r>
        <w:rPr>
          <w:rFonts w:hint="eastAsia" w:ascii="宋体" w:hAnsi="宋体"/>
          <w:color w:val="auto"/>
          <w:sz w:val="24"/>
          <w:highlight w:val="none"/>
          <w:lang w:eastAsia="zh-CN"/>
        </w:rPr>
        <w:t>备份响应文件</w:t>
      </w:r>
      <w:r>
        <w:rPr>
          <w:rFonts w:hint="eastAsia" w:ascii="宋体" w:hAnsi="宋体"/>
          <w:color w:val="auto"/>
          <w:sz w:val="24"/>
          <w:highlight w:val="none"/>
        </w:rPr>
        <w:t>将被拒绝。</w:t>
      </w:r>
    </w:p>
    <w:p w14:paraId="7C44525E">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采购代理机构不接受电话、传真投标。</w:t>
      </w:r>
    </w:p>
    <w:p w14:paraId="756D845D">
      <w:pPr>
        <w:numPr>
          <w:ilvl w:val="1"/>
          <w:numId w:val="4"/>
        </w:numPr>
        <w:tabs>
          <w:tab w:val="left" w:pos="567"/>
          <w:tab w:val="clear" w:pos="289"/>
        </w:tabs>
        <w:spacing w:line="360" w:lineRule="auto"/>
        <w:ind w:left="567"/>
        <w:outlineLvl w:val="3"/>
        <w:rPr>
          <w:rFonts w:ascii="宋体" w:hAnsi="宋体"/>
          <w:b/>
          <w:bCs/>
          <w:color w:val="auto"/>
          <w:sz w:val="24"/>
          <w:highlight w:val="none"/>
        </w:rPr>
      </w:pPr>
      <w:r>
        <w:rPr>
          <w:rFonts w:hint="eastAsia" w:ascii="宋体" w:hAnsi="宋体"/>
          <w:b/>
          <w:bCs/>
          <w:color w:val="auto"/>
          <w:sz w:val="24"/>
          <w:highlight w:val="none"/>
        </w:rPr>
        <w:t>投标有效期</w:t>
      </w:r>
      <w:r>
        <w:rPr>
          <w:rFonts w:hint="eastAsia" w:ascii="宋体" w:hAnsi="宋体"/>
          <w:b/>
          <w:bCs/>
          <w:color w:val="auto"/>
          <w:sz w:val="24"/>
          <w:szCs w:val="24"/>
          <w:highlight w:val="none"/>
        </w:rPr>
        <w:t>（实质性要求）</w:t>
      </w:r>
    </w:p>
    <w:p w14:paraId="7013196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从投标截止日起，投标有效期为90天。在特殊情况下，</w:t>
      </w:r>
      <w:r>
        <w:rPr>
          <w:rFonts w:hint="eastAsia" w:ascii="宋体" w:hAnsi="宋体"/>
          <w:color w:val="auto"/>
          <w:sz w:val="24"/>
          <w:highlight w:val="none"/>
          <w:lang w:eastAsia="zh-CN"/>
        </w:rPr>
        <w:t>招标人</w:t>
      </w:r>
      <w:r>
        <w:rPr>
          <w:rFonts w:hint="eastAsia" w:ascii="宋体" w:hAnsi="宋体"/>
          <w:color w:val="auto"/>
          <w:sz w:val="24"/>
          <w:highlight w:val="none"/>
        </w:rPr>
        <w:t>可于投标有效期日满之前要求</w:t>
      </w:r>
      <w:r>
        <w:rPr>
          <w:rFonts w:hint="eastAsia" w:ascii="宋体" w:hAnsi="宋体"/>
          <w:color w:val="auto"/>
          <w:sz w:val="24"/>
          <w:highlight w:val="none"/>
          <w:lang w:eastAsia="zh-CN"/>
        </w:rPr>
        <w:t>供应商</w:t>
      </w:r>
      <w:r>
        <w:rPr>
          <w:rFonts w:hint="eastAsia" w:ascii="宋体" w:hAnsi="宋体"/>
          <w:color w:val="auto"/>
          <w:sz w:val="24"/>
          <w:highlight w:val="none"/>
        </w:rPr>
        <w:t>同意延长有效日期，要求与答复均应以书面形式。</w:t>
      </w:r>
      <w:r>
        <w:rPr>
          <w:rFonts w:hint="eastAsia" w:ascii="宋体" w:hAnsi="宋体"/>
          <w:color w:val="auto"/>
          <w:sz w:val="24"/>
          <w:highlight w:val="none"/>
          <w:lang w:eastAsia="zh-CN"/>
        </w:rPr>
        <w:t>供应商</w:t>
      </w:r>
      <w:r>
        <w:rPr>
          <w:rFonts w:hint="eastAsia" w:ascii="宋体" w:hAnsi="宋体"/>
          <w:color w:val="auto"/>
          <w:sz w:val="24"/>
          <w:highlight w:val="none"/>
        </w:rPr>
        <w:t>可以拒绝上述要求而其投标保证金不被没收，同意延期的</w:t>
      </w:r>
      <w:r>
        <w:rPr>
          <w:rFonts w:hint="eastAsia" w:ascii="宋体" w:hAnsi="宋体"/>
          <w:color w:val="auto"/>
          <w:sz w:val="24"/>
          <w:highlight w:val="none"/>
          <w:lang w:eastAsia="zh-CN"/>
        </w:rPr>
        <w:t>供应商</w:t>
      </w:r>
      <w:r>
        <w:rPr>
          <w:rFonts w:hint="eastAsia" w:ascii="宋体" w:hAnsi="宋体"/>
          <w:color w:val="auto"/>
          <w:sz w:val="24"/>
          <w:highlight w:val="none"/>
        </w:rPr>
        <w:t>根据原截止日期应负之权利及责任相应也延至新的截止日期。</w:t>
      </w:r>
    </w:p>
    <w:p w14:paraId="06BCD21D">
      <w:pPr>
        <w:numPr>
          <w:ilvl w:val="1"/>
          <w:numId w:val="4"/>
        </w:numPr>
        <w:tabs>
          <w:tab w:val="left" w:pos="567"/>
          <w:tab w:val="clear" w:pos="289"/>
        </w:tabs>
        <w:spacing w:line="360" w:lineRule="auto"/>
        <w:ind w:left="567"/>
        <w:outlineLvl w:val="3"/>
        <w:rPr>
          <w:rFonts w:ascii="宋体" w:hAnsi="宋体"/>
          <w:color w:val="auto"/>
          <w:sz w:val="24"/>
          <w:highlight w:val="none"/>
        </w:rPr>
      </w:pPr>
      <w:r>
        <w:rPr>
          <w:rFonts w:hint="eastAsia" w:ascii="宋体" w:hAnsi="宋体"/>
          <w:b/>
          <w:bCs/>
          <w:color w:val="auto"/>
          <w:sz w:val="24"/>
          <w:highlight w:val="none"/>
        </w:rPr>
        <w:t>投标保证金</w:t>
      </w:r>
      <w:r>
        <w:rPr>
          <w:rFonts w:hint="eastAsia" w:ascii="宋体" w:cs="宋体"/>
          <w:b/>
          <w:bCs/>
          <w:color w:val="auto"/>
          <w:kern w:val="0"/>
          <w:sz w:val="24"/>
          <w:szCs w:val="24"/>
          <w:highlight w:val="none"/>
          <w:lang w:val="en-US" w:eastAsia="zh-CN"/>
        </w:rPr>
        <w:t>（实质性要求）</w:t>
      </w:r>
    </w:p>
    <w:p w14:paraId="63A9C9FA">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应向采购代理机构提交投标保证金人民币：</w:t>
      </w:r>
      <w:r>
        <w:rPr>
          <w:rFonts w:hint="eastAsia" w:ascii="宋体" w:hAnsi="宋体"/>
          <w:color w:val="auto"/>
          <w:sz w:val="24"/>
          <w:highlight w:val="none"/>
          <w:lang w:val="en-US" w:eastAsia="zh-CN"/>
        </w:rPr>
        <w:t>详见供应商须知附表</w:t>
      </w:r>
      <w:r>
        <w:rPr>
          <w:rFonts w:hint="eastAsia" w:ascii="宋体" w:hAnsi="宋体"/>
          <w:color w:val="auto"/>
          <w:sz w:val="24"/>
          <w:highlight w:val="none"/>
        </w:rPr>
        <w:t>。</w:t>
      </w:r>
    </w:p>
    <w:p w14:paraId="6334C7CA">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政府采购保证金应当以支票、汇票、本票或者金融机构、担保机构出具的保函等</w:t>
      </w:r>
      <w:r>
        <w:rPr>
          <w:rFonts w:hint="eastAsia" w:ascii="宋体" w:hAnsi="宋体"/>
          <w:color w:val="auto"/>
          <w:sz w:val="24"/>
          <w:highlight w:val="none"/>
          <w:lang w:val="en-US" w:eastAsia="zh-CN"/>
        </w:rPr>
        <w:t xml:space="preserve">        </w:t>
      </w:r>
      <w:r>
        <w:rPr>
          <w:rFonts w:hint="eastAsia" w:ascii="宋体" w:hAnsi="宋体"/>
          <w:color w:val="auto"/>
          <w:sz w:val="24"/>
          <w:highlight w:val="none"/>
        </w:rPr>
        <w:t>非现金形式提交</w:t>
      </w:r>
    </w:p>
    <w:p w14:paraId="1CE20E67">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投标保证金是投标的组成部分，递交投标保证金的证明文件与</w:t>
      </w:r>
      <w:r>
        <w:rPr>
          <w:rFonts w:hint="eastAsia" w:ascii="宋体" w:hAnsi="宋体"/>
          <w:color w:val="auto"/>
          <w:sz w:val="24"/>
          <w:highlight w:val="none"/>
          <w:lang w:eastAsia="zh-CN"/>
        </w:rPr>
        <w:t>响应文件</w:t>
      </w:r>
      <w:r>
        <w:rPr>
          <w:rFonts w:hint="eastAsia" w:ascii="宋体" w:hAnsi="宋体"/>
          <w:color w:val="auto"/>
          <w:sz w:val="24"/>
          <w:highlight w:val="none"/>
        </w:rPr>
        <w:t>一同递交。</w:t>
      </w:r>
    </w:p>
    <w:p w14:paraId="4BCF32C2">
      <w:pPr>
        <w:numPr>
          <w:ilvl w:val="2"/>
          <w:numId w:val="4"/>
        </w:numPr>
        <w:tabs>
          <w:tab w:val="left" w:pos="624"/>
          <w:tab w:val="left" w:pos="735"/>
          <w:tab w:val="left" w:pos="1254"/>
          <w:tab w:val="clear" w:pos="1050"/>
        </w:tabs>
        <w:spacing w:line="360" w:lineRule="auto"/>
        <w:ind w:left="735" w:hanging="735"/>
        <w:rPr>
          <w:rFonts w:hint="eastAsia" w:ascii="宋体" w:hAnsi="宋体" w:eastAsia="宋体" w:cs="宋体"/>
          <w:color w:val="auto"/>
          <w:sz w:val="24"/>
          <w:szCs w:val="24"/>
          <w:highlight w:val="none"/>
        </w:rPr>
      </w:pPr>
      <w:r>
        <w:rPr>
          <w:rFonts w:hint="eastAsia" w:ascii="宋体" w:hAnsi="宋体"/>
          <w:color w:val="auto"/>
          <w:sz w:val="24"/>
          <w:highlight w:val="none"/>
        </w:rPr>
        <w:t>投标保证金</w:t>
      </w:r>
      <w:r>
        <w:rPr>
          <w:rFonts w:hint="eastAsia" w:ascii="宋体" w:hAnsi="宋体"/>
          <w:color w:val="auto"/>
          <w:sz w:val="24"/>
          <w:highlight w:val="none"/>
          <w:lang w:eastAsia="zh-CN"/>
        </w:rPr>
        <w:t>的账户</w:t>
      </w:r>
      <w:r>
        <w:rPr>
          <w:rFonts w:hint="eastAsia" w:ascii="宋体" w:hAnsi="宋体"/>
          <w:color w:val="auto"/>
          <w:sz w:val="24"/>
          <w:highlight w:val="none"/>
        </w:rPr>
        <w:t>：</w:t>
      </w:r>
    </w:p>
    <w:p w14:paraId="609CB5E1">
      <w:pPr>
        <w:spacing w:line="360" w:lineRule="auto"/>
        <w:ind w:firstLine="720" w:firstLineChars="300"/>
        <w:jc w:val="left"/>
        <w:rPr>
          <w:rFonts w:hint="eastAsia" w:ascii="宋体" w:hAnsi="宋体" w:eastAsia="宋体" w:cs="Times New Roman"/>
          <w:color w:val="auto"/>
          <w:sz w:val="24"/>
          <w:highlight w:val="none"/>
        </w:rPr>
      </w:pPr>
      <w:r>
        <w:rPr>
          <w:rFonts w:hint="eastAsia" w:ascii="宋体" w:hAnsi="宋体"/>
          <w:color w:val="auto"/>
          <w:sz w:val="24"/>
          <w:highlight w:val="none"/>
        </w:rPr>
        <w:t>单位名称：</w:t>
      </w:r>
      <w:r>
        <w:rPr>
          <w:rFonts w:hint="eastAsia" w:ascii="宋体" w:hAnsi="宋体" w:cs="宋体"/>
          <w:color w:val="auto"/>
          <w:kern w:val="0"/>
          <w:sz w:val="24"/>
          <w:szCs w:val="24"/>
          <w:highlight w:val="none"/>
          <w:lang w:eastAsia="zh-CN"/>
        </w:rPr>
        <w:t>新疆国腾工程项目管理咨询有限公司</w:t>
      </w:r>
    </w:p>
    <w:p w14:paraId="104CD960">
      <w:pPr>
        <w:numPr>
          <w:ilvl w:val="0"/>
          <w:numId w:val="0"/>
        </w:numPr>
        <w:tabs>
          <w:tab w:val="left" w:pos="624"/>
          <w:tab w:val="left" w:pos="735"/>
          <w:tab w:val="left" w:pos="1254"/>
        </w:tabs>
        <w:spacing w:line="360" w:lineRule="auto"/>
        <w:ind w:leftChars="0" w:firstLine="720" w:firstLineChars="300"/>
        <w:rPr>
          <w:rFonts w:hint="eastAsia" w:ascii="宋体" w:hAnsi="宋体" w:eastAsia="宋体" w:cs="宋体"/>
          <w:color w:val="auto"/>
          <w:kern w:val="0"/>
          <w:sz w:val="24"/>
          <w:highlight w:val="none"/>
          <w:lang w:val="zh-CN" w:eastAsia="zh-CN"/>
        </w:rPr>
      </w:pPr>
      <w:r>
        <w:rPr>
          <w:rFonts w:hint="eastAsia" w:ascii="宋体" w:hAnsi="宋体" w:eastAsia="宋体" w:cs="宋体"/>
          <w:color w:val="auto"/>
          <w:kern w:val="0"/>
          <w:sz w:val="24"/>
          <w:highlight w:val="none"/>
          <w:lang w:val="zh-CN" w:eastAsia="zh-CN"/>
        </w:rPr>
        <w:t>开户账号：843011612010139071773</w:t>
      </w:r>
    </w:p>
    <w:p w14:paraId="186571FB">
      <w:pPr>
        <w:numPr>
          <w:ilvl w:val="0"/>
          <w:numId w:val="0"/>
        </w:numPr>
        <w:tabs>
          <w:tab w:val="left" w:pos="624"/>
          <w:tab w:val="left" w:pos="735"/>
          <w:tab w:val="left" w:pos="1254"/>
        </w:tabs>
        <w:spacing w:line="360" w:lineRule="auto"/>
        <w:ind w:leftChars="0" w:firstLine="720" w:firstLineChars="300"/>
        <w:rPr>
          <w:rFonts w:hint="eastAsia" w:ascii="宋体" w:hAnsi="宋体" w:eastAsia="宋体" w:cs="宋体"/>
          <w:color w:val="auto"/>
          <w:kern w:val="0"/>
          <w:sz w:val="24"/>
          <w:highlight w:val="none"/>
          <w:lang w:val="zh-CN" w:eastAsia="zh-CN"/>
        </w:rPr>
      </w:pPr>
      <w:r>
        <w:rPr>
          <w:rFonts w:hint="eastAsia" w:ascii="宋体" w:hAnsi="宋体" w:eastAsia="宋体" w:cs="宋体"/>
          <w:color w:val="auto"/>
          <w:kern w:val="0"/>
          <w:sz w:val="24"/>
          <w:highlight w:val="none"/>
          <w:lang w:val="zh-CN" w:eastAsia="zh-CN"/>
        </w:rPr>
        <w:t>行  号：402888000263</w:t>
      </w:r>
    </w:p>
    <w:p w14:paraId="21FCF4F2">
      <w:pPr>
        <w:numPr>
          <w:ilvl w:val="0"/>
          <w:numId w:val="0"/>
        </w:numPr>
        <w:tabs>
          <w:tab w:val="left" w:pos="624"/>
          <w:tab w:val="left" w:pos="735"/>
          <w:tab w:val="left" w:pos="1254"/>
        </w:tabs>
        <w:spacing w:line="360" w:lineRule="auto"/>
        <w:ind w:leftChars="0" w:firstLine="720" w:firstLineChars="300"/>
        <w:rPr>
          <w:rFonts w:hint="eastAsia" w:ascii="仿宋" w:hAnsi="仿宋" w:eastAsia="仿宋" w:cs="仿宋"/>
          <w:b/>
          <w:bCs/>
          <w:color w:val="auto"/>
          <w:sz w:val="28"/>
          <w:szCs w:val="28"/>
          <w:highlight w:val="none"/>
          <w:lang w:val="zh-CN" w:eastAsia="zh-CN"/>
        </w:rPr>
      </w:pPr>
      <w:r>
        <w:rPr>
          <w:rFonts w:hint="eastAsia" w:ascii="宋体" w:hAnsi="宋体" w:eastAsia="宋体" w:cs="宋体"/>
          <w:color w:val="auto"/>
          <w:kern w:val="0"/>
          <w:sz w:val="24"/>
          <w:highlight w:val="none"/>
          <w:lang w:val="zh-CN" w:eastAsia="zh-CN"/>
        </w:rPr>
        <w:t>开 户 行：新疆库尔勒农村商业银行股份有限公司梨香南路支行</w:t>
      </w:r>
    </w:p>
    <w:p w14:paraId="4FCD2BDB">
      <w:pPr>
        <w:spacing w:line="360" w:lineRule="auto"/>
        <w:ind w:firstLine="723" w:firstLineChars="300"/>
        <w:rPr>
          <w:rFonts w:hint="eastAsia" w:ascii="宋体" w:hAnsi="宋体"/>
          <w:b/>
          <w:color w:val="auto"/>
          <w:sz w:val="24"/>
          <w:szCs w:val="24"/>
          <w:highlight w:val="none"/>
        </w:rPr>
      </w:pPr>
      <w:r>
        <w:rPr>
          <w:rFonts w:hint="eastAsia" w:ascii="宋体" w:hAnsi="宋体"/>
          <w:b/>
          <w:color w:val="auto"/>
          <w:sz w:val="24"/>
          <w:szCs w:val="24"/>
          <w:highlight w:val="none"/>
        </w:rPr>
        <w:t>注：投标保证金必须由</w:t>
      </w:r>
      <w:r>
        <w:rPr>
          <w:rFonts w:hint="eastAsia" w:ascii="宋体" w:hAnsi="宋体"/>
          <w:b/>
          <w:color w:val="auto"/>
          <w:sz w:val="24"/>
          <w:szCs w:val="24"/>
          <w:highlight w:val="none"/>
          <w:lang w:eastAsia="zh-CN"/>
        </w:rPr>
        <w:t>供应商</w:t>
      </w:r>
      <w:r>
        <w:rPr>
          <w:rFonts w:hint="eastAsia" w:ascii="宋体" w:hAnsi="宋体"/>
          <w:b/>
          <w:color w:val="auto"/>
          <w:sz w:val="24"/>
          <w:szCs w:val="24"/>
          <w:highlight w:val="none"/>
        </w:rPr>
        <w:t>在汇单附言栏内注明</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具体标段信息</w:t>
      </w:r>
      <w:r>
        <w:rPr>
          <w:rFonts w:hint="eastAsia" w:ascii="宋体" w:hAnsi="宋体" w:eastAsia="宋体" w:cs="宋体"/>
          <w:b/>
          <w:bCs/>
          <w:color w:val="auto"/>
          <w:sz w:val="24"/>
          <w:szCs w:val="24"/>
          <w:highlight w:val="none"/>
          <w:lang w:val="en-US" w:eastAsia="zh-CN"/>
        </w:rPr>
        <w:t>”</w:t>
      </w:r>
      <w:r>
        <w:rPr>
          <w:rFonts w:hint="eastAsia" w:ascii="宋体" w:hAnsi="宋体" w:eastAsia="宋体"/>
          <w:b/>
          <w:color w:val="auto"/>
          <w:sz w:val="24"/>
          <w:szCs w:val="24"/>
          <w:highlight w:val="none"/>
        </w:rPr>
        <w:t>，如未注明，造成保证金无法查明的，责任由</w:t>
      </w:r>
      <w:r>
        <w:rPr>
          <w:rFonts w:hint="eastAsia" w:ascii="宋体" w:hAnsi="宋体"/>
          <w:b/>
          <w:color w:val="auto"/>
          <w:sz w:val="24"/>
          <w:szCs w:val="24"/>
          <w:highlight w:val="none"/>
          <w:lang w:eastAsia="zh-CN"/>
        </w:rPr>
        <w:t>供应商</w:t>
      </w:r>
      <w:r>
        <w:rPr>
          <w:rFonts w:hint="eastAsia" w:ascii="宋体" w:hAnsi="宋体" w:eastAsia="宋体"/>
          <w:b/>
          <w:color w:val="auto"/>
          <w:sz w:val="24"/>
          <w:szCs w:val="24"/>
          <w:highlight w:val="none"/>
        </w:rPr>
        <w:t>承担）。</w:t>
      </w:r>
      <w:r>
        <w:rPr>
          <w:rFonts w:hint="eastAsia" w:ascii="宋体" w:hAnsi="宋体"/>
          <w:b/>
          <w:color w:val="auto"/>
          <w:sz w:val="24"/>
          <w:szCs w:val="24"/>
          <w:highlight w:val="none"/>
        </w:rPr>
        <w:t>不接受现金形式的投标保证金。</w:t>
      </w:r>
    </w:p>
    <w:p w14:paraId="65E776E8">
      <w:pPr>
        <w:pStyle w:val="37"/>
        <w:rPr>
          <w:rFonts w:hint="eastAsia" w:hAnsi="宋体"/>
          <w:b/>
          <w:color w:val="auto"/>
          <w:sz w:val="24"/>
          <w:szCs w:val="24"/>
          <w:highlight w:val="none"/>
          <w:lang w:val="en-US" w:eastAsia="zh-CN"/>
        </w:rPr>
      </w:pPr>
      <w:r>
        <w:rPr>
          <w:rFonts w:hint="eastAsia" w:hAnsi="宋体"/>
          <w:b/>
          <w:color w:val="auto"/>
          <w:sz w:val="24"/>
          <w:szCs w:val="24"/>
          <w:highlight w:val="none"/>
          <w:lang w:val="en-US" w:eastAsia="zh-CN"/>
        </w:rPr>
        <w:t>投标保证金的退还：</w:t>
      </w:r>
    </w:p>
    <w:p w14:paraId="1A0FF938">
      <w:pPr>
        <w:spacing w:line="360" w:lineRule="auto"/>
        <w:ind w:firstLine="720" w:firstLineChars="300"/>
        <w:jc w:val="left"/>
        <w:rPr>
          <w:rFonts w:hint="default" w:ascii="宋体" w:hAnsi="宋体" w:eastAsia="宋体"/>
          <w:color w:val="auto"/>
          <w:sz w:val="24"/>
          <w:highlight w:val="none"/>
          <w:lang w:val="en-US" w:eastAsia="zh-CN"/>
        </w:rPr>
      </w:pPr>
      <w:r>
        <w:rPr>
          <w:rFonts w:hint="default" w:ascii="宋体" w:hAnsi="宋体" w:eastAsia="宋体"/>
          <w:color w:val="auto"/>
          <w:sz w:val="24"/>
          <w:highlight w:val="none"/>
          <w:lang w:val="en-US" w:eastAsia="zh-CN"/>
        </w:rPr>
        <w:t>(1)未</w:t>
      </w:r>
      <w:r>
        <w:rPr>
          <w:rFonts w:hint="eastAsia" w:ascii="宋体" w:hAnsi="宋体"/>
          <w:color w:val="auto"/>
          <w:sz w:val="24"/>
          <w:highlight w:val="none"/>
          <w:lang w:val="en-US" w:eastAsia="zh-CN"/>
        </w:rPr>
        <w:t>成交单位</w:t>
      </w:r>
      <w:r>
        <w:rPr>
          <w:rFonts w:hint="default" w:ascii="宋体" w:hAnsi="宋体" w:eastAsia="宋体"/>
          <w:color w:val="auto"/>
          <w:sz w:val="24"/>
          <w:highlight w:val="none"/>
          <w:lang w:val="en-US" w:eastAsia="zh-CN"/>
        </w:rPr>
        <w:t>，自</w:t>
      </w:r>
      <w:r>
        <w:rPr>
          <w:rFonts w:hint="eastAsia" w:ascii="宋体" w:hAnsi="宋体"/>
          <w:color w:val="auto"/>
          <w:sz w:val="24"/>
          <w:highlight w:val="none"/>
          <w:lang w:val="en-US" w:eastAsia="zh-CN"/>
        </w:rPr>
        <w:t>成交通知书</w:t>
      </w:r>
      <w:r>
        <w:rPr>
          <w:rFonts w:hint="default" w:ascii="宋体" w:hAnsi="宋体" w:eastAsia="宋体"/>
          <w:color w:val="auto"/>
          <w:sz w:val="24"/>
          <w:highlight w:val="none"/>
          <w:lang w:val="en-US" w:eastAsia="zh-CN"/>
        </w:rPr>
        <w:t>发出之日起5个工作日内原账户退还，</w:t>
      </w:r>
      <w:r>
        <w:rPr>
          <w:rFonts w:hint="eastAsia" w:ascii="宋体" w:hAnsi="宋体"/>
          <w:color w:val="auto"/>
          <w:sz w:val="24"/>
          <w:highlight w:val="none"/>
          <w:lang w:val="en-US" w:eastAsia="zh-CN"/>
        </w:rPr>
        <w:t>供应商</w:t>
      </w:r>
      <w:r>
        <w:rPr>
          <w:rFonts w:hint="default" w:ascii="宋体" w:hAnsi="宋体" w:eastAsia="宋体"/>
          <w:color w:val="auto"/>
          <w:sz w:val="24"/>
          <w:highlight w:val="none"/>
          <w:lang w:val="en-US" w:eastAsia="zh-CN"/>
        </w:rPr>
        <w:t>需提供反开收据交至代理处；</w:t>
      </w:r>
    </w:p>
    <w:p w14:paraId="4B88C742">
      <w:pPr>
        <w:spacing w:line="360" w:lineRule="auto"/>
        <w:ind w:firstLine="720" w:firstLineChars="300"/>
        <w:jc w:val="left"/>
        <w:rPr>
          <w:rFonts w:hint="default" w:ascii="宋体" w:hAnsi="宋体" w:eastAsia="宋体"/>
          <w:color w:val="auto"/>
          <w:sz w:val="24"/>
          <w:highlight w:val="none"/>
          <w:lang w:val="en-US" w:eastAsia="zh-CN"/>
        </w:rPr>
      </w:pPr>
      <w:r>
        <w:rPr>
          <w:rFonts w:hint="default" w:ascii="宋体" w:hAnsi="宋体" w:eastAsia="宋体"/>
          <w:color w:val="auto"/>
          <w:sz w:val="24"/>
          <w:highlight w:val="none"/>
          <w:lang w:val="en-US" w:eastAsia="zh-CN"/>
        </w:rPr>
        <w:t>(2)</w:t>
      </w:r>
      <w:r>
        <w:rPr>
          <w:rFonts w:hint="eastAsia" w:ascii="宋体" w:hAnsi="宋体"/>
          <w:color w:val="auto"/>
          <w:sz w:val="24"/>
          <w:highlight w:val="none"/>
          <w:lang w:val="en-US" w:eastAsia="zh-CN"/>
        </w:rPr>
        <w:t>成交单位</w:t>
      </w:r>
      <w:r>
        <w:rPr>
          <w:rFonts w:hint="default" w:ascii="宋体" w:hAnsi="宋体" w:eastAsia="宋体"/>
          <w:color w:val="auto"/>
          <w:sz w:val="24"/>
          <w:highlight w:val="none"/>
          <w:lang w:val="en-US" w:eastAsia="zh-CN"/>
        </w:rPr>
        <w:t>在业主方确认</w:t>
      </w:r>
      <w:r>
        <w:rPr>
          <w:rFonts w:hint="eastAsia" w:ascii="宋体" w:hAnsi="宋体"/>
          <w:color w:val="auto"/>
          <w:sz w:val="24"/>
          <w:highlight w:val="none"/>
          <w:lang w:val="en-US" w:eastAsia="zh-CN"/>
        </w:rPr>
        <w:t>成交单位</w:t>
      </w:r>
      <w:r>
        <w:rPr>
          <w:rFonts w:hint="default" w:ascii="宋体" w:hAnsi="宋体" w:eastAsia="宋体"/>
          <w:color w:val="auto"/>
          <w:sz w:val="24"/>
          <w:highlight w:val="none"/>
          <w:lang w:val="en-US" w:eastAsia="zh-CN"/>
        </w:rPr>
        <w:t>后自合同签订之日起5个工作日内退还</w:t>
      </w:r>
      <w:r>
        <w:rPr>
          <w:rFonts w:hint="eastAsia" w:ascii="宋体" w:hAnsi="宋体"/>
          <w:color w:val="auto"/>
          <w:sz w:val="24"/>
          <w:highlight w:val="none"/>
          <w:lang w:val="en-US" w:eastAsia="zh-CN"/>
        </w:rPr>
        <w:t>成交单位</w:t>
      </w:r>
      <w:r>
        <w:rPr>
          <w:rFonts w:hint="default" w:ascii="宋体" w:hAnsi="宋体" w:eastAsia="宋体"/>
          <w:color w:val="auto"/>
          <w:sz w:val="24"/>
          <w:highlight w:val="none"/>
          <w:lang w:val="en-US" w:eastAsia="zh-CN"/>
        </w:rPr>
        <w:t>的投标保证金</w:t>
      </w:r>
    </w:p>
    <w:p w14:paraId="20F98818">
      <w:pPr>
        <w:spacing w:line="360" w:lineRule="auto"/>
        <w:ind w:firstLine="720" w:firstLineChars="300"/>
        <w:jc w:val="left"/>
        <w:rPr>
          <w:rFonts w:hint="default" w:ascii="宋体" w:hAnsi="宋体" w:eastAsia="宋体"/>
          <w:b/>
          <w:bCs/>
          <w:color w:val="auto"/>
          <w:sz w:val="24"/>
          <w:highlight w:val="none"/>
          <w:lang w:val="en-US" w:eastAsia="zh-CN"/>
        </w:rPr>
      </w:pPr>
      <w:r>
        <w:rPr>
          <w:rFonts w:hint="default" w:ascii="宋体" w:hAnsi="宋体" w:eastAsia="宋体"/>
          <w:color w:val="auto"/>
          <w:sz w:val="24"/>
          <w:highlight w:val="none"/>
          <w:lang w:val="en-US" w:eastAsia="zh-CN"/>
        </w:rPr>
        <w:t>(3)因</w:t>
      </w:r>
      <w:r>
        <w:rPr>
          <w:rFonts w:hint="eastAsia" w:ascii="宋体" w:hAnsi="宋体"/>
          <w:color w:val="auto"/>
          <w:sz w:val="24"/>
          <w:highlight w:val="none"/>
          <w:lang w:val="en-US" w:eastAsia="zh-CN"/>
        </w:rPr>
        <w:t>供应商</w:t>
      </w:r>
      <w:r>
        <w:rPr>
          <w:rFonts w:hint="default" w:ascii="宋体" w:hAnsi="宋体" w:eastAsia="宋体"/>
          <w:color w:val="auto"/>
          <w:sz w:val="24"/>
          <w:highlight w:val="none"/>
          <w:lang w:val="en-US" w:eastAsia="zh-CN"/>
        </w:rPr>
        <w:t>账户问题导致无法正常时间内退付的，采购人和采购代理机构不承担相应责任；</w:t>
      </w:r>
    </w:p>
    <w:p w14:paraId="68305FF1">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如</w:t>
      </w:r>
      <w:r>
        <w:rPr>
          <w:rFonts w:hint="eastAsia" w:ascii="宋体" w:hAnsi="宋体"/>
          <w:color w:val="auto"/>
          <w:sz w:val="24"/>
          <w:highlight w:val="none"/>
          <w:lang w:eastAsia="zh-CN"/>
        </w:rPr>
        <w:t>供应商</w:t>
      </w:r>
      <w:r>
        <w:rPr>
          <w:rFonts w:hint="eastAsia" w:ascii="宋体" w:hAnsi="宋体"/>
          <w:color w:val="auto"/>
          <w:sz w:val="24"/>
          <w:highlight w:val="none"/>
        </w:rPr>
        <w:t>未按上述规定提交投标保证金，其</w:t>
      </w:r>
      <w:r>
        <w:rPr>
          <w:rFonts w:hint="eastAsia" w:ascii="宋体" w:hAnsi="宋体"/>
          <w:color w:val="auto"/>
          <w:sz w:val="24"/>
          <w:highlight w:val="none"/>
          <w:lang w:eastAsia="zh-CN"/>
        </w:rPr>
        <w:t>响应文件</w:t>
      </w:r>
      <w:r>
        <w:rPr>
          <w:rFonts w:hint="eastAsia" w:ascii="宋体" w:hAnsi="宋体"/>
          <w:color w:val="auto"/>
          <w:sz w:val="24"/>
          <w:highlight w:val="none"/>
        </w:rPr>
        <w:t>将被拒绝。</w:t>
      </w:r>
    </w:p>
    <w:p w14:paraId="5314FE97">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未中标的</w:t>
      </w:r>
      <w:r>
        <w:rPr>
          <w:rFonts w:hint="eastAsia" w:ascii="宋体" w:hAnsi="宋体"/>
          <w:color w:val="auto"/>
          <w:sz w:val="24"/>
          <w:highlight w:val="none"/>
          <w:lang w:eastAsia="zh-CN"/>
        </w:rPr>
        <w:t>供应商</w:t>
      </w:r>
      <w:r>
        <w:rPr>
          <w:rFonts w:hint="eastAsia" w:ascii="宋体" w:hAnsi="宋体"/>
          <w:color w:val="auto"/>
          <w:sz w:val="24"/>
          <w:highlight w:val="none"/>
        </w:rPr>
        <w:t>的投标保证金将在</w:t>
      </w:r>
      <w:r>
        <w:rPr>
          <w:rFonts w:hint="eastAsia" w:ascii="宋体" w:hAnsi="宋体"/>
          <w:color w:val="auto"/>
          <w:sz w:val="24"/>
          <w:highlight w:val="none"/>
          <w:lang w:eastAsia="zh-CN"/>
        </w:rPr>
        <w:t>成交通知书</w:t>
      </w:r>
      <w:r>
        <w:rPr>
          <w:rFonts w:hint="eastAsia" w:ascii="宋体" w:hAnsi="宋体"/>
          <w:color w:val="auto"/>
          <w:sz w:val="24"/>
          <w:highlight w:val="none"/>
        </w:rPr>
        <w:t>发出后5个工作日内无息退还。</w:t>
      </w:r>
    </w:p>
    <w:p w14:paraId="29F16979">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下列任一情况发生时，投标保证金将不予退还：</w:t>
      </w:r>
    </w:p>
    <w:p w14:paraId="0361E0CB">
      <w:pPr>
        <w:spacing w:line="360" w:lineRule="auto"/>
        <w:ind w:left="1075" w:leftChars="215" w:hanging="624" w:hangingChars="26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rPr>
        <w:tab/>
      </w:r>
      <w:r>
        <w:rPr>
          <w:rFonts w:hint="eastAsia" w:ascii="宋体" w:hAnsi="宋体"/>
          <w:color w:val="auto"/>
          <w:sz w:val="24"/>
          <w:highlight w:val="none"/>
          <w:lang w:eastAsia="zh-CN"/>
        </w:rPr>
        <w:t>供应商</w:t>
      </w:r>
      <w:r>
        <w:rPr>
          <w:rFonts w:hint="eastAsia" w:ascii="宋体" w:hAnsi="宋体"/>
          <w:color w:val="auto"/>
          <w:sz w:val="24"/>
          <w:highlight w:val="none"/>
        </w:rPr>
        <w:t>在</w:t>
      </w:r>
      <w:r>
        <w:rPr>
          <w:rFonts w:hint="eastAsia" w:ascii="宋体" w:hAnsi="宋体"/>
          <w:color w:val="auto"/>
          <w:sz w:val="24"/>
          <w:highlight w:val="none"/>
          <w:lang w:eastAsia="zh-CN"/>
        </w:rPr>
        <w:t>招标文件</w:t>
      </w:r>
      <w:r>
        <w:rPr>
          <w:rFonts w:hint="eastAsia" w:ascii="宋体" w:hAnsi="宋体"/>
          <w:color w:val="auto"/>
          <w:sz w:val="24"/>
          <w:highlight w:val="none"/>
        </w:rPr>
        <w:t>中规定的投标有效期内撤销其</w:t>
      </w:r>
      <w:r>
        <w:rPr>
          <w:rFonts w:hint="eastAsia" w:ascii="宋体" w:hAnsi="宋体"/>
          <w:color w:val="auto"/>
          <w:sz w:val="24"/>
          <w:highlight w:val="none"/>
          <w:lang w:eastAsia="zh-CN"/>
        </w:rPr>
        <w:t>响应文件</w:t>
      </w:r>
      <w:r>
        <w:rPr>
          <w:rFonts w:hint="eastAsia" w:ascii="宋体" w:hAnsi="宋体"/>
          <w:color w:val="auto"/>
          <w:sz w:val="24"/>
          <w:highlight w:val="none"/>
        </w:rPr>
        <w:t>；</w:t>
      </w:r>
    </w:p>
    <w:p w14:paraId="22C668CF">
      <w:pPr>
        <w:spacing w:line="360" w:lineRule="auto"/>
        <w:ind w:left="1075" w:leftChars="215" w:hanging="624" w:hangingChars="26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rPr>
        <w:tab/>
      </w:r>
      <w:r>
        <w:rPr>
          <w:rFonts w:hint="eastAsia" w:ascii="宋体" w:hAnsi="宋体"/>
          <w:color w:val="auto"/>
          <w:sz w:val="24"/>
          <w:highlight w:val="none"/>
        </w:rPr>
        <w:t>中标后无正当理由放弃中标或中标人拒绝与</w:t>
      </w:r>
      <w:r>
        <w:rPr>
          <w:rFonts w:hint="eastAsia" w:ascii="宋体" w:hAnsi="宋体"/>
          <w:color w:val="auto"/>
          <w:sz w:val="24"/>
          <w:highlight w:val="none"/>
          <w:lang w:eastAsia="zh-CN"/>
        </w:rPr>
        <w:t>招标人</w:t>
      </w:r>
      <w:r>
        <w:rPr>
          <w:rFonts w:hint="eastAsia" w:ascii="宋体" w:hAnsi="宋体"/>
          <w:color w:val="auto"/>
          <w:sz w:val="24"/>
          <w:highlight w:val="none"/>
        </w:rPr>
        <w:t>签订合同。</w:t>
      </w:r>
    </w:p>
    <w:p w14:paraId="36CBD7AB">
      <w:pPr>
        <w:numPr>
          <w:ilvl w:val="1"/>
          <w:numId w:val="4"/>
        </w:numPr>
        <w:tabs>
          <w:tab w:val="left" w:pos="567"/>
          <w:tab w:val="clear" w:pos="289"/>
        </w:tabs>
        <w:spacing w:line="360" w:lineRule="auto"/>
        <w:ind w:left="567"/>
        <w:outlineLvl w:val="3"/>
        <w:rPr>
          <w:rFonts w:ascii="宋体" w:hAnsi="宋体"/>
          <w:b/>
          <w:bCs/>
          <w:color w:val="auto"/>
          <w:sz w:val="24"/>
          <w:highlight w:val="none"/>
        </w:rPr>
      </w:pPr>
      <w:r>
        <w:rPr>
          <w:rFonts w:hint="eastAsia" w:ascii="宋体" w:hAnsi="宋体"/>
          <w:b/>
          <w:bCs/>
          <w:color w:val="auto"/>
          <w:sz w:val="24"/>
          <w:highlight w:val="none"/>
        </w:rPr>
        <w:t>开标</w:t>
      </w:r>
    </w:p>
    <w:p w14:paraId="1AB77B09">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开标在</w:t>
      </w:r>
      <w:r>
        <w:rPr>
          <w:rFonts w:hint="eastAsia" w:ascii="宋体" w:hAnsi="宋体"/>
          <w:color w:val="auto"/>
          <w:sz w:val="24"/>
          <w:highlight w:val="none"/>
          <w:lang w:eastAsia="zh-CN"/>
        </w:rPr>
        <w:t>招标文件</w:t>
      </w:r>
      <w:r>
        <w:rPr>
          <w:rFonts w:hint="eastAsia" w:ascii="宋体" w:hAnsi="宋体"/>
          <w:color w:val="auto"/>
          <w:sz w:val="24"/>
          <w:highlight w:val="none"/>
        </w:rPr>
        <w:t>确定的提交</w:t>
      </w:r>
      <w:r>
        <w:rPr>
          <w:rFonts w:hint="eastAsia" w:ascii="宋体" w:hAnsi="宋体"/>
          <w:color w:val="auto"/>
          <w:sz w:val="24"/>
          <w:highlight w:val="none"/>
          <w:lang w:eastAsia="zh-CN"/>
        </w:rPr>
        <w:t>响应文件</w:t>
      </w:r>
      <w:r>
        <w:rPr>
          <w:rFonts w:hint="eastAsia" w:ascii="宋体" w:hAnsi="宋体"/>
          <w:color w:val="auto"/>
          <w:sz w:val="24"/>
          <w:highlight w:val="none"/>
        </w:rPr>
        <w:t>截止时间的同一时间公开进行，开标地点为</w:t>
      </w:r>
      <w:r>
        <w:rPr>
          <w:rFonts w:hint="eastAsia" w:ascii="宋体" w:hAnsi="宋体"/>
          <w:color w:val="auto"/>
          <w:sz w:val="24"/>
          <w:highlight w:val="none"/>
          <w:lang w:eastAsia="zh-CN"/>
        </w:rPr>
        <w:t>招标文件</w:t>
      </w:r>
      <w:r>
        <w:rPr>
          <w:rFonts w:hint="eastAsia" w:ascii="宋体" w:hAnsi="宋体"/>
          <w:color w:val="auto"/>
          <w:sz w:val="24"/>
          <w:highlight w:val="none"/>
        </w:rPr>
        <w:t>预先确定的地点。</w:t>
      </w:r>
    </w:p>
    <w:p w14:paraId="591F041D">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在</w:t>
      </w:r>
      <w:r>
        <w:rPr>
          <w:rFonts w:hint="eastAsia" w:ascii="宋体" w:hAnsi="宋体"/>
          <w:color w:val="auto"/>
          <w:sz w:val="24"/>
          <w:highlight w:val="none"/>
          <w:lang w:eastAsia="zh-CN"/>
        </w:rPr>
        <w:t>招标文件</w:t>
      </w:r>
      <w:r>
        <w:rPr>
          <w:rFonts w:hint="eastAsia" w:ascii="宋体" w:hAnsi="宋体"/>
          <w:color w:val="auto"/>
          <w:sz w:val="24"/>
          <w:highlight w:val="none"/>
        </w:rPr>
        <w:t>要求提交</w:t>
      </w:r>
      <w:r>
        <w:rPr>
          <w:rFonts w:hint="eastAsia" w:ascii="宋体" w:hAnsi="宋体"/>
          <w:color w:val="auto"/>
          <w:sz w:val="24"/>
          <w:highlight w:val="none"/>
          <w:lang w:eastAsia="zh-CN"/>
        </w:rPr>
        <w:t>响应文件</w:t>
      </w:r>
      <w:r>
        <w:rPr>
          <w:rFonts w:hint="eastAsia" w:ascii="宋体" w:hAnsi="宋体"/>
          <w:color w:val="auto"/>
          <w:sz w:val="24"/>
          <w:highlight w:val="none"/>
        </w:rPr>
        <w:t>的截止时间前收到的所有</w:t>
      </w:r>
      <w:r>
        <w:rPr>
          <w:rFonts w:hint="eastAsia" w:ascii="宋体" w:hAnsi="宋体"/>
          <w:color w:val="auto"/>
          <w:sz w:val="24"/>
          <w:highlight w:val="none"/>
          <w:lang w:eastAsia="zh-CN"/>
        </w:rPr>
        <w:t>响应文件</w:t>
      </w:r>
      <w:r>
        <w:rPr>
          <w:rFonts w:hint="eastAsia" w:ascii="宋体" w:hAnsi="宋体"/>
          <w:color w:val="auto"/>
          <w:sz w:val="24"/>
          <w:highlight w:val="none"/>
        </w:rPr>
        <w:t>，</w:t>
      </w:r>
      <w:r>
        <w:rPr>
          <w:rFonts w:hint="eastAsia" w:ascii="宋体" w:hAnsi="宋体"/>
          <w:color w:val="auto"/>
          <w:sz w:val="24"/>
          <w:highlight w:val="none"/>
          <w:lang w:eastAsia="zh-CN"/>
        </w:rPr>
        <w:t>供应商须</w:t>
      </w:r>
      <w:r>
        <w:rPr>
          <w:rFonts w:hint="eastAsia" w:ascii="宋体" w:hAnsi="宋体"/>
          <w:color w:val="auto"/>
          <w:sz w:val="24"/>
          <w:highlight w:val="none"/>
          <w:lang w:val="en-US" w:eastAsia="zh-CN"/>
        </w:rPr>
        <w:t>在</w:t>
      </w:r>
      <w:r>
        <w:rPr>
          <w:rFonts w:hint="eastAsia" w:ascii="宋体" w:hAnsi="宋体"/>
          <w:color w:val="auto"/>
          <w:sz w:val="24"/>
          <w:highlight w:val="none"/>
        </w:rPr>
        <w:t>开标时</w:t>
      </w:r>
      <w:r>
        <w:rPr>
          <w:rFonts w:hint="eastAsia" w:ascii="宋体" w:hAnsi="宋体"/>
          <w:color w:val="auto"/>
          <w:sz w:val="24"/>
          <w:highlight w:val="none"/>
          <w:lang w:val="en-US" w:eastAsia="zh-CN"/>
        </w:rPr>
        <w:t>按招标文件规定的时间内</w:t>
      </w:r>
      <w:r>
        <w:rPr>
          <w:rFonts w:hint="eastAsia" w:ascii="宋体" w:hAnsi="宋体"/>
          <w:color w:val="auto"/>
          <w:sz w:val="24"/>
          <w:highlight w:val="none"/>
          <w:lang w:eastAsia="zh-CN"/>
        </w:rPr>
        <w:t>解密响应文件</w:t>
      </w:r>
      <w:r>
        <w:rPr>
          <w:rFonts w:hint="eastAsia" w:ascii="宋体" w:hAnsi="宋体"/>
          <w:color w:val="auto"/>
          <w:sz w:val="24"/>
          <w:highlight w:val="none"/>
        </w:rPr>
        <w:t>。当</w:t>
      </w:r>
      <w:r>
        <w:rPr>
          <w:rFonts w:hint="eastAsia" w:ascii="宋体" w:hAnsi="宋体"/>
          <w:color w:val="auto"/>
          <w:sz w:val="24"/>
          <w:highlight w:val="none"/>
          <w:lang w:eastAsia="zh-CN"/>
        </w:rPr>
        <w:t>供应商</w:t>
      </w:r>
      <w:r>
        <w:rPr>
          <w:rFonts w:hint="eastAsia" w:ascii="宋体" w:hAnsi="宋体"/>
          <w:color w:val="auto"/>
          <w:sz w:val="24"/>
          <w:highlight w:val="none"/>
        </w:rPr>
        <w:t>少于三家时，则招标失败，采购代理机构将重新招标</w:t>
      </w:r>
      <w:r>
        <w:rPr>
          <w:rFonts w:hint="eastAsia" w:ascii="宋体" w:hAnsi="宋体"/>
          <w:color w:val="auto"/>
          <w:sz w:val="24"/>
          <w:highlight w:val="none"/>
          <w:lang w:eastAsia="zh-CN"/>
        </w:rPr>
        <w:t>。</w:t>
      </w:r>
    </w:p>
    <w:p w14:paraId="4B1C424C">
      <w:pPr>
        <w:numPr>
          <w:ilvl w:val="2"/>
          <w:numId w:val="4"/>
        </w:numPr>
        <w:tabs>
          <w:tab w:val="left" w:pos="624"/>
          <w:tab w:val="left" w:pos="735"/>
          <w:tab w:val="left" w:pos="1254"/>
          <w:tab w:val="clear" w:pos="1050"/>
        </w:tabs>
        <w:spacing w:line="360" w:lineRule="auto"/>
        <w:ind w:left="735" w:hanging="735"/>
        <w:rPr>
          <w:rFonts w:ascii="宋体" w:hAnsi="宋体"/>
          <w:b w:val="0"/>
          <w:bCs w:val="0"/>
          <w:color w:val="auto"/>
          <w:sz w:val="24"/>
          <w:highlight w:val="none"/>
        </w:rPr>
      </w:pPr>
      <w:r>
        <w:rPr>
          <w:rFonts w:hint="eastAsia" w:ascii="宋体" w:hAnsi="宋体"/>
          <w:b w:val="0"/>
          <w:bCs w:val="0"/>
          <w:color w:val="auto"/>
          <w:sz w:val="24"/>
          <w:highlight w:val="none"/>
          <w:lang w:eastAsia="zh-CN"/>
        </w:rPr>
        <w:t>参与本次</w:t>
      </w:r>
      <w:r>
        <w:rPr>
          <w:rFonts w:hint="eastAsia" w:ascii="宋体" w:hAnsi="宋体"/>
          <w:b w:val="0"/>
          <w:bCs w:val="0"/>
          <w:color w:val="auto"/>
          <w:sz w:val="24"/>
          <w:highlight w:val="none"/>
          <w:lang w:val="en-US" w:eastAsia="zh-CN"/>
        </w:rPr>
        <w:t>招标</w:t>
      </w:r>
      <w:r>
        <w:rPr>
          <w:rFonts w:hint="eastAsia" w:ascii="宋体" w:hAnsi="宋体"/>
          <w:b w:val="0"/>
          <w:bCs w:val="0"/>
          <w:color w:val="auto"/>
          <w:sz w:val="24"/>
          <w:highlight w:val="none"/>
          <w:lang w:eastAsia="zh-CN"/>
        </w:rPr>
        <w:t>活动的各个供应商</w:t>
      </w:r>
      <w:r>
        <w:rPr>
          <w:rFonts w:hint="eastAsia" w:ascii="宋体" w:hAnsi="宋体"/>
          <w:b w:val="0"/>
          <w:bCs w:val="0"/>
          <w:color w:val="auto"/>
          <w:sz w:val="24"/>
          <w:highlight w:val="none"/>
          <w:lang w:val="en-US" w:eastAsia="zh-CN"/>
        </w:rPr>
        <w:t>须</w:t>
      </w:r>
      <w:r>
        <w:rPr>
          <w:rFonts w:hint="eastAsia" w:ascii="宋体" w:hAnsi="宋体"/>
          <w:b w:val="0"/>
          <w:bCs w:val="0"/>
          <w:color w:val="auto"/>
          <w:sz w:val="24"/>
          <w:highlight w:val="none"/>
          <w:lang w:eastAsia="zh-CN"/>
        </w:rPr>
        <w:t>提前自行配置好硬件货物（电脑、摄像头、麦克风、谷歌浏览器（</w:t>
      </w:r>
      <w:r>
        <w:rPr>
          <w:rFonts w:hint="eastAsia" w:ascii="宋体" w:hAnsi="宋体"/>
          <w:b w:val="0"/>
          <w:bCs w:val="0"/>
          <w:color w:val="auto"/>
          <w:sz w:val="24"/>
          <w:highlight w:val="none"/>
          <w:lang w:val="en-US" w:eastAsia="zh-CN"/>
        </w:rPr>
        <w:t>建议</w:t>
      </w:r>
      <w:r>
        <w:rPr>
          <w:rFonts w:hint="eastAsia" w:ascii="宋体" w:hAnsi="宋体"/>
          <w:b w:val="0"/>
          <w:bCs w:val="0"/>
          <w:color w:val="auto"/>
          <w:sz w:val="24"/>
          <w:highlight w:val="none"/>
          <w:lang w:eastAsia="zh-CN"/>
        </w:rPr>
        <w:t>）、政采云招投标系统），登录政采云平台</w:t>
      </w:r>
      <w:r>
        <w:rPr>
          <w:rFonts w:hint="eastAsia" w:ascii="宋体" w:hAnsi="宋体"/>
          <w:b w:val="0"/>
          <w:bCs w:val="0"/>
          <w:color w:val="auto"/>
          <w:sz w:val="24"/>
          <w:highlight w:val="none"/>
          <w:lang w:val="en-US" w:eastAsia="zh-CN"/>
        </w:rPr>
        <w:t>开标大厅</w:t>
      </w:r>
      <w:r>
        <w:rPr>
          <w:rFonts w:hint="eastAsia" w:ascii="宋体" w:hAnsi="宋体"/>
          <w:b w:val="0"/>
          <w:bCs w:val="0"/>
          <w:color w:val="auto"/>
          <w:sz w:val="24"/>
          <w:highlight w:val="none"/>
          <w:lang w:eastAsia="zh-CN"/>
        </w:rPr>
        <w:t>，并确保</w:t>
      </w:r>
      <w:r>
        <w:rPr>
          <w:rFonts w:hint="eastAsia" w:ascii="宋体" w:hAnsi="宋体"/>
          <w:b w:val="0"/>
          <w:bCs w:val="0"/>
          <w:color w:val="auto"/>
          <w:sz w:val="24"/>
          <w:highlight w:val="none"/>
          <w:lang w:val="en-US" w:eastAsia="zh-CN"/>
        </w:rPr>
        <w:t>所有</w:t>
      </w:r>
      <w:r>
        <w:rPr>
          <w:rFonts w:hint="eastAsia" w:ascii="宋体" w:hAnsi="宋体"/>
          <w:b w:val="0"/>
          <w:bCs w:val="0"/>
          <w:color w:val="auto"/>
          <w:sz w:val="24"/>
          <w:highlight w:val="none"/>
          <w:lang w:eastAsia="zh-CN"/>
        </w:rPr>
        <w:t>货物</w:t>
      </w:r>
      <w:r>
        <w:rPr>
          <w:rFonts w:hint="eastAsia" w:ascii="宋体" w:hAnsi="宋体"/>
          <w:b w:val="0"/>
          <w:bCs w:val="0"/>
          <w:color w:val="auto"/>
          <w:sz w:val="24"/>
          <w:highlight w:val="none"/>
          <w:lang w:val="en-US" w:eastAsia="zh-CN"/>
        </w:rPr>
        <w:t>可</w:t>
      </w:r>
      <w:r>
        <w:rPr>
          <w:rFonts w:hint="eastAsia" w:ascii="宋体" w:hAnsi="宋体"/>
          <w:b w:val="0"/>
          <w:bCs w:val="0"/>
          <w:color w:val="auto"/>
          <w:sz w:val="24"/>
          <w:highlight w:val="none"/>
          <w:lang w:eastAsia="zh-CN"/>
        </w:rPr>
        <w:t>正常</w:t>
      </w:r>
      <w:r>
        <w:rPr>
          <w:rFonts w:hint="eastAsia" w:ascii="宋体" w:hAnsi="宋体"/>
          <w:b w:val="0"/>
          <w:bCs w:val="0"/>
          <w:color w:val="auto"/>
          <w:sz w:val="24"/>
          <w:highlight w:val="none"/>
          <w:lang w:val="en-US" w:eastAsia="zh-CN"/>
        </w:rPr>
        <w:t>使用</w:t>
      </w:r>
      <w:r>
        <w:rPr>
          <w:rFonts w:hint="eastAsia" w:ascii="宋体" w:hAnsi="宋体"/>
          <w:b w:val="0"/>
          <w:bCs w:val="0"/>
          <w:color w:val="auto"/>
          <w:sz w:val="24"/>
          <w:highlight w:val="none"/>
          <w:lang w:eastAsia="zh-CN"/>
        </w:rPr>
        <w:t>。到达开标时间，待</w:t>
      </w:r>
      <w:r>
        <w:rPr>
          <w:rFonts w:hint="eastAsia" w:ascii="宋体" w:hAnsi="宋体"/>
          <w:b w:val="0"/>
          <w:bCs w:val="0"/>
          <w:color w:val="auto"/>
          <w:sz w:val="24"/>
          <w:highlight w:val="none"/>
          <w:lang w:val="en-US" w:eastAsia="zh-CN"/>
        </w:rPr>
        <w:t>采购</w:t>
      </w:r>
      <w:r>
        <w:rPr>
          <w:rFonts w:hint="eastAsia" w:ascii="宋体" w:hAnsi="宋体"/>
          <w:b w:val="0"/>
          <w:bCs w:val="0"/>
          <w:color w:val="auto"/>
          <w:sz w:val="24"/>
          <w:highlight w:val="none"/>
          <w:lang w:eastAsia="zh-CN"/>
        </w:rPr>
        <w:t>代理机构开启解密标书后，供应商进行标书解密。</w:t>
      </w:r>
    </w:p>
    <w:p w14:paraId="3FC0221F">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开标</w:t>
      </w:r>
      <w:r>
        <w:rPr>
          <w:rFonts w:hint="eastAsia" w:ascii="宋体" w:hAnsi="宋体"/>
          <w:color w:val="auto"/>
          <w:sz w:val="24"/>
          <w:highlight w:val="none"/>
          <w:lang w:eastAsia="zh-CN"/>
        </w:rPr>
        <w:t>会主持人介绍参加会议的人员</w:t>
      </w:r>
      <w:r>
        <w:rPr>
          <w:rFonts w:hint="eastAsia" w:ascii="宋体" w:hAnsi="宋体"/>
          <w:color w:val="auto"/>
          <w:sz w:val="24"/>
          <w:highlight w:val="none"/>
        </w:rPr>
        <w:t>。</w:t>
      </w:r>
    </w:p>
    <w:p w14:paraId="10577990">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供应商进入项目即自行签到。</w:t>
      </w:r>
    </w:p>
    <w:p w14:paraId="5DBE5BA8">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lang w:eastAsia="zh-CN"/>
        </w:rPr>
        <w:t>开标会主持人宣布响应文件上传时间和地点是否符合招标文件要求。</w:t>
      </w:r>
    </w:p>
    <w:p w14:paraId="673C8763">
      <w:pPr>
        <w:numPr>
          <w:ilvl w:val="2"/>
          <w:numId w:val="4"/>
        </w:numPr>
        <w:tabs>
          <w:tab w:val="left" w:pos="624"/>
          <w:tab w:val="left" w:pos="735"/>
          <w:tab w:val="left" w:pos="1254"/>
          <w:tab w:val="clear" w:pos="1050"/>
        </w:tabs>
        <w:spacing w:line="360" w:lineRule="auto"/>
        <w:ind w:left="735" w:hanging="735"/>
        <w:rPr>
          <w:rFonts w:ascii="宋体" w:hAnsi="宋体"/>
          <w:color w:val="auto"/>
          <w:sz w:val="24"/>
          <w:highlight w:val="none"/>
        </w:rPr>
      </w:pPr>
      <w:r>
        <w:rPr>
          <w:rFonts w:hint="eastAsia" w:ascii="宋体" w:hAnsi="宋体"/>
          <w:color w:val="auto"/>
          <w:sz w:val="24"/>
          <w:highlight w:val="none"/>
        </w:rPr>
        <w:t>开标</w:t>
      </w:r>
      <w:r>
        <w:rPr>
          <w:rFonts w:hint="eastAsia" w:ascii="宋体" w:hAnsi="宋体"/>
          <w:color w:val="auto"/>
          <w:sz w:val="24"/>
          <w:highlight w:val="none"/>
          <w:lang w:eastAsia="zh-CN"/>
        </w:rPr>
        <w:t>会主持人开启报价文件，宣布响应文件中的投标报价、交货期、质量等级等内容</w:t>
      </w:r>
      <w:r>
        <w:rPr>
          <w:rFonts w:hint="eastAsia" w:ascii="宋体" w:hAnsi="宋体"/>
          <w:color w:val="auto"/>
          <w:sz w:val="24"/>
          <w:highlight w:val="none"/>
        </w:rPr>
        <w:t>。</w:t>
      </w:r>
    </w:p>
    <w:p w14:paraId="1EE36393">
      <w:pPr>
        <w:numPr>
          <w:ilvl w:val="2"/>
          <w:numId w:val="4"/>
        </w:numPr>
        <w:tabs>
          <w:tab w:val="left" w:pos="624"/>
          <w:tab w:val="left" w:pos="735"/>
          <w:tab w:val="left" w:pos="1254"/>
          <w:tab w:val="clear" w:pos="1050"/>
        </w:tabs>
        <w:spacing w:line="360" w:lineRule="auto"/>
        <w:ind w:left="735" w:hanging="735"/>
        <w:rPr>
          <w:rFonts w:ascii="宋体" w:hAnsi="宋体"/>
          <w:b/>
          <w:bCs/>
          <w:color w:val="auto"/>
          <w:sz w:val="24"/>
          <w:highlight w:val="none"/>
        </w:rPr>
      </w:pPr>
      <w:r>
        <w:rPr>
          <w:rFonts w:hint="eastAsia" w:ascii="宋体" w:hAnsi="宋体"/>
          <w:b/>
          <w:bCs/>
          <w:color w:val="auto"/>
          <w:sz w:val="24"/>
          <w:highlight w:val="none"/>
          <w:lang w:eastAsia="zh-CN"/>
        </w:rPr>
        <w:t>投标</w:t>
      </w:r>
      <w:r>
        <w:rPr>
          <w:rFonts w:hint="eastAsia" w:ascii="宋体" w:hAnsi="宋体"/>
          <w:b/>
          <w:bCs/>
          <w:color w:val="auto"/>
          <w:sz w:val="24"/>
          <w:highlight w:val="none"/>
          <w:lang w:val="en-US" w:eastAsia="zh-CN"/>
        </w:rPr>
        <w:t>单位</w:t>
      </w:r>
      <w:r>
        <w:rPr>
          <w:rFonts w:hint="eastAsia" w:ascii="宋体" w:hAnsi="宋体"/>
          <w:b/>
          <w:bCs/>
          <w:color w:val="auto"/>
          <w:sz w:val="24"/>
          <w:highlight w:val="none"/>
          <w:lang w:eastAsia="zh-CN"/>
        </w:rPr>
        <w:t>对开标报价记录表确认无误后，代理机构开启报价签字时段</w:t>
      </w:r>
      <w:r>
        <w:rPr>
          <w:rFonts w:hint="eastAsia" w:ascii="宋体" w:hAnsi="宋体"/>
          <w:b/>
          <w:bCs/>
          <w:color w:val="auto"/>
          <w:sz w:val="24"/>
          <w:highlight w:val="none"/>
          <w:lang w:val="en-US" w:eastAsia="zh-CN"/>
        </w:rPr>
        <w:t>30分钟内进行CA签字确认，投标单位在此期间未进行CA签字确认的视为默认此报价</w:t>
      </w:r>
      <w:r>
        <w:rPr>
          <w:rFonts w:hint="eastAsia" w:ascii="宋体" w:hAnsi="宋体"/>
          <w:b/>
          <w:bCs/>
          <w:color w:val="auto"/>
          <w:sz w:val="24"/>
          <w:highlight w:val="none"/>
        </w:rPr>
        <w:t>。</w:t>
      </w:r>
    </w:p>
    <w:p w14:paraId="0B7372F9">
      <w:pPr>
        <w:numPr>
          <w:ilvl w:val="2"/>
          <w:numId w:val="4"/>
        </w:numPr>
        <w:tabs>
          <w:tab w:val="left" w:pos="624"/>
          <w:tab w:val="left" w:pos="735"/>
          <w:tab w:val="left" w:pos="1254"/>
          <w:tab w:val="clear" w:pos="1050"/>
        </w:tabs>
        <w:spacing w:line="360" w:lineRule="auto"/>
        <w:ind w:left="735" w:hanging="735"/>
        <w:rPr>
          <w:rFonts w:ascii="宋体" w:hAnsi="宋体"/>
          <w:b/>
          <w:bCs/>
          <w:color w:val="auto"/>
          <w:sz w:val="24"/>
          <w:highlight w:val="none"/>
        </w:rPr>
      </w:pPr>
      <w:r>
        <w:rPr>
          <w:rFonts w:hint="eastAsia" w:ascii="宋体" w:hAnsi="宋体"/>
          <w:color w:val="auto"/>
          <w:sz w:val="24"/>
          <w:highlight w:val="none"/>
          <w:lang w:eastAsia="zh-CN"/>
        </w:rPr>
        <w:t>进入评标阶段。</w:t>
      </w:r>
    </w:p>
    <w:p w14:paraId="19E42659">
      <w:pPr>
        <w:numPr>
          <w:ilvl w:val="0"/>
          <w:numId w:val="0"/>
        </w:numPr>
        <w:tabs>
          <w:tab w:val="left" w:pos="624"/>
          <w:tab w:val="left" w:pos="735"/>
          <w:tab w:val="left" w:pos="1254"/>
        </w:tabs>
        <w:spacing w:line="360" w:lineRule="auto"/>
        <w:ind w:leftChars="0"/>
        <w:rPr>
          <w:rFonts w:hint="eastAsia" w:ascii="宋体" w:hAnsi="宋体"/>
          <w:b w:val="0"/>
          <w:bCs w:val="0"/>
          <w:color w:val="auto"/>
          <w:sz w:val="24"/>
          <w:highlight w:val="none"/>
          <w:lang w:val="en-US" w:eastAsia="zh-CN"/>
        </w:rPr>
      </w:pPr>
      <w:r>
        <w:rPr>
          <w:rFonts w:hint="eastAsia" w:ascii="宋体" w:hAnsi="宋体"/>
          <w:b w:val="0"/>
          <w:bCs w:val="0"/>
          <w:color w:val="auto"/>
          <w:sz w:val="24"/>
          <w:highlight w:val="none"/>
          <w:lang w:val="en-US" w:eastAsia="zh-CN"/>
        </w:rPr>
        <w:t>4.5 评标准备会</w:t>
      </w:r>
    </w:p>
    <w:p w14:paraId="4AB2A1FA">
      <w:pPr>
        <w:keepNext w:val="0"/>
        <w:keepLines w:val="0"/>
        <w:pageBreakBefore w:val="0"/>
        <w:widowControl w:val="0"/>
        <w:numPr>
          <w:ilvl w:val="0"/>
          <w:numId w:val="0"/>
        </w:numPr>
        <w:tabs>
          <w:tab w:val="left" w:pos="624"/>
          <w:tab w:val="left" w:pos="735"/>
          <w:tab w:val="left" w:pos="1254"/>
        </w:tabs>
        <w:kinsoku/>
        <w:wordWrap/>
        <w:overflowPunct/>
        <w:topLinePunct w:val="0"/>
        <w:autoSpaceDE/>
        <w:autoSpaceDN/>
        <w:bidi w:val="0"/>
        <w:adjustRightInd/>
        <w:snapToGrid/>
        <w:spacing w:line="360" w:lineRule="auto"/>
        <w:ind w:left="720" w:leftChars="0" w:hanging="720" w:hangingChars="300"/>
        <w:textAlignment w:val="auto"/>
        <w:rPr>
          <w:rFonts w:hint="eastAsia" w:ascii="宋体" w:hAnsi="宋体"/>
          <w:b w:val="0"/>
          <w:bCs w:val="0"/>
          <w:color w:val="auto"/>
          <w:sz w:val="24"/>
          <w:highlight w:val="none"/>
          <w:lang w:val="en-US" w:eastAsia="zh-CN"/>
        </w:rPr>
      </w:pPr>
      <w:r>
        <w:rPr>
          <w:rFonts w:hint="eastAsia" w:ascii="宋体" w:hAnsi="宋体"/>
          <w:b w:val="0"/>
          <w:bCs w:val="0"/>
          <w:color w:val="auto"/>
          <w:sz w:val="24"/>
          <w:highlight w:val="none"/>
          <w:lang w:val="en-US" w:eastAsia="zh-CN"/>
        </w:rPr>
        <w:t>4.5.1 采购代理机构向评标专家提供评标时的重要信息和数据。其中包括：采购的目标、范围和性质；招标文件中规定的主要技术要求、标准和商务条款；招标文件规定的评标标准、评标方法和在评标过程中考虑的相关因素。</w:t>
      </w:r>
    </w:p>
    <w:p w14:paraId="3A3B387E">
      <w:pPr>
        <w:pStyle w:val="9"/>
        <w:keepNext w:val="0"/>
        <w:keepLines w:val="0"/>
        <w:pageBreakBefore w:val="0"/>
        <w:widowControl w:val="0"/>
        <w:kinsoku/>
        <w:wordWrap/>
        <w:overflowPunct/>
        <w:topLinePunct w:val="0"/>
        <w:autoSpaceDE/>
        <w:autoSpaceDN/>
        <w:bidi w:val="0"/>
        <w:adjustRightInd/>
        <w:snapToGrid/>
        <w:spacing w:line="360" w:lineRule="auto"/>
        <w:ind w:left="723" w:hanging="720" w:hangingChars="300"/>
        <w:textAlignment w:val="auto"/>
        <w:rPr>
          <w:rFonts w:hint="eastAsia"/>
          <w:b w:val="0"/>
          <w:bCs w:val="0"/>
          <w:color w:val="auto"/>
          <w:sz w:val="24"/>
          <w:highlight w:val="none"/>
          <w:lang w:val="en-US" w:eastAsia="zh-CN"/>
        </w:rPr>
      </w:pPr>
      <w:r>
        <w:rPr>
          <w:rFonts w:hint="eastAsia" w:ascii="宋体" w:hAnsi="宋体"/>
          <w:b w:val="0"/>
          <w:bCs w:val="0"/>
          <w:color w:val="auto"/>
          <w:sz w:val="24"/>
          <w:highlight w:val="none"/>
          <w:lang w:val="en-US" w:eastAsia="zh-CN"/>
        </w:rPr>
        <w:t>4.5.</w:t>
      </w:r>
      <w:r>
        <w:rPr>
          <w:rFonts w:hint="eastAsia"/>
          <w:b w:val="0"/>
          <w:bCs w:val="0"/>
          <w:color w:val="auto"/>
          <w:sz w:val="24"/>
          <w:highlight w:val="none"/>
          <w:lang w:val="en-US" w:eastAsia="zh-CN"/>
        </w:rPr>
        <w:t>2</w:t>
      </w:r>
      <w:r>
        <w:rPr>
          <w:rFonts w:hint="eastAsia" w:ascii="宋体" w:hAnsi="宋体"/>
          <w:b w:val="0"/>
          <w:bCs w:val="0"/>
          <w:color w:val="auto"/>
          <w:sz w:val="24"/>
          <w:highlight w:val="none"/>
          <w:lang w:val="en-US" w:eastAsia="zh-CN"/>
        </w:rPr>
        <w:t xml:space="preserve"> </w:t>
      </w:r>
      <w:r>
        <w:rPr>
          <w:rFonts w:hint="eastAsia"/>
          <w:b w:val="0"/>
          <w:bCs w:val="0"/>
          <w:color w:val="auto"/>
          <w:sz w:val="24"/>
          <w:highlight w:val="none"/>
          <w:lang w:val="en-US" w:eastAsia="zh-CN"/>
        </w:rPr>
        <w:t>评标委员会对响应文件依据《资格审查标准》《符合性审查标准》进行初评。</w:t>
      </w:r>
    </w:p>
    <w:p w14:paraId="33EB3AA1">
      <w:pPr>
        <w:keepNext w:val="0"/>
        <w:keepLines w:val="0"/>
        <w:pageBreakBefore w:val="0"/>
        <w:widowControl w:val="0"/>
        <w:kinsoku/>
        <w:wordWrap/>
        <w:overflowPunct/>
        <w:topLinePunct w:val="0"/>
        <w:autoSpaceDE/>
        <w:autoSpaceDN/>
        <w:bidi w:val="0"/>
        <w:adjustRightInd/>
        <w:snapToGrid/>
        <w:spacing w:line="360" w:lineRule="auto"/>
        <w:ind w:left="723" w:hanging="720" w:hangingChars="300"/>
        <w:textAlignment w:val="auto"/>
        <w:rPr>
          <w:rFonts w:hint="eastAsia" w:ascii="宋体" w:hAnsi="宋体"/>
          <w:b w:val="0"/>
          <w:bCs w:val="0"/>
          <w:color w:val="auto"/>
          <w:sz w:val="24"/>
          <w:highlight w:val="none"/>
          <w:lang w:val="en-US" w:eastAsia="zh-CN"/>
        </w:rPr>
      </w:pPr>
      <w:r>
        <w:rPr>
          <w:rFonts w:hint="eastAsia" w:ascii="宋体" w:hAnsi="宋体"/>
          <w:b w:val="0"/>
          <w:bCs w:val="0"/>
          <w:color w:val="auto"/>
          <w:sz w:val="24"/>
          <w:highlight w:val="none"/>
          <w:lang w:val="en-US" w:eastAsia="zh-CN"/>
        </w:rPr>
        <w:t>4.5.3 评标委员会对通过初评的响应文件依据《响应文件评审标准》进行详评。</w:t>
      </w:r>
    </w:p>
    <w:p w14:paraId="5B386C27">
      <w:pPr>
        <w:spacing w:afterAutospacing="0" w:line="360" w:lineRule="auto"/>
        <w:rPr>
          <w:rFonts w:hint="default"/>
          <w:b w:val="0"/>
          <w:bCs w:val="0"/>
          <w:color w:val="auto"/>
          <w:highlight w:val="none"/>
          <w:lang w:val="en-US" w:eastAsia="zh-CN"/>
        </w:rPr>
      </w:pPr>
      <w:r>
        <w:rPr>
          <w:rFonts w:hint="eastAsia" w:ascii="宋体" w:hAnsi="宋体"/>
          <w:b w:val="0"/>
          <w:bCs w:val="0"/>
          <w:color w:val="auto"/>
          <w:sz w:val="24"/>
          <w:highlight w:val="none"/>
          <w:lang w:val="en-US" w:eastAsia="zh-CN"/>
        </w:rPr>
        <w:t>4.5.</w:t>
      </w:r>
      <w:r>
        <w:rPr>
          <w:rFonts w:hint="eastAsia"/>
          <w:b w:val="0"/>
          <w:bCs w:val="0"/>
          <w:color w:val="auto"/>
          <w:sz w:val="24"/>
          <w:highlight w:val="none"/>
          <w:lang w:val="en-US" w:eastAsia="zh-CN"/>
        </w:rPr>
        <w:t>4 供应商应保持通讯货物的畅通，以方便在评标过程中评标委员会要求供应商对响应文件的必要澄清、说明和纠正</w:t>
      </w:r>
      <w:r>
        <w:rPr>
          <w:rFonts w:hint="eastAsia" w:ascii="宋体" w:hAnsi="宋体"/>
          <w:b w:val="0"/>
          <w:bCs w:val="0"/>
          <w:color w:val="auto"/>
          <w:sz w:val="24"/>
          <w:highlight w:val="none"/>
          <w:lang w:val="en-US" w:eastAsia="zh-CN"/>
        </w:rPr>
        <w:t>。</w:t>
      </w:r>
    </w:p>
    <w:p w14:paraId="5FEA45CD">
      <w:pPr>
        <w:pStyle w:val="6"/>
        <w:numPr>
          <w:ilvl w:val="0"/>
          <w:numId w:val="4"/>
        </w:numPr>
        <w:tabs>
          <w:tab w:val="left" w:pos="425"/>
          <w:tab w:val="clear" w:pos="147"/>
        </w:tabs>
        <w:snapToGrid/>
        <w:spacing w:before="0" w:beforeLines="0" w:beforeAutospacing="0" w:after="0" w:afterLines="0" w:afterAutospacing="0" w:line="360" w:lineRule="auto"/>
        <w:ind w:left="425"/>
        <w:rPr>
          <w:rFonts w:hint="eastAsia" w:hAnsi="宋体"/>
          <w:color w:val="auto"/>
          <w:sz w:val="24"/>
          <w:szCs w:val="24"/>
          <w:highlight w:val="none"/>
        </w:rPr>
      </w:pPr>
      <w:bookmarkStart w:id="112" w:name="_Toc391419532"/>
      <w:bookmarkStart w:id="113" w:name="_Toc458980393"/>
      <w:bookmarkStart w:id="114" w:name="_Toc414510780"/>
      <w:bookmarkStart w:id="115" w:name="_Toc31740"/>
      <w:bookmarkStart w:id="116" w:name="_Toc438722130"/>
      <w:bookmarkStart w:id="117" w:name="_Toc391418659"/>
      <w:bookmarkStart w:id="118" w:name="_Toc403580038"/>
      <w:bookmarkStart w:id="119" w:name="_Toc487044252"/>
      <w:bookmarkStart w:id="120" w:name="_Toc438508597"/>
      <w:bookmarkStart w:id="121" w:name="_Toc435687349"/>
      <w:bookmarkStart w:id="122" w:name="_Toc439679268"/>
      <w:bookmarkStart w:id="123" w:name="_Toc42952419"/>
      <w:bookmarkStart w:id="124" w:name="_Toc9797"/>
      <w:bookmarkStart w:id="125" w:name="_Toc470184441"/>
      <w:bookmarkStart w:id="126" w:name="_Toc435686980"/>
      <w:bookmarkStart w:id="127" w:name="_Toc416208486"/>
      <w:bookmarkStart w:id="128" w:name="_Toc439513161"/>
      <w:bookmarkStart w:id="129" w:name="_Toc479325592"/>
      <w:bookmarkStart w:id="130" w:name="_Toc435687275"/>
      <w:bookmarkStart w:id="131" w:name="_Toc439513445"/>
      <w:bookmarkStart w:id="132" w:name="_Toc403072942"/>
      <w:bookmarkStart w:id="133" w:name="_Toc422161992"/>
      <w:bookmarkStart w:id="134" w:name="_Toc486969379"/>
      <w:bookmarkStart w:id="135" w:name="_Toc399415363"/>
      <w:bookmarkStart w:id="136" w:name="_Toc479340789"/>
      <w:bookmarkStart w:id="137" w:name="_Toc435629838"/>
      <w:bookmarkStart w:id="138" w:name="_Toc498899371"/>
      <w:bookmarkStart w:id="139" w:name="_Toc458635596"/>
      <w:bookmarkStart w:id="140" w:name="_Toc435623754"/>
      <w:bookmarkStart w:id="141" w:name="_Toc438513734"/>
      <w:bookmarkStart w:id="142" w:name="_Toc518912735"/>
      <w:bookmarkStart w:id="143" w:name="_Toc498871244"/>
      <w:bookmarkStart w:id="144" w:name="_Toc401655774"/>
      <w:bookmarkStart w:id="145" w:name="_Toc477879840"/>
      <w:bookmarkStart w:id="146" w:name="_Toc438641465"/>
      <w:bookmarkStart w:id="147" w:name="_Toc418023333"/>
      <w:bookmarkStart w:id="148" w:name="_Toc435629792"/>
      <w:bookmarkStart w:id="149" w:name="_Toc494832087"/>
      <w:bookmarkStart w:id="150" w:name="_Toc399775413"/>
      <w:bookmarkStart w:id="151" w:name="_Toc403830754"/>
      <w:bookmarkStart w:id="152" w:name="_Toc490645938"/>
      <w:bookmarkStart w:id="153" w:name="_Toc425347662"/>
      <w:bookmarkStart w:id="154" w:name="_Toc422865421"/>
      <w:r>
        <w:rPr>
          <w:rFonts w:hint="eastAsia"/>
          <w:color w:val="auto"/>
          <w:highlight w:val="none"/>
        </w:rPr>
        <w:t>授予合同</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hint="eastAsia"/>
          <w:color w:val="auto"/>
          <w:highlight w:val="none"/>
        </w:rPr>
        <w:t xml:space="preserve">                                                    </w:t>
      </w:r>
    </w:p>
    <w:p w14:paraId="06934A8F">
      <w:pPr>
        <w:numPr>
          <w:ilvl w:val="1"/>
          <w:numId w:val="4"/>
        </w:numPr>
        <w:tabs>
          <w:tab w:val="left" w:pos="567"/>
          <w:tab w:val="clear" w:pos="289"/>
        </w:tabs>
        <w:spacing w:line="360" w:lineRule="auto"/>
        <w:ind w:left="567"/>
        <w:outlineLvl w:val="3"/>
        <w:rPr>
          <w:rFonts w:hint="eastAsia" w:hAnsi="宋体"/>
          <w:color w:val="auto"/>
          <w:sz w:val="24"/>
          <w:szCs w:val="24"/>
          <w:highlight w:val="none"/>
        </w:rPr>
      </w:pPr>
      <w:r>
        <w:rPr>
          <w:rFonts w:hint="eastAsia" w:ascii="宋体" w:hAnsi="宋体" w:cs="Times New Roman"/>
          <w:b/>
          <w:bCs/>
          <w:color w:val="auto"/>
          <w:sz w:val="24"/>
          <w:highlight w:val="none"/>
          <w:lang w:eastAsia="zh-CN"/>
        </w:rPr>
        <w:t>招标人</w:t>
      </w:r>
      <w:r>
        <w:rPr>
          <w:rFonts w:hint="eastAsia" w:ascii="宋体" w:hAnsi="宋体" w:eastAsia="宋体" w:cs="Times New Roman"/>
          <w:b/>
          <w:bCs/>
          <w:color w:val="auto"/>
          <w:sz w:val="24"/>
          <w:highlight w:val="none"/>
        </w:rPr>
        <w:t>确定中标人过程中，发现中标候选人有下列情形之一的，应当不予确定其为中</w:t>
      </w:r>
      <w:r>
        <w:rPr>
          <w:rFonts w:hint="eastAsia"/>
          <w:b/>
          <w:color w:val="auto"/>
          <w:sz w:val="24"/>
          <w:szCs w:val="24"/>
          <w:highlight w:val="none"/>
        </w:rPr>
        <w:t>标人</w:t>
      </w:r>
      <w:r>
        <w:rPr>
          <w:rFonts w:hint="eastAsia"/>
          <w:b/>
          <w:color w:val="auto"/>
          <w:sz w:val="24"/>
          <w:szCs w:val="24"/>
          <w:highlight w:val="none"/>
          <w:lang w:eastAsia="zh-CN"/>
        </w:rPr>
        <w:t>：</w:t>
      </w:r>
    </w:p>
    <w:p w14:paraId="1FD1DCC2">
      <w:pPr>
        <w:keepNext w:val="0"/>
        <w:keepLines w:val="0"/>
        <w:pageBreakBefore w:val="0"/>
        <w:widowControl w:val="0"/>
        <w:numPr>
          <w:ilvl w:val="0"/>
          <w:numId w:val="5"/>
        </w:numPr>
        <w:tabs>
          <w:tab w:val="left" w:pos="624"/>
          <w:tab w:val="left" w:pos="735"/>
          <w:tab w:val="left" w:pos="1571"/>
        </w:tabs>
        <w:kinsoku/>
        <w:wordWrap/>
        <w:overflowPunct/>
        <w:topLinePunct w:val="0"/>
        <w:autoSpaceDE/>
        <w:autoSpaceDN/>
        <w:bidi w:val="0"/>
        <w:adjustRightInd/>
        <w:snapToGrid/>
        <w:spacing w:line="360" w:lineRule="auto"/>
        <w:ind w:left="0" w:leftChars="0" w:firstLine="850" w:firstLineChars="0"/>
        <w:textAlignment w:val="auto"/>
        <w:rPr>
          <w:rFonts w:hint="eastAsia" w:hAnsi="宋体"/>
          <w:color w:val="auto"/>
          <w:sz w:val="24"/>
          <w:szCs w:val="24"/>
          <w:highlight w:val="none"/>
        </w:rPr>
      </w:pPr>
      <w:r>
        <w:rPr>
          <w:rFonts w:hint="eastAsia" w:hAnsi="宋体"/>
          <w:color w:val="auto"/>
          <w:sz w:val="24"/>
          <w:szCs w:val="24"/>
          <w:highlight w:val="none"/>
        </w:rPr>
        <w:t>发现中标候选人存在禁止参加本项目采购活动的违法行为的；</w:t>
      </w:r>
    </w:p>
    <w:p w14:paraId="40F6A057">
      <w:pPr>
        <w:keepNext w:val="0"/>
        <w:keepLines w:val="0"/>
        <w:pageBreakBefore w:val="0"/>
        <w:widowControl w:val="0"/>
        <w:numPr>
          <w:ilvl w:val="0"/>
          <w:numId w:val="5"/>
        </w:numPr>
        <w:tabs>
          <w:tab w:val="left" w:pos="624"/>
          <w:tab w:val="left" w:pos="735"/>
          <w:tab w:val="left" w:pos="1571"/>
        </w:tabs>
        <w:kinsoku/>
        <w:wordWrap/>
        <w:overflowPunct/>
        <w:topLinePunct w:val="0"/>
        <w:autoSpaceDE/>
        <w:autoSpaceDN/>
        <w:bidi w:val="0"/>
        <w:adjustRightInd/>
        <w:snapToGrid/>
        <w:spacing w:line="360" w:lineRule="auto"/>
        <w:ind w:left="0" w:leftChars="0" w:firstLine="850" w:firstLineChars="0"/>
        <w:textAlignment w:val="auto"/>
        <w:rPr>
          <w:rFonts w:hint="eastAsia" w:hAnsi="宋体"/>
          <w:color w:val="auto"/>
          <w:sz w:val="24"/>
          <w:szCs w:val="24"/>
          <w:highlight w:val="none"/>
        </w:rPr>
      </w:pPr>
      <w:r>
        <w:rPr>
          <w:rFonts w:hint="eastAsia" w:hAnsi="宋体"/>
          <w:color w:val="auto"/>
          <w:sz w:val="24"/>
          <w:szCs w:val="24"/>
          <w:highlight w:val="none"/>
        </w:rPr>
        <w:t>中标候选人因不可抗力，不能继续参加政府采购活动；</w:t>
      </w:r>
    </w:p>
    <w:p w14:paraId="135CFA24">
      <w:pPr>
        <w:keepNext w:val="0"/>
        <w:keepLines w:val="0"/>
        <w:pageBreakBefore w:val="0"/>
        <w:widowControl w:val="0"/>
        <w:numPr>
          <w:ilvl w:val="0"/>
          <w:numId w:val="5"/>
        </w:numPr>
        <w:tabs>
          <w:tab w:val="left" w:pos="624"/>
          <w:tab w:val="left" w:pos="735"/>
          <w:tab w:val="left" w:pos="1571"/>
        </w:tabs>
        <w:kinsoku/>
        <w:wordWrap/>
        <w:overflowPunct/>
        <w:topLinePunct w:val="0"/>
        <w:autoSpaceDE/>
        <w:autoSpaceDN/>
        <w:bidi w:val="0"/>
        <w:adjustRightInd/>
        <w:snapToGrid/>
        <w:spacing w:line="360" w:lineRule="auto"/>
        <w:ind w:left="0" w:leftChars="0" w:firstLine="850" w:firstLineChars="0"/>
        <w:textAlignment w:val="auto"/>
        <w:rPr>
          <w:rFonts w:hint="eastAsia" w:hAnsi="宋体"/>
          <w:color w:val="auto"/>
          <w:sz w:val="24"/>
          <w:szCs w:val="24"/>
          <w:highlight w:val="none"/>
        </w:rPr>
      </w:pPr>
      <w:r>
        <w:rPr>
          <w:rFonts w:hint="eastAsia" w:hAnsi="宋体"/>
          <w:color w:val="auto"/>
          <w:sz w:val="24"/>
          <w:szCs w:val="24"/>
          <w:highlight w:val="none"/>
        </w:rPr>
        <w:t>中标候选人无偿赠与或者低于成本价竞争；</w:t>
      </w:r>
    </w:p>
    <w:p w14:paraId="3D4B78F1">
      <w:pPr>
        <w:keepNext w:val="0"/>
        <w:keepLines w:val="0"/>
        <w:pageBreakBefore w:val="0"/>
        <w:widowControl w:val="0"/>
        <w:numPr>
          <w:ilvl w:val="0"/>
          <w:numId w:val="5"/>
        </w:numPr>
        <w:tabs>
          <w:tab w:val="left" w:pos="624"/>
          <w:tab w:val="left" w:pos="735"/>
          <w:tab w:val="left" w:pos="1571"/>
        </w:tabs>
        <w:kinsoku/>
        <w:wordWrap/>
        <w:overflowPunct/>
        <w:topLinePunct w:val="0"/>
        <w:autoSpaceDE/>
        <w:autoSpaceDN/>
        <w:bidi w:val="0"/>
        <w:adjustRightInd/>
        <w:snapToGrid/>
        <w:spacing w:line="360" w:lineRule="auto"/>
        <w:ind w:left="0" w:leftChars="0" w:firstLine="850" w:firstLineChars="0"/>
        <w:textAlignment w:val="auto"/>
        <w:rPr>
          <w:rFonts w:hint="eastAsia" w:hAnsi="宋体"/>
          <w:color w:val="auto"/>
          <w:sz w:val="24"/>
          <w:szCs w:val="24"/>
          <w:highlight w:val="none"/>
        </w:rPr>
      </w:pPr>
      <w:r>
        <w:rPr>
          <w:rFonts w:hint="eastAsia" w:hAnsi="宋体"/>
          <w:color w:val="auto"/>
          <w:sz w:val="24"/>
          <w:szCs w:val="24"/>
          <w:highlight w:val="none"/>
        </w:rPr>
        <w:t>中标候选人提供虚假材料；</w:t>
      </w:r>
    </w:p>
    <w:p w14:paraId="01D40156">
      <w:pPr>
        <w:keepNext w:val="0"/>
        <w:keepLines w:val="0"/>
        <w:pageBreakBefore w:val="0"/>
        <w:widowControl w:val="0"/>
        <w:numPr>
          <w:ilvl w:val="0"/>
          <w:numId w:val="5"/>
        </w:numPr>
        <w:tabs>
          <w:tab w:val="left" w:pos="624"/>
          <w:tab w:val="left" w:pos="735"/>
          <w:tab w:val="left" w:pos="1571"/>
        </w:tabs>
        <w:kinsoku/>
        <w:wordWrap/>
        <w:overflowPunct/>
        <w:topLinePunct w:val="0"/>
        <w:autoSpaceDE/>
        <w:autoSpaceDN/>
        <w:bidi w:val="0"/>
        <w:adjustRightInd/>
        <w:snapToGrid/>
        <w:spacing w:line="360" w:lineRule="auto"/>
        <w:ind w:left="0" w:leftChars="0" w:firstLine="850" w:firstLineChars="0"/>
        <w:textAlignment w:val="auto"/>
        <w:rPr>
          <w:color w:val="auto"/>
          <w:sz w:val="24"/>
          <w:szCs w:val="24"/>
          <w:highlight w:val="none"/>
        </w:rPr>
      </w:pPr>
      <w:r>
        <w:rPr>
          <w:rFonts w:hint="eastAsia" w:hAnsi="宋体"/>
          <w:color w:val="auto"/>
          <w:sz w:val="24"/>
          <w:szCs w:val="24"/>
          <w:highlight w:val="none"/>
        </w:rPr>
        <w:t>中标候选人恶意串通</w:t>
      </w:r>
      <w:r>
        <w:rPr>
          <w:color w:val="auto"/>
          <w:sz w:val="24"/>
          <w:szCs w:val="24"/>
          <w:highlight w:val="none"/>
        </w:rPr>
        <w:t>。</w:t>
      </w:r>
    </w:p>
    <w:p w14:paraId="23AD9B25">
      <w:pPr>
        <w:numPr>
          <w:ilvl w:val="1"/>
          <w:numId w:val="4"/>
        </w:numPr>
        <w:tabs>
          <w:tab w:val="left" w:pos="567"/>
          <w:tab w:val="clear" w:pos="289"/>
        </w:tabs>
        <w:spacing w:line="360" w:lineRule="auto"/>
        <w:ind w:left="567"/>
        <w:outlineLvl w:val="3"/>
        <w:rPr>
          <w:rFonts w:ascii="宋体" w:hAnsi="宋体"/>
          <w:color w:val="auto"/>
          <w:sz w:val="24"/>
          <w:szCs w:val="24"/>
          <w:highlight w:val="none"/>
        </w:rPr>
      </w:pPr>
      <w:r>
        <w:rPr>
          <w:rFonts w:hint="eastAsia"/>
          <w:b/>
          <w:color w:val="auto"/>
          <w:sz w:val="24"/>
          <w:szCs w:val="24"/>
          <w:highlight w:val="none"/>
        </w:rPr>
        <w:t>中标结果公告</w:t>
      </w:r>
    </w:p>
    <w:p w14:paraId="0BDF4D8A">
      <w:pPr>
        <w:numPr>
          <w:ilvl w:val="0"/>
          <w:numId w:val="0"/>
        </w:numPr>
        <w:tabs>
          <w:tab w:val="left" w:pos="360"/>
        </w:tabs>
        <w:spacing w:line="360" w:lineRule="auto"/>
        <w:ind w:leftChars="0" w:firstLine="720" w:firstLineChars="300"/>
        <w:outlineLvl w:val="3"/>
        <w:rPr>
          <w:rFonts w:ascii="宋体" w:hAnsi="宋体"/>
          <w:color w:val="auto"/>
          <w:sz w:val="24"/>
          <w:szCs w:val="24"/>
          <w:highlight w:val="none"/>
        </w:rPr>
      </w:pPr>
      <w:r>
        <w:rPr>
          <w:rFonts w:hint="eastAsia" w:ascii="宋体" w:hAnsi="宋体"/>
          <w:color w:val="auto"/>
          <w:sz w:val="24"/>
          <w:szCs w:val="24"/>
          <w:highlight w:val="none"/>
        </w:rPr>
        <w:t>采购代理机构将在</w:t>
      </w:r>
      <w:r>
        <w:rPr>
          <w:rFonts w:hint="eastAsia" w:hAnsi="宋体"/>
          <w:color w:val="auto"/>
          <w:sz w:val="24"/>
          <w:highlight w:val="none"/>
          <w:lang w:eastAsia="zh-CN"/>
        </w:rPr>
        <w:t>新疆政府采购网上</w:t>
      </w:r>
      <w:r>
        <w:rPr>
          <w:rFonts w:hint="eastAsia" w:ascii="宋体" w:hAnsi="宋体"/>
          <w:color w:val="auto"/>
          <w:sz w:val="24"/>
          <w:szCs w:val="24"/>
          <w:highlight w:val="none"/>
        </w:rPr>
        <w:t>公示中标结果公告。</w:t>
      </w:r>
    </w:p>
    <w:p w14:paraId="3A5F9F12">
      <w:pPr>
        <w:numPr>
          <w:ilvl w:val="1"/>
          <w:numId w:val="4"/>
        </w:numPr>
        <w:tabs>
          <w:tab w:val="left" w:pos="567"/>
          <w:tab w:val="clear" w:pos="289"/>
        </w:tabs>
        <w:spacing w:line="360" w:lineRule="auto"/>
        <w:ind w:left="567"/>
        <w:outlineLvl w:val="3"/>
        <w:rPr>
          <w:b/>
          <w:color w:val="auto"/>
          <w:sz w:val="24"/>
          <w:szCs w:val="24"/>
          <w:highlight w:val="none"/>
        </w:rPr>
      </w:pPr>
      <w:r>
        <w:rPr>
          <w:rFonts w:hint="eastAsia"/>
          <w:b/>
          <w:color w:val="auto"/>
          <w:sz w:val="24"/>
          <w:szCs w:val="24"/>
          <w:highlight w:val="none"/>
        </w:rPr>
        <w:t>质疑和投诉</w:t>
      </w:r>
    </w:p>
    <w:p w14:paraId="3E40087E">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5.3.1质疑和投诉</w:t>
      </w:r>
    </w:p>
    <w:p w14:paraId="6CABD039">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5.3.2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6547CF28">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（一）对可以质疑的采购文件提出质疑的，为收到采购文件之日或者采购文件公告期限届满之日；</w:t>
      </w:r>
    </w:p>
    <w:p w14:paraId="5AAADB3C">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（二）对采购过程提出质疑的，为各采购程序环节结束之日；</w:t>
      </w:r>
    </w:p>
    <w:p w14:paraId="19079D43">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（三）对中标或者成交结果提出质疑的，为中标或者成交结果公告期限届满之日。</w:t>
      </w:r>
    </w:p>
    <w:p w14:paraId="362B169E">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5.3.3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567770C8">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供应商为自然人的，应当由本人签章；供应商为法人或者其他组织的，应当由法定代表人、主要负责人，或者其授权代表签章或者盖章，并加盖公章。</w:t>
      </w:r>
    </w:p>
    <w:p w14:paraId="69215669">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5.3.4供应商质疑、投诉应当有明确的请求和必要的证明材料。供应商投诉的事项不得超出已质疑事项的范围。采购人及采购代理机构按《政府采购质疑和投诉办法》进行处理供应商质疑事项。</w:t>
      </w:r>
    </w:p>
    <w:p w14:paraId="669A344A">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5.3.5质疑供应商对采购人、采购代理机构的质疑答复不满意，或者采购人、采购代理机构未在规定期限内作出答复的，供应商可以在答复期满后15个工作日内向同级财政部门提起投诉。</w:t>
      </w:r>
    </w:p>
    <w:p w14:paraId="46B6D0A0">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5.3.6供应商有下列情形之一的，采购代理机构上报财政局，将其列入不良行为记录名单：</w:t>
      </w:r>
    </w:p>
    <w:p w14:paraId="2B28DEE9">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（一）一年内三次以上质疑均查无实据的；</w:t>
      </w:r>
    </w:p>
    <w:p w14:paraId="4993C470">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（二）捏造事实或者提供虚假质疑材料的。</w:t>
      </w:r>
    </w:p>
    <w:p w14:paraId="08B8B703">
      <w:pPr>
        <w:pStyle w:val="86"/>
        <w:keepNext w:val="0"/>
        <w:keepLines w:val="0"/>
        <w:pageBreakBefore w:val="0"/>
        <w:widowControl w:val="0"/>
        <w:kinsoku/>
        <w:wordWrap/>
        <w:overflowPunct/>
        <w:topLinePunct w:val="0"/>
        <w:autoSpaceDE/>
        <w:autoSpaceDN/>
        <w:bidi w:val="0"/>
        <w:snapToGrid/>
        <w:spacing w:line="34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（三）以非法手段取得证明材料。证据来源的合法性存在明显疑问，质疑人无法证明其取得方式合法的，视为以非法手段取得证明材料。</w:t>
      </w:r>
    </w:p>
    <w:p w14:paraId="32008E8B">
      <w:pPr>
        <w:shd w:val="clear" w:color="auto" w:fill="auto"/>
        <w:jc w:val="left"/>
        <w:rPr>
          <w:rFonts w:hint="eastAsia" w:ascii="宋体" w:hAnsi="宋体" w:eastAsia="宋体" w:cs="宋体"/>
          <w:b/>
          <w:bCs/>
          <w:color w:val="auto"/>
          <w:sz w:val="24"/>
          <w:szCs w:val="21"/>
          <w:highlight w:val="none"/>
          <w:lang w:eastAsia="zh-CN"/>
        </w:rPr>
      </w:pPr>
      <w:r>
        <w:rPr>
          <w:rFonts w:hint="eastAsia" w:ascii="宋体" w:hAnsi="宋体" w:eastAsia="宋体" w:cs="宋体"/>
          <w:color w:val="auto"/>
          <w:sz w:val="24"/>
          <w:szCs w:val="24"/>
          <w:highlight w:val="none"/>
          <w:lang w:val="en-US" w:eastAsia="zh-CN"/>
        </w:rPr>
        <w:br w:type="page"/>
      </w:r>
      <w:r>
        <w:rPr>
          <w:rFonts w:hint="eastAsia" w:ascii="宋体" w:hAnsi="宋体" w:eastAsia="宋体" w:cs="宋体"/>
          <w:b/>
          <w:bCs/>
          <w:color w:val="auto"/>
          <w:sz w:val="24"/>
          <w:szCs w:val="21"/>
          <w:highlight w:val="none"/>
          <w:lang w:eastAsia="zh-CN"/>
        </w:rPr>
        <w:t>附件：</w:t>
      </w:r>
    </w:p>
    <w:p w14:paraId="27A157D9">
      <w:pPr>
        <w:shd w:val="clear" w:color="auto" w:fill="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32"/>
          <w:szCs w:val="32"/>
          <w:highlight w:val="none"/>
          <w:lang w:eastAsia="zh-CN"/>
        </w:rPr>
        <w:t>政府采购投诉书（范本）、质疑函范本</w:t>
      </w:r>
    </w:p>
    <w:p w14:paraId="7DA310E9">
      <w:pPr>
        <w:keepNext w:val="0"/>
        <w:keepLines w:val="0"/>
        <w:pageBreakBefore w:val="0"/>
        <w:widowControl w:val="0"/>
        <w:shd w:val="clear" w:color="auto" w:fill="auto"/>
        <w:kinsoku/>
        <w:wordWrap/>
        <w:overflowPunct/>
        <w:topLinePunct w:val="0"/>
        <w:autoSpaceDE/>
        <w:autoSpaceDN/>
        <w:bidi w:val="0"/>
        <w:adjustRightInd/>
        <w:snapToGrid/>
        <w:spacing w:line="400" w:lineRule="exact"/>
        <w:jc w:val="center"/>
        <w:rPr>
          <w:rFonts w:hint="eastAsia" w:ascii="宋体" w:hAnsi="宋体" w:eastAsia="宋体" w:cs="宋体"/>
          <w:color w:val="auto"/>
          <w:sz w:val="24"/>
          <w:szCs w:val="24"/>
          <w:highlight w:val="none"/>
          <w:u w:val="single"/>
        </w:rPr>
      </w:pPr>
      <w:r>
        <w:rPr>
          <w:rFonts w:hint="eastAsia" w:ascii="宋体" w:hAnsi="宋体" w:eastAsia="宋体" w:cs="宋体"/>
          <w:b/>
          <w:bCs/>
          <w:color w:val="auto"/>
          <w:sz w:val="28"/>
          <w:szCs w:val="28"/>
          <w:highlight w:val="none"/>
        </w:rPr>
        <w:t>政府采购投诉书（范本）</w:t>
      </w:r>
    </w:p>
    <w:p w14:paraId="4C39D616">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p>
    <w:p w14:paraId="2712DAF5">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投诉人：法定代表人：</w:t>
      </w:r>
    </w:p>
    <w:p w14:paraId="6FBB53D5">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地址：电话：</w:t>
      </w:r>
    </w:p>
    <w:p w14:paraId="1C4A49C7">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委托代理人姓名：职务：</w:t>
      </w:r>
    </w:p>
    <w:p w14:paraId="1DDCBAFA">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住址：联系电话：</w:t>
      </w:r>
    </w:p>
    <w:p w14:paraId="42AAECBA">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被投诉人：法定代表人：</w:t>
      </w:r>
    </w:p>
    <w:p w14:paraId="3F4E1C9F">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u w:val="single"/>
        </w:rPr>
      </w:pPr>
      <w:r>
        <w:rPr>
          <w:rFonts w:hint="eastAsia" w:ascii="宋体" w:hAnsi="宋体" w:eastAsia="宋体" w:cs="宋体"/>
          <w:color w:val="auto"/>
          <w:sz w:val="24"/>
          <w:szCs w:val="21"/>
          <w:highlight w:val="none"/>
        </w:rPr>
        <w:t>地址：电话：</w:t>
      </w:r>
    </w:p>
    <w:p w14:paraId="6F879B79">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p>
    <w:p w14:paraId="630BCB7E">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我公司参加了年月日被投诉人组织的</w:t>
      </w:r>
      <w:r>
        <w:rPr>
          <w:rFonts w:hint="eastAsia" w:ascii="宋体" w:hAnsi="宋体" w:eastAsia="宋体" w:cs="宋体"/>
          <w:color w:val="auto"/>
          <w:sz w:val="24"/>
          <w:szCs w:val="21"/>
          <w:highlight w:val="none"/>
          <w:u w:val="single"/>
        </w:rPr>
        <w:t>（采购人）（项目名称）（项目编号）</w:t>
      </w:r>
      <w:r>
        <w:rPr>
          <w:rFonts w:hint="eastAsia" w:ascii="宋体" w:hAnsi="宋体" w:eastAsia="宋体" w:cs="宋体"/>
          <w:color w:val="auto"/>
          <w:sz w:val="24"/>
          <w:szCs w:val="21"/>
          <w:highlight w:val="none"/>
        </w:rPr>
        <w:t>的采购活动，我公司认为该项目的</w:t>
      </w:r>
      <w:r>
        <w:rPr>
          <w:rFonts w:hint="eastAsia" w:ascii="宋体" w:hAnsi="宋体" w:eastAsia="宋体" w:cs="宋体"/>
          <w:color w:val="auto"/>
          <w:sz w:val="24"/>
          <w:szCs w:val="21"/>
          <w:highlight w:val="none"/>
          <w:u w:val="single"/>
        </w:rPr>
        <w:t>（采购文件/采购过程/中标（</w:t>
      </w:r>
      <w:r>
        <w:rPr>
          <w:rFonts w:hint="eastAsia" w:ascii="宋体" w:hAnsi="宋体" w:eastAsia="宋体" w:cs="宋体"/>
          <w:color w:val="auto"/>
          <w:sz w:val="24"/>
          <w:szCs w:val="21"/>
          <w:highlight w:val="none"/>
          <w:u w:val="single"/>
          <w:lang w:eastAsia="zh-CN"/>
        </w:rPr>
        <w:t>中标</w:t>
      </w:r>
      <w:r>
        <w:rPr>
          <w:rFonts w:hint="eastAsia" w:ascii="宋体" w:hAnsi="宋体" w:eastAsia="宋体" w:cs="宋体"/>
          <w:color w:val="auto"/>
          <w:sz w:val="24"/>
          <w:szCs w:val="21"/>
          <w:highlight w:val="none"/>
          <w:u w:val="single"/>
        </w:rPr>
        <w:t>）结果）</w:t>
      </w:r>
      <w:r>
        <w:rPr>
          <w:rFonts w:hint="eastAsia" w:ascii="宋体" w:hAnsi="宋体" w:eastAsia="宋体" w:cs="宋体"/>
          <w:color w:val="auto"/>
          <w:sz w:val="24"/>
          <w:szCs w:val="21"/>
          <w:highlight w:val="none"/>
        </w:rPr>
        <w:t>损害了我公司权益，对此，我公司于年月日向</w:t>
      </w:r>
      <w:r>
        <w:rPr>
          <w:rFonts w:hint="eastAsia" w:ascii="宋体" w:hAnsi="宋体" w:eastAsia="宋体" w:cs="宋体"/>
          <w:color w:val="auto"/>
          <w:sz w:val="24"/>
          <w:szCs w:val="21"/>
          <w:highlight w:val="none"/>
          <w:u w:val="single"/>
        </w:rPr>
        <w:t>（采购人或者政府采购代理机构）</w:t>
      </w:r>
      <w:r>
        <w:rPr>
          <w:rFonts w:hint="eastAsia" w:ascii="宋体" w:hAnsi="宋体" w:eastAsia="宋体" w:cs="宋体"/>
          <w:color w:val="auto"/>
          <w:sz w:val="24"/>
          <w:szCs w:val="21"/>
          <w:highlight w:val="none"/>
        </w:rPr>
        <w:t>提出了质疑，</w:t>
      </w:r>
      <w:r>
        <w:rPr>
          <w:rFonts w:hint="eastAsia" w:ascii="宋体" w:hAnsi="宋体" w:eastAsia="宋体" w:cs="宋体"/>
          <w:color w:val="auto"/>
          <w:sz w:val="24"/>
          <w:szCs w:val="21"/>
          <w:highlight w:val="none"/>
          <w:u w:val="single"/>
        </w:rPr>
        <w:t>（其于年月日作出书面答复，因对其作出的答复不满意）/（被质疑人未在法定期内予以答复，按照政府采购有关规定）</w:t>
      </w:r>
      <w:r>
        <w:rPr>
          <w:rFonts w:hint="eastAsia" w:ascii="宋体" w:hAnsi="宋体" w:eastAsia="宋体" w:cs="宋体"/>
          <w:color w:val="auto"/>
          <w:sz w:val="24"/>
          <w:szCs w:val="21"/>
          <w:highlight w:val="none"/>
        </w:rPr>
        <w:t>，现向贵机关提起投诉：</w:t>
      </w:r>
    </w:p>
    <w:p w14:paraId="1EDEEE6C">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r>
        <w:rPr>
          <w:rFonts w:hint="eastAsia" w:ascii="宋体" w:hAnsi="宋体" w:eastAsia="宋体" w:cs="宋体"/>
          <w:color w:val="auto"/>
          <w:sz w:val="24"/>
          <w:szCs w:val="21"/>
          <w:highlight w:val="none"/>
          <w:u w:val="single"/>
        </w:rPr>
        <w:t>具体的投诉事项及事实依据；</w:t>
      </w:r>
    </w:p>
    <w:p w14:paraId="2861B9BA">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w:t>
      </w:r>
      <w:r>
        <w:rPr>
          <w:rFonts w:hint="eastAsia" w:ascii="宋体" w:hAnsi="宋体" w:eastAsia="宋体" w:cs="宋体"/>
          <w:color w:val="auto"/>
          <w:sz w:val="24"/>
          <w:szCs w:val="21"/>
          <w:highlight w:val="none"/>
          <w:u w:val="single"/>
        </w:rPr>
        <w:t>质疑和质疑答复情况简要描述；</w:t>
      </w:r>
    </w:p>
    <w:p w14:paraId="3A06CDE7">
      <w:pPr>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w:t>
      </w:r>
      <w:r>
        <w:rPr>
          <w:rFonts w:hint="eastAsia" w:ascii="宋体" w:hAnsi="宋体" w:eastAsia="宋体" w:cs="宋体"/>
          <w:color w:val="auto"/>
          <w:sz w:val="24"/>
          <w:szCs w:val="21"/>
          <w:highlight w:val="none"/>
          <w:u w:val="single"/>
        </w:rPr>
        <w:t>投诉请求。</w:t>
      </w:r>
    </w:p>
    <w:p w14:paraId="77D39A62">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附件：</w:t>
      </w:r>
    </w:p>
    <w:p w14:paraId="1650C264">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1.质疑书和质疑答复书；</w:t>
      </w:r>
    </w:p>
    <w:p w14:paraId="49570EA8">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2.证据材料（需注明证据来源），证人的姓名、住址和联系方式等；</w:t>
      </w:r>
    </w:p>
    <w:p w14:paraId="2DFD09A2">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3.营业执照；</w:t>
      </w:r>
    </w:p>
    <w:p w14:paraId="459C5AAC">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4.法定代表人身份证明函</w:t>
      </w:r>
    </w:p>
    <w:p w14:paraId="7A00BB51">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5.法定代表人授权委托书（包含法定代表人和委托代理人的身份证复印件）；</w:t>
      </w:r>
    </w:p>
    <w:p w14:paraId="11C95420">
      <w:pPr>
        <w:keepNext w:val="0"/>
        <w:keepLines w:val="0"/>
        <w:pageBreakBefore w:val="0"/>
        <w:widowControl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6.政府采购监管部门认为应当提供的其它材料。</w:t>
      </w:r>
    </w:p>
    <w:p w14:paraId="105E44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righ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投诉供应商：（盖章）</w:t>
      </w:r>
    </w:p>
    <w:p w14:paraId="5324C5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righ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法定代表人（或主要负责人）：（</w:t>
      </w:r>
      <w:r>
        <w:rPr>
          <w:rFonts w:hint="eastAsia" w:ascii="宋体" w:hAnsi="宋体" w:eastAsia="宋体" w:cs="宋体"/>
          <w:color w:val="auto"/>
          <w:sz w:val="24"/>
          <w:szCs w:val="21"/>
          <w:highlight w:val="none"/>
          <w:lang w:eastAsia="zh-CN"/>
        </w:rPr>
        <w:t>签章</w:t>
      </w:r>
      <w:r>
        <w:rPr>
          <w:rFonts w:hint="eastAsia" w:ascii="宋体" w:hAnsi="宋体" w:eastAsia="宋体" w:cs="宋体"/>
          <w:color w:val="auto"/>
          <w:sz w:val="24"/>
          <w:szCs w:val="21"/>
          <w:highlight w:val="none"/>
        </w:rPr>
        <w:t>）</w:t>
      </w:r>
    </w:p>
    <w:p w14:paraId="28A0C57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3840" w:firstLineChars="1600"/>
        <w:jc w:val="righ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年</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1"/>
          <w:highlight w:val="none"/>
        </w:rPr>
        <w:t>月</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1"/>
          <w:highlight w:val="none"/>
        </w:rPr>
        <w:t>日</w:t>
      </w:r>
    </w:p>
    <w:p w14:paraId="21DD8597">
      <w:pPr>
        <w:keepNext w:val="0"/>
        <w:keepLines w:val="0"/>
        <w:pageBreakBefore w:val="0"/>
        <w:widowControl w:val="0"/>
        <w:shd w:val="clear" w:color="auto" w:fill="auto"/>
        <w:kinsoku/>
        <w:wordWrap/>
        <w:overflowPunct/>
        <w:topLinePunct w:val="0"/>
        <w:autoSpaceDE/>
        <w:autoSpaceDN/>
        <w:bidi w:val="0"/>
        <w:adjustRightInd/>
        <w:snapToGrid/>
        <w:spacing w:line="240" w:lineRule="auto"/>
        <w:jc w:val="right"/>
        <w:rPr>
          <w:rFonts w:hint="eastAsia" w:ascii="宋体" w:hAnsi="宋体" w:eastAsia="宋体" w:cs="宋体"/>
          <w:color w:val="auto"/>
          <w:sz w:val="24"/>
          <w:szCs w:val="21"/>
          <w:highlight w:val="none"/>
        </w:rPr>
      </w:pPr>
    </w:p>
    <w:p w14:paraId="68CFC1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right"/>
        <w:rPr>
          <w:rFonts w:hint="eastAsia" w:ascii="宋体" w:hAnsi="宋体" w:eastAsia="宋体" w:cs="宋体"/>
          <w:b/>
          <w:bCs/>
          <w:color w:val="auto"/>
          <w:sz w:val="32"/>
          <w:szCs w:val="32"/>
          <w:highlight w:val="none"/>
        </w:rPr>
      </w:pPr>
      <w:bookmarkStart w:id="155" w:name="_Toc17515"/>
      <w:r>
        <w:rPr>
          <w:rFonts w:hint="eastAsia" w:ascii="宋体" w:hAnsi="宋体" w:eastAsia="宋体" w:cs="宋体"/>
          <w:color w:val="auto"/>
          <w:sz w:val="24"/>
          <w:szCs w:val="21"/>
          <w:highlight w:val="none"/>
        </w:rPr>
        <w:t>本投诉书正本叁份，副本</w:t>
      </w:r>
      <w:r>
        <w:rPr>
          <w:rFonts w:hint="eastAsia" w:ascii="宋体" w:hAnsi="宋体" w:eastAsia="宋体" w:cs="宋体"/>
          <w:color w:val="auto"/>
          <w:sz w:val="24"/>
          <w:szCs w:val="21"/>
          <w:highlight w:val="none"/>
          <w:u w:val="single"/>
          <w:lang w:val="en-US" w:eastAsia="zh-CN"/>
        </w:rPr>
        <w:t xml:space="preserve">  </w:t>
      </w:r>
      <w:r>
        <w:rPr>
          <w:rFonts w:hint="eastAsia" w:ascii="宋体" w:hAnsi="宋体" w:eastAsia="宋体" w:cs="宋体"/>
          <w:color w:val="auto"/>
          <w:sz w:val="24"/>
          <w:szCs w:val="21"/>
          <w:highlight w:val="none"/>
        </w:rPr>
        <w:t>份并附电子文档</w:t>
      </w:r>
    </w:p>
    <w:p w14:paraId="34056988">
      <w:pPr>
        <w:shd w:val="clear" w:color="auto" w:fill="auto"/>
        <w:ind w:left="7951" w:hanging="5783" w:hangingChars="1800"/>
        <w:jc w:val="center"/>
        <w:outlineLvl w:val="0"/>
        <w:rPr>
          <w:rFonts w:hint="eastAsia" w:ascii="宋体" w:hAnsi="宋体" w:eastAsia="宋体" w:cs="宋体"/>
          <w:b/>
          <w:bCs/>
          <w:color w:val="auto"/>
          <w:sz w:val="32"/>
          <w:szCs w:val="32"/>
          <w:highlight w:val="none"/>
        </w:rPr>
      </w:pPr>
    </w:p>
    <w:p w14:paraId="1A4A3261">
      <w:pPr>
        <w:shd w:val="clear" w:color="auto" w:fill="auto"/>
        <w:ind w:left="7951" w:hanging="5783" w:hangingChars="1800"/>
        <w:jc w:val="center"/>
        <w:outlineLvl w:val="0"/>
        <w:rPr>
          <w:rFonts w:hint="eastAsia" w:ascii="宋体" w:hAnsi="宋体" w:eastAsia="宋体" w:cs="宋体"/>
          <w:b/>
          <w:bCs/>
          <w:color w:val="auto"/>
          <w:sz w:val="32"/>
          <w:szCs w:val="32"/>
          <w:highlight w:val="none"/>
        </w:rPr>
      </w:pPr>
    </w:p>
    <w:bookmarkEnd w:id="155"/>
    <w:p w14:paraId="05BBE966">
      <w:pPr>
        <w:shd w:val="clear" w:color="auto" w:fill="auto"/>
        <w:ind w:left="7951" w:hanging="5783" w:hangingChars="1800"/>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投诉相关说明</w:t>
      </w:r>
    </w:p>
    <w:p w14:paraId="47A63C3B">
      <w:pPr>
        <w:keepNext w:val="0"/>
        <w:keepLines w:val="0"/>
        <w:pageBreakBefore w:val="0"/>
        <w:widowControl w:val="0"/>
        <w:shd w:val="clear" w:color="auto" w:fill="auto"/>
        <w:kinsoku/>
        <w:wordWrap/>
        <w:overflowPunct/>
        <w:topLinePunct w:val="0"/>
        <w:autoSpaceDE/>
        <w:autoSpaceDN/>
        <w:bidi w:val="0"/>
        <w:adjustRightInd/>
        <w:snapToGrid/>
        <w:spacing w:line="0" w:lineRule="atLeast"/>
        <w:ind w:left="0" w:hanging="5783" w:hangingChars="1800"/>
        <w:jc w:val="center"/>
        <w:outlineLvl w:val="0"/>
        <w:rPr>
          <w:rFonts w:hint="eastAsia" w:ascii="宋体" w:hAnsi="宋体" w:eastAsia="宋体" w:cs="宋体"/>
          <w:b/>
          <w:bCs/>
          <w:color w:val="auto"/>
          <w:sz w:val="32"/>
          <w:szCs w:val="32"/>
          <w:highlight w:val="none"/>
        </w:rPr>
      </w:pPr>
    </w:p>
    <w:p w14:paraId="7DD8A565">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投诉人应当满足《政府采购法》、《政府采购法实施条例》和《政府采购供应商投诉处理办法》的相关规定。</w:t>
      </w:r>
    </w:p>
    <w:p w14:paraId="53C64B2C">
      <w:pPr>
        <w:keepNext w:val="0"/>
        <w:keepLines w:val="0"/>
        <w:pageBreakBefore w:val="0"/>
        <w:numPr>
          <w:ilvl w:val="0"/>
          <w:numId w:val="6"/>
        </w:numPr>
        <w:shd w:val="clear" w:color="auto" w:fill="auto"/>
        <w:kinsoku/>
        <w:wordWrap/>
        <w:overflowPunct/>
        <w:topLinePunct w:val="0"/>
        <w:autoSpaceDE/>
        <w:autoSpaceDN/>
        <w:bidi w:val="0"/>
        <w:adjustRightInd/>
        <w:snapToGrid/>
        <w:spacing w:line="400" w:lineRule="exact"/>
        <w:ind w:left="4493" w:leftChars="304" w:hanging="3855" w:hangingChars="1600"/>
        <w:outlineLvl w:val="0"/>
        <w:rPr>
          <w:rFonts w:hint="eastAsia" w:ascii="宋体" w:hAnsi="宋体" w:eastAsia="宋体" w:cs="宋体"/>
          <w:b/>
          <w:bCs/>
          <w:color w:val="auto"/>
          <w:sz w:val="24"/>
          <w:szCs w:val="21"/>
          <w:highlight w:val="none"/>
        </w:rPr>
      </w:pPr>
      <w:bookmarkStart w:id="156" w:name="_Toc11499"/>
      <w:bookmarkEnd w:id="156"/>
      <w:r>
        <w:rPr>
          <w:rFonts w:hint="eastAsia" w:ascii="宋体" w:hAnsi="宋体" w:eastAsia="宋体" w:cs="宋体"/>
          <w:b/>
          <w:bCs/>
          <w:color w:val="auto"/>
          <w:sz w:val="24"/>
          <w:szCs w:val="21"/>
          <w:highlight w:val="none"/>
        </w:rPr>
        <w:t>质疑前置及时间要求</w:t>
      </w:r>
    </w:p>
    <w:p w14:paraId="6FBCB6F1">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rPr>
          <w:rFonts w:hint="eastAsia" w:ascii="宋体" w:hAnsi="宋体" w:eastAsia="宋体" w:cs="宋体"/>
          <w:color w:val="auto"/>
          <w:kern w:val="0"/>
          <w:sz w:val="24"/>
          <w:szCs w:val="21"/>
          <w:highlight w:val="none"/>
          <w:shd w:val="clear" w:color="auto" w:fill="FFFFFF"/>
        </w:rPr>
      </w:pPr>
      <w:r>
        <w:rPr>
          <w:rFonts w:hint="eastAsia" w:ascii="宋体" w:hAnsi="宋体" w:eastAsia="宋体" w:cs="宋体"/>
          <w:color w:val="auto"/>
          <w:sz w:val="24"/>
          <w:szCs w:val="21"/>
          <w:highlight w:val="none"/>
        </w:rPr>
        <w:t>《中华人民共和国政府采购法》</w:t>
      </w:r>
      <w:r>
        <w:rPr>
          <w:rFonts w:hint="eastAsia" w:ascii="宋体" w:hAnsi="宋体" w:eastAsia="宋体" w:cs="宋体"/>
          <w:color w:val="auto"/>
          <w:kern w:val="0"/>
          <w:sz w:val="24"/>
          <w:szCs w:val="21"/>
          <w:highlight w:val="none"/>
          <w:shd w:val="clear" w:color="auto" w:fill="FFFFFF"/>
        </w:rPr>
        <w:t>第五十一条：供应商对政府采购活动事项有疑问的，可以向采购人提出询问，采购人应当及时作出答复，但答复的内容不得涉及商业秘密。</w:t>
      </w:r>
    </w:p>
    <w:p w14:paraId="6F0C8BD9">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rPr>
          <w:rFonts w:hint="eastAsia" w:ascii="宋体" w:hAnsi="宋体" w:eastAsia="宋体" w:cs="宋体"/>
          <w:color w:val="auto"/>
          <w:sz w:val="24"/>
          <w:szCs w:val="21"/>
          <w:highlight w:val="none"/>
        </w:rPr>
      </w:pPr>
      <w:r>
        <w:rPr>
          <w:rFonts w:hint="eastAsia" w:ascii="宋体" w:hAnsi="宋体" w:eastAsia="宋体" w:cs="宋体"/>
          <w:color w:val="auto"/>
          <w:kern w:val="0"/>
          <w:sz w:val="24"/>
          <w:szCs w:val="21"/>
          <w:highlight w:val="none"/>
          <w:shd w:val="clear" w:color="auto" w:fill="FFFFFF"/>
        </w:rPr>
        <w:t>第五十二条：供应商认为采购文件、采购过程和中标、</w:t>
      </w:r>
      <w:r>
        <w:rPr>
          <w:rFonts w:hint="eastAsia" w:ascii="宋体" w:hAnsi="宋体" w:eastAsia="宋体" w:cs="宋体"/>
          <w:color w:val="auto"/>
          <w:kern w:val="0"/>
          <w:sz w:val="24"/>
          <w:szCs w:val="21"/>
          <w:highlight w:val="none"/>
          <w:shd w:val="clear" w:color="auto" w:fill="FFFFFF"/>
          <w:lang w:eastAsia="zh-CN"/>
        </w:rPr>
        <w:t>中标</w:t>
      </w:r>
      <w:r>
        <w:rPr>
          <w:rFonts w:hint="eastAsia" w:ascii="宋体" w:hAnsi="宋体" w:eastAsia="宋体" w:cs="宋体"/>
          <w:color w:val="auto"/>
          <w:kern w:val="0"/>
          <w:sz w:val="24"/>
          <w:szCs w:val="21"/>
          <w:highlight w:val="none"/>
          <w:shd w:val="clear" w:color="auto" w:fill="FFFFFF"/>
        </w:rPr>
        <w:t>结果使自己的权益受到损害的，可以在知道或者应知其权益受到损害之日起七个工作日内，以书面形式向采购人提出质疑。</w:t>
      </w:r>
    </w:p>
    <w:p w14:paraId="3A7AE309">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rPr>
          <w:rFonts w:hint="eastAsia" w:ascii="宋体" w:hAnsi="宋体" w:eastAsia="宋体" w:cs="宋体"/>
          <w:color w:val="auto"/>
          <w:kern w:val="0"/>
          <w:sz w:val="24"/>
          <w:szCs w:val="21"/>
          <w:highlight w:val="none"/>
          <w:shd w:val="clear" w:color="auto" w:fill="FFFFFF"/>
        </w:rPr>
      </w:pPr>
      <w:r>
        <w:rPr>
          <w:rFonts w:hint="eastAsia" w:ascii="宋体" w:hAnsi="宋体" w:eastAsia="宋体" w:cs="宋体"/>
          <w:color w:val="auto"/>
          <w:kern w:val="0"/>
          <w:sz w:val="24"/>
          <w:szCs w:val="21"/>
          <w:highlight w:val="none"/>
          <w:shd w:val="clear" w:color="auto" w:fill="FFFFFF"/>
        </w:rPr>
        <w:t>第五十三条：采购人应当在收到供应商的书面质疑后七个工作日内作出答复，并以书面形式通知质疑供应商和其他有关供应商，但答复的内容不得涉及商业秘密。</w:t>
      </w:r>
    </w:p>
    <w:p w14:paraId="3C489B3A">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rPr>
          <w:rFonts w:hint="eastAsia" w:ascii="宋体" w:hAnsi="宋体" w:eastAsia="宋体" w:cs="宋体"/>
          <w:color w:val="auto"/>
          <w:kern w:val="0"/>
          <w:sz w:val="24"/>
          <w:szCs w:val="21"/>
          <w:highlight w:val="none"/>
          <w:shd w:val="clear" w:color="auto" w:fill="FFFFFF"/>
        </w:rPr>
      </w:pPr>
      <w:r>
        <w:rPr>
          <w:rFonts w:hint="eastAsia" w:ascii="宋体" w:hAnsi="宋体" w:eastAsia="宋体" w:cs="宋体"/>
          <w:color w:val="auto"/>
          <w:kern w:val="0"/>
          <w:sz w:val="24"/>
          <w:szCs w:val="21"/>
          <w:highlight w:val="none"/>
          <w:shd w:val="clear" w:color="auto" w:fill="FFFFFF"/>
        </w:rPr>
        <w:t>第五十五条:质疑供应商对采购人、采购代理机构的答复不满意或者采购人、采购代理机构未在规定的时间内作出答复的，可以在答复期满后十五个工作日内向同级政府采购监督管理部门投诉。</w:t>
      </w:r>
    </w:p>
    <w:p w14:paraId="43795B46">
      <w:pPr>
        <w:keepNext w:val="0"/>
        <w:keepLines w:val="0"/>
        <w:pageBreakBefore w:val="0"/>
        <w:widowControl/>
        <w:shd w:val="clear" w:color="auto" w:fill="auto"/>
        <w:kinsoku/>
        <w:wordWrap/>
        <w:overflowPunct/>
        <w:topLinePunct w:val="0"/>
        <w:autoSpaceDE/>
        <w:autoSpaceDN/>
        <w:bidi w:val="0"/>
        <w:adjustRightInd/>
        <w:snapToGrid/>
        <w:spacing w:line="400" w:lineRule="exact"/>
        <w:ind w:firstLine="42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kern w:val="0"/>
          <w:sz w:val="24"/>
          <w:szCs w:val="21"/>
          <w:highlight w:val="none"/>
          <w:shd w:val="clear" w:color="auto" w:fill="FFFFFF"/>
        </w:rPr>
        <w:t>《政府采购实施条例》第五十五条：供应商质疑、投诉应当有明确的请求和必要的证明材料。供应商投诉的事项不得超出质疑事项的范围。</w:t>
      </w:r>
    </w:p>
    <w:p w14:paraId="24BF9F89">
      <w:pPr>
        <w:keepNext w:val="0"/>
        <w:keepLines w:val="0"/>
        <w:pageBreakBefore w:val="0"/>
        <w:shd w:val="clear" w:color="auto" w:fill="auto"/>
        <w:kinsoku/>
        <w:wordWrap/>
        <w:overflowPunct/>
        <w:topLinePunct w:val="0"/>
        <w:autoSpaceDE/>
        <w:autoSpaceDN/>
        <w:bidi w:val="0"/>
        <w:adjustRightInd/>
        <w:snapToGrid/>
        <w:spacing w:line="400" w:lineRule="exact"/>
        <w:ind w:left="5760" w:hanging="4337" w:hangingChars="1800"/>
        <w:outlineLvl w:val="0"/>
        <w:rPr>
          <w:rFonts w:hint="eastAsia" w:ascii="宋体" w:hAnsi="宋体" w:eastAsia="宋体" w:cs="宋体"/>
          <w:color w:val="auto"/>
          <w:sz w:val="24"/>
          <w:szCs w:val="21"/>
          <w:highlight w:val="none"/>
        </w:rPr>
      </w:pPr>
      <w:bookmarkStart w:id="157" w:name="_Toc13508"/>
      <w:bookmarkEnd w:id="157"/>
      <w:r>
        <w:rPr>
          <w:rFonts w:hint="eastAsia" w:ascii="宋体" w:hAnsi="宋体" w:eastAsia="宋体" w:cs="宋体"/>
          <w:b/>
          <w:bCs/>
          <w:color w:val="auto"/>
          <w:sz w:val="24"/>
          <w:szCs w:val="21"/>
          <w:highlight w:val="none"/>
        </w:rPr>
        <w:t>二、书面方式</w:t>
      </w:r>
    </w:p>
    <w:p w14:paraId="39D64665">
      <w:pPr>
        <w:keepNext w:val="0"/>
        <w:keepLines w:val="0"/>
        <w:pageBreakBefore w:val="0"/>
        <w:shd w:val="clear" w:color="auto" w:fill="auto"/>
        <w:kinsoku/>
        <w:wordWrap/>
        <w:overflowPunct/>
        <w:topLinePunct w:val="0"/>
        <w:autoSpaceDE/>
        <w:autoSpaceDN/>
        <w:bidi w:val="0"/>
        <w:adjustRightInd/>
        <w:snapToGrid/>
        <w:spacing w:line="400" w:lineRule="exact"/>
        <w:ind w:left="5760" w:hanging="4320" w:hangingChars="18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《政府采购供应商投诉处理办法》第八条：投诉人投诉</w:t>
      </w:r>
    </w:p>
    <w:p w14:paraId="043EF9F5">
      <w:pPr>
        <w:keepNext w:val="0"/>
        <w:keepLines w:val="0"/>
        <w:pageBreakBefore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时，应当提交投诉书，并按照被投诉人以及与投诉事项有关的供应商数量提供投诉书的副本。</w:t>
      </w:r>
    </w:p>
    <w:p w14:paraId="590CA0C0">
      <w:pPr>
        <w:keepNext w:val="0"/>
        <w:keepLines w:val="0"/>
        <w:pageBreakBefore w:val="0"/>
        <w:shd w:val="clear" w:color="auto" w:fill="auto"/>
        <w:kinsoku/>
        <w:wordWrap/>
        <w:overflowPunct/>
        <w:topLinePunct w:val="0"/>
        <w:autoSpaceDE/>
        <w:autoSpaceDN/>
        <w:bidi w:val="0"/>
        <w:adjustRightInd/>
        <w:snapToGrid/>
        <w:spacing w:line="400" w:lineRule="exact"/>
        <w:ind w:left="5760" w:hanging="4320" w:hangingChars="18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投诉书应当包括下列主要内容：</w:t>
      </w:r>
    </w:p>
    <w:p w14:paraId="485BA9AB">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投诉人和被投诉人的名称、地址、电话等；</w:t>
      </w:r>
    </w:p>
    <w:p w14:paraId="41F812AF">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具体的投诉事项及事实依据；</w:t>
      </w:r>
    </w:p>
    <w:p w14:paraId="04605469">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质疑和质疑答复情况及相关证明材料；</w:t>
      </w:r>
    </w:p>
    <w:p w14:paraId="7309F08F">
      <w:pPr>
        <w:keepNext w:val="0"/>
        <w:keepLines w:val="0"/>
        <w:pageBreakBefore w:val="0"/>
        <w:numPr>
          <w:ilvl w:val="0"/>
          <w:numId w:val="7"/>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提起投诉的日期。</w:t>
      </w:r>
    </w:p>
    <w:p w14:paraId="48EA0C3C">
      <w:pPr>
        <w:keepNext w:val="0"/>
        <w:keepLines w:val="0"/>
        <w:pageBreakBefore w:val="0"/>
        <w:shd w:val="clear" w:color="auto" w:fill="auto"/>
        <w:kinsoku/>
        <w:wordWrap/>
        <w:overflowPunct/>
        <w:topLinePunct w:val="0"/>
        <w:autoSpaceDE/>
        <w:autoSpaceDN/>
        <w:bidi w:val="0"/>
        <w:adjustRightInd/>
        <w:snapToGrid/>
        <w:spacing w:line="400" w:lineRule="exact"/>
        <w:ind w:firstLine="645"/>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投诉书应当署名。投诉人为自然人，应当由本人</w:t>
      </w:r>
      <w:r>
        <w:rPr>
          <w:rFonts w:hint="eastAsia" w:ascii="宋体" w:hAnsi="宋体" w:eastAsia="宋体" w:cs="宋体"/>
          <w:color w:val="auto"/>
          <w:sz w:val="24"/>
          <w:szCs w:val="21"/>
          <w:highlight w:val="none"/>
          <w:lang w:eastAsia="zh-CN"/>
        </w:rPr>
        <w:t>签章</w:t>
      </w:r>
      <w:r>
        <w:rPr>
          <w:rFonts w:hint="eastAsia" w:ascii="宋体" w:hAnsi="宋体" w:eastAsia="宋体" w:cs="宋体"/>
          <w:color w:val="auto"/>
          <w:sz w:val="24"/>
          <w:szCs w:val="21"/>
          <w:highlight w:val="none"/>
        </w:rPr>
        <w:t>；投诉人为法人或者其他组织的，应当由法定代表人或者主要负责人</w:t>
      </w:r>
      <w:r>
        <w:rPr>
          <w:rFonts w:hint="eastAsia" w:ascii="宋体" w:hAnsi="宋体" w:eastAsia="宋体" w:cs="宋体"/>
          <w:color w:val="auto"/>
          <w:sz w:val="24"/>
          <w:szCs w:val="21"/>
          <w:highlight w:val="none"/>
          <w:lang w:eastAsia="zh-CN"/>
        </w:rPr>
        <w:t>签章</w:t>
      </w:r>
      <w:r>
        <w:rPr>
          <w:rFonts w:hint="eastAsia" w:ascii="宋体" w:hAnsi="宋体" w:eastAsia="宋体" w:cs="宋体"/>
          <w:color w:val="auto"/>
          <w:sz w:val="24"/>
          <w:szCs w:val="21"/>
          <w:highlight w:val="none"/>
        </w:rPr>
        <w:t>并加盖公章。</w:t>
      </w:r>
    </w:p>
    <w:p w14:paraId="318DC9C5">
      <w:pPr>
        <w:keepNext w:val="0"/>
        <w:keepLines w:val="0"/>
        <w:pageBreakBefore w:val="0"/>
        <w:shd w:val="clear" w:color="auto" w:fill="auto"/>
        <w:kinsoku/>
        <w:wordWrap/>
        <w:overflowPunct/>
        <w:topLinePunct w:val="0"/>
        <w:autoSpaceDE/>
        <w:autoSpaceDN/>
        <w:bidi w:val="0"/>
        <w:adjustRightInd/>
        <w:snapToGrid/>
        <w:spacing w:line="400" w:lineRule="exact"/>
        <w:ind w:firstLine="645"/>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3F0CD922">
      <w:pPr>
        <w:keepNext w:val="0"/>
        <w:keepLines w:val="0"/>
        <w:pageBreakBefore w:val="0"/>
        <w:shd w:val="clear" w:color="auto" w:fill="auto"/>
        <w:kinsoku/>
        <w:wordWrap/>
        <w:overflowPunct/>
        <w:topLinePunct w:val="0"/>
        <w:autoSpaceDE/>
        <w:autoSpaceDN/>
        <w:bidi w:val="0"/>
        <w:adjustRightInd/>
        <w:snapToGrid/>
        <w:spacing w:line="400" w:lineRule="exact"/>
        <w:ind w:firstLine="645"/>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《政府采购供应商投诉处理办法》第十条：投诉人提起投诉应当符合下列条件：</w:t>
      </w:r>
    </w:p>
    <w:p w14:paraId="2A90517D">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投诉人是参与所投诉政府采购活动的供应商；</w:t>
      </w:r>
    </w:p>
    <w:p w14:paraId="72CF50E3">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提起投诉诉前已依法进行质疑；</w:t>
      </w:r>
    </w:p>
    <w:p w14:paraId="55D3F442">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投诉书内容符合本办法的规定；</w:t>
      </w:r>
    </w:p>
    <w:p w14:paraId="79922154">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在投诉有效期内提起投诉；</w:t>
      </w:r>
    </w:p>
    <w:p w14:paraId="6AD2A291">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属于本级财政部门管辖；</w:t>
      </w:r>
    </w:p>
    <w:p w14:paraId="66775905">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同一投诉事项未经财政部门投诉处理；</w:t>
      </w:r>
    </w:p>
    <w:p w14:paraId="3C495BBA">
      <w:pPr>
        <w:keepNext w:val="0"/>
        <w:keepLines w:val="0"/>
        <w:pageBreakBefore w:val="0"/>
        <w:numPr>
          <w:ilvl w:val="0"/>
          <w:numId w:val="8"/>
        </w:numPr>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国务院财政部门规定的其他条件</w:t>
      </w:r>
      <w:r>
        <w:rPr>
          <w:rFonts w:hint="eastAsia" w:ascii="宋体" w:hAnsi="宋体" w:eastAsia="宋体" w:cs="宋体"/>
          <w:color w:val="auto"/>
          <w:sz w:val="24"/>
          <w:szCs w:val="21"/>
          <w:highlight w:val="none"/>
          <w:lang w:eastAsia="zh-CN"/>
        </w:rPr>
        <w:t>。</w:t>
      </w:r>
    </w:p>
    <w:p w14:paraId="4444FFA8">
      <w:pPr>
        <w:shd w:val="clear" w:color="auto" w:fill="auto"/>
        <w:outlineLvl w:val="0"/>
        <w:rPr>
          <w:rFonts w:hint="eastAsia" w:ascii="宋体" w:hAnsi="宋体" w:eastAsia="宋体" w:cs="宋体"/>
          <w:color w:val="auto"/>
          <w:sz w:val="24"/>
          <w:szCs w:val="21"/>
          <w:highlight w:val="none"/>
        </w:rPr>
      </w:pPr>
      <w:bookmarkStart w:id="158" w:name="_Toc5978"/>
      <w:bookmarkEnd w:id="158"/>
      <w:r>
        <w:rPr>
          <w:rFonts w:hint="eastAsia" w:ascii="宋体" w:hAnsi="宋体" w:eastAsia="宋体" w:cs="宋体"/>
          <w:b/>
          <w:bCs/>
          <w:color w:val="auto"/>
          <w:sz w:val="24"/>
          <w:szCs w:val="21"/>
          <w:highlight w:val="none"/>
        </w:rPr>
        <w:t>三、虚假、恶意投诉法律责任</w:t>
      </w:r>
    </w:p>
    <w:p w14:paraId="2A856733">
      <w:pPr>
        <w:keepNext w:val="0"/>
        <w:keepLines w:val="0"/>
        <w:pageBreakBefore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第七十三条：供应商捏造实施、提供虚假材料或者以非法手段取得证明材料进行投诉的，由财政部门列入不良行为记录名单，禁止其1至3年内参加政府采购活动。</w:t>
      </w:r>
    </w:p>
    <w:p w14:paraId="3EB46D51">
      <w:pPr>
        <w:keepNext w:val="0"/>
        <w:keepLines w:val="0"/>
        <w:pageBreakBefore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《政府采购供应商投诉处理办法》第二十六条：投诉人有下列情形之一的，属于虚假、恶意投诉，财政部门应当驳回投诉，将其列入不良行为记录名单，并依法予以处罚：</w:t>
      </w:r>
    </w:p>
    <w:p w14:paraId="547A00F7">
      <w:pPr>
        <w:keepNext w:val="0"/>
        <w:keepLines w:val="0"/>
        <w:pageBreakBefore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（一）1年内3次以上投诉均查无实据的；</w:t>
      </w:r>
    </w:p>
    <w:p w14:paraId="158F378E">
      <w:pPr>
        <w:keepNext w:val="0"/>
        <w:keepLines w:val="0"/>
        <w:pageBreakBefore w:val="0"/>
        <w:shd w:val="clear" w:color="auto" w:fill="auto"/>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（二）捏造事实或者提供虚假投诉材料的。</w:t>
      </w:r>
    </w:p>
    <w:p w14:paraId="4EA33F46">
      <w:pPr>
        <w:keepNext w:val="0"/>
        <w:keepLines w:val="0"/>
        <w:pageBreakBefore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p>
    <w:p w14:paraId="72363D12">
      <w:pPr>
        <w:keepNext w:val="0"/>
        <w:keepLines w:val="0"/>
        <w:pageBreakBefore w:val="0"/>
        <w:shd w:val="clear" w:color="auto" w:fill="auto"/>
        <w:kinsoku/>
        <w:wordWrap/>
        <w:overflowPunct/>
        <w:topLinePunct w:val="0"/>
        <w:autoSpaceDE/>
        <w:autoSpaceDN/>
        <w:bidi w:val="0"/>
        <w:adjustRightInd/>
        <w:snapToGrid/>
        <w:spacing w:line="400" w:lineRule="exact"/>
        <w:rPr>
          <w:rFonts w:hint="eastAsia" w:ascii="宋体" w:hAnsi="宋体" w:eastAsia="宋体" w:cs="宋体"/>
          <w:color w:val="auto"/>
          <w:sz w:val="24"/>
          <w:szCs w:val="21"/>
          <w:highlight w:val="none"/>
        </w:rPr>
      </w:pPr>
    </w:p>
    <w:p w14:paraId="64FA4394">
      <w:pPr>
        <w:shd w:val="clear" w:color="auto" w:fill="auto"/>
        <w:ind w:firstLine="480" w:firstLineChars="200"/>
        <w:jc w:val="both"/>
        <w:rPr>
          <w:rFonts w:hint="eastAsia" w:ascii="宋体" w:hAnsi="宋体" w:eastAsia="宋体" w:cs="宋体"/>
          <w:color w:val="auto"/>
          <w:sz w:val="24"/>
          <w:szCs w:val="21"/>
          <w:highlight w:val="none"/>
        </w:rPr>
      </w:pPr>
    </w:p>
    <w:p w14:paraId="1ACF552E">
      <w:pPr>
        <w:rPr>
          <w:rFonts w:hint="eastAsia" w:ascii="宋体" w:hAnsi="宋体" w:eastAsia="宋体" w:cs="宋体"/>
          <w:b/>
          <w:bCs/>
          <w:color w:val="auto"/>
          <w:sz w:val="32"/>
          <w:szCs w:val="32"/>
          <w:highlight w:val="none"/>
        </w:rPr>
      </w:pPr>
      <w:bookmarkStart w:id="159" w:name="_Toc1697"/>
      <w:r>
        <w:rPr>
          <w:rFonts w:hint="eastAsia" w:ascii="宋体" w:hAnsi="宋体" w:eastAsia="宋体" w:cs="宋体"/>
          <w:b/>
          <w:bCs/>
          <w:color w:val="auto"/>
          <w:sz w:val="32"/>
          <w:szCs w:val="32"/>
          <w:highlight w:val="none"/>
        </w:rPr>
        <w:br w:type="page"/>
      </w:r>
    </w:p>
    <w:bookmarkEnd w:id="159"/>
    <w:p w14:paraId="01E72E49">
      <w:pPr>
        <w:keepNext w:val="0"/>
        <w:keepLines w:val="0"/>
        <w:pageBreakBefore w:val="0"/>
        <w:widowControl w:val="0"/>
        <w:shd w:val="clear" w:color="auto" w:fill="auto"/>
        <w:kinsoku/>
        <w:wordWrap/>
        <w:overflowPunct/>
        <w:topLinePunct w:val="0"/>
        <w:autoSpaceDE/>
        <w:autoSpaceDN/>
        <w:bidi w:val="0"/>
        <w:spacing w:line="540" w:lineRule="exact"/>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质疑函范本</w:t>
      </w:r>
    </w:p>
    <w:p w14:paraId="3A3E6E4E">
      <w:pPr>
        <w:keepNext w:val="0"/>
        <w:keepLines w:val="0"/>
        <w:pageBreakBefore w:val="0"/>
        <w:widowControl w:val="0"/>
        <w:shd w:val="clear" w:color="auto" w:fill="auto"/>
        <w:kinsoku/>
        <w:wordWrap/>
        <w:overflowPunct/>
        <w:topLinePunct w:val="0"/>
        <w:autoSpaceDE/>
        <w:autoSpaceDN/>
        <w:bidi w:val="0"/>
        <w:adjustRightInd w:val="0"/>
        <w:snapToGrid w:val="0"/>
        <w:spacing w:beforeLines="100" w:line="540" w:lineRule="exact"/>
        <w:ind w:firstLine="480" w:firstLineChars="200"/>
        <w:outlineLvl w:val="0"/>
        <w:rPr>
          <w:rFonts w:hint="eastAsia" w:ascii="宋体" w:hAnsi="宋体" w:eastAsia="宋体" w:cs="宋体"/>
          <w:bCs/>
          <w:color w:val="auto"/>
          <w:sz w:val="24"/>
          <w:szCs w:val="21"/>
          <w:highlight w:val="none"/>
        </w:rPr>
      </w:pPr>
      <w:bookmarkStart w:id="160" w:name="_Toc9061"/>
      <w:bookmarkEnd w:id="160"/>
      <w:r>
        <w:rPr>
          <w:rFonts w:hint="eastAsia" w:ascii="宋体" w:hAnsi="宋体" w:eastAsia="宋体" w:cs="宋体"/>
          <w:bCs/>
          <w:color w:val="auto"/>
          <w:sz w:val="24"/>
          <w:szCs w:val="21"/>
          <w:highlight w:val="none"/>
        </w:rPr>
        <w:t>一、质疑供应商基本信息</w:t>
      </w:r>
    </w:p>
    <w:p w14:paraId="43E1B180">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质疑供应商：</w:t>
      </w:r>
    </w:p>
    <w:p w14:paraId="3475299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地址：邮编：</w:t>
      </w:r>
    </w:p>
    <w:p w14:paraId="1B85FE4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联系人：联系电话：</w:t>
      </w:r>
    </w:p>
    <w:p w14:paraId="1299250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授权代表：</w:t>
      </w:r>
    </w:p>
    <w:p w14:paraId="6DDB4890">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联系电话：</w:t>
      </w:r>
    </w:p>
    <w:p w14:paraId="6ECA8D76">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地址：邮编：</w:t>
      </w:r>
    </w:p>
    <w:p w14:paraId="314DED2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outlineLvl w:val="0"/>
        <w:rPr>
          <w:rFonts w:hint="eastAsia" w:ascii="宋体" w:hAnsi="宋体" w:eastAsia="宋体" w:cs="宋体"/>
          <w:bCs/>
          <w:color w:val="auto"/>
          <w:sz w:val="24"/>
          <w:szCs w:val="21"/>
          <w:highlight w:val="none"/>
        </w:rPr>
      </w:pPr>
      <w:bookmarkStart w:id="161" w:name="_Toc15938"/>
      <w:bookmarkEnd w:id="161"/>
      <w:r>
        <w:rPr>
          <w:rFonts w:hint="eastAsia" w:ascii="宋体" w:hAnsi="宋体" w:eastAsia="宋体" w:cs="宋体"/>
          <w:bCs/>
          <w:color w:val="auto"/>
          <w:sz w:val="24"/>
          <w:szCs w:val="21"/>
          <w:highlight w:val="none"/>
        </w:rPr>
        <w:t>二、质疑项目基本情况</w:t>
      </w:r>
    </w:p>
    <w:p w14:paraId="309543C5">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质疑项目的名称：</w:t>
      </w:r>
    </w:p>
    <w:p w14:paraId="08FA13B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质疑项目的编号：包号：</w:t>
      </w:r>
    </w:p>
    <w:p w14:paraId="5077958B">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采购人名称：</w:t>
      </w:r>
    </w:p>
    <w:p w14:paraId="06C3A97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采购文件获取日期：</w:t>
      </w:r>
    </w:p>
    <w:p w14:paraId="70F1EB5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outlineLvl w:val="0"/>
        <w:rPr>
          <w:rFonts w:hint="eastAsia" w:ascii="宋体" w:hAnsi="宋体" w:eastAsia="宋体" w:cs="宋体"/>
          <w:bCs/>
          <w:color w:val="auto"/>
          <w:sz w:val="24"/>
          <w:szCs w:val="21"/>
          <w:highlight w:val="none"/>
        </w:rPr>
      </w:pPr>
      <w:bookmarkStart w:id="162" w:name="_Toc18271"/>
      <w:bookmarkEnd w:id="162"/>
      <w:r>
        <w:rPr>
          <w:rFonts w:hint="eastAsia" w:ascii="宋体" w:hAnsi="宋体" w:eastAsia="宋体" w:cs="宋体"/>
          <w:bCs/>
          <w:color w:val="auto"/>
          <w:sz w:val="24"/>
          <w:szCs w:val="21"/>
          <w:highlight w:val="none"/>
        </w:rPr>
        <w:t>三、质疑事项具体内容</w:t>
      </w:r>
    </w:p>
    <w:p w14:paraId="6356A32D">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质疑事项1：</w:t>
      </w:r>
    </w:p>
    <w:p w14:paraId="3E35747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事实依据：</w:t>
      </w:r>
    </w:p>
    <w:p w14:paraId="24F440AA">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法律依据：</w:t>
      </w:r>
    </w:p>
    <w:p w14:paraId="3EC50C9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质疑事项2</w:t>
      </w:r>
    </w:p>
    <w:p w14:paraId="502DB051">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w:t>
      </w:r>
    </w:p>
    <w:p w14:paraId="05A57F4F">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outlineLvl w:val="0"/>
        <w:rPr>
          <w:rFonts w:hint="eastAsia" w:ascii="宋体" w:hAnsi="宋体" w:eastAsia="宋体" w:cs="宋体"/>
          <w:bCs/>
          <w:color w:val="auto"/>
          <w:sz w:val="24"/>
          <w:szCs w:val="21"/>
          <w:highlight w:val="none"/>
        </w:rPr>
      </w:pPr>
      <w:bookmarkStart w:id="163" w:name="_Toc22365"/>
      <w:bookmarkEnd w:id="163"/>
      <w:r>
        <w:rPr>
          <w:rFonts w:hint="eastAsia" w:ascii="宋体" w:hAnsi="宋体" w:eastAsia="宋体" w:cs="宋体"/>
          <w:bCs/>
          <w:color w:val="auto"/>
          <w:sz w:val="24"/>
          <w:szCs w:val="21"/>
          <w:highlight w:val="none"/>
        </w:rPr>
        <w:t>四、与质疑事项相关的质疑请求</w:t>
      </w:r>
    </w:p>
    <w:p w14:paraId="045D95D4">
      <w:pPr>
        <w:keepNext w:val="0"/>
        <w:keepLines w:val="0"/>
        <w:pageBreakBefore w:val="0"/>
        <w:widowControl w:val="0"/>
        <w:shd w:val="clear" w:color="auto" w:fill="auto"/>
        <w:kinsoku/>
        <w:wordWrap/>
        <w:overflowPunct/>
        <w:topLinePunct w:val="0"/>
        <w:autoSpaceDE/>
        <w:autoSpaceDN/>
        <w:bidi w:val="0"/>
        <w:adjustRightInd w:val="0"/>
        <w:snapToGrid w:val="0"/>
        <w:spacing w:line="540" w:lineRule="exact"/>
        <w:ind w:firstLine="480" w:firstLineChars="200"/>
        <w:rPr>
          <w:rFonts w:hint="eastAsia" w:ascii="宋体" w:hAnsi="宋体" w:eastAsia="宋体" w:cs="宋体"/>
          <w:color w:val="auto"/>
          <w:sz w:val="24"/>
          <w:szCs w:val="21"/>
          <w:highlight w:val="none"/>
          <w:u w:val="dotted"/>
        </w:rPr>
      </w:pPr>
      <w:r>
        <w:rPr>
          <w:rFonts w:hint="eastAsia" w:ascii="宋体" w:hAnsi="宋体" w:eastAsia="宋体" w:cs="宋体"/>
          <w:color w:val="auto"/>
          <w:sz w:val="24"/>
          <w:szCs w:val="21"/>
          <w:highlight w:val="none"/>
        </w:rPr>
        <w:t>请求：</w:t>
      </w:r>
    </w:p>
    <w:p w14:paraId="6C1D327A">
      <w:pPr>
        <w:keepNext w:val="0"/>
        <w:keepLines w:val="0"/>
        <w:pageBreakBefore w:val="0"/>
        <w:widowControl w:val="0"/>
        <w:shd w:val="clear" w:color="auto" w:fill="auto"/>
        <w:kinsoku/>
        <w:wordWrap/>
        <w:overflowPunct/>
        <w:topLinePunct w:val="0"/>
        <w:autoSpaceDE/>
        <w:autoSpaceDN/>
        <w:bidi w:val="0"/>
        <w:spacing w:line="540" w:lineRule="exac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eastAsia="zh-CN"/>
        </w:rPr>
        <w:t>签章</w:t>
      </w:r>
      <w:r>
        <w:rPr>
          <w:rFonts w:hint="eastAsia" w:ascii="宋体" w:hAnsi="宋体" w:eastAsia="宋体" w:cs="宋体"/>
          <w:color w:val="auto"/>
          <w:sz w:val="24"/>
          <w:szCs w:val="21"/>
          <w:highlight w:val="none"/>
        </w:rPr>
        <w:t>(签章)：公章：</w:t>
      </w:r>
    </w:p>
    <w:p w14:paraId="7DBB621E">
      <w:pPr>
        <w:snapToGrid w:val="0"/>
        <w:spacing w:before="50" w:line="360" w:lineRule="auto"/>
        <w:ind w:firstLine="748" w:firstLineChars="312"/>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日期：</w:t>
      </w:r>
    </w:p>
    <w:p w14:paraId="4D4C6633">
      <w:pPr>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br w:type="page"/>
      </w:r>
    </w:p>
    <w:p w14:paraId="42DB1096">
      <w:pPr>
        <w:numPr>
          <w:ilvl w:val="1"/>
          <w:numId w:val="4"/>
        </w:numPr>
        <w:tabs>
          <w:tab w:val="left" w:pos="567"/>
          <w:tab w:val="clear" w:pos="289"/>
        </w:tabs>
        <w:spacing w:line="360" w:lineRule="auto"/>
        <w:ind w:left="567"/>
        <w:outlineLvl w:val="3"/>
        <w:rPr>
          <w:b/>
          <w:color w:val="auto"/>
          <w:sz w:val="24"/>
          <w:szCs w:val="24"/>
          <w:highlight w:val="none"/>
        </w:rPr>
      </w:pPr>
      <w:r>
        <w:rPr>
          <w:rFonts w:hint="eastAsia"/>
          <w:b/>
          <w:color w:val="auto"/>
          <w:sz w:val="24"/>
          <w:szCs w:val="24"/>
          <w:highlight w:val="none"/>
          <w:lang w:eastAsia="zh-CN"/>
        </w:rPr>
        <w:t>成交通知书</w:t>
      </w:r>
    </w:p>
    <w:p w14:paraId="0EF1AB9C">
      <w:pPr>
        <w:numPr>
          <w:ilvl w:val="2"/>
          <w:numId w:val="4"/>
        </w:numPr>
        <w:tabs>
          <w:tab w:val="left" w:pos="624"/>
          <w:tab w:val="left" w:pos="735"/>
          <w:tab w:val="left" w:pos="1571"/>
          <w:tab w:val="clear" w:pos="1050"/>
        </w:tabs>
        <w:spacing w:line="360" w:lineRule="auto"/>
        <w:ind w:left="735" w:hanging="735"/>
        <w:rPr>
          <w:color w:val="auto"/>
          <w:sz w:val="24"/>
          <w:szCs w:val="24"/>
          <w:highlight w:val="none"/>
        </w:rPr>
      </w:pPr>
      <w:r>
        <w:rPr>
          <w:rFonts w:hint="eastAsia"/>
          <w:color w:val="auto"/>
          <w:sz w:val="24"/>
          <w:szCs w:val="24"/>
          <w:highlight w:val="none"/>
        </w:rPr>
        <w:t>中标结果公告发布的同时，采购代理机构以书面形式向</w:t>
      </w:r>
      <w:r>
        <w:rPr>
          <w:rFonts w:hint="eastAsia"/>
          <w:color w:val="auto"/>
          <w:sz w:val="24"/>
          <w:szCs w:val="24"/>
          <w:highlight w:val="none"/>
          <w:lang w:eastAsia="zh-CN"/>
        </w:rPr>
        <w:t>中标人</w:t>
      </w:r>
      <w:r>
        <w:rPr>
          <w:rFonts w:hint="eastAsia"/>
          <w:color w:val="auto"/>
          <w:sz w:val="24"/>
          <w:szCs w:val="24"/>
          <w:highlight w:val="none"/>
        </w:rPr>
        <w:t>发出依法确认的《</w:t>
      </w:r>
      <w:r>
        <w:rPr>
          <w:rFonts w:hint="eastAsia"/>
          <w:color w:val="auto"/>
          <w:sz w:val="24"/>
          <w:szCs w:val="24"/>
          <w:highlight w:val="none"/>
          <w:lang w:eastAsia="zh-CN"/>
        </w:rPr>
        <w:t>成交通知书</w:t>
      </w:r>
      <w:r>
        <w:rPr>
          <w:rFonts w:hint="eastAsia"/>
          <w:color w:val="auto"/>
          <w:sz w:val="24"/>
          <w:szCs w:val="24"/>
          <w:highlight w:val="none"/>
        </w:rPr>
        <w:t>》。</w:t>
      </w:r>
    </w:p>
    <w:p w14:paraId="3D432960">
      <w:pPr>
        <w:numPr>
          <w:ilvl w:val="2"/>
          <w:numId w:val="4"/>
        </w:numPr>
        <w:tabs>
          <w:tab w:val="left" w:pos="624"/>
          <w:tab w:val="left" w:pos="735"/>
          <w:tab w:val="left" w:pos="1571"/>
          <w:tab w:val="clear" w:pos="1050"/>
        </w:tabs>
        <w:spacing w:line="360" w:lineRule="auto"/>
        <w:ind w:left="735" w:hanging="735"/>
        <w:rPr>
          <w:color w:val="auto"/>
          <w:sz w:val="24"/>
          <w:szCs w:val="24"/>
          <w:highlight w:val="none"/>
        </w:rPr>
      </w:pPr>
      <w:r>
        <w:rPr>
          <w:rFonts w:hint="eastAsia"/>
          <w:color w:val="auto"/>
          <w:sz w:val="24"/>
          <w:szCs w:val="24"/>
          <w:highlight w:val="none"/>
        </w:rPr>
        <w:t>《</w:t>
      </w:r>
      <w:r>
        <w:rPr>
          <w:rFonts w:hint="eastAsia"/>
          <w:color w:val="auto"/>
          <w:sz w:val="24"/>
          <w:szCs w:val="24"/>
          <w:highlight w:val="none"/>
          <w:lang w:eastAsia="zh-CN"/>
        </w:rPr>
        <w:t>成交通知书</w:t>
      </w:r>
      <w:r>
        <w:rPr>
          <w:rFonts w:hint="eastAsia"/>
          <w:color w:val="auto"/>
          <w:sz w:val="24"/>
          <w:szCs w:val="24"/>
          <w:highlight w:val="none"/>
        </w:rPr>
        <w:t>》将是合同的一个组成部分，对</w:t>
      </w:r>
      <w:r>
        <w:rPr>
          <w:rFonts w:hint="eastAsia"/>
          <w:color w:val="auto"/>
          <w:sz w:val="24"/>
          <w:szCs w:val="24"/>
          <w:highlight w:val="none"/>
          <w:lang w:eastAsia="zh-CN"/>
        </w:rPr>
        <w:t>招标人</w:t>
      </w:r>
      <w:r>
        <w:rPr>
          <w:rFonts w:hint="eastAsia"/>
          <w:color w:val="auto"/>
          <w:sz w:val="24"/>
          <w:szCs w:val="24"/>
          <w:highlight w:val="none"/>
        </w:rPr>
        <w:t>和</w:t>
      </w:r>
      <w:r>
        <w:rPr>
          <w:rFonts w:hint="eastAsia"/>
          <w:color w:val="auto"/>
          <w:sz w:val="24"/>
          <w:szCs w:val="24"/>
          <w:highlight w:val="none"/>
          <w:lang w:eastAsia="zh-CN"/>
        </w:rPr>
        <w:t>中标人</w:t>
      </w:r>
      <w:r>
        <w:rPr>
          <w:rFonts w:hint="eastAsia"/>
          <w:color w:val="auto"/>
          <w:sz w:val="24"/>
          <w:szCs w:val="24"/>
          <w:highlight w:val="none"/>
        </w:rPr>
        <w:t>具有同等法律效力；《</w:t>
      </w:r>
      <w:r>
        <w:rPr>
          <w:rFonts w:hint="eastAsia"/>
          <w:color w:val="auto"/>
          <w:sz w:val="24"/>
          <w:szCs w:val="24"/>
          <w:highlight w:val="none"/>
          <w:lang w:eastAsia="zh-CN"/>
        </w:rPr>
        <w:t>成交通知书</w:t>
      </w:r>
      <w:r>
        <w:rPr>
          <w:rFonts w:hint="eastAsia"/>
          <w:color w:val="auto"/>
          <w:sz w:val="24"/>
          <w:szCs w:val="24"/>
          <w:highlight w:val="none"/>
        </w:rPr>
        <w:t>》发出后，</w:t>
      </w:r>
      <w:r>
        <w:rPr>
          <w:rFonts w:hint="eastAsia"/>
          <w:color w:val="auto"/>
          <w:sz w:val="24"/>
          <w:szCs w:val="24"/>
          <w:highlight w:val="none"/>
          <w:lang w:eastAsia="zh-CN"/>
        </w:rPr>
        <w:t>招标人</w:t>
      </w:r>
      <w:r>
        <w:rPr>
          <w:rFonts w:hint="eastAsia"/>
          <w:color w:val="auto"/>
          <w:sz w:val="24"/>
          <w:szCs w:val="24"/>
          <w:highlight w:val="none"/>
        </w:rPr>
        <w:t>改变中标结果，或者</w:t>
      </w:r>
      <w:r>
        <w:rPr>
          <w:rFonts w:hint="eastAsia"/>
          <w:color w:val="auto"/>
          <w:sz w:val="24"/>
          <w:szCs w:val="24"/>
          <w:highlight w:val="none"/>
          <w:lang w:eastAsia="zh-CN"/>
        </w:rPr>
        <w:t>中标人</w:t>
      </w:r>
      <w:r>
        <w:rPr>
          <w:rFonts w:hint="eastAsia"/>
          <w:color w:val="auto"/>
          <w:sz w:val="24"/>
          <w:szCs w:val="24"/>
          <w:highlight w:val="none"/>
        </w:rPr>
        <w:t>放弃中标的，均应承担相应的法律责任。</w:t>
      </w:r>
    </w:p>
    <w:p w14:paraId="479EF794">
      <w:pPr>
        <w:numPr>
          <w:ilvl w:val="2"/>
          <w:numId w:val="4"/>
        </w:numPr>
        <w:tabs>
          <w:tab w:val="left" w:pos="624"/>
          <w:tab w:val="left" w:pos="735"/>
          <w:tab w:val="left" w:pos="1571"/>
          <w:tab w:val="clear" w:pos="1050"/>
        </w:tabs>
        <w:spacing w:line="360" w:lineRule="auto"/>
        <w:ind w:left="735" w:hanging="735"/>
        <w:rPr>
          <w:color w:val="auto"/>
          <w:sz w:val="24"/>
          <w:szCs w:val="24"/>
          <w:highlight w:val="none"/>
        </w:rPr>
      </w:pPr>
      <w:r>
        <w:rPr>
          <w:rFonts w:hint="eastAsia"/>
          <w:color w:val="auto"/>
          <w:sz w:val="24"/>
          <w:szCs w:val="24"/>
          <w:highlight w:val="none"/>
        </w:rPr>
        <w:t>采购代理机构在向</w:t>
      </w:r>
      <w:r>
        <w:rPr>
          <w:rFonts w:hint="eastAsia"/>
          <w:color w:val="auto"/>
          <w:sz w:val="24"/>
          <w:szCs w:val="24"/>
          <w:highlight w:val="none"/>
          <w:lang w:eastAsia="zh-CN"/>
        </w:rPr>
        <w:t>中标人</w:t>
      </w:r>
      <w:r>
        <w:rPr>
          <w:rFonts w:hint="eastAsia"/>
          <w:color w:val="auto"/>
          <w:sz w:val="24"/>
          <w:szCs w:val="24"/>
          <w:highlight w:val="none"/>
        </w:rPr>
        <w:t>发出《</w:t>
      </w:r>
      <w:r>
        <w:rPr>
          <w:rFonts w:hint="eastAsia"/>
          <w:color w:val="auto"/>
          <w:sz w:val="24"/>
          <w:szCs w:val="24"/>
          <w:highlight w:val="none"/>
          <w:lang w:eastAsia="zh-CN"/>
        </w:rPr>
        <w:t>成交通知书</w:t>
      </w:r>
      <w:r>
        <w:rPr>
          <w:rFonts w:hint="eastAsia"/>
          <w:color w:val="auto"/>
          <w:sz w:val="24"/>
          <w:szCs w:val="24"/>
          <w:highlight w:val="none"/>
        </w:rPr>
        <w:t>》的同时，发布《招标结果公告》，将招标结果通知未</w:t>
      </w:r>
      <w:r>
        <w:rPr>
          <w:rFonts w:hint="eastAsia"/>
          <w:color w:val="auto"/>
          <w:sz w:val="24"/>
          <w:szCs w:val="24"/>
          <w:highlight w:val="none"/>
          <w:lang w:eastAsia="zh-CN"/>
        </w:rPr>
        <w:t>中标人</w:t>
      </w:r>
      <w:r>
        <w:rPr>
          <w:rFonts w:hint="eastAsia"/>
          <w:color w:val="auto"/>
          <w:sz w:val="24"/>
          <w:szCs w:val="24"/>
          <w:highlight w:val="none"/>
        </w:rPr>
        <w:t>。</w:t>
      </w:r>
    </w:p>
    <w:p w14:paraId="42082D38">
      <w:pPr>
        <w:numPr>
          <w:ilvl w:val="1"/>
          <w:numId w:val="4"/>
        </w:numPr>
        <w:tabs>
          <w:tab w:val="left" w:pos="567"/>
          <w:tab w:val="clear" w:pos="289"/>
        </w:tabs>
        <w:spacing w:line="360" w:lineRule="auto"/>
        <w:ind w:left="567"/>
        <w:outlineLvl w:val="3"/>
        <w:rPr>
          <w:b/>
          <w:color w:val="auto"/>
          <w:sz w:val="24"/>
          <w:szCs w:val="24"/>
          <w:highlight w:val="none"/>
        </w:rPr>
      </w:pPr>
      <w:r>
        <w:rPr>
          <w:rFonts w:hint="eastAsia"/>
          <w:b/>
          <w:color w:val="auto"/>
          <w:sz w:val="24"/>
          <w:szCs w:val="24"/>
          <w:highlight w:val="none"/>
        </w:rPr>
        <w:t>签订合同</w:t>
      </w:r>
      <w:r>
        <w:rPr>
          <w:rFonts w:hint="eastAsia" w:ascii="宋体" w:hAnsi="宋体"/>
          <w:b/>
          <w:bCs/>
          <w:color w:val="auto"/>
          <w:sz w:val="24"/>
          <w:szCs w:val="24"/>
          <w:highlight w:val="none"/>
        </w:rPr>
        <w:t>（实质性要求）</w:t>
      </w:r>
    </w:p>
    <w:p w14:paraId="6D1C97F5">
      <w:pPr>
        <w:numPr>
          <w:ilvl w:val="2"/>
          <w:numId w:val="4"/>
        </w:numPr>
        <w:tabs>
          <w:tab w:val="left" w:pos="624"/>
          <w:tab w:val="left" w:pos="735"/>
          <w:tab w:val="left" w:pos="1571"/>
          <w:tab w:val="clear" w:pos="1050"/>
        </w:tabs>
        <w:spacing w:line="360" w:lineRule="auto"/>
        <w:ind w:left="735" w:hanging="735"/>
        <w:rPr>
          <w:color w:val="auto"/>
          <w:sz w:val="24"/>
          <w:szCs w:val="24"/>
          <w:highlight w:val="none"/>
        </w:rPr>
      </w:pPr>
      <w:r>
        <w:rPr>
          <w:rFonts w:hint="eastAsia"/>
          <w:color w:val="auto"/>
          <w:sz w:val="24"/>
          <w:szCs w:val="24"/>
          <w:highlight w:val="none"/>
        </w:rPr>
        <w:t>中标人在收到《</w:t>
      </w:r>
      <w:r>
        <w:rPr>
          <w:rFonts w:hint="eastAsia"/>
          <w:color w:val="auto"/>
          <w:sz w:val="24"/>
          <w:szCs w:val="24"/>
          <w:highlight w:val="none"/>
          <w:lang w:eastAsia="zh-CN"/>
        </w:rPr>
        <w:t>成交通知书</w:t>
      </w:r>
      <w:r>
        <w:rPr>
          <w:rFonts w:hint="eastAsia"/>
          <w:color w:val="auto"/>
          <w:sz w:val="24"/>
          <w:szCs w:val="24"/>
          <w:highlight w:val="none"/>
        </w:rPr>
        <w:t>》后，应按照《</w:t>
      </w:r>
      <w:r>
        <w:rPr>
          <w:rFonts w:hint="eastAsia"/>
          <w:color w:val="auto"/>
          <w:sz w:val="24"/>
          <w:szCs w:val="24"/>
          <w:highlight w:val="none"/>
          <w:lang w:eastAsia="zh-CN"/>
        </w:rPr>
        <w:t>成交通知书</w:t>
      </w:r>
      <w:r>
        <w:rPr>
          <w:rFonts w:hint="eastAsia"/>
          <w:color w:val="auto"/>
          <w:sz w:val="24"/>
          <w:szCs w:val="24"/>
          <w:highlight w:val="none"/>
        </w:rPr>
        <w:t>》指定的时间、地点，派遣其授权代表与</w:t>
      </w:r>
      <w:r>
        <w:rPr>
          <w:rFonts w:hint="eastAsia"/>
          <w:color w:val="auto"/>
          <w:sz w:val="24"/>
          <w:szCs w:val="24"/>
          <w:highlight w:val="none"/>
          <w:lang w:eastAsia="zh-CN"/>
        </w:rPr>
        <w:t>招标人</w:t>
      </w:r>
      <w:r>
        <w:rPr>
          <w:rFonts w:hint="eastAsia"/>
          <w:color w:val="auto"/>
          <w:sz w:val="24"/>
          <w:szCs w:val="24"/>
          <w:highlight w:val="none"/>
        </w:rPr>
        <w:t>签署合同。</w:t>
      </w:r>
    </w:p>
    <w:p w14:paraId="400DF39D">
      <w:pPr>
        <w:numPr>
          <w:ilvl w:val="2"/>
          <w:numId w:val="4"/>
        </w:numPr>
        <w:tabs>
          <w:tab w:val="left" w:pos="624"/>
          <w:tab w:val="left" w:pos="735"/>
          <w:tab w:val="left" w:pos="1571"/>
          <w:tab w:val="clear" w:pos="1050"/>
        </w:tabs>
        <w:snapToGrid w:val="0"/>
        <w:spacing w:line="240" w:lineRule="auto"/>
        <w:ind w:left="735" w:hanging="735"/>
        <w:rPr>
          <w:color w:val="auto"/>
          <w:sz w:val="24"/>
          <w:szCs w:val="24"/>
          <w:highlight w:val="none"/>
        </w:rPr>
      </w:pPr>
      <w:r>
        <w:rPr>
          <w:rFonts w:hint="eastAsia"/>
          <w:color w:val="auto"/>
          <w:sz w:val="24"/>
          <w:szCs w:val="24"/>
          <w:highlight w:val="none"/>
        </w:rPr>
        <w:t>合同的组成基于但不限于以下部分：</w:t>
      </w:r>
    </w:p>
    <w:p w14:paraId="008DC193">
      <w:pPr>
        <w:widowControl/>
        <w:numPr>
          <w:ilvl w:val="0"/>
          <w:numId w:val="9"/>
        </w:numPr>
        <w:tabs>
          <w:tab w:val="left" w:pos="720"/>
          <w:tab w:val="left" w:pos="1418"/>
          <w:tab w:val="clear" w:pos="1080"/>
        </w:tabs>
        <w:spacing w:line="480" w:lineRule="exact"/>
        <w:ind w:left="1148" w:leftChars="356" w:hanging="400" w:hangingChars="167"/>
        <w:jc w:val="left"/>
        <w:rPr>
          <w:color w:val="auto"/>
          <w:sz w:val="24"/>
          <w:szCs w:val="24"/>
          <w:highlight w:val="none"/>
        </w:rPr>
      </w:pPr>
      <w:r>
        <w:rPr>
          <w:rFonts w:hint="eastAsia"/>
          <w:color w:val="auto"/>
          <w:sz w:val="24"/>
          <w:szCs w:val="24"/>
          <w:highlight w:val="none"/>
        </w:rPr>
        <w:t>《合同》；</w:t>
      </w:r>
    </w:p>
    <w:p w14:paraId="6A68E12D">
      <w:pPr>
        <w:widowControl/>
        <w:numPr>
          <w:ilvl w:val="0"/>
          <w:numId w:val="9"/>
        </w:numPr>
        <w:tabs>
          <w:tab w:val="left" w:pos="720"/>
          <w:tab w:val="left" w:pos="1418"/>
          <w:tab w:val="clear" w:pos="1080"/>
        </w:tabs>
        <w:spacing w:line="480" w:lineRule="exact"/>
        <w:ind w:left="1148" w:leftChars="356" w:hanging="400" w:hangingChars="167"/>
        <w:jc w:val="left"/>
        <w:rPr>
          <w:color w:val="auto"/>
          <w:sz w:val="24"/>
          <w:szCs w:val="24"/>
          <w:highlight w:val="none"/>
        </w:rPr>
      </w:pPr>
      <w:r>
        <w:rPr>
          <w:rFonts w:hint="eastAsia"/>
          <w:color w:val="auto"/>
          <w:sz w:val="24"/>
          <w:szCs w:val="24"/>
          <w:highlight w:val="none"/>
          <w:lang w:eastAsia="zh-CN"/>
        </w:rPr>
        <w:t>招标文件</w:t>
      </w:r>
      <w:r>
        <w:rPr>
          <w:rFonts w:hint="eastAsia"/>
          <w:color w:val="auto"/>
          <w:sz w:val="24"/>
          <w:szCs w:val="24"/>
          <w:highlight w:val="none"/>
        </w:rPr>
        <w:t>及其澄清、补充文件；</w:t>
      </w:r>
    </w:p>
    <w:p w14:paraId="3C2D8DDC">
      <w:pPr>
        <w:widowControl/>
        <w:numPr>
          <w:ilvl w:val="0"/>
          <w:numId w:val="9"/>
        </w:numPr>
        <w:tabs>
          <w:tab w:val="left" w:pos="720"/>
          <w:tab w:val="left" w:pos="1418"/>
          <w:tab w:val="clear" w:pos="1080"/>
        </w:tabs>
        <w:spacing w:line="480" w:lineRule="exact"/>
        <w:ind w:left="1148" w:leftChars="356" w:hanging="400" w:hangingChars="167"/>
        <w:jc w:val="left"/>
        <w:rPr>
          <w:color w:val="auto"/>
          <w:sz w:val="24"/>
          <w:szCs w:val="24"/>
          <w:highlight w:val="none"/>
        </w:rPr>
      </w:pPr>
      <w:r>
        <w:rPr>
          <w:rFonts w:hint="eastAsia"/>
          <w:color w:val="auto"/>
          <w:sz w:val="24"/>
          <w:szCs w:val="24"/>
          <w:highlight w:val="none"/>
        </w:rPr>
        <w:t>中标人的</w:t>
      </w:r>
      <w:r>
        <w:rPr>
          <w:rFonts w:hint="eastAsia"/>
          <w:color w:val="auto"/>
          <w:sz w:val="24"/>
          <w:szCs w:val="24"/>
          <w:highlight w:val="none"/>
          <w:lang w:eastAsia="zh-CN"/>
        </w:rPr>
        <w:t>响应文件</w:t>
      </w:r>
      <w:r>
        <w:rPr>
          <w:rFonts w:hint="eastAsia"/>
          <w:color w:val="auto"/>
          <w:sz w:val="24"/>
          <w:szCs w:val="24"/>
          <w:highlight w:val="none"/>
        </w:rPr>
        <w:t>及其澄清、补充文件；</w:t>
      </w:r>
    </w:p>
    <w:p w14:paraId="159B87C0">
      <w:pPr>
        <w:widowControl/>
        <w:numPr>
          <w:ilvl w:val="0"/>
          <w:numId w:val="9"/>
        </w:numPr>
        <w:tabs>
          <w:tab w:val="left" w:pos="720"/>
          <w:tab w:val="left" w:pos="1418"/>
          <w:tab w:val="clear" w:pos="1080"/>
        </w:tabs>
        <w:spacing w:afterAutospacing="0" w:line="480" w:lineRule="exact"/>
        <w:ind w:left="1148" w:leftChars="356" w:hanging="400" w:hangingChars="167"/>
        <w:jc w:val="left"/>
        <w:rPr>
          <w:rFonts w:ascii="宋体" w:hAnsi="宋体"/>
          <w:b/>
          <w:color w:val="auto"/>
          <w:sz w:val="24"/>
          <w:highlight w:val="none"/>
        </w:rPr>
      </w:pPr>
      <w:r>
        <w:rPr>
          <w:rFonts w:hint="eastAsia"/>
          <w:color w:val="auto"/>
          <w:sz w:val="24"/>
          <w:szCs w:val="24"/>
          <w:highlight w:val="none"/>
          <w:lang w:eastAsia="zh-CN"/>
        </w:rPr>
        <w:t>成交通知书</w:t>
      </w:r>
      <w:r>
        <w:rPr>
          <w:rFonts w:hint="eastAsia"/>
          <w:color w:val="auto"/>
          <w:sz w:val="24"/>
          <w:szCs w:val="24"/>
          <w:highlight w:val="none"/>
        </w:rPr>
        <w:t>。</w:t>
      </w:r>
    </w:p>
    <w:p w14:paraId="0511582F">
      <w:pPr>
        <w:pStyle w:val="6"/>
        <w:numPr>
          <w:ilvl w:val="0"/>
          <w:numId w:val="4"/>
        </w:numPr>
        <w:tabs>
          <w:tab w:val="left" w:pos="425"/>
          <w:tab w:val="clear" w:pos="147"/>
        </w:tabs>
        <w:spacing w:before="0" w:beforeLines="0" w:beforeAutospacing="0" w:after="0" w:afterLines="0" w:afterAutospacing="0"/>
        <w:ind w:left="425"/>
        <w:rPr>
          <w:rFonts w:hint="eastAsia"/>
          <w:bCs/>
          <w:color w:val="auto"/>
          <w:szCs w:val="24"/>
          <w:highlight w:val="none"/>
        </w:rPr>
      </w:pPr>
      <w:bookmarkStart w:id="164" w:name="_Toc298920094"/>
      <w:bookmarkStart w:id="165" w:name="_Toc425347663"/>
      <w:bookmarkStart w:id="166" w:name="_Toc470184442"/>
      <w:bookmarkStart w:id="167" w:name="_Toc435687350"/>
      <w:bookmarkStart w:id="168" w:name="_Toc422161993"/>
      <w:bookmarkStart w:id="169" w:name="_Toc356489054"/>
      <w:bookmarkStart w:id="170" w:name="_Toc498899372"/>
      <w:bookmarkStart w:id="171" w:name="_Toc298190386"/>
      <w:bookmarkStart w:id="172" w:name="_Toc439513162"/>
      <w:bookmarkStart w:id="173" w:name="_Toc458980394"/>
      <w:bookmarkStart w:id="174" w:name="_Toc422865422"/>
      <w:bookmarkStart w:id="175" w:name="_Toc494832088"/>
      <w:bookmarkStart w:id="176" w:name="_Toc439513446"/>
      <w:bookmarkStart w:id="177" w:name="_Toc343857028"/>
      <w:bookmarkStart w:id="178" w:name="_Toc435686981"/>
      <w:bookmarkStart w:id="179" w:name="_Toc479325593"/>
      <w:bookmarkStart w:id="180" w:name="_Toc298829963"/>
      <w:bookmarkStart w:id="181" w:name="_Toc486969380"/>
      <w:bookmarkStart w:id="182" w:name="_Toc416208487"/>
      <w:bookmarkStart w:id="183" w:name="_Toc438641466"/>
      <w:bookmarkStart w:id="184" w:name="_Toc435623755"/>
      <w:bookmarkStart w:id="185" w:name="_Toc364846101"/>
      <w:bookmarkStart w:id="186" w:name="_Toc418023334"/>
      <w:bookmarkStart w:id="187" w:name="_Toc298829722"/>
      <w:bookmarkStart w:id="188" w:name="_Toc438722131"/>
      <w:bookmarkStart w:id="189" w:name="_Toc435629793"/>
      <w:bookmarkStart w:id="190" w:name="_Toc414510781"/>
      <w:bookmarkStart w:id="191" w:name="_Toc365033707"/>
      <w:bookmarkStart w:id="192" w:name="_Toc518912736"/>
      <w:bookmarkStart w:id="193" w:name="_Toc12802"/>
      <w:bookmarkStart w:id="194" w:name="_Toc477879841"/>
      <w:bookmarkStart w:id="195" w:name="_Toc350417826"/>
      <w:bookmarkStart w:id="196" w:name="_Toc31525"/>
      <w:bookmarkStart w:id="197" w:name="_Toc439679269"/>
      <w:bookmarkStart w:id="198" w:name="_Toc297209420"/>
      <w:bookmarkStart w:id="199" w:name="_Toc479340790"/>
      <w:bookmarkStart w:id="200" w:name="_Toc435687276"/>
      <w:bookmarkStart w:id="201" w:name="_Toc458635597"/>
      <w:bookmarkStart w:id="202" w:name="_Toc498871245"/>
      <w:bookmarkStart w:id="203" w:name="_Toc299108392"/>
      <w:bookmarkStart w:id="204" w:name="_Toc487044253"/>
      <w:bookmarkStart w:id="205" w:name="_Toc438513735"/>
      <w:bookmarkStart w:id="206" w:name="_Toc438508598"/>
      <w:bookmarkStart w:id="207" w:name="_Toc380533811"/>
      <w:bookmarkStart w:id="208" w:name="_Toc383124049"/>
      <w:bookmarkStart w:id="209" w:name="_Toc435629839"/>
      <w:r>
        <w:rPr>
          <w:rFonts w:hint="eastAsia"/>
          <w:bCs/>
          <w:color w:val="auto"/>
          <w:szCs w:val="24"/>
          <w:highlight w:val="none"/>
        </w:rPr>
        <w:t>招标服务费</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0A91D417">
      <w:pPr>
        <w:spacing w:beforeAutospacing="0" w:after="50" w:line="400" w:lineRule="exact"/>
        <w:ind w:firstLine="523" w:firstLineChars="218"/>
        <w:rPr>
          <w:rFonts w:hint="eastAsia" w:ascii="宋体" w:hAnsi="宋体" w:eastAsia="宋体"/>
          <w:color w:val="auto"/>
          <w:sz w:val="24"/>
          <w:highlight w:val="none"/>
          <w:lang w:eastAsia="zh-CN"/>
        </w:rPr>
      </w:pPr>
      <w:r>
        <w:rPr>
          <w:rFonts w:ascii="宋体" w:hAnsi="宋体"/>
          <w:color w:val="auto"/>
          <w:sz w:val="24"/>
          <w:highlight w:val="none"/>
        </w:rPr>
        <w:t>中标人须向采购代理机构</w:t>
      </w:r>
      <w:r>
        <w:rPr>
          <w:rFonts w:hint="eastAsia" w:ascii="宋体" w:hAnsi="宋体"/>
          <w:color w:val="auto"/>
          <w:sz w:val="24"/>
          <w:highlight w:val="none"/>
          <w:lang w:val="en-US" w:eastAsia="zh-CN"/>
        </w:rPr>
        <w:t>缴纳</w:t>
      </w:r>
      <w:r>
        <w:rPr>
          <w:rFonts w:ascii="宋体" w:hAnsi="宋体"/>
          <w:color w:val="auto"/>
          <w:sz w:val="24"/>
          <w:highlight w:val="none"/>
        </w:rPr>
        <w:t>的招标服务费，根据《国家发展改革委关于进一步放开建设项目专业服务价格的通知发改价格》[2015]299号的通知实行市场调节价，本项目的招标服务费执行以下价格；</w:t>
      </w:r>
    </w:p>
    <w:p w14:paraId="088D10EA">
      <w:pPr>
        <w:keepNext w:val="0"/>
        <w:keepLines w:val="0"/>
        <w:pageBreakBefore w:val="0"/>
        <w:widowControl w:val="0"/>
        <w:kinsoku/>
        <w:wordWrap/>
        <w:overflowPunct/>
        <w:topLinePunct w:val="0"/>
        <w:autoSpaceDE/>
        <w:autoSpaceDN/>
        <w:bidi w:val="0"/>
        <w:adjustRightInd/>
        <w:snapToGrid/>
        <w:spacing w:before="50" w:after="50" w:line="40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w:t>
      </w:r>
      <w:r>
        <w:rPr>
          <w:rFonts w:ascii="宋体" w:hAnsi="宋体"/>
          <w:color w:val="auto"/>
          <w:sz w:val="24"/>
          <w:szCs w:val="24"/>
          <w:highlight w:val="none"/>
        </w:rPr>
        <w:t>以预算金额作为收费的计算基数；</w:t>
      </w:r>
    </w:p>
    <w:p w14:paraId="4F47372D">
      <w:pPr>
        <w:keepNext w:val="0"/>
        <w:keepLines w:val="0"/>
        <w:pageBreakBefore w:val="0"/>
        <w:widowControl w:val="0"/>
        <w:kinsoku/>
        <w:wordWrap/>
        <w:overflowPunct/>
        <w:topLinePunct w:val="0"/>
        <w:autoSpaceDE/>
        <w:autoSpaceDN/>
        <w:bidi w:val="0"/>
        <w:adjustRightInd/>
        <w:snapToGrid/>
        <w:spacing w:before="50" w:after="50" w:line="40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w:t>
      </w:r>
      <w:r>
        <w:rPr>
          <w:rFonts w:ascii="宋体" w:hAnsi="宋体"/>
          <w:color w:val="auto"/>
          <w:sz w:val="24"/>
          <w:szCs w:val="24"/>
          <w:highlight w:val="none"/>
        </w:rPr>
        <w:t>预算金额在100万以下的，招标服务费按1.5%计算；10</w:t>
      </w:r>
      <w:r>
        <w:rPr>
          <w:rFonts w:hint="eastAsia" w:ascii="宋体" w:hAnsi="宋体"/>
          <w:color w:val="auto"/>
          <w:sz w:val="24"/>
          <w:szCs w:val="24"/>
          <w:highlight w:val="none"/>
          <w:lang w:val="en-US" w:eastAsia="zh-CN"/>
        </w:rPr>
        <w:t>0</w:t>
      </w:r>
      <w:r>
        <w:rPr>
          <w:rFonts w:ascii="宋体" w:hAnsi="宋体"/>
          <w:color w:val="auto"/>
          <w:sz w:val="24"/>
          <w:szCs w:val="24"/>
          <w:highlight w:val="none"/>
        </w:rPr>
        <w:t>万到500万的，按</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1</w:t>
      </w:r>
      <w:r>
        <w:rPr>
          <w:rFonts w:ascii="宋体" w:hAnsi="宋体"/>
          <w:color w:val="auto"/>
          <w:sz w:val="24"/>
          <w:szCs w:val="24"/>
          <w:highlight w:val="none"/>
        </w:rPr>
        <w:t>%计算…</w:t>
      </w:r>
    </w:p>
    <w:p w14:paraId="3C9B94DF">
      <w:pPr>
        <w:keepNext w:val="0"/>
        <w:keepLines w:val="0"/>
        <w:pageBreakBefore w:val="0"/>
        <w:widowControl w:val="0"/>
        <w:kinsoku/>
        <w:wordWrap/>
        <w:overflowPunct/>
        <w:topLinePunct w:val="0"/>
        <w:autoSpaceDE/>
        <w:autoSpaceDN/>
        <w:bidi w:val="0"/>
        <w:adjustRightInd/>
        <w:snapToGrid/>
        <w:spacing w:before="50" w:after="50" w:line="40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（3）</w:t>
      </w:r>
      <w:r>
        <w:rPr>
          <w:rFonts w:ascii="宋体" w:hAnsi="宋体"/>
          <w:color w:val="auto"/>
          <w:sz w:val="24"/>
          <w:szCs w:val="24"/>
          <w:highlight w:val="none"/>
        </w:rPr>
        <w:t>招标代理服务收费按差额定率累进法计算</w:t>
      </w:r>
      <w:r>
        <w:rPr>
          <w:rFonts w:hint="eastAsia" w:ascii="宋体" w:hAnsi="宋体"/>
          <w:color w:val="auto"/>
          <w:sz w:val="24"/>
          <w:szCs w:val="24"/>
          <w:highlight w:val="none"/>
          <w:lang w:eastAsia="zh-CN"/>
        </w:rPr>
        <w:t>；</w:t>
      </w:r>
    </w:p>
    <w:p w14:paraId="0D2CCD50">
      <w:pPr>
        <w:keepNext w:val="0"/>
        <w:keepLines w:val="0"/>
        <w:pageBreakBefore w:val="0"/>
        <w:widowControl w:val="0"/>
        <w:kinsoku/>
        <w:wordWrap/>
        <w:overflowPunct/>
        <w:topLinePunct w:val="0"/>
        <w:autoSpaceDE/>
        <w:autoSpaceDN/>
        <w:bidi w:val="0"/>
        <w:adjustRightInd/>
        <w:snapToGrid/>
        <w:spacing w:before="50" w:after="50" w:line="400" w:lineRule="exact"/>
        <w:ind w:firstLine="480" w:firstLineChars="20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（4）</w:t>
      </w:r>
      <w:r>
        <w:rPr>
          <w:rFonts w:ascii="宋体" w:hAnsi="宋体"/>
          <w:color w:val="auto"/>
          <w:sz w:val="24"/>
          <w:szCs w:val="24"/>
          <w:highlight w:val="none"/>
        </w:rPr>
        <w:t>招标服务费不在投标报价中单列；</w:t>
      </w:r>
    </w:p>
    <w:p w14:paraId="7A41FFA7">
      <w:pPr>
        <w:keepNext w:val="0"/>
        <w:keepLines w:val="0"/>
        <w:pageBreakBefore w:val="0"/>
        <w:widowControl w:val="0"/>
        <w:kinsoku/>
        <w:wordWrap/>
        <w:overflowPunct/>
        <w:topLinePunct w:val="0"/>
        <w:autoSpaceDE/>
        <w:autoSpaceDN/>
        <w:bidi w:val="0"/>
        <w:adjustRightInd/>
        <w:snapToGrid/>
        <w:spacing w:before="50" w:after="50" w:line="400" w:lineRule="exact"/>
        <w:ind w:firstLine="480" w:firstLineChars="200"/>
        <w:textAlignment w:val="auto"/>
        <w:rPr>
          <w:rFonts w:ascii="宋体" w:hAnsi="宋体"/>
          <w:color w:val="auto"/>
          <w:sz w:val="24"/>
          <w:highlight w:val="none"/>
        </w:rPr>
      </w:pPr>
      <w:r>
        <w:rPr>
          <w:rFonts w:hint="eastAsia" w:ascii="宋体" w:hAnsi="宋体"/>
          <w:color w:val="auto"/>
          <w:sz w:val="24"/>
          <w:szCs w:val="24"/>
          <w:highlight w:val="none"/>
        </w:rPr>
        <w:t>（5）</w:t>
      </w:r>
      <w:r>
        <w:rPr>
          <w:rFonts w:ascii="宋体" w:hAnsi="宋体"/>
          <w:color w:val="auto"/>
          <w:sz w:val="24"/>
          <w:szCs w:val="24"/>
          <w:highlight w:val="none"/>
        </w:rPr>
        <w:t>招标服务费币种与《</w:t>
      </w:r>
      <w:r>
        <w:rPr>
          <w:rFonts w:hint="eastAsia" w:ascii="宋体" w:hAnsi="宋体"/>
          <w:color w:val="auto"/>
          <w:sz w:val="24"/>
          <w:szCs w:val="24"/>
          <w:highlight w:val="none"/>
          <w:lang w:eastAsia="zh-CN"/>
        </w:rPr>
        <w:t>成交通知书</w:t>
      </w:r>
      <w:r>
        <w:rPr>
          <w:rFonts w:ascii="宋体" w:hAnsi="宋体"/>
          <w:color w:val="auto"/>
          <w:sz w:val="24"/>
          <w:szCs w:val="24"/>
          <w:highlight w:val="none"/>
        </w:rPr>
        <w:t>》的币种相同；</w:t>
      </w:r>
    </w:p>
    <w:p w14:paraId="4205569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olor w:val="auto"/>
          <w:sz w:val="24"/>
          <w:highlight w:val="none"/>
        </w:rPr>
      </w:pPr>
      <w:r>
        <w:rPr>
          <w:rFonts w:hint="eastAsia" w:ascii="宋体" w:hAnsi="宋体"/>
          <w:color w:val="auto"/>
          <w:sz w:val="24"/>
          <w:highlight w:val="none"/>
        </w:rPr>
        <w:t>（6）</w:t>
      </w:r>
      <w:r>
        <w:rPr>
          <w:rFonts w:ascii="宋体" w:hAnsi="宋体"/>
          <w:color w:val="auto"/>
          <w:sz w:val="24"/>
          <w:highlight w:val="none"/>
        </w:rPr>
        <w:t>中标人在领取《</w:t>
      </w:r>
      <w:r>
        <w:rPr>
          <w:rFonts w:hint="eastAsia" w:ascii="宋体" w:hAnsi="宋体"/>
          <w:color w:val="auto"/>
          <w:sz w:val="24"/>
          <w:highlight w:val="none"/>
          <w:lang w:eastAsia="zh-CN"/>
        </w:rPr>
        <w:t>成交通知书</w:t>
      </w:r>
      <w:r>
        <w:rPr>
          <w:rFonts w:ascii="宋体" w:hAnsi="宋体"/>
          <w:color w:val="auto"/>
          <w:sz w:val="24"/>
          <w:highlight w:val="none"/>
        </w:rPr>
        <w:t>》时，必须按《</w:t>
      </w:r>
      <w:r>
        <w:rPr>
          <w:rFonts w:hint="eastAsia" w:ascii="宋体" w:hAnsi="宋体"/>
          <w:color w:val="auto"/>
          <w:sz w:val="24"/>
          <w:highlight w:val="none"/>
          <w:lang w:eastAsia="zh-CN"/>
        </w:rPr>
        <w:t>缴纳</w:t>
      </w:r>
      <w:r>
        <w:rPr>
          <w:rFonts w:ascii="宋体" w:hAnsi="宋体"/>
          <w:color w:val="auto"/>
          <w:sz w:val="24"/>
          <w:highlight w:val="none"/>
        </w:rPr>
        <w:t>服务费承诺书》向采购代理机构直接</w:t>
      </w:r>
      <w:r>
        <w:rPr>
          <w:rFonts w:hint="eastAsia" w:ascii="宋体" w:hAnsi="宋体"/>
          <w:color w:val="auto"/>
          <w:sz w:val="24"/>
          <w:highlight w:val="none"/>
          <w:lang w:eastAsia="zh-CN"/>
        </w:rPr>
        <w:t>缴纳</w:t>
      </w:r>
      <w:r>
        <w:rPr>
          <w:rFonts w:ascii="宋体" w:hAnsi="宋体"/>
          <w:color w:val="auto"/>
          <w:sz w:val="24"/>
          <w:highlight w:val="none"/>
        </w:rPr>
        <w:t>招标服务费。</w:t>
      </w:r>
      <w:r>
        <w:rPr>
          <w:rFonts w:ascii="宋体" w:hAnsi="宋体"/>
          <w:color w:val="auto"/>
          <w:sz w:val="24"/>
          <w:highlight w:val="none"/>
        </w:rPr>
        <w:br w:type="page"/>
      </w:r>
    </w:p>
    <w:p w14:paraId="7CEA577E">
      <w:pPr>
        <w:spacing w:line="360" w:lineRule="auto"/>
        <w:rPr>
          <w:rFonts w:hint="eastAsia"/>
          <w:color w:val="auto"/>
          <w:highlight w:val="none"/>
        </w:rPr>
      </w:pPr>
    </w:p>
    <w:p w14:paraId="262BADD1">
      <w:pPr>
        <w:spacing w:line="360" w:lineRule="auto"/>
        <w:rPr>
          <w:rFonts w:hint="eastAsia"/>
          <w:color w:val="auto"/>
          <w:highlight w:val="none"/>
        </w:rPr>
      </w:pPr>
    </w:p>
    <w:p w14:paraId="0823A31F">
      <w:pPr>
        <w:spacing w:line="360" w:lineRule="auto"/>
        <w:rPr>
          <w:rFonts w:hint="eastAsia"/>
          <w:color w:val="auto"/>
          <w:highlight w:val="none"/>
        </w:rPr>
      </w:pPr>
    </w:p>
    <w:p w14:paraId="21FDEADF">
      <w:pPr>
        <w:spacing w:line="360" w:lineRule="auto"/>
        <w:rPr>
          <w:rFonts w:hint="eastAsia"/>
          <w:color w:val="auto"/>
          <w:highlight w:val="none"/>
        </w:rPr>
      </w:pPr>
    </w:p>
    <w:p w14:paraId="54EE272F">
      <w:pPr>
        <w:spacing w:line="360" w:lineRule="auto"/>
        <w:rPr>
          <w:rFonts w:hint="eastAsia"/>
          <w:color w:val="auto"/>
          <w:highlight w:val="none"/>
        </w:rPr>
      </w:pPr>
    </w:p>
    <w:p w14:paraId="19D36C52">
      <w:pPr>
        <w:spacing w:line="360" w:lineRule="auto"/>
        <w:rPr>
          <w:rFonts w:hint="eastAsia"/>
          <w:color w:val="auto"/>
          <w:highlight w:val="none"/>
        </w:rPr>
      </w:pPr>
    </w:p>
    <w:p w14:paraId="096C00D1">
      <w:pPr>
        <w:spacing w:line="360" w:lineRule="auto"/>
        <w:rPr>
          <w:rFonts w:hint="eastAsia"/>
          <w:color w:val="auto"/>
          <w:highlight w:val="none"/>
        </w:rPr>
      </w:pPr>
    </w:p>
    <w:p w14:paraId="4A2235DA">
      <w:pPr>
        <w:spacing w:line="360" w:lineRule="auto"/>
        <w:rPr>
          <w:rFonts w:hint="eastAsia"/>
          <w:color w:val="auto"/>
          <w:highlight w:val="none"/>
        </w:rPr>
      </w:pPr>
    </w:p>
    <w:p w14:paraId="2230F6E3">
      <w:pPr>
        <w:spacing w:line="360" w:lineRule="auto"/>
        <w:rPr>
          <w:rFonts w:hint="eastAsia"/>
          <w:color w:val="auto"/>
          <w:highlight w:val="none"/>
        </w:rPr>
      </w:pPr>
    </w:p>
    <w:p w14:paraId="59C965C0">
      <w:pPr>
        <w:spacing w:line="360" w:lineRule="auto"/>
        <w:rPr>
          <w:rFonts w:hint="eastAsia" w:ascii="宋体" w:hAnsi="宋体"/>
          <w:color w:val="auto"/>
          <w:sz w:val="28"/>
          <w:szCs w:val="28"/>
          <w:highlight w:val="none"/>
        </w:rPr>
      </w:pPr>
    </w:p>
    <w:p w14:paraId="1962E0F3">
      <w:pPr>
        <w:spacing w:line="360" w:lineRule="auto"/>
        <w:rPr>
          <w:rFonts w:hint="eastAsia" w:ascii="宋体" w:hAnsi="宋体"/>
          <w:color w:val="auto"/>
          <w:sz w:val="28"/>
          <w:szCs w:val="28"/>
          <w:highlight w:val="none"/>
        </w:rPr>
      </w:pPr>
    </w:p>
    <w:p w14:paraId="3DEA7ED5">
      <w:pPr>
        <w:pStyle w:val="4"/>
        <w:spacing w:line="360" w:lineRule="auto"/>
        <w:jc w:val="center"/>
        <w:rPr>
          <w:rFonts w:hint="eastAsia" w:ascii="宋体" w:hAnsi="宋体" w:eastAsia="宋体"/>
          <w:color w:val="auto"/>
          <w:sz w:val="48"/>
          <w:szCs w:val="48"/>
          <w:highlight w:val="none"/>
          <w:lang w:eastAsia="zh-CN"/>
        </w:rPr>
      </w:pPr>
      <w:bookmarkStart w:id="210" w:name="_Toc11709"/>
      <w:bookmarkStart w:id="211" w:name="_Toc297209394"/>
      <w:r>
        <w:rPr>
          <w:rFonts w:hint="eastAsia" w:ascii="宋体" w:hAnsi="宋体" w:eastAsia="宋体"/>
          <w:color w:val="auto"/>
          <w:sz w:val="48"/>
          <w:szCs w:val="48"/>
          <w:highlight w:val="none"/>
        </w:rPr>
        <w:t xml:space="preserve">第三章 </w:t>
      </w:r>
      <w:bookmarkEnd w:id="210"/>
      <w:bookmarkEnd w:id="211"/>
      <w:r>
        <w:rPr>
          <w:rFonts w:hint="eastAsia" w:ascii="宋体" w:hAnsi="宋体" w:eastAsia="宋体"/>
          <w:color w:val="auto"/>
          <w:sz w:val="48"/>
          <w:szCs w:val="48"/>
          <w:highlight w:val="none"/>
          <w:lang w:eastAsia="zh-CN"/>
        </w:rPr>
        <w:t>招标人需求</w:t>
      </w:r>
    </w:p>
    <w:p w14:paraId="21EEC882">
      <w:pPr>
        <w:spacing w:before="159" w:beforeLines="50" w:beforeAutospacing="0" w:line="360" w:lineRule="auto"/>
        <w:ind w:firstLine="489"/>
        <w:jc w:val="center"/>
        <w:rPr>
          <w:rFonts w:hint="eastAsia" w:ascii="宋体" w:hAnsi="宋体" w:eastAsia="宋体"/>
          <w:color w:val="auto"/>
          <w:sz w:val="36"/>
          <w:szCs w:val="36"/>
          <w:highlight w:val="none"/>
          <w:lang w:eastAsia="zh-CN"/>
        </w:rPr>
      </w:pPr>
      <w:r>
        <w:rPr>
          <w:rFonts w:ascii="宋体" w:hAnsi="宋体" w:cs="Arial"/>
          <w:b/>
          <w:bCs/>
          <w:color w:val="auto"/>
          <w:sz w:val="24"/>
          <w:szCs w:val="24"/>
          <w:highlight w:val="none"/>
        </w:rPr>
        <w:br w:type="page"/>
      </w:r>
      <w:r>
        <w:rPr>
          <w:rFonts w:hint="eastAsia" w:ascii="宋体" w:hAnsi="宋体" w:cs="Arial"/>
          <w:b/>
          <w:bCs/>
          <w:color w:val="auto"/>
          <w:sz w:val="36"/>
          <w:szCs w:val="36"/>
          <w:highlight w:val="none"/>
          <w:lang w:eastAsia="zh-CN"/>
        </w:rPr>
        <w:t>招标人需求</w:t>
      </w:r>
    </w:p>
    <w:p w14:paraId="334B68F4">
      <w:pPr>
        <w:rPr>
          <w:rFonts w:hint="eastAsia" w:ascii="宋体" w:hAnsi="宋体"/>
          <w:b/>
          <w:color w:val="auto"/>
          <w:sz w:val="24"/>
          <w:szCs w:val="24"/>
          <w:highlight w:val="none"/>
        </w:rPr>
      </w:pPr>
      <w:bookmarkStart w:id="212" w:name="_Toc420441541"/>
      <w:bookmarkStart w:id="213" w:name="_Toc514177034"/>
      <w:bookmarkStart w:id="214" w:name="_Toc19168"/>
      <w:bookmarkStart w:id="215" w:name="_Toc418683336"/>
      <w:bookmarkStart w:id="216" w:name="_Toc524368767"/>
      <w:bookmarkStart w:id="217" w:name="_Toc522529795"/>
      <w:bookmarkStart w:id="218" w:name="_Toc518912739"/>
    </w:p>
    <w:p w14:paraId="4A56829C">
      <w:pPr>
        <w:spacing w:line="360" w:lineRule="auto"/>
        <w:jc w:val="left"/>
        <w:outlineLvl w:val="2"/>
        <w:rPr>
          <w:rFonts w:hint="default"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一</w:t>
      </w:r>
      <w:r>
        <w:rPr>
          <w:rFonts w:hint="eastAsia" w:ascii="宋体" w:hAnsi="宋体"/>
          <w:b/>
          <w:color w:val="auto"/>
          <w:sz w:val="24"/>
          <w:szCs w:val="24"/>
          <w:highlight w:val="none"/>
        </w:rPr>
        <w:t>、</w:t>
      </w:r>
      <w:bookmarkEnd w:id="212"/>
      <w:bookmarkEnd w:id="213"/>
      <w:bookmarkEnd w:id="214"/>
      <w:bookmarkEnd w:id="215"/>
      <w:bookmarkEnd w:id="216"/>
      <w:bookmarkEnd w:id="217"/>
      <w:bookmarkEnd w:id="218"/>
      <w:bookmarkStart w:id="219" w:name="_Toc5124202"/>
      <w:bookmarkStart w:id="220" w:name="_Toc524517837"/>
      <w:r>
        <w:rPr>
          <w:rFonts w:hint="eastAsia" w:ascii="宋体" w:hAnsi="宋体"/>
          <w:b/>
          <w:color w:val="auto"/>
          <w:sz w:val="24"/>
          <w:szCs w:val="24"/>
          <w:highlight w:val="none"/>
          <w:lang w:eastAsia="zh-CN"/>
        </w:rPr>
        <w:t>项目背景</w:t>
      </w:r>
    </w:p>
    <w:p w14:paraId="28DE9289">
      <w:pPr>
        <w:adjustRightInd w:val="0"/>
        <w:spacing w:line="360" w:lineRule="auto"/>
        <w:ind w:firstLine="482" w:firstLineChars="200"/>
        <w:textAlignment w:val="baseline"/>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结合库尔勒现有场馆、景区打造中华文化符号和中华民族视觉形象示范点，突出文化符号内涵与民族视觉特色，让中华文化通过实物实景实事得到充分展现、直抵人心，增强全市各族干部群众对中华优秀传统文化的认知度、亲近感，促进交流融合，在“日用而不觉”中铸牢中华民族共同体意识，成为文化展示与传承的重要窗口</w:t>
      </w:r>
    </w:p>
    <w:bookmarkEnd w:id="219"/>
    <w:bookmarkEnd w:id="220"/>
    <w:p w14:paraId="4E6BDE10">
      <w:pPr>
        <w:rPr>
          <w:rFonts w:hint="default"/>
          <w:color w:val="auto"/>
          <w:highlight w:val="none"/>
          <w:lang w:val="en-US" w:eastAsia="zh-CN"/>
        </w:rPr>
      </w:pPr>
    </w:p>
    <w:p w14:paraId="5ACA33BD">
      <w:pPr>
        <w:spacing w:line="360" w:lineRule="auto"/>
        <w:jc w:val="left"/>
        <w:outlineLvl w:val="2"/>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二、具体标项内容</w:t>
      </w:r>
    </w:p>
    <w:p w14:paraId="055EB19B">
      <w:pPr>
        <w:jc w:val="center"/>
        <w:rPr>
          <w:rFonts w:hint="eastAsia" w:ascii="宋体" w:hAnsi="宋体" w:eastAsia="宋体" w:cs="Times New Roman"/>
          <w:b/>
          <w:color w:val="auto"/>
          <w:sz w:val="32"/>
          <w:szCs w:val="32"/>
          <w:highlight w:val="none"/>
          <w:lang w:val="en-US" w:eastAsia="zh-CN"/>
        </w:rPr>
      </w:pPr>
    </w:p>
    <w:p w14:paraId="3A5D04B6">
      <w:pPr>
        <w:rPr>
          <w:rFonts w:hint="eastAsia" w:ascii="宋体" w:hAnsi="宋体" w:eastAsia="宋体" w:cs="Times New Roman"/>
          <w:b/>
          <w:color w:val="auto"/>
          <w:sz w:val="24"/>
          <w:szCs w:val="24"/>
          <w:highlight w:val="none"/>
          <w:lang w:val="en-US" w:eastAsia="zh-CN"/>
        </w:rPr>
      </w:pPr>
    </w:p>
    <w:tbl>
      <w:tblPr>
        <w:tblStyle w:val="30"/>
        <w:tblW w:w="9867"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773"/>
        <w:gridCol w:w="1641"/>
        <w:gridCol w:w="1867"/>
        <w:gridCol w:w="1167"/>
        <w:gridCol w:w="3419"/>
      </w:tblGrid>
      <w:tr w14:paraId="34692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773" w:type="dxa"/>
            <w:tcBorders>
              <w:tl2br w:val="nil"/>
              <w:tr2bl w:val="nil"/>
            </w:tcBorders>
            <w:shd w:val="clear" w:color="auto" w:fill="auto"/>
            <w:noWrap/>
            <w:vAlign w:val="center"/>
          </w:tcPr>
          <w:p w14:paraId="32D4B3DA">
            <w:pPr>
              <w:keepNext w:val="0"/>
              <w:keepLines w:val="0"/>
              <w:widowControl/>
              <w:suppressLineNumbers w:val="0"/>
              <w:jc w:val="center"/>
              <w:textAlignment w:val="center"/>
              <w:rPr>
                <w:rFonts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安装位置</w:t>
            </w:r>
          </w:p>
        </w:tc>
        <w:tc>
          <w:tcPr>
            <w:tcW w:w="1641" w:type="dxa"/>
            <w:tcBorders>
              <w:tl2br w:val="nil"/>
              <w:tr2bl w:val="nil"/>
            </w:tcBorders>
            <w:shd w:val="clear" w:color="auto" w:fill="auto"/>
            <w:noWrap/>
            <w:vAlign w:val="center"/>
          </w:tcPr>
          <w:p w14:paraId="6092AD51">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物料名称</w:t>
            </w:r>
          </w:p>
        </w:tc>
        <w:tc>
          <w:tcPr>
            <w:tcW w:w="1867" w:type="dxa"/>
            <w:tcBorders>
              <w:tl2br w:val="nil"/>
              <w:tr2bl w:val="nil"/>
            </w:tcBorders>
            <w:shd w:val="clear" w:color="auto" w:fill="auto"/>
            <w:noWrap/>
            <w:vAlign w:val="center"/>
          </w:tcPr>
          <w:p w14:paraId="117E901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规格</w:t>
            </w:r>
          </w:p>
        </w:tc>
        <w:tc>
          <w:tcPr>
            <w:tcW w:w="1167" w:type="dxa"/>
            <w:tcBorders>
              <w:tl2br w:val="nil"/>
              <w:tr2bl w:val="nil"/>
            </w:tcBorders>
            <w:shd w:val="clear" w:color="auto" w:fill="auto"/>
            <w:noWrap/>
            <w:vAlign w:val="center"/>
          </w:tcPr>
          <w:p w14:paraId="2014C4F2">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数量</w:t>
            </w:r>
          </w:p>
        </w:tc>
        <w:tc>
          <w:tcPr>
            <w:tcW w:w="3419" w:type="dxa"/>
            <w:tcBorders>
              <w:tl2br w:val="nil"/>
              <w:tr2bl w:val="nil"/>
            </w:tcBorders>
            <w:shd w:val="clear" w:color="auto" w:fill="auto"/>
            <w:noWrap/>
            <w:vAlign w:val="center"/>
          </w:tcPr>
          <w:p w14:paraId="64D09102">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rFonts w:hint="eastAsia" w:ascii="微软雅黑" w:hAnsi="微软雅黑" w:eastAsia="微软雅黑" w:cs="微软雅黑"/>
                <w:b/>
                <w:bCs/>
                <w:i w:val="0"/>
                <w:iCs w:val="0"/>
                <w:color w:val="auto"/>
                <w:kern w:val="0"/>
                <w:sz w:val="22"/>
                <w:szCs w:val="22"/>
                <w:highlight w:val="none"/>
                <w:u w:val="none"/>
                <w:lang w:val="en-US" w:eastAsia="zh-CN" w:bidi="ar"/>
              </w:rPr>
              <w:t>参考样式</w:t>
            </w:r>
          </w:p>
        </w:tc>
      </w:tr>
      <w:tr w14:paraId="7EB34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1773" w:type="dxa"/>
            <w:vMerge w:val="restart"/>
            <w:tcBorders>
              <w:tl2br w:val="nil"/>
              <w:tr2bl w:val="nil"/>
            </w:tcBorders>
            <w:shd w:val="clear" w:color="auto" w:fill="auto"/>
            <w:vAlign w:val="center"/>
          </w:tcPr>
          <w:p w14:paraId="6580280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市民中心广场</w:t>
            </w:r>
            <w:r>
              <w:rPr>
                <w:rFonts w:hint="eastAsia" w:ascii="微软雅黑" w:hAnsi="微软雅黑" w:eastAsia="微软雅黑" w:cs="微软雅黑"/>
                <w:b w:val="0"/>
                <w:bCs w:val="0"/>
                <w:i w:val="0"/>
                <w:iCs w:val="0"/>
                <w:color w:val="auto"/>
                <w:kern w:val="0"/>
                <w:sz w:val="22"/>
                <w:szCs w:val="22"/>
                <w:highlight w:val="none"/>
                <w:u w:val="none"/>
                <w:lang w:val="en-US" w:eastAsia="zh-CN" w:bidi="ar"/>
              </w:rPr>
              <w:br w:type="textWrapping"/>
            </w:r>
            <w:r>
              <w:rPr>
                <w:rFonts w:hint="eastAsia" w:ascii="微软雅黑" w:hAnsi="微软雅黑" w:eastAsia="微软雅黑" w:cs="微软雅黑"/>
                <w:b w:val="0"/>
                <w:bCs w:val="0"/>
                <w:i w:val="0"/>
                <w:iCs w:val="0"/>
                <w:color w:val="auto"/>
                <w:kern w:val="0"/>
                <w:sz w:val="22"/>
                <w:szCs w:val="22"/>
                <w:highlight w:val="none"/>
                <w:u w:val="none"/>
                <w:lang w:val="en-US" w:eastAsia="zh-CN" w:bidi="ar"/>
              </w:rPr>
              <w:t>（75根电线杆）</w:t>
            </w:r>
          </w:p>
        </w:tc>
        <w:tc>
          <w:tcPr>
            <w:tcW w:w="1641" w:type="dxa"/>
            <w:tcBorders>
              <w:tl2br w:val="nil"/>
              <w:tr2bl w:val="nil"/>
            </w:tcBorders>
            <w:shd w:val="clear" w:color="auto" w:fill="auto"/>
            <w:noWrap/>
            <w:vAlign w:val="center"/>
          </w:tcPr>
          <w:p w14:paraId="1F2EC96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中国结+宣传画面</w:t>
            </w:r>
          </w:p>
        </w:tc>
        <w:tc>
          <w:tcPr>
            <w:tcW w:w="1867" w:type="dxa"/>
            <w:tcBorders>
              <w:tl2br w:val="nil"/>
              <w:tr2bl w:val="nil"/>
            </w:tcBorders>
            <w:shd w:val="clear" w:color="auto" w:fill="auto"/>
            <w:noWrap/>
            <w:vAlign w:val="center"/>
          </w:tcPr>
          <w:p w14:paraId="632BC4D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5290EB6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75个</w:t>
            </w:r>
          </w:p>
        </w:tc>
        <w:tc>
          <w:tcPr>
            <w:tcW w:w="3419" w:type="dxa"/>
            <w:vMerge w:val="restart"/>
            <w:tcBorders>
              <w:tl2br w:val="nil"/>
              <w:tr2bl w:val="nil"/>
            </w:tcBorders>
            <w:shd w:val="clear" w:color="auto" w:fill="auto"/>
            <w:noWrap/>
            <w:vAlign w:val="center"/>
          </w:tcPr>
          <w:p w14:paraId="49590A05">
            <w:pPr>
              <w:keepNext w:val="0"/>
              <w:keepLines w:val="0"/>
              <w:widowControl/>
              <w:suppressLineNumbers w:val="0"/>
              <w:jc w:val="center"/>
              <w:textAlignment w:val="center"/>
              <w:rPr>
                <w:color w:val="auto"/>
                <w:highlight w:val="none"/>
              </w:rPr>
            </w:pPr>
            <w:r>
              <w:rPr>
                <w:color w:val="auto"/>
                <w:highlight w:val="none"/>
              </w:rPr>
              <w:drawing>
                <wp:inline distT="0" distB="0" distL="114300" distR="114300">
                  <wp:extent cx="1052830" cy="1677670"/>
                  <wp:effectExtent l="0" t="0" r="13970" b="17780"/>
                  <wp:docPr id="2" name="图片 1" descr="688a9dd89ac624755ccce73c51a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88a9dd89ac624755ccce73c51a3611"/>
                          <pic:cNvPicPr>
                            <a:picLocks noChangeAspect="1"/>
                          </pic:cNvPicPr>
                        </pic:nvPicPr>
                        <pic:blipFill>
                          <a:blip r:embed="rId9"/>
                          <a:srcRect l="27879" t="4197" r="32513" b="17706"/>
                          <a:stretch>
                            <a:fillRect/>
                          </a:stretch>
                        </pic:blipFill>
                        <pic:spPr>
                          <a:xfrm>
                            <a:off x="0" y="0"/>
                            <a:ext cx="1052830" cy="1677670"/>
                          </a:xfrm>
                          <a:prstGeom prst="rect">
                            <a:avLst/>
                          </a:prstGeom>
                        </pic:spPr>
                      </pic:pic>
                    </a:graphicData>
                  </a:graphic>
                </wp:inline>
              </w:drawing>
            </w:r>
          </w:p>
          <w:p w14:paraId="7E6B4D84">
            <w:pPr>
              <w:keepNext w:val="0"/>
              <w:keepLines w:val="0"/>
              <w:widowControl/>
              <w:suppressLineNumbers w:val="0"/>
              <w:jc w:val="center"/>
              <w:textAlignment w:val="center"/>
              <w:rPr>
                <w:rFonts w:hint="eastAsia" w:eastAsia="宋体"/>
                <w:color w:val="auto"/>
                <w:highlight w:val="none"/>
                <w:lang w:val="en-US" w:eastAsia="zh-CN"/>
              </w:rPr>
            </w:pPr>
            <w:r>
              <w:rPr>
                <w:rFonts w:hint="eastAsia"/>
                <w:color w:val="auto"/>
                <w:sz w:val="22"/>
                <w:szCs w:val="21"/>
                <w:highlight w:val="none"/>
                <w:lang w:eastAsia="zh-CN"/>
              </w:rPr>
              <w:t>注：加画面</w:t>
            </w:r>
          </w:p>
        </w:tc>
      </w:tr>
      <w:tr w14:paraId="4E380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trPr>
        <w:tc>
          <w:tcPr>
            <w:tcW w:w="1773" w:type="dxa"/>
            <w:vMerge w:val="continue"/>
            <w:tcBorders>
              <w:tl2br w:val="nil"/>
              <w:tr2bl w:val="nil"/>
            </w:tcBorders>
            <w:shd w:val="clear" w:color="auto" w:fill="auto"/>
            <w:vAlign w:val="center"/>
          </w:tcPr>
          <w:p w14:paraId="344DAE6E">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573C6AE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宣传画面</w:t>
            </w:r>
          </w:p>
        </w:tc>
        <w:tc>
          <w:tcPr>
            <w:tcW w:w="1867" w:type="dxa"/>
            <w:tcBorders>
              <w:tl2br w:val="nil"/>
              <w:tr2bl w:val="nil"/>
            </w:tcBorders>
            <w:shd w:val="clear" w:color="auto" w:fill="auto"/>
            <w:noWrap/>
            <w:vAlign w:val="center"/>
          </w:tcPr>
          <w:p w14:paraId="15F60880">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32*50*3cm</w:t>
            </w:r>
          </w:p>
        </w:tc>
        <w:tc>
          <w:tcPr>
            <w:tcW w:w="1167" w:type="dxa"/>
            <w:tcBorders>
              <w:tl2br w:val="nil"/>
              <w:tr2bl w:val="nil"/>
            </w:tcBorders>
            <w:shd w:val="clear" w:color="auto" w:fill="auto"/>
            <w:noWrap/>
            <w:vAlign w:val="center"/>
          </w:tcPr>
          <w:p w14:paraId="1E02A60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75个</w:t>
            </w:r>
          </w:p>
        </w:tc>
        <w:tc>
          <w:tcPr>
            <w:tcW w:w="3419" w:type="dxa"/>
            <w:vMerge w:val="continue"/>
            <w:tcBorders>
              <w:tl2br w:val="nil"/>
              <w:tr2bl w:val="nil"/>
            </w:tcBorders>
            <w:shd w:val="clear" w:color="auto" w:fill="auto"/>
            <w:noWrap/>
            <w:vAlign w:val="center"/>
          </w:tcPr>
          <w:p w14:paraId="3F9B2294">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40AD2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75" w:hRule="atLeast"/>
        </w:trPr>
        <w:tc>
          <w:tcPr>
            <w:tcW w:w="1773" w:type="dxa"/>
            <w:vMerge w:val="continue"/>
            <w:tcBorders>
              <w:tl2br w:val="nil"/>
              <w:tr2bl w:val="nil"/>
            </w:tcBorders>
            <w:shd w:val="clear" w:color="auto" w:fill="auto"/>
            <w:vAlign w:val="center"/>
          </w:tcPr>
          <w:p w14:paraId="5283F287">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47C6B0EE">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电线</w:t>
            </w:r>
          </w:p>
        </w:tc>
        <w:tc>
          <w:tcPr>
            <w:tcW w:w="1867" w:type="dxa"/>
            <w:tcBorders>
              <w:tl2br w:val="nil"/>
              <w:tr2bl w:val="nil"/>
            </w:tcBorders>
            <w:shd w:val="clear" w:color="auto" w:fill="auto"/>
            <w:noWrap/>
            <w:vAlign w:val="center"/>
          </w:tcPr>
          <w:p w14:paraId="26C17A8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国标2.5平方*4米</w:t>
            </w:r>
          </w:p>
        </w:tc>
        <w:tc>
          <w:tcPr>
            <w:tcW w:w="1167" w:type="dxa"/>
            <w:tcBorders>
              <w:tl2br w:val="nil"/>
              <w:tr2bl w:val="nil"/>
            </w:tcBorders>
            <w:shd w:val="clear" w:color="auto" w:fill="auto"/>
            <w:noWrap/>
            <w:vAlign w:val="center"/>
          </w:tcPr>
          <w:p w14:paraId="5051BC7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300米</w:t>
            </w:r>
          </w:p>
        </w:tc>
        <w:tc>
          <w:tcPr>
            <w:tcW w:w="3419" w:type="dxa"/>
            <w:vMerge w:val="continue"/>
            <w:tcBorders>
              <w:tl2br w:val="nil"/>
              <w:tr2bl w:val="nil"/>
            </w:tcBorders>
            <w:shd w:val="clear" w:color="auto" w:fill="auto"/>
            <w:noWrap/>
            <w:vAlign w:val="center"/>
          </w:tcPr>
          <w:p w14:paraId="2A616413">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527B0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08" w:hRule="atLeast"/>
        </w:trPr>
        <w:tc>
          <w:tcPr>
            <w:tcW w:w="1773" w:type="dxa"/>
            <w:vMerge w:val="restart"/>
            <w:tcBorders>
              <w:tl2br w:val="nil"/>
              <w:tr2bl w:val="nil"/>
            </w:tcBorders>
            <w:shd w:val="clear" w:color="auto" w:fill="auto"/>
            <w:vAlign w:val="center"/>
          </w:tcPr>
          <w:p w14:paraId="3214336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大巴扎后沿河路</w:t>
            </w:r>
            <w:r>
              <w:rPr>
                <w:rFonts w:hint="eastAsia" w:ascii="微软雅黑" w:hAnsi="微软雅黑" w:eastAsia="微软雅黑" w:cs="微软雅黑"/>
                <w:b w:val="0"/>
                <w:bCs w:val="0"/>
                <w:i w:val="0"/>
                <w:iCs w:val="0"/>
                <w:color w:val="auto"/>
                <w:kern w:val="0"/>
                <w:sz w:val="22"/>
                <w:szCs w:val="22"/>
                <w:highlight w:val="none"/>
                <w:u w:val="none"/>
                <w:lang w:val="en-US" w:eastAsia="zh-CN" w:bidi="ar"/>
              </w:rPr>
              <w:br w:type="textWrapping"/>
            </w:r>
            <w:r>
              <w:rPr>
                <w:rFonts w:hint="eastAsia" w:ascii="微软雅黑" w:hAnsi="微软雅黑" w:eastAsia="微软雅黑" w:cs="微软雅黑"/>
                <w:b w:val="0"/>
                <w:bCs w:val="0"/>
                <w:i w:val="0"/>
                <w:iCs w:val="0"/>
                <w:color w:val="auto"/>
                <w:kern w:val="0"/>
                <w:sz w:val="22"/>
                <w:szCs w:val="22"/>
                <w:highlight w:val="none"/>
                <w:u w:val="none"/>
                <w:lang w:val="en-US" w:eastAsia="zh-CN" w:bidi="ar"/>
              </w:rPr>
              <w:t>（13根电线杆）</w:t>
            </w:r>
          </w:p>
        </w:tc>
        <w:tc>
          <w:tcPr>
            <w:tcW w:w="1641" w:type="dxa"/>
            <w:tcBorders>
              <w:tl2br w:val="nil"/>
              <w:tr2bl w:val="nil"/>
            </w:tcBorders>
            <w:shd w:val="clear" w:color="auto" w:fill="auto"/>
            <w:noWrap/>
            <w:vAlign w:val="center"/>
          </w:tcPr>
          <w:p w14:paraId="101849C0">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中国结</w:t>
            </w:r>
          </w:p>
        </w:tc>
        <w:tc>
          <w:tcPr>
            <w:tcW w:w="1867" w:type="dxa"/>
            <w:tcBorders>
              <w:tl2br w:val="nil"/>
              <w:tr2bl w:val="nil"/>
            </w:tcBorders>
            <w:shd w:val="clear" w:color="auto" w:fill="auto"/>
            <w:noWrap/>
            <w:vAlign w:val="center"/>
          </w:tcPr>
          <w:p w14:paraId="6D23F4B7">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3A6A844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13个</w:t>
            </w:r>
          </w:p>
        </w:tc>
        <w:tc>
          <w:tcPr>
            <w:tcW w:w="3419" w:type="dxa"/>
            <w:vMerge w:val="restart"/>
            <w:tcBorders>
              <w:tl2br w:val="nil"/>
              <w:tr2bl w:val="nil"/>
            </w:tcBorders>
            <w:shd w:val="clear" w:color="auto" w:fill="auto"/>
            <w:noWrap/>
            <w:vAlign w:val="center"/>
          </w:tcPr>
          <w:p w14:paraId="6E40FF3E">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1057910" cy="1571625"/>
                  <wp:effectExtent l="0" t="0" r="8890" b="9525"/>
                  <wp:docPr id="4" name="图片 2" descr="4439b504e77b1eb2c339fd69f92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4439b504e77b1eb2c339fd69f924484"/>
                          <pic:cNvPicPr>
                            <a:picLocks noChangeAspect="1"/>
                          </pic:cNvPicPr>
                        </pic:nvPicPr>
                        <pic:blipFill>
                          <a:blip r:embed="rId10"/>
                          <a:srcRect l="30806" t="4047" r="29097" b="15176"/>
                          <a:stretch>
                            <a:fillRect/>
                          </a:stretch>
                        </pic:blipFill>
                        <pic:spPr>
                          <a:xfrm>
                            <a:off x="0" y="0"/>
                            <a:ext cx="1057910" cy="1571625"/>
                          </a:xfrm>
                          <a:prstGeom prst="rect">
                            <a:avLst/>
                          </a:prstGeom>
                        </pic:spPr>
                      </pic:pic>
                    </a:graphicData>
                  </a:graphic>
                </wp:inline>
              </w:drawing>
            </w:r>
          </w:p>
        </w:tc>
      </w:tr>
      <w:tr w14:paraId="30CA4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5" w:hRule="atLeast"/>
        </w:trPr>
        <w:tc>
          <w:tcPr>
            <w:tcW w:w="1773" w:type="dxa"/>
            <w:vMerge w:val="continue"/>
            <w:tcBorders>
              <w:tl2br w:val="nil"/>
              <w:tr2bl w:val="nil"/>
            </w:tcBorders>
            <w:shd w:val="clear" w:color="auto" w:fill="auto"/>
            <w:vAlign w:val="center"/>
          </w:tcPr>
          <w:p w14:paraId="4E4BC18D">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3476A44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宣传灯箱</w:t>
            </w:r>
          </w:p>
        </w:tc>
        <w:tc>
          <w:tcPr>
            <w:tcW w:w="1867" w:type="dxa"/>
            <w:tcBorders>
              <w:tl2br w:val="nil"/>
              <w:tr2bl w:val="nil"/>
            </w:tcBorders>
            <w:shd w:val="clear" w:color="auto" w:fill="auto"/>
            <w:noWrap/>
            <w:vAlign w:val="center"/>
          </w:tcPr>
          <w:p w14:paraId="0DECA4E3">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1BA579C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13个</w:t>
            </w:r>
          </w:p>
        </w:tc>
        <w:tc>
          <w:tcPr>
            <w:tcW w:w="3419" w:type="dxa"/>
            <w:vMerge w:val="continue"/>
            <w:tcBorders>
              <w:tl2br w:val="nil"/>
              <w:tr2bl w:val="nil"/>
            </w:tcBorders>
            <w:shd w:val="clear" w:color="auto" w:fill="auto"/>
            <w:noWrap/>
            <w:vAlign w:val="center"/>
          </w:tcPr>
          <w:p w14:paraId="6F2FAE6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1EC84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1773" w:type="dxa"/>
            <w:vMerge w:val="continue"/>
            <w:tcBorders>
              <w:tl2br w:val="nil"/>
              <w:tr2bl w:val="nil"/>
            </w:tcBorders>
            <w:shd w:val="clear" w:color="auto" w:fill="auto"/>
            <w:vAlign w:val="center"/>
          </w:tcPr>
          <w:p w14:paraId="11E79402">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3624C09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电线</w:t>
            </w:r>
          </w:p>
        </w:tc>
        <w:tc>
          <w:tcPr>
            <w:tcW w:w="1867" w:type="dxa"/>
            <w:tcBorders>
              <w:tl2br w:val="nil"/>
              <w:tr2bl w:val="nil"/>
            </w:tcBorders>
            <w:shd w:val="clear" w:color="auto" w:fill="auto"/>
            <w:noWrap/>
            <w:vAlign w:val="center"/>
          </w:tcPr>
          <w:p w14:paraId="45FE5A9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国标2.5平方*6米</w:t>
            </w:r>
          </w:p>
        </w:tc>
        <w:tc>
          <w:tcPr>
            <w:tcW w:w="1167" w:type="dxa"/>
            <w:tcBorders>
              <w:tl2br w:val="nil"/>
              <w:tr2bl w:val="nil"/>
            </w:tcBorders>
            <w:shd w:val="clear" w:color="auto" w:fill="auto"/>
            <w:noWrap/>
            <w:vAlign w:val="center"/>
          </w:tcPr>
          <w:p w14:paraId="30EA725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78米</w:t>
            </w:r>
          </w:p>
        </w:tc>
        <w:tc>
          <w:tcPr>
            <w:tcW w:w="3419" w:type="dxa"/>
            <w:vMerge w:val="continue"/>
            <w:tcBorders>
              <w:tl2br w:val="nil"/>
              <w:tr2bl w:val="nil"/>
            </w:tcBorders>
            <w:shd w:val="clear" w:color="auto" w:fill="auto"/>
            <w:noWrap/>
            <w:vAlign w:val="center"/>
          </w:tcPr>
          <w:p w14:paraId="19033B15">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46327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76" w:hRule="atLeast"/>
        </w:trPr>
        <w:tc>
          <w:tcPr>
            <w:tcW w:w="1773" w:type="dxa"/>
            <w:vMerge w:val="continue"/>
            <w:tcBorders>
              <w:tl2br w:val="nil"/>
              <w:tr2bl w:val="nil"/>
            </w:tcBorders>
            <w:shd w:val="clear" w:color="auto" w:fill="auto"/>
            <w:vAlign w:val="center"/>
          </w:tcPr>
          <w:p w14:paraId="20AE4CEA">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vAlign w:val="center"/>
          </w:tcPr>
          <w:p w14:paraId="49D51524">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路灯文字</w:t>
            </w:r>
          </w:p>
        </w:tc>
        <w:tc>
          <w:tcPr>
            <w:tcW w:w="1867" w:type="dxa"/>
            <w:tcBorders>
              <w:tl2br w:val="nil"/>
              <w:tr2bl w:val="nil"/>
            </w:tcBorders>
            <w:shd w:val="clear" w:color="auto" w:fill="auto"/>
            <w:vAlign w:val="center"/>
          </w:tcPr>
          <w:p w14:paraId="7BEB7EEB">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8个字/含安装/</w:t>
            </w:r>
          </w:p>
        </w:tc>
        <w:tc>
          <w:tcPr>
            <w:tcW w:w="1167" w:type="dxa"/>
            <w:tcBorders>
              <w:tl2br w:val="nil"/>
              <w:tr2bl w:val="nil"/>
            </w:tcBorders>
            <w:shd w:val="clear" w:color="auto" w:fill="auto"/>
            <w:noWrap/>
            <w:vAlign w:val="center"/>
          </w:tcPr>
          <w:p w14:paraId="4BD1E050">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13套</w:t>
            </w:r>
          </w:p>
        </w:tc>
        <w:tc>
          <w:tcPr>
            <w:tcW w:w="3419" w:type="dxa"/>
            <w:tcBorders>
              <w:tl2br w:val="nil"/>
              <w:tr2bl w:val="nil"/>
            </w:tcBorders>
            <w:shd w:val="clear" w:color="auto" w:fill="auto"/>
            <w:noWrap/>
            <w:vAlign w:val="center"/>
          </w:tcPr>
          <w:p w14:paraId="4921CA00">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911860" cy="1019175"/>
                  <wp:effectExtent l="0" t="0" r="2540" b="9525"/>
                  <wp:docPr id="11" name="图片 10" descr="753d1c9f7cfbd5623209838ea402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53d1c9f7cfbd5623209838ea402a13"/>
                          <pic:cNvPicPr>
                            <a:picLocks noChangeAspect="1"/>
                          </pic:cNvPicPr>
                        </pic:nvPicPr>
                        <pic:blipFill>
                          <a:blip r:embed="rId11"/>
                          <a:stretch>
                            <a:fillRect/>
                          </a:stretch>
                        </pic:blipFill>
                        <pic:spPr>
                          <a:xfrm>
                            <a:off x="0" y="0"/>
                            <a:ext cx="911860" cy="1019175"/>
                          </a:xfrm>
                          <a:prstGeom prst="rect">
                            <a:avLst/>
                          </a:prstGeom>
                        </pic:spPr>
                      </pic:pic>
                    </a:graphicData>
                  </a:graphic>
                </wp:inline>
              </w:drawing>
            </w:r>
            <w:r>
              <w:rPr>
                <w:color w:val="auto"/>
                <w:highlight w:val="none"/>
              </w:rPr>
              <w:drawing>
                <wp:inline distT="0" distB="0" distL="114300" distR="114300">
                  <wp:extent cx="1002665" cy="1020445"/>
                  <wp:effectExtent l="0" t="0" r="6985" b="8255"/>
                  <wp:docPr id="13" name="图片 12" descr="c1ca67db7c3c9593a4dab07fe16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1ca67db7c3c9593a4dab07fe167983"/>
                          <pic:cNvPicPr>
                            <a:picLocks noChangeAspect="1"/>
                          </pic:cNvPicPr>
                        </pic:nvPicPr>
                        <pic:blipFill>
                          <a:blip r:embed="rId12"/>
                          <a:stretch>
                            <a:fillRect/>
                          </a:stretch>
                        </pic:blipFill>
                        <pic:spPr>
                          <a:xfrm>
                            <a:off x="0" y="0"/>
                            <a:ext cx="1002665" cy="1020445"/>
                          </a:xfrm>
                          <a:prstGeom prst="rect">
                            <a:avLst/>
                          </a:prstGeom>
                        </pic:spPr>
                      </pic:pic>
                    </a:graphicData>
                  </a:graphic>
                </wp:inline>
              </w:drawing>
            </w:r>
          </w:p>
        </w:tc>
      </w:tr>
      <w:tr w14:paraId="4F560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5" w:hRule="atLeast"/>
        </w:trPr>
        <w:tc>
          <w:tcPr>
            <w:tcW w:w="1773" w:type="dxa"/>
            <w:vMerge w:val="restart"/>
            <w:tcBorders>
              <w:tl2br w:val="nil"/>
              <w:tr2bl w:val="nil"/>
            </w:tcBorders>
            <w:shd w:val="clear" w:color="auto" w:fill="auto"/>
            <w:vAlign w:val="center"/>
          </w:tcPr>
          <w:p w14:paraId="103BF53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94号小区</w:t>
            </w:r>
            <w:r>
              <w:rPr>
                <w:rFonts w:hint="eastAsia" w:ascii="微软雅黑" w:hAnsi="微软雅黑" w:eastAsia="微软雅黑" w:cs="微软雅黑"/>
                <w:b w:val="0"/>
                <w:bCs w:val="0"/>
                <w:i w:val="0"/>
                <w:iCs w:val="0"/>
                <w:color w:val="auto"/>
                <w:kern w:val="0"/>
                <w:sz w:val="22"/>
                <w:szCs w:val="22"/>
                <w:highlight w:val="none"/>
                <w:u w:val="none"/>
                <w:lang w:val="en-US" w:eastAsia="zh-CN" w:bidi="ar"/>
              </w:rPr>
              <w:br w:type="textWrapping"/>
            </w:r>
            <w:r>
              <w:rPr>
                <w:rFonts w:hint="eastAsia" w:ascii="微软雅黑" w:hAnsi="微软雅黑" w:eastAsia="微软雅黑" w:cs="微软雅黑"/>
                <w:b w:val="0"/>
                <w:bCs w:val="0"/>
                <w:i w:val="0"/>
                <w:iCs w:val="0"/>
                <w:color w:val="auto"/>
                <w:kern w:val="0"/>
                <w:sz w:val="22"/>
                <w:szCs w:val="22"/>
                <w:highlight w:val="none"/>
                <w:u w:val="none"/>
                <w:lang w:val="en-US" w:eastAsia="zh-CN" w:bidi="ar"/>
              </w:rPr>
              <w:t>（20根电线杆）</w:t>
            </w:r>
          </w:p>
        </w:tc>
        <w:tc>
          <w:tcPr>
            <w:tcW w:w="1641" w:type="dxa"/>
            <w:tcBorders>
              <w:tl2br w:val="nil"/>
              <w:tr2bl w:val="nil"/>
            </w:tcBorders>
            <w:shd w:val="clear" w:color="auto" w:fill="auto"/>
            <w:noWrap/>
            <w:vAlign w:val="center"/>
          </w:tcPr>
          <w:p w14:paraId="2E464EC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中国结</w:t>
            </w:r>
          </w:p>
        </w:tc>
        <w:tc>
          <w:tcPr>
            <w:tcW w:w="1867" w:type="dxa"/>
            <w:tcBorders>
              <w:tl2br w:val="nil"/>
              <w:tr2bl w:val="nil"/>
            </w:tcBorders>
            <w:shd w:val="clear" w:color="auto" w:fill="auto"/>
            <w:noWrap/>
            <w:vAlign w:val="center"/>
          </w:tcPr>
          <w:p w14:paraId="5418B0D1">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0274A2C0">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20个</w:t>
            </w:r>
          </w:p>
        </w:tc>
        <w:tc>
          <w:tcPr>
            <w:tcW w:w="3419" w:type="dxa"/>
            <w:vMerge w:val="restart"/>
            <w:tcBorders>
              <w:tl2br w:val="nil"/>
              <w:tr2bl w:val="nil"/>
            </w:tcBorders>
            <w:shd w:val="clear" w:color="auto" w:fill="auto"/>
            <w:noWrap/>
            <w:vAlign w:val="center"/>
          </w:tcPr>
          <w:p w14:paraId="47C1AFAD">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822325" cy="1405890"/>
                  <wp:effectExtent l="0" t="0" r="0" b="0"/>
                  <wp:docPr id="6" name="图片 3" descr="ed5a6bbfee55a694c0a1df2d5c69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ed5a6bbfee55a694c0a1df2d5c695a3"/>
                          <pic:cNvPicPr>
                            <a:picLocks noChangeAspect="1"/>
                          </pic:cNvPicPr>
                        </pic:nvPicPr>
                        <pic:blipFill>
                          <a:blip r:embed="rId13"/>
                          <a:srcRect l="33714" t="5154" r="25214" b="13925"/>
                          <a:stretch>
                            <a:fillRect/>
                          </a:stretch>
                        </pic:blipFill>
                        <pic:spPr>
                          <a:xfrm>
                            <a:off x="0" y="0"/>
                            <a:ext cx="822325" cy="1405890"/>
                          </a:xfrm>
                          <a:prstGeom prst="rect">
                            <a:avLst/>
                          </a:prstGeom>
                        </pic:spPr>
                      </pic:pic>
                    </a:graphicData>
                  </a:graphic>
                </wp:inline>
              </w:drawing>
            </w:r>
          </w:p>
        </w:tc>
      </w:tr>
      <w:tr w14:paraId="0631F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59" w:hRule="atLeast"/>
        </w:trPr>
        <w:tc>
          <w:tcPr>
            <w:tcW w:w="1773" w:type="dxa"/>
            <w:vMerge w:val="continue"/>
            <w:tcBorders>
              <w:tl2br w:val="nil"/>
              <w:tr2bl w:val="nil"/>
            </w:tcBorders>
            <w:shd w:val="clear" w:color="auto" w:fill="auto"/>
            <w:vAlign w:val="center"/>
          </w:tcPr>
          <w:p w14:paraId="77E8D831">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7C2838C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宣传灯箱</w:t>
            </w:r>
          </w:p>
        </w:tc>
        <w:tc>
          <w:tcPr>
            <w:tcW w:w="1867" w:type="dxa"/>
            <w:tcBorders>
              <w:tl2br w:val="nil"/>
              <w:tr2bl w:val="nil"/>
            </w:tcBorders>
            <w:shd w:val="clear" w:color="auto" w:fill="auto"/>
            <w:noWrap/>
            <w:vAlign w:val="center"/>
          </w:tcPr>
          <w:p w14:paraId="50F23DC9">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3610CA8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20个</w:t>
            </w:r>
          </w:p>
        </w:tc>
        <w:tc>
          <w:tcPr>
            <w:tcW w:w="3419" w:type="dxa"/>
            <w:vMerge w:val="continue"/>
            <w:tcBorders>
              <w:tl2br w:val="nil"/>
              <w:tr2bl w:val="nil"/>
            </w:tcBorders>
            <w:shd w:val="clear" w:color="auto" w:fill="auto"/>
            <w:noWrap/>
            <w:vAlign w:val="center"/>
          </w:tcPr>
          <w:p w14:paraId="3FE30F55">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70AB5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1773" w:type="dxa"/>
            <w:vMerge w:val="restart"/>
            <w:tcBorders>
              <w:tl2br w:val="nil"/>
              <w:tr2bl w:val="nil"/>
            </w:tcBorders>
            <w:shd w:val="clear" w:color="auto" w:fill="auto"/>
            <w:vAlign w:val="center"/>
          </w:tcPr>
          <w:p w14:paraId="0DE83401">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团结小区</w:t>
            </w:r>
            <w:r>
              <w:rPr>
                <w:rFonts w:hint="eastAsia" w:ascii="微软雅黑" w:hAnsi="微软雅黑" w:eastAsia="微软雅黑" w:cs="微软雅黑"/>
                <w:b w:val="0"/>
                <w:bCs w:val="0"/>
                <w:i w:val="0"/>
                <w:iCs w:val="0"/>
                <w:color w:val="auto"/>
                <w:kern w:val="0"/>
                <w:sz w:val="22"/>
                <w:szCs w:val="22"/>
                <w:highlight w:val="none"/>
                <w:u w:val="none"/>
                <w:lang w:val="en-US" w:eastAsia="zh-CN" w:bidi="ar"/>
              </w:rPr>
              <w:br w:type="textWrapping"/>
            </w:r>
            <w:r>
              <w:rPr>
                <w:rFonts w:hint="eastAsia" w:ascii="微软雅黑" w:hAnsi="微软雅黑" w:eastAsia="微软雅黑" w:cs="微软雅黑"/>
                <w:b w:val="0"/>
                <w:bCs w:val="0"/>
                <w:i w:val="0"/>
                <w:iCs w:val="0"/>
                <w:color w:val="auto"/>
                <w:kern w:val="0"/>
                <w:sz w:val="22"/>
                <w:szCs w:val="22"/>
                <w:highlight w:val="none"/>
                <w:u w:val="none"/>
                <w:lang w:val="en-US" w:eastAsia="zh-CN" w:bidi="ar"/>
              </w:rPr>
              <w:t>（20根电线杆）</w:t>
            </w:r>
          </w:p>
        </w:tc>
        <w:tc>
          <w:tcPr>
            <w:tcW w:w="1641" w:type="dxa"/>
            <w:tcBorders>
              <w:tl2br w:val="nil"/>
              <w:tr2bl w:val="nil"/>
            </w:tcBorders>
            <w:shd w:val="clear" w:color="auto" w:fill="auto"/>
            <w:noWrap/>
            <w:vAlign w:val="center"/>
          </w:tcPr>
          <w:p w14:paraId="482727F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中国结</w:t>
            </w:r>
          </w:p>
        </w:tc>
        <w:tc>
          <w:tcPr>
            <w:tcW w:w="1867" w:type="dxa"/>
            <w:tcBorders>
              <w:tl2br w:val="nil"/>
              <w:tr2bl w:val="nil"/>
            </w:tcBorders>
            <w:shd w:val="clear" w:color="auto" w:fill="auto"/>
            <w:noWrap/>
            <w:vAlign w:val="center"/>
          </w:tcPr>
          <w:p w14:paraId="2B69DF2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37A1EAE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20个</w:t>
            </w:r>
          </w:p>
        </w:tc>
        <w:tc>
          <w:tcPr>
            <w:tcW w:w="3419" w:type="dxa"/>
            <w:vMerge w:val="restart"/>
            <w:tcBorders>
              <w:tl2br w:val="nil"/>
              <w:tr2bl w:val="nil"/>
            </w:tcBorders>
            <w:shd w:val="clear" w:color="auto" w:fill="auto"/>
            <w:noWrap/>
            <w:vAlign w:val="center"/>
          </w:tcPr>
          <w:p w14:paraId="363BAD01">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1106170" cy="1755140"/>
                  <wp:effectExtent l="0" t="0" r="17780" b="16510"/>
                  <wp:docPr id="7" name="图片 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图1"/>
                          <pic:cNvPicPr>
                            <a:picLocks noChangeAspect="1"/>
                          </pic:cNvPicPr>
                        </pic:nvPicPr>
                        <pic:blipFill>
                          <a:blip r:embed="rId14"/>
                          <a:srcRect l="25844" t="19504" r="42834" b="36735"/>
                          <a:stretch>
                            <a:fillRect/>
                          </a:stretch>
                        </pic:blipFill>
                        <pic:spPr>
                          <a:xfrm>
                            <a:off x="0" y="0"/>
                            <a:ext cx="1106170" cy="1755140"/>
                          </a:xfrm>
                          <a:prstGeom prst="rect">
                            <a:avLst/>
                          </a:prstGeom>
                        </pic:spPr>
                      </pic:pic>
                    </a:graphicData>
                  </a:graphic>
                </wp:inline>
              </w:drawing>
            </w:r>
          </w:p>
        </w:tc>
      </w:tr>
      <w:tr w14:paraId="1F5BA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773" w:type="dxa"/>
            <w:vMerge w:val="continue"/>
            <w:tcBorders>
              <w:tl2br w:val="nil"/>
              <w:tr2bl w:val="nil"/>
            </w:tcBorders>
            <w:shd w:val="clear" w:color="auto" w:fill="auto"/>
            <w:vAlign w:val="center"/>
          </w:tcPr>
          <w:p w14:paraId="464668F6">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7D88DC00">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宣传灯箱</w:t>
            </w:r>
          </w:p>
        </w:tc>
        <w:tc>
          <w:tcPr>
            <w:tcW w:w="1867" w:type="dxa"/>
            <w:tcBorders>
              <w:tl2br w:val="nil"/>
              <w:tr2bl w:val="nil"/>
            </w:tcBorders>
            <w:shd w:val="clear" w:color="auto" w:fill="auto"/>
            <w:noWrap/>
            <w:vAlign w:val="center"/>
          </w:tcPr>
          <w:p w14:paraId="7A180E9E">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4EA134F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20个</w:t>
            </w:r>
          </w:p>
        </w:tc>
        <w:tc>
          <w:tcPr>
            <w:tcW w:w="3419" w:type="dxa"/>
            <w:vMerge w:val="continue"/>
            <w:tcBorders>
              <w:tl2br w:val="nil"/>
              <w:tr2bl w:val="nil"/>
            </w:tcBorders>
            <w:shd w:val="clear" w:color="auto" w:fill="auto"/>
            <w:noWrap/>
            <w:vAlign w:val="center"/>
          </w:tcPr>
          <w:p w14:paraId="446C3935">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23694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8" w:hRule="atLeast"/>
        </w:trPr>
        <w:tc>
          <w:tcPr>
            <w:tcW w:w="1773" w:type="dxa"/>
            <w:vMerge w:val="continue"/>
            <w:tcBorders>
              <w:tl2br w:val="nil"/>
              <w:tr2bl w:val="nil"/>
            </w:tcBorders>
            <w:shd w:val="clear" w:color="auto" w:fill="auto"/>
            <w:vAlign w:val="center"/>
          </w:tcPr>
          <w:p w14:paraId="7D038988">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3DC7032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电线</w:t>
            </w:r>
          </w:p>
        </w:tc>
        <w:tc>
          <w:tcPr>
            <w:tcW w:w="1867" w:type="dxa"/>
            <w:tcBorders>
              <w:tl2br w:val="nil"/>
              <w:tr2bl w:val="nil"/>
            </w:tcBorders>
            <w:shd w:val="clear" w:color="auto" w:fill="auto"/>
            <w:noWrap/>
            <w:vAlign w:val="center"/>
          </w:tcPr>
          <w:p w14:paraId="2A006772">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国标2.5平方*5米</w:t>
            </w:r>
          </w:p>
        </w:tc>
        <w:tc>
          <w:tcPr>
            <w:tcW w:w="1167" w:type="dxa"/>
            <w:tcBorders>
              <w:tl2br w:val="nil"/>
              <w:tr2bl w:val="nil"/>
            </w:tcBorders>
            <w:shd w:val="clear" w:color="auto" w:fill="auto"/>
            <w:noWrap/>
            <w:vAlign w:val="center"/>
          </w:tcPr>
          <w:p w14:paraId="0B5E12A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100米</w:t>
            </w:r>
          </w:p>
        </w:tc>
        <w:tc>
          <w:tcPr>
            <w:tcW w:w="3419" w:type="dxa"/>
            <w:vMerge w:val="continue"/>
            <w:tcBorders>
              <w:tl2br w:val="nil"/>
              <w:tr2bl w:val="nil"/>
            </w:tcBorders>
            <w:shd w:val="clear" w:color="auto" w:fill="auto"/>
            <w:noWrap/>
            <w:vAlign w:val="center"/>
          </w:tcPr>
          <w:p w14:paraId="1701E580">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519FF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trPr>
        <w:tc>
          <w:tcPr>
            <w:tcW w:w="1773" w:type="dxa"/>
            <w:tcBorders>
              <w:tl2br w:val="nil"/>
              <w:tr2bl w:val="nil"/>
            </w:tcBorders>
            <w:shd w:val="clear" w:color="auto" w:fill="auto"/>
            <w:vAlign w:val="center"/>
          </w:tcPr>
          <w:p w14:paraId="098AC4B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城安苑小区</w:t>
            </w:r>
            <w:r>
              <w:rPr>
                <w:rFonts w:hint="eastAsia" w:ascii="微软雅黑" w:hAnsi="微软雅黑" w:eastAsia="微软雅黑" w:cs="微软雅黑"/>
                <w:b w:val="0"/>
                <w:bCs w:val="0"/>
                <w:i w:val="0"/>
                <w:iCs w:val="0"/>
                <w:color w:val="auto"/>
                <w:kern w:val="0"/>
                <w:sz w:val="22"/>
                <w:szCs w:val="22"/>
                <w:highlight w:val="none"/>
                <w:u w:val="none"/>
                <w:lang w:val="en-US" w:eastAsia="zh-CN" w:bidi="ar"/>
              </w:rPr>
              <w:br w:type="textWrapping"/>
            </w:r>
            <w:r>
              <w:rPr>
                <w:rFonts w:hint="eastAsia" w:ascii="微软雅黑" w:hAnsi="微软雅黑" w:eastAsia="微软雅黑" w:cs="微软雅黑"/>
                <w:b w:val="0"/>
                <w:bCs w:val="0"/>
                <w:i w:val="0"/>
                <w:iCs w:val="0"/>
                <w:color w:val="auto"/>
                <w:kern w:val="0"/>
                <w:sz w:val="22"/>
                <w:szCs w:val="22"/>
                <w:highlight w:val="none"/>
                <w:u w:val="none"/>
                <w:lang w:val="en-US" w:eastAsia="zh-CN" w:bidi="ar"/>
              </w:rPr>
              <w:t>（12根电线杆）</w:t>
            </w:r>
          </w:p>
        </w:tc>
        <w:tc>
          <w:tcPr>
            <w:tcW w:w="1641" w:type="dxa"/>
            <w:tcBorders>
              <w:tl2br w:val="nil"/>
              <w:tr2bl w:val="nil"/>
            </w:tcBorders>
            <w:shd w:val="clear" w:color="auto" w:fill="auto"/>
            <w:noWrap/>
            <w:vAlign w:val="center"/>
          </w:tcPr>
          <w:p w14:paraId="5C2548E7">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中国结</w:t>
            </w:r>
          </w:p>
        </w:tc>
        <w:tc>
          <w:tcPr>
            <w:tcW w:w="1867" w:type="dxa"/>
            <w:tcBorders>
              <w:tl2br w:val="nil"/>
              <w:tr2bl w:val="nil"/>
            </w:tcBorders>
            <w:shd w:val="clear" w:color="auto" w:fill="auto"/>
            <w:vAlign w:val="center"/>
          </w:tcPr>
          <w:p w14:paraId="1E3DFFF7">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高0.8米/宽0.45米</w:t>
            </w:r>
          </w:p>
        </w:tc>
        <w:tc>
          <w:tcPr>
            <w:tcW w:w="1167" w:type="dxa"/>
            <w:tcBorders>
              <w:tl2br w:val="nil"/>
              <w:tr2bl w:val="nil"/>
            </w:tcBorders>
            <w:shd w:val="clear" w:color="auto" w:fill="auto"/>
            <w:noWrap/>
            <w:vAlign w:val="center"/>
          </w:tcPr>
          <w:p w14:paraId="5A05AA2E">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24面</w:t>
            </w:r>
          </w:p>
        </w:tc>
        <w:tc>
          <w:tcPr>
            <w:tcW w:w="3419" w:type="dxa"/>
            <w:tcBorders>
              <w:tl2br w:val="nil"/>
              <w:tr2bl w:val="nil"/>
            </w:tcBorders>
            <w:shd w:val="clear" w:color="auto" w:fill="auto"/>
            <w:noWrap/>
            <w:vAlign w:val="center"/>
          </w:tcPr>
          <w:p w14:paraId="3E25214C">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581025" cy="1297940"/>
                  <wp:effectExtent l="0" t="0" r="0" b="0"/>
                  <wp:docPr id="8" name="图片 5" descr="e72da6d17b8c3c26121714f3b008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e72da6d17b8c3c26121714f3b0081e1"/>
                          <pic:cNvPicPr>
                            <a:picLocks noChangeAspect="1"/>
                          </pic:cNvPicPr>
                        </pic:nvPicPr>
                        <pic:blipFill>
                          <a:blip r:embed="rId15"/>
                          <a:srcRect l="16100" t="7899" r="47706" b="12568"/>
                          <a:stretch>
                            <a:fillRect/>
                          </a:stretch>
                        </pic:blipFill>
                        <pic:spPr>
                          <a:xfrm>
                            <a:off x="0" y="0"/>
                            <a:ext cx="581025" cy="1297940"/>
                          </a:xfrm>
                          <a:prstGeom prst="rect">
                            <a:avLst/>
                          </a:prstGeom>
                        </pic:spPr>
                      </pic:pic>
                    </a:graphicData>
                  </a:graphic>
                </wp:inline>
              </w:drawing>
            </w:r>
          </w:p>
        </w:tc>
      </w:tr>
      <w:tr w14:paraId="5D6A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60" w:hRule="atLeast"/>
        </w:trPr>
        <w:tc>
          <w:tcPr>
            <w:tcW w:w="1773" w:type="dxa"/>
            <w:vMerge w:val="restart"/>
            <w:tcBorders>
              <w:tl2br w:val="nil"/>
              <w:tr2bl w:val="nil"/>
            </w:tcBorders>
            <w:shd w:val="clear" w:color="auto" w:fill="auto"/>
            <w:vAlign w:val="center"/>
          </w:tcPr>
          <w:p w14:paraId="7B07EA9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铁克其美食街</w:t>
            </w:r>
            <w:r>
              <w:rPr>
                <w:rFonts w:hint="eastAsia" w:ascii="微软雅黑" w:hAnsi="微软雅黑" w:eastAsia="微软雅黑" w:cs="微软雅黑"/>
                <w:b w:val="0"/>
                <w:bCs w:val="0"/>
                <w:i w:val="0"/>
                <w:iCs w:val="0"/>
                <w:color w:val="auto"/>
                <w:kern w:val="0"/>
                <w:sz w:val="22"/>
                <w:szCs w:val="22"/>
                <w:highlight w:val="none"/>
                <w:u w:val="none"/>
                <w:lang w:val="en-US" w:eastAsia="zh-CN" w:bidi="ar"/>
              </w:rPr>
              <w:br w:type="textWrapping"/>
            </w:r>
            <w:r>
              <w:rPr>
                <w:rFonts w:hint="eastAsia" w:ascii="微软雅黑" w:hAnsi="微软雅黑" w:eastAsia="微软雅黑" w:cs="微软雅黑"/>
                <w:b w:val="0"/>
                <w:bCs w:val="0"/>
                <w:i w:val="0"/>
                <w:iCs w:val="0"/>
                <w:color w:val="auto"/>
                <w:kern w:val="0"/>
                <w:sz w:val="22"/>
                <w:szCs w:val="22"/>
                <w:highlight w:val="none"/>
                <w:u w:val="none"/>
                <w:lang w:val="en-US" w:eastAsia="zh-CN" w:bidi="ar"/>
              </w:rPr>
              <w:t>（30根电线杆）</w:t>
            </w:r>
          </w:p>
        </w:tc>
        <w:tc>
          <w:tcPr>
            <w:tcW w:w="1641" w:type="dxa"/>
            <w:tcBorders>
              <w:tl2br w:val="nil"/>
              <w:tr2bl w:val="nil"/>
            </w:tcBorders>
            <w:shd w:val="clear" w:color="auto" w:fill="auto"/>
            <w:noWrap/>
            <w:vAlign w:val="center"/>
          </w:tcPr>
          <w:p w14:paraId="55DBC081">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中国结</w:t>
            </w:r>
          </w:p>
        </w:tc>
        <w:tc>
          <w:tcPr>
            <w:tcW w:w="1867" w:type="dxa"/>
            <w:tcBorders>
              <w:tl2br w:val="nil"/>
              <w:tr2bl w:val="nil"/>
            </w:tcBorders>
            <w:shd w:val="clear" w:color="auto" w:fill="auto"/>
            <w:noWrap/>
            <w:vAlign w:val="center"/>
          </w:tcPr>
          <w:p w14:paraId="6D04476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6919079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30个</w:t>
            </w:r>
          </w:p>
        </w:tc>
        <w:tc>
          <w:tcPr>
            <w:tcW w:w="3419" w:type="dxa"/>
            <w:vMerge w:val="restart"/>
            <w:tcBorders>
              <w:tl2br w:val="nil"/>
              <w:tr2bl w:val="nil"/>
            </w:tcBorders>
            <w:shd w:val="clear" w:color="auto" w:fill="auto"/>
            <w:noWrap/>
            <w:vAlign w:val="center"/>
          </w:tcPr>
          <w:p w14:paraId="26164B12">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868680" cy="1487170"/>
                  <wp:effectExtent l="0" t="0" r="7620" b="17780"/>
                  <wp:docPr id="9" name="图片 6" descr="9ccccba88544f2fb3203ad079794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9ccccba88544f2fb3203ad07979413f"/>
                          <pic:cNvPicPr>
                            <a:picLocks noChangeAspect="1"/>
                          </pic:cNvPicPr>
                        </pic:nvPicPr>
                        <pic:blipFill>
                          <a:blip r:embed="rId16"/>
                          <a:srcRect l="32202" t="8156" r="27782" b="28068"/>
                          <a:stretch>
                            <a:fillRect/>
                          </a:stretch>
                        </pic:blipFill>
                        <pic:spPr>
                          <a:xfrm>
                            <a:off x="0" y="0"/>
                            <a:ext cx="868680" cy="1487170"/>
                          </a:xfrm>
                          <a:prstGeom prst="rect">
                            <a:avLst/>
                          </a:prstGeom>
                        </pic:spPr>
                      </pic:pic>
                    </a:graphicData>
                  </a:graphic>
                </wp:inline>
              </w:drawing>
            </w:r>
          </w:p>
        </w:tc>
      </w:tr>
      <w:tr w14:paraId="65702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0" w:hRule="atLeast"/>
        </w:trPr>
        <w:tc>
          <w:tcPr>
            <w:tcW w:w="1773" w:type="dxa"/>
            <w:vMerge w:val="continue"/>
            <w:tcBorders>
              <w:tl2br w:val="nil"/>
              <w:tr2bl w:val="nil"/>
            </w:tcBorders>
            <w:shd w:val="clear" w:color="auto" w:fill="auto"/>
            <w:vAlign w:val="center"/>
          </w:tcPr>
          <w:p w14:paraId="144A197D">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53C0FE2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宣传灯箱</w:t>
            </w:r>
          </w:p>
        </w:tc>
        <w:tc>
          <w:tcPr>
            <w:tcW w:w="1867" w:type="dxa"/>
            <w:tcBorders>
              <w:tl2br w:val="nil"/>
              <w:tr2bl w:val="nil"/>
            </w:tcBorders>
            <w:shd w:val="clear" w:color="auto" w:fill="auto"/>
            <w:noWrap/>
            <w:vAlign w:val="center"/>
          </w:tcPr>
          <w:p w14:paraId="5A39DD3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62*120*10cm</w:t>
            </w:r>
          </w:p>
        </w:tc>
        <w:tc>
          <w:tcPr>
            <w:tcW w:w="1167" w:type="dxa"/>
            <w:tcBorders>
              <w:tl2br w:val="nil"/>
              <w:tr2bl w:val="nil"/>
            </w:tcBorders>
            <w:shd w:val="clear" w:color="auto" w:fill="auto"/>
            <w:noWrap/>
            <w:vAlign w:val="center"/>
          </w:tcPr>
          <w:p w14:paraId="6364D95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30个</w:t>
            </w:r>
          </w:p>
        </w:tc>
        <w:tc>
          <w:tcPr>
            <w:tcW w:w="3419" w:type="dxa"/>
            <w:vMerge w:val="continue"/>
            <w:tcBorders>
              <w:tl2br w:val="nil"/>
              <w:tr2bl w:val="nil"/>
            </w:tcBorders>
            <w:shd w:val="clear" w:color="auto" w:fill="auto"/>
            <w:noWrap/>
            <w:vAlign w:val="center"/>
          </w:tcPr>
          <w:p w14:paraId="7049BBB9">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0229B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1773" w:type="dxa"/>
            <w:vMerge w:val="continue"/>
            <w:tcBorders>
              <w:tl2br w:val="nil"/>
              <w:tr2bl w:val="nil"/>
            </w:tcBorders>
            <w:shd w:val="clear" w:color="auto" w:fill="auto"/>
            <w:vAlign w:val="center"/>
          </w:tcPr>
          <w:p w14:paraId="7944CBF3">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noWrap/>
            <w:vAlign w:val="center"/>
          </w:tcPr>
          <w:p w14:paraId="634D805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电线</w:t>
            </w:r>
          </w:p>
        </w:tc>
        <w:tc>
          <w:tcPr>
            <w:tcW w:w="1867" w:type="dxa"/>
            <w:tcBorders>
              <w:tl2br w:val="nil"/>
              <w:tr2bl w:val="nil"/>
            </w:tcBorders>
            <w:shd w:val="clear" w:color="auto" w:fill="auto"/>
            <w:noWrap/>
            <w:vAlign w:val="center"/>
          </w:tcPr>
          <w:p w14:paraId="556C160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国标2.5平方*6米</w:t>
            </w:r>
          </w:p>
        </w:tc>
        <w:tc>
          <w:tcPr>
            <w:tcW w:w="1167" w:type="dxa"/>
            <w:tcBorders>
              <w:tl2br w:val="nil"/>
              <w:tr2bl w:val="nil"/>
            </w:tcBorders>
            <w:shd w:val="clear" w:color="auto" w:fill="auto"/>
            <w:noWrap/>
            <w:vAlign w:val="center"/>
          </w:tcPr>
          <w:p w14:paraId="7DC4BDA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180米</w:t>
            </w:r>
          </w:p>
        </w:tc>
        <w:tc>
          <w:tcPr>
            <w:tcW w:w="3419" w:type="dxa"/>
            <w:vMerge w:val="continue"/>
            <w:tcBorders>
              <w:tl2br w:val="nil"/>
              <w:tr2bl w:val="nil"/>
            </w:tcBorders>
            <w:shd w:val="clear" w:color="auto" w:fill="auto"/>
            <w:noWrap/>
            <w:vAlign w:val="center"/>
          </w:tcPr>
          <w:p w14:paraId="6C2D51B2">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p>
        </w:tc>
      </w:tr>
      <w:tr w14:paraId="3E9F5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20" w:hRule="atLeast"/>
        </w:trPr>
        <w:tc>
          <w:tcPr>
            <w:tcW w:w="1773" w:type="dxa"/>
            <w:vMerge w:val="continue"/>
            <w:tcBorders>
              <w:tl2br w:val="nil"/>
              <w:tr2bl w:val="nil"/>
            </w:tcBorders>
            <w:shd w:val="clear" w:color="auto" w:fill="auto"/>
            <w:vAlign w:val="center"/>
          </w:tcPr>
          <w:p w14:paraId="103C0DD9">
            <w:pPr>
              <w:jc w:val="center"/>
              <w:rPr>
                <w:rFonts w:hint="eastAsia" w:ascii="微软雅黑" w:hAnsi="微软雅黑" w:eastAsia="微软雅黑" w:cs="微软雅黑"/>
                <w:b w:val="0"/>
                <w:bCs w:val="0"/>
                <w:i w:val="0"/>
                <w:iCs w:val="0"/>
                <w:color w:val="auto"/>
                <w:sz w:val="22"/>
                <w:szCs w:val="22"/>
                <w:highlight w:val="none"/>
                <w:u w:val="none"/>
              </w:rPr>
            </w:pPr>
          </w:p>
        </w:tc>
        <w:tc>
          <w:tcPr>
            <w:tcW w:w="1641" w:type="dxa"/>
            <w:tcBorders>
              <w:tl2br w:val="nil"/>
              <w:tr2bl w:val="nil"/>
            </w:tcBorders>
            <w:shd w:val="clear" w:color="auto" w:fill="auto"/>
            <w:vAlign w:val="center"/>
          </w:tcPr>
          <w:p w14:paraId="6FE128A9">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路灯文字</w:t>
            </w:r>
          </w:p>
        </w:tc>
        <w:tc>
          <w:tcPr>
            <w:tcW w:w="1867" w:type="dxa"/>
            <w:tcBorders>
              <w:tl2br w:val="nil"/>
              <w:tr2bl w:val="nil"/>
            </w:tcBorders>
            <w:shd w:val="clear" w:color="auto" w:fill="auto"/>
            <w:vAlign w:val="center"/>
          </w:tcPr>
          <w:p w14:paraId="30A9750F">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8个字/含安装/</w:t>
            </w:r>
          </w:p>
        </w:tc>
        <w:tc>
          <w:tcPr>
            <w:tcW w:w="1167" w:type="dxa"/>
            <w:tcBorders>
              <w:tl2br w:val="nil"/>
              <w:tr2bl w:val="nil"/>
            </w:tcBorders>
            <w:shd w:val="clear" w:color="auto" w:fill="auto"/>
            <w:noWrap/>
            <w:vAlign w:val="center"/>
          </w:tcPr>
          <w:p w14:paraId="178D0679">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30套</w:t>
            </w:r>
          </w:p>
        </w:tc>
        <w:tc>
          <w:tcPr>
            <w:tcW w:w="3419" w:type="dxa"/>
            <w:tcBorders>
              <w:tl2br w:val="nil"/>
              <w:tr2bl w:val="nil"/>
            </w:tcBorders>
            <w:shd w:val="clear" w:color="auto" w:fill="auto"/>
            <w:noWrap/>
            <w:vAlign w:val="center"/>
          </w:tcPr>
          <w:p w14:paraId="1BB5BD4F">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color w:val="auto"/>
                <w:highlight w:val="none"/>
              </w:rPr>
              <w:drawing>
                <wp:inline distT="0" distB="0" distL="114300" distR="114300">
                  <wp:extent cx="911860" cy="1019175"/>
                  <wp:effectExtent l="0" t="0" r="2540" b="9525"/>
                  <wp:docPr id="12" name="图片 10" descr="753d1c9f7cfbd5623209838ea402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753d1c9f7cfbd5623209838ea402a13"/>
                          <pic:cNvPicPr>
                            <a:picLocks noChangeAspect="1"/>
                          </pic:cNvPicPr>
                        </pic:nvPicPr>
                        <pic:blipFill>
                          <a:blip r:embed="rId11"/>
                          <a:stretch>
                            <a:fillRect/>
                          </a:stretch>
                        </pic:blipFill>
                        <pic:spPr>
                          <a:xfrm>
                            <a:off x="0" y="0"/>
                            <a:ext cx="911860" cy="1019175"/>
                          </a:xfrm>
                          <a:prstGeom prst="rect">
                            <a:avLst/>
                          </a:prstGeom>
                        </pic:spPr>
                      </pic:pic>
                    </a:graphicData>
                  </a:graphic>
                </wp:inline>
              </w:drawing>
            </w:r>
            <w:r>
              <w:rPr>
                <w:color w:val="auto"/>
                <w:highlight w:val="none"/>
              </w:rPr>
              <w:drawing>
                <wp:inline distT="0" distB="0" distL="114300" distR="114300">
                  <wp:extent cx="1102995" cy="1000760"/>
                  <wp:effectExtent l="0" t="0" r="1905" b="8890"/>
                  <wp:docPr id="10" name="图片 7" descr="da432380f5c74a696480f47871cc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da432380f5c74a696480f47871cc045"/>
                          <pic:cNvPicPr>
                            <a:picLocks noChangeAspect="1"/>
                          </pic:cNvPicPr>
                        </pic:nvPicPr>
                        <pic:blipFill>
                          <a:blip r:embed="rId17"/>
                          <a:stretch>
                            <a:fillRect/>
                          </a:stretch>
                        </pic:blipFill>
                        <pic:spPr>
                          <a:xfrm>
                            <a:off x="0" y="0"/>
                            <a:ext cx="1102995" cy="1000760"/>
                          </a:xfrm>
                          <a:prstGeom prst="rect">
                            <a:avLst/>
                          </a:prstGeom>
                        </pic:spPr>
                      </pic:pic>
                    </a:graphicData>
                  </a:graphic>
                </wp:inline>
              </w:drawing>
            </w:r>
          </w:p>
        </w:tc>
      </w:tr>
      <w:tr w14:paraId="4CF92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40" w:hRule="atLeast"/>
        </w:trPr>
        <w:tc>
          <w:tcPr>
            <w:tcW w:w="1773" w:type="dxa"/>
            <w:tcBorders>
              <w:tl2br w:val="nil"/>
              <w:tr2bl w:val="nil"/>
            </w:tcBorders>
            <w:shd w:val="clear" w:color="auto" w:fill="auto"/>
            <w:noWrap/>
            <w:vAlign w:val="center"/>
          </w:tcPr>
          <w:p w14:paraId="5A0DC3A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复兴社区</w:t>
            </w:r>
          </w:p>
        </w:tc>
        <w:tc>
          <w:tcPr>
            <w:tcW w:w="1641" w:type="dxa"/>
            <w:tcBorders>
              <w:tl2br w:val="nil"/>
              <w:tr2bl w:val="nil"/>
            </w:tcBorders>
            <w:shd w:val="clear" w:color="auto" w:fill="auto"/>
            <w:vAlign w:val="center"/>
          </w:tcPr>
          <w:p w14:paraId="0FF0A78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宣传栏/含画面</w:t>
            </w:r>
          </w:p>
        </w:tc>
        <w:tc>
          <w:tcPr>
            <w:tcW w:w="1867" w:type="dxa"/>
            <w:tcBorders>
              <w:tl2br w:val="nil"/>
              <w:tr2bl w:val="nil"/>
            </w:tcBorders>
            <w:shd w:val="clear" w:color="auto" w:fill="auto"/>
            <w:noWrap/>
            <w:vAlign w:val="center"/>
          </w:tcPr>
          <w:p w14:paraId="2ACBEC5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1.2*2米</w:t>
            </w:r>
          </w:p>
        </w:tc>
        <w:tc>
          <w:tcPr>
            <w:tcW w:w="1167" w:type="dxa"/>
            <w:tcBorders>
              <w:tl2br w:val="nil"/>
              <w:tr2bl w:val="nil"/>
            </w:tcBorders>
            <w:shd w:val="clear" w:color="auto" w:fill="auto"/>
            <w:noWrap/>
            <w:vAlign w:val="center"/>
          </w:tcPr>
          <w:p w14:paraId="62E3A02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2块</w:t>
            </w:r>
          </w:p>
        </w:tc>
        <w:tc>
          <w:tcPr>
            <w:tcW w:w="3419" w:type="dxa"/>
            <w:tcBorders>
              <w:tl2br w:val="nil"/>
              <w:tr2bl w:val="nil"/>
            </w:tcBorders>
            <w:shd w:val="clear" w:color="auto" w:fill="auto"/>
            <w:noWrap/>
            <w:vAlign w:val="center"/>
          </w:tcPr>
          <w:p w14:paraId="740F3EA0">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rFonts w:hint="eastAsia" w:ascii="微软雅黑" w:hAnsi="微软雅黑" w:eastAsia="微软雅黑" w:cs="微软雅黑"/>
                <w:b/>
                <w:bCs/>
                <w:i w:val="0"/>
                <w:iCs w:val="0"/>
                <w:color w:val="auto"/>
                <w:kern w:val="0"/>
                <w:sz w:val="22"/>
                <w:szCs w:val="22"/>
                <w:highlight w:val="none"/>
                <w:u w:val="none"/>
                <w:lang w:val="en-US" w:eastAsia="zh-CN" w:bidi="ar"/>
              </w:rPr>
              <w:drawing>
                <wp:inline distT="0" distB="0" distL="114300" distR="114300">
                  <wp:extent cx="2028825" cy="951230"/>
                  <wp:effectExtent l="0" t="0" r="9525" b="1270"/>
                  <wp:docPr id="14" name="图片 14" descr="6b5e1d9af9a87e72450a204eea5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b5e1d9af9a87e72450a204eea5b1dc"/>
                          <pic:cNvPicPr>
                            <a:picLocks noChangeAspect="1"/>
                          </pic:cNvPicPr>
                        </pic:nvPicPr>
                        <pic:blipFill>
                          <a:blip r:embed="rId18"/>
                          <a:stretch>
                            <a:fillRect/>
                          </a:stretch>
                        </pic:blipFill>
                        <pic:spPr>
                          <a:xfrm>
                            <a:off x="0" y="0"/>
                            <a:ext cx="2028825" cy="951230"/>
                          </a:xfrm>
                          <a:prstGeom prst="rect">
                            <a:avLst/>
                          </a:prstGeom>
                        </pic:spPr>
                      </pic:pic>
                    </a:graphicData>
                  </a:graphic>
                </wp:inline>
              </w:drawing>
            </w:r>
          </w:p>
        </w:tc>
      </w:tr>
      <w:tr w14:paraId="1DAED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trPr>
        <w:tc>
          <w:tcPr>
            <w:tcW w:w="1773" w:type="dxa"/>
            <w:tcBorders>
              <w:tl2br w:val="nil"/>
              <w:tr2bl w:val="nil"/>
            </w:tcBorders>
            <w:shd w:val="clear" w:color="auto" w:fill="auto"/>
            <w:noWrap/>
            <w:vAlign w:val="center"/>
          </w:tcPr>
          <w:p w14:paraId="10B6EB41">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其兰巴格社区</w:t>
            </w:r>
          </w:p>
        </w:tc>
        <w:tc>
          <w:tcPr>
            <w:tcW w:w="1641" w:type="dxa"/>
            <w:tcBorders>
              <w:tl2br w:val="nil"/>
              <w:tr2bl w:val="nil"/>
            </w:tcBorders>
            <w:shd w:val="clear" w:color="auto" w:fill="auto"/>
            <w:vAlign w:val="center"/>
          </w:tcPr>
          <w:p w14:paraId="663C9F3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宣传栏/含画面</w:t>
            </w:r>
          </w:p>
        </w:tc>
        <w:tc>
          <w:tcPr>
            <w:tcW w:w="1867" w:type="dxa"/>
            <w:tcBorders>
              <w:tl2br w:val="nil"/>
              <w:tr2bl w:val="nil"/>
            </w:tcBorders>
            <w:shd w:val="clear" w:color="auto" w:fill="auto"/>
            <w:noWrap/>
            <w:vAlign w:val="center"/>
          </w:tcPr>
          <w:p w14:paraId="4A90D5A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1.2*2米</w:t>
            </w:r>
          </w:p>
        </w:tc>
        <w:tc>
          <w:tcPr>
            <w:tcW w:w="1167" w:type="dxa"/>
            <w:tcBorders>
              <w:tl2br w:val="nil"/>
              <w:tr2bl w:val="nil"/>
            </w:tcBorders>
            <w:shd w:val="clear" w:color="auto" w:fill="auto"/>
            <w:noWrap/>
            <w:vAlign w:val="center"/>
          </w:tcPr>
          <w:p w14:paraId="4A39E1C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sz w:val="22"/>
                <w:szCs w:val="22"/>
                <w:highlight w:val="none"/>
                <w:u w:val="none"/>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2块</w:t>
            </w:r>
          </w:p>
        </w:tc>
        <w:tc>
          <w:tcPr>
            <w:tcW w:w="3419" w:type="dxa"/>
            <w:tcBorders>
              <w:tl2br w:val="nil"/>
              <w:tr2bl w:val="nil"/>
            </w:tcBorders>
            <w:shd w:val="clear" w:color="auto" w:fill="auto"/>
            <w:noWrap/>
            <w:vAlign w:val="center"/>
          </w:tcPr>
          <w:p w14:paraId="048C3AA1">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2"/>
                <w:szCs w:val="22"/>
                <w:highlight w:val="none"/>
                <w:u w:val="none"/>
                <w:lang w:val="en-US" w:eastAsia="zh-CN" w:bidi="ar"/>
              </w:rPr>
            </w:pPr>
            <w:r>
              <w:rPr>
                <w:rFonts w:hint="eastAsia" w:ascii="微软雅黑" w:hAnsi="微软雅黑" w:eastAsia="微软雅黑" w:cs="微软雅黑"/>
                <w:b/>
                <w:bCs/>
                <w:i w:val="0"/>
                <w:iCs w:val="0"/>
                <w:color w:val="auto"/>
                <w:kern w:val="0"/>
                <w:sz w:val="22"/>
                <w:szCs w:val="22"/>
                <w:highlight w:val="none"/>
                <w:u w:val="none"/>
                <w:lang w:val="en-US" w:eastAsia="zh-CN" w:bidi="ar"/>
              </w:rPr>
              <w:drawing>
                <wp:inline distT="0" distB="0" distL="114300" distR="114300">
                  <wp:extent cx="2028825" cy="951230"/>
                  <wp:effectExtent l="0" t="0" r="9525" b="1270"/>
                  <wp:docPr id="15" name="图片 15" descr="6b5e1d9af9a87e72450a204eea5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5e1d9af9a87e72450a204eea5b1dc"/>
                          <pic:cNvPicPr>
                            <a:picLocks noChangeAspect="1"/>
                          </pic:cNvPicPr>
                        </pic:nvPicPr>
                        <pic:blipFill>
                          <a:blip r:embed="rId18"/>
                          <a:stretch>
                            <a:fillRect/>
                          </a:stretch>
                        </pic:blipFill>
                        <pic:spPr>
                          <a:xfrm>
                            <a:off x="0" y="0"/>
                            <a:ext cx="2028825" cy="951230"/>
                          </a:xfrm>
                          <a:prstGeom prst="rect">
                            <a:avLst/>
                          </a:prstGeom>
                        </pic:spPr>
                      </pic:pic>
                    </a:graphicData>
                  </a:graphic>
                </wp:inline>
              </w:drawing>
            </w:r>
          </w:p>
        </w:tc>
      </w:tr>
      <w:tr w14:paraId="243BA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trPr>
        <w:tc>
          <w:tcPr>
            <w:tcW w:w="1773" w:type="dxa"/>
            <w:tcBorders>
              <w:tl2br w:val="nil"/>
              <w:tr2bl w:val="nil"/>
            </w:tcBorders>
            <w:shd w:val="clear" w:color="auto" w:fill="auto"/>
            <w:noWrap/>
            <w:vAlign w:val="center"/>
          </w:tcPr>
          <w:p w14:paraId="6306B50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2"/>
                <w:szCs w:val="22"/>
                <w:highlight w:val="none"/>
                <w:u w:val="none"/>
                <w:lang w:val="en-US" w:eastAsia="zh-CN" w:bidi="ar"/>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安装人工</w:t>
            </w:r>
          </w:p>
        </w:tc>
        <w:tc>
          <w:tcPr>
            <w:tcW w:w="8094" w:type="dxa"/>
            <w:gridSpan w:val="4"/>
            <w:tcBorders>
              <w:tl2br w:val="nil"/>
              <w:tr2bl w:val="nil"/>
            </w:tcBorders>
            <w:shd w:val="clear" w:color="auto" w:fill="auto"/>
            <w:vAlign w:val="center"/>
          </w:tcPr>
          <w:p w14:paraId="3C79988E">
            <w:pPr>
              <w:keepNext w:val="0"/>
              <w:keepLines w:val="0"/>
              <w:widowControl/>
              <w:suppressLineNumbers w:val="0"/>
              <w:jc w:val="center"/>
              <w:textAlignment w:val="center"/>
              <w:rPr>
                <w:rFonts w:hint="eastAsia" w:eastAsia="宋体"/>
                <w:color w:val="auto"/>
                <w:highlight w:val="none"/>
                <w:lang w:val="en-US" w:eastAsia="zh-CN"/>
              </w:rPr>
            </w:pPr>
            <w:r>
              <w:rPr>
                <w:rFonts w:hint="eastAsia"/>
                <w:color w:val="auto"/>
                <w:highlight w:val="none"/>
                <w:lang w:val="en-US" w:eastAsia="zh-CN"/>
              </w:rPr>
              <w:t>/</w:t>
            </w:r>
          </w:p>
        </w:tc>
      </w:tr>
      <w:tr w14:paraId="536CB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5" w:hRule="atLeast"/>
        </w:trPr>
        <w:tc>
          <w:tcPr>
            <w:tcW w:w="1773" w:type="dxa"/>
            <w:tcBorders>
              <w:tl2br w:val="nil"/>
              <w:tr2bl w:val="nil"/>
            </w:tcBorders>
            <w:shd w:val="clear" w:color="auto" w:fill="auto"/>
            <w:noWrap/>
            <w:vAlign w:val="center"/>
          </w:tcPr>
          <w:p w14:paraId="29EBB47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2"/>
                <w:szCs w:val="22"/>
                <w:highlight w:val="none"/>
                <w:u w:val="none"/>
                <w:lang w:val="en-US" w:eastAsia="zh-CN" w:bidi="ar"/>
              </w:rPr>
            </w:pPr>
            <w:r>
              <w:rPr>
                <w:rFonts w:hint="eastAsia" w:ascii="微软雅黑" w:hAnsi="微软雅黑" w:eastAsia="微软雅黑" w:cs="微软雅黑"/>
                <w:b w:val="0"/>
                <w:bCs w:val="0"/>
                <w:i w:val="0"/>
                <w:iCs w:val="0"/>
                <w:color w:val="auto"/>
                <w:kern w:val="0"/>
                <w:sz w:val="22"/>
                <w:szCs w:val="22"/>
                <w:highlight w:val="none"/>
                <w:u w:val="none"/>
                <w:lang w:val="en-US" w:eastAsia="zh-CN" w:bidi="ar"/>
              </w:rPr>
              <w:t>登高车</w:t>
            </w:r>
          </w:p>
        </w:tc>
        <w:tc>
          <w:tcPr>
            <w:tcW w:w="8094" w:type="dxa"/>
            <w:gridSpan w:val="4"/>
            <w:tcBorders>
              <w:tl2br w:val="nil"/>
              <w:tr2bl w:val="nil"/>
            </w:tcBorders>
            <w:shd w:val="clear" w:color="auto" w:fill="auto"/>
            <w:vAlign w:val="center"/>
          </w:tcPr>
          <w:p w14:paraId="7CB578C3">
            <w:pPr>
              <w:keepNext w:val="0"/>
              <w:keepLines w:val="0"/>
              <w:widowControl/>
              <w:suppressLineNumbers w:val="0"/>
              <w:jc w:val="center"/>
              <w:textAlignment w:val="center"/>
              <w:rPr>
                <w:rFonts w:hint="eastAsia" w:eastAsia="宋体"/>
                <w:color w:val="auto"/>
                <w:highlight w:val="none"/>
                <w:lang w:val="en-US" w:eastAsia="zh-CN"/>
              </w:rPr>
            </w:pPr>
            <w:r>
              <w:rPr>
                <w:rFonts w:hint="eastAsia"/>
                <w:color w:val="auto"/>
                <w:highlight w:val="none"/>
                <w:lang w:val="en-US" w:eastAsia="zh-CN"/>
              </w:rPr>
              <w:t>/</w:t>
            </w:r>
          </w:p>
        </w:tc>
      </w:tr>
      <w:tr w14:paraId="71185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5" w:hRule="atLeast"/>
        </w:trPr>
        <w:tc>
          <w:tcPr>
            <w:tcW w:w="9867" w:type="dxa"/>
            <w:gridSpan w:val="5"/>
            <w:tcBorders>
              <w:tl2br w:val="nil"/>
              <w:tr2bl w:val="nil"/>
            </w:tcBorders>
            <w:shd w:val="clear" w:color="auto" w:fill="auto"/>
            <w:noWrap/>
            <w:vAlign w:val="center"/>
          </w:tcPr>
          <w:p w14:paraId="14A64DF7">
            <w:pPr>
              <w:keepNext w:val="0"/>
              <w:keepLines w:val="0"/>
              <w:widowControl/>
              <w:suppressLineNumbers w:val="0"/>
              <w:jc w:val="left"/>
              <w:textAlignment w:val="center"/>
              <w:rPr>
                <w:rFonts w:hint="eastAsia"/>
                <w:b/>
                <w:bCs/>
                <w:color w:val="auto"/>
                <w:sz w:val="32"/>
                <w:szCs w:val="28"/>
                <w:highlight w:val="none"/>
                <w:lang w:val="en-US" w:eastAsia="zh-CN"/>
              </w:rPr>
            </w:pPr>
            <w:r>
              <w:rPr>
                <w:rFonts w:hint="eastAsia"/>
                <w:b/>
                <w:bCs/>
                <w:color w:val="auto"/>
                <w:sz w:val="32"/>
                <w:szCs w:val="28"/>
                <w:highlight w:val="none"/>
                <w:lang w:val="en-US" w:eastAsia="zh-CN"/>
              </w:rPr>
              <w:t>备注：</w:t>
            </w:r>
          </w:p>
          <w:p w14:paraId="6E939327">
            <w:pPr>
              <w:keepNext w:val="0"/>
              <w:keepLines w:val="0"/>
              <w:widowControl/>
              <w:suppressLineNumbers w:val="0"/>
              <w:jc w:val="left"/>
              <w:textAlignment w:val="center"/>
              <w:rPr>
                <w:rFonts w:hint="eastAsia"/>
                <w:b/>
                <w:bCs/>
                <w:color w:val="auto"/>
                <w:sz w:val="32"/>
                <w:szCs w:val="28"/>
                <w:highlight w:val="none"/>
                <w:lang w:val="en-US" w:eastAsia="zh-CN"/>
              </w:rPr>
            </w:pPr>
            <w:r>
              <w:rPr>
                <w:rFonts w:hint="eastAsia"/>
                <w:b/>
                <w:bCs/>
                <w:color w:val="auto"/>
                <w:sz w:val="32"/>
                <w:szCs w:val="28"/>
                <w:highlight w:val="none"/>
                <w:lang w:val="en-US" w:eastAsia="zh-CN"/>
              </w:rPr>
              <w:t>材质 PETG+ ABS +PC（路灯文字为金属包边LED发光字）</w:t>
            </w:r>
          </w:p>
          <w:p w14:paraId="12C1E63E">
            <w:pPr>
              <w:keepNext w:val="0"/>
              <w:keepLines w:val="0"/>
              <w:widowControl/>
              <w:suppressLineNumbers w:val="0"/>
              <w:jc w:val="left"/>
              <w:textAlignment w:val="center"/>
              <w:rPr>
                <w:rFonts w:hint="default"/>
                <w:color w:val="auto"/>
                <w:highlight w:val="none"/>
                <w:lang w:val="en-US" w:eastAsia="zh-CN"/>
              </w:rPr>
            </w:pPr>
            <w:r>
              <w:rPr>
                <w:rFonts w:hint="eastAsia"/>
                <w:b/>
                <w:bCs/>
                <w:color w:val="auto"/>
                <w:sz w:val="32"/>
                <w:szCs w:val="28"/>
                <w:highlight w:val="none"/>
                <w:lang w:val="en-US" w:eastAsia="zh-CN"/>
              </w:rPr>
              <w:t>光源   30W</w:t>
            </w:r>
          </w:p>
        </w:tc>
      </w:tr>
    </w:tbl>
    <w:p w14:paraId="417C1971">
      <w:pPr>
        <w:rPr>
          <w:rFonts w:hint="eastAsia"/>
          <w:color w:val="auto"/>
          <w:sz w:val="22"/>
          <w:szCs w:val="21"/>
          <w:highlight w:val="none"/>
          <w:lang w:val="en-US" w:eastAsia="zh-CN"/>
        </w:rPr>
      </w:pPr>
    </w:p>
    <w:p w14:paraId="34399A5A">
      <w:pPr>
        <w:rPr>
          <w:rFonts w:hint="default"/>
          <w:color w:val="auto"/>
          <w:highlight w:val="none"/>
          <w:lang w:val="en-US" w:eastAsia="zh-CN"/>
        </w:rPr>
      </w:pPr>
      <w:r>
        <w:rPr>
          <w:rFonts w:hint="eastAsia"/>
          <w:color w:val="auto"/>
          <w:sz w:val="22"/>
          <w:szCs w:val="21"/>
          <w:highlight w:val="none"/>
          <w:lang w:val="en-US" w:eastAsia="zh-CN"/>
        </w:rPr>
        <w:t>注：中标后，参考样式图片需按业主要求进行细节调整。</w:t>
      </w:r>
      <w:r>
        <w:rPr>
          <w:rFonts w:hint="eastAsia"/>
          <w:color w:val="auto"/>
          <w:highlight w:val="none"/>
          <w:lang w:val="en-US" w:eastAsia="zh-CN"/>
        </w:rPr>
        <w:br w:type="page"/>
      </w:r>
    </w:p>
    <w:p w14:paraId="2E71A1FE">
      <w:pPr>
        <w:pStyle w:val="4"/>
        <w:spacing w:line="240" w:lineRule="auto"/>
        <w:jc w:val="center"/>
        <w:rPr>
          <w:rFonts w:hint="eastAsia" w:ascii="time of new roman" w:hAnsi="time of new roman" w:eastAsia="宋体"/>
          <w:color w:val="auto"/>
          <w:kern w:val="0"/>
          <w:sz w:val="44"/>
          <w:highlight w:val="none"/>
        </w:rPr>
      </w:pPr>
      <w:bookmarkStart w:id="221" w:name="_Toc410227692"/>
      <w:bookmarkStart w:id="222" w:name="_Toc23006"/>
      <w:r>
        <w:rPr>
          <w:rFonts w:hint="eastAsia" w:ascii="time of new roman" w:hAnsi="time of new roman" w:eastAsia="宋体"/>
          <w:color w:val="auto"/>
          <w:kern w:val="0"/>
          <w:sz w:val="44"/>
          <w:highlight w:val="none"/>
        </w:rPr>
        <w:t>第四章 评标文件</w:t>
      </w:r>
      <w:bookmarkEnd w:id="221"/>
      <w:bookmarkEnd w:id="222"/>
      <w:bookmarkStart w:id="223" w:name="_Toc9864090"/>
      <w:bookmarkStart w:id="224" w:name="_Toc439679271"/>
      <w:bookmarkStart w:id="225" w:name="_Toc486969382"/>
      <w:bookmarkStart w:id="226" w:name="_Toc509337169"/>
      <w:bookmarkStart w:id="227" w:name="_Toc439513448"/>
      <w:bookmarkStart w:id="228" w:name="_Toc523170345"/>
      <w:bookmarkStart w:id="229" w:name="_Toc11931288"/>
      <w:bookmarkStart w:id="230" w:name="_Toc8109"/>
      <w:bookmarkStart w:id="231" w:name="_Toc422161995"/>
      <w:bookmarkStart w:id="232" w:name="_Toc479325595"/>
      <w:bookmarkStart w:id="233" w:name="_Toc11944595"/>
      <w:bookmarkStart w:id="234" w:name="_Toc273342935"/>
      <w:bookmarkStart w:id="235" w:name="_Toc509337054"/>
      <w:bookmarkStart w:id="236" w:name="_Toc438722133"/>
      <w:bookmarkStart w:id="237" w:name="_Toc498899386"/>
      <w:bookmarkStart w:id="238" w:name="_Toc514177056"/>
      <w:bookmarkStart w:id="239" w:name="_Toc479340792"/>
      <w:bookmarkStart w:id="240" w:name="_Toc425347665"/>
      <w:bookmarkStart w:id="241" w:name="_Toc494832090"/>
      <w:bookmarkStart w:id="242" w:name="_Toc438508600"/>
      <w:bookmarkStart w:id="243" w:name="_Toc522529808"/>
      <w:bookmarkStart w:id="244" w:name="_Toc5124212"/>
      <w:bookmarkStart w:id="245" w:name="_Toc9612854"/>
      <w:bookmarkStart w:id="246" w:name="_Toc487044255"/>
      <w:bookmarkStart w:id="247" w:name="_Toc477879843"/>
      <w:bookmarkStart w:id="248" w:name="_Toc414510783"/>
      <w:bookmarkStart w:id="249" w:name="_Toc458635599"/>
      <w:bookmarkStart w:id="250" w:name="_Toc416208489"/>
      <w:bookmarkStart w:id="251" w:name="_Toc422865424"/>
      <w:bookmarkStart w:id="252" w:name="_Toc524368793"/>
      <w:bookmarkStart w:id="253" w:name="_Toc438513737"/>
      <w:bookmarkStart w:id="254" w:name="_Toc458980396"/>
      <w:bookmarkStart w:id="255" w:name="_Toc470184444"/>
      <w:bookmarkStart w:id="256" w:name="_Toc10446422"/>
      <w:bookmarkStart w:id="257" w:name="_Toc369081822"/>
      <w:bookmarkStart w:id="258" w:name="_Toc358307751"/>
      <w:bookmarkStart w:id="259" w:name="_Toc19458"/>
      <w:bookmarkStart w:id="260" w:name="_Toc498871254"/>
      <w:bookmarkStart w:id="261" w:name="_Toc524517865"/>
      <w:bookmarkStart w:id="262" w:name="_Toc439513164"/>
      <w:bookmarkStart w:id="263" w:name="_Toc418023336"/>
    </w:p>
    <w:p w14:paraId="701D9ED7">
      <w:pPr>
        <w:pStyle w:val="4"/>
        <w:spacing w:line="240" w:lineRule="auto"/>
        <w:jc w:val="center"/>
        <w:rPr>
          <w:color w:val="auto"/>
          <w:sz w:val="28"/>
          <w:szCs w:val="28"/>
          <w:highlight w:val="none"/>
        </w:rPr>
      </w:pPr>
      <w:r>
        <w:rPr>
          <w:rFonts w:hint="eastAsia"/>
          <w:color w:val="auto"/>
          <w:sz w:val="28"/>
          <w:szCs w:val="28"/>
          <w:highlight w:val="none"/>
        </w:rPr>
        <w:t>1、说明</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3C2C0AA">
      <w:pPr>
        <w:pStyle w:val="7"/>
        <w:spacing w:beforeAutospacing="0" w:line="240" w:lineRule="auto"/>
        <w:rPr>
          <w:rFonts w:ascii="宋体" w:hAnsi="宋体" w:eastAsia="宋体"/>
          <w:b/>
          <w:bCs/>
          <w:color w:val="auto"/>
          <w:sz w:val="24"/>
          <w:szCs w:val="24"/>
          <w:highlight w:val="none"/>
        </w:rPr>
      </w:pPr>
      <w:r>
        <w:rPr>
          <w:rFonts w:hint="eastAsia" w:ascii="宋体" w:hAnsi="宋体" w:eastAsia="宋体"/>
          <w:b/>
          <w:bCs/>
          <w:color w:val="auto"/>
          <w:sz w:val="21"/>
          <w:szCs w:val="21"/>
          <w:highlight w:val="none"/>
        </w:rPr>
        <w:t xml:space="preserve">1.1 </w:t>
      </w:r>
      <w:r>
        <w:rPr>
          <w:rFonts w:hint="eastAsia" w:ascii="宋体" w:hAnsi="宋体" w:eastAsia="宋体"/>
          <w:b/>
          <w:bCs/>
          <w:color w:val="auto"/>
          <w:sz w:val="24"/>
          <w:szCs w:val="24"/>
          <w:highlight w:val="none"/>
        </w:rPr>
        <w:t>概述</w:t>
      </w:r>
    </w:p>
    <w:p w14:paraId="4F3BC827">
      <w:pPr>
        <w:pStyle w:val="7"/>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根据《中华人民共和国政府采购法》、《评标委员会和评标方法暂行规定》和国家及地方政府采购有关文件精神，在保证</w:t>
      </w:r>
      <w:r>
        <w:rPr>
          <w:rFonts w:hint="eastAsia" w:ascii="宋体" w:hAnsi="宋体" w:eastAsia="宋体" w:cs="宋体"/>
          <w:color w:val="auto"/>
          <w:sz w:val="24"/>
          <w:szCs w:val="24"/>
          <w:highlight w:val="none"/>
          <w:u w:val="single"/>
          <w:lang w:eastAsia="zh-CN"/>
        </w:rPr>
        <w:t>库尔勒市文化符号和民族视觉形象示范点项目（一标段）二次</w:t>
      </w:r>
      <w:r>
        <w:rPr>
          <w:rFonts w:hint="eastAsia" w:ascii="宋体" w:hAnsi="宋体" w:eastAsia="宋体" w:cs="宋体"/>
          <w:color w:val="auto"/>
          <w:sz w:val="24"/>
          <w:szCs w:val="24"/>
          <w:highlight w:val="none"/>
        </w:rPr>
        <w:t>（以下简称项目）招标公开、公平</w:t>
      </w:r>
      <w:r>
        <w:rPr>
          <w:rFonts w:hint="eastAsia" w:ascii="宋体" w:hAnsi="宋体" w:eastAsia="宋体"/>
          <w:color w:val="auto"/>
          <w:sz w:val="24"/>
          <w:szCs w:val="24"/>
          <w:highlight w:val="none"/>
        </w:rPr>
        <w:t>、公正的基础上，结合项目需求，由</w:t>
      </w:r>
      <w:r>
        <w:rPr>
          <w:rFonts w:hint="eastAsia" w:ascii="宋体" w:hAnsi="宋体" w:eastAsia="宋体" w:cs="宋体"/>
          <w:color w:val="auto"/>
          <w:sz w:val="24"/>
          <w:szCs w:val="24"/>
          <w:highlight w:val="none"/>
          <w:u w:val="single"/>
          <w:lang w:eastAsia="zh-CN"/>
        </w:rPr>
        <w:t>新疆国腾工程项目管理咨询有限公司</w:t>
      </w:r>
      <w:r>
        <w:rPr>
          <w:rFonts w:hint="eastAsia" w:ascii="宋体" w:hAnsi="宋体" w:eastAsia="宋体"/>
          <w:color w:val="auto"/>
          <w:sz w:val="24"/>
          <w:szCs w:val="24"/>
          <w:highlight w:val="none"/>
        </w:rPr>
        <w:t>制定本评标文件，评标委员会确认。内容包括本次评标的评审过程和方法。</w:t>
      </w:r>
    </w:p>
    <w:p w14:paraId="533D9028">
      <w:pPr>
        <w:pStyle w:val="7"/>
        <w:spacing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1.2 定义</w:t>
      </w:r>
    </w:p>
    <w:p w14:paraId="725719D9">
      <w:pPr>
        <w:pStyle w:val="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lang w:eastAsia="zh-CN"/>
        </w:rPr>
        <w:t>招标人</w:t>
      </w:r>
      <w:r>
        <w:rPr>
          <w:rFonts w:hint="eastAsia" w:ascii="宋体" w:hAnsi="宋体" w:eastAsia="宋体"/>
          <w:color w:val="auto"/>
          <w:sz w:val="24"/>
          <w:szCs w:val="24"/>
          <w:highlight w:val="none"/>
        </w:rPr>
        <w:t>：系</w:t>
      </w:r>
      <w:r>
        <w:rPr>
          <w:rFonts w:hint="eastAsia" w:ascii="宋体" w:hAnsi="宋体" w:eastAsia="宋体" w:cs="宋体"/>
          <w:color w:val="auto"/>
          <w:sz w:val="24"/>
          <w:szCs w:val="24"/>
          <w:highlight w:val="none"/>
        </w:rPr>
        <w:t>指</w:t>
      </w:r>
      <w:r>
        <w:rPr>
          <w:rFonts w:hint="eastAsia" w:ascii="宋体" w:hAnsi="宋体" w:eastAsia="宋体" w:cs="宋体"/>
          <w:color w:val="auto"/>
          <w:sz w:val="24"/>
          <w:szCs w:val="24"/>
          <w:highlight w:val="none"/>
          <w:lang w:eastAsia="zh-CN"/>
        </w:rPr>
        <w:t>中共库尔勒市委员会宣传部</w:t>
      </w:r>
      <w:r>
        <w:rPr>
          <w:rFonts w:hint="eastAsia" w:ascii="宋体" w:hAnsi="宋体" w:eastAsia="宋体" w:cs="宋体"/>
          <w:color w:val="auto"/>
          <w:sz w:val="24"/>
          <w:szCs w:val="24"/>
          <w:highlight w:val="none"/>
        </w:rPr>
        <w:t>。</w:t>
      </w:r>
    </w:p>
    <w:p w14:paraId="099D634B">
      <w:pPr>
        <w:pStyle w:val="7"/>
        <w:spacing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采购代理机构：系指</w:t>
      </w:r>
      <w:r>
        <w:rPr>
          <w:rFonts w:hint="eastAsia" w:ascii="宋体" w:hAnsi="宋体" w:eastAsia="宋体" w:cs="宋体"/>
          <w:color w:val="auto"/>
          <w:sz w:val="24"/>
          <w:szCs w:val="24"/>
          <w:highlight w:val="none"/>
          <w:lang w:eastAsia="zh-CN"/>
        </w:rPr>
        <w:t>新疆国腾工程项目管理咨询有限公司</w:t>
      </w:r>
      <w:r>
        <w:rPr>
          <w:rFonts w:hint="eastAsia" w:ascii="宋体" w:hAnsi="宋体" w:eastAsia="宋体" w:cs="宋体"/>
          <w:color w:val="auto"/>
          <w:sz w:val="24"/>
          <w:szCs w:val="24"/>
          <w:highlight w:val="none"/>
        </w:rPr>
        <w:t>。</w:t>
      </w:r>
    </w:p>
    <w:p w14:paraId="777276DF">
      <w:pPr>
        <w:pStyle w:val="6"/>
        <w:spacing w:before="0" w:beforeLines="0" w:beforeAutospacing="0" w:after="0" w:afterLines="0" w:afterAutospacing="0"/>
        <w:rPr>
          <w:color w:val="auto"/>
          <w:sz w:val="28"/>
          <w:szCs w:val="28"/>
          <w:highlight w:val="none"/>
        </w:rPr>
      </w:pPr>
      <w:bookmarkStart w:id="264" w:name="_Toc479325596"/>
      <w:bookmarkStart w:id="265" w:name="_Toc358307752"/>
      <w:bookmarkStart w:id="266" w:name="_Toc498871255"/>
      <w:bookmarkStart w:id="267" w:name="_Toc414510784"/>
      <w:bookmarkStart w:id="268" w:name="_Toc439679272"/>
      <w:bookmarkStart w:id="269" w:name="_Toc9864091"/>
      <w:bookmarkStart w:id="270" w:name="_Toc458980397"/>
      <w:bookmarkStart w:id="271" w:name="_Toc509337055"/>
      <w:bookmarkStart w:id="272" w:name="_Toc418023337"/>
      <w:bookmarkStart w:id="273" w:name="_Toc369081823"/>
      <w:bookmarkStart w:id="274" w:name="_Toc524368794"/>
      <w:bookmarkStart w:id="275" w:name="_Toc524517866"/>
      <w:bookmarkStart w:id="276" w:name="_Toc509337170"/>
      <w:bookmarkStart w:id="277" w:name="_Toc486969383"/>
      <w:bookmarkStart w:id="278" w:name="_Toc273342936"/>
      <w:bookmarkStart w:id="279" w:name="_Toc11944596"/>
      <w:bookmarkStart w:id="280" w:name="_Toc422161996"/>
      <w:bookmarkStart w:id="281" w:name="_Toc522529809"/>
      <w:bookmarkStart w:id="282" w:name="_Toc439513449"/>
      <w:bookmarkStart w:id="283" w:name="_Toc477879844"/>
      <w:bookmarkStart w:id="284" w:name="_Toc438513738"/>
      <w:bookmarkStart w:id="285" w:name="_Toc439513165"/>
      <w:bookmarkStart w:id="286" w:name="_Toc479340793"/>
      <w:bookmarkStart w:id="287" w:name="_Toc11931289"/>
      <w:bookmarkStart w:id="288" w:name="_Toc470184445"/>
      <w:bookmarkStart w:id="289" w:name="_Toc514177057"/>
      <w:bookmarkStart w:id="290" w:name="_Toc23987"/>
      <w:bookmarkStart w:id="291" w:name="_Toc494832091"/>
      <w:bookmarkStart w:id="292" w:name="_Toc9612855"/>
      <w:bookmarkStart w:id="293" w:name="_Toc438722134"/>
      <w:bookmarkStart w:id="294" w:name="_Toc5124213"/>
      <w:bookmarkStart w:id="295" w:name="_Toc523170346"/>
      <w:bookmarkStart w:id="296" w:name="_Toc10446423"/>
      <w:bookmarkStart w:id="297" w:name="_Toc422865425"/>
      <w:bookmarkStart w:id="298" w:name="_Toc498899387"/>
      <w:bookmarkStart w:id="299" w:name="_Toc29694"/>
      <w:bookmarkStart w:id="300" w:name="_Toc425347666"/>
      <w:bookmarkStart w:id="301" w:name="_Toc416208490"/>
      <w:bookmarkStart w:id="302" w:name="_Toc487044256"/>
      <w:bookmarkStart w:id="303" w:name="_Toc438508601"/>
      <w:bookmarkStart w:id="304" w:name="_Toc458635600"/>
      <w:r>
        <w:rPr>
          <w:rFonts w:hint="eastAsia"/>
          <w:color w:val="auto"/>
          <w:sz w:val="28"/>
          <w:szCs w:val="28"/>
          <w:highlight w:val="none"/>
        </w:rPr>
        <w:t>2、评标须知</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8F970E4">
      <w:pPr>
        <w:pStyle w:val="7"/>
        <w:spacing w:beforeAutospacing="0"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2.1 关于评标方案</w:t>
      </w:r>
    </w:p>
    <w:p w14:paraId="2E30B390">
      <w:pPr>
        <w:spacing w:line="360" w:lineRule="auto"/>
        <w:rPr>
          <w:rFonts w:ascii="宋体" w:hAnsi="宋体"/>
          <w:color w:val="auto"/>
          <w:sz w:val="24"/>
          <w:szCs w:val="24"/>
          <w:highlight w:val="none"/>
        </w:rPr>
      </w:pPr>
      <w:r>
        <w:rPr>
          <w:rFonts w:hint="eastAsia" w:ascii="宋体" w:hAnsi="宋体"/>
          <w:color w:val="auto"/>
          <w:sz w:val="24"/>
          <w:szCs w:val="24"/>
          <w:highlight w:val="none"/>
        </w:rPr>
        <w:t>（1）评标委员会的每位成员（简称评委）应认真地阅读并确认已经正确理解了评标方案；</w:t>
      </w:r>
    </w:p>
    <w:p w14:paraId="2A6C5B22">
      <w:pPr>
        <w:spacing w:line="360" w:lineRule="auto"/>
        <w:rPr>
          <w:rFonts w:ascii="宋体" w:hAnsi="宋体"/>
          <w:color w:val="auto"/>
          <w:sz w:val="24"/>
          <w:szCs w:val="24"/>
          <w:highlight w:val="none"/>
        </w:rPr>
      </w:pPr>
      <w:r>
        <w:rPr>
          <w:rFonts w:hint="eastAsia" w:ascii="宋体" w:hAnsi="宋体"/>
          <w:color w:val="auto"/>
          <w:sz w:val="24"/>
          <w:szCs w:val="24"/>
          <w:highlight w:val="none"/>
        </w:rPr>
        <w:t>（2）评委如对评标方案有异议，应在评标开始前提出。</w:t>
      </w:r>
    </w:p>
    <w:p w14:paraId="5692AEB4">
      <w:pPr>
        <w:pStyle w:val="7"/>
        <w:spacing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2.2 关于评标纪律</w:t>
      </w:r>
    </w:p>
    <w:p w14:paraId="43F7BECB">
      <w:pPr>
        <w:spacing w:line="360" w:lineRule="auto"/>
        <w:ind w:left="648" w:right="-113" w:rightChars="-54" w:hanging="648" w:hangingChars="270"/>
        <w:rPr>
          <w:rFonts w:ascii="宋体" w:hAnsi="宋体"/>
          <w:color w:val="auto"/>
          <w:sz w:val="24"/>
          <w:szCs w:val="24"/>
          <w:highlight w:val="none"/>
        </w:rPr>
      </w:pPr>
      <w:r>
        <w:rPr>
          <w:rFonts w:hint="eastAsia" w:ascii="宋体" w:hAnsi="宋体"/>
          <w:color w:val="auto"/>
          <w:sz w:val="24"/>
          <w:szCs w:val="24"/>
          <w:highlight w:val="none"/>
        </w:rPr>
        <w:t>（1）评标委员会成员不得与任何</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或者与招标结果有利害关系的人进行私下接触，不得收受</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、中介人、其他利害关系人的财物或者其他好处；</w:t>
      </w:r>
    </w:p>
    <w:p w14:paraId="241FB904">
      <w:pPr>
        <w:spacing w:line="360" w:lineRule="auto"/>
        <w:rPr>
          <w:rFonts w:ascii="宋体" w:hAnsi="宋体"/>
          <w:color w:val="auto"/>
          <w:sz w:val="24"/>
          <w:szCs w:val="24"/>
          <w:highlight w:val="none"/>
        </w:rPr>
      </w:pPr>
      <w:r>
        <w:rPr>
          <w:rFonts w:hint="eastAsia" w:ascii="宋体" w:hAnsi="宋体"/>
          <w:color w:val="auto"/>
          <w:sz w:val="24"/>
          <w:szCs w:val="24"/>
          <w:highlight w:val="none"/>
        </w:rPr>
        <w:t>（2）评委应本着客观、公正的原则独立给出评价意见；</w:t>
      </w:r>
    </w:p>
    <w:p w14:paraId="2EB8CCCC">
      <w:pPr>
        <w:spacing w:line="360" w:lineRule="auto"/>
        <w:rPr>
          <w:rFonts w:ascii="宋体" w:hAnsi="宋体"/>
          <w:color w:val="auto"/>
          <w:sz w:val="24"/>
          <w:szCs w:val="24"/>
          <w:highlight w:val="none"/>
        </w:rPr>
      </w:pPr>
      <w:r>
        <w:rPr>
          <w:rFonts w:hint="eastAsia" w:ascii="宋体" w:hAnsi="宋体"/>
          <w:color w:val="auto"/>
          <w:sz w:val="24"/>
          <w:szCs w:val="24"/>
          <w:highlight w:val="none"/>
        </w:rPr>
        <w:t>（3）评委之间不得相互串通进行评分；</w:t>
      </w:r>
    </w:p>
    <w:p w14:paraId="1346880E">
      <w:pPr>
        <w:spacing w:line="360" w:lineRule="auto"/>
        <w:rPr>
          <w:rFonts w:ascii="宋体" w:hAnsi="宋体"/>
          <w:color w:val="auto"/>
          <w:sz w:val="24"/>
          <w:szCs w:val="24"/>
          <w:highlight w:val="none"/>
        </w:rPr>
      </w:pPr>
      <w:r>
        <w:rPr>
          <w:rFonts w:hint="eastAsia" w:ascii="宋体" w:hAnsi="宋体"/>
          <w:color w:val="auto"/>
          <w:sz w:val="24"/>
          <w:szCs w:val="24"/>
          <w:highlight w:val="none"/>
        </w:rPr>
        <w:t>（4）评委不得试图影响其他评委的评价意见；</w:t>
      </w:r>
    </w:p>
    <w:p w14:paraId="574C3A6D">
      <w:pPr>
        <w:spacing w:line="360" w:lineRule="auto"/>
        <w:rPr>
          <w:rFonts w:ascii="宋体" w:hAnsi="宋体"/>
          <w:color w:val="auto"/>
          <w:sz w:val="24"/>
          <w:szCs w:val="24"/>
          <w:highlight w:val="none"/>
        </w:rPr>
      </w:pPr>
      <w:r>
        <w:rPr>
          <w:rFonts w:hint="eastAsia" w:ascii="宋体" w:hAnsi="宋体"/>
          <w:color w:val="auto"/>
          <w:sz w:val="24"/>
          <w:szCs w:val="24"/>
          <w:highlight w:val="none"/>
        </w:rPr>
        <w:t>（5）评委应关闭通讯工具或设置为震动状态，统一交由工作人员保管。</w:t>
      </w:r>
    </w:p>
    <w:p w14:paraId="31375FA4">
      <w:pPr>
        <w:pStyle w:val="7"/>
        <w:spacing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2.3 关于评标责任</w:t>
      </w:r>
    </w:p>
    <w:p w14:paraId="07399323">
      <w:pPr>
        <w:spacing w:line="360" w:lineRule="auto"/>
        <w:rPr>
          <w:rFonts w:ascii="宋体" w:hAnsi="宋体"/>
          <w:color w:val="auto"/>
          <w:sz w:val="24"/>
          <w:szCs w:val="24"/>
          <w:highlight w:val="none"/>
        </w:rPr>
      </w:pPr>
      <w:r>
        <w:rPr>
          <w:rFonts w:hint="eastAsia" w:ascii="宋体" w:hAnsi="宋体"/>
          <w:color w:val="auto"/>
          <w:sz w:val="24"/>
          <w:szCs w:val="24"/>
          <w:highlight w:val="none"/>
        </w:rPr>
        <w:t>（1）评委应在其书面评审意见上签字确认；</w:t>
      </w:r>
    </w:p>
    <w:p w14:paraId="02D57890">
      <w:pPr>
        <w:spacing w:line="360" w:lineRule="auto"/>
        <w:rPr>
          <w:rFonts w:ascii="宋体" w:hAnsi="宋体"/>
          <w:color w:val="auto"/>
          <w:sz w:val="24"/>
          <w:szCs w:val="24"/>
          <w:highlight w:val="none"/>
        </w:rPr>
      </w:pPr>
      <w:r>
        <w:rPr>
          <w:rFonts w:hint="eastAsia" w:ascii="宋体" w:hAnsi="宋体"/>
          <w:color w:val="auto"/>
          <w:sz w:val="24"/>
          <w:szCs w:val="24"/>
          <w:highlight w:val="none"/>
        </w:rPr>
        <w:t>（2）评委对其所提出的评审意见承担个人责任。</w:t>
      </w:r>
    </w:p>
    <w:p w14:paraId="435038D8">
      <w:pPr>
        <w:pStyle w:val="7"/>
        <w:spacing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2.4 关于回避</w:t>
      </w:r>
    </w:p>
    <w:p w14:paraId="3B7953C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有下列情形之一的，不得担任评标委员会成员，如事先不知情的，应在宣读</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名单及评标纪律后主动提出回避：</w:t>
      </w:r>
    </w:p>
    <w:p w14:paraId="759E3984">
      <w:pPr>
        <w:spacing w:line="360" w:lineRule="auto"/>
        <w:rPr>
          <w:rFonts w:ascii="宋体" w:hAnsi="宋体"/>
          <w:color w:val="auto"/>
          <w:sz w:val="24"/>
          <w:szCs w:val="24"/>
          <w:highlight w:val="none"/>
        </w:rPr>
      </w:pPr>
      <w:r>
        <w:rPr>
          <w:rFonts w:hint="eastAsia" w:ascii="宋体" w:hAnsi="宋体"/>
          <w:color w:val="auto"/>
          <w:sz w:val="24"/>
          <w:szCs w:val="24"/>
          <w:highlight w:val="none"/>
        </w:rPr>
        <w:t>（1）是</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或者</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主要负责人的近亲属；</w:t>
      </w:r>
    </w:p>
    <w:p w14:paraId="5F1EC747">
      <w:pPr>
        <w:spacing w:line="360" w:lineRule="auto"/>
        <w:rPr>
          <w:rFonts w:ascii="宋体" w:hAnsi="宋体"/>
          <w:color w:val="auto"/>
          <w:sz w:val="24"/>
          <w:szCs w:val="24"/>
          <w:highlight w:val="none"/>
        </w:rPr>
      </w:pPr>
      <w:r>
        <w:rPr>
          <w:rFonts w:hint="eastAsia" w:ascii="宋体" w:hAnsi="宋体"/>
          <w:color w:val="auto"/>
          <w:sz w:val="24"/>
          <w:szCs w:val="24"/>
          <w:highlight w:val="none"/>
        </w:rPr>
        <w:t>（2）与</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有经济利益关系，可能影响对投标公正评审的；</w:t>
      </w:r>
    </w:p>
    <w:p w14:paraId="71889BE8">
      <w:pPr>
        <w:spacing w:line="360" w:lineRule="auto"/>
        <w:ind w:left="600" w:hanging="600" w:hangingChars="250"/>
        <w:rPr>
          <w:rFonts w:ascii="宋体" w:hAnsi="宋体"/>
          <w:color w:val="auto"/>
          <w:sz w:val="24"/>
          <w:szCs w:val="24"/>
          <w:highlight w:val="none"/>
        </w:rPr>
      </w:pPr>
      <w:r>
        <w:rPr>
          <w:rFonts w:hint="eastAsia" w:ascii="宋体" w:hAnsi="宋体"/>
          <w:color w:val="auto"/>
          <w:sz w:val="24"/>
          <w:szCs w:val="24"/>
          <w:highlight w:val="none"/>
        </w:rPr>
        <w:t>（3）曾因在招标、评标以及其他与招标投标有关活动中从事违法行为而受过行政处罚或刑事处罚的。</w:t>
      </w:r>
    </w:p>
    <w:p w14:paraId="101F98EA">
      <w:pPr>
        <w:pStyle w:val="7"/>
        <w:spacing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2.5 关于保密</w:t>
      </w:r>
    </w:p>
    <w:p w14:paraId="54E900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评标委员会成员和与评标活动有关的工作人员不得透露对</w:t>
      </w:r>
      <w:r>
        <w:rPr>
          <w:rFonts w:hint="eastAsia" w:ascii="宋体" w:hAnsi="宋体"/>
          <w:color w:val="auto"/>
          <w:sz w:val="24"/>
          <w:szCs w:val="24"/>
          <w:highlight w:val="none"/>
          <w:lang w:eastAsia="zh-CN"/>
        </w:rPr>
        <w:t>响应文件</w:t>
      </w:r>
      <w:r>
        <w:rPr>
          <w:rFonts w:hint="eastAsia" w:ascii="宋体" w:hAnsi="宋体"/>
          <w:color w:val="auto"/>
          <w:sz w:val="24"/>
          <w:szCs w:val="24"/>
          <w:highlight w:val="none"/>
        </w:rPr>
        <w:t>的评审和比较、中标候选人的推荐情况以及评标有关的其他情况。</w:t>
      </w:r>
    </w:p>
    <w:p w14:paraId="35279AD8">
      <w:pPr>
        <w:pStyle w:val="14"/>
        <w:spacing w:line="360" w:lineRule="auto"/>
        <w:ind w:firstLine="480" w:firstLineChars="200"/>
        <w:rPr>
          <w:rFonts w:ascii="宋体" w:hAnsi="宋体" w:eastAsia="宋体"/>
          <w:b w:val="0"/>
          <w:bCs/>
          <w:color w:val="auto"/>
          <w:sz w:val="24"/>
          <w:szCs w:val="24"/>
          <w:highlight w:val="none"/>
        </w:rPr>
      </w:pPr>
      <w:r>
        <w:rPr>
          <w:rFonts w:hint="eastAsia" w:ascii="宋体" w:hAnsi="宋体" w:eastAsia="宋体"/>
          <w:b w:val="0"/>
          <w:bCs/>
          <w:color w:val="auto"/>
          <w:sz w:val="24"/>
          <w:szCs w:val="24"/>
          <w:highlight w:val="none"/>
        </w:rPr>
        <w:t>前款所称与评标活动有关的工作人员，是指评标委员会成员以外的因参与评标监督工作或者事务性工作而知悉有关评标情况的所有人员。</w:t>
      </w:r>
    </w:p>
    <w:p w14:paraId="205CAE06">
      <w:pPr>
        <w:pStyle w:val="7"/>
        <w:spacing w:line="360" w:lineRule="auto"/>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2.6</w:t>
      </w:r>
      <w:r>
        <w:rPr>
          <w:rFonts w:hint="eastAsia" w:ascii="宋体" w:hAnsi="宋体" w:eastAsia="宋体"/>
          <w:b/>
          <w:bCs/>
          <w:color w:val="auto"/>
          <w:sz w:val="24"/>
          <w:szCs w:val="24"/>
          <w:highlight w:val="none"/>
          <w:lang w:eastAsia="zh-CN"/>
        </w:rPr>
        <w:t>响应文件</w:t>
      </w:r>
      <w:r>
        <w:rPr>
          <w:rFonts w:hint="eastAsia" w:ascii="宋体" w:hAnsi="宋体" w:eastAsia="宋体"/>
          <w:b/>
          <w:bCs/>
          <w:color w:val="auto"/>
          <w:sz w:val="24"/>
          <w:szCs w:val="24"/>
          <w:highlight w:val="none"/>
        </w:rPr>
        <w:t>的澄清</w:t>
      </w:r>
    </w:p>
    <w:p w14:paraId="25ABD5B0">
      <w:pPr>
        <w:spacing w:line="360" w:lineRule="auto"/>
        <w:ind w:left="629" w:hanging="628" w:hangingChars="262"/>
        <w:rPr>
          <w:rFonts w:ascii="宋体" w:hAnsi="宋体"/>
          <w:color w:val="auto"/>
          <w:sz w:val="24"/>
          <w:highlight w:val="none"/>
        </w:rPr>
      </w:pPr>
      <w:r>
        <w:rPr>
          <w:rFonts w:hint="eastAsia" w:ascii="宋体" w:hAnsi="宋体"/>
          <w:color w:val="auto"/>
          <w:sz w:val="24"/>
          <w:highlight w:val="none"/>
        </w:rPr>
        <w:t>（1）除评标委员会主动要求澄清外，从开标后至授予合同期间，任何</w:t>
      </w:r>
      <w:r>
        <w:rPr>
          <w:rFonts w:hint="eastAsia" w:ascii="宋体" w:hAnsi="宋体"/>
          <w:color w:val="auto"/>
          <w:sz w:val="24"/>
          <w:highlight w:val="none"/>
          <w:lang w:eastAsia="zh-CN"/>
        </w:rPr>
        <w:t>供应商</w:t>
      </w:r>
      <w:r>
        <w:rPr>
          <w:rFonts w:hint="eastAsia" w:ascii="宋体" w:hAnsi="宋体"/>
          <w:color w:val="auto"/>
          <w:sz w:val="24"/>
          <w:highlight w:val="none"/>
        </w:rPr>
        <w:t>均不得就与其投标相关的任何问题与评标委员会联系。在评标过程中，如果</w:t>
      </w:r>
      <w:r>
        <w:rPr>
          <w:rFonts w:hint="eastAsia" w:ascii="宋体" w:hAnsi="宋体"/>
          <w:color w:val="auto"/>
          <w:sz w:val="24"/>
          <w:highlight w:val="none"/>
          <w:lang w:eastAsia="zh-CN"/>
        </w:rPr>
        <w:t>供应商</w:t>
      </w:r>
      <w:r>
        <w:rPr>
          <w:rFonts w:hint="eastAsia" w:ascii="宋体" w:hAnsi="宋体"/>
          <w:color w:val="auto"/>
          <w:sz w:val="24"/>
          <w:highlight w:val="none"/>
        </w:rPr>
        <w:t>试图在</w:t>
      </w:r>
      <w:r>
        <w:rPr>
          <w:rFonts w:hint="eastAsia" w:ascii="宋体" w:hAnsi="宋体"/>
          <w:color w:val="auto"/>
          <w:sz w:val="24"/>
          <w:highlight w:val="none"/>
          <w:lang w:eastAsia="zh-CN"/>
        </w:rPr>
        <w:t>响应文件</w:t>
      </w:r>
      <w:r>
        <w:rPr>
          <w:rFonts w:hint="eastAsia" w:ascii="宋体" w:hAnsi="宋体"/>
          <w:color w:val="auto"/>
          <w:sz w:val="24"/>
          <w:highlight w:val="none"/>
        </w:rPr>
        <w:t>审查、澄清、比较及授予合同方面向</w:t>
      </w:r>
      <w:r>
        <w:rPr>
          <w:rFonts w:hint="eastAsia" w:ascii="宋体" w:hAnsi="宋体"/>
          <w:color w:val="auto"/>
          <w:sz w:val="24"/>
          <w:highlight w:val="none"/>
          <w:lang w:eastAsia="zh-CN"/>
        </w:rPr>
        <w:t>招标人</w:t>
      </w:r>
      <w:r>
        <w:rPr>
          <w:rFonts w:hint="eastAsia" w:ascii="宋体" w:hAnsi="宋体"/>
          <w:color w:val="auto"/>
          <w:sz w:val="24"/>
          <w:highlight w:val="none"/>
        </w:rPr>
        <w:t>施加任何影响，其投标将被拒绝。</w:t>
      </w:r>
    </w:p>
    <w:p w14:paraId="274C31FA">
      <w:pPr>
        <w:spacing w:afterAutospacing="0" w:line="360" w:lineRule="auto"/>
        <w:ind w:left="629" w:hanging="628" w:hangingChars="262"/>
        <w:rPr>
          <w:rFonts w:ascii="宋体" w:hAnsi="宋体"/>
          <w:color w:val="auto"/>
          <w:sz w:val="24"/>
          <w:highlight w:val="none"/>
        </w:rPr>
      </w:pPr>
      <w:r>
        <w:rPr>
          <w:rFonts w:hint="eastAsia" w:ascii="宋体" w:hAnsi="宋体"/>
          <w:color w:val="auto"/>
          <w:sz w:val="24"/>
          <w:highlight w:val="none"/>
        </w:rPr>
        <w:t>（2）评标委员会可以书面方式要求</w:t>
      </w:r>
      <w:r>
        <w:rPr>
          <w:rFonts w:hint="eastAsia" w:ascii="宋体" w:hAnsi="宋体"/>
          <w:color w:val="auto"/>
          <w:sz w:val="24"/>
          <w:highlight w:val="none"/>
          <w:lang w:eastAsia="zh-CN"/>
        </w:rPr>
        <w:t>供应商</w:t>
      </w:r>
      <w:r>
        <w:rPr>
          <w:rFonts w:hint="eastAsia" w:ascii="宋体" w:hAnsi="宋体"/>
          <w:color w:val="auto"/>
          <w:sz w:val="24"/>
          <w:highlight w:val="none"/>
        </w:rPr>
        <w:t>对</w:t>
      </w:r>
      <w:r>
        <w:rPr>
          <w:rFonts w:hint="eastAsia" w:ascii="宋体" w:hAnsi="宋体"/>
          <w:color w:val="auto"/>
          <w:sz w:val="24"/>
          <w:highlight w:val="none"/>
          <w:lang w:eastAsia="zh-CN"/>
        </w:rPr>
        <w:t>响应文件</w:t>
      </w:r>
      <w:r>
        <w:rPr>
          <w:rFonts w:hint="eastAsia" w:ascii="宋体" w:hAnsi="宋体"/>
          <w:color w:val="auto"/>
          <w:sz w:val="24"/>
          <w:highlight w:val="none"/>
        </w:rPr>
        <w:t>中含义不明确、对同类问题表述不一致或者有明显文字和计算错误的内容作必要的澄清、说明或者补正。澄清、说明或者补正应以书面方式进行并不得超出</w:t>
      </w:r>
      <w:r>
        <w:rPr>
          <w:rFonts w:hint="eastAsia" w:ascii="宋体" w:hAnsi="宋体"/>
          <w:color w:val="auto"/>
          <w:sz w:val="24"/>
          <w:highlight w:val="none"/>
          <w:lang w:eastAsia="zh-CN"/>
        </w:rPr>
        <w:t>响应文件</w:t>
      </w:r>
      <w:r>
        <w:rPr>
          <w:rFonts w:hint="eastAsia" w:ascii="宋体" w:hAnsi="宋体"/>
          <w:color w:val="auto"/>
          <w:sz w:val="24"/>
          <w:highlight w:val="none"/>
        </w:rPr>
        <w:t>的范围或者改变</w:t>
      </w:r>
      <w:r>
        <w:rPr>
          <w:rFonts w:hint="eastAsia" w:ascii="宋体" w:hAnsi="宋体"/>
          <w:color w:val="auto"/>
          <w:sz w:val="24"/>
          <w:highlight w:val="none"/>
          <w:lang w:eastAsia="zh-CN"/>
        </w:rPr>
        <w:t>响应文件</w:t>
      </w:r>
      <w:r>
        <w:rPr>
          <w:rFonts w:hint="eastAsia" w:ascii="宋体" w:hAnsi="宋体"/>
          <w:color w:val="auto"/>
          <w:sz w:val="24"/>
          <w:highlight w:val="none"/>
        </w:rPr>
        <w:t>的实质性内容。以书面形式表达并加盖公章的答复经评标委员会认可后，可作为</w:t>
      </w:r>
      <w:r>
        <w:rPr>
          <w:rFonts w:hint="eastAsia" w:ascii="宋体" w:hAnsi="宋体"/>
          <w:color w:val="auto"/>
          <w:sz w:val="24"/>
          <w:highlight w:val="none"/>
          <w:lang w:eastAsia="zh-CN"/>
        </w:rPr>
        <w:t>响应文件</w:t>
      </w:r>
      <w:r>
        <w:rPr>
          <w:rFonts w:hint="eastAsia" w:ascii="宋体" w:hAnsi="宋体"/>
          <w:color w:val="auto"/>
          <w:sz w:val="24"/>
          <w:highlight w:val="none"/>
        </w:rPr>
        <w:t>的一部分参与评标。</w:t>
      </w:r>
    </w:p>
    <w:p w14:paraId="4855CAB0">
      <w:pPr>
        <w:pStyle w:val="6"/>
        <w:spacing w:before="0" w:beforeLines="0" w:beforeAutospacing="0" w:after="0" w:afterLines="0" w:afterAutospacing="0"/>
        <w:rPr>
          <w:color w:val="auto"/>
          <w:sz w:val="28"/>
          <w:szCs w:val="28"/>
          <w:highlight w:val="none"/>
        </w:rPr>
      </w:pPr>
      <w:bookmarkStart w:id="305" w:name="_Toc524368795"/>
      <w:bookmarkStart w:id="306" w:name="_Toc498871256"/>
      <w:bookmarkStart w:id="307" w:name="_Toc9612856"/>
      <w:bookmarkStart w:id="308" w:name="_Toc494832092"/>
      <w:bookmarkStart w:id="309" w:name="_Toc479340794"/>
      <w:bookmarkStart w:id="310" w:name="_Toc24194"/>
      <w:bookmarkStart w:id="311" w:name="_Toc11944597"/>
      <w:bookmarkStart w:id="312" w:name="_Toc522529810"/>
      <w:bookmarkStart w:id="313" w:name="_Toc439513166"/>
      <w:bookmarkStart w:id="314" w:name="_Toc416208491"/>
      <w:bookmarkStart w:id="315" w:name="_Toc477879845"/>
      <w:bookmarkStart w:id="316" w:name="_Toc418023338"/>
      <w:bookmarkStart w:id="317" w:name="_Toc439513450"/>
      <w:bookmarkStart w:id="318" w:name="_Toc438513739"/>
      <w:bookmarkStart w:id="319" w:name="_Toc458980398"/>
      <w:bookmarkStart w:id="320" w:name="_Toc422161997"/>
      <w:bookmarkStart w:id="321" w:name="_Toc414510785"/>
      <w:bookmarkStart w:id="322" w:name="_Toc514177058"/>
      <w:bookmarkStart w:id="323" w:name="_Toc479325597"/>
      <w:bookmarkStart w:id="324" w:name="_Toc425347667"/>
      <w:bookmarkStart w:id="325" w:name="_Toc509337056"/>
      <w:bookmarkStart w:id="326" w:name="_Toc498899388"/>
      <w:bookmarkStart w:id="327" w:name="_Toc438508602"/>
      <w:bookmarkStart w:id="328" w:name="_Toc9864092"/>
      <w:bookmarkStart w:id="329" w:name="_Toc524517867"/>
      <w:bookmarkStart w:id="330" w:name="_Toc487044257"/>
      <w:bookmarkStart w:id="331" w:name="_Toc486969384"/>
      <w:bookmarkStart w:id="332" w:name="_Toc458635601"/>
      <w:bookmarkStart w:id="333" w:name="_Toc509337171"/>
      <w:bookmarkStart w:id="334" w:name="_Toc5124214"/>
      <w:bookmarkStart w:id="335" w:name="_Toc438722135"/>
      <w:bookmarkStart w:id="336" w:name="_Toc439679273"/>
      <w:bookmarkStart w:id="337" w:name="_Toc470184446"/>
      <w:bookmarkStart w:id="338" w:name="_Toc10446424"/>
      <w:bookmarkStart w:id="339" w:name="_Toc523170347"/>
      <w:bookmarkStart w:id="340" w:name="_Toc11931290"/>
      <w:bookmarkStart w:id="341" w:name="_Toc422865426"/>
      <w:bookmarkStart w:id="342" w:name="_Toc5059"/>
      <w:r>
        <w:rPr>
          <w:rFonts w:hint="eastAsia"/>
          <w:color w:val="auto"/>
          <w:sz w:val="28"/>
          <w:szCs w:val="28"/>
          <w:highlight w:val="none"/>
        </w:rPr>
        <w:t>3、评标委员会</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06D9BB8C">
      <w:pPr>
        <w:spacing w:beforeAutospacing="0" w:line="360" w:lineRule="auto"/>
        <w:ind w:left="631" w:hanging="631" w:hangingChars="263"/>
        <w:rPr>
          <w:rFonts w:ascii="宋体" w:hAnsi="宋体"/>
          <w:color w:val="auto"/>
          <w:sz w:val="24"/>
          <w:highlight w:val="none"/>
        </w:rPr>
      </w:pPr>
      <w:r>
        <w:rPr>
          <w:rFonts w:hint="eastAsia" w:ascii="宋体" w:hAnsi="宋体"/>
          <w:color w:val="auto"/>
          <w:sz w:val="24"/>
          <w:highlight w:val="none"/>
        </w:rPr>
        <w:t>（1）依法组建评标委员会。评标委员会由五人单数组成，由</w:t>
      </w:r>
      <w:r>
        <w:rPr>
          <w:rFonts w:hint="eastAsia" w:ascii="宋体" w:hAnsi="宋体"/>
          <w:color w:val="auto"/>
          <w:sz w:val="24"/>
          <w:highlight w:val="none"/>
          <w:lang w:eastAsia="zh-CN"/>
        </w:rPr>
        <w:t>招标人</w:t>
      </w:r>
      <w:r>
        <w:rPr>
          <w:rFonts w:hint="eastAsia" w:ascii="宋体" w:hAnsi="宋体"/>
          <w:color w:val="auto"/>
          <w:sz w:val="24"/>
          <w:highlight w:val="none"/>
        </w:rPr>
        <w:t>的代表和从</w:t>
      </w:r>
      <w:r>
        <w:rPr>
          <w:rFonts w:hint="eastAsia" w:ascii="宋体" w:hAnsi="宋体" w:eastAsia="宋体" w:cs="宋体"/>
          <w:color w:val="auto"/>
          <w:sz w:val="24"/>
          <w:highlight w:val="none"/>
          <w:lang w:eastAsia="zh-CN"/>
        </w:rPr>
        <w:t>新疆维吾尔自治区政府采购专家库巴州分库</w:t>
      </w:r>
      <w:r>
        <w:rPr>
          <w:rFonts w:hint="eastAsia" w:ascii="宋体" w:hAnsi="宋体"/>
          <w:color w:val="auto"/>
          <w:sz w:val="24"/>
          <w:highlight w:val="none"/>
        </w:rPr>
        <w:t>随机抽取的专家组成，如</w:t>
      </w:r>
      <w:r>
        <w:rPr>
          <w:rFonts w:hint="eastAsia" w:ascii="宋体" w:hAnsi="宋体"/>
          <w:color w:val="auto"/>
          <w:sz w:val="24"/>
          <w:highlight w:val="none"/>
          <w:lang w:eastAsia="zh-CN"/>
        </w:rPr>
        <w:t>招标人</w:t>
      </w:r>
      <w:r>
        <w:rPr>
          <w:rFonts w:hint="eastAsia" w:ascii="宋体" w:hAnsi="宋体"/>
          <w:color w:val="auto"/>
          <w:sz w:val="24"/>
          <w:highlight w:val="none"/>
        </w:rPr>
        <w:t>不派代表评审，则评委会全部由专家组成。评委会将本着公平、公正、科学、择优的原则，严格按照法律法规和</w:t>
      </w:r>
      <w:r>
        <w:rPr>
          <w:rFonts w:hint="eastAsia" w:ascii="宋体" w:hAnsi="宋体"/>
          <w:color w:val="auto"/>
          <w:sz w:val="24"/>
          <w:highlight w:val="none"/>
          <w:lang w:eastAsia="zh-CN"/>
        </w:rPr>
        <w:t>招标文件</w:t>
      </w:r>
      <w:r>
        <w:rPr>
          <w:rFonts w:hint="eastAsia" w:ascii="宋体" w:hAnsi="宋体"/>
          <w:color w:val="auto"/>
          <w:sz w:val="24"/>
          <w:highlight w:val="none"/>
        </w:rPr>
        <w:t>设定的程序和规则推荐评审结果，任何单位和个人不得非法干预或者影响评标过程和结果。</w:t>
      </w:r>
    </w:p>
    <w:p w14:paraId="63021947">
      <w:pPr>
        <w:spacing w:afterAutospacing="0" w:line="360" w:lineRule="auto"/>
        <w:ind w:left="630" w:right="17" w:rightChars="8" w:hanging="630"/>
        <w:rPr>
          <w:rFonts w:ascii="宋体" w:hAnsi="宋体"/>
          <w:color w:val="auto"/>
          <w:sz w:val="24"/>
          <w:highlight w:val="none"/>
        </w:rPr>
      </w:pPr>
      <w:r>
        <w:rPr>
          <w:rFonts w:hint="eastAsia" w:ascii="宋体" w:hAnsi="宋体"/>
          <w:color w:val="auto"/>
          <w:sz w:val="24"/>
          <w:highlight w:val="none"/>
        </w:rPr>
        <w:t>（2）评标委员会将只对确定为实质上响应</w:t>
      </w:r>
      <w:r>
        <w:rPr>
          <w:rFonts w:hint="eastAsia" w:ascii="宋体" w:hAnsi="宋体"/>
          <w:color w:val="auto"/>
          <w:sz w:val="24"/>
          <w:highlight w:val="none"/>
          <w:lang w:eastAsia="zh-CN"/>
        </w:rPr>
        <w:t>招标文件</w:t>
      </w:r>
      <w:r>
        <w:rPr>
          <w:rFonts w:hint="eastAsia" w:ascii="宋体" w:hAnsi="宋体"/>
          <w:color w:val="auto"/>
          <w:sz w:val="24"/>
          <w:highlight w:val="none"/>
        </w:rPr>
        <w:t>要求的投标，即通过审查符合性的投标进行评价和比较，响应的依据是</w:t>
      </w:r>
      <w:r>
        <w:rPr>
          <w:rFonts w:hint="eastAsia" w:ascii="宋体" w:hAnsi="宋体"/>
          <w:color w:val="auto"/>
          <w:sz w:val="24"/>
          <w:highlight w:val="none"/>
          <w:lang w:eastAsia="zh-CN"/>
        </w:rPr>
        <w:t>招标文件</w:t>
      </w:r>
      <w:r>
        <w:rPr>
          <w:rFonts w:hint="eastAsia" w:ascii="宋体" w:hAnsi="宋体"/>
          <w:color w:val="auto"/>
          <w:sz w:val="24"/>
          <w:highlight w:val="none"/>
        </w:rPr>
        <w:t>本身的内容，而不寻求其它证据。实质上响应的投标应该是与</w:t>
      </w:r>
      <w:r>
        <w:rPr>
          <w:rFonts w:hint="eastAsia" w:ascii="宋体" w:hAnsi="宋体"/>
          <w:color w:val="auto"/>
          <w:sz w:val="24"/>
          <w:highlight w:val="none"/>
          <w:lang w:eastAsia="zh-CN"/>
        </w:rPr>
        <w:t>招标文件</w:t>
      </w:r>
      <w:r>
        <w:rPr>
          <w:rFonts w:hint="eastAsia" w:ascii="宋体" w:hAnsi="宋体"/>
          <w:color w:val="auto"/>
          <w:sz w:val="24"/>
          <w:highlight w:val="none"/>
        </w:rPr>
        <w:t>要求的全部主要条款、条件和规格相符，没有重大偏离的投标。</w:t>
      </w:r>
    </w:p>
    <w:p w14:paraId="281C83FF">
      <w:pPr>
        <w:pStyle w:val="6"/>
        <w:spacing w:before="0" w:beforeLines="0" w:beforeAutospacing="0" w:after="0" w:afterLines="0" w:afterAutospacing="0"/>
        <w:rPr>
          <w:color w:val="auto"/>
          <w:sz w:val="28"/>
          <w:szCs w:val="28"/>
          <w:highlight w:val="none"/>
        </w:rPr>
      </w:pPr>
      <w:bookmarkStart w:id="343" w:name="_Toc438508603"/>
      <w:bookmarkStart w:id="344" w:name="_Toc524368796"/>
      <w:bookmarkStart w:id="345" w:name="_Toc523170348"/>
      <w:bookmarkStart w:id="346" w:name="_Toc425347668"/>
      <w:bookmarkStart w:id="347" w:name="_Toc498871257"/>
      <w:bookmarkStart w:id="348" w:name="_Toc422865427"/>
      <w:bookmarkStart w:id="349" w:name="_Toc479340795"/>
      <w:bookmarkStart w:id="350" w:name="_Toc438513740"/>
      <w:bookmarkStart w:id="351" w:name="_Toc5124215"/>
      <w:bookmarkStart w:id="352" w:name="_Toc414510786"/>
      <w:bookmarkStart w:id="353" w:name="_Toc418023339"/>
      <w:bookmarkStart w:id="354" w:name="_Toc358307753"/>
      <w:bookmarkStart w:id="355" w:name="_Toc439513451"/>
      <w:bookmarkStart w:id="356" w:name="_Toc438722136"/>
      <w:bookmarkStart w:id="357" w:name="_Toc439679274"/>
      <w:bookmarkStart w:id="358" w:name="_Toc494832093"/>
      <w:bookmarkStart w:id="359" w:name="_Toc11944598"/>
      <w:bookmarkStart w:id="360" w:name="_Toc477879846"/>
      <w:bookmarkStart w:id="361" w:name="_Toc486969385"/>
      <w:bookmarkStart w:id="362" w:name="_Toc498899389"/>
      <w:bookmarkStart w:id="363" w:name="_Toc9612857"/>
      <w:bookmarkStart w:id="364" w:name="_Toc524517868"/>
      <w:bookmarkStart w:id="365" w:name="_Toc487044258"/>
      <w:bookmarkStart w:id="366" w:name="_Toc416208492"/>
      <w:bookmarkStart w:id="367" w:name="_Toc522529811"/>
      <w:bookmarkStart w:id="368" w:name="_Toc9864093"/>
      <w:bookmarkStart w:id="369" w:name="_Toc479325598"/>
      <w:bookmarkStart w:id="370" w:name="_Toc439513167"/>
      <w:bookmarkStart w:id="371" w:name="_Toc273342937"/>
      <w:bookmarkStart w:id="372" w:name="_Toc10446425"/>
      <w:bookmarkStart w:id="373" w:name="_Toc514177059"/>
      <w:bookmarkStart w:id="374" w:name="_Toc422161998"/>
      <w:bookmarkStart w:id="375" w:name="_Toc470184447"/>
      <w:bookmarkStart w:id="376" w:name="_Toc29819"/>
      <w:bookmarkStart w:id="377" w:name="_Toc509337172"/>
      <w:bookmarkStart w:id="378" w:name="_Toc11931291"/>
      <w:bookmarkStart w:id="379" w:name="_Toc23199"/>
      <w:bookmarkStart w:id="380" w:name="_Toc509337057"/>
      <w:bookmarkStart w:id="381" w:name="_Toc369081824"/>
      <w:bookmarkStart w:id="382" w:name="_Toc458635602"/>
      <w:bookmarkStart w:id="383" w:name="_Toc458980399"/>
      <w:r>
        <w:rPr>
          <w:rFonts w:hint="eastAsia"/>
          <w:color w:val="auto"/>
          <w:sz w:val="28"/>
          <w:szCs w:val="28"/>
          <w:highlight w:val="none"/>
        </w:rPr>
        <w:t>4、评标原则</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BBCF7DF">
      <w:pPr>
        <w:spacing w:beforeAutospacing="0" w:line="360" w:lineRule="auto"/>
        <w:ind w:left="734" w:hanging="734" w:hangingChars="306"/>
        <w:rPr>
          <w:rFonts w:ascii="宋体" w:hAnsi="宋体"/>
          <w:color w:val="auto"/>
          <w:sz w:val="24"/>
          <w:szCs w:val="24"/>
          <w:highlight w:val="none"/>
        </w:rPr>
      </w:pPr>
      <w:r>
        <w:rPr>
          <w:rFonts w:hint="eastAsia" w:ascii="宋体" w:hAnsi="宋体"/>
          <w:color w:val="auto"/>
          <w:sz w:val="24"/>
          <w:szCs w:val="24"/>
          <w:highlight w:val="none"/>
        </w:rPr>
        <w:t>4.1.1 评标工作应依据《中华人民共和国政府采购法》以及《评标委员会和评标方法暂行规定》和地方政府关于政府采购的有关规定，遵循“公平、公正、科学、择优”的原则。</w:t>
      </w:r>
    </w:p>
    <w:p w14:paraId="6F8C8E54">
      <w:pPr>
        <w:spacing w:line="360" w:lineRule="auto"/>
        <w:ind w:left="734" w:hanging="734" w:hangingChars="306"/>
        <w:rPr>
          <w:rFonts w:ascii="宋体" w:hAnsi="宋体"/>
          <w:color w:val="auto"/>
          <w:sz w:val="24"/>
          <w:highlight w:val="none"/>
        </w:rPr>
      </w:pPr>
      <w:r>
        <w:rPr>
          <w:rFonts w:hint="eastAsia" w:ascii="宋体" w:hAnsi="宋体"/>
          <w:color w:val="auto"/>
          <w:sz w:val="24"/>
          <w:highlight w:val="none"/>
        </w:rPr>
        <w:t>4.1.2 确定中标人的评标准则是：能够最大限度满足</w:t>
      </w:r>
      <w:r>
        <w:rPr>
          <w:rFonts w:hint="eastAsia" w:ascii="宋体" w:hAnsi="宋体"/>
          <w:color w:val="auto"/>
          <w:sz w:val="24"/>
          <w:highlight w:val="none"/>
          <w:lang w:eastAsia="zh-CN"/>
        </w:rPr>
        <w:t>招标文件</w:t>
      </w:r>
      <w:r>
        <w:rPr>
          <w:rFonts w:hint="eastAsia" w:ascii="宋体" w:hAnsi="宋体"/>
          <w:color w:val="auto"/>
          <w:sz w:val="24"/>
          <w:highlight w:val="none"/>
        </w:rPr>
        <w:t>中规定的各项综合评价标准。评标委员会没有义务必须接受最低报价的投标。</w:t>
      </w:r>
    </w:p>
    <w:p w14:paraId="7026A306">
      <w:pPr>
        <w:spacing w:afterAutospacing="0" w:line="360" w:lineRule="auto"/>
        <w:ind w:left="734" w:leftChars="-1" w:hanging="736" w:hangingChars="307"/>
        <w:rPr>
          <w:rFonts w:ascii="宋体" w:hAnsi="宋体"/>
          <w:color w:val="auto"/>
          <w:sz w:val="24"/>
          <w:highlight w:val="none"/>
        </w:rPr>
      </w:pPr>
      <w:r>
        <w:rPr>
          <w:rFonts w:hint="eastAsia" w:ascii="宋体" w:hAnsi="宋体"/>
          <w:color w:val="auto"/>
          <w:sz w:val="24"/>
          <w:highlight w:val="none"/>
        </w:rPr>
        <w:t>4.1.3 评标委员会有权根据有关规定否决所有投标。</w:t>
      </w:r>
    </w:p>
    <w:p w14:paraId="2F092216">
      <w:pPr>
        <w:pStyle w:val="6"/>
        <w:spacing w:before="0" w:beforeLines="0" w:beforeAutospacing="0" w:after="0" w:afterLines="0" w:afterAutospacing="0"/>
        <w:rPr>
          <w:color w:val="auto"/>
          <w:sz w:val="28"/>
          <w:szCs w:val="28"/>
          <w:highlight w:val="none"/>
        </w:rPr>
      </w:pPr>
      <w:bookmarkStart w:id="384" w:name="_Toc458635603"/>
      <w:bookmarkStart w:id="385" w:name="_Toc439513168"/>
      <w:bookmarkStart w:id="386" w:name="_Toc487044259"/>
      <w:bookmarkStart w:id="387" w:name="_Toc122420764"/>
      <w:bookmarkStart w:id="388" w:name="_Toc10446426"/>
      <w:bookmarkStart w:id="389" w:name="_Toc458980400"/>
      <w:bookmarkStart w:id="390" w:name="_Toc494832094"/>
      <w:bookmarkStart w:id="391" w:name="_Toc9612858"/>
      <w:bookmarkStart w:id="392" w:name="_Toc438722137"/>
      <w:bookmarkStart w:id="393" w:name="_Toc425347669"/>
      <w:bookmarkStart w:id="394" w:name="_Toc11931292"/>
      <w:bookmarkStart w:id="395" w:name="_Toc267904313"/>
      <w:bookmarkStart w:id="396" w:name="_Toc509337058"/>
      <w:bookmarkStart w:id="397" w:name="_Toc9864094"/>
      <w:bookmarkStart w:id="398" w:name="_Toc109467929"/>
      <w:bookmarkStart w:id="399" w:name="_Toc11944599"/>
      <w:bookmarkStart w:id="400" w:name="_Toc498871258"/>
      <w:bookmarkStart w:id="401" w:name="_Toc107460009"/>
      <w:bookmarkStart w:id="402" w:name="_Toc522529812"/>
      <w:bookmarkStart w:id="403" w:name="_Toc524368797"/>
      <w:bookmarkStart w:id="404" w:name="_Toc262564643"/>
      <w:bookmarkStart w:id="405" w:name="_Toc61327435"/>
      <w:bookmarkStart w:id="406" w:name="_Toc107385316"/>
      <w:bookmarkStart w:id="407" w:name="_Toc498899390"/>
      <w:bookmarkStart w:id="408" w:name="_Toc7451"/>
      <w:bookmarkStart w:id="409" w:name="_Toc524517869"/>
      <w:bookmarkStart w:id="410" w:name="_Toc277154673"/>
      <w:bookmarkStart w:id="411" w:name="_Toc486969386"/>
      <w:bookmarkStart w:id="412" w:name="_Toc479325599"/>
      <w:bookmarkStart w:id="413" w:name="_Toc422161999"/>
      <w:bookmarkStart w:id="414" w:name="_Toc470184448"/>
      <w:bookmarkStart w:id="415" w:name="_Toc422865428"/>
      <w:bookmarkStart w:id="416" w:name="_Toc116981030"/>
      <w:bookmarkStart w:id="417" w:name="_Toc116976130"/>
      <w:bookmarkStart w:id="418" w:name="_Toc438513741"/>
      <w:bookmarkStart w:id="419" w:name="_Toc438508604"/>
      <w:bookmarkStart w:id="420" w:name="_Toc272394436"/>
      <w:bookmarkStart w:id="421" w:name="_Toc330545477"/>
      <w:bookmarkStart w:id="422" w:name="_Toc439679275"/>
      <w:bookmarkStart w:id="423" w:name="_Toc514177060"/>
      <w:bookmarkStart w:id="424" w:name="_Toc414510787"/>
      <w:bookmarkStart w:id="425" w:name="_Toc265700488"/>
      <w:bookmarkStart w:id="426" w:name="_Toc116924486"/>
      <w:bookmarkStart w:id="427" w:name="_Toc107383644"/>
      <w:bookmarkStart w:id="428" w:name="_Toc439513452"/>
      <w:bookmarkStart w:id="429" w:name="_Toc477879847"/>
      <w:bookmarkStart w:id="430" w:name="_Toc479340796"/>
      <w:bookmarkStart w:id="431" w:name="_Toc369081825"/>
      <w:bookmarkStart w:id="432" w:name="_Toc15531"/>
      <w:bookmarkStart w:id="433" w:name="_Toc523170349"/>
      <w:bookmarkStart w:id="434" w:name="_Toc5124216"/>
      <w:bookmarkStart w:id="435" w:name="_Toc418023340"/>
      <w:bookmarkStart w:id="436" w:name="_Toc416208493"/>
      <w:bookmarkStart w:id="437" w:name="_Toc358307754"/>
      <w:bookmarkStart w:id="438" w:name="_Toc509337173"/>
      <w:r>
        <w:rPr>
          <w:rFonts w:hint="eastAsia"/>
          <w:color w:val="auto"/>
          <w:sz w:val="28"/>
          <w:szCs w:val="28"/>
          <w:highlight w:val="none"/>
        </w:rPr>
        <w:t>5、评标方法及流程</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644FC06B">
      <w:pPr>
        <w:spacing w:beforeAutospacing="0" w:line="360" w:lineRule="auto"/>
        <w:ind w:left="539"/>
        <w:rPr>
          <w:rFonts w:ascii="宋体" w:hAnsi="宋体"/>
          <w:color w:val="auto"/>
          <w:sz w:val="24"/>
          <w:highlight w:val="none"/>
        </w:rPr>
      </w:pPr>
      <w:r>
        <w:rPr>
          <w:rFonts w:hint="eastAsia" w:ascii="宋体" w:hAnsi="宋体"/>
          <w:color w:val="auto"/>
          <w:sz w:val="24"/>
          <w:highlight w:val="none"/>
        </w:rPr>
        <w:t>本次招标的评标方法采用综合评分方法。具体方法及流程如下：</w:t>
      </w:r>
    </w:p>
    <w:p w14:paraId="7F8C5AD4">
      <w:pPr>
        <w:spacing w:line="360" w:lineRule="auto"/>
        <w:outlineLvl w:val="3"/>
        <w:rPr>
          <w:b/>
          <w:bCs/>
          <w:color w:val="auto"/>
          <w:highlight w:val="none"/>
        </w:rPr>
      </w:pPr>
      <w:bookmarkStart w:id="439" w:name="_Toc61327436"/>
      <w:r>
        <w:rPr>
          <w:rFonts w:hint="eastAsia" w:ascii="宋体" w:hAnsi="宋体"/>
          <w:b/>
          <w:bCs/>
          <w:color w:val="auto"/>
          <w:sz w:val="24"/>
          <w:highlight w:val="none"/>
        </w:rPr>
        <w:t>5.1 开标</w:t>
      </w:r>
      <w:bookmarkEnd w:id="439"/>
    </w:p>
    <w:p w14:paraId="0FE8944A">
      <w:pPr>
        <w:tabs>
          <w:tab w:val="left" w:pos="735"/>
          <w:tab w:val="left" w:pos="1571"/>
        </w:tabs>
        <w:spacing w:line="360" w:lineRule="auto"/>
        <w:ind w:left="734" w:right="-120" w:hanging="734" w:hangingChars="306"/>
        <w:rPr>
          <w:rFonts w:hint="eastAsia" w:ascii="宋体" w:hAnsi="宋体"/>
          <w:color w:val="auto"/>
          <w:sz w:val="24"/>
          <w:highlight w:val="none"/>
        </w:rPr>
      </w:pPr>
      <w:bookmarkStart w:id="440" w:name="_Toc61327437"/>
      <w:r>
        <w:rPr>
          <w:rFonts w:hint="eastAsia" w:ascii="宋体" w:hAnsi="宋体"/>
          <w:color w:val="auto"/>
          <w:sz w:val="24"/>
          <w:highlight w:val="none"/>
        </w:rPr>
        <w:t>5.1.1开标在</w:t>
      </w:r>
      <w:r>
        <w:rPr>
          <w:rFonts w:hint="eastAsia" w:ascii="宋体" w:hAnsi="宋体"/>
          <w:color w:val="auto"/>
          <w:sz w:val="24"/>
          <w:highlight w:val="none"/>
          <w:lang w:eastAsia="zh-CN"/>
        </w:rPr>
        <w:t>招标文件</w:t>
      </w:r>
      <w:r>
        <w:rPr>
          <w:rFonts w:hint="eastAsia" w:ascii="宋体" w:hAnsi="宋体"/>
          <w:color w:val="auto"/>
          <w:sz w:val="24"/>
          <w:highlight w:val="none"/>
        </w:rPr>
        <w:t>确定的提交</w:t>
      </w:r>
      <w:r>
        <w:rPr>
          <w:rFonts w:hint="eastAsia" w:ascii="宋体" w:hAnsi="宋体"/>
          <w:color w:val="auto"/>
          <w:sz w:val="24"/>
          <w:highlight w:val="none"/>
          <w:lang w:eastAsia="zh-CN"/>
        </w:rPr>
        <w:t>响应文件</w:t>
      </w:r>
      <w:r>
        <w:rPr>
          <w:rFonts w:hint="eastAsia" w:ascii="宋体" w:hAnsi="宋体"/>
          <w:color w:val="auto"/>
          <w:sz w:val="24"/>
          <w:highlight w:val="none"/>
        </w:rPr>
        <w:t>截止时间的同一时间公开进行，开标地点为</w:t>
      </w:r>
      <w:r>
        <w:rPr>
          <w:rFonts w:hint="eastAsia" w:ascii="宋体" w:hAnsi="宋体"/>
          <w:color w:val="auto"/>
          <w:sz w:val="24"/>
          <w:highlight w:val="none"/>
          <w:lang w:eastAsia="zh-CN"/>
        </w:rPr>
        <w:t>招标文件</w:t>
      </w:r>
      <w:r>
        <w:rPr>
          <w:rFonts w:hint="eastAsia" w:ascii="宋体" w:hAnsi="宋体"/>
          <w:color w:val="auto"/>
          <w:sz w:val="24"/>
          <w:highlight w:val="none"/>
        </w:rPr>
        <w:t>预先确定的地点。</w:t>
      </w:r>
    </w:p>
    <w:p w14:paraId="26DFD96E">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w:t>
      </w:r>
      <w:r>
        <w:rPr>
          <w:rFonts w:hint="eastAsia" w:ascii="宋体" w:hAnsi="宋体"/>
          <w:color w:val="auto"/>
          <w:sz w:val="24"/>
          <w:highlight w:val="none"/>
          <w:lang w:val="en-US" w:eastAsia="zh-CN"/>
        </w:rPr>
        <w:t>1</w:t>
      </w:r>
      <w:r>
        <w:rPr>
          <w:rFonts w:hint="eastAsia" w:ascii="宋体" w:hAnsi="宋体"/>
          <w:color w:val="auto"/>
          <w:sz w:val="24"/>
          <w:highlight w:val="none"/>
        </w:rPr>
        <w:t>.2.在</w:t>
      </w:r>
      <w:r>
        <w:rPr>
          <w:rFonts w:hint="eastAsia" w:ascii="宋体" w:hAnsi="宋体"/>
          <w:color w:val="auto"/>
          <w:sz w:val="24"/>
          <w:highlight w:val="none"/>
          <w:lang w:eastAsia="zh-CN"/>
        </w:rPr>
        <w:t>招标文件</w:t>
      </w:r>
      <w:r>
        <w:rPr>
          <w:rFonts w:hint="eastAsia" w:ascii="宋体" w:hAnsi="宋体"/>
          <w:color w:val="auto"/>
          <w:sz w:val="24"/>
          <w:highlight w:val="none"/>
        </w:rPr>
        <w:t>要求提交</w:t>
      </w:r>
      <w:r>
        <w:rPr>
          <w:rFonts w:hint="eastAsia" w:ascii="宋体" w:hAnsi="宋体"/>
          <w:color w:val="auto"/>
          <w:sz w:val="24"/>
          <w:highlight w:val="none"/>
          <w:lang w:eastAsia="zh-CN"/>
        </w:rPr>
        <w:t>响应文件</w:t>
      </w:r>
      <w:r>
        <w:rPr>
          <w:rFonts w:hint="eastAsia" w:ascii="宋体" w:hAnsi="宋体"/>
          <w:color w:val="auto"/>
          <w:sz w:val="24"/>
          <w:highlight w:val="none"/>
        </w:rPr>
        <w:t>的截止时间前收到的所有</w:t>
      </w:r>
      <w:r>
        <w:rPr>
          <w:rFonts w:hint="eastAsia" w:ascii="宋体" w:hAnsi="宋体"/>
          <w:color w:val="auto"/>
          <w:sz w:val="24"/>
          <w:highlight w:val="none"/>
          <w:lang w:eastAsia="zh-CN"/>
        </w:rPr>
        <w:t>响应文件</w:t>
      </w:r>
      <w:r>
        <w:rPr>
          <w:rFonts w:hint="eastAsia" w:ascii="宋体" w:hAnsi="宋体"/>
          <w:color w:val="auto"/>
          <w:sz w:val="24"/>
          <w:highlight w:val="none"/>
        </w:rPr>
        <w:t>，开标时须</w:t>
      </w:r>
      <w:r>
        <w:rPr>
          <w:rFonts w:hint="eastAsia" w:ascii="宋体" w:hAnsi="宋体"/>
          <w:color w:val="auto"/>
          <w:sz w:val="24"/>
          <w:highlight w:val="none"/>
          <w:lang w:eastAsia="zh-CN"/>
        </w:rPr>
        <w:t>供应商</w:t>
      </w:r>
      <w:r>
        <w:rPr>
          <w:rFonts w:hint="eastAsia" w:ascii="宋体" w:hAnsi="宋体"/>
          <w:color w:val="auto"/>
          <w:sz w:val="24"/>
          <w:highlight w:val="none"/>
        </w:rPr>
        <w:t>及时解密</w:t>
      </w:r>
      <w:r>
        <w:rPr>
          <w:rFonts w:hint="eastAsia" w:ascii="宋体" w:hAnsi="宋体"/>
          <w:color w:val="auto"/>
          <w:sz w:val="24"/>
          <w:highlight w:val="none"/>
          <w:lang w:eastAsia="zh-CN"/>
        </w:rPr>
        <w:t>响应文件</w:t>
      </w:r>
      <w:r>
        <w:rPr>
          <w:rFonts w:hint="eastAsia" w:ascii="宋体" w:hAnsi="宋体"/>
          <w:color w:val="auto"/>
          <w:sz w:val="24"/>
          <w:highlight w:val="none"/>
        </w:rPr>
        <w:t>。当</w:t>
      </w:r>
      <w:r>
        <w:rPr>
          <w:rFonts w:hint="eastAsia" w:ascii="宋体" w:hAnsi="宋体"/>
          <w:color w:val="auto"/>
          <w:sz w:val="24"/>
          <w:highlight w:val="none"/>
          <w:lang w:eastAsia="zh-CN"/>
        </w:rPr>
        <w:t>供应商</w:t>
      </w:r>
      <w:r>
        <w:rPr>
          <w:rFonts w:hint="eastAsia" w:ascii="宋体" w:hAnsi="宋体"/>
          <w:color w:val="auto"/>
          <w:sz w:val="24"/>
          <w:highlight w:val="none"/>
        </w:rPr>
        <w:t>少于三家时，则招标失败，采购代理机构将重新招标。</w:t>
      </w:r>
    </w:p>
    <w:p w14:paraId="2961D595">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rPr>
        <w:t>5.1.3.参与本次采购活动的各个</w:t>
      </w:r>
      <w:r>
        <w:rPr>
          <w:rFonts w:hint="eastAsia" w:ascii="宋体" w:hAnsi="宋体"/>
          <w:color w:val="auto"/>
          <w:sz w:val="24"/>
          <w:highlight w:val="none"/>
          <w:lang w:eastAsia="zh-CN"/>
        </w:rPr>
        <w:t>供应商</w:t>
      </w:r>
      <w:r>
        <w:rPr>
          <w:rFonts w:hint="eastAsia" w:ascii="宋体" w:hAnsi="宋体"/>
          <w:color w:val="auto"/>
          <w:sz w:val="24"/>
          <w:highlight w:val="none"/>
        </w:rPr>
        <w:t>需提前自行配置好硬件</w:t>
      </w:r>
      <w:r>
        <w:rPr>
          <w:rFonts w:hint="eastAsia" w:ascii="宋体" w:hAnsi="宋体"/>
          <w:color w:val="auto"/>
          <w:sz w:val="24"/>
          <w:highlight w:val="none"/>
          <w:lang w:eastAsia="zh-CN"/>
        </w:rPr>
        <w:t>货物</w:t>
      </w:r>
      <w:r>
        <w:rPr>
          <w:rFonts w:hint="eastAsia" w:ascii="宋体" w:hAnsi="宋体"/>
          <w:color w:val="auto"/>
          <w:sz w:val="24"/>
          <w:highlight w:val="none"/>
        </w:rPr>
        <w:t>（电脑、摄像头、麦克风、谷歌浏览器、政采云招投标系统），登录政采云平台做好准备，并确保</w:t>
      </w:r>
      <w:r>
        <w:rPr>
          <w:rFonts w:hint="eastAsia" w:ascii="宋体" w:hAnsi="宋体"/>
          <w:color w:val="auto"/>
          <w:sz w:val="24"/>
          <w:highlight w:val="none"/>
          <w:lang w:eastAsia="zh-CN"/>
        </w:rPr>
        <w:t>货物</w:t>
      </w:r>
      <w:r>
        <w:rPr>
          <w:rFonts w:hint="eastAsia" w:ascii="宋体" w:hAnsi="宋体"/>
          <w:color w:val="auto"/>
          <w:sz w:val="24"/>
          <w:highlight w:val="none"/>
        </w:rPr>
        <w:t>正常。项目到达开标时间，</w:t>
      </w:r>
      <w:r>
        <w:rPr>
          <w:rFonts w:hint="eastAsia" w:ascii="宋体" w:hAnsi="宋体"/>
          <w:color w:val="auto"/>
          <w:sz w:val="24"/>
          <w:highlight w:val="none"/>
          <w:lang w:eastAsia="zh-CN"/>
        </w:rPr>
        <w:t>供应商</w:t>
      </w:r>
      <w:r>
        <w:rPr>
          <w:rFonts w:hint="eastAsia" w:ascii="宋体" w:hAnsi="宋体"/>
          <w:color w:val="auto"/>
          <w:sz w:val="24"/>
          <w:highlight w:val="none"/>
        </w:rPr>
        <w:t>等待代理机构开启解密标书后，</w:t>
      </w:r>
      <w:r>
        <w:rPr>
          <w:rFonts w:hint="eastAsia" w:ascii="宋体" w:hAnsi="宋体"/>
          <w:color w:val="auto"/>
          <w:sz w:val="24"/>
          <w:highlight w:val="none"/>
          <w:lang w:eastAsia="zh-CN"/>
        </w:rPr>
        <w:t>供应商</w:t>
      </w:r>
      <w:r>
        <w:rPr>
          <w:rFonts w:hint="eastAsia" w:ascii="宋体" w:hAnsi="宋体"/>
          <w:color w:val="auto"/>
          <w:sz w:val="24"/>
          <w:highlight w:val="none"/>
        </w:rPr>
        <w:t>进行标书解密。</w:t>
      </w:r>
    </w:p>
    <w:p w14:paraId="0FB9AD60">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rPr>
        <w:t>5.1.4.开标会主持人介绍参加会议的人员。</w:t>
      </w:r>
    </w:p>
    <w:p w14:paraId="0FF07038">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rPr>
        <w:t>5.1.5.</w:t>
      </w:r>
      <w:r>
        <w:rPr>
          <w:rFonts w:hint="eastAsia" w:ascii="宋体" w:hAnsi="宋体"/>
          <w:color w:val="auto"/>
          <w:sz w:val="24"/>
          <w:highlight w:val="none"/>
          <w:lang w:eastAsia="zh-CN"/>
        </w:rPr>
        <w:t>供应商</w:t>
      </w:r>
      <w:r>
        <w:rPr>
          <w:rFonts w:hint="eastAsia" w:ascii="宋体" w:hAnsi="宋体"/>
          <w:color w:val="auto"/>
          <w:sz w:val="24"/>
          <w:highlight w:val="none"/>
        </w:rPr>
        <w:t>进入项目即自行签到。</w:t>
      </w:r>
    </w:p>
    <w:p w14:paraId="0A590065">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rPr>
        <w:t>5.1.6.开标会主持人宣布</w:t>
      </w:r>
      <w:r>
        <w:rPr>
          <w:rFonts w:hint="eastAsia" w:ascii="宋体" w:hAnsi="宋体"/>
          <w:color w:val="auto"/>
          <w:sz w:val="24"/>
          <w:highlight w:val="none"/>
          <w:lang w:eastAsia="zh-CN"/>
        </w:rPr>
        <w:t>响应文件</w:t>
      </w:r>
      <w:r>
        <w:rPr>
          <w:rFonts w:hint="eastAsia" w:ascii="宋体" w:hAnsi="宋体"/>
          <w:color w:val="auto"/>
          <w:sz w:val="24"/>
          <w:highlight w:val="none"/>
        </w:rPr>
        <w:t>上传时间和地点是否符合</w:t>
      </w:r>
      <w:r>
        <w:rPr>
          <w:rFonts w:hint="eastAsia" w:ascii="宋体" w:hAnsi="宋体"/>
          <w:color w:val="auto"/>
          <w:sz w:val="24"/>
          <w:highlight w:val="none"/>
          <w:lang w:eastAsia="zh-CN"/>
        </w:rPr>
        <w:t>招标文件</w:t>
      </w:r>
      <w:r>
        <w:rPr>
          <w:rFonts w:hint="eastAsia" w:ascii="宋体" w:hAnsi="宋体"/>
          <w:color w:val="auto"/>
          <w:sz w:val="24"/>
          <w:highlight w:val="none"/>
        </w:rPr>
        <w:t>要求。</w:t>
      </w:r>
    </w:p>
    <w:p w14:paraId="0128EEBA">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rPr>
        <w:t>5.1.7.开标会主持人开启报价文件，宣布</w:t>
      </w:r>
      <w:r>
        <w:rPr>
          <w:rFonts w:hint="eastAsia" w:ascii="宋体" w:hAnsi="宋体"/>
          <w:color w:val="auto"/>
          <w:sz w:val="24"/>
          <w:highlight w:val="none"/>
          <w:lang w:eastAsia="zh-CN"/>
        </w:rPr>
        <w:t>响应文件</w:t>
      </w:r>
      <w:r>
        <w:rPr>
          <w:rFonts w:hint="eastAsia" w:ascii="宋体" w:hAnsi="宋体"/>
          <w:color w:val="auto"/>
          <w:sz w:val="24"/>
          <w:highlight w:val="none"/>
        </w:rPr>
        <w:t>中的投标报价、交货期、质量等级等内容。</w:t>
      </w:r>
    </w:p>
    <w:p w14:paraId="6A4E57FE">
      <w:pPr>
        <w:tabs>
          <w:tab w:val="left" w:pos="735"/>
          <w:tab w:val="left" w:pos="1571"/>
        </w:tabs>
        <w:spacing w:line="360" w:lineRule="auto"/>
        <w:ind w:left="734" w:right="-120" w:hanging="734" w:hangingChars="306"/>
        <w:rPr>
          <w:rFonts w:hint="eastAsia" w:ascii="宋体" w:hAnsi="宋体"/>
          <w:color w:val="auto"/>
          <w:sz w:val="24"/>
          <w:highlight w:val="none"/>
        </w:rPr>
      </w:pPr>
      <w:r>
        <w:rPr>
          <w:rFonts w:hint="eastAsia" w:ascii="宋体" w:hAnsi="宋体"/>
          <w:color w:val="auto"/>
          <w:sz w:val="24"/>
          <w:highlight w:val="none"/>
        </w:rPr>
        <w:t>5.1.8.</w:t>
      </w:r>
      <w:r>
        <w:rPr>
          <w:rFonts w:hint="eastAsia" w:ascii="宋体" w:hAnsi="宋体"/>
          <w:color w:val="auto"/>
          <w:sz w:val="24"/>
          <w:highlight w:val="none"/>
          <w:lang w:eastAsia="zh-CN"/>
        </w:rPr>
        <w:t>响应文件</w:t>
      </w:r>
      <w:r>
        <w:rPr>
          <w:rFonts w:hint="eastAsia" w:ascii="宋体" w:hAnsi="宋体"/>
          <w:color w:val="auto"/>
          <w:sz w:val="24"/>
          <w:highlight w:val="none"/>
        </w:rPr>
        <w:t>对开标报价记录表确认无误后</w:t>
      </w:r>
      <w:r>
        <w:rPr>
          <w:rFonts w:hint="eastAsia" w:ascii="宋体" w:hAnsi="宋体"/>
          <w:color w:val="auto"/>
          <w:sz w:val="24"/>
          <w:highlight w:val="none"/>
          <w:lang w:eastAsia="zh-CN"/>
        </w:rPr>
        <w:t>在</w:t>
      </w:r>
      <w:r>
        <w:rPr>
          <w:rFonts w:hint="eastAsia" w:ascii="宋体" w:hAnsi="宋体"/>
          <w:color w:val="auto"/>
          <w:sz w:val="24"/>
          <w:highlight w:val="none"/>
        </w:rPr>
        <w:t>代理机构开启报价签字时段后30分钟内进行CA签字确认，30分钟后关闭报价签字确认，</w:t>
      </w:r>
      <w:r>
        <w:rPr>
          <w:rFonts w:hint="eastAsia" w:ascii="宋体" w:hAnsi="宋体"/>
          <w:color w:val="auto"/>
          <w:sz w:val="24"/>
          <w:highlight w:val="none"/>
          <w:lang w:eastAsia="zh-CN"/>
        </w:rPr>
        <w:t>供应商</w:t>
      </w:r>
      <w:r>
        <w:rPr>
          <w:rFonts w:hint="eastAsia" w:ascii="宋体" w:hAnsi="宋体"/>
          <w:color w:val="auto"/>
          <w:sz w:val="24"/>
          <w:highlight w:val="none"/>
        </w:rPr>
        <w:t>在此期间未进行CA签字确认的视为默认此报价。</w:t>
      </w:r>
    </w:p>
    <w:p w14:paraId="003D2C62">
      <w:pPr>
        <w:tabs>
          <w:tab w:val="left" w:pos="735"/>
          <w:tab w:val="left" w:pos="1571"/>
        </w:tabs>
        <w:spacing w:line="360" w:lineRule="auto"/>
        <w:ind w:left="734" w:right="-120" w:hanging="734" w:hangingChars="306"/>
        <w:rPr>
          <w:color w:val="auto"/>
          <w:highlight w:val="none"/>
        </w:rPr>
      </w:pPr>
      <w:r>
        <w:rPr>
          <w:rFonts w:hint="eastAsia" w:ascii="宋体" w:hAnsi="宋体"/>
          <w:color w:val="auto"/>
          <w:sz w:val="24"/>
          <w:highlight w:val="none"/>
        </w:rPr>
        <w:t>5.1.9.进入评标阶段。</w:t>
      </w:r>
    </w:p>
    <w:p w14:paraId="77630569">
      <w:pPr>
        <w:spacing w:line="360" w:lineRule="auto"/>
        <w:outlineLvl w:val="3"/>
        <w:rPr>
          <w:b/>
          <w:bCs/>
          <w:color w:val="auto"/>
          <w:highlight w:val="none"/>
        </w:rPr>
      </w:pPr>
      <w:r>
        <w:rPr>
          <w:rFonts w:hint="eastAsia" w:ascii="宋体" w:hAnsi="宋体"/>
          <w:b/>
          <w:bCs/>
          <w:color w:val="auto"/>
          <w:sz w:val="24"/>
          <w:highlight w:val="none"/>
        </w:rPr>
        <w:t>5.2评标</w:t>
      </w:r>
      <w:bookmarkEnd w:id="440"/>
    </w:p>
    <w:p w14:paraId="43F6C2BB">
      <w:pPr>
        <w:spacing w:line="360" w:lineRule="auto"/>
        <w:ind w:firstLine="480" w:firstLineChars="200"/>
        <w:rPr>
          <w:rFonts w:hint="eastAsia" w:ascii="宋体" w:hAnsi="宋体"/>
          <w:color w:val="auto"/>
          <w:sz w:val="24"/>
          <w:szCs w:val="22"/>
          <w:highlight w:val="none"/>
        </w:rPr>
      </w:pPr>
      <w:r>
        <w:rPr>
          <w:rFonts w:hint="eastAsia" w:ascii="宋体" w:hAnsi="宋体"/>
          <w:color w:val="auto"/>
          <w:sz w:val="24"/>
          <w:highlight w:val="none"/>
        </w:rPr>
        <w:t>评标</w:t>
      </w:r>
      <w:r>
        <w:rPr>
          <w:rFonts w:hint="eastAsia" w:ascii="宋体" w:hAnsi="宋体"/>
          <w:color w:val="auto"/>
          <w:sz w:val="24"/>
          <w:highlight w:val="none"/>
          <w:lang w:eastAsia="zh-CN"/>
        </w:rPr>
        <w:t>依次</w:t>
      </w:r>
      <w:r>
        <w:rPr>
          <w:rFonts w:hint="eastAsia" w:ascii="宋体" w:hAnsi="宋体"/>
          <w:color w:val="auto"/>
          <w:sz w:val="24"/>
          <w:szCs w:val="22"/>
          <w:highlight w:val="none"/>
        </w:rPr>
        <w:t>进行：</w:t>
      </w:r>
      <w:r>
        <w:rPr>
          <w:rFonts w:hint="eastAsia" w:ascii="宋体" w:hAnsi="宋体"/>
          <w:color w:val="auto"/>
          <w:sz w:val="24"/>
          <w:szCs w:val="22"/>
          <w:highlight w:val="none"/>
          <w:lang w:eastAsia="zh-CN"/>
        </w:rPr>
        <w:t>响应文件</w:t>
      </w:r>
      <w:r>
        <w:rPr>
          <w:rFonts w:hint="eastAsia" w:ascii="宋体" w:hAnsi="宋体"/>
          <w:color w:val="auto"/>
          <w:sz w:val="24"/>
          <w:szCs w:val="22"/>
          <w:highlight w:val="none"/>
        </w:rPr>
        <w:t>资格性审查、符合性审查</w:t>
      </w:r>
      <w:r>
        <w:rPr>
          <w:rFonts w:hint="eastAsia" w:ascii="宋体" w:hAnsi="宋体"/>
          <w:color w:val="auto"/>
          <w:sz w:val="24"/>
          <w:szCs w:val="22"/>
          <w:highlight w:val="none"/>
          <w:lang w:eastAsia="zh-CN"/>
        </w:rPr>
        <w:t>、响应文件</w:t>
      </w:r>
      <w:r>
        <w:rPr>
          <w:rFonts w:hint="eastAsia" w:ascii="宋体" w:hAnsi="宋体"/>
          <w:color w:val="auto"/>
          <w:sz w:val="24"/>
          <w:szCs w:val="22"/>
          <w:highlight w:val="none"/>
        </w:rPr>
        <w:t>详细评审</w:t>
      </w:r>
      <w:r>
        <w:rPr>
          <w:rFonts w:hint="eastAsia" w:ascii="宋体" w:hAnsi="宋体"/>
          <w:color w:val="auto"/>
          <w:sz w:val="24"/>
          <w:szCs w:val="22"/>
          <w:highlight w:val="none"/>
          <w:lang w:eastAsia="zh-CN"/>
        </w:rPr>
        <w:t>（商务与技术评审）和报价评审</w:t>
      </w:r>
      <w:r>
        <w:rPr>
          <w:rFonts w:hint="eastAsia" w:ascii="宋体" w:hAnsi="宋体"/>
          <w:color w:val="auto"/>
          <w:sz w:val="24"/>
          <w:szCs w:val="22"/>
          <w:highlight w:val="none"/>
        </w:rPr>
        <w:t>。</w:t>
      </w:r>
    </w:p>
    <w:p w14:paraId="06880EF0">
      <w:pPr>
        <w:pStyle w:val="3"/>
        <w:spacing w:line="360" w:lineRule="auto"/>
        <w:ind w:firstLine="0" w:firstLineChars="0"/>
        <w:rPr>
          <w:rFonts w:ascii="宋体" w:eastAsia="宋体"/>
          <w:color w:val="auto"/>
          <w:sz w:val="24"/>
          <w:highlight w:val="none"/>
        </w:rPr>
      </w:pPr>
      <w:r>
        <w:rPr>
          <w:rFonts w:hint="eastAsia" w:ascii="宋体" w:eastAsia="宋体"/>
          <w:b/>
          <w:bCs/>
          <w:color w:val="auto"/>
          <w:sz w:val="24"/>
          <w:highlight w:val="none"/>
        </w:rPr>
        <w:t xml:space="preserve">5.2.1 </w:t>
      </w:r>
      <w:r>
        <w:rPr>
          <w:rFonts w:hint="eastAsia" w:ascii="宋体" w:eastAsia="宋体"/>
          <w:b/>
          <w:bCs/>
          <w:color w:val="auto"/>
          <w:sz w:val="24"/>
          <w:highlight w:val="none"/>
          <w:lang w:eastAsia="zh-CN"/>
        </w:rPr>
        <w:t>响应文件</w:t>
      </w:r>
      <w:r>
        <w:rPr>
          <w:rFonts w:hint="eastAsia" w:ascii="宋体" w:eastAsia="宋体"/>
          <w:b/>
          <w:bCs/>
          <w:color w:val="auto"/>
          <w:sz w:val="24"/>
          <w:highlight w:val="none"/>
        </w:rPr>
        <w:t>资格审查（详见资格审查表）</w:t>
      </w:r>
    </w:p>
    <w:p w14:paraId="6BAB117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资格审查：开标结束后，</w:t>
      </w:r>
      <w:r>
        <w:rPr>
          <w:rFonts w:hint="eastAsia" w:ascii="宋体" w:hAnsi="宋体"/>
          <w:color w:val="auto"/>
          <w:sz w:val="24"/>
          <w:highlight w:val="none"/>
          <w:lang w:eastAsia="zh-CN"/>
        </w:rPr>
        <w:t>招标人</w:t>
      </w:r>
      <w:r>
        <w:rPr>
          <w:rFonts w:hint="eastAsia" w:ascii="宋体" w:hAnsi="宋体"/>
          <w:color w:val="auto"/>
          <w:sz w:val="24"/>
          <w:highlight w:val="none"/>
        </w:rPr>
        <w:t>或者采购代理机构应当依法对</w:t>
      </w:r>
      <w:r>
        <w:rPr>
          <w:rFonts w:hint="eastAsia" w:ascii="宋体" w:hAnsi="宋体"/>
          <w:color w:val="auto"/>
          <w:sz w:val="24"/>
          <w:highlight w:val="none"/>
          <w:lang w:eastAsia="zh-CN"/>
        </w:rPr>
        <w:t>供应商</w:t>
      </w:r>
      <w:r>
        <w:rPr>
          <w:rFonts w:hint="eastAsia" w:ascii="宋体" w:hAnsi="宋体"/>
          <w:color w:val="auto"/>
          <w:sz w:val="24"/>
          <w:highlight w:val="none"/>
        </w:rPr>
        <w:t>的资格进行审查，详见《资格审查表》。对初步被认定为资格审查不合格的，应实行及时告知投标当事人，以让其核证、澄清事实。未通过资格审查的</w:t>
      </w:r>
      <w:r>
        <w:rPr>
          <w:rFonts w:hint="eastAsia" w:ascii="宋体" w:hAnsi="宋体"/>
          <w:color w:val="auto"/>
          <w:sz w:val="24"/>
          <w:highlight w:val="none"/>
          <w:lang w:eastAsia="zh-CN"/>
        </w:rPr>
        <w:t>供应商</w:t>
      </w:r>
      <w:r>
        <w:rPr>
          <w:rFonts w:hint="eastAsia" w:ascii="宋体" w:hAnsi="宋体"/>
          <w:color w:val="auto"/>
          <w:sz w:val="24"/>
          <w:highlight w:val="none"/>
        </w:rPr>
        <w:t>，不进入符合性审查。</w:t>
      </w:r>
      <w:bookmarkStart w:id="441" w:name="_Toc107383645"/>
      <w:bookmarkStart w:id="442" w:name="_Toc61327438"/>
    </w:p>
    <w:p w14:paraId="378DB6CC">
      <w:pPr>
        <w:pStyle w:val="3"/>
        <w:spacing w:line="360" w:lineRule="auto"/>
        <w:ind w:firstLine="0" w:firstLineChars="0"/>
        <w:rPr>
          <w:rFonts w:ascii="宋体" w:eastAsia="宋体"/>
          <w:color w:val="auto"/>
          <w:sz w:val="24"/>
          <w:highlight w:val="none"/>
        </w:rPr>
      </w:pPr>
      <w:r>
        <w:rPr>
          <w:rFonts w:hint="eastAsia" w:ascii="宋体" w:eastAsia="宋体"/>
          <w:b/>
          <w:bCs/>
          <w:color w:val="auto"/>
          <w:sz w:val="24"/>
          <w:highlight w:val="none"/>
        </w:rPr>
        <w:t xml:space="preserve">5.2.2 </w:t>
      </w:r>
      <w:bookmarkEnd w:id="441"/>
      <w:bookmarkEnd w:id="442"/>
      <w:r>
        <w:rPr>
          <w:rFonts w:hint="eastAsia" w:ascii="宋体" w:eastAsia="宋体"/>
          <w:b/>
          <w:bCs/>
          <w:color w:val="auto"/>
          <w:sz w:val="24"/>
          <w:highlight w:val="none"/>
          <w:lang w:eastAsia="zh-CN"/>
        </w:rPr>
        <w:t>响应文件</w:t>
      </w:r>
      <w:r>
        <w:rPr>
          <w:rFonts w:hint="eastAsia" w:ascii="宋体" w:eastAsia="宋体"/>
          <w:b/>
          <w:bCs/>
          <w:color w:val="auto"/>
          <w:sz w:val="24"/>
          <w:highlight w:val="none"/>
        </w:rPr>
        <w:t>符合性审查（详见符合性审查表）</w:t>
      </w:r>
    </w:p>
    <w:p w14:paraId="2FCC297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符合性审查：评标委员会应当对符合资格的</w:t>
      </w:r>
      <w:r>
        <w:rPr>
          <w:rFonts w:hint="eastAsia" w:ascii="宋体" w:hAnsi="宋体"/>
          <w:color w:val="auto"/>
          <w:sz w:val="24"/>
          <w:highlight w:val="none"/>
          <w:lang w:eastAsia="zh-CN"/>
        </w:rPr>
        <w:t>供应商</w:t>
      </w:r>
      <w:r>
        <w:rPr>
          <w:rFonts w:hint="eastAsia" w:ascii="宋体" w:hAnsi="宋体"/>
          <w:color w:val="auto"/>
          <w:sz w:val="24"/>
          <w:highlight w:val="none"/>
        </w:rPr>
        <w:t>的</w:t>
      </w:r>
      <w:r>
        <w:rPr>
          <w:rFonts w:hint="eastAsia" w:ascii="宋体" w:hAnsi="宋体"/>
          <w:color w:val="auto"/>
          <w:sz w:val="24"/>
          <w:highlight w:val="none"/>
          <w:lang w:eastAsia="zh-CN"/>
        </w:rPr>
        <w:t>响应文件</w:t>
      </w:r>
      <w:r>
        <w:rPr>
          <w:rFonts w:hint="eastAsia" w:ascii="宋体" w:hAnsi="宋体"/>
          <w:color w:val="auto"/>
          <w:sz w:val="24"/>
          <w:highlight w:val="none"/>
        </w:rPr>
        <w:t>进行符合性审查，详见《符合性审查表》，以确定其是否满足</w:t>
      </w:r>
      <w:r>
        <w:rPr>
          <w:rFonts w:hint="eastAsia" w:ascii="宋体" w:hAnsi="宋体"/>
          <w:color w:val="auto"/>
          <w:sz w:val="24"/>
          <w:highlight w:val="none"/>
          <w:lang w:eastAsia="zh-CN"/>
        </w:rPr>
        <w:t>招标文件</w:t>
      </w:r>
      <w:r>
        <w:rPr>
          <w:rFonts w:hint="eastAsia" w:ascii="宋体" w:hAnsi="宋体"/>
          <w:color w:val="auto"/>
          <w:sz w:val="24"/>
          <w:highlight w:val="none"/>
        </w:rPr>
        <w:t>的实质性要求。评标委员会对初步被认定为符合性审查不合格或无效投标者应实行及时告知，由评标委员会主任或</w:t>
      </w:r>
      <w:r>
        <w:rPr>
          <w:rFonts w:hint="eastAsia" w:ascii="宋体" w:hAnsi="宋体"/>
          <w:color w:val="auto"/>
          <w:sz w:val="24"/>
          <w:highlight w:val="none"/>
          <w:lang w:eastAsia="zh-CN"/>
        </w:rPr>
        <w:t>招标人</w:t>
      </w:r>
      <w:r>
        <w:rPr>
          <w:rFonts w:hint="eastAsia" w:ascii="宋体" w:hAnsi="宋体"/>
          <w:color w:val="auto"/>
          <w:sz w:val="24"/>
          <w:highlight w:val="none"/>
        </w:rPr>
        <w:t>代表将集体意见现场及时告知投标当事人，以让其核证、澄清事实。未通过符合性审查的</w:t>
      </w:r>
      <w:r>
        <w:rPr>
          <w:rFonts w:hint="eastAsia" w:ascii="宋体" w:hAnsi="宋体"/>
          <w:color w:val="auto"/>
          <w:sz w:val="24"/>
          <w:highlight w:val="none"/>
          <w:lang w:eastAsia="zh-CN"/>
        </w:rPr>
        <w:t>供应商</w:t>
      </w:r>
      <w:r>
        <w:rPr>
          <w:rFonts w:hint="eastAsia" w:ascii="宋体" w:hAnsi="宋体"/>
          <w:color w:val="auto"/>
          <w:sz w:val="24"/>
          <w:highlight w:val="none"/>
        </w:rPr>
        <w:t>，不进入技术、商务和价格评审。</w:t>
      </w:r>
    </w:p>
    <w:p w14:paraId="6BF5225E">
      <w:pPr>
        <w:spacing w:line="360" w:lineRule="auto"/>
        <w:ind w:firstLine="482" w:firstLineChars="200"/>
        <w:rPr>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响应文件</w:t>
      </w:r>
      <w:r>
        <w:rPr>
          <w:rFonts w:hint="eastAsia"/>
          <w:b/>
          <w:color w:val="auto"/>
          <w:sz w:val="24"/>
          <w:highlight w:val="none"/>
        </w:rPr>
        <w:t>出现下列情况之一时将被认定为无效投标：</w:t>
      </w:r>
    </w:p>
    <w:p w14:paraId="71D52B98">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1）未按照</w:t>
      </w:r>
      <w:r>
        <w:rPr>
          <w:rFonts w:hint="eastAsia"/>
          <w:color w:val="auto"/>
          <w:sz w:val="24"/>
          <w:highlight w:val="none"/>
          <w:lang w:eastAsia="zh-CN"/>
        </w:rPr>
        <w:t>招标文件</w:t>
      </w:r>
      <w:r>
        <w:rPr>
          <w:rFonts w:hint="eastAsia"/>
          <w:color w:val="auto"/>
          <w:sz w:val="24"/>
          <w:highlight w:val="none"/>
        </w:rPr>
        <w:t>的规定提交投标保证金的；</w:t>
      </w:r>
    </w:p>
    <w:p w14:paraId="30B8DD79">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2）</w:t>
      </w:r>
      <w:r>
        <w:rPr>
          <w:rFonts w:hint="eastAsia"/>
          <w:color w:val="auto"/>
          <w:sz w:val="24"/>
          <w:highlight w:val="none"/>
          <w:lang w:eastAsia="zh-CN"/>
        </w:rPr>
        <w:t>响应文件</w:t>
      </w:r>
      <w:r>
        <w:rPr>
          <w:rFonts w:hint="eastAsia"/>
          <w:color w:val="auto"/>
          <w:sz w:val="24"/>
          <w:highlight w:val="none"/>
        </w:rPr>
        <w:t>未按</w:t>
      </w:r>
      <w:r>
        <w:rPr>
          <w:rFonts w:hint="eastAsia"/>
          <w:color w:val="auto"/>
          <w:sz w:val="24"/>
          <w:highlight w:val="none"/>
          <w:lang w:eastAsia="zh-CN"/>
        </w:rPr>
        <w:t>招标文件</w:t>
      </w:r>
      <w:r>
        <w:rPr>
          <w:rFonts w:hint="eastAsia"/>
          <w:color w:val="auto"/>
          <w:sz w:val="24"/>
          <w:highlight w:val="none"/>
        </w:rPr>
        <w:t>要求签署、盖章的；</w:t>
      </w:r>
    </w:p>
    <w:p w14:paraId="3C2E7C4F">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3）不具备</w:t>
      </w:r>
      <w:r>
        <w:rPr>
          <w:rFonts w:hint="eastAsia"/>
          <w:color w:val="auto"/>
          <w:sz w:val="24"/>
          <w:highlight w:val="none"/>
          <w:lang w:eastAsia="zh-CN"/>
        </w:rPr>
        <w:t>招标文件</w:t>
      </w:r>
      <w:r>
        <w:rPr>
          <w:rFonts w:hint="eastAsia"/>
          <w:color w:val="auto"/>
          <w:sz w:val="24"/>
          <w:highlight w:val="none"/>
        </w:rPr>
        <w:t>中规定的资格要求的；</w:t>
      </w:r>
    </w:p>
    <w:p w14:paraId="336601B3">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4）报价超过</w:t>
      </w:r>
      <w:r>
        <w:rPr>
          <w:rFonts w:hint="eastAsia"/>
          <w:color w:val="auto"/>
          <w:sz w:val="24"/>
          <w:highlight w:val="none"/>
          <w:lang w:eastAsia="zh-CN"/>
        </w:rPr>
        <w:t>招标文件</w:t>
      </w:r>
      <w:r>
        <w:rPr>
          <w:rFonts w:hint="eastAsia"/>
          <w:color w:val="auto"/>
          <w:sz w:val="24"/>
          <w:highlight w:val="none"/>
        </w:rPr>
        <w:t>中规定的预算金额或者最高限价的；</w:t>
      </w:r>
    </w:p>
    <w:p w14:paraId="24066677">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5）</w:t>
      </w:r>
      <w:r>
        <w:rPr>
          <w:rFonts w:hint="eastAsia"/>
          <w:color w:val="auto"/>
          <w:sz w:val="24"/>
          <w:highlight w:val="none"/>
          <w:lang w:eastAsia="zh-CN"/>
        </w:rPr>
        <w:t>响应文件</w:t>
      </w:r>
      <w:r>
        <w:rPr>
          <w:rFonts w:hint="eastAsia"/>
          <w:color w:val="auto"/>
          <w:sz w:val="24"/>
          <w:highlight w:val="none"/>
        </w:rPr>
        <w:t>含有</w:t>
      </w:r>
      <w:r>
        <w:rPr>
          <w:rFonts w:hint="eastAsia"/>
          <w:color w:val="auto"/>
          <w:sz w:val="24"/>
          <w:highlight w:val="none"/>
          <w:lang w:eastAsia="zh-CN"/>
        </w:rPr>
        <w:t>招标人</w:t>
      </w:r>
      <w:r>
        <w:rPr>
          <w:rFonts w:hint="eastAsia"/>
          <w:color w:val="auto"/>
          <w:sz w:val="24"/>
          <w:highlight w:val="none"/>
        </w:rPr>
        <w:t>不能接受的附加条件的；</w:t>
      </w:r>
    </w:p>
    <w:p w14:paraId="559B9E01">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6）法律、法规和</w:t>
      </w:r>
      <w:r>
        <w:rPr>
          <w:rFonts w:hint="eastAsia"/>
          <w:color w:val="auto"/>
          <w:sz w:val="24"/>
          <w:highlight w:val="none"/>
          <w:lang w:eastAsia="zh-CN"/>
        </w:rPr>
        <w:t>招标文件</w:t>
      </w:r>
      <w:r>
        <w:rPr>
          <w:rFonts w:hint="eastAsia"/>
          <w:color w:val="auto"/>
          <w:sz w:val="24"/>
          <w:highlight w:val="none"/>
        </w:rPr>
        <w:t>规定的其他无效情形。</w:t>
      </w:r>
    </w:p>
    <w:p w14:paraId="580E8E9B">
      <w:pPr>
        <w:spacing w:line="360" w:lineRule="auto"/>
        <w:ind w:firstLine="482" w:firstLineChars="200"/>
        <w:rPr>
          <w:rFonts w:ascii="宋体" w:hAnsi="宋体" w:cs="宋体"/>
          <w:b/>
          <w:color w:val="auto"/>
          <w:sz w:val="24"/>
          <w:highlight w:val="none"/>
        </w:rPr>
      </w:pPr>
      <w:r>
        <w:rPr>
          <w:rFonts w:hint="eastAsia" w:ascii="宋体" w:hAnsi="宋体"/>
          <w:b/>
          <w:bCs/>
          <w:color w:val="auto"/>
          <w:sz w:val="24"/>
          <w:highlight w:val="none"/>
        </w:rPr>
        <w:t>（2）</w:t>
      </w:r>
      <w:r>
        <w:rPr>
          <w:rFonts w:hint="eastAsia" w:ascii="宋体" w:hAnsi="宋体" w:cs="宋体"/>
          <w:b/>
          <w:color w:val="auto"/>
          <w:sz w:val="24"/>
          <w:highlight w:val="none"/>
        </w:rPr>
        <w:t>评标过程中</w:t>
      </w:r>
      <w:r>
        <w:rPr>
          <w:rFonts w:hint="eastAsia" w:ascii="宋体" w:hAnsi="宋体" w:cs="宋体"/>
          <w:b/>
          <w:color w:val="auto"/>
          <w:sz w:val="24"/>
          <w:highlight w:val="none"/>
          <w:lang w:eastAsia="zh-CN"/>
        </w:rPr>
        <w:t>响应文件</w:t>
      </w:r>
      <w:r>
        <w:rPr>
          <w:rFonts w:hint="eastAsia" w:ascii="宋体" w:hAnsi="宋体"/>
          <w:b/>
          <w:color w:val="auto"/>
          <w:sz w:val="24"/>
          <w:highlight w:val="none"/>
        </w:rPr>
        <w:t>出现下列情况之一时，对该</w:t>
      </w:r>
      <w:r>
        <w:rPr>
          <w:rFonts w:hint="eastAsia" w:ascii="宋体" w:hAnsi="宋体"/>
          <w:b/>
          <w:color w:val="auto"/>
          <w:sz w:val="24"/>
          <w:highlight w:val="none"/>
          <w:lang w:eastAsia="zh-CN"/>
        </w:rPr>
        <w:t>响应文件</w:t>
      </w:r>
      <w:r>
        <w:rPr>
          <w:rFonts w:hint="eastAsia" w:ascii="宋体" w:hAnsi="宋体"/>
          <w:b/>
          <w:color w:val="auto"/>
          <w:sz w:val="24"/>
          <w:highlight w:val="none"/>
        </w:rPr>
        <w:t>作废标处理：</w:t>
      </w:r>
    </w:p>
    <w:p w14:paraId="523F0C2D">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1）</w:t>
      </w:r>
      <w:r>
        <w:rPr>
          <w:rFonts w:hint="eastAsia"/>
          <w:color w:val="auto"/>
          <w:sz w:val="24"/>
          <w:highlight w:val="none"/>
          <w:lang w:eastAsia="zh-CN"/>
        </w:rPr>
        <w:t>供应商</w:t>
      </w:r>
      <w:r>
        <w:rPr>
          <w:color w:val="auto"/>
          <w:sz w:val="24"/>
          <w:highlight w:val="none"/>
        </w:rPr>
        <w:t>以他人的名义投标、串通投标、以行贿手段谋取中标或者以其他弄虚作假方式投标的</w:t>
      </w:r>
      <w:r>
        <w:rPr>
          <w:rFonts w:hint="eastAsia"/>
          <w:color w:val="auto"/>
          <w:sz w:val="24"/>
          <w:highlight w:val="none"/>
        </w:rPr>
        <w:t>；具体情形如下：</w:t>
      </w:r>
    </w:p>
    <w:p w14:paraId="4A75E2CE">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a）不同</w:t>
      </w:r>
      <w:r>
        <w:rPr>
          <w:rFonts w:hint="eastAsia"/>
          <w:color w:val="auto"/>
          <w:sz w:val="24"/>
          <w:highlight w:val="none"/>
          <w:lang w:eastAsia="zh-CN"/>
        </w:rPr>
        <w:t>供应商</w:t>
      </w:r>
      <w:r>
        <w:rPr>
          <w:rFonts w:hint="eastAsia"/>
          <w:color w:val="auto"/>
          <w:sz w:val="24"/>
          <w:highlight w:val="none"/>
        </w:rPr>
        <w:t>的</w:t>
      </w:r>
      <w:r>
        <w:rPr>
          <w:rFonts w:hint="eastAsia"/>
          <w:color w:val="auto"/>
          <w:sz w:val="24"/>
          <w:highlight w:val="none"/>
          <w:lang w:eastAsia="zh-CN"/>
        </w:rPr>
        <w:t>响应文件</w:t>
      </w:r>
      <w:r>
        <w:rPr>
          <w:rFonts w:hint="eastAsia"/>
          <w:color w:val="auto"/>
          <w:sz w:val="24"/>
          <w:highlight w:val="none"/>
        </w:rPr>
        <w:t>由同一单位或者个人编制；</w:t>
      </w:r>
    </w:p>
    <w:p w14:paraId="38C2DB76">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b）不同</w:t>
      </w:r>
      <w:r>
        <w:rPr>
          <w:rFonts w:hint="eastAsia"/>
          <w:color w:val="auto"/>
          <w:sz w:val="24"/>
          <w:highlight w:val="none"/>
          <w:lang w:eastAsia="zh-CN"/>
        </w:rPr>
        <w:t>供应商</w:t>
      </w:r>
      <w:r>
        <w:rPr>
          <w:rFonts w:hint="eastAsia"/>
          <w:color w:val="auto"/>
          <w:sz w:val="24"/>
          <w:highlight w:val="none"/>
        </w:rPr>
        <w:t>委托同一单位或者个人办理投标事宜；</w:t>
      </w:r>
    </w:p>
    <w:p w14:paraId="22965203">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c）不同</w:t>
      </w:r>
      <w:r>
        <w:rPr>
          <w:rFonts w:hint="eastAsia"/>
          <w:color w:val="auto"/>
          <w:sz w:val="24"/>
          <w:highlight w:val="none"/>
          <w:lang w:eastAsia="zh-CN"/>
        </w:rPr>
        <w:t>供应商</w:t>
      </w:r>
      <w:r>
        <w:rPr>
          <w:rFonts w:hint="eastAsia"/>
          <w:color w:val="auto"/>
          <w:sz w:val="24"/>
          <w:highlight w:val="none"/>
        </w:rPr>
        <w:t>的</w:t>
      </w:r>
      <w:r>
        <w:rPr>
          <w:rFonts w:hint="eastAsia"/>
          <w:color w:val="auto"/>
          <w:sz w:val="24"/>
          <w:highlight w:val="none"/>
          <w:lang w:eastAsia="zh-CN"/>
        </w:rPr>
        <w:t>响应文件</w:t>
      </w:r>
      <w:r>
        <w:rPr>
          <w:rFonts w:hint="eastAsia"/>
          <w:color w:val="auto"/>
          <w:sz w:val="24"/>
          <w:highlight w:val="none"/>
        </w:rPr>
        <w:t>载明的项目管理成员或者联系人员为同一人；</w:t>
      </w:r>
    </w:p>
    <w:p w14:paraId="1E1FB3D6">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d）不同</w:t>
      </w:r>
      <w:r>
        <w:rPr>
          <w:rFonts w:hint="eastAsia"/>
          <w:color w:val="auto"/>
          <w:sz w:val="24"/>
          <w:highlight w:val="none"/>
          <w:lang w:eastAsia="zh-CN"/>
        </w:rPr>
        <w:t>供应商</w:t>
      </w:r>
      <w:r>
        <w:rPr>
          <w:rFonts w:hint="eastAsia"/>
          <w:color w:val="auto"/>
          <w:sz w:val="24"/>
          <w:highlight w:val="none"/>
        </w:rPr>
        <w:t>的</w:t>
      </w:r>
      <w:r>
        <w:rPr>
          <w:rFonts w:hint="eastAsia"/>
          <w:color w:val="auto"/>
          <w:sz w:val="24"/>
          <w:highlight w:val="none"/>
          <w:lang w:eastAsia="zh-CN"/>
        </w:rPr>
        <w:t>响应文件</w:t>
      </w:r>
      <w:r>
        <w:rPr>
          <w:rFonts w:hint="eastAsia"/>
          <w:color w:val="auto"/>
          <w:sz w:val="24"/>
          <w:highlight w:val="none"/>
        </w:rPr>
        <w:t>异常一致或者投标报价呈规律性差异；</w:t>
      </w:r>
    </w:p>
    <w:p w14:paraId="231F878D">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color w:val="auto"/>
          <w:sz w:val="24"/>
          <w:highlight w:val="none"/>
        </w:rPr>
      </w:pPr>
      <w:r>
        <w:rPr>
          <w:rFonts w:hint="eastAsia"/>
          <w:color w:val="auto"/>
          <w:sz w:val="24"/>
          <w:highlight w:val="none"/>
        </w:rPr>
        <w:t>e）不同</w:t>
      </w:r>
      <w:r>
        <w:rPr>
          <w:rFonts w:hint="eastAsia"/>
          <w:color w:val="auto"/>
          <w:sz w:val="24"/>
          <w:highlight w:val="none"/>
          <w:lang w:eastAsia="zh-CN"/>
        </w:rPr>
        <w:t>供应商</w:t>
      </w:r>
      <w:r>
        <w:rPr>
          <w:rFonts w:hint="eastAsia"/>
          <w:color w:val="auto"/>
          <w:sz w:val="24"/>
          <w:highlight w:val="none"/>
        </w:rPr>
        <w:t>的</w:t>
      </w:r>
      <w:r>
        <w:rPr>
          <w:rFonts w:hint="eastAsia"/>
          <w:color w:val="auto"/>
          <w:sz w:val="24"/>
          <w:highlight w:val="none"/>
          <w:lang w:eastAsia="zh-CN"/>
        </w:rPr>
        <w:t>响应文件</w:t>
      </w:r>
      <w:r>
        <w:rPr>
          <w:rFonts w:hint="eastAsia"/>
          <w:color w:val="auto"/>
          <w:sz w:val="24"/>
          <w:highlight w:val="none"/>
        </w:rPr>
        <w:t>相互混装；</w:t>
      </w:r>
    </w:p>
    <w:p w14:paraId="44172DDD">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color w:val="auto"/>
          <w:sz w:val="24"/>
          <w:highlight w:val="none"/>
        </w:rPr>
      </w:pPr>
      <w:r>
        <w:rPr>
          <w:rFonts w:hint="eastAsia"/>
          <w:color w:val="auto"/>
          <w:sz w:val="24"/>
          <w:highlight w:val="none"/>
        </w:rPr>
        <w:t>f）不同</w:t>
      </w:r>
      <w:r>
        <w:rPr>
          <w:rFonts w:hint="eastAsia"/>
          <w:color w:val="auto"/>
          <w:sz w:val="24"/>
          <w:highlight w:val="none"/>
          <w:lang w:eastAsia="zh-CN"/>
        </w:rPr>
        <w:t>供应商</w:t>
      </w:r>
      <w:r>
        <w:rPr>
          <w:rFonts w:hint="eastAsia"/>
          <w:color w:val="auto"/>
          <w:sz w:val="24"/>
          <w:highlight w:val="none"/>
        </w:rPr>
        <w:t>的投标保证金从同一单位或者个人的账户转出。</w:t>
      </w:r>
    </w:p>
    <w:p w14:paraId="6DC55A8C">
      <w:pPr>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ascii="宋体" w:hAnsi="宋体"/>
          <w:color w:val="auto"/>
          <w:sz w:val="24"/>
          <w:highlight w:val="none"/>
        </w:rPr>
      </w:pPr>
      <w:r>
        <w:rPr>
          <w:rFonts w:hint="eastAsia"/>
          <w:color w:val="auto"/>
          <w:sz w:val="24"/>
          <w:highlight w:val="none"/>
        </w:rPr>
        <w:t>2）</w:t>
      </w:r>
      <w:r>
        <w:rPr>
          <w:rFonts w:hint="eastAsia" w:ascii="宋体" w:hAnsi="宋体"/>
          <w:color w:val="auto"/>
          <w:sz w:val="24"/>
          <w:highlight w:val="none"/>
        </w:rPr>
        <w:t>评标委员会认为</w:t>
      </w:r>
      <w:r>
        <w:rPr>
          <w:rFonts w:hint="eastAsia" w:ascii="宋体" w:hAnsi="宋体"/>
          <w:color w:val="auto"/>
          <w:sz w:val="24"/>
          <w:highlight w:val="none"/>
          <w:lang w:eastAsia="zh-CN"/>
        </w:rPr>
        <w:t>供应商</w:t>
      </w:r>
      <w:r>
        <w:rPr>
          <w:rFonts w:hint="eastAsia" w:ascii="宋体" w:hAnsi="宋体"/>
          <w:color w:val="auto"/>
          <w:sz w:val="24"/>
          <w:highlight w:val="none"/>
        </w:rPr>
        <w:t>的报价明显低于其他通过符合性审查</w:t>
      </w:r>
      <w:r>
        <w:rPr>
          <w:rFonts w:hint="eastAsia" w:ascii="宋体" w:hAnsi="宋体"/>
          <w:color w:val="auto"/>
          <w:sz w:val="24"/>
          <w:highlight w:val="none"/>
          <w:lang w:eastAsia="zh-CN"/>
        </w:rPr>
        <w:t>供应商</w:t>
      </w:r>
      <w:r>
        <w:rPr>
          <w:rFonts w:hint="eastAsia" w:ascii="宋体" w:hAnsi="宋体"/>
          <w:color w:val="auto"/>
          <w:sz w:val="24"/>
          <w:highlight w:val="none"/>
        </w:rPr>
        <w:t>的报价，有可能影响产品质量或者不能诚信履约的，应当要求其在评标现场合理的时间内提供书面说明，必要时提交相关证明材料；</w:t>
      </w:r>
      <w:r>
        <w:rPr>
          <w:rFonts w:hint="eastAsia" w:ascii="宋体" w:hAnsi="宋体"/>
          <w:color w:val="auto"/>
          <w:sz w:val="24"/>
          <w:highlight w:val="none"/>
          <w:lang w:eastAsia="zh-CN"/>
        </w:rPr>
        <w:t>供应商</w:t>
      </w:r>
      <w:r>
        <w:rPr>
          <w:rFonts w:hint="eastAsia" w:ascii="宋体" w:hAnsi="宋体"/>
          <w:color w:val="auto"/>
          <w:sz w:val="24"/>
          <w:highlight w:val="none"/>
        </w:rPr>
        <w:t>不能证明其报价合理性的，评标委员会应当将其作为无效投标处理。</w:t>
      </w:r>
    </w:p>
    <w:p w14:paraId="04DACB60">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（3）</w:t>
      </w:r>
      <w:r>
        <w:rPr>
          <w:rFonts w:ascii="宋体" w:hAnsi="宋体"/>
          <w:b/>
          <w:color w:val="auto"/>
          <w:sz w:val="24"/>
          <w:highlight w:val="none"/>
        </w:rPr>
        <w:t>其他无效情形</w:t>
      </w:r>
      <w:r>
        <w:rPr>
          <w:rFonts w:hint="eastAsia" w:ascii="宋体" w:hAnsi="宋体"/>
          <w:b/>
          <w:color w:val="auto"/>
          <w:sz w:val="24"/>
          <w:highlight w:val="none"/>
        </w:rPr>
        <w:t>：</w:t>
      </w:r>
    </w:p>
    <w:p w14:paraId="1062EFF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未满足项目的</w:t>
      </w:r>
      <w:r>
        <w:rPr>
          <w:rFonts w:hint="eastAsia" w:ascii="宋体" w:hAnsi="宋体"/>
          <w:color w:val="auto"/>
          <w:sz w:val="24"/>
          <w:highlight w:val="none"/>
        </w:rPr>
        <w:t>交货期</w:t>
      </w:r>
      <w:r>
        <w:rPr>
          <w:rFonts w:ascii="宋体" w:hAnsi="宋体"/>
          <w:color w:val="auto"/>
          <w:sz w:val="24"/>
          <w:highlight w:val="none"/>
        </w:rPr>
        <w:t>要求</w:t>
      </w:r>
      <w:r>
        <w:rPr>
          <w:rFonts w:hint="eastAsia" w:ascii="宋体" w:hAnsi="宋体"/>
          <w:color w:val="auto"/>
          <w:sz w:val="24"/>
          <w:highlight w:val="none"/>
        </w:rPr>
        <w:t>；</w:t>
      </w:r>
    </w:p>
    <w:p w14:paraId="2E8F7256">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投标有效期未为90天</w:t>
      </w:r>
      <w:r>
        <w:rPr>
          <w:rFonts w:hint="eastAsia" w:ascii="宋体" w:hAnsi="宋体"/>
          <w:color w:val="auto"/>
          <w:sz w:val="24"/>
          <w:highlight w:val="none"/>
        </w:rPr>
        <w:t>；</w:t>
      </w:r>
    </w:p>
    <w:p w14:paraId="7CE3B9AF">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未按规定提交法定代表人证明书/法人授权委托书</w:t>
      </w:r>
      <w:r>
        <w:rPr>
          <w:rFonts w:hint="eastAsia" w:ascii="宋体" w:hAnsi="宋体"/>
          <w:color w:val="auto"/>
          <w:sz w:val="24"/>
          <w:highlight w:val="none"/>
        </w:rPr>
        <w:t>。</w:t>
      </w:r>
    </w:p>
    <w:p w14:paraId="3D3AA979">
      <w:pPr>
        <w:spacing w:line="360" w:lineRule="auto"/>
        <w:ind w:firstLine="480" w:firstLineChars="200"/>
        <w:rPr>
          <w:color w:val="auto"/>
          <w:highlight w:val="none"/>
        </w:rPr>
      </w:pPr>
      <w:r>
        <w:rPr>
          <w:rFonts w:hint="eastAsia" w:ascii="宋体" w:hAnsi="宋体" w:cs="宋体"/>
          <w:color w:val="auto"/>
          <w:sz w:val="24"/>
          <w:highlight w:val="none"/>
        </w:rPr>
        <w:t>被评委会确定为</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无效标或</w:t>
      </w:r>
      <w:r>
        <w:rPr>
          <w:rFonts w:hint="eastAsia" w:ascii="宋体" w:hAnsi="宋体"/>
          <w:color w:val="auto"/>
          <w:sz w:val="24"/>
          <w:highlight w:val="none"/>
        </w:rPr>
        <w:t>废标</w:t>
      </w:r>
      <w:r>
        <w:rPr>
          <w:rFonts w:hint="eastAsia" w:ascii="宋体" w:hAnsi="宋体" w:cs="宋体"/>
          <w:color w:val="auto"/>
          <w:sz w:val="24"/>
          <w:highlight w:val="none"/>
        </w:rPr>
        <w:t>的，其</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即被视为不能通过符合性评审，不得参与技术、商务和价格的评审。</w:t>
      </w:r>
    </w:p>
    <w:p w14:paraId="60988843">
      <w:pPr>
        <w:pStyle w:val="3"/>
        <w:spacing w:line="360" w:lineRule="auto"/>
        <w:ind w:firstLine="0" w:firstLineChars="0"/>
        <w:rPr>
          <w:rFonts w:ascii="宋体"/>
          <w:b/>
          <w:bCs/>
          <w:color w:val="auto"/>
          <w:sz w:val="24"/>
          <w:highlight w:val="none"/>
        </w:rPr>
      </w:pPr>
      <w:bookmarkStart w:id="443" w:name="_Toc61327439"/>
      <w:bookmarkStart w:id="444" w:name="_Toc107383646"/>
      <w:r>
        <w:rPr>
          <w:rFonts w:hint="eastAsia" w:ascii="宋体" w:eastAsia="宋体"/>
          <w:b/>
          <w:bCs/>
          <w:color w:val="auto"/>
          <w:sz w:val="24"/>
          <w:highlight w:val="none"/>
        </w:rPr>
        <w:t xml:space="preserve">5.2.3 </w:t>
      </w:r>
      <w:r>
        <w:rPr>
          <w:rFonts w:hint="eastAsia" w:ascii="宋体" w:eastAsia="宋体"/>
          <w:b/>
          <w:bCs/>
          <w:color w:val="auto"/>
          <w:sz w:val="24"/>
          <w:highlight w:val="none"/>
          <w:lang w:eastAsia="zh-CN"/>
        </w:rPr>
        <w:t>响应文件</w:t>
      </w:r>
      <w:r>
        <w:rPr>
          <w:rFonts w:hint="eastAsia" w:ascii="宋体" w:eastAsia="宋体"/>
          <w:b/>
          <w:bCs/>
          <w:color w:val="auto"/>
          <w:sz w:val="24"/>
          <w:highlight w:val="none"/>
        </w:rPr>
        <w:t>详细评审</w:t>
      </w:r>
      <w:bookmarkEnd w:id="443"/>
      <w:bookmarkEnd w:id="444"/>
      <w:r>
        <w:rPr>
          <w:rFonts w:hint="eastAsia" w:ascii="宋体" w:eastAsia="宋体"/>
          <w:b/>
          <w:bCs/>
          <w:color w:val="auto"/>
          <w:sz w:val="24"/>
          <w:highlight w:val="none"/>
        </w:rPr>
        <w:t>（详见技术、商务、价格评审表）</w:t>
      </w:r>
    </w:p>
    <w:p w14:paraId="2C2F595B">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在资格、符合性审查时，未能通过资格、符合性审查被认定为无效投标，只有全部满足《资格审查表》和《符合性审查表》所列各项要求的投标才是有效投标，只要不满足资格、符合性条款中所列各项要求之一的，将被认定为无效投标。</w:t>
      </w:r>
    </w:p>
    <w:p w14:paraId="27047259">
      <w:pPr>
        <w:spacing w:line="360" w:lineRule="auto"/>
        <w:ind w:firstLine="480" w:firstLineChars="200"/>
        <w:rPr>
          <w:rFonts w:ascii="宋体" w:hAnsi="宋体"/>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当通过</w:t>
      </w:r>
      <w:r>
        <w:rPr>
          <w:rFonts w:hint="eastAsia" w:ascii="宋体" w:hAnsi="宋体"/>
          <w:bCs/>
          <w:color w:val="auto"/>
          <w:sz w:val="24"/>
          <w:highlight w:val="none"/>
        </w:rPr>
        <w:t>资格、符合性审查</w:t>
      </w:r>
      <w:r>
        <w:rPr>
          <w:rFonts w:hint="eastAsia" w:ascii="宋体" w:hAnsi="宋体"/>
          <w:color w:val="auto"/>
          <w:sz w:val="24"/>
          <w:highlight w:val="none"/>
        </w:rPr>
        <w:t>的</w:t>
      </w:r>
      <w:r>
        <w:rPr>
          <w:rFonts w:hint="eastAsia" w:ascii="宋体" w:hAnsi="宋体"/>
          <w:color w:val="auto"/>
          <w:sz w:val="24"/>
          <w:highlight w:val="none"/>
          <w:lang w:eastAsia="zh-CN"/>
        </w:rPr>
        <w:t>供应商</w:t>
      </w:r>
      <w:r>
        <w:rPr>
          <w:rFonts w:hint="eastAsia" w:ascii="宋体" w:hAnsi="宋体"/>
          <w:color w:val="auto"/>
          <w:sz w:val="24"/>
          <w:highlight w:val="none"/>
        </w:rPr>
        <w:t>多于或等于三家时，按照评标程序的规定和依据评分标准以及各项权重、符合性审查结果，各位评委单独就每个</w:t>
      </w:r>
      <w:r>
        <w:rPr>
          <w:rFonts w:hint="eastAsia" w:ascii="宋体" w:hAnsi="宋体"/>
          <w:color w:val="auto"/>
          <w:sz w:val="24"/>
          <w:highlight w:val="none"/>
          <w:lang w:eastAsia="zh-CN"/>
        </w:rPr>
        <w:t>供应商</w:t>
      </w:r>
      <w:r>
        <w:rPr>
          <w:rFonts w:hint="eastAsia" w:ascii="宋体" w:hAnsi="宋体"/>
          <w:color w:val="auto"/>
          <w:sz w:val="24"/>
          <w:highlight w:val="none"/>
        </w:rPr>
        <w:t>的技术、商务、价格进行评审和比较，评出其技术评分、商务评分和价格评分。将技术得分、商务得分和价格得分相加得出总分，并按总分高低排出名次。评标委员会依据得分情况推荐出第一中标</w:t>
      </w:r>
      <w:r>
        <w:rPr>
          <w:rFonts w:hint="eastAsia" w:ascii="宋体" w:hAnsi="宋体"/>
          <w:color w:val="auto"/>
          <w:sz w:val="24"/>
          <w:highlight w:val="none"/>
          <w:lang w:eastAsia="zh-CN"/>
        </w:rPr>
        <w:t>候选人</w:t>
      </w:r>
      <w:r>
        <w:rPr>
          <w:rFonts w:hint="eastAsia" w:ascii="宋体" w:hAnsi="宋体"/>
          <w:color w:val="auto"/>
          <w:sz w:val="24"/>
          <w:highlight w:val="none"/>
        </w:rPr>
        <w:t>一名，第二中标</w:t>
      </w:r>
      <w:r>
        <w:rPr>
          <w:rFonts w:hint="eastAsia" w:ascii="宋体" w:hAnsi="宋体"/>
          <w:color w:val="auto"/>
          <w:sz w:val="24"/>
          <w:highlight w:val="none"/>
          <w:lang w:eastAsia="zh-CN"/>
        </w:rPr>
        <w:t>候选人</w:t>
      </w:r>
      <w:r>
        <w:rPr>
          <w:rFonts w:hint="eastAsia" w:ascii="宋体" w:hAnsi="宋体"/>
          <w:color w:val="auto"/>
          <w:sz w:val="24"/>
          <w:highlight w:val="none"/>
        </w:rPr>
        <w:t>一名。</w:t>
      </w:r>
    </w:p>
    <w:p w14:paraId="6D9EAECF">
      <w:pPr>
        <w:spacing w:line="360" w:lineRule="auto"/>
        <w:ind w:right="-195" w:rightChars="-93" w:firstLine="480" w:firstLineChars="200"/>
        <w:rPr>
          <w:rFonts w:hint="eastAsia" w:ascii="宋体" w:hAnsi="宋体"/>
          <w:color w:val="auto"/>
          <w:sz w:val="24"/>
          <w:highlight w:val="none"/>
        </w:rPr>
      </w:pPr>
      <w:r>
        <w:rPr>
          <w:rFonts w:hint="eastAsia" w:ascii="宋体" w:hAnsi="宋体"/>
          <w:bCs/>
          <w:color w:val="auto"/>
          <w:sz w:val="24"/>
          <w:highlight w:val="none"/>
        </w:rPr>
        <w:t>（3）</w:t>
      </w:r>
      <w:r>
        <w:rPr>
          <w:rFonts w:hint="eastAsia" w:ascii="宋体" w:hAnsi="宋体"/>
          <w:color w:val="auto"/>
          <w:sz w:val="24"/>
          <w:highlight w:val="none"/>
        </w:rPr>
        <w:t>当通过</w:t>
      </w:r>
      <w:r>
        <w:rPr>
          <w:rFonts w:hint="eastAsia" w:ascii="宋体" w:hAnsi="宋体"/>
          <w:bCs/>
          <w:color w:val="auto"/>
          <w:sz w:val="24"/>
          <w:highlight w:val="none"/>
        </w:rPr>
        <w:t>资格、符合性审查</w:t>
      </w:r>
      <w:r>
        <w:rPr>
          <w:rFonts w:hint="eastAsia" w:ascii="宋体" w:hAnsi="宋体"/>
          <w:color w:val="auto"/>
          <w:sz w:val="24"/>
          <w:highlight w:val="none"/>
        </w:rPr>
        <w:t>的</w:t>
      </w:r>
      <w:r>
        <w:rPr>
          <w:rFonts w:hint="eastAsia" w:ascii="宋体" w:hAnsi="宋体"/>
          <w:color w:val="auto"/>
          <w:sz w:val="24"/>
          <w:highlight w:val="none"/>
          <w:lang w:eastAsia="zh-CN"/>
        </w:rPr>
        <w:t>供应商</w:t>
      </w:r>
      <w:r>
        <w:rPr>
          <w:rFonts w:hint="eastAsia" w:ascii="宋体" w:hAnsi="宋体"/>
          <w:color w:val="auto"/>
          <w:sz w:val="24"/>
          <w:highlight w:val="none"/>
        </w:rPr>
        <w:t>少于三家时，评标委员会否决所有</w:t>
      </w:r>
      <w:r>
        <w:rPr>
          <w:rFonts w:hint="eastAsia" w:ascii="宋体" w:hAnsi="宋体"/>
          <w:color w:val="auto"/>
          <w:sz w:val="24"/>
          <w:highlight w:val="none"/>
          <w:lang w:eastAsia="zh-CN"/>
        </w:rPr>
        <w:t>响应文件</w:t>
      </w:r>
      <w:r>
        <w:rPr>
          <w:rFonts w:hint="eastAsia" w:ascii="宋体" w:hAnsi="宋体"/>
          <w:color w:val="auto"/>
          <w:sz w:val="24"/>
          <w:highlight w:val="none"/>
        </w:rPr>
        <w:t>，提请依法重新招标。</w:t>
      </w:r>
    </w:p>
    <w:p w14:paraId="6C0E8B78">
      <w:pPr>
        <w:spacing w:afterAutospacing="0" w:line="360" w:lineRule="auto"/>
        <w:ind w:left="-2" w:leftChars="-1"/>
        <w:rPr>
          <w:rFonts w:ascii="宋体" w:hAnsi="宋体"/>
          <w:color w:val="auto"/>
          <w:sz w:val="24"/>
          <w:highlight w:val="none"/>
        </w:rPr>
      </w:pPr>
      <w:r>
        <w:rPr>
          <w:rFonts w:hint="eastAsia" w:ascii="宋体"/>
          <w:b/>
          <w:bCs/>
          <w:color w:val="auto"/>
          <w:sz w:val="24"/>
          <w:highlight w:val="none"/>
        </w:rPr>
        <w:t>5.2.4使用综合评分法的采购项目，提供相同品牌产品且通过资格审查、符合性审查的不同</w:t>
      </w:r>
      <w:r>
        <w:rPr>
          <w:rFonts w:hint="eastAsia" w:ascii="宋体"/>
          <w:b/>
          <w:bCs/>
          <w:color w:val="auto"/>
          <w:sz w:val="24"/>
          <w:highlight w:val="none"/>
          <w:lang w:eastAsia="zh-CN"/>
        </w:rPr>
        <w:t>供应商</w:t>
      </w:r>
      <w:r>
        <w:rPr>
          <w:rFonts w:hint="eastAsia" w:ascii="宋体"/>
          <w:b/>
          <w:bCs/>
          <w:color w:val="auto"/>
          <w:sz w:val="24"/>
          <w:highlight w:val="none"/>
        </w:rPr>
        <w:t>参加同一合同项下投标的，按一家</w:t>
      </w:r>
      <w:r>
        <w:rPr>
          <w:rFonts w:hint="eastAsia" w:ascii="宋体"/>
          <w:b/>
          <w:bCs/>
          <w:color w:val="auto"/>
          <w:sz w:val="24"/>
          <w:highlight w:val="none"/>
          <w:lang w:eastAsia="zh-CN"/>
        </w:rPr>
        <w:t>供应商</w:t>
      </w:r>
      <w:r>
        <w:rPr>
          <w:rFonts w:hint="eastAsia" w:ascii="宋体"/>
          <w:b/>
          <w:bCs/>
          <w:color w:val="auto"/>
          <w:sz w:val="24"/>
          <w:highlight w:val="none"/>
        </w:rPr>
        <w:t>计算，评审后得分最高的同品牌</w:t>
      </w:r>
      <w:r>
        <w:rPr>
          <w:rFonts w:hint="eastAsia" w:ascii="宋体"/>
          <w:b/>
          <w:bCs/>
          <w:color w:val="auto"/>
          <w:sz w:val="24"/>
          <w:highlight w:val="none"/>
          <w:lang w:eastAsia="zh-CN"/>
        </w:rPr>
        <w:t>供应商</w:t>
      </w:r>
      <w:r>
        <w:rPr>
          <w:rFonts w:hint="eastAsia" w:ascii="宋体"/>
          <w:b/>
          <w:bCs/>
          <w:color w:val="auto"/>
          <w:sz w:val="24"/>
          <w:highlight w:val="none"/>
        </w:rPr>
        <w:t>获得中标人推荐资格；评审得分相同的，由</w:t>
      </w:r>
      <w:r>
        <w:rPr>
          <w:rFonts w:hint="eastAsia" w:ascii="宋体"/>
          <w:b/>
          <w:bCs/>
          <w:color w:val="auto"/>
          <w:sz w:val="24"/>
          <w:highlight w:val="none"/>
          <w:lang w:eastAsia="zh-CN"/>
        </w:rPr>
        <w:t>招标人</w:t>
      </w:r>
      <w:r>
        <w:rPr>
          <w:rFonts w:hint="eastAsia" w:ascii="宋体"/>
          <w:b/>
          <w:bCs/>
          <w:color w:val="auto"/>
          <w:sz w:val="24"/>
          <w:highlight w:val="none"/>
        </w:rPr>
        <w:t>或者</w:t>
      </w:r>
      <w:r>
        <w:rPr>
          <w:rFonts w:hint="eastAsia" w:ascii="宋体"/>
          <w:b/>
          <w:bCs/>
          <w:color w:val="auto"/>
          <w:sz w:val="24"/>
          <w:highlight w:val="none"/>
          <w:lang w:eastAsia="zh-CN"/>
        </w:rPr>
        <w:t>招标人</w:t>
      </w:r>
      <w:r>
        <w:rPr>
          <w:rFonts w:hint="eastAsia" w:ascii="宋体"/>
          <w:b/>
          <w:bCs/>
          <w:color w:val="auto"/>
          <w:sz w:val="24"/>
          <w:highlight w:val="none"/>
        </w:rPr>
        <w:t>委托评标委员会按照招标文件规定的方式确定一个</w:t>
      </w:r>
      <w:r>
        <w:rPr>
          <w:rFonts w:hint="eastAsia" w:ascii="宋体"/>
          <w:b/>
          <w:bCs/>
          <w:color w:val="auto"/>
          <w:sz w:val="24"/>
          <w:highlight w:val="none"/>
          <w:lang w:eastAsia="zh-CN"/>
        </w:rPr>
        <w:t>供应商</w:t>
      </w:r>
      <w:r>
        <w:rPr>
          <w:rFonts w:hint="eastAsia" w:ascii="宋体"/>
          <w:b/>
          <w:bCs/>
          <w:color w:val="auto"/>
          <w:sz w:val="24"/>
          <w:highlight w:val="none"/>
        </w:rPr>
        <w:t>获得中标人推荐资格，招标文件未规定的采取随机抽取方式确定，其他同品牌</w:t>
      </w:r>
      <w:r>
        <w:rPr>
          <w:rFonts w:hint="eastAsia" w:ascii="宋体"/>
          <w:b/>
          <w:bCs/>
          <w:color w:val="auto"/>
          <w:sz w:val="24"/>
          <w:highlight w:val="none"/>
          <w:lang w:eastAsia="zh-CN"/>
        </w:rPr>
        <w:t>供应商</w:t>
      </w:r>
      <w:r>
        <w:rPr>
          <w:rFonts w:hint="eastAsia" w:ascii="宋体"/>
          <w:b/>
          <w:bCs/>
          <w:color w:val="auto"/>
          <w:sz w:val="24"/>
          <w:highlight w:val="none"/>
        </w:rPr>
        <w:t>不作为中标候选人。</w:t>
      </w:r>
    </w:p>
    <w:p w14:paraId="65CAADB2">
      <w:pPr>
        <w:pStyle w:val="6"/>
        <w:spacing w:before="0" w:beforeLines="0" w:beforeAutospacing="0" w:after="0" w:afterLines="0" w:afterAutospacing="0" w:line="360" w:lineRule="auto"/>
        <w:rPr>
          <w:color w:val="auto"/>
          <w:sz w:val="28"/>
          <w:szCs w:val="28"/>
          <w:highlight w:val="none"/>
        </w:rPr>
      </w:pPr>
      <w:bookmarkStart w:id="445" w:name="_Toc358307755"/>
      <w:bookmarkStart w:id="446" w:name="_Toc438508605"/>
      <w:bookmarkStart w:id="447" w:name="_Toc439679276"/>
      <w:bookmarkStart w:id="448" w:name="_Toc330545478"/>
      <w:bookmarkStart w:id="449" w:name="_Toc425347670"/>
      <w:bookmarkStart w:id="450" w:name="_Toc509337059"/>
      <w:bookmarkStart w:id="451" w:name="_Toc524517870"/>
      <w:bookmarkStart w:id="452" w:name="_Toc486969387"/>
      <w:bookmarkStart w:id="453" w:name="_Toc479340797"/>
      <w:bookmarkStart w:id="454" w:name="_Toc10446427"/>
      <w:bookmarkStart w:id="455" w:name="_Toc9864095"/>
      <w:bookmarkStart w:id="456" w:name="_Toc418023341"/>
      <w:bookmarkStart w:id="457" w:name="_Toc470184449"/>
      <w:bookmarkStart w:id="458" w:name="_Toc522529813"/>
      <w:bookmarkStart w:id="459" w:name="_Toc5124217"/>
      <w:bookmarkStart w:id="460" w:name="_Toc479325600"/>
      <w:bookmarkStart w:id="461" w:name="_Toc523170350"/>
      <w:bookmarkStart w:id="462" w:name="_Toc416208494"/>
      <w:bookmarkStart w:id="463" w:name="_Toc422865429"/>
      <w:bookmarkStart w:id="464" w:name="_Toc438722138"/>
      <w:bookmarkStart w:id="465" w:name="_Toc116924487"/>
      <w:bookmarkStart w:id="466" w:name="_Toc509337174"/>
      <w:bookmarkStart w:id="467" w:name="_Toc477879848"/>
      <w:bookmarkStart w:id="468" w:name="_Toc23008"/>
      <w:bookmarkStart w:id="469" w:name="_Toc414510788"/>
      <w:bookmarkStart w:id="470" w:name="_Toc458980401"/>
      <w:bookmarkStart w:id="471" w:name="_Toc277154674"/>
      <w:bookmarkStart w:id="472" w:name="_Toc439513169"/>
      <w:bookmarkStart w:id="473" w:name="_Toc11931293"/>
      <w:bookmarkStart w:id="474" w:name="_Toc524368798"/>
      <w:bookmarkStart w:id="475" w:name="_Toc262564644"/>
      <w:bookmarkStart w:id="476" w:name="_Toc494832095"/>
      <w:bookmarkStart w:id="477" w:name="_Toc369081826"/>
      <w:bookmarkStart w:id="478" w:name="_Toc498871259"/>
      <w:bookmarkStart w:id="479" w:name="_Toc107383647"/>
      <w:bookmarkStart w:id="480" w:name="_Toc439513453"/>
      <w:bookmarkStart w:id="481" w:name="_Toc107460010"/>
      <w:bookmarkStart w:id="482" w:name="_Toc267904314"/>
      <w:bookmarkStart w:id="483" w:name="_Toc422162000"/>
      <w:bookmarkStart w:id="484" w:name="_Toc265700489"/>
      <w:bookmarkStart w:id="485" w:name="_Toc116976131"/>
      <w:bookmarkStart w:id="486" w:name="_Toc458635604"/>
      <w:bookmarkStart w:id="487" w:name="_Toc122420765"/>
      <w:bookmarkStart w:id="488" w:name="_Toc498899391"/>
      <w:bookmarkStart w:id="489" w:name="_Toc26049"/>
      <w:bookmarkStart w:id="490" w:name="_Toc9612859"/>
      <w:bookmarkStart w:id="491" w:name="_Toc107385317"/>
      <w:bookmarkStart w:id="492" w:name="_Toc514177061"/>
      <w:bookmarkStart w:id="493" w:name="_Toc116981031"/>
      <w:bookmarkStart w:id="494" w:name="_Toc109467930"/>
      <w:bookmarkStart w:id="495" w:name="_Toc61327440"/>
      <w:bookmarkStart w:id="496" w:name="_Toc272394437"/>
      <w:bookmarkStart w:id="497" w:name="_Toc487044260"/>
      <w:bookmarkStart w:id="498" w:name="_Toc11944600"/>
      <w:bookmarkStart w:id="499" w:name="_Toc438513742"/>
      <w:r>
        <w:rPr>
          <w:rFonts w:hint="eastAsia"/>
          <w:color w:val="auto"/>
          <w:sz w:val="28"/>
          <w:szCs w:val="28"/>
          <w:highlight w:val="none"/>
        </w:rPr>
        <w:t>6、评分标准和权重</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42771DC1">
      <w:pPr>
        <w:spacing w:beforeAutospacing="0" w:line="360" w:lineRule="auto"/>
        <w:rPr>
          <w:b/>
          <w:bCs/>
          <w:color w:val="auto"/>
          <w:highlight w:val="none"/>
        </w:rPr>
      </w:pPr>
      <w:bookmarkStart w:id="500" w:name="_Toc61327441"/>
      <w:r>
        <w:rPr>
          <w:rFonts w:hint="eastAsia" w:ascii="宋体" w:hAnsi="宋体"/>
          <w:b/>
          <w:bCs/>
          <w:color w:val="auto"/>
          <w:sz w:val="24"/>
          <w:highlight w:val="none"/>
        </w:rPr>
        <w:t>6.1 评分标准</w:t>
      </w:r>
      <w:bookmarkEnd w:id="500"/>
    </w:p>
    <w:p w14:paraId="0A088846">
      <w:pPr>
        <w:spacing w:line="360" w:lineRule="auto"/>
        <w:ind w:firstLine="482" w:firstLineChars="200"/>
        <w:jc w:val="left"/>
        <w:rPr>
          <w:rFonts w:ascii="宋体" w:hAnsi="宋体"/>
          <w:b/>
          <w:color w:val="auto"/>
          <w:sz w:val="24"/>
          <w:highlight w:val="none"/>
        </w:rPr>
      </w:pPr>
      <w:r>
        <w:rPr>
          <w:rFonts w:hint="eastAsia" w:ascii="宋体" w:hAnsi="宋体"/>
          <w:b/>
          <w:color w:val="auto"/>
          <w:sz w:val="24"/>
          <w:highlight w:val="none"/>
        </w:rPr>
        <w:t>评委对</w:t>
      </w:r>
      <w:r>
        <w:rPr>
          <w:rFonts w:hint="eastAsia" w:ascii="宋体" w:hAnsi="宋体"/>
          <w:b/>
          <w:color w:val="auto"/>
          <w:sz w:val="24"/>
          <w:highlight w:val="none"/>
          <w:lang w:eastAsia="zh-CN"/>
        </w:rPr>
        <w:t>响应文件</w:t>
      </w:r>
      <w:r>
        <w:rPr>
          <w:rFonts w:hint="eastAsia" w:ascii="宋体" w:hAnsi="宋体"/>
          <w:b/>
          <w:color w:val="auto"/>
          <w:sz w:val="24"/>
          <w:highlight w:val="none"/>
        </w:rPr>
        <w:t>的技术及商务响应情况进行评分。</w:t>
      </w:r>
    </w:p>
    <w:p w14:paraId="18C2598A">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技术、商务、价格评分应分别考虑下列因素：</w:t>
      </w:r>
    </w:p>
    <w:p w14:paraId="1847385E">
      <w:pPr>
        <w:spacing w:line="360" w:lineRule="auto"/>
        <w:outlineLvl w:val="3"/>
        <w:rPr>
          <w:rFonts w:ascii="宋体" w:hAnsi="宋体"/>
          <w:b/>
          <w:bCs/>
          <w:color w:val="auto"/>
          <w:sz w:val="24"/>
          <w:highlight w:val="none"/>
        </w:rPr>
      </w:pPr>
      <w:r>
        <w:rPr>
          <w:rFonts w:hint="eastAsia" w:ascii="宋体" w:hAnsi="宋体"/>
          <w:b/>
          <w:bCs/>
          <w:color w:val="auto"/>
          <w:sz w:val="24"/>
          <w:highlight w:val="none"/>
        </w:rPr>
        <w:t>6.1.1 技术、</w:t>
      </w:r>
      <w:r>
        <w:rPr>
          <w:rFonts w:hint="eastAsia" w:ascii="宋体" w:hAnsi="宋体"/>
          <w:b/>
          <w:color w:val="auto"/>
          <w:sz w:val="24"/>
          <w:highlight w:val="none"/>
        </w:rPr>
        <w:t>商务</w:t>
      </w:r>
      <w:r>
        <w:rPr>
          <w:rFonts w:hint="eastAsia" w:ascii="宋体" w:hAnsi="宋体"/>
          <w:b/>
          <w:bCs/>
          <w:color w:val="auto"/>
          <w:sz w:val="24"/>
          <w:highlight w:val="none"/>
        </w:rPr>
        <w:t>评审</w:t>
      </w:r>
    </w:p>
    <w:p w14:paraId="2BC26E62">
      <w:pPr>
        <w:spacing w:line="360" w:lineRule="auto"/>
        <w:ind w:firstLine="480" w:firstLineChars="200"/>
        <w:jc w:val="left"/>
        <w:rPr>
          <w:rFonts w:ascii="宋体" w:hAnsi="宋体"/>
          <w:color w:val="auto"/>
          <w:sz w:val="24"/>
          <w:highlight w:val="none"/>
        </w:rPr>
      </w:pPr>
      <w:r>
        <w:rPr>
          <w:rFonts w:ascii="宋体" w:hAnsi="宋体"/>
          <w:color w:val="auto"/>
          <w:sz w:val="24"/>
          <w:highlight w:val="none"/>
        </w:rPr>
        <w:t>评审内容详见技术</w:t>
      </w:r>
      <w:r>
        <w:rPr>
          <w:rFonts w:hint="eastAsia" w:ascii="宋体" w:hAnsi="宋体"/>
          <w:color w:val="auto"/>
          <w:sz w:val="24"/>
          <w:highlight w:val="none"/>
        </w:rPr>
        <w:t>、</w:t>
      </w:r>
      <w:r>
        <w:rPr>
          <w:rFonts w:ascii="宋体" w:hAnsi="宋体"/>
          <w:color w:val="auto"/>
          <w:sz w:val="24"/>
          <w:highlight w:val="none"/>
        </w:rPr>
        <w:t>商务响应评审表，技术、商务得分为各评委评分的算术平均值（四舍五入保留两位小数）。</w:t>
      </w:r>
    </w:p>
    <w:p w14:paraId="38EA61E3">
      <w:pPr>
        <w:spacing w:line="360" w:lineRule="auto"/>
        <w:outlineLvl w:val="3"/>
        <w:rPr>
          <w:rFonts w:ascii="宋体" w:hAnsi="宋体"/>
          <w:b/>
          <w:bCs/>
          <w:color w:val="auto"/>
          <w:sz w:val="24"/>
          <w:highlight w:val="none"/>
        </w:rPr>
      </w:pPr>
      <w:bookmarkStart w:id="501" w:name="_Toc61327442"/>
      <w:r>
        <w:rPr>
          <w:rFonts w:hint="eastAsia" w:ascii="宋体" w:hAnsi="宋体"/>
          <w:b/>
          <w:bCs/>
          <w:color w:val="auto"/>
          <w:sz w:val="24"/>
          <w:highlight w:val="none"/>
        </w:rPr>
        <w:t>6.1.2 价格的开启、核准和评分</w:t>
      </w:r>
    </w:p>
    <w:p w14:paraId="5B75DF72">
      <w:pPr>
        <w:numPr>
          <w:ilvl w:val="0"/>
          <w:numId w:val="0"/>
        </w:numPr>
        <w:tabs>
          <w:tab w:val="left" w:pos="930"/>
        </w:tabs>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1</w:t>
      </w:r>
      <w:r>
        <w:rPr>
          <w:rFonts w:hint="eastAsia" w:ascii="宋体" w:hAnsi="宋体"/>
          <w:bCs/>
          <w:color w:val="auto"/>
          <w:sz w:val="24"/>
          <w:highlight w:val="none"/>
          <w:lang w:eastAsia="zh-CN"/>
        </w:rPr>
        <w:t>）</w:t>
      </w:r>
      <w:r>
        <w:rPr>
          <w:rFonts w:hint="eastAsia" w:ascii="宋体" w:hAnsi="宋体"/>
          <w:bCs/>
          <w:color w:val="auto"/>
          <w:sz w:val="24"/>
          <w:highlight w:val="none"/>
        </w:rPr>
        <w:t>评标委员会详细分析、核准价格表，检查其是否存在计算上或累加上的算术错误，修正错误的原则如下：</w:t>
      </w:r>
    </w:p>
    <w:p w14:paraId="36B5816A">
      <w:pPr>
        <w:keepNext w:val="0"/>
        <w:keepLines w:val="0"/>
        <w:pageBreakBefore w:val="0"/>
        <w:widowControl w:val="0"/>
        <w:numPr>
          <w:ilvl w:val="1"/>
          <w:numId w:val="10"/>
        </w:numPr>
        <w:tabs>
          <w:tab w:val="left" w:pos="1050"/>
        </w:tabs>
        <w:kinsoku/>
        <w:wordWrap/>
        <w:overflowPunct/>
        <w:topLinePunct w:val="0"/>
        <w:autoSpaceDE/>
        <w:autoSpaceDN/>
        <w:bidi w:val="0"/>
        <w:adjustRightInd/>
        <w:snapToGrid/>
        <w:spacing w:line="360" w:lineRule="auto"/>
        <w:ind w:left="629" w:firstLine="0"/>
        <w:textAlignment w:val="auto"/>
        <w:rPr>
          <w:rFonts w:ascii="宋体" w:hAnsi="宋体"/>
          <w:bCs/>
          <w:color w:val="auto"/>
          <w:sz w:val="24"/>
          <w:highlight w:val="none"/>
        </w:rPr>
      </w:pPr>
      <w:r>
        <w:rPr>
          <w:rFonts w:hint="eastAsia" w:ascii="宋体" w:hAnsi="宋体"/>
          <w:bCs/>
          <w:color w:val="auto"/>
          <w:sz w:val="24"/>
          <w:highlight w:val="none"/>
          <w:lang w:eastAsia="zh-CN"/>
        </w:rPr>
        <w:t>响应文件</w:t>
      </w:r>
      <w:r>
        <w:rPr>
          <w:rFonts w:hint="eastAsia" w:ascii="宋体" w:hAnsi="宋体"/>
          <w:bCs/>
          <w:color w:val="auto"/>
          <w:sz w:val="24"/>
          <w:highlight w:val="none"/>
        </w:rPr>
        <w:t>中开标一览表（报价表）内容与</w:t>
      </w:r>
      <w:r>
        <w:rPr>
          <w:rFonts w:hint="eastAsia" w:ascii="宋体" w:hAnsi="宋体"/>
          <w:bCs/>
          <w:color w:val="auto"/>
          <w:sz w:val="24"/>
          <w:highlight w:val="none"/>
          <w:lang w:eastAsia="zh-CN"/>
        </w:rPr>
        <w:t>响应文件</w:t>
      </w:r>
      <w:r>
        <w:rPr>
          <w:rFonts w:hint="eastAsia" w:ascii="宋体" w:hAnsi="宋体"/>
          <w:bCs/>
          <w:color w:val="auto"/>
          <w:sz w:val="24"/>
          <w:highlight w:val="none"/>
        </w:rPr>
        <w:t>中相应内容不一致的，以开标一览表（报价表）为准；</w:t>
      </w:r>
    </w:p>
    <w:p w14:paraId="1A0BBC87">
      <w:pPr>
        <w:keepNext w:val="0"/>
        <w:keepLines w:val="0"/>
        <w:pageBreakBefore w:val="0"/>
        <w:widowControl w:val="0"/>
        <w:numPr>
          <w:ilvl w:val="1"/>
          <w:numId w:val="10"/>
        </w:numPr>
        <w:tabs>
          <w:tab w:val="left" w:pos="1050"/>
        </w:tabs>
        <w:kinsoku/>
        <w:wordWrap/>
        <w:overflowPunct/>
        <w:topLinePunct w:val="0"/>
        <w:autoSpaceDE/>
        <w:autoSpaceDN/>
        <w:bidi w:val="0"/>
        <w:adjustRightInd/>
        <w:snapToGrid/>
        <w:spacing w:line="360" w:lineRule="auto"/>
        <w:ind w:left="629" w:firstLine="0"/>
        <w:textAlignment w:val="auto"/>
        <w:rPr>
          <w:rFonts w:ascii="宋体" w:hAnsi="宋体"/>
          <w:bCs/>
          <w:color w:val="auto"/>
          <w:sz w:val="24"/>
          <w:highlight w:val="none"/>
        </w:rPr>
      </w:pPr>
      <w:r>
        <w:rPr>
          <w:rFonts w:hint="eastAsia" w:ascii="宋体" w:hAnsi="宋体"/>
          <w:bCs/>
          <w:color w:val="auto"/>
          <w:sz w:val="24"/>
          <w:highlight w:val="none"/>
        </w:rPr>
        <w:t>大写金额和小写金额不一致的，以大写金额为准；</w:t>
      </w:r>
    </w:p>
    <w:p w14:paraId="6A95BB80">
      <w:pPr>
        <w:keepNext w:val="0"/>
        <w:keepLines w:val="0"/>
        <w:pageBreakBefore w:val="0"/>
        <w:widowControl w:val="0"/>
        <w:numPr>
          <w:ilvl w:val="1"/>
          <w:numId w:val="10"/>
        </w:numPr>
        <w:tabs>
          <w:tab w:val="left" w:pos="1050"/>
        </w:tabs>
        <w:kinsoku/>
        <w:wordWrap/>
        <w:overflowPunct/>
        <w:topLinePunct w:val="0"/>
        <w:autoSpaceDE/>
        <w:autoSpaceDN/>
        <w:bidi w:val="0"/>
        <w:adjustRightInd/>
        <w:snapToGrid/>
        <w:spacing w:line="360" w:lineRule="auto"/>
        <w:ind w:left="629" w:firstLine="0"/>
        <w:textAlignment w:val="auto"/>
        <w:rPr>
          <w:rFonts w:hint="eastAsia" w:ascii="宋体" w:hAnsi="宋体"/>
          <w:bCs/>
          <w:color w:val="auto"/>
          <w:sz w:val="24"/>
          <w:highlight w:val="none"/>
        </w:rPr>
      </w:pPr>
      <w:r>
        <w:rPr>
          <w:rFonts w:hint="eastAsia" w:ascii="宋体" w:hAnsi="宋体"/>
          <w:bCs/>
          <w:color w:val="auto"/>
          <w:sz w:val="24"/>
          <w:highlight w:val="none"/>
        </w:rPr>
        <w:t>单价金额小数点或者百分比有明显错位的，以开标一览表的总价为准，并修改单价；</w:t>
      </w:r>
    </w:p>
    <w:p w14:paraId="4751E861">
      <w:pPr>
        <w:keepNext w:val="0"/>
        <w:keepLines w:val="0"/>
        <w:pageBreakBefore w:val="0"/>
        <w:widowControl w:val="0"/>
        <w:numPr>
          <w:ilvl w:val="1"/>
          <w:numId w:val="10"/>
        </w:numPr>
        <w:tabs>
          <w:tab w:val="left" w:pos="1050"/>
        </w:tabs>
        <w:kinsoku/>
        <w:wordWrap/>
        <w:overflowPunct/>
        <w:topLinePunct w:val="0"/>
        <w:autoSpaceDE/>
        <w:autoSpaceDN/>
        <w:bidi w:val="0"/>
        <w:adjustRightInd/>
        <w:snapToGrid/>
        <w:spacing w:line="360" w:lineRule="auto"/>
        <w:ind w:left="629" w:firstLine="0"/>
        <w:textAlignment w:val="auto"/>
        <w:rPr>
          <w:rFonts w:hint="eastAsia" w:ascii="宋体" w:hAnsi="宋体"/>
          <w:bCs/>
          <w:color w:val="auto"/>
          <w:sz w:val="24"/>
          <w:highlight w:val="none"/>
        </w:rPr>
      </w:pPr>
      <w:r>
        <w:rPr>
          <w:rFonts w:hint="eastAsia" w:ascii="宋体" w:hAnsi="宋体"/>
          <w:bCs/>
          <w:color w:val="auto"/>
          <w:sz w:val="24"/>
          <w:highlight w:val="none"/>
        </w:rPr>
        <w:t>总价金额与按单价汇总金额不一致的，以单价金额计算结果为准；</w:t>
      </w:r>
    </w:p>
    <w:p w14:paraId="4D8F8E76">
      <w:pPr>
        <w:tabs>
          <w:tab w:val="left" w:pos="1050"/>
        </w:tabs>
        <w:spacing w:line="360" w:lineRule="auto"/>
        <w:ind w:firstLine="480" w:firstLineChars="200"/>
        <w:rPr>
          <w:rFonts w:ascii="宋体" w:hAnsi="宋体"/>
          <w:bCs/>
          <w:color w:val="auto"/>
          <w:sz w:val="24"/>
          <w:highlight w:val="none"/>
        </w:rPr>
      </w:pPr>
      <w:r>
        <w:rPr>
          <w:rFonts w:hint="eastAsia" w:ascii="宋体" w:hAnsi="宋体" w:cs="宋体"/>
          <w:color w:val="auto"/>
          <w:kern w:val="0"/>
          <w:sz w:val="24"/>
          <w:szCs w:val="24"/>
          <w:highlight w:val="none"/>
        </w:rPr>
        <w:t>同时出现两种以上不一致的，按照前款规定的顺序修正。修正后的报价按照</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的澄清、说明或者补正应当采用书面形式，并加盖公章，或者由法定代表人或其授权的代表签字。</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的澄清、说明或者补正不得超出</w:t>
      </w: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的范围或者改变</w:t>
      </w: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的实质性内容。经</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确认后产生约束力，</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不确认的，其投标无效。</w:t>
      </w:r>
    </w:p>
    <w:p w14:paraId="4ADAD98B">
      <w:pPr>
        <w:keepNext w:val="0"/>
        <w:keepLines w:val="0"/>
        <w:pageBreakBefore w:val="0"/>
        <w:widowControl w:val="0"/>
        <w:numPr>
          <w:ilvl w:val="0"/>
          <w:numId w:val="0"/>
        </w:numPr>
        <w:tabs>
          <w:tab w:val="left" w:pos="930"/>
        </w:tabs>
        <w:kinsoku/>
        <w:wordWrap/>
        <w:overflowPunct/>
        <w:topLinePunct w:val="0"/>
        <w:autoSpaceDE/>
        <w:autoSpaceDN/>
        <w:bidi w:val="0"/>
        <w:adjustRightInd/>
        <w:snapToGrid/>
        <w:spacing w:line="360" w:lineRule="auto"/>
        <w:ind w:left="0" w:leftChars="0" w:firstLine="480" w:firstLineChars="200"/>
        <w:textAlignment w:val="auto"/>
        <w:rPr>
          <w:rFonts w:ascii="宋体" w:hAnsi="宋体"/>
          <w:bCs/>
          <w:color w:val="auto"/>
          <w:sz w:val="24"/>
          <w:highlight w:val="none"/>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2</w:t>
      </w:r>
      <w:r>
        <w:rPr>
          <w:rFonts w:hint="eastAsia" w:ascii="宋体" w:hAnsi="宋体"/>
          <w:bCs/>
          <w:color w:val="auto"/>
          <w:sz w:val="24"/>
          <w:highlight w:val="none"/>
          <w:lang w:eastAsia="zh-CN"/>
        </w:rPr>
        <w:t>）</w:t>
      </w:r>
      <w:r>
        <w:rPr>
          <w:rFonts w:hint="eastAsia" w:ascii="宋体" w:hAnsi="宋体"/>
          <w:bCs/>
          <w:color w:val="auto"/>
          <w:sz w:val="24"/>
          <w:highlight w:val="none"/>
        </w:rPr>
        <w:t>供货范围（包括</w:t>
      </w:r>
      <w:r>
        <w:rPr>
          <w:rFonts w:hint="eastAsia" w:ascii="宋体" w:hAnsi="宋体"/>
          <w:bCs/>
          <w:color w:val="auto"/>
          <w:sz w:val="24"/>
          <w:highlight w:val="none"/>
          <w:lang w:eastAsia="zh-CN"/>
        </w:rPr>
        <w:t>货物</w:t>
      </w:r>
      <w:r>
        <w:rPr>
          <w:rFonts w:hint="eastAsia" w:ascii="宋体" w:hAnsi="宋体"/>
          <w:bCs/>
          <w:color w:val="auto"/>
          <w:sz w:val="24"/>
          <w:highlight w:val="none"/>
        </w:rPr>
        <w:t>和服务）缺漏项的调整，其调整价格为该项在其他有效投标中的最高报价。</w:t>
      </w:r>
    </w:p>
    <w:p w14:paraId="75430263">
      <w:pPr>
        <w:keepNext w:val="0"/>
        <w:keepLines w:val="0"/>
        <w:pageBreakBefore w:val="0"/>
        <w:widowControl w:val="0"/>
        <w:numPr>
          <w:ilvl w:val="0"/>
          <w:numId w:val="0"/>
        </w:numPr>
        <w:tabs>
          <w:tab w:val="left" w:pos="930"/>
        </w:tabs>
        <w:kinsoku/>
        <w:wordWrap/>
        <w:overflowPunct/>
        <w:topLinePunct w:val="0"/>
        <w:autoSpaceDE/>
        <w:autoSpaceDN/>
        <w:bidi w:val="0"/>
        <w:adjustRightInd/>
        <w:snapToGrid/>
        <w:spacing w:line="360" w:lineRule="auto"/>
        <w:ind w:left="0" w:leftChars="0" w:firstLine="480" w:firstLineChars="200"/>
        <w:textAlignment w:val="auto"/>
        <w:rPr>
          <w:rFonts w:ascii="宋体" w:hAnsi="宋体"/>
          <w:bCs/>
          <w:color w:val="auto"/>
          <w:sz w:val="24"/>
          <w:highlight w:val="none"/>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3</w:t>
      </w:r>
      <w:r>
        <w:rPr>
          <w:rFonts w:hint="eastAsia" w:ascii="宋体" w:hAnsi="宋体"/>
          <w:bCs/>
          <w:color w:val="auto"/>
          <w:sz w:val="24"/>
          <w:highlight w:val="none"/>
          <w:lang w:eastAsia="zh-CN"/>
        </w:rPr>
        <w:t>）</w:t>
      </w:r>
      <w:r>
        <w:rPr>
          <w:rFonts w:hint="eastAsia" w:ascii="宋体" w:hAnsi="宋体"/>
          <w:bCs/>
          <w:color w:val="auto"/>
          <w:sz w:val="24"/>
          <w:highlight w:val="none"/>
        </w:rPr>
        <w:t>评标委员会将按照上述修正错误的方法调整</w:t>
      </w:r>
      <w:r>
        <w:rPr>
          <w:rFonts w:hint="eastAsia" w:ascii="宋体" w:hAnsi="宋体"/>
          <w:bCs/>
          <w:color w:val="auto"/>
          <w:sz w:val="24"/>
          <w:highlight w:val="none"/>
          <w:lang w:eastAsia="zh-CN"/>
        </w:rPr>
        <w:t>响应文件</w:t>
      </w:r>
      <w:r>
        <w:rPr>
          <w:rFonts w:hint="eastAsia" w:ascii="宋体" w:hAnsi="宋体"/>
          <w:bCs/>
          <w:color w:val="auto"/>
          <w:sz w:val="24"/>
          <w:highlight w:val="none"/>
        </w:rPr>
        <w:t>中投标报价，调整后的价格对</w:t>
      </w:r>
      <w:r>
        <w:rPr>
          <w:rFonts w:hint="eastAsia" w:ascii="宋体" w:hAnsi="宋体"/>
          <w:bCs/>
          <w:color w:val="auto"/>
          <w:sz w:val="24"/>
          <w:highlight w:val="none"/>
          <w:lang w:eastAsia="zh-CN"/>
        </w:rPr>
        <w:t>供应商</w:t>
      </w:r>
      <w:r>
        <w:rPr>
          <w:rFonts w:hint="eastAsia" w:ascii="宋体" w:hAnsi="宋体"/>
          <w:bCs/>
          <w:color w:val="auto"/>
          <w:sz w:val="24"/>
          <w:highlight w:val="none"/>
        </w:rPr>
        <w:t>具有约束力。如果</w:t>
      </w:r>
      <w:r>
        <w:rPr>
          <w:rFonts w:hint="eastAsia" w:ascii="宋体" w:hAnsi="宋体"/>
          <w:bCs/>
          <w:color w:val="auto"/>
          <w:sz w:val="24"/>
          <w:highlight w:val="none"/>
          <w:lang w:eastAsia="zh-CN"/>
        </w:rPr>
        <w:t>供应商</w:t>
      </w:r>
      <w:r>
        <w:rPr>
          <w:rFonts w:hint="eastAsia" w:ascii="宋体" w:hAnsi="宋体"/>
          <w:bCs/>
          <w:color w:val="auto"/>
          <w:sz w:val="24"/>
          <w:highlight w:val="none"/>
        </w:rPr>
        <w:t>不接受修正后的投标价格，则其投标将被拒绝。</w:t>
      </w:r>
    </w:p>
    <w:p w14:paraId="79DFA5EF">
      <w:pPr>
        <w:numPr>
          <w:ilvl w:val="0"/>
          <w:numId w:val="0"/>
        </w:numPr>
        <w:tabs>
          <w:tab w:val="left" w:pos="930"/>
        </w:tabs>
        <w:spacing w:line="360" w:lineRule="auto"/>
        <w:ind w:left="525" w:leftChars="0"/>
        <w:rPr>
          <w:rFonts w:hint="eastAsia" w:ascii="宋体" w:hAnsi="宋体"/>
          <w:bCs/>
          <w:color w:val="auto"/>
          <w:sz w:val="24"/>
          <w:highlight w:val="none"/>
          <w:lang w:eastAsia="zh-CN"/>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4</w:t>
      </w:r>
      <w:r>
        <w:rPr>
          <w:rFonts w:hint="eastAsia" w:ascii="宋体" w:hAnsi="宋体"/>
          <w:bCs/>
          <w:color w:val="auto"/>
          <w:sz w:val="24"/>
          <w:highlight w:val="none"/>
          <w:lang w:eastAsia="zh-CN"/>
        </w:rPr>
        <w:t>）</w:t>
      </w:r>
      <w:r>
        <w:rPr>
          <w:rFonts w:hint="eastAsia" w:ascii="宋体" w:hAnsi="宋体"/>
          <w:bCs/>
          <w:color w:val="auto"/>
          <w:sz w:val="24"/>
          <w:highlight w:val="none"/>
        </w:rPr>
        <w:t>政策价格扣除</w:t>
      </w:r>
      <w:r>
        <w:rPr>
          <w:rFonts w:hint="eastAsia" w:ascii="宋体" w:hAnsi="宋体"/>
          <w:bCs/>
          <w:color w:val="auto"/>
          <w:sz w:val="24"/>
          <w:highlight w:val="none"/>
          <w:lang w:eastAsia="zh-CN"/>
        </w:rPr>
        <w:t>：</w:t>
      </w:r>
    </w:p>
    <w:p w14:paraId="45AC1FAA">
      <w:pPr>
        <w:numPr>
          <w:ilvl w:val="0"/>
          <w:numId w:val="0"/>
        </w:numPr>
        <w:tabs>
          <w:tab w:val="left" w:pos="930"/>
        </w:tabs>
        <w:spacing w:line="360" w:lineRule="auto"/>
        <w:ind w:left="525" w:leftChars="0"/>
        <w:rPr>
          <w:rFonts w:hint="eastAsia" w:ascii="宋体" w:hAnsi="宋体"/>
          <w:b w:val="0"/>
          <w:bCs/>
          <w:color w:val="auto"/>
          <w:sz w:val="24"/>
          <w:highlight w:val="none"/>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4.1</w:t>
      </w:r>
      <w:r>
        <w:rPr>
          <w:rFonts w:hint="eastAsia" w:ascii="宋体" w:hAnsi="宋体"/>
          <w:bCs/>
          <w:color w:val="auto"/>
          <w:sz w:val="24"/>
          <w:highlight w:val="none"/>
          <w:lang w:eastAsia="zh-CN"/>
        </w:rPr>
        <w:t>）</w:t>
      </w:r>
      <w:r>
        <w:rPr>
          <w:rFonts w:hint="eastAsia" w:ascii="宋体" w:hAnsi="宋体"/>
          <w:b w:val="0"/>
          <w:bCs/>
          <w:color w:val="auto"/>
          <w:sz w:val="24"/>
          <w:highlight w:val="none"/>
        </w:rPr>
        <w:t>小型和微型企业产品</w:t>
      </w:r>
    </w:p>
    <w:p w14:paraId="1C461670">
      <w:pPr>
        <w:numPr>
          <w:ilvl w:val="1"/>
          <w:numId w:val="11"/>
        </w:numPr>
        <w:tabs>
          <w:tab w:val="left" w:pos="1050"/>
        </w:tabs>
        <w:spacing w:line="360" w:lineRule="auto"/>
        <w:ind w:left="1050"/>
        <w:rPr>
          <w:rFonts w:ascii="宋体" w:hAnsi="宋体"/>
          <w:bCs/>
          <w:color w:val="auto"/>
          <w:sz w:val="24"/>
          <w:highlight w:val="none"/>
        </w:rPr>
      </w:pPr>
      <w:r>
        <w:rPr>
          <w:rFonts w:hint="eastAsia" w:ascii="宋体" w:hAnsi="宋体"/>
          <w:bCs/>
          <w:color w:val="auto"/>
          <w:sz w:val="24"/>
          <w:highlight w:val="none"/>
        </w:rPr>
        <w:t>根据财务部、工业和信息化部印发的《政府采购促进中小企业发展管理办法》（</w:t>
      </w:r>
      <w:r>
        <w:rPr>
          <w:rFonts w:hint="eastAsia" w:ascii="宋体" w:hAnsi="宋体"/>
          <w:bCs/>
          <w:color w:val="auto"/>
          <w:sz w:val="24"/>
          <w:highlight w:val="none"/>
          <w:lang w:eastAsia="zh-CN"/>
        </w:rPr>
        <w:t>财库〔2020〕46号</w:t>
      </w:r>
      <w:r>
        <w:rPr>
          <w:rFonts w:hint="eastAsia" w:ascii="宋体" w:hAnsi="宋体"/>
          <w:bCs/>
          <w:color w:val="auto"/>
          <w:sz w:val="24"/>
          <w:highlight w:val="none"/>
        </w:rPr>
        <w:t>）的规，对小型和微型企业产品的价格给予</w:t>
      </w:r>
      <w:r>
        <w:rPr>
          <w:rFonts w:hint="eastAsia" w:ascii="宋体" w:hAnsi="宋体"/>
          <w:bCs/>
          <w:color w:val="auto"/>
          <w:sz w:val="24"/>
          <w:highlight w:val="none"/>
          <w:lang w:val="en-US" w:eastAsia="zh-CN"/>
        </w:rPr>
        <w:t>10%-20</w:t>
      </w:r>
      <w:r>
        <w:rPr>
          <w:rFonts w:hint="eastAsia" w:ascii="宋体" w:hAnsi="宋体"/>
          <w:bCs/>
          <w:color w:val="auto"/>
          <w:sz w:val="24"/>
          <w:highlight w:val="none"/>
        </w:rPr>
        <w:t>%的扣除，联合体一方为小型、微型企业且小型、微型企业协议合同金额占联合体协议合同总金额30%以上</w:t>
      </w:r>
      <w:r>
        <w:rPr>
          <w:rFonts w:hint="eastAsia" w:ascii="宋体" w:hAnsi="宋体"/>
          <w:bCs/>
          <w:color w:val="auto"/>
          <w:sz w:val="24"/>
          <w:highlight w:val="none"/>
          <w:lang w:eastAsia="zh-CN"/>
        </w:rPr>
        <w:t>地对</w:t>
      </w:r>
      <w:r>
        <w:rPr>
          <w:rFonts w:hint="eastAsia" w:ascii="宋体" w:hAnsi="宋体"/>
          <w:bCs/>
          <w:color w:val="auto"/>
          <w:sz w:val="24"/>
          <w:highlight w:val="none"/>
        </w:rPr>
        <w:t>联合体总金额扣除</w:t>
      </w:r>
      <w:r>
        <w:rPr>
          <w:rFonts w:hint="eastAsia" w:ascii="宋体" w:hAnsi="宋体"/>
          <w:bCs/>
          <w:color w:val="auto"/>
          <w:sz w:val="24"/>
          <w:highlight w:val="none"/>
          <w:lang w:val="en-US" w:eastAsia="zh-CN"/>
        </w:rPr>
        <w:t>4</w:t>
      </w:r>
      <w:r>
        <w:rPr>
          <w:rFonts w:hint="eastAsia" w:ascii="宋体" w:hAnsi="宋体"/>
          <w:bCs/>
          <w:color w:val="auto"/>
          <w:sz w:val="24"/>
          <w:highlight w:val="none"/>
        </w:rPr>
        <w:t>%</w:t>
      </w:r>
      <w:r>
        <w:rPr>
          <w:rFonts w:hint="eastAsia" w:ascii="宋体" w:hAnsi="宋体"/>
          <w:bCs/>
          <w:color w:val="auto"/>
          <w:sz w:val="24"/>
          <w:highlight w:val="none"/>
          <w:lang w:val="en-US" w:eastAsia="zh-CN"/>
        </w:rPr>
        <w:t>-6%</w:t>
      </w:r>
      <w:r>
        <w:rPr>
          <w:rFonts w:hint="eastAsia" w:ascii="宋体" w:hAnsi="宋体"/>
          <w:bCs/>
          <w:color w:val="auto"/>
          <w:sz w:val="24"/>
          <w:highlight w:val="none"/>
        </w:rPr>
        <w:t>，用扣除后的价格参与评审；投标产品中仅有部分小型和微型企业产品的，则按所投小型和微型企业产品的价格予以扣除。</w:t>
      </w:r>
    </w:p>
    <w:p w14:paraId="3CB2CAC3">
      <w:pPr>
        <w:numPr>
          <w:ilvl w:val="0"/>
          <w:numId w:val="0"/>
        </w:numPr>
        <w:tabs>
          <w:tab w:val="left" w:pos="1050"/>
        </w:tabs>
        <w:spacing w:line="360" w:lineRule="auto"/>
        <w:ind w:left="630" w:leftChars="0"/>
        <w:rPr>
          <w:rFonts w:hint="eastAsia" w:ascii="宋体" w:hAnsi="宋体" w:eastAsia="宋体"/>
          <w:bCs/>
          <w:color w:val="auto"/>
          <w:sz w:val="24"/>
          <w:highlight w:val="none"/>
          <w:lang w:eastAsia="zh-CN"/>
        </w:rPr>
      </w:pPr>
      <w:r>
        <w:rPr>
          <w:rFonts w:hint="eastAsia" w:ascii="宋体" w:hAnsi="宋体"/>
          <w:bCs/>
          <w:color w:val="auto"/>
          <w:sz w:val="24"/>
          <w:highlight w:val="none"/>
          <w:lang w:eastAsia="zh-CN"/>
        </w:rPr>
        <w:t>注：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C7CE8E5">
      <w:pPr>
        <w:numPr>
          <w:ilvl w:val="1"/>
          <w:numId w:val="11"/>
        </w:numPr>
        <w:tabs>
          <w:tab w:val="left" w:pos="1050"/>
        </w:tabs>
        <w:spacing w:line="360" w:lineRule="auto"/>
        <w:ind w:left="1050"/>
        <w:rPr>
          <w:rFonts w:ascii="宋体" w:hAnsi="宋体"/>
          <w:bCs/>
          <w:color w:val="auto"/>
          <w:sz w:val="24"/>
          <w:highlight w:val="none"/>
        </w:rPr>
      </w:pPr>
      <w:r>
        <w:rPr>
          <w:rFonts w:hint="eastAsia" w:ascii="宋体" w:hAnsi="宋体"/>
          <w:bCs/>
          <w:color w:val="auto"/>
          <w:sz w:val="24"/>
          <w:highlight w:val="none"/>
        </w:rPr>
        <w:t>《</w:t>
      </w:r>
      <w:r>
        <w:rPr>
          <w:rFonts w:hint="eastAsia" w:ascii="宋体" w:hAnsi="宋体"/>
          <w:bCs/>
          <w:color w:val="auto"/>
          <w:sz w:val="24"/>
          <w:highlight w:val="none"/>
          <w:lang w:eastAsia="zh-CN"/>
        </w:rPr>
        <w:t>政府采购促进中小企业发展管理办法</w:t>
      </w:r>
      <w:r>
        <w:rPr>
          <w:rFonts w:hint="eastAsia" w:ascii="宋体" w:hAnsi="宋体"/>
          <w:bCs/>
          <w:color w:val="auto"/>
          <w:sz w:val="24"/>
          <w:highlight w:val="none"/>
        </w:rPr>
        <w:t>》所称中小企业（含中型、小型、微型企业，下同）应当同时符合以下条件：</w:t>
      </w:r>
    </w:p>
    <w:p w14:paraId="6C944C1C">
      <w:pPr>
        <w:spacing w:line="360" w:lineRule="auto"/>
        <w:ind w:left="630"/>
        <w:rPr>
          <w:rFonts w:ascii="宋体" w:hAnsi="宋体"/>
          <w:bCs/>
          <w:color w:val="auto"/>
          <w:sz w:val="24"/>
          <w:highlight w:val="none"/>
        </w:rPr>
      </w:pPr>
      <w:r>
        <w:rPr>
          <w:rFonts w:hint="eastAsia" w:ascii="宋体" w:hAnsi="宋体"/>
          <w:bCs/>
          <w:color w:val="auto"/>
          <w:sz w:val="24"/>
          <w:highlight w:val="none"/>
        </w:rPr>
        <w:t>　　①符合中小企业划分标准；</w:t>
      </w:r>
    </w:p>
    <w:p w14:paraId="11214A53">
      <w:pPr>
        <w:spacing w:line="360" w:lineRule="auto"/>
        <w:ind w:left="630" w:firstLine="480"/>
        <w:rPr>
          <w:rFonts w:hint="eastAsia" w:ascii="宋体" w:hAnsi="宋体"/>
          <w:bCs/>
          <w:color w:val="auto"/>
          <w:sz w:val="24"/>
          <w:highlight w:val="none"/>
        </w:rPr>
      </w:pPr>
      <w:r>
        <w:rPr>
          <w:rFonts w:hint="eastAsia" w:ascii="宋体" w:hAnsi="宋体"/>
          <w:bCs/>
          <w:color w:val="auto"/>
          <w:sz w:val="24"/>
          <w:highlight w:val="none"/>
        </w:rPr>
        <w:t>②提供本企业制造的货物、承担的工程或者服务，或者提供其他中小企业制造的货物。本项所称货物不包括使用大型企业注册商标的货物。</w:t>
      </w:r>
    </w:p>
    <w:p w14:paraId="04CB98DA">
      <w:pPr>
        <w:spacing w:line="360" w:lineRule="auto"/>
        <w:ind w:left="630" w:firstLine="480"/>
        <w:rPr>
          <w:rFonts w:hint="eastAsia" w:ascii="宋体" w:hAnsi="宋体"/>
          <w:bCs/>
          <w:color w:val="auto"/>
          <w:sz w:val="24"/>
          <w:highlight w:val="none"/>
          <w:lang w:val="en-US" w:eastAsia="zh-CN"/>
        </w:rPr>
      </w:pPr>
      <w:r>
        <w:rPr>
          <w:rFonts w:hint="eastAsia" w:ascii="宋体" w:hAnsi="宋体"/>
          <w:bCs/>
          <w:color w:val="auto"/>
          <w:sz w:val="24"/>
          <w:highlight w:val="none"/>
          <w:lang w:val="en-US" w:eastAsia="zh-CN"/>
        </w:rPr>
        <w:t>中小企业划分标准以《工业和信息化部、国家统计局、国家发展和改革委员会、财政部关于印发中小企业划型标准的通知》（工信部联企业[2011]104号）规定的划分标准为准。小型、微型企业提供中型企业制造的货物的，视同为中型企业。</w:t>
      </w:r>
    </w:p>
    <w:p w14:paraId="1260D006">
      <w:pPr>
        <w:numPr>
          <w:ilvl w:val="0"/>
          <w:numId w:val="0"/>
        </w:numPr>
        <w:spacing w:line="360" w:lineRule="auto"/>
        <w:ind w:left="1110" w:leftChars="0"/>
        <w:rPr>
          <w:rFonts w:hint="eastAsia" w:ascii="宋体" w:hAnsi="宋体"/>
          <w:bCs/>
          <w:color w:val="auto"/>
          <w:sz w:val="24"/>
          <w:highlight w:val="none"/>
        </w:rPr>
      </w:pPr>
      <w:r>
        <w:rPr>
          <w:rFonts w:hint="eastAsia" w:ascii="宋体" w:hAnsi="宋体"/>
          <w:bCs/>
          <w:color w:val="auto"/>
          <w:sz w:val="24"/>
          <w:highlight w:val="none"/>
          <w:lang w:val="en-US" w:eastAsia="zh-CN"/>
        </w:rPr>
        <w:t>③</w:t>
      </w:r>
      <w:r>
        <w:rPr>
          <w:rFonts w:hint="eastAsia" w:ascii="宋体" w:hAnsi="宋体"/>
          <w:bCs/>
          <w:color w:val="auto"/>
          <w:sz w:val="24"/>
          <w:highlight w:val="none"/>
        </w:rPr>
        <w:t>参加政府采购活动的中小企业应当提供《中小企业声明函》</w:t>
      </w:r>
    </w:p>
    <w:p w14:paraId="6C431862">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4.</w:t>
      </w:r>
      <w:r>
        <w:rPr>
          <w:rFonts w:hint="eastAsia" w:ascii="宋体" w:hAnsi="宋体"/>
          <w:bCs/>
          <w:color w:val="auto"/>
          <w:sz w:val="24"/>
          <w:highlight w:val="none"/>
          <w:lang w:eastAsia="zh-CN"/>
        </w:rPr>
        <w:t>2）监狱企业产品价格扣除</w:t>
      </w:r>
    </w:p>
    <w:p w14:paraId="643C849C">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eastAsia="zh-CN"/>
        </w:rPr>
        <w:t>a）监狱企业视同小型、微型企业，按上述1.的a)条款享受评审中价格扣除。</w:t>
      </w:r>
    </w:p>
    <w:p w14:paraId="3B4AE3CF">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eastAsia="zh-CN"/>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351287A">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eastAsia="zh-CN"/>
        </w:rPr>
        <w:t>c）监狱企业参加政府采购活动时，应当提供由省级以上监狱管理局、戒毒管理局（含新疆生产建设兵团）出具的属于监狱企业的证明文件，否则不予认可。</w:t>
      </w:r>
    </w:p>
    <w:p w14:paraId="72A47C06">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val="en-US" w:eastAsia="zh-CN"/>
        </w:rPr>
        <w:t>（4.</w:t>
      </w:r>
      <w:r>
        <w:rPr>
          <w:rFonts w:hint="eastAsia" w:ascii="宋体" w:hAnsi="宋体"/>
          <w:bCs/>
          <w:color w:val="auto"/>
          <w:sz w:val="24"/>
          <w:highlight w:val="none"/>
          <w:lang w:eastAsia="zh-CN"/>
        </w:rPr>
        <w:t>3）残疾人福利性单位产品价格扣除</w:t>
      </w:r>
    </w:p>
    <w:p w14:paraId="2D556B42">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eastAsia="zh-CN"/>
        </w:rPr>
        <w:t>a）残疾人福利性单位视同小型、微型企业，按上述1.的a)条款享受评审中价格扣除。</w:t>
      </w:r>
    </w:p>
    <w:p w14:paraId="5E50C6F8">
      <w:pPr>
        <w:tabs>
          <w:tab w:val="left" w:pos="1050"/>
        </w:tabs>
        <w:spacing w:line="360" w:lineRule="auto"/>
        <w:ind w:firstLine="480" w:firstLineChars="200"/>
        <w:rPr>
          <w:rFonts w:hint="eastAsia" w:ascii="宋体" w:hAnsi="宋体"/>
          <w:bCs/>
          <w:color w:val="auto"/>
          <w:sz w:val="24"/>
          <w:highlight w:val="none"/>
          <w:lang w:eastAsia="zh-CN"/>
        </w:rPr>
      </w:pPr>
      <w:r>
        <w:rPr>
          <w:rFonts w:hint="eastAsia" w:ascii="宋体" w:hAnsi="宋体"/>
          <w:bCs/>
          <w:color w:val="auto"/>
          <w:sz w:val="24"/>
          <w:highlight w:val="none"/>
          <w:lang w:eastAsia="zh-CN"/>
        </w:rPr>
        <w:t>b）根据财政部、民政部、中国残疾人联合会印发的《关于促进残疾人就业政府采购政策的通知》（财库〔2026〕141号）的规定，符合条件的残疾人福利性单位在参加政府采购活动时，应当提供该通知规定的《残疾人福利性单位声明函》（格式见第</w:t>
      </w:r>
      <w:r>
        <w:rPr>
          <w:rFonts w:hint="eastAsia" w:ascii="宋体" w:hAnsi="宋体"/>
          <w:bCs/>
          <w:color w:val="auto"/>
          <w:sz w:val="24"/>
          <w:highlight w:val="none"/>
          <w:lang w:val="en-US" w:eastAsia="zh-CN"/>
        </w:rPr>
        <w:t>五</w:t>
      </w:r>
      <w:r>
        <w:rPr>
          <w:rFonts w:hint="eastAsia" w:ascii="宋体" w:hAnsi="宋体"/>
          <w:bCs/>
          <w:color w:val="auto"/>
          <w:sz w:val="24"/>
          <w:highlight w:val="none"/>
          <w:lang w:eastAsia="zh-CN"/>
        </w:rPr>
        <w:t>章响应文件格式），并对声明的真实性负责。一旦中标将在中标公告中公告其声明函，接受社会监督。供应商提供的《残疾人福利性单位声明函》与事实不符的，依照《政府采购法》第七十七条第一款的规定追究法律责任。</w:t>
      </w:r>
    </w:p>
    <w:p w14:paraId="3091D5AD">
      <w:pPr>
        <w:tabs>
          <w:tab w:val="left" w:pos="1050"/>
        </w:tabs>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4.4</w:t>
      </w:r>
      <w:r>
        <w:rPr>
          <w:rFonts w:hint="eastAsia" w:ascii="宋体" w:hAnsi="宋体"/>
          <w:bCs/>
          <w:color w:val="auto"/>
          <w:sz w:val="24"/>
          <w:highlight w:val="none"/>
          <w:lang w:eastAsia="zh-CN"/>
        </w:rPr>
        <w:t>）供应商</w:t>
      </w:r>
      <w:r>
        <w:rPr>
          <w:rFonts w:hint="eastAsia" w:ascii="宋体" w:hAnsi="宋体"/>
          <w:bCs/>
          <w:color w:val="auto"/>
          <w:sz w:val="24"/>
          <w:highlight w:val="none"/>
        </w:rPr>
        <w:t>同时为小型、微型企业、监狱企业和残疾人福利性单位任两种或以上情况的，评审中只享受一次价格扣除。不重复进行价格扣除。</w:t>
      </w:r>
    </w:p>
    <w:p w14:paraId="29896D8C">
      <w:pPr>
        <w:tabs>
          <w:tab w:val="left" w:pos="0"/>
        </w:tabs>
        <w:spacing w:line="360" w:lineRule="auto"/>
        <w:ind w:firstLine="480" w:firstLineChars="200"/>
        <w:rPr>
          <w:rFonts w:hint="eastAsia" w:ascii="宋体" w:hAnsi="宋体"/>
          <w:color w:val="auto"/>
          <w:sz w:val="24"/>
          <w:szCs w:val="24"/>
          <w:highlight w:val="none"/>
        </w:rPr>
      </w:pP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4.5</w:t>
      </w:r>
      <w:r>
        <w:rPr>
          <w:rFonts w:hint="eastAsia" w:ascii="宋体" w:hAnsi="宋体"/>
          <w:bCs/>
          <w:color w:val="auto"/>
          <w:sz w:val="24"/>
          <w:highlight w:val="none"/>
          <w:lang w:eastAsia="zh-CN"/>
        </w:rPr>
        <w:t>）</w:t>
      </w:r>
      <w:r>
        <w:rPr>
          <w:rFonts w:hint="eastAsia" w:ascii="宋体" w:hAnsi="宋体"/>
          <w:color w:val="auto"/>
          <w:sz w:val="24"/>
          <w:highlight w:val="none"/>
        </w:rPr>
        <w:t>节能产品、环保产品价格扣除：对获得节能产品认证证书或环境标志产品认证证书的产品给予5%的价格扣除。</w:t>
      </w:r>
    </w:p>
    <w:p w14:paraId="66F070B8">
      <w:pPr>
        <w:keepNext w:val="0"/>
        <w:keepLines w:val="0"/>
        <w:pageBreakBefore w:val="0"/>
        <w:widowControl w:val="0"/>
        <w:numPr>
          <w:ilvl w:val="0"/>
          <w:numId w:val="0"/>
        </w:numPr>
        <w:tabs>
          <w:tab w:val="left" w:pos="930"/>
        </w:tabs>
        <w:kinsoku/>
        <w:wordWrap/>
        <w:overflowPunct/>
        <w:topLinePunct w:val="0"/>
        <w:autoSpaceDE/>
        <w:autoSpaceDN/>
        <w:bidi w:val="0"/>
        <w:adjustRightInd/>
        <w:snapToGrid/>
        <w:spacing w:line="360" w:lineRule="auto"/>
        <w:ind w:left="0" w:leftChars="0" w:firstLine="480" w:firstLineChars="200"/>
        <w:textAlignment w:val="auto"/>
        <w:rPr>
          <w:rFonts w:ascii="宋体" w:hAnsi="宋体"/>
          <w:color w:val="auto"/>
          <w:sz w:val="24"/>
          <w:highlight w:val="none"/>
        </w:rPr>
      </w:pPr>
      <w:r>
        <w:rPr>
          <w:rFonts w:hint="eastAsia" w:ascii="宋体" w:hAnsi="宋体"/>
          <w:b w:val="0"/>
          <w:bCs w:val="0"/>
          <w:color w:val="auto"/>
          <w:sz w:val="24"/>
          <w:highlight w:val="none"/>
          <w:lang w:eastAsia="zh-CN"/>
        </w:rPr>
        <w:t>（</w:t>
      </w:r>
      <w:r>
        <w:rPr>
          <w:rFonts w:hint="eastAsia" w:ascii="宋体" w:hAnsi="宋体"/>
          <w:b w:val="0"/>
          <w:bCs w:val="0"/>
          <w:color w:val="auto"/>
          <w:sz w:val="24"/>
          <w:highlight w:val="none"/>
          <w:lang w:val="en-US" w:eastAsia="zh-CN"/>
        </w:rPr>
        <w:t>5</w:t>
      </w:r>
      <w:r>
        <w:rPr>
          <w:rFonts w:hint="eastAsia" w:ascii="宋体" w:hAnsi="宋体"/>
          <w:b w:val="0"/>
          <w:bCs w:val="0"/>
          <w:color w:val="auto"/>
          <w:sz w:val="24"/>
          <w:highlight w:val="none"/>
          <w:lang w:eastAsia="zh-CN"/>
        </w:rPr>
        <w:t>）</w:t>
      </w:r>
      <w:r>
        <w:rPr>
          <w:rFonts w:hint="eastAsia" w:ascii="宋体" w:hAnsi="宋体"/>
          <w:b w:val="0"/>
          <w:bCs w:val="0"/>
          <w:color w:val="auto"/>
          <w:sz w:val="24"/>
          <w:highlight w:val="none"/>
        </w:rPr>
        <w:t>价格评分</w:t>
      </w:r>
      <w:r>
        <w:rPr>
          <w:rFonts w:hint="eastAsia" w:ascii="宋体" w:hAnsi="宋体"/>
          <w:b/>
          <w:bCs/>
          <w:color w:val="auto"/>
          <w:sz w:val="24"/>
          <w:highlight w:val="none"/>
        </w:rPr>
        <w:t>：</w:t>
      </w:r>
      <w:r>
        <w:rPr>
          <w:rFonts w:hint="eastAsia" w:ascii="宋体" w:hAnsi="宋体"/>
          <w:color w:val="auto"/>
          <w:sz w:val="24"/>
          <w:highlight w:val="none"/>
        </w:rPr>
        <w:t>取通过资格、符合性评审经过评标委员会修正及价格扣除后的所有</w:t>
      </w:r>
      <w:r>
        <w:rPr>
          <w:rFonts w:hint="eastAsia" w:ascii="宋体" w:hAnsi="宋体"/>
          <w:color w:val="auto"/>
          <w:sz w:val="24"/>
          <w:highlight w:val="none"/>
          <w:lang w:eastAsia="zh-CN"/>
        </w:rPr>
        <w:t>供应商</w:t>
      </w:r>
      <w:r>
        <w:rPr>
          <w:rFonts w:hint="eastAsia" w:ascii="宋体" w:hAnsi="宋体"/>
          <w:color w:val="auto"/>
          <w:sz w:val="24"/>
          <w:highlight w:val="none"/>
        </w:rPr>
        <w:t>中最低的投标价格作为基准价格。</w:t>
      </w:r>
    </w:p>
    <w:p w14:paraId="045920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highlight w:val="none"/>
        </w:rPr>
      </w:pPr>
      <w:r>
        <w:rPr>
          <w:rFonts w:hint="eastAsia" w:ascii="宋体" w:hAnsi="宋体"/>
          <w:color w:val="auto"/>
          <w:sz w:val="24"/>
          <w:highlight w:val="none"/>
        </w:rPr>
        <w:t>计算公式（四舍五入保留两位小数）：</w:t>
      </w:r>
    </w:p>
    <w:p w14:paraId="589B09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olor w:val="auto"/>
          <w:sz w:val="24"/>
          <w:highlight w:val="none"/>
        </w:rPr>
      </w:pPr>
      <w:r>
        <w:rPr>
          <w:rFonts w:hint="eastAsia" w:ascii="宋体" w:hAnsi="宋体"/>
          <w:color w:val="auto"/>
          <w:sz w:val="24"/>
          <w:highlight w:val="none"/>
        </w:rPr>
        <w:t>价格评分= [基准价格÷经修正的投标报价]×100</w:t>
      </w:r>
    </w:p>
    <w:p w14:paraId="53FA40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color w:val="auto"/>
          <w:sz w:val="24"/>
          <w:highlight w:val="none"/>
        </w:rPr>
        <w:t>价格得分=价格评分×价格部分权重</w:t>
      </w:r>
    </w:p>
    <w:p w14:paraId="7C13D723">
      <w:pPr>
        <w:spacing w:line="360" w:lineRule="auto"/>
        <w:rPr>
          <w:b/>
          <w:bCs/>
          <w:color w:val="auto"/>
          <w:highlight w:val="none"/>
        </w:rPr>
      </w:pPr>
      <w:r>
        <w:rPr>
          <w:rFonts w:hint="eastAsia" w:ascii="宋体" w:hAnsi="宋体"/>
          <w:b/>
          <w:bCs/>
          <w:color w:val="auto"/>
          <w:sz w:val="24"/>
          <w:highlight w:val="none"/>
        </w:rPr>
        <w:t>6.2 权重分配</w:t>
      </w:r>
      <w:bookmarkEnd w:id="501"/>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7"/>
        <w:gridCol w:w="3104"/>
        <w:gridCol w:w="2996"/>
      </w:tblGrid>
      <w:tr w14:paraId="7B8C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97" w:type="dxa"/>
            <w:noWrap w:val="0"/>
            <w:vAlign w:val="center"/>
          </w:tcPr>
          <w:p w14:paraId="2A0232C7">
            <w:pPr>
              <w:spacing w:line="360" w:lineRule="auto"/>
              <w:jc w:val="center"/>
              <w:rPr>
                <w:rFonts w:hint="eastAsia" w:ascii="宋体" w:hAnsi="宋体"/>
                <w:b w:val="0"/>
                <w:bCs/>
                <w:color w:val="auto"/>
                <w:sz w:val="24"/>
                <w:szCs w:val="24"/>
                <w:highlight w:val="none"/>
              </w:rPr>
            </w:pPr>
            <w:bookmarkStart w:id="502" w:name="_Toc61327443"/>
            <w:r>
              <w:rPr>
                <w:rFonts w:hint="eastAsia" w:ascii="宋体" w:hAnsi="宋体"/>
                <w:b w:val="0"/>
                <w:bCs/>
                <w:color w:val="auto"/>
                <w:sz w:val="24"/>
                <w:szCs w:val="24"/>
                <w:highlight w:val="none"/>
              </w:rPr>
              <w:t>评分项目</w:t>
            </w:r>
          </w:p>
        </w:tc>
        <w:tc>
          <w:tcPr>
            <w:tcW w:w="3104" w:type="dxa"/>
            <w:noWrap w:val="0"/>
            <w:vAlign w:val="center"/>
          </w:tcPr>
          <w:p w14:paraId="7FC67819">
            <w:pPr>
              <w:spacing w:line="360" w:lineRule="auto"/>
              <w:jc w:val="center"/>
              <w:rPr>
                <w:rFonts w:hint="eastAsia" w:ascii="宋体" w:hAnsi="宋体"/>
                <w:b w:val="0"/>
                <w:bCs/>
                <w:color w:val="auto"/>
                <w:sz w:val="24"/>
                <w:szCs w:val="24"/>
                <w:highlight w:val="none"/>
              </w:rPr>
            </w:pPr>
            <w:r>
              <w:rPr>
                <w:rFonts w:hint="eastAsia" w:ascii="宋体" w:hAnsi="宋体"/>
                <w:b w:val="0"/>
                <w:bCs/>
                <w:color w:val="auto"/>
                <w:sz w:val="24"/>
                <w:szCs w:val="24"/>
                <w:highlight w:val="none"/>
                <w:lang w:eastAsia="zh-CN"/>
              </w:rPr>
              <w:t>商务</w:t>
            </w:r>
            <w:r>
              <w:rPr>
                <w:rFonts w:hint="eastAsia" w:ascii="宋体" w:hAnsi="宋体"/>
                <w:b w:val="0"/>
                <w:bCs/>
                <w:color w:val="auto"/>
                <w:sz w:val="24"/>
                <w:szCs w:val="24"/>
                <w:highlight w:val="none"/>
              </w:rPr>
              <w:t>技术部分</w:t>
            </w:r>
          </w:p>
        </w:tc>
        <w:tc>
          <w:tcPr>
            <w:tcW w:w="2996" w:type="dxa"/>
            <w:noWrap w:val="0"/>
            <w:vAlign w:val="center"/>
          </w:tcPr>
          <w:p w14:paraId="51D67A03">
            <w:pPr>
              <w:spacing w:line="360" w:lineRule="auto"/>
              <w:jc w:val="center"/>
              <w:rPr>
                <w:rFonts w:hint="eastAsia" w:ascii="宋体" w:hAnsi="宋体"/>
                <w:b w:val="0"/>
                <w:bCs/>
                <w:color w:val="auto"/>
                <w:sz w:val="24"/>
                <w:szCs w:val="24"/>
                <w:highlight w:val="none"/>
              </w:rPr>
            </w:pPr>
            <w:r>
              <w:rPr>
                <w:rFonts w:hint="eastAsia" w:ascii="宋体" w:hAnsi="宋体"/>
                <w:b w:val="0"/>
                <w:bCs/>
                <w:color w:val="auto"/>
                <w:sz w:val="24"/>
                <w:szCs w:val="24"/>
                <w:highlight w:val="none"/>
              </w:rPr>
              <w:t>价格部分</w:t>
            </w:r>
          </w:p>
        </w:tc>
      </w:tr>
      <w:tr w14:paraId="0491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97" w:type="dxa"/>
            <w:noWrap w:val="0"/>
            <w:vAlign w:val="center"/>
          </w:tcPr>
          <w:p w14:paraId="70FA473A">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权重</w:t>
            </w:r>
          </w:p>
        </w:tc>
        <w:tc>
          <w:tcPr>
            <w:tcW w:w="3104" w:type="dxa"/>
            <w:noWrap w:val="0"/>
            <w:vAlign w:val="center"/>
          </w:tcPr>
          <w:p w14:paraId="1EE17A2F">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lang w:val="en-US" w:eastAsia="zh-CN"/>
              </w:rPr>
              <w:t>70</w:t>
            </w:r>
            <w:r>
              <w:rPr>
                <w:rFonts w:hint="eastAsia" w:ascii="宋体" w:hAnsi="宋体"/>
                <w:color w:val="auto"/>
                <w:sz w:val="24"/>
                <w:szCs w:val="24"/>
                <w:highlight w:val="none"/>
              </w:rPr>
              <w:t>%</w:t>
            </w:r>
          </w:p>
        </w:tc>
        <w:tc>
          <w:tcPr>
            <w:tcW w:w="2996" w:type="dxa"/>
            <w:noWrap w:val="0"/>
            <w:vAlign w:val="center"/>
          </w:tcPr>
          <w:p w14:paraId="6C870C3D">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w:t>
            </w:r>
          </w:p>
        </w:tc>
      </w:tr>
      <w:tr w14:paraId="14ED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197" w:type="dxa"/>
            <w:noWrap w:val="0"/>
            <w:vAlign w:val="center"/>
          </w:tcPr>
          <w:p w14:paraId="16984C6C">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满分</w:t>
            </w:r>
          </w:p>
        </w:tc>
        <w:tc>
          <w:tcPr>
            <w:tcW w:w="3104" w:type="dxa"/>
            <w:noWrap w:val="0"/>
            <w:vAlign w:val="center"/>
          </w:tcPr>
          <w:p w14:paraId="60116C4A">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lang w:val="en-US" w:eastAsia="zh-CN"/>
              </w:rPr>
              <w:t>70</w:t>
            </w:r>
            <w:r>
              <w:rPr>
                <w:rFonts w:hint="eastAsia" w:ascii="宋体" w:hAnsi="宋体"/>
                <w:color w:val="auto"/>
                <w:sz w:val="24"/>
                <w:szCs w:val="24"/>
                <w:highlight w:val="none"/>
              </w:rPr>
              <w:t>分</w:t>
            </w:r>
          </w:p>
        </w:tc>
        <w:tc>
          <w:tcPr>
            <w:tcW w:w="2996" w:type="dxa"/>
            <w:noWrap w:val="0"/>
            <w:vAlign w:val="center"/>
          </w:tcPr>
          <w:p w14:paraId="03A0D67A">
            <w:pPr>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分</w:t>
            </w:r>
          </w:p>
        </w:tc>
      </w:tr>
    </w:tbl>
    <w:p w14:paraId="571E8ED7">
      <w:pPr>
        <w:spacing w:line="360" w:lineRule="auto"/>
        <w:rPr>
          <w:b/>
          <w:bCs/>
          <w:color w:val="auto"/>
          <w:highlight w:val="none"/>
        </w:rPr>
      </w:pPr>
      <w:r>
        <w:rPr>
          <w:rFonts w:hint="eastAsia" w:ascii="宋体" w:hAnsi="宋体"/>
          <w:b/>
          <w:bCs/>
          <w:color w:val="auto"/>
          <w:sz w:val="24"/>
          <w:highlight w:val="none"/>
        </w:rPr>
        <w:t>6.3 综合得分</w:t>
      </w:r>
      <w:bookmarkEnd w:id="502"/>
    </w:p>
    <w:p w14:paraId="6F23DB7E">
      <w:pPr>
        <w:spacing w:line="360" w:lineRule="auto"/>
        <w:ind w:left="-2" w:leftChars="-1" w:firstLine="631"/>
        <w:rPr>
          <w:rFonts w:ascii="宋体" w:hAnsi="宋体"/>
          <w:b w:val="0"/>
          <w:bCs/>
          <w:color w:val="auto"/>
          <w:sz w:val="24"/>
          <w:highlight w:val="none"/>
        </w:rPr>
      </w:pPr>
      <w:r>
        <w:rPr>
          <w:rFonts w:hint="eastAsia" w:ascii="宋体" w:hAnsi="宋体"/>
          <w:b w:val="0"/>
          <w:bCs/>
          <w:color w:val="auto"/>
          <w:sz w:val="24"/>
          <w:highlight w:val="none"/>
        </w:rPr>
        <w:t>综合得分=</w:t>
      </w:r>
      <w:r>
        <w:rPr>
          <w:rFonts w:hint="eastAsia" w:ascii="宋体" w:hAnsi="宋体"/>
          <w:b w:val="0"/>
          <w:bCs/>
          <w:color w:val="auto"/>
          <w:sz w:val="24"/>
          <w:highlight w:val="none"/>
          <w:lang w:eastAsia="zh-CN"/>
        </w:rPr>
        <w:t>商务</w:t>
      </w:r>
      <w:r>
        <w:rPr>
          <w:rFonts w:hint="eastAsia" w:ascii="宋体" w:hAnsi="宋体"/>
          <w:b w:val="0"/>
          <w:bCs/>
          <w:color w:val="auto"/>
          <w:sz w:val="24"/>
          <w:highlight w:val="none"/>
        </w:rPr>
        <w:t>技术得分+价格得分</w:t>
      </w:r>
    </w:p>
    <w:p w14:paraId="5AFC6544">
      <w:pPr>
        <w:spacing w:afterAutospacing="0" w:line="360" w:lineRule="auto"/>
        <w:ind w:left="-2" w:leftChars="-1" w:firstLine="631"/>
        <w:rPr>
          <w:rFonts w:ascii="宋体" w:hAnsi="宋体"/>
          <w:color w:val="auto"/>
          <w:sz w:val="24"/>
          <w:highlight w:val="none"/>
        </w:rPr>
      </w:pPr>
      <w:r>
        <w:rPr>
          <w:rFonts w:hint="eastAsia" w:ascii="宋体" w:hAnsi="宋体"/>
          <w:color w:val="auto"/>
          <w:sz w:val="24"/>
          <w:highlight w:val="none"/>
        </w:rPr>
        <w:t>评标委员会根据</w:t>
      </w:r>
      <w:r>
        <w:rPr>
          <w:rFonts w:hint="eastAsia" w:ascii="宋体" w:hAnsi="宋体"/>
          <w:color w:val="auto"/>
          <w:sz w:val="24"/>
          <w:highlight w:val="none"/>
          <w:lang w:eastAsia="zh-CN"/>
        </w:rPr>
        <w:t>供应商</w:t>
      </w:r>
      <w:r>
        <w:rPr>
          <w:rFonts w:hint="eastAsia" w:ascii="宋体" w:hAnsi="宋体"/>
          <w:color w:val="auto"/>
          <w:sz w:val="24"/>
          <w:highlight w:val="none"/>
        </w:rPr>
        <w:t>最终得分高低排定名次。</w:t>
      </w:r>
    </w:p>
    <w:p w14:paraId="5D901C8B">
      <w:pPr>
        <w:pStyle w:val="6"/>
        <w:spacing w:before="0" w:beforeLines="0" w:beforeAutospacing="0" w:after="0" w:afterLines="0" w:afterAutospacing="0" w:line="360" w:lineRule="auto"/>
        <w:rPr>
          <w:color w:val="auto"/>
          <w:sz w:val="28"/>
          <w:szCs w:val="28"/>
          <w:highlight w:val="none"/>
        </w:rPr>
      </w:pPr>
      <w:bookmarkStart w:id="503" w:name="_Toc358307756"/>
      <w:bookmarkStart w:id="504" w:name="_Toc438722139"/>
      <w:bookmarkStart w:id="505" w:name="_Toc524368799"/>
      <w:bookmarkStart w:id="506" w:name="_Toc9864096"/>
      <w:bookmarkStart w:id="507" w:name="_Toc414510789"/>
      <w:bookmarkStart w:id="508" w:name="_Toc23766"/>
      <w:bookmarkStart w:id="509" w:name="_Toc369081827"/>
      <w:bookmarkStart w:id="510" w:name="_Toc458980402"/>
      <w:bookmarkStart w:id="511" w:name="_Toc416208495"/>
      <w:bookmarkStart w:id="512" w:name="_Toc10446428"/>
      <w:bookmarkStart w:id="513" w:name="_Toc524517871"/>
      <w:bookmarkStart w:id="514" w:name="_Toc514177062"/>
      <w:bookmarkStart w:id="515" w:name="_Toc479340798"/>
      <w:bookmarkStart w:id="516" w:name="_Toc422865430"/>
      <w:bookmarkStart w:id="517" w:name="_Toc477879849"/>
      <w:bookmarkStart w:id="518" w:name="_Toc439513454"/>
      <w:bookmarkStart w:id="519" w:name="_Toc438513743"/>
      <w:bookmarkStart w:id="520" w:name="_Toc9612860"/>
      <w:bookmarkStart w:id="521" w:name="_Toc25468"/>
      <w:bookmarkStart w:id="522" w:name="_Toc522529814"/>
      <w:bookmarkStart w:id="523" w:name="_Toc486969388"/>
      <w:bookmarkStart w:id="524" w:name="_Toc498899392"/>
      <w:bookmarkStart w:id="525" w:name="_Toc479325601"/>
      <w:bookmarkStart w:id="526" w:name="_Toc422162001"/>
      <w:bookmarkStart w:id="527" w:name="_Toc439513170"/>
      <w:bookmarkStart w:id="528" w:name="_Toc11944601"/>
      <w:bookmarkStart w:id="529" w:name="_Toc439679277"/>
      <w:bookmarkStart w:id="530" w:name="_Toc498871260"/>
      <w:bookmarkStart w:id="531" w:name="_Toc509337060"/>
      <w:bookmarkStart w:id="532" w:name="_Toc5124218"/>
      <w:bookmarkStart w:id="533" w:name="_Toc487044261"/>
      <w:bookmarkStart w:id="534" w:name="_Toc418023342"/>
      <w:bookmarkStart w:id="535" w:name="_Toc11931294"/>
      <w:bookmarkStart w:id="536" w:name="_Toc273342939"/>
      <w:bookmarkStart w:id="537" w:name="_Toc438508606"/>
      <w:bookmarkStart w:id="538" w:name="_Toc425347671"/>
      <w:bookmarkStart w:id="539" w:name="_Toc509337175"/>
      <w:bookmarkStart w:id="540" w:name="_Toc470184450"/>
      <w:bookmarkStart w:id="541" w:name="_Toc458635605"/>
      <w:bookmarkStart w:id="542" w:name="_Toc523170351"/>
      <w:bookmarkStart w:id="543" w:name="_Toc494832096"/>
      <w:r>
        <w:rPr>
          <w:rFonts w:hint="eastAsia"/>
          <w:color w:val="auto"/>
          <w:sz w:val="28"/>
          <w:szCs w:val="28"/>
          <w:highlight w:val="none"/>
        </w:rPr>
        <w:t>7、定标和授标</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3EB2B0A5">
      <w:pPr>
        <w:spacing w:beforeAutospacing="0" w:line="360" w:lineRule="auto"/>
        <w:ind w:left="425" w:hanging="424" w:hangingChars="177"/>
        <w:rPr>
          <w:rFonts w:ascii="宋体" w:hAnsi="宋体"/>
          <w:color w:val="auto"/>
          <w:sz w:val="24"/>
          <w:highlight w:val="none"/>
        </w:rPr>
      </w:pPr>
      <w:bookmarkStart w:id="544" w:name="_Toc358307757"/>
      <w:bookmarkStart w:id="545" w:name="_Toc160609601"/>
      <w:bookmarkStart w:id="546" w:name="_Toc369081828"/>
      <w:bookmarkStart w:id="547" w:name="_Toc273342940"/>
      <w:r>
        <w:rPr>
          <w:rFonts w:hint="eastAsia" w:ascii="宋体" w:hAnsi="宋体"/>
          <w:color w:val="auto"/>
          <w:sz w:val="24"/>
          <w:szCs w:val="24"/>
          <w:highlight w:val="none"/>
        </w:rPr>
        <w:t>7.1综合</w:t>
      </w:r>
      <w:r>
        <w:rPr>
          <w:rFonts w:hint="eastAsia" w:ascii="宋体" w:hAnsi="宋体"/>
          <w:color w:val="auto"/>
          <w:sz w:val="24"/>
          <w:highlight w:val="none"/>
        </w:rPr>
        <w:t>得分相同时按下列顺序比较确定：（1）节能产品；（2）环保产品；（3）投标报价（由低到高）；（4）</w:t>
      </w:r>
      <w:r>
        <w:rPr>
          <w:rFonts w:hint="eastAsia" w:ascii="宋体" w:hAnsi="宋体"/>
          <w:color w:val="auto"/>
          <w:sz w:val="24"/>
          <w:highlight w:val="none"/>
          <w:lang w:eastAsia="zh-CN"/>
        </w:rPr>
        <w:t>商务</w:t>
      </w:r>
      <w:r>
        <w:rPr>
          <w:rFonts w:hint="eastAsia" w:ascii="宋体" w:hAnsi="宋体"/>
          <w:color w:val="auto"/>
          <w:sz w:val="24"/>
          <w:highlight w:val="none"/>
        </w:rPr>
        <w:t>技术评分（由高到低）。如以上都相同的，名次由评标委员会抽签确定。</w:t>
      </w:r>
    </w:p>
    <w:p w14:paraId="3D117830">
      <w:pPr>
        <w:spacing w:line="360" w:lineRule="auto"/>
        <w:ind w:left="425" w:hanging="424" w:hangingChars="177"/>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7.2评标委员会将综合得分排名第一名的</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推荐给</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作为第一中标候选人。</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具体详见供应商须知前附表第34条</w:t>
      </w:r>
      <w:r>
        <w:rPr>
          <w:rFonts w:hint="eastAsia" w:ascii="宋体" w:hAnsi="宋体"/>
          <w:color w:val="auto"/>
          <w:sz w:val="24"/>
          <w:szCs w:val="24"/>
          <w:highlight w:val="none"/>
          <w:lang w:eastAsia="zh-CN"/>
        </w:rPr>
        <w:t>）</w:t>
      </w:r>
    </w:p>
    <w:p w14:paraId="0AAB82A9">
      <w:pPr>
        <w:spacing w:line="360" w:lineRule="auto"/>
        <w:ind w:left="425" w:hanging="424" w:hangingChars="177"/>
        <w:rPr>
          <w:rFonts w:hint="eastAsia" w:ascii="宋体" w:hAnsi="宋体"/>
          <w:color w:val="auto"/>
          <w:sz w:val="24"/>
          <w:szCs w:val="24"/>
          <w:highlight w:val="none"/>
        </w:rPr>
      </w:pPr>
      <w:r>
        <w:rPr>
          <w:rFonts w:hint="eastAsia" w:ascii="宋体" w:hAnsi="宋体"/>
          <w:color w:val="auto"/>
          <w:sz w:val="24"/>
          <w:szCs w:val="24"/>
          <w:highlight w:val="none"/>
        </w:rPr>
        <w:t>7.3中标候选人放弃中标、或因不可抗力提出不能履行合同</w:t>
      </w:r>
      <w:r>
        <w:rPr>
          <w:rFonts w:hint="eastAsia" w:ascii="宋体" w:hAnsi="宋体"/>
          <w:color w:val="auto"/>
          <w:sz w:val="24"/>
          <w:szCs w:val="24"/>
          <w:highlight w:val="none"/>
          <w:lang w:eastAsia="zh-CN"/>
        </w:rPr>
        <w:t>，或</w:t>
      </w:r>
      <w:r>
        <w:rPr>
          <w:rFonts w:hint="eastAsia" w:ascii="宋体" w:hAnsi="宋体"/>
          <w:color w:val="auto"/>
          <w:sz w:val="24"/>
          <w:szCs w:val="24"/>
          <w:highlight w:val="none"/>
        </w:rPr>
        <w:t>未通过资格后审，或被取消资格的，须经监管部门批准后，</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方可按顺序选择候补</w:t>
      </w:r>
      <w:r>
        <w:rPr>
          <w:rFonts w:hint="eastAsia" w:ascii="宋体" w:hAnsi="宋体"/>
          <w:color w:val="auto"/>
          <w:sz w:val="24"/>
          <w:szCs w:val="24"/>
          <w:highlight w:val="none"/>
          <w:lang w:eastAsia="zh-CN"/>
        </w:rPr>
        <w:t>中标人</w:t>
      </w:r>
      <w:r>
        <w:rPr>
          <w:rFonts w:hint="eastAsia" w:ascii="宋体" w:hAnsi="宋体"/>
          <w:color w:val="auto"/>
          <w:sz w:val="24"/>
          <w:szCs w:val="24"/>
          <w:highlight w:val="none"/>
        </w:rPr>
        <w:t>或废标重招。</w:t>
      </w:r>
    </w:p>
    <w:p w14:paraId="5471D040">
      <w:pPr>
        <w:spacing w:line="360" w:lineRule="auto"/>
        <w:ind w:left="425" w:hanging="424" w:hangingChars="177"/>
        <w:rPr>
          <w:rFonts w:ascii="宋体"/>
          <w:color w:val="auto"/>
          <w:sz w:val="24"/>
          <w:szCs w:val="24"/>
          <w:highlight w:val="none"/>
        </w:rPr>
      </w:pPr>
      <w:r>
        <w:rPr>
          <w:rFonts w:hint="eastAsia" w:ascii="宋体" w:hAnsi="宋体"/>
          <w:color w:val="auto"/>
          <w:sz w:val="24"/>
          <w:szCs w:val="24"/>
          <w:highlight w:val="none"/>
        </w:rPr>
        <w:t>7.4评标委员会提出评标书面报告和推荐中标意见报</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审批，审批通过后将对预中标人进行最终澄清及对</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的资格和履约能力进行再次审查，形成最终合同的基础文件。如在最终澄清过程中，发现预中标人存在重大问题造成其履约能力不能满足要求的，须报监管部门并经批准后，</w:t>
      </w: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方可按顺序选择候补</w:t>
      </w:r>
      <w:r>
        <w:rPr>
          <w:rFonts w:hint="eastAsia" w:ascii="宋体" w:hAnsi="宋体"/>
          <w:color w:val="auto"/>
          <w:sz w:val="24"/>
          <w:szCs w:val="24"/>
          <w:highlight w:val="none"/>
          <w:lang w:eastAsia="zh-CN"/>
        </w:rPr>
        <w:t>中标人</w:t>
      </w:r>
      <w:r>
        <w:rPr>
          <w:rFonts w:hint="eastAsia" w:ascii="宋体" w:hAnsi="宋体"/>
          <w:color w:val="auto"/>
          <w:sz w:val="24"/>
          <w:szCs w:val="24"/>
          <w:highlight w:val="none"/>
        </w:rPr>
        <w:t>或废标重招。</w:t>
      </w:r>
    </w:p>
    <w:p w14:paraId="269124B3">
      <w:pPr>
        <w:spacing w:line="360" w:lineRule="auto"/>
        <w:ind w:left="425" w:hanging="424" w:hangingChars="177"/>
        <w:rPr>
          <w:rFonts w:ascii="宋体" w:hAnsi="宋体"/>
          <w:color w:val="auto"/>
          <w:sz w:val="24"/>
          <w:highlight w:val="none"/>
        </w:rPr>
      </w:pPr>
      <w:r>
        <w:rPr>
          <w:rFonts w:hint="eastAsia" w:ascii="宋体" w:hAnsi="宋体"/>
          <w:color w:val="auto"/>
          <w:sz w:val="24"/>
          <w:highlight w:val="none"/>
        </w:rPr>
        <w:t>7.5最终澄清</w:t>
      </w:r>
      <w:r>
        <w:rPr>
          <w:rFonts w:hint="eastAsia" w:ascii="宋体"/>
          <w:color w:val="auto"/>
          <w:sz w:val="24"/>
          <w:szCs w:val="24"/>
          <w:highlight w:val="none"/>
        </w:rPr>
        <w:t>完成</w:t>
      </w:r>
      <w:r>
        <w:rPr>
          <w:rFonts w:hint="eastAsia" w:ascii="宋体" w:hAnsi="宋体"/>
          <w:color w:val="auto"/>
          <w:sz w:val="24"/>
          <w:highlight w:val="none"/>
        </w:rPr>
        <w:t>后，由采购代理机构根据</w:t>
      </w:r>
      <w:r>
        <w:rPr>
          <w:rFonts w:hint="eastAsia" w:ascii="宋体" w:hAnsi="宋体"/>
          <w:color w:val="auto"/>
          <w:sz w:val="24"/>
          <w:highlight w:val="none"/>
          <w:lang w:eastAsia="zh-CN"/>
        </w:rPr>
        <w:t>招标人</w:t>
      </w:r>
      <w:r>
        <w:rPr>
          <w:rFonts w:hint="eastAsia" w:ascii="宋体" w:hAnsi="宋体"/>
          <w:color w:val="auto"/>
          <w:sz w:val="24"/>
          <w:highlight w:val="none"/>
        </w:rPr>
        <w:t>的确认结果发布招标结果公告。采购代理机构将在下列媒体公告中标结果：</w:t>
      </w:r>
      <w:r>
        <w:rPr>
          <w:rFonts w:hint="eastAsia" w:hAnsi="宋体"/>
          <w:color w:val="auto"/>
          <w:sz w:val="24"/>
          <w:highlight w:val="none"/>
          <w:lang w:eastAsia="zh-CN"/>
        </w:rPr>
        <w:t>新疆政府采购网</w:t>
      </w:r>
      <w:r>
        <w:rPr>
          <w:rFonts w:ascii="宋体" w:hAnsi="宋体"/>
          <w:color w:val="auto"/>
          <w:sz w:val="24"/>
          <w:highlight w:val="none"/>
        </w:rPr>
        <w:t xml:space="preserve"> </w:t>
      </w:r>
      <w:r>
        <w:rPr>
          <w:rFonts w:hint="eastAsia" w:ascii="宋体" w:hAnsi="宋体"/>
          <w:color w:val="auto"/>
          <w:sz w:val="24"/>
          <w:highlight w:val="none"/>
        </w:rPr>
        <w:t>。</w:t>
      </w:r>
    </w:p>
    <w:p w14:paraId="2F78CD0E">
      <w:pPr>
        <w:spacing w:afterAutospacing="0" w:line="360" w:lineRule="auto"/>
        <w:ind w:left="425" w:hanging="424" w:hangingChars="177"/>
        <w:rPr>
          <w:rFonts w:ascii="宋体" w:hAnsi="宋体"/>
          <w:color w:val="auto"/>
          <w:sz w:val="24"/>
          <w:highlight w:val="none"/>
        </w:rPr>
      </w:pPr>
      <w:r>
        <w:rPr>
          <w:rFonts w:hint="eastAsia" w:ascii="宋体" w:hAnsi="宋体"/>
          <w:color w:val="auto"/>
          <w:sz w:val="24"/>
          <w:highlight w:val="none"/>
        </w:rPr>
        <w:t>7.6</w:t>
      </w:r>
      <w:r>
        <w:rPr>
          <w:rFonts w:hint="eastAsia" w:ascii="宋体" w:hAnsi="宋体"/>
          <w:color w:val="auto"/>
          <w:sz w:val="24"/>
          <w:highlight w:val="none"/>
          <w:lang w:eastAsia="zh-CN"/>
        </w:rPr>
        <w:t>招标人</w:t>
      </w:r>
      <w:r>
        <w:rPr>
          <w:rFonts w:hint="eastAsia" w:ascii="宋体" w:hAnsi="宋体"/>
          <w:color w:val="auto"/>
          <w:sz w:val="24"/>
          <w:highlight w:val="none"/>
        </w:rPr>
        <w:t>应当自</w:t>
      </w:r>
      <w:r>
        <w:rPr>
          <w:rFonts w:hint="eastAsia" w:ascii="宋体" w:hAnsi="宋体"/>
          <w:color w:val="auto"/>
          <w:sz w:val="24"/>
          <w:highlight w:val="none"/>
          <w:lang w:eastAsia="zh-CN"/>
        </w:rPr>
        <w:t>成交通知书</w:t>
      </w:r>
      <w:r>
        <w:rPr>
          <w:rFonts w:hint="eastAsia" w:ascii="宋体" w:hAnsi="宋体"/>
          <w:color w:val="auto"/>
          <w:sz w:val="24"/>
          <w:highlight w:val="none"/>
        </w:rPr>
        <w:t>发出之日起30日内，按照</w:t>
      </w:r>
      <w:r>
        <w:rPr>
          <w:rFonts w:hint="eastAsia" w:ascii="宋体" w:hAnsi="宋体"/>
          <w:color w:val="auto"/>
          <w:sz w:val="24"/>
          <w:highlight w:val="none"/>
          <w:lang w:eastAsia="zh-CN"/>
        </w:rPr>
        <w:t>招标文件</w:t>
      </w:r>
      <w:r>
        <w:rPr>
          <w:rFonts w:hint="eastAsia" w:ascii="宋体" w:hAnsi="宋体"/>
          <w:color w:val="auto"/>
          <w:sz w:val="24"/>
          <w:highlight w:val="none"/>
        </w:rPr>
        <w:t>和中标人</w:t>
      </w:r>
      <w:r>
        <w:rPr>
          <w:rFonts w:hint="eastAsia" w:ascii="宋体" w:hAnsi="宋体"/>
          <w:color w:val="auto"/>
          <w:sz w:val="24"/>
          <w:highlight w:val="none"/>
          <w:lang w:eastAsia="zh-CN"/>
        </w:rPr>
        <w:t>响应文件</w:t>
      </w:r>
      <w:r>
        <w:rPr>
          <w:rFonts w:hint="eastAsia" w:ascii="宋体" w:hAnsi="宋体"/>
          <w:color w:val="auto"/>
          <w:sz w:val="24"/>
          <w:highlight w:val="none"/>
        </w:rPr>
        <w:t>的规定，与中标人签订书面合同。所签订的合同不得对</w:t>
      </w:r>
      <w:r>
        <w:rPr>
          <w:rFonts w:hint="eastAsia" w:ascii="宋体" w:hAnsi="宋体"/>
          <w:color w:val="auto"/>
          <w:sz w:val="24"/>
          <w:highlight w:val="none"/>
          <w:lang w:eastAsia="zh-CN"/>
        </w:rPr>
        <w:t>招标文件</w:t>
      </w:r>
      <w:r>
        <w:rPr>
          <w:rFonts w:hint="eastAsia" w:ascii="宋体" w:hAnsi="宋体"/>
          <w:color w:val="auto"/>
          <w:sz w:val="24"/>
          <w:highlight w:val="none"/>
        </w:rPr>
        <w:t>确定的事项和中标人</w:t>
      </w:r>
      <w:r>
        <w:rPr>
          <w:rFonts w:hint="eastAsia" w:ascii="宋体" w:hAnsi="宋体"/>
          <w:color w:val="auto"/>
          <w:sz w:val="24"/>
          <w:highlight w:val="none"/>
          <w:lang w:eastAsia="zh-CN"/>
        </w:rPr>
        <w:t>响应文件</w:t>
      </w:r>
      <w:r>
        <w:rPr>
          <w:rFonts w:hint="eastAsia" w:ascii="宋体" w:hAnsi="宋体"/>
          <w:color w:val="auto"/>
          <w:sz w:val="24"/>
          <w:highlight w:val="none"/>
        </w:rPr>
        <w:t>作实质性修改。</w:t>
      </w:r>
    </w:p>
    <w:p w14:paraId="5A4F548E">
      <w:pPr>
        <w:pStyle w:val="6"/>
        <w:spacing w:before="0" w:beforeLines="0" w:beforeAutospacing="0" w:after="0" w:afterLines="0" w:afterAutospacing="0"/>
        <w:rPr>
          <w:rFonts w:hint="eastAsia"/>
          <w:color w:val="auto"/>
          <w:sz w:val="28"/>
          <w:szCs w:val="28"/>
          <w:highlight w:val="none"/>
        </w:rPr>
      </w:pPr>
      <w:bookmarkStart w:id="548" w:name="_Toc470184451"/>
      <w:bookmarkStart w:id="549" w:name="_Toc522529815"/>
      <w:bookmarkStart w:id="550" w:name="_Toc5714"/>
      <w:bookmarkStart w:id="551" w:name="_Toc439513171"/>
      <w:bookmarkStart w:id="552" w:name="_Toc509337061"/>
      <w:bookmarkStart w:id="553" w:name="_Toc523170352"/>
      <w:bookmarkStart w:id="554" w:name="_Toc498899393"/>
      <w:bookmarkStart w:id="555" w:name="_Toc10446429"/>
      <w:bookmarkStart w:id="556" w:name="_Toc487044262"/>
      <w:bookmarkStart w:id="557" w:name="_Toc509337176"/>
      <w:bookmarkStart w:id="558" w:name="_Toc479340799"/>
      <w:bookmarkStart w:id="559" w:name="_Toc9612861"/>
      <w:bookmarkStart w:id="560" w:name="_Toc416208496"/>
      <w:bookmarkStart w:id="561" w:name="_Toc458635606"/>
      <w:bookmarkStart w:id="562" w:name="_Toc11944602"/>
      <w:bookmarkStart w:id="563" w:name="_Toc524368800"/>
      <w:bookmarkStart w:id="564" w:name="_Toc422162002"/>
      <w:bookmarkStart w:id="565" w:name="_Toc439513455"/>
      <w:bookmarkStart w:id="566" w:name="_Toc477879850"/>
      <w:bookmarkStart w:id="567" w:name="_Toc494832097"/>
      <w:bookmarkStart w:id="568" w:name="_Toc438513744"/>
      <w:bookmarkStart w:id="569" w:name="_Toc439679278"/>
      <w:bookmarkStart w:id="570" w:name="_Toc514177063"/>
      <w:bookmarkStart w:id="571" w:name="_Toc498871261"/>
      <w:bookmarkStart w:id="572" w:name="_Toc5124219"/>
      <w:bookmarkStart w:id="573" w:name="_Toc414510790"/>
      <w:bookmarkStart w:id="574" w:name="_Toc458980403"/>
      <w:bookmarkStart w:id="575" w:name="_Toc9864097"/>
      <w:bookmarkStart w:id="576" w:name="_Toc422865431"/>
      <w:bookmarkStart w:id="577" w:name="_Toc17799"/>
      <w:bookmarkStart w:id="578" w:name="_Toc438508607"/>
      <w:bookmarkStart w:id="579" w:name="_Toc479325602"/>
      <w:bookmarkStart w:id="580" w:name="_Toc438722140"/>
      <w:bookmarkStart w:id="581" w:name="_Toc11931295"/>
      <w:bookmarkStart w:id="582" w:name="_Toc425347672"/>
      <w:bookmarkStart w:id="583" w:name="_Toc524517872"/>
      <w:bookmarkStart w:id="584" w:name="_Toc486969389"/>
      <w:bookmarkStart w:id="585" w:name="_Toc418023343"/>
      <w:r>
        <w:rPr>
          <w:rFonts w:hint="eastAsia"/>
          <w:color w:val="auto"/>
          <w:sz w:val="28"/>
          <w:szCs w:val="28"/>
          <w:highlight w:val="none"/>
        </w:rPr>
        <w:t>8、附表</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20E4CD1">
      <w:pPr>
        <w:spacing w:beforeAutospacing="0" w:line="360" w:lineRule="auto"/>
        <w:ind w:firstLine="460" w:firstLineChars="192"/>
        <w:rPr>
          <w:rFonts w:hint="eastAsia" w:ascii="宋体" w:hAnsi="宋体"/>
          <w:b/>
          <w:bCs/>
          <w:color w:val="auto"/>
          <w:sz w:val="24"/>
          <w:highlight w:val="none"/>
        </w:rPr>
      </w:pPr>
      <w:r>
        <w:rPr>
          <w:rFonts w:hint="eastAsia" w:ascii="宋体" w:hAnsi="宋体"/>
          <w:color w:val="auto"/>
          <w:sz w:val="24"/>
          <w:highlight w:val="none"/>
        </w:rPr>
        <w:t>附表1 资格审查表</w:t>
      </w:r>
    </w:p>
    <w:p w14:paraId="07FA2CA3">
      <w:pPr>
        <w:spacing w:line="360" w:lineRule="auto"/>
        <w:ind w:firstLine="460" w:firstLineChars="192"/>
        <w:rPr>
          <w:rFonts w:hint="eastAsia" w:ascii="宋体" w:hAnsi="宋体"/>
          <w:color w:val="auto"/>
          <w:sz w:val="24"/>
          <w:highlight w:val="none"/>
        </w:rPr>
      </w:pPr>
      <w:r>
        <w:rPr>
          <w:rFonts w:hint="eastAsia" w:ascii="宋体" w:hAnsi="宋体"/>
          <w:color w:val="auto"/>
          <w:sz w:val="24"/>
          <w:highlight w:val="none"/>
        </w:rPr>
        <w:t>附表2 符合性审查表</w:t>
      </w:r>
    </w:p>
    <w:p w14:paraId="3CC57EE2">
      <w:pPr>
        <w:spacing w:line="360" w:lineRule="auto"/>
        <w:ind w:firstLine="460" w:firstLineChars="192"/>
        <w:rPr>
          <w:rFonts w:hint="eastAsia" w:ascii="宋体" w:hAnsi="宋体"/>
          <w:color w:val="auto"/>
          <w:sz w:val="24"/>
          <w:highlight w:val="none"/>
        </w:rPr>
      </w:pPr>
      <w:r>
        <w:rPr>
          <w:rFonts w:hint="eastAsia" w:ascii="宋体" w:hAnsi="宋体"/>
          <w:color w:val="auto"/>
          <w:sz w:val="24"/>
          <w:highlight w:val="none"/>
        </w:rPr>
        <w:t xml:space="preserve">附表3 </w:t>
      </w:r>
      <w:r>
        <w:rPr>
          <w:rFonts w:hint="eastAsia" w:ascii="宋体" w:hAnsi="宋体"/>
          <w:color w:val="auto"/>
          <w:sz w:val="24"/>
          <w:highlight w:val="none"/>
          <w:lang w:eastAsia="zh-CN"/>
        </w:rPr>
        <w:t>商务</w:t>
      </w:r>
      <w:r>
        <w:rPr>
          <w:rFonts w:hint="eastAsia" w:ascii="宋体" w:hAnsi="宋体"/>
          <w:color w:val="auto"/>
          <w:sz w:val="24"/>
          <w:highlight w:val="none"/>
        </w:rPr>
        <w:t>技术响应性评审表</w:t>
      </w:r>
    </w:p>
    <w:p w14:paraId="348D1573">
      <w:pPr>
        <w:spacing w:line="360" w:lineRule="auto"/>
        <w:ind w:firstLine="460" w:firstLineChars="192"/>
        <w:rPr>
          <w:rFonts w:hint="eastAsia"/>
          <w:color w:val="auto"/>
          <w:highlight w:val="none"/>
        </w:rPr>
      </w:pPr>
      <w:r>
        <w:rPr>
          <w:rFonts w:hint="eastAsia" w:ascii="宋体" w:hAnsi="宋体"/>
          <w:color w:val="auto"/>
          <w:sz w:val="24"/>
          <w:highlight w:val="none"/>
        </w:rPr>
        <w:t xml:space="preserve">附表4 </w:t>
      </w:r>
      <w:r>
        <w:rPr>
          <w:rFonts w:hint="eastAsia" w:ascii="宋体" w:hAnsi="宋体"/>
          <w:bCs/>
          <w:color w:val="auto"/>
          <w:sz w:val="24"/>
          <w:highlight w:val="none"/>
        </w:rPr>
        <w:t>价格响应性</w:t>
      </w:r>
      <w:r>
        <w:rPr>
          <w:rFonts w:hint="eastAsia" w:ascii="宋体" w:hAnsi="宋体"/>
          <w:color w:val="auto"/>
          <w:sz w:val="24"/>
          <w:highlight w:val="none"/>
        </w:rPr>
        <w:t>评审</w:t>
      </w:r>
      <w:r>
        <w:rPr>
          <w:rFonts w:hint="eastAsia" w:ascii="宋体" w:hAnsi="宋体"/>
          <w:bCs/>
          <w:color w:val="auto"/>
          <w:sz w:val="24"/>
          <w:highlight w:val="none"/>
        </w:rPr>
        <w:t>表</w:t>
      </w:r>
    </w:p>
    <w:p w14:paraId="4AA38BE5">
      <w:pPr>
        <w:spacing w:line="360" w:lineRule="auto"/>
        <w:outlineLvl w:val="2"/>
        <w:rPr>
          <w:rFonts w:ascii="宋体" w:hAnsi="宋体"/>
          <w:b/>
          <w:color w:val="auto"/>
          <w:sz w:val="24"/>
          <w:highlight w:val="none"/>
        </w:rPr>
      </w:pPr>
      <w:r>
        <w:rPr>
          <w:rFonts w:ascii="宋体" w:hAnsi="宋体"/>
          <w:color w:val="auto"/>
          <w:sz w:val="24"/>
          <w:highlight w:val="none"/>
        </w:rPr>
        <w:br w:type="page"/>
      </w:r>
      <w:bookmarkStart w:id="586" w:name="_Toc514177064"/>
      <w:bookmarkStart w:id="587" w:name="_Toc509337062"/>
      <w:bookmarkStart w:id="588" w:name="_Toc31519"/>
      <w:bookmarkStart w:id="589" w:name="_Toc524368801"/>
      <w:bookmarkStart w:id="590" w:name="_Toc498871262"/>
      <w:bookmarkStart w:id="591" w:name="_Toc498899394"/>
      <w:bookmarkStart w:id="592" w:name="_Toc522529816"/>
      <w:bookmarkStart w:id="593" w:name="_Toc9612862"/>
      <w:bookmarkStart w:id="594" w:name="_Toc11931296"/>
      <w:bookmarkStart w:id="595" w:name="_Toc524517873"/>
      <w:bookmarkStart w:id="596" w:name="_Toc5124220"/>
      <w:bookmarkStart w:id="597" w:name="_Toc509337177"/>
      <w:bookmarkStart w:id="598" w:name="_Toc11944603"/>
      <w:bookmarkStart w:id="599" w:name="_Toc523170353"/>
      <w:bookmarkStart w:id="600" w:name="_Toc494832098"/>
      <w:bookmarkStart w:id="601" w:name="_Toc9864098"/>
      <w:bookmarkStart w:id="602" w:name="_Toc10446430"/>
      <w:bookmarkStart w:id="603" w:name="_Toc439513172"/>
      <w:bookmarkStart w:id="604" w:name="_Toc438508608"/>
      <w:bookmarkStart w:id="605" w:name="_Toc422162003"/>
      <w:bookmarkStart w:id="606" w:name="_Toc438722141"/>
      <w:bookmarkStart w:id="607" w:name="_Toc479325603"/>
      <w:bookmarkStart w:id="608" w:name="_Toc487044263"/>
      <w:bookmarkStart w:id="609" w:name="_Toc416208497"/>
      <w:bookmarkStart w:id="610" w:name="_Toc477879851"/>
      <w:bookmarkStart w:id="611" w:name="_Toc439513456"/>
      <w:bookmarkStart w:id="612" w:name="_Toc439679279"/>
      <w:bookmarkStart w:id="613" w:name="_Toc458635607"/>
      <w:bookmarkStart w:id="614" w:name="_Toc422865432"/>
      <w:bookmarkStart w:id="615" w:name="_Toc438513745"/>
      <w:bookmarkStart w:id="616" w:name="_Toc6196"/>
      <w:bookmarkStart w:id="617" w:name="_Toc479340800"/>
      <w:bookmarkStart w:id="618" w:name="_Toc414510791"/>
      <w:bookmarkStart w:id="619" w:name="_Toc486969390"/>
      <w:bookmarkStart w:id="620" w:name="_Toc425347673"/>
      <w:bookmarkStart w:id="621" w:name="_Toc458980404"/>
      <w:bookmarkStart w:id="622" w:name="_Toc418023344"/>
      <w:bookmarkStart w:id="623" w:name="_Toc470184452"/>
      <w:r>
        <w:rPr>
          <w:rFonts w:hint="eastAsia" w:ascii="宋体" w:hAnsi="宋体"/>
          <w:b/>
          <w:color w:val="auto"/>
          <w:sz w:val="24"/>
          <w:highlight w:val="none"/>
        </w:rPr>
        <w:t>附表1 资格审查表</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tbl>
      <w:tblPr>
        <w:tblStyle w:val="30"/>
        <w:tblW w:w="92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507"/>
      </w:tblGrid>
      <w:tr w14:paraId="2260B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52" w:type="dxa"/>
            <w:tcBorders>
              <w:tl2br w:val="nil"/>
              <w:tr2bl w:val="nil"/>
            </w:tcBorders>
            <w:shd w:val="clear" w:color="auto" w:fill="D7D7D7"/>
            <w:noWrap w:val="0"/>
            <w:vAlign w:val="center"/>
          </w:tcPr>
          <w:p w14:paraId="3B3034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序号</w:t>
            </w:r>
          </w:p>
        </w:tc>
        <w:tc>
          <w:tcPr>
            <w:tcW w:w="8507" w:type="dxa"/>
            <w:tcBorders>
              <w:tl2br w:val="nil"/>
              <w:tr2bl w:val="nil"/>
            </w:tcBorders>
            <w:shd w:val="clear" w:color="auto" w:fill="D7D7D7"/>
            <w:noWrap w:val="0"/>
            <w:vAlign w:val="center"/>
          </w:tcPr>
          <w:p w14:paraId="4471CBF4">
            <w:pPr>
              <w:keepNext w:val="0"/>
              <w:keepLines w:val="0"/>
              <w:pageBreakBefore w:val="0"/>
              <w:widowControl w:val="0"/>
              <w:kinsoku/>
              <w:wordWrap/>
              <w:overflowPunct/>
              <w:topLinePunct w:val="0"/>
              <w:autoSpaceDE/>
              <w:autoSpaceDN/>
              <w:bidi w:val="0"/>
              <w:adjustRightInd/>
              <w:snapToGrid/>
              <w:spacing w:line="360" w:lineRule="auto"/>
              <w:ind w:right="-124" w:rightChars="-59"/>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评审内容</w:t>
            </w:r>
          </w:p>
        </w:tc>
      </w:tr>
      <w:tr w14:paraId="4ACF3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752" w:type="dxa"/>
            <w:tcBorders>
              <w:tl2br w:val="nil"/>
              <w:tr2bl w:val="nil"/>
            </w:tcBorders>
            <w:noWrap w:val="0"/>
            <w:vAlign w:val="center"/>
          </w:tcPr>
          <w:p w14:paraId="573FB4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Tahoma"/>
                <w:color w:val="auto"/>
                <w:sz w:val="24"/>
                <w:highlight w:val="none"/>
              </w:rPr>
            </w:pPr>
            <w:r>
              <w:rPr>
                <w:rFonts w:hint="eastAsia" w:ascii="宋体" w:hAnsi="宋体" w:cs="Tahoma"/>
                <w:color w:val="auto"/>
                <w:sz w:val="24"/>
                <w:highlight w:val="none"/>
              </w:rPr>
              <w:t>1</w:t>
            </w:r>
          </w:p>
        </w:tc>
        <w:tc>
          <w:tcPr>
            <w:tcW w:w="8507" w:type="dxa"/>
            <w:tcBorders>
              <w:tl2br w:val="nil"/>
              <w:tr2bl w:val="nil"/>
            </w:tcBorders>
            <w:noWrap w:val="0"/>
            <w:vAlign w:val="center"/>
          </w:tcPr>
          <w:p w14:paraId="4E2CA7C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Tahoma"/>
                <w:color w:val="auto"/>
                <w:sz w:val="24"/>
                <w:szCs w:val="24"/>
                <w:highlight w:val="none"/>
              </w:rPr>
            </w:pPr>
            <w:r>
              <w:rPr>
                <w:rFonts w:hint="eastAsia" w:ascii="宋体" w:hAnsi="宋体" w:cs="Tahoma"/>
                <w:color w:val="auto"/>
                <w:kern w:val="28"/>
                <w:sz w:val="24"/>
                <w:highlight w:val="none"/>
              </w:rPr>
              <w:t>具备《政府采购法》第二十二条</w:t>
            </w:r>
            <w:r>
              <w:rPr>
                <w:rFonts w:hint="eastAsia" w:ascii="宋体" w:hAnsi="宋体" w:cs="Tahoma"/>
                <w:color w:val="auto"/>
                <w:kern w:val="28"/>
                <w:sz w:val="24"/>
                <w:highlight w:val="none"/>
                <w:lang w:eastAsia="zh-CN"/>
              </w:rPr>
              <w:t>供应商</w:t>
            </w:r>
            <w:r>
              <w:rPr>
                <w:rFonts w:hint="eastAsia" w:ascii="宋体" w:hAnsi="宋体" w:cs="Tahoma"/>
                <w:color w:val="auto"/>
                <w:kern w:val="28"/>
                <w:sz w:val="24"/>
                <w:highlight w:val="none"/>
              </w:rPr>
              <w:t>资格条件</w:t>
            </w:r>
          </w:p>
        </w:tc>
      </w:tr>
      <w:tr w14:paraId="59E70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52" w:type="dxa"/>
            <w:tcBorders>
              <w:tl2br w:val="nil"/>
              <w:tr2bl w:val="nil"/>
            </w:tcBorders>
            <w:noWrap w:val="0"/>
            <w:vAlign w:val="center"/>
          </w:tcPr>
          <w:p w14:paraId="798F1C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Tahoma"/>
                <w:color w:val="auto"/>
                <w:sz w:val="24"/>
                <w:highlight w:val="none"/>
                <w:lang w:val="en-US" w:eastAsia="zh-CN"/>
              </w:rPr>
            </w:pPr>
            <w:r>
              <w:rPr>
                <w:rFonts w:hint="eastAsia" w:ascii="宋体" w:hAnsi="宋体" w:cs="Tahoma"/>
                <w:color w:val="auto"/>
                <w:sz w:val="24"/>
                <w:highlight w:val="none"/>
                <w:lang w:val="en-US" w:eastAsia="zh-CN"/>
              </w:rPr>
              <w:t>2</w:t>
            </w:r>
          </w:p>
        </w:tc>
        <w:tc>
          <w:tcPr>
            <w:tcW w:w="8507" w:type="dxa"/>
            <w:tcBorders>
              <w:tl2br w:val="nil"/>
              <w:tr2bl w:val="nil"/>
            </w:tcBorders>
            <w:noWrap w:val="0"/>
            <w:vAlign w:val="center"/>
          </w:tcPr>
          <w:p w14:paraId="5CEEFB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Tahoma"/>
                <w:color w:val="auto"/>
                <w:sz w:val="24"/>
                <w:highlight w:val="none"/>
                <w:lang w:eastAsia="zh-CN"/>
              </w:rPr>
            </w:pPr>
            <w:r>
              <w:rPr>
                <w:rFonts w:hint="eastAsia" w:ascii="宋体" w:hAnsi="宋体" w:cs="Tahoma"/>
                <w:color w:val="auto"/>
                <w:sz w:val="24"/>
                <w:highlight w:val="none"/>
                <w:lang w:val="en-US" w:eastAsia="zh-CN"/>
              </w:rPr>
              <w:t>在中华人民共和国境内依法注册的、具有独立承担民事责任的能力，提供有效的营业执照；</w:t>
            </w:r>
          </w:p>
        </w:tc>
      </w:tr>
      <w:tr w14:paraId="32669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52" w:type="dxa"/>
            <w:tcBorders>
              <w:tl2br w:val="nil"/>
              <w:tr2bl w:val="nil"/>
            </w:tcBorders>
            <w:noWrap w:val="0"/>
            <w:vAlign w:val="center"/>
          </w:tcPr>
          <w:p w14:paraId="5308BD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Tahoma"/>
                <w:color w:val="auto"/>
                <w:sz w:val="24"/>
                <w:highlight w:val="none"/>
                <w:lang w:val="en-US" w:eastAsia="zh-CN"/>
              </w:rPr>
            </w:pPr>
            <w:r>
              <w:rPr>
                <w:rFonts w:hint="eastAsia" w:ascii="宋体" w:hAnsi="宋体" w:cs="Tahoma"/>
                <w:color w:val="auto"/>
                <w:sz w:val="24"/>
                <w:highlight w:val="none"/>
                <w:lang w:val="en-US" w:eastAsia="zh-CN"/>
              </w:rPr>
              <w:t>3</w:t>
            </w:r>
          </w:p>
        </w:tc>
        <w:tc>
          <w:tcPr>
            <w:tcW w:w="8507" w:type="dxa"/>
            <w:tcBorders>
              <w:tl2br w:val="nil"/>
              <w:tr2bl w:val="nil"/>
            </w:tcBorders>
            <w:noWrap w:val="0"/>
            <w:vAlign w:val="center"/>
          </w:tcPr>
          <w:p w14:paraId="747D18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Tahoma"/>
                <w:color w:val="auto"/>
                <w:sz w:val="24"/>
                <w:highlight w:val="none"/>
                <w:lang w:val="en-US"/>
              </w:rPr>
            </w:pPr>
            <w:r>
              <w:rPr>
                <w:rFonts w:hint="eastAsia" w:ascii="宋体" w:hAnsi="宋体" w:cs="Tahoma"/>
                <w:color w:val="auto"/>
                <w:sz w:val="24"/>
                <w:highlight w:val="none"/>
                <w:lang w:val="en-US" w:eastAsia="zh-CN"/>
              </w:rPr>
              <w:t>有效的法定代表人身份证明（法人）及法人身份证或具有法定效力的法定代表人授权委托书（非法人，须明确采购项目及包段名称、授权事项、权限、期限等）、被委托人身份证；</w:t>
            </w:r>
          </w:p>
        </w:tc>
      </w:tr>
      <w:tr w14:paraId="67B42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52" w:type="dxa"/>
            <w:tcBorders>
              <w:tl2br w:val="nil"/>
              <w:tr2bl w:val="nil"/>
            </w:tcBorders>
            <w:noWrap w:val="0"/>
            <w:vAlign w:val="center"/>
          </w:tcPr>
          <w:p w14:paraId="3DA454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Tahoma"/>
                <w:color w:val="auto"/>
                <w:sz w:val="24"/>
                <w:highlight w:val="none"/>
                <w:lang w:val="en-US" w:eastAsia="zh-CN"/>
              </w:rPr>
            </w:pPr>
            <w:r>
              <w:rPr>
                <w:rFonts w:hint="eastAsia" w:ascii="宋体" w:hAnsi="宋体" w:cs="Tahoma"/>
                <w:color w:val="auto"/>
                <w:sz w:val="24"/>
                <w:highlight w:val="none"/>
                <w:lang w:val="en-US" w:eastAsia="zh-CN"/>
              </w:rPr>
              <w:t>4</w:t>
            </w:r>
          </w:p>
        </w:tc>
        <w:tc>
          <w:tcPr>
            <w:tcW w:w="8507" w:type="dxa"/>
            <w:tcBorders>
              <w:tl2br w:val="nil"/>
              <w:tr2bl w:val="nil"/>
            </w:tcBorders>
            <w:noWrap w:val="0"/>
            <w:vAlign w:val="center"/>
          </w:tcPr>
          <w:p w14:paraId="64565FE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ahoma"/>
                <w:color w:val="auto"/>
                <w:kern w:val="2"/>
                <w:sz w:val="24"/>
                <w:highlight w:val="none"/>
                <w:lang w:val="en-US" w:eastAsia="zh-CN" w:bidi="ar-SA"/>
              </w:rPr>
            </w:pPr>
            <w:r>
              <w:rPr>
                <w:rFonts w:hint="eastAsia" w:ascii="宋体" w:hAnsi="宋体" w:cs="Tahoma"/>
                <w:color w:val="auto"/>
                <w:sz w:val="24"/>
                <w:highlight w:val="none"/>
                <w:lang w:val="en-US" w:eastAsia="zh-CN"/>
              </w:rPr>
              <w:t>信誉要求：供应商必须有良好的信誉。没有处于被责令停业，投标资格被取消，财产被接管、冻结、破产状态；</w:t>
            </w:r>
          </w:p>
        </w:tc>
      </w:tr>
      <w:tr w14:paraId="786FD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52" w:type="dxa"/>
            <w:tcBorders>
              <w:tl2br w:val="nil"/>
              <w:tr2bl w:val="nil"/>
            </w:tcBorders>
            <w:noWrap w:val="0"/>
            <w:vAlign w:val="center"/>
          </w:tcPr>
          <w:p w14:paraId="18C4AF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Tahoma"/>
                <w:color w:val="auto"/>
                <w:sz w:val="24"/>
                <w:highlight w:val="none"/>
                <w:lang w:val="en-US" w:eastAsia="zh-CN"/>
              </w:rPr>
            </w:pPr>
            <w:r>
              <w:rPr>
                <w:rFonts w:hint="eastAsia" w:ascii="宋体" w:hAnsi="宋体" w:cs="Tahoma"/>
                <w:color w:val="auto"/>
                <w:sz w:val="24"/>
                <w:highlight w:val="none"/>
                <w:lang w:val="en-US" w:eastAsia="zh-CN"/>
              </w:rPr>
              <w:t>5</w:t>
            </w:r>
          </w:p>
        </w:tc>
        <w:tc>
          <w:tcPr>
            <w:tcW w:w="8507" w:type="dxa"/>
            <w:tcBorders>
              <w:tl2br w:val="nil"/>
              <w:tr2bl w:val="nil"/>
            </w:tcBorders>
            <w:noWrap w:val="0"/>
            <w:vAlign w:val="center"/>
          </w:tcPr>
          <w:p w14:paraId="1163385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ahoma"/>
                <w:color w:val="auto"/>
                <w:kern w:val="2"/>
                <w:sz w:val="24"/>
                <w:highlight w:val="none"/>
                <w:lang w:val="en-US" w:eastAsia="zh-CN" w:bidi="ar-SA"/>
              </w:rPr>
            </w:pPr>
            <w:r>
              <w:rPr>
                <w:rFonts w:hint="eastAsia" w:ascii="宋体" w:hAnsi="宋体" w:cs="Tahoma"/>
                <w:color w:val="auto"/>
                <w:sz w:val="24"/>
                <w:highlight w:val="none"/>
                <w:lang w:val="en-US" w:eastAsia="zh-CN"/>
              </w:rPr>
              <w:t>单位负责人为同一人或者存在直接控股、管理关系的不同供应商，不得参加同一合同项下的政府采购活动；</w:t>
            </w:r>
          </w:p>
        </w:tc>
      </w:tr>
      <w:tr w14:paraId="366F6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52" w:type="dxa"/>
            <w:tcBorders>
              <w:tl2br w:val="nil"/>
              <w:tr2bl w:val="nil"/>
            </w:tcBorders>
            <w:noWrap w:val="0"/>
            <w:vAlign w:val="center"/>
          </w:tcPr>
          <w:p w14:paraId="70ECD4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cs="Tahoma"/>
                <w:color w:val="auto"/>
                <w:sz w:val="24"/>
                <w:highlight w:val="none"/>
                <w:lang w:val="en-US" w:eastAsia="zh-CN"/>
              </w:rPr>
            </w:pPr>
            <w:r>
              <w:rPr>
                <w:rFonts w:hint="eastAsia" w:ascii="宋体" w:hAnsi="宋体" w:cs="Tahoma"/>
                <w:color w:val="auto"/>
                <w:sz w:val="24"/>
                <w:highlight w:val="none"/>
                <w:lang w:val="en-US" w:eastAsia="zh-CN"/>
              </w:rPr>
              <w:t>6</w:t>
            </w:r>
          </w:p>
        </w:tc>
        <w:tc>
          <w:tcPr>
            <w:tcW w:w="8507" w:type="dxa"/>
            <w:tcBorders>
              <w:tl2br w:val="nil"/>
              <w:tr2bl w:val="nil"/>
            </w:tcBorders>
            <w:noWrap w:val="0"/>
            <w:vAlign w:val="center"/>
          </w:tcPr>
          <w:p w14:paraId="3013DC8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ahoma"/>
                <w:color w:val="auto"/>
                <w:kern w:val="2"/>
                <w:sz w:val="24"/>
                <w:highlight w:val="none"/>
                <w:lang w:val="en-US" w:eastAsia="zh-CN" w:bidi="ar-SA"/>
              </w:rPr>
            </w:pPr>
            <w:r>
              <w:rPr>
                <w:rFonts w:hint="eastAsia" w:ascii="宋体" w:hAnsi="宋体" w:cs="Tahoma"/>
                <w:color w:val="auto"/>
                <w:sz w:val="24"/>
                <w:highlight w:val="none"/>
                <w:lang w:val="en-US" w:eastAsia="zh-CN"/>
              </w:rPr>
              <w:t>符合国家有关法律法规的规定；</w:t>
            </w:r>
          </w:p>
        </w:tc>
      </w:tr>
      <w:tr w14:paraId="62B9A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52" w:type="dxa"/>
            <w:tcBorders>
              <w:tl2br w:val="nil"/>
              <w:tr2bl w:val="nil"/>
            </w:tcBorders>
            <w:noWrap w:val="0"/>
            <w:vAlign w:val="center"/>
          </w:tcPr>
          <w:p w14:paraId="1F8ADC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Tahoma"/>
                <w:color w:val="auto"/>
                <w:kern w:val="2"/>
                <w:sz w:val="24"/>
                <w:highlight w:val="none"/>
                <w:lang w:val="en-US" w:eastAsia="zh-CN" w:bidi="ar-SA"/>
              </w:rPr>
            </w:pPr>
            <w:r>
              <w:rPr>
                <w:rFonts w:hint="eastAsia" w:ascii="宋体" w:hAnsi="宋体" w:cs="Tahoma"/>
                <w:color w:val="auto"/>
                <w:sz w:val="24"/>
                <w:highlight w:val="none"/>
                <w:lang w:val="en-US" w:eastAsia="zh-CN"/>
              </w:rPr>
              <w:t>7</w:t>
            </w:r>
          </w:p>
        </w:tc>
        <w:tc>
          <w:tcPr>
            <w:tcW w:w="8507" w:type="dxa"/>
            <w:tcBorders>
              <w:tl2br w:val="nil"/>
              <w:tr2bl w:val="nil"/>
            </w:tcBorders>
            <w:noWrap w:val="0"/>
            <w:vAlign w:val="center"/>
          </w:tcPr>
          <w:p w14:paraId="2FDF73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Tahoma"/>
                <w:color w:val="auto"/>
                <w:sz w:val="24"/>
                <w:highlight w:val="none"/>
                <w:lang w:val="en-US" w:eastAsia="zh-CN"/>
              </w:rPr>
            </w:pPr>
            <w:r>
              <w:rPr>
                <w:rFonts w:hint="eastAsia" w:ascii="宋体" w:hAnsi="宋体" w:cs="Tahoma"/>
                <w:color w:val="auto"/>
                <w:kern w:val="2"/>
                <w:sz w:val="24"/>
                <w:highlight w:val="none"/>
                <w:lang w:val="en-US" w:eastAsia="zh-CN" w:bidi="ar-SA"/>
              </w:rPr>
              <w:t>供应商</w:t>
            </w:r>
            <w:r>
              <w:rPr>
                <w:rFonts w:hint="eastAsia" w:ascii="宋体" w:hAnsi="宋体" w:eastAsia="宋体" w:cs="Tahoma"/>
                <w:color w:val="auto"/>
                <w:kern w:val="2"/>
                <w:sz w:val="24"/>
                <w:highlight w:val="none"/>
                <w:lang w:val="en-US" w:eastAsia="zh-CN" w:bidi="ar-SA"/>
              </w:rPr>
              <w:t>为中小企业（含中型、小型、微型企业）采购项目，并提供中小企业声明函；</w:t>
            </w:r>
          </w:p>
        </w:tc>
      </w:tr>
      <w:tr w14:paraId="293EB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0" w:type="auto"/>
            <w:vAlign w:val="center"/>
          </w:tcPr>
          <w:p w14:paraId="268F81D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Tahoma"/>
                <w:color w:val="auto"/>
                <w:sz w:val="24"/>
                <w:highlight w:val="none"/>
                <w:lang w:val="en-US" w:eastAsia="zh-CN"/>
              </w:rPr>
            </w:pPr>
            <w:r>
              <w:rPr>
                <w:rFonts w:hint="eastAsia" w:ascii="宋体" w:hAnsi="宋体" w:cs="Tahoma"/>
                <w:color w:val="auto"/>
                <w:sz w:val="24"/>
                <w:highlight w:val="none"/>
                <w:lang w:eastAsia="zh-CN"/>
              </w:rPr>
              <w:t>结论</w:t>
            </w:r>
          </w:p>
        </w:tc>
        <w:tc>
          <w:tcPr>
            <w:tcW w:w="0" w:type="auto"/>
            <w:vAlign w:val="center"/>
          </w:tcPr>
          <w:p w14:paraId="29717B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Tahoma"/>
                <w:color w:val="auto"/>
                <w:sz w:val="24"/>
                <w:highlight w:val="none"/>
                <w:lang w:val="en-US" w:eastAsia="zh-CN"/>
              </w:rPr>
            </w:pPr>
            <w:r>
              <w:rPr>
                <w:rFonts w:hint="eastAsia" w:ascii="宋体" w:hAnsi="宋体" w:cs="Tahoma"/>
                <w:color w:val="auto"/>
                <w:sz w:val="24"/>
                <w:highlight w:val="none"/>
                <w:lang w:val="en-US" w:eastAsia="zh-CN"/>
              </w:rPr>
              <w:t>（通过/不通过）</w:t>
            </w:r>
          </w:p>
        </w:tc>
      </w:tr>
    </w:tbl>
    <w:p w14:paraId="56701505">
      <w:pPr>
        <w:rPr>
          <w:rFonts w:hint="eastAsia" w:ascii="time of new roman" w:hAnsi="time of new roman"/>
          <w:color w:val="auto"/>
          <w:szCs w:val="21"/>
          <w:highlight w:val="none"/>
        </w:rPr>
      </w:pPr>
      <w:r>
        <w:rPr>
          <w:rFonts w:hint="eastAsia" w:ascii="time of new roman" w:hAnsi="time of new roman"/>
          <w:color w:val="auto"/>
          <w:szCs w:val="21"/>
          <w:highlight w:val="none"/>
        </w:rPr>
        <w:t>注：</w:t>
      </w:r>
    </w:p>
    <w:p w14:paraId="257F7234">
      <w:pPr>
        <w:rPr>
          <w:rFonts w:hint="eastAsia" w:ascii="宋体" w:hAnsi="宋体"/>
          <w:color w:val="auto"/>
          <w:highlight w:val="none"/>
        </w:rPr>
      </w:pPr>
      <w:r>
        <w:rPr>
          <w:rFonts w:hint="eastAsia" w:ascii="time of new roman" w:hAnsi="time of new roman"/>
          <w:color w:val="auto"/>
          <w:szCs w:val="21"/>
          <w:highlight w:val="none"/>
          <w:lang w:val="en-US" w:eastAsia="zh-CN"/>
        </w:rPr>
        <w:t>1、</w:t>
      </w:r>
      <w:r>
        <w:rPr>
          <w:rFonts w:hint="eastAsia" w:ascii="宋体" w:hAnsi="宋体"/>
          <w:color w:val="auto"/>
          <w:highlight w:val="none"/>
        </w:rPr>
        <w:t>结论栏中填写“通过”表示该</w:t>
      </w:r>
      <w:r>
        <w:rPr>
          <w:rFonts w:hint="eastAsia" w:ascii="宋体" w:hAnsi="宋体"/>
          <w:color w:val="auto"/>
          <w:highlight w:val="none"/>
          <w:lang w:eastAsia="zh-CN"/>
        </w:rPr>
        <w:t>供应商响应文件</w:t>
      </w:r>
      <w:r>
        <w:rPr>
          <w:rFonts w:hint="eastAsia" w:ascii="宋体" w:hAnsi="宋体"/>
          <w:color w:val="auto"/>
          <w:highlight w:val="none"/>
        </w:rPr>
        <w:t>符合</w:t>
      </w:r>
      <w:r>
        <w:rPr>
          <w:rFonts w:hint="eastAsia" w:ascii="宋体" w:hAnsi="宋体"/>
          <w:color w:val="auto"/>
          <w:highlight w:val="none"/>
          <w:lang w:eastAsia="zh-CN"/>
        </w:rPr>
        <w:t>招标文件</w:t>
      </w:r>
      <w:r>
        <w:rPr>
          <w:rFonts w:hint="eastAsia" w:ascii="宋体" w:hAnsi="宋体"/>
          <w:color w:val="auto"/>
          <w:highlight w:val="none"/>
        </w:rPr>
        <w:t>资格要求，“不通过”表示该</w:t>
      </w:r>
      <w:r>
        <w:rPr>
          <w:rFonts w:hint="eastAsia" w:ascii="宋体" w:hAnsi="宋体"/>
          <w:color w:val="auto"/>
          <w:highlight w:val="none"/>
          <w:lang w:eastAsia="zh-CN"/>
        </w:rPr>
        <w:t>供应商响应文件</w:t>
      </w:r>
      <w:r>
        <w:rPr>
          <w:rFonts w:hint="eastAsia" w:ascii="宋体" w:hAnsi="宋体"/>
          <w:color w:val="auto"/>
          <w:highlight w:val="none"/>
        </w:rPr>
        <w:t>不符合</w:t>
      </w:r>
      <w:r>
        <w:rPr>
          <w:rFonts w:hint="eastAsia" w:ascii="宋体" w:hAnsi="宋体"/>
          <w:color w:val="auto"/>
          <w:highlight w:val="none"/>
          <w:lang w:eastAsia="zh-CN"/>
        </w:rPr>
        <w:t>招标文件</w:t>
      </w:r>
      <w:r>
        <w:rPr>
          <w:rFonts w:hint="eastAsia" w:ascii="宋体" w:hAnsi="宋体"/>
          <w:color w:val="auto"/>
          <w:highlight w:val="none"/>
        </w:rPr>
        <w:t>资格要求；</w:t>
      </w:r>
    </w:p>
    <w:p w14:paraId="70C6FAA9">
      <w:pPr>
        <w:rPr>
          <w:rFonts w:hint="eastAsia" w:ascii="宋体" w:hAnsi="宋体"/>
          <w:color w:val="auto"/>
          <w:highlight w:val="none"/>
        </w:rPr>
      </w:pPr>
      <w:r>
        <w:rPr>
          <w:rFonts w:hint="eastAsia" w:ascii="宋体" w:hAnsi="宋体"/>
          <w:color w:val="auto"/>
          <w:highlight w:val="none"/>
        </w:rPr>
        <w:t>2、汇总结论按少数服从多数原则确定。</w:t>
      </w:r>
    </w:p>
    <w:p w14:paraId="787C1557">
      <w:pPr>
        <w:spacing w:line="360" w:lineRule="auto"/>
        <w:outlineLvl w:val="2"/>
        <w:rPr>
          <w:rFonts w:ascii="宋体" w:hAnsi="宋体"/>
          <w:b/>
          <w:color w:val="auto"/>
          <w:sz w:val="24"/>
          <w:highlight w:val="none"/>
        </w:rPr>
      </w:pPr>
      <w:r>
        <w:rPr>
          <w:rFonts w:ascii="宋体" w:hAnsi="宋体"/>
          <w:color w:val="auto"/>
          <w:sz w:val="24"/>
          <w:highlight w:val="none"/>
        </w:rPr>
        <w:br w:type="page"/>
      </w:r>
      <w:bookmarkStart w:id="624" w:name="_Toc11944604"/>
      <w:bookmarkStart w:id="625" w:name="_Toc16089"/>
      <w:bookmarkStart w:id="626" w:name="_Toc509337178"/>
      <w:bookmarkStart w:id="627" w:name="_Toc514177065"/>
      <w:bookmarkStart w:id="628" w:name="_Toc10446431"/>
      <w:bookmarkStart w:id="629" w:name="_Toc5124221"/>
      <w:bookmarkStart w:id="630" w:name="_Toc498899395"/>
      <w:bookmarkStart w:id="631" w:name="_Toc509337063"/>
      <w:bookmarkStart w:id="632" w:name="_Toc9864099"/>
      <w:bookmarkStart w:id="633" w:name="_Toc523170354"/>
      <w:bookmarkStart w:id="634" w:name="_Toc494832099"/>
      <w:bookmarkStart w:id="635" w:name="_Toc9612863"/>
      <w:bookmarkStart w:id="636" w:name="_Toc522529817"/>
      <w:bookmarkStart w:id="637" w:name="_Toc11931297"/>
      <w:bookmarkStart w:id="638" w:name="_Toc498871263"/>
      <w:bookmarkStart w:id="639" w:name="_Toc524368802"/>
      <w:bookmarkStart w:id="640" w:name="_Toc524517874"/>
      <w:r>
        <w:rPr>
          <w:rFonts w:hint="eastAsia" w:ascii="宋体" w:hAnsi="宋体"/>
          <w:b/>
          <w:color w:val="auto"/>
          <w:sz w:val="24"/>
          <w:highlight w:val="none"/>
        </w:rPr>
        <w:t>附表2</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Pr>
          <w:rFonts w:hint="eastAsia" w:ascii="宋体" w:hAnsi="宋体"/>
          <w:b/>
          <w:color w:val="auto"/>
          <w:sz w:val="24"/>
          <w:highlight w:val="none"/>
        </w:rPr>
        <w:t xml:space="preserve"> 符合性审查表</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tbl>
      <w:tblPr>
        <w:tblStyle w:val="30"/>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88"/>
        <w:gridCol w:w="8471"/>
      </w:tblGrid>
      <w:tr w14:paraId="6986C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38" w:hRule="atLeast"/>
        </w:trPr>
        <w:tc>
          <w:tcPr>
            <w:tcW w:w="688" w:type="dxa"/>
            <w:vMerge w:val="restart"/>
            <w:tcBorders>
              <w:tl2br w:val="nil"/>
              <w:tr2bl w:val="nil"/>
            </w:tcBorders>
            <w:shd w:val="clear" w:color="auto" w:fill="D7D7D7"/>
            <w:noWrap w:val="0"/>
            <w:tcMar>
              <w:top w:w="16" w:type="dxa"/>
              <w:left w:w="16" w:type="dxa"/>
              <w:bottom w:w="0" w:type="dxa"/>
              <w:right w:w="16" w:type="dxa"/>
            </w:tcMar>
            <w:vAlign w:val="center"/>
          </w:tcPr>
          <w:p w14:paraId="62873746">
            <w:pPr>
              <w:spacing w:line="400" w:lineRule="exact"/>
              <w:ind w:right="-120" w:rightChars="-57"/>
              <w:jc w:val="center"/>
              <w:rPr>
                <w:rFonts w:hint="eastAsia" w:ascii="宋体" w:hAnsi="宋体"/>
                <w:b/>
                <w:color w:val="auto"/>
                <w:sz w:val="24"/>
                <w:highlight w:val="none"/>
              </w:rPr>
            </w:pPr>
            <w:r>
              <w:rPr>
                <w:rFonts w:hint="eastAsia" w:ascii="宋体" w:hAnsi="宋体"/>
                <w:b/>
                <w:color w:val="auto"/>
                <w:sz w:val="24"/>
                <w:highlight w:val="none"/>
              </w:rPr>
              <w:t>序号</w:t>
            </w:r>
          </w:p>
        </w:tc>
        <w:tc>
          <w:tcPr>
            <w:tcW w:w="8471" w:type="dxa"/>
            <w:vMerge w:val="restart"/>
            <w:tcBorders>
              <w:tl2br w:val="nil"/>
              <w:tr2bl w:val="nil"/>
            </w:tcBorders>
            <w:shd w:val="clear" w:color="auto" w:fill="D7D7D7"/>
            <w:noWrap w:val="0"/>
            <w:vAlign w:val="center"/>
          </w:tcPr>
          <w:p w14:paraId="1BE783F4">
            <w:pPr>
              <w:spacing w:line="400" w:lineRule="exact"/>
              <w:ind w:right="-120" w:rightChars="-57"/>
              <w:jc w:val="center"/>
              <w:rPr>
                <w:rFonts w:ascii="宋体" w:hAnsi="宋体"/>
                <w:b/>
                <w:color w:val="auto"/>
                <w:sz w:val="24"/>
                <w:highlight w:val="none"/>
              </w:rPr>
            </w:pPr>
            <w:r>
              <w:rPr>
                <w:rFonts w:hint="eastAsia" w:ascii="宋体" w:hAnsi="宋体"/>
                <w:b/>
                <w:color w:val="auto"/>
                <w:sz w:val="24"/>
                <w:highlight w:val="none"/>
              </w:rPr>
              <w:t>评审内容</w:t>
            </w:r>
          </w:p>
        </w:tc>
      </w:tr>
      <w:tr w14:paraId="7DAE7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22" w:hRule="atLeast"/>
        </w:trPr>
        <w:tc>
          <w:tcPr>
            <w:tcW w:w="688" w:type="dxa"/>
            <w:vMerge w:val="continue"/>
            <w:tcBorders>
              <w:tl2br w:val="nil"/>
              <w:tr2bl w:val="nil"/>
            </w:tcBorders>
            <w:shd w:val="clear" w:color="auto" w:fill="D7D7D7"/>
            <w:noWrap w:val="0"/>
            <w:vAlign w:val="center"/>
          </w:tcPr>
          <w:p w14:paraId="56BF4B47">
            <w:pPr>
              <w:spacing w:line="400" w:lineRule="exact"/>
              <w:rPr>
                <w:rFonts w:ascii="宋体" w:hAnsi="宋体"/>
                <w:color w:val="auto"/>
                <w:sz w:val="24"/>
                <w:highlight w:val="none"/>
              </w:rPr>
            </w:pPr>
          </w:p>
        </w:tc>
        <w:tc>
          <w:tcPr>
            <w:tcW w:w="8471" w:type="dxa"/>
            <w:vMerge w:val="continue"/>
            <w:tcBorders>
              <w:tl2br w:val="nil"/>
              <w:tr2bl w:val="nil"/>
            </w:tcBorders>
            <w:shd w:val="clear" w:color="auto" w:fill="D7D7D7"/>
            <w:noWrap w:val="0"/>
            <w:vAlign w:val="center"/>
          </w:tcPr>
          <w:p w14:paraId="69F1D614">
            <w:pPr>
              <w:spacing w:line="400" w:lineRule="exact"/>
              <w:rPr>
                <w:rFonts w:ascii="宋体" w:hAnsi="宋体"/>
                <w:color w:val="auto"/>
                <w:sz w:val="24"/>
                <w:highlight w:val="none"/>
              </w:rPr>
            </w:pPr>
          </w:p>
        </w:tc>
      </w:tr>
      <w:tr w14:paraId="01336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13F161CB">
            <w:pPr>
              <w:spacing w:line="400" w:lineRule="exact"/>
              <w:jc w:val="center"/>
              <w:rPr>
                <w:rFonts w:hint="eastAsia" w:ascii="宋体" w:hAnsi="宋体"/>
                <w:color w:val="auto"/>
                <w:sz w:val="24"/>
                <w:highlight w:val="none"/>
              </w:rPr>
            </w:pPr>
            <w:r>
              <w:rPr>
                <w:rFonts w:hint="eastAsia" w:ascii="宋体" w:hAnsi="宋体"/>
                <w:color w:val="auto"/>
                <w:sz w:val="24"/>
                <w:highlight w:val="none"/>
              </w:rPr>
              <w:t>1</w:t>
            </w:r>
          </w:p>
        </w:tc>
        <w:tc>
          <w:tcPr>
            <w:tcW w:w="8471" w:type="dxa"/>
            <w:tcBorders>
              <w:tl2br w:val="nil"/>
              <w:tr2bl w:val="nil"/>
            </w:tcBorders>
            <w:noWrap w:val="0"/>
            <w:vAlign w:val="center"/>
          </w:tcPr>
          <w:p w14:paraId="39281964">
            <w:pPr>
              <w:pStyle w:val="44"/>
              <w:widowControl w:val="0"/>
              <w:pBdr>
                <w:bottom w:val="none" w:color="auto" w:sz="0" w:space="0"/>
                <w:right w:val="none" w:color="auto" w:sz="0" w:space="0"/>
              </w:pBdr>
              <w:spacing w:before="0" w:beforeAutospacing="0" w:after="0" w:afterAutospacing="0" w:line="400" w:lineRule="exact"/>
              <w:jc w:val="both"/>
              <w:rPr>
                <w:rFonts w:hint="eastAsia"/>
                <w:color w:val="auto"/>
                <w:kern w:val="2"/>
                <w:sz w:val="24"/>
                <w:szCs w:val="24"/>
                <w:highlight w:val="none"/>
              </w:rPr>
            </w:pPr>
            <w:r>
              <w:rPr>
                <w:rFonts w:hint="eastAsia"/>
                <w:color w:val="auto"/>
                <w:kern w:val="2"/>
                <w:sz w:val="24"/>
                <w:szCs w:val="24"/>
                <w:highlight w:val="none"/>
              </w:rPr>
              <w:t>是否满足项目的</w:t>
            </w:r>
            <w:r>
              <w:rPr>
                <w:rFonts w:hint="eastAsia" w:cs="宋体"/>
                <w:color w:val="auto"/>
                <w:sz w:val="24"/>
                <w:szCs w:val="24"/>
                <w:highlight w:val="none"/>
              </w:rPr>
              <w:t>交货</w:t>
            </w:r>
            <w:r>
              <w:rPr>
                <w:rFonts w:hint="eastAsia"/>
                <w:color w:val="auto"/>
                <w:kern w:val="2"/>
                <w:sz w:val="24"/>
                <w:szCs w:val="24"/>
                <w:highlight w:val="none"/>
              </w:rPr>
              <w:t>期要求</w:t>
            </w:r>
          </w:p>
        </w:tc>
      </w:tr>
      <w:tr w14:paraId="69A77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688" w:type="dxa"/>
            <w:tcBorders>
              <w:tl2br w:val="nil"/>
              <w:tr2bl w:val="nil"/>
            </w:tcBorders>
            <w:noWrap w:val="0"/>
            <w:vAlign w:val="center"/>
          </w:tcPr>
          <w:p w14:paraId="19081A8A">
            <w:pPr>
              <w:spacing w:line="400" w:lineRule="exact"/>
              <w:jc w:val="center"/>
              <w:rPr>
                <w:rFonts w:hint="eastAsia" w:ascii="宋体" w:hAnsi="宋体"/>
                <w:color w:val="auto"/>
                <w:sz w:val="24"/>
                <w:highlight w:val="none"/>
              </w:rPr>
            </w:pPr>
            <w:r>
              <w:rPr>
                <w:rFonts w:hint="eastAsia" w:ascii="宋体" w:hAnsi="宋体"/>
                <w:color w:val="auto"/>
                <w:sz w:val="24"/>
                <w:highlight w:val="none"/>
              </w:rPr>
              <w:t>2</w:t>
            </w:r>
          </w:p>
        </w:tc>
        <w:tc>
          <w:tcPr>
            <w:tcW w:w="8471" w:type="dxa"/>
            <w:tcBorders>
              <w:tl2br w:val="nil"/>
              <w:tr2bl w:val="nil"/>
            </w:tcBorders>
            <w:noWrap w:val="0"/>
            <w:vAlign w:val="center"/>
          </w:tcPr>
          <w:p w14:paraId="13A12442">
            <w:pPr>
              <w:spacing w:line="400" w:lineRule="exact"/>
              <w:rPr>
                <w:rFonts w:hint="eastAsia" w:ascii="宋体" w:hAnsi="宋体"/>
                <w:color w:val="auto"/>
                <w:sz w:val="24"/>
                <w:highlight w:val="none"/>
              </w:rPr>
            </w:pPr>
            <w:r>
              <w:rPr>
                <w:rFonts w:hint="eastAsia"/>
                <w:color w:val="auto"/>
                <w:sz w:val="24"/>
                <w:highlight w:val="none"/>
              </w:rPr>
              <w:t>是否符合</w:t>
            </w:r>
            <w:r>
              <w:rPr>
                <w:rFonts w:hint="eastAsia"/>
                <w:color w:val="auto"/>
                <w:sz w:val="24"/>
                <w:highlight w:val="none"/>
                <w:lang w:eastAsia="zh-CN"/>
              </w:rPr>
              <w:t>招标文件</w:t>
            </w:r>
            <w:r>
              <w:rPr>
                <w:rFonts w:hint="eastAsia"/>
                <w:color w:val="auto"/>
                <w:sz w:val="24"/>
                <w:highlight w:val="none"/>
              </w:rPr>
              <w:t>的签署盖章要求</w:t>
            </w:r>
          </w:p>
        </w:tc>
      </w:tr>
      <w:tr w14:paraId="39E4D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688" w:type="dxa"/>
            <w:tcBorders>
              <w:tl2br w:val="nil"/>
              <w:tr2bl w:val="nil"/>
            </w:tcBorders>
            <w:noWrap w:val="0"/>
            <w:tcMar>
              <w:top w:w="16" w:type="dxa"/>
              <w:left w:w="16" w:type="dxa"/>
              <w:bottom w:w="0" w:type="dxa"/>
              <w:right w:w="16" w:type="dxa"/>
            </w:tcMar>
            <w:vAlign w:val="center"/>
          </w:tcPr>
          <w:p w14:paraId="227D526A">
            <w:pPr>
              <w:spacing w:line="400" w:lineRule="exact"/>
              <w:jc w:val="center"/>
              <w:rPr>
                <w:rFonts w:hint="eastAsia" w:ascii="宋体" w:hAnsi="宋体"/>
                <w:color w:val="auto"/>
                <w:sz w:val="24"/>
                <w:highlight w:val="none"/>
              </w:rPr>
            </w:pPr>
            <w:r>
              <w:rPr>
                <w:rFonts w:hint="eastAsia" w:ascii="宋体" w:hAnsi="宋体"/>
                <w:color w:val="auto"/>
                <w:sz w:val="24"/>
                <w:highlight w:val="none"/>
              </w:rPr>
              <w:t>3</w:t>
            </w:r>
          </w:p>
        </w:tc>
        <w:tc>
          <w:tcPr>
            <w:tcW w:w="8471" w:type="dxa"/>
            <w:tcBorders>
              <w:tl2br w:val="nil"/>
              <w:tr2bl w:val="nil"/>
            </w:tcBorders>
            <w:noWrap w:val="0"/>
            <w:vAlign w:val="center"/>
          </w:tcPr>
          <w:p w14:paraId="06444062">
            <w:pPr>
              <w:pStyle w:val="44"/>
              <w:widowControl w:val="0"/>
              <w:pBdr>
                <w:bottom w:val="none" w:color="auto" w:sz="0" w:space="0"/>
                <w:right w:val="none" w:color="auto" w:sz="0" w:space="0"/>
              </w:pBdr>
              <w:spacing w:before="0" w:beforeAutospacing="0" w:after="0" w:afterAutospacing="0" w:line="400" w:lineRule="exact"/>
              <w:jc w:val="both"/>
              <w:rPr>
                <w:rFonts w:hint="eastAsia"/>
                <w:color w:val="auto"/>
                <w:kern w:val="2"/>
                <w:sz w:val="24"/>
                <w:szCs w:val="24"/>
                <w:highlight w:val="none"/>
              </w:rPr>
            </w:pPr>
            <w:r>
              <w:rPr>
                <w:rFonts w:hint="eastAsia"/>
                <w:color w:val="auto"/>
                <w:sz w:val="24"/>
                <w:szCs w:val="24"/>
                <w:highlight w:val="none"/>
              </w:rPr>
              <w:t>是否按规定提交足够投标保证金</w:t>
            </w:r>
          </w:p>
        </w:tc>
      </w:tr>
      <w:tr w14:paraId="74B9B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0A6DF78A">
            <w:pPr>
              <w:spacing w:line="400" w:lineRule="exact"/>
              <w:jc w:val="center"/>
              <w:rPr>
                <w:rFonts w:hint="eastAsia" w:ascii="宋体" w:hAnsi="宋体"/>
                <w:color w:val="auto"/>
                <w:sz w:val="24"/>
                <w:highlight w:val="none"/>
              </w:rPr>
            </w:pPr>
            <w:r>
              <w:rPr>
                <w:rFonts w:hint="eastAsia" w:ascii="宋体" w:hAnsi="宋体"/>
                <w:color w:val="auto"/>
                <w:sz w:val="24"/>
                <w:highlight w:val="none"/>
              </w:rPr>
              <w:t>4</w:t>
            </w:r>
          </w:p>
        </w:tc>
        <w:tc>
          <w:tcPr>
            <w:tcW w:w="8471" w:type="dxa"/>
            <w:tcBorders>
              <w:tl2br w:val="nil"/>
              <w:tr2bl w:val="nil"/>
            </w:tcBorders>
            <w:noWrap w:val="0"/>
            <w:vAlign w:val="center"/>
          </w:tcPr>
          <w:p w14:paraId="466B29F5">
            <w:pPr>
              <w:spacing w:line="400" w:lineRule="exact"/>
              <w:rPr>
                <w:rFonts w:hint="eastAsia" w:ascii="宋体" w:hAnsi="宋体"/>
                <w:color w:val="auto"/>
                <w:sz w:val="24"/>
                <w:highlight w:val="none"/>
              </w:rPr>
            </w:pPr>
            <w:r>
              <w:rPr>
                <w:rFonts w:hint="eastAsia" w:ascii="宋体" w:hAnsi="宋体"/>
                <w:color w:val="auto"/>
                <w:sz w:val="24"/>
                <w:highlight w:val="none"/>
              </w:rPr>
              <w:t>投标有效期是否为90天</w:t>
            </w:r>
          </w:p>
        </w:tc>
      </w:tr>
      <w:tr w14:paraId="164B1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050768B1">
            <w:pPr>
              <w:spacing w:line="400" w:lineRule="exact"/>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5</w:t>
            </w:r>
          </w:p>
        </w:tc>
        <w:tc>
          <w:tcPr>
            <w:tcW w:w="8471" w:type="dxa"/>
            <w:tcBorders>
              <w:tl2br w:val="nil"/>
              <w:tr2bl w:val="nil"/>
            </w:tcBorders>
            <w:noWrap w:val="0"/>
            <w:vAlign w:val="center"/>
          </w:tcPr>
          <w:p w14:paraId="7C1388EB">
            <w:pPr>
              <w:spacing w:line="400" w:lineRule="exact"/>
              <w:rPr>
                <w:rFonts w:ascii="宋体" w:hAnsi="宋体"/>
                <w:color w:val="auto"/>
                <w:sz w:val="24"/>
                <w:highlight w:val="none"/>
              </w:rPr>
            </w:pPr>
            <w:r>
              <w:rPr>
                <w:rFonts w:ascii="宋体" w:hAnsi="宋体"/>
                <w:color w:val="auto"/>
                <w:sz w:val="24"/>
                <w:highlight w:val="none"/>
              </w:rPr>
              <w:t>投标</w:t>
            </w:r>
            <w:r>
              <w:rPr>
                <w:rFonts w:hint="eastAsia" w:ascii="宋体" w:hAnsi="宋体"/>
                <w:color w:val="auto"/>
                <w:sz w:val="24"/>
                <w:highlight w:val="none"/>
              </w:rPr>
              <w:t>报价是否固定唯一，且</w:t>
            </w:r>
            <w:r>
              <w:rPr>
                <w:rFonts w:hint="eastAsia" w:ascii="宋体" w:hAnsi="宋体" w:cs="宋体"/>
                <w:color w:val="auto"/>
                <w:sz w:val="24"/>
                <w:highlight w:val="none"/>
              </w:rPr>
              <w:t>投标报价</w:t>
            </w:r>
            <w:r>
              <w:rPr>
                <w:rFonts w:hint="eastAsia" w:ascii="宋体" w:hAnsi="宋体"/>
                <w:color w:val="auto"/>
                <w:sz w:val="24"/>
                <w:highlight w:val="none"/>
              </w:rPr>
              <w:t>没有</w:t>
            </w:r>
            <w:r>
              <w:rPr>
                <w:rFonts w:hint="eastAsia" w:ascii="宋体" w:hAnsi="宋体" w:cs="宋体"/>
                <w:color w:val="auto"/>
                <w:sz w:val="24"/>
                <w:highlight w:val="none"/>
                <w:lang w:val="en-US" w:eastAsia="zh-CN"/>
              </w:rPr>
              <w:t>超过最高</w:t>
            </w:r>
            <w:r>
              <w:rPr>
                <w:rFonts w:hint="eastAsia" w:ascii="宋体" w:hAnsi="宋体" w:cs="宋体"/>
                <w:color w:val="auto"/>
                <w:sz w:val="24"/>
                <w:highlight w:val="none"/>
              </w:rPr>
              <w:t>限价</w:t>
            </w:r>
          </w:p>
        </w:tc>
      </w:tr>
      <w:tr w14:paraId="4927F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81" w:hRule="atLeast"/>
        </w:trPr>
        <w:tc>
          <w:tcPr>
            <w:tcW w:w="688" w:type="dxa"/>
            <w:tcBorders>
              <w:tl2br w:val="nil"/>
              <w:tr2bl w:val="nil"/>
            </w:tcBorders>
            <w:noWrap w:val="0"/>
            <w:tcMar>
              <w:top w:w="16" w:type="dxa"/>
              <w:left w:w="16" w:type="dxa"/>
              <w:bottom w:w="0" w:type="dxa"/>
              <w:right w:w="16" w:type="dxa"/>
            </w:tcMar>
            <w:vAlign w:val="center"/>
          </w:tcPr>
          <w:p w14:paraId="44CE7BE0">
            <w:pPr>
              <w:spacing w:line="400" w:lineRule="exact"/>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6</w:t>
            </w:r>
          </w:p>
        </w:tc>
        <w:tc>
          <w:tcPr>
            <w:tcW w:w="8471" w:type="dxa"/>
            <w:tcBorders>
              <w:tl2br w:val="nil"/>
              <w:tr2bl w:val="nil"/>
            </w:tcBorders>
            <w:noWrap w:val="0"/>
            <w:vAlign w:val="center"/>
          </w:tcPr>
          <w:p w14:paraId="553707B1">
            <w:pPr>
              <w:spacing w:line="400" w:lineRule="exact"/>
              <w:rPr>
                <w:rFonts w:ascii="宋体" w:hAnsi="宋体"/>
                <w:color w:val="auto"/>
                <w:sz w:val="24"/>
                <w:highlight w:val="none"/>
              </w:rPr>
            </w:pPr>
            <w:r>
              <w:rPr>
                <w:rFonts w:hint="eastAsia" w:ascii="宋体" w:hAnsi="宋体"/>
                <w:color w:val="auto"/>
                <w:sz w:val="24"/>
                <w:highlight w:val="none"/>
              </w:rPr>
              <w:t>评标委员会认为</w:t>
            </w:r>
            <w:r>
              <w:rPr>
                <w:rFonts w:hint="eastAsia" w:ascii="宋体" w:hAnsi="宋体"/>
                <w:color w:val="auto"/>
                <w:sz w:val="24"/>
                <w:highlight w:val="none"/>
                <w:lang w:eastAsia="zh-CN"/>
              </w:rPr>
              <w:t>供应商</w:t>
            </w:r>
            <w:r>
              <w:rPr>
                <w:rFonts w:hint="eastAsia" w:ascii="宋体" w:hAnsi="宋体"/>
                <w:color w:val="auto"/>
                <w:sz w:val="24"/>
                <w:highlight w:val="none"/>
              </w:rPr>
              <w:t>的报价明显</w:t>
            </w:r>
            <w:r>
              <w:rPr>
                <w:rFonts w:hint="eastAsia" w:ascii="宋体" w:hAnsi="宋体"/>
                <w:color w:val="auto"/>
                <w:sz w:val="24"/>
                <w:highlight w:val="none"/>
                <w:lang w:val="en-US" w:eastAsia="zh-CN"/>
              </w:rPr>
              <w:t>高</w:t>
            </w:r>
            <w:r>
              <w:rPr>
                <w:rFonts w:hint="eastAsia" w:ascii="宋体" w:hAnsi="宋体"/>
                <w:color w:val="auto"/>
                <w:sz w:val="24"/>
                <w:highlight w:val="none"/>
              </w:rPr>
              <w:t>于其他通过符合性审查</w:t>
            </w:r>
            <w:r>
              <w:rPr>
                <w:rFonts w:hint="eastAsia" w:ascii="宋体" w:hAnsi="宋体"/>
                <w:color w:val="auto"/>
                <w:sz w:val="24"/>
                <w:highlight w:val="none"/>
                <w:lang w:eastAsia="zh-CN"/>
              </w:rPr>
              <w:t>供应商</w:t>
            </w:r>
            <w:r>
              <w:rPr>
                <w:rFonts w:hint="eastAsia" w:ascii="宋体" w:hAnsi="宋体"/>
                <w:color w:val="auto"/>
                <w:sz w:val="24"/>
                <w:highlight w:val="none"/>
              </w:rPr>
              <w:t>的报价，有可能影响产品质量或者不能诚信履约的，应当要求其在评标现场合理的时间内提供书面说明，必要时提交相关证明材料；</w:t>
            </w:r>
            <w:r>
              <w:rPr>
                <w:rFonts w:hint="eastAsia" w:ascii="宋体" w:hAnsi="宋体"/>
                <w:color w:val="auto"/>
                <w:sz w:val="24"/>
                <w:highlight w:val="none"/>
                <w:lang w:eastAsia="zh-CN"/>
              </w:rPr>
              <w:t>供应商</w:t>
            </w:r>
            <w:r>
              <w:rPr>
                <w:rFonts w:hint="eastAsia" w:ascii="宋体" w:hAnsi="宋体"/>
                <w:color w:val="auto"/>
                <w:sz w:val="24"/>
                <w:highlight w:val="none"/>
              </w:rPr>
              <w:t>不能证明其报价合理性的，评标委员会应当将其作为无效投标处理</w:t>
            </w:r>
          </w:p>
        </w:tc>
      </w:tr>
      <w:tr w14:paraId="79821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383363E9">
            <w:pPr>
              <w:spacing w:line="400" w:lineRule="exact"/>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7</w:t>
            </w:r>
          </w:p>
        </w:tc>
        <w:tc>
          <w:tcPr>
            <w:tcW w:w="8471" w:type="dxa"/>
            <w:tcBorders>
              <w:tl2br w:val="nil"/>
              <w:tr2bl w:val="nil"/>
            </w:tcBorders>
            <w:noWrap w:val="0"/>
            <w:vAlign w:val="center"/>
          </w:tcPr>
          <w:p w14:paraId="39FE2199">
            <w:pPr>
              <w:spacing w:line="400" w:lineRule="exact"/>
              <w:rPr>
                <w:rFonts w:ascii="宋体" w:hAnsi="宋体"/>
                <w:color w:val="auto"/>
                <w:sz w:val="24"/>
                <w:highlight w:val="none"/>
              </w:rPr>
            </w:pPr>
            <w:r>
              <w:rPr>
                <w:rFonts w:hint="eastAsia" w:ascii="宋体" w:hAnsi="宋体" w:cs="宋体"/>
                <w:color w:val="auto"/>
                <w:kern w:val="1"/>
                <w:sz w:val="24"/>
                <w:highlight w:val="none"/>
                <w:lang w:eastAsia="zh-CN"/>
              </w:rPr>
              <w:t>响应文件</w:t>
            </w:r>
            <w:r>
              <w:rPr>
                <w:rFonts w:ascii="宋体" w:hAnsi="宋体" w:cs="宋体"/>
                <w:color w:val="auto"/>
                <w:kern w:val="1"/>
                <w:sz w:val="24"/>
                <w:highlight w:val="none"/>
              </w:rPr>
              <w:t>是否满足</w:t>
            </w:r>
            <w:r>
              <w:rPr>
                <w:rFonts w:hint="eastAsia" w:ascii="宋体" w:hAnsi="宋体" w:cs="宋体"/>
                <w:color w:val="auto"/>
                <w:kern w:val="1"/>
                <w:sz w:val="24"/>
                <w:highlight w:val="none"/>
                <w:lang w:eastAsia="zh-CN"/>
              </w:rPr>
              <w:t>招标文件</w:t>
            </w:r>
            <w:r>
              <w:rPr>
                <w:rFonts w:hint="eastAsia" w:ascii="宋体" w:hAnsi="宋体" w:cs="宋体"/>
                <w:color w:val="auto"/>
                <w:kern w:val="1"/>
                <w:sz w:val="24"/>
                <w:highlight w:val="none"/>
                <w:lang w:val="en-US" w:eastAsia="zh-CN"/>
              </w:rPr>
              <w:t>的实质性要求</w:t>
            </w:r>
            <w:r>
              <w:rPr>
                <w:rFonts w:hint="eastAsia" w:ascii="宋体" w:hAnsi="宋体" w:cs="宋体"/>
                <w:color w:val="auto"/>
                <w:kern w:val="1"/>
                <w:sz w:val="24"/>
                <w:highlight w:val="none"/>
              </w:rPr>
              <w:t xml:space="preserve"> </w:t>
            </w:r>
          </w:p>
        </w:tc>
      </w:tr>
      <w:tr w14:paraId="67C57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15CD4D76">
            <w:pPr>
              <w:spacing w:line="400" w:lineRule="exact"/>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8</w:t>
            </w:r>
          </w:p>
        </w:tc>
        <w:tc>
          <w:tcPr>
            <w:tcW w:w="8471" w:type="dxa"/>
            <w:tcBorders>
              <w:tl2br w:val="nil"/>
              <w:tr2bl w:val="nil"/>
            </w:tcBorders>
            <w:noWrap w:val="0"/>
            <w:vAlign w:val="center"/>
          </w:tcPr>
          <w:p w14:paraId="5FD44CC1">
            <w:pPr>
              <w:spacing w:line="400" w:lineRule="exact"/>
              <w:rPr>
                <w:rFonts w:hint="eastAsia" w:ascii="宋体" w:hAnsi="宋体"/>
                <w:color w:val="auto"/>
                <w:sz w:val="24"/>
                <w:highlight w:val="none"/>
              </w:rPr>
            </w:pPr>
            <w:r>
              <w:rPr>
                <w:rFonts w:hint="eastAsia" w:ascii="宋体" w:hAnsi="宋体" w:cs="宋体"/>
                <w:color w:val="auto"/>
                <w:sz w:val="24"/>
                <w:szCs w:val="24"/>
                <w:highlight w:val="none"/>
                <w:lang w:eastAsia="zh-CN"/>
              </w:rPr>
              <w:t>响应文件</w:t>
            </w:r>
            <w:r>
              <w:rPr>
                <w:rFonts w:ascii="宋体" w:hAnsi="宋体"/>
                <w:color w:val="auto"/>
                <w:sz w:val="24"/>
                <w:highlight w:val="none"/>
              </w:rPr>
              <w:t>是否</w:t>
            </w:r>
            <w:r>
              <w:rPr>
                <w:rFonts w:hint="eastAsia" w:ascii="宋体" w:hAnsi="宋体" w:cs="宋体"/>
                <w:color w:val="auto"/>
                <w:sz w:val="24"/>
                <w:szCs w:val="24"/>
                <w:highlight w:val="none"/>
              </w:rPr>
              <w:t>没有</w:t>
            </w:r>
            <w:r>
              <w:rPr>
                <w:rFonts w:hint="eastAsia" w:ascii="宋体" w:hAnsi="宋体" w:cs="宋体"/>
                <w:color w:val="auto"/>
                <w:sz w:val="24"/>
                <w:szCs w:val="24"/>
                <w:highlight w:val="none"/>
                <w:lang w:eastAsia="zh-CN"/>
              </w:rPr>
              <w:t>招标文件</w:t>
            </w:r>
            <w:r>
              <w:rPr>
                <w:rFonts w:hint="eastAsia" w:ascii="宋体" w:hAnsi="宋体" w:cs="宋体"/>
                <w:color w:val="auto"/>
                <w:sz w:val="24"/>
                <w:szCs w:val="24"/>
                <w:highlight w:val="none"/>
              </w:rPr>
              <w:t>中规定的其它无效投标条款的</w:t>
            </w:r>
          </w:p>
        </w:tc>
      </w:tr>
      <w:tr w14:paraId="2D0F6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283772DF">
            <w:pPr>
              <w:spacing w:line="400" w:lineRule="exact"/>
              <w:jc w:val="center"/>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9</w:t>
            </w:r>
          </w:p>
        </w:tc>
        <w:tc>
          <w:tcPr>
            <w:tcW w:w="8471" w:type="dxa"/>
            <w:tcBorders>
              <w:tl2br w:val="nil"/>
              <w:tr2bl w:val="nil"/>
            </w:tcBorders>
            <w:noWrap w:val="0"/>
            <w:vAlign w:val="center"/>
          </w:tcPr>
          <w:p w14:paraId="40610354">
            <w:pPr>
              <w:spacing w:line="400" w:lineRule="exact"/>
              <w:rPr>
                <w:rFonts w:hint="eastAsia" w:ascii="宋体" w:hAnsi="宋体"/>
                <w:color w:val="auto"/>
                <w:sz w:val="24"/>
                <w:highlight w:val="none"/>
              </w:rPr>
            </w:pPr>
            <w:r>
              <w:rPr>
                <w:rFonts w:hint="eastAsia" w:ascii="宋体" w:hAnsi="宋体" w:cs="宋体"/>
                <w:color w:val="auto"/>
                <w:sz w:val="24"/>
                <w:szCs w:val="24"/>
                <w:highlight w:val="none"/>
              </w:rPr>
              <w:t>按有关法律、法规、规章</w:t>
            </w:r>
            <w:r>
              <w:rPr>
                <w:rFonts w:ascii="宋体" w:hAnsi="宋体"/>
                <w:color w:val="auto"/>
                <w:sz w:val="24"/>
                <w:highlight w:val="none"/>
              </w:rPr>
              <w:t>是否</w:t>
            </w:r>
            <w:r>
              <w:rPr>
                <w:rFonts w:hint="eastAsia" w:ascii="宋体" w:hAnsi="宋体" w:cs="宋体"/>
                <w:color w:val="auto"/>
                <w:sz w:val="24"/>
                <w:szCs w:val="24"/>
                <w:highlight w:val="none"/>
              </w:rPr>
              <w:t>不属于投标无效的</w:t>
            </w:r>
          </w:p>
        </w:tc>
      </w:tr>
      <w:tr w14:paraId="23E23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7E955E1F">
            <w:pPr>
              <w:spacing w:line="400" w:lineRule="exact"/>
              <w:jc w:val="center"/>
              <w:rPr>
                <w:rFonts w:hint="default" w:ascii="宋体" w:hAnsi="宋体"/>
                <w:color w:val="auto"/>
                <w:sz w:val="24"/>
                <w:highlight w:val="none"/>
                <w:lang w:val="en-US" w:eastAsia="zh-CN"/>
              </w:rPr>
            </w:pPr>
            <w:r>
              <w:rPr>
                <w:rFonts w:hint="eastAsia" w:ascii="宋体" w:hAnsi="宋体"/>
                <w:color w:val="auto"/>
                <w:sz w:val="24"/>
                <w:highlight w:val="none"/>
                <w:lang w:val="en-US" w:eastAsia="zh-CN"/>
              </w:rPr>
              <w:t>10</w:t>
            </w:r>
          </w:p>
        </w:tc>
        <w:tc>
          <w:tcPr>
            <w:tcW w:w="8471" w:type="dxa"/>
            <w:tcBorders>
              <w:tl2br w:val="nil"/>
              <w:tr2bl w:val="nil"/>
            </w:tcBorders>
            <w:noWrap w:val="0"/>
            <w:vAlign w:val="center"/>
          </w:tcPr>
          <w:p w14:paraId="594B3173">
            <w:pPr>
              <w:spacing w:line="4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en-US" w:eastAsia="zh-CN"/>
              </w:rPr>
              <w:t>未按招标文件规定的格式填写，内容不全或关键字迹模糊、无法辨认的；</w:t>
            </w:r>
          </w:p>
        </w:tc>
      </w:tr>
      <w:tr w14:paraId="78920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2FF16D28">
            <w:pPr>
              <w:spacing w:line="400" w:lineRule="exact"/>
              <w:jc w:val="center"/>
              <w:rPr>
                <w:rFonts w:hint="default" w:ascii="宋体" w:hAnsi="宋体"/>
                <w:color w:val="auto"/>
                <w:sz w:val="24"/>
                <w:highlight w:val="none"/>
                <w:lang w:val="en-US" w:eastAsia="zh-CN"/>
              </w:rPr>
            </w:pPr>
            <w:r>
              <w:rPr>
                <w:rFonts w:hint="eastAsia" w:ascii="宋体" w:hAnsi="宋体"/>
                <w:color w:val="auto"/>
                <w:sz w:val="24"/>
                <w:highlight w:val="none"/>
                <w:lang w:val="en-US" w:eastAsia="zh-CN"/>
              </w:rPr>
              <w:t>11</w:t>
            </w:r>
          </w:p>
        </w:tc>
        <w:tc>
          <w:tcPr>
            <w:tcW w:w="8471" w:type="dxa"/>
            <w:tcBorders>
              <w:tl2br w:val="nil"/>
              <w:tr2bl w:val="nil"/>
            </w:tcBorders>
            <w:noWrap w:val="0"/>
            <w:vAlign w:val="center"/>
          </w:tcPr>
          <w:p w14:paraId="607D3932">
            <w:pPr>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在评标过程中，发现</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以他人名义投标、串通投标、以行贿手段谋取成交或者以其他弄虚作假方式投标的；</w:t>
            </w:r>
          </w:p>
        </w:tc>
      </w:tr>
      <w:tr w14:paraId="04A728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688" w:type="dxa"/>
            <w:tcBorders>
              <w:tl2br w:val="nil"/>
              <w:tr2bl w:val="nil"/>
            </w:tcBorders>
            <w:noWrap w:val="0"/>
            <w:tcMar>
              <w:top w:w="16" w:type="dxa"/>
              <w:left w:w="16" w:type="dxa"/>
              <w:bottom w:w="0" w:type="dxa"/>
              <w:right w:w="16" w:type="dxa"/>
            </w:tcMar>
            <w:vAlign w:val="center"/>
          </w:tcPr>
          <w:p w14:paraId="55D158A3">
            <w:pPr>
              <w:spacing w:line="400" w:lineRule="exact"/>
              <w:jc w:val="center"/>
              <w:rPr>
                <w:rFonts w:hint="default" w:ascii="宋体" w:hAnsi="宋体"/>
                <w:color w:val="auto"/>
                <w:sz w:val="24"/>
                <w:highlight w:val="none"/>
                <w:lang w:val="en-US" w:eastAsia="zh-CN"/>
              </w:rPr>
            </w:pPr>
            <w:r>
              <w:rPr>
                <w:rFonts w:hint="eastAsia" w:ascii="宋体" w:hAnsi="宋体"/>
                <w:color w:val="auto"/>
                <w:sz w:val="24"/>
                <w:highlight w:val="none"/>
                <w:lang w:val="en-US" w:eastAsia="zh-CN"/>
              </w:rPr>
              <w:t>12</w:t>
            </w:r>
          </w:p>
        </w:tc>
        <w:tc>
          <w:tcPr>
            <w:tcW w:w="8471" w:type="dxa"/>
            <w:tcBorders>
              <w:tl2br w:val="nil"/>
              <w:tr2bl w:val="nil"/>
            </w:tcBorders>
            <w:noWrap w:val="0"/>
            <w:vAlign w:val="center"/>
          </w:tcPr>
          <w:p w14:paraId="1882BBCF">
            <w:pPr>
              <w:spacing w:line="4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lang w:val="zh-CN" w:eastAsia="zh-CN"/>
              </w:rPr>
              <w:t>附有招标人不能接受的条件的；</w:t>
            </w:r>
          </w:p>
        </w:tc>
      </w:tr>
      <w:tr w14:paraId="19651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9159" w:type="dxa"/>
            <w:gridSpan w:val="2"/>
            <w:tcBorders>
              <w:tl2br w:val="nil"/>
              <w:tr2bl w:val="nil"/>
            </w:tcBorders>
            <w:noWrap w:val="0"/>
            <w:tcMar>
              <w:top w:w="16" w:type="dxa"/>
              <w:left w:w="16" w:type="dxa"/>
              <w:bottom w:w="0" w:type="dxa"/>
              <w:right w:w="16" w:type="dxa"/>
            </w:tcMar>
            <w:vAlign w:val="center"/>
          </w:tcPr>
          <w:p w14:paraId="26D47FA1">
            <w:pPr>
              <w:spacing w:line="400" w:lineRule="exact"/>
              <w:jc w:val="center"/>
              <w:rPr>
                <w:rFonts w:ascii="宋体" w:hAnsi="宋体"/>
                <w:color w:val="auto"/>
                <w:sz w:val="24"/>
                <w:highlight w:val="none"/>
              </w:rPr>
            </w:pPr>
            <w:r>
              <w:rPr>
                <w:rFonts w:hint="eastAsia" w:ascii="宋体" w:hAnsi="宋体"/>
                <w:color w:val="auto"/>
                <w:sz w:val="24"/>
                <w:highlight w:val="none"/>
              </w:rPr>
              <w:t>结    论</w:t>
            </w:r>
          </w:p>
        </w:tc>
      </w:tr>
    </w:tbl>
    <w:p w14:paraId="2D0272CA">
      <w:pPr>
        <w:spacing w:line="360" w:lineRule="auto"/>
        <w:ind w:firstLine="480" w:firstLineChars="200"/>
        <w:rPr>
          <w:rFonts w:hint="eastAsia" w:ascii="time of new roman" w:hAnsi="time of new roman"/>
          <w:color w:val="auto"/>
          <w:sz w:val="24"/>
          <w:szCs w:val="24"/>
          <w:highlight w:val="none"/>
        </w:rPr>
      </w:pPr>
      <w:r>
        <w:rPr>
          <w:rFonts w:hint="eastAsia" w:ascii="time of new roman" w:hAnsi="time of new roman"/>
          <w:color w:val="auto"/>
          <w:sz w:val="24"/>
          <w:szCs w:val="24"/>
          <w:highlight w:val="none"/>
        </w:rPr>
        <w:t>注：</w:t>
      </w:r>
    </w:p>
    <w:p w14:paraId="05B5D2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1、结论栏中填写“通过”表示该</w:t>
      </w:r>
      <w:r>
        <w:rPr>
          <w:rFonts w:hint="eastAsia" w:ascii="宋体" w:hAnsi="宋体"/>
          <w:color w:val="auto"/>
          <w:sz w:val="24"/>
          <w:szCs w:val="24"/>
          <w:highlight w:val="none"/>
          <w:lang w:eastAsia="zh-CN"/>
        </w:rPr>
        <w:t>供应商响应文件</w:t>
      </w:r>
      <w:r>
        <w:rPr>
          <w:rFonts w:hint="eastAsia" w:ascii="宋体" w:hAnsi="宋体"/>
          <w:color w:val="auto"/>
          <w:sz w:val="24"/>
          <w:szCs w:val="24"/>
          <w:highlight w:val="none"/>
        </w:rPr>
        <w:t>符合</w:t>
      </w:r>
      <w:r>
        <w:rPr>
          <w:rFonts w:hint="eastAsia" w:ascii="宋体" w:hAnsi="宋体"/>
          <w:color w:val="auto"/>
          <w:sz w:val="24"/>
          <w:szCs w:val="24"/>
          <w:highlight w:val="none"/>
          <w:lang w:eastAsia="zh-CN"/>
        </w:rPr>
        <w:t>招标文件</w:t>
      </w:r>
      <w:r>
        <w:rPr>
          <w:rFonts w:hint="eastAsia" w:ascii="宋体" w:hAnsi="宋体"/>
          <w:color w:val="auto"/>
          <w:sz w:val="24"/>
          <w:szCs w:val="24"/>
          <w:highlight w:val="none"/>
        </w:rPr>
        <w:t>要求，“不通过”表示该</w:t>
      </w:r>
      <w:r>
        <w:rPr>
          <w:rFonts w:hint="eastAsia" w:ascii="宋体" w:hAnsi="宋体"/>
          <w:color w:val="auto"/>
          <w:sz w:val="24"/>
          <w:szCs w:val="24"/>
          <w:highlight w:val="none"/>
          <w:lang w:eastAsia="zh-CN"/>
        </w:rPr>
        <w:t>供应商响应文件</w:t>
      </w:r>
      <w:r>
        <w:rPr>
          <w:rFonts w:hint="eastAsia" w:ascii="宋体" w:hAnsi="宋体"/>
          <w:color w:val="auto"/>
          <w:sz w:val="24"/>
          <w:szCs w:val="24"/>
          <w:highlight w:val="none"/>
        </w:rPr>
        <w:t>不符合</w:t>
      </w:r>
      <w:r>
        <w:rPr>
          <w:rFonts w:hint="eastAsia" w:ascii="宋体" w:hAnsi="宋体"/>
          <w:color w:val="auto"/>
          <w:sz w:val="24"/>
          <w:szCs w:val="24"/>
          <w:highlight w:val="none"/>
          <w:lang w:eastAsia="zh-CN"/>
        </w:rPr>
        <w:t>招标文件</w:t>
      </w:r>
      <w:r>
        <w:rPr>
          <w:rFonts w:hint="eastAsia" w:ascii="宋体" w:hAnsi="宋体"/>
          <w:color w:val="auto"/>
          <w:sz w:val="24"/>
          <w:szCs w:val="24"/>
          <w:highlight w:val="none"/>
        </w:rPr>
        <w:t>要求；</w:t>
      </w:r>
    </w:p>
    <w:p w14:paraId="016DA59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、汇总结论按少数服从多数原则确定。</w:t>
      </w:r>
    </w:p>
    <w:p w14:paraId="78C0FDFE">
      <w:pPr>
        <w:ind w:firstLine="420" w:firstLineChars="200"/>
        <w:rPr>
          <w:rFonts w:ascii="time of new roman" w:hAnsi="time of new roman"/>
          <w:color w:val="auto"/>
          <w:szCs w:val="21"/>
          <w:highlight w:val="none"/>
        </w:rPr>
      </w:pPr>
    </w:p>
    <w:p w14:paraId="50B60CE6">
      <w:pPr>
        <w:spacing w:line="360" w:lineRule="auto"/>
        <w:outlineLvl w:val="0"/>
        <w:rPr>
          <w:rFonts w:ascii="宋体" w:hAnsi="宋体"/>
          <w:b/>
          <w:color w:val="auto"/>
          <w:sz w:val="24"/>
          <w:highlight w:val="none"/>
        </w:rPr>
      </w:pPr>
      <w:r>
        <w:rPr>
          <w:rFonts w:hint="eastAsia" w:ascii="time of new roman" w:hAnsi="time of new roman"/>
          <w:b/>
          <w:bCs/>
          <w:color w:val="auto"/>
          <w:szCs w:val="21"/>
          <w:highlight w:val="none"/>
        </w:rPr>
        <w:br w:type="page"/>
      </w:r>
      <w:bookmarkStart w:id="641" w:name="_Toc514177066"/>
      <w:bookmarkStart w:id="642" w:name="_Toc439513173"/>
      <w:bookmarkStart w:id="643" w:name="_Toc439513457"/>
      <w:bookmarkStart w:id="644" w:name="_Toc439679280"/>
      <w:bookmarkStart w:id="645" w:name="_Toc9864100"/>
      <w:bookmarkStart w:id="646" w:name="_Toc479325604"/>
      <w:bookmarkStart w:id="647" w:name="_Toc422865433"/>
      <w:bookmarkStart w:id="648" w:name="_Toc11944605"/>
      <w:bookmarkStart w:id="649" w:name="_Toc498899396"/>
      <w:bookmarkStart w:id="650" w:name="_Toc498871264"/>
      <w:bookmarkStart w:id="651" w:name="_Toc422162004"/>
      <w:bookmarkStart w:id="652" w:name="_Toc509337179"/>
      <w:bookmarkStart w:id="653" w:name="_Toc10446432"/>
      <w:bookmarkStart w:id="654" w:name="_Toc524368803"/>
      <w:bookmarkStart w:id="655" w:name="_Toc438508609"/>
      <w:bookmarkStart w:id="656" w:name="_Toc438722142"/>
      <w:bookmarkStart w:id="657" w:name="_Toc479340801"/>
      <w:bookmarkStart w:id="658" w:name="_Toc458980405"/>
      <w:bookmarkStart w:id="659" w:name="_Toc458635608"/>
      <w:bookmarkStart w:id="660" w:name="_Toc5124222"/>
      <w:bookmarkStart w:id="661" w:name="_Toc470184453"/>
      <w:bookmarkStart w:id="662" w:name="_Toc416208498"/>
      <w:bookmarkStart w:id="663" w:name="_Toc486969391"/>
      <w:bookmarkStart w:id="664" w:name="_Toc11931298"/>
      <w:bookmarkStart w:id="665" w:name="_Toc7959"/>
      <w:bookmarkStart w:id="666" w:name="_Toc522529818"/>
      <w:bookmarkStart w:id="667" w:name="_Toc418023345"/>
      <w:bookmarkStart w:id="668" w:name="_Toc9612864"/>
      <w:bookmarkStart w:id="669" w:name="_Toc425347674"/>
      <w:bookmarkStart w:id="670" w:name="_Toc438513746"/>
      <w:bookmarkStart w:id="671" w:name="_Toc487044264"/>
      <w:bookmarkStart w:id="672" w:name="_Toc509337064"/>
      <w:bookmarkStart w:id="673" w:name="_Toc477879852"/>
      <w:bookmarkStart w:id="674" w:name="_Toc524517875"/>
      <w:bookmarkStart w:id="675" w:name="_Toc414510792"/>
      <w:bookmarkStart w:id="676" w:name="_Toc26433"/>
      <w:bookmarkStart w:id="677" w:name="_Toc523170355"/>
      <w:bookmarkStart w:id="678" w:name="_Toc494832100"/>
      <w:r>
        <w:rPr>
          <w:rFonts w:hint="eastAsia" w:ascii="宋体" w:hAnsi="宋体"/>
          <w:b/>
          <w:color w:val="auto"/>
          <w:sz w:val="24"/>
          <w:highlight w:val="none"/>
        </w:rPr>
        <w:t xml:space="preserve">附表3 </w:t>
      </w:r>
      <w:r>
        <w:rPr>
          <w:rFonts w:hint="eastAsia" w:ascii="宋体" w:hAnsi="宋体"/>
          <w:b/>
          <w:color w:val="auto"/>
          <w:sz w:val="24"/>
          <w:highlight w:val="none"/>
          <w:lang w:eastAsia="zh-CN"/>
        </w:rPr>
        <w:t>商务</w:t>
      </w:r>
      <w:r>
        <w:rPr>
          <w:rFonts w:hint="eastAsia" w:ascii="宋体" w:hAnsi="宋体"/>
          <w:b/>
          <w:color w:val="auto"/>
          <w:sz w:val="24"/>
          <w:highlight w:val="none"/>
        </w:rPr>
        <w:t>技术响应性评审表</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Pr>
          <w:rFonts w:hint="eastAsia" w:ascii="宋体" w:hAnsi="宋体"/>
          <w:b/>
          <w:bCs/>
          <w:color w:val="auto"/>
          <w:sz w:val="24"/>
          <w:highlight w:val="none"/>
        </w:rPr>
        <w:t xml:space="preserve"> </w:t>
      </w:r>
    </w:p>
    <w:p w14:paraId="128ECF26">
      <w:pPr>
        <w:spacing w:line="360" w:lineRule="auto"/>
        <w:rPr>
          <w:rFonts w:hint="eastAsia" w:ascii="宋体" w:hAnsi="宋体" w:cs="宋体"/>
          <w:color w:val="auto"/>
          <w:sz w:val="24"/>
          <w:szCs w:val="24"/>
          <w:highlight w:val="none"/>
          <w:lang w:eastAsia="zh-CN"/>
        </w:rPr>
      </w:pPr>
      <w:r>
        <w:rPr>
          <w:rFonts w:hint="eastAsia" w:ascii="time of new roman" w:hAnsi="time of new roman"/>
          <w:color w:val="auto"/>
          <w:sz w:val="24"/>
          <w:szCs w:val="24"/>
          <w:highlight w:val="none"/>
        </w:rPr>
        <w:t>采购项目名称：</w:t>
      </w:r>
      <w:r>
        <w:rPr>
          <w:rFonts w:hint="eastAsia" w:ascii="宋体" w:hAnsi="宋体" w:cs="宋体"/>
          <w:color w:val="auto"/>
          <w:sz w:val="24"/>
          <w:szCs w:val="24"/>
          <w:highlight w:val="none"/>
          <w:lang w:eastAsia="zh-CN"/>
        </w:rPr>
        <w:t>库尔勒市文化符号和民族视觉形象示范点项目（一标段）二次</w:t>
      </w:r>
    </w:p>
    <w:p w14:paraId="48FF2974">
      <w:pPr>
        <w:spacing w:line="360" w:lineRule="auto"/>
        <w:rPr>
          <w:rFonts w:ascii="宋体" w:hAnsi="宋体"/>
          <w:color w:val="auto"/>
          <w:sz w:val="24"/>
          <w:szCs w:val="24"/>
          <w:highlight w:val="none"/>
        </w:rPr>
      </w:pPr>
    </w:p>
    <w:p w14:paraId="7AB45497">
      <w:pPr>
        <w:spacing w:line="360" w:lineRule="auto"/>
        <w:jc w:val="center"/>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评分细则：</w:t>
      </w:r>
    </w:p>
    <w:tbl>
      <w:tblPr>
        <w:tblStyle w:val="30"/>
        <w:tblW w:w="9619" w:type="dxa"/>
        <w:tblInd w:w="-16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1026"/>
        <w:gridCol w:w="1358"/>
        <w:gridCol w:w="6166"/>
        <w:gridCol w:w="1069"/>
      </w:tblGrid>
      <w:tr w14:paraId="2E50F9C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607" w:hRule="atLeast"/>
        </w:trPr>
        <w:tc>
          <w:tcPr>
            <w:tcW w:w="2384" w:type="dxa"/>
            <w:gridSpan w:val="2"/>
            <w:tcBorders>
              <w:top w:val="outset" w:color="auto" w:sz="6" w:space="0"/>
              <w:left w:val="outset" w:color="auto" w:sz="6" w:space="0"/>
              <w:bottom w:val="outset" w:color="auto" w:sz="6" w:space="0"/>
              <w:right w:val="outset" w:color="auto" w:sz="6" w:space="0"/>
            </w:tcBorders>
            <w:noWrap w:val="0"/>
            <w:vAlign w:val="center"/>
          </w:tcPr>
          <w:p w14:paraId="1DDAF988">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评分点</w:t>
            </w:r>
          </w:p>
        </w:tc>
        <w:tc>
          <w:tcPr>
            <w:tcW w:w="6166" w:type="dxa"/>
            <w:tcBorders>
              <w:top w:val="outset" w:color="auto" w:sz="6" w:space="0"/>
              <w:left w:val="outset" w:color="auto" w:sz="6" w:space="0"/>
              <w:bottom w:val="outset" w:color="auto" w:sz="6" w:space="0"/>
              <w:right w:val="outset" w:color="auto" w:sz="6" w:space="0"/>
            </w:tcBorders>
            <w:noWrap w:val="0"/>
            <w:vAlign w:val="center"/>
          </w:tcPr>
          <w:p w14:paraId="6FFA381B">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评分标准</w:t>
            </w:r>
          </w:p>
        </w:tc>
        <w:tc>
          <w:tcPr>
            <w:tcW w:w="1069" w:type="dxa"/>
            <w:tcBorders>
              <w:top w:val="outset" w:color="auto" w:sz="6" w:space="0"/>
              <w:left w:val="outset" w:color="auto" w:sz="6" w:space="0"/>
              <w:bottom w:val="outset" w:color="auto" w:sz="6" w:space="0"/>
              <w:right w:val="outset" w:color="auto" w:sz="6" w:space="0"/>
            </w:tcBorders>
            <w:noWrap w:val="0"/>
            <w:vAlign w:val="center"/>
          </w:tcPr>
          <w:p w14:paraId="55E95E05">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权重分配</w:t>
            </w:r>
          </w:p>
        </w:tc>
      </w:tr>
      <w:tr w14:paraId="6F49633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184" w:hRule="atLeast"/>
        </w:trPr>
        <w:tc>
          <w:tcPr>
            <w:tcW w:w="1026" w:type="dxa"/>
            <w:vMerge w:val="restart"/>
            <w:tcBorders>
              <w:left w:val="outset" w:color="auto" w:sz="6" w:space="0"/>
              <w:right w:val="outset" w:color="auto" w:sz="6" w:space="0"/>
            </w:tcBorders>
            <w:noWrap w:val="0"/>
            <w:vAlign w:val="center"/>
          </w:tcPr>
          <w:p w14:paraId="19179330">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p w14:paraId="406A80F3">
            <w:pPr>
              <w:keepNext w:val="0"/>
              <w:keepLines w:val="0"/>
              <w:pageBreakBefore w:val="0"/>
              <w:kinsoku/>
              <w:wordWrap/>
              <w:overflowPunct/>
              <w:topLinePunct/>
              <w:autoSpaceDE/>
              <w:autoSpaceDN/>
              <w:bidi w:val="0"/>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w:t>
            </w:r>
            <w:r>
              <w:rPr>
                <w:rFonts w:hint="eastAsia" w:ascii="宋体" w:hAnsi="宋体" w:eastAsia="宋体" w:cs="宋体"/>
                <w:color w:val="auto"/>
                <w:sz w:val="24"/>
                <w:szCs w:val="24"/>
                <w:highlight w:val="none"/>
                <w:lang w:val="zh-CN"/>
              </w:rPr>
              <w:t>技术评审</w:t>
            </w:r>
            <w:r>
              <w:rPr>
                <w:rFonts w:hint="eastAsia" w:ascii="宋体" w:hAnsi="宋体" w:eastAsia="宋体" w:cs="宋体"/>
                <w:color w:val="auto"/>
                <w:sz w:val="24"/>
                <w:szCs w:val="24"/>
                <w:highlight w:val="none"/>
              </w:rPr>
              <w:t>表</w:t>
            </w:r>
          </w:p>
          <w:p w14:paraId="54B833AD">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70</w:t>
            </w:r>
            <w:r>
              <w:rPr>
                <w:rFonts w:hint="eastAsia" w:ascii="宋体" w:hAnsi="宋体" w:eastAsia="宋体" w:cs="宋体"/>
                <w:color w:val="auto"/>
                <w:sz w:val="24"/>
                <w:szCs w:val="24"/>
                <w:highlight w:val="none"/>
                <w:lang w:val="zh-CN"/>
              </w:rPr>
              <w:t>分）</w:t>
            </w:r>
          </w:p>
        </w:tc>
        <w:tc>
          <w:tcPr>
            <w:tcW w:w="1358" w:type="dxa"/>
            <w:tcBorders>
              <w:top w:val="outset" w:color="auto" w:sz="6" w:space="0"/>
              <w:left w:val="outset" w:color="auto" w:sz="6" w:space="0"/>
              <w:bottom w:val="outset" w:color="auto" w:sz="6" w:space="0"/>
              <w:right w:val="outset" w:color="auto" w:sz="6" w:space="0"/>
            </w:tcBorders>
            <w:noWrap w:val="0"/>
            <w:vAlign w:val="center"/>
          </w:tcPr>
          <w:p w14:paraId="6261D2DD">
            <w:pPr>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5"/>
                <w:sz w:val="24"/>
                <w:szCs w:val="24"/>
                <w:highlight w:val="none"/>
              </w:rPr>
              <w:t>业绩</w:t>
            </w:r>
            <w:r>
              <w:rPr>
                <w:rFonts w:hint="eastAsia" w:ascii="宋体" w:hAnsi="宋体" w:eastAsia="宋体" w:cs="宋体"/>
                <w:color w:val="auto"/>
                <w:kern w:val="2"/>
                <w:sz w:val="24"/>
                <w:szCs w:val="24"/>
                <w:highlight w:val="none"/>
                <w:lang w:val="en-US" w:eastAsia="zh-CN" w:bidi="ar-SA"/>
              </w:rPr>
              <w:t>（5分）</w:t>
            </w:r>
          </w:p>
        </w:tc>
        <w:tc>
          <w:tcPr>
            <w:tcW w:w="6166" w:type="dxa"/>
            <w:tcBorders>
              <w:top w:val="outset" w:color="auto" w:sz="6" w:space="0"/>
              <w:left w:val="outset" w:color="auto" w:sz="6" w:space="0"/>
              <w:bottom w:val="outset" w:color="auto" w:sz="6" w:space="0"/>
              <w:right w:val="outset" w:color="auto" w:sz="6" w:space="0"/>
            </w:tcBorders>
            <w:noWrap w:val="0"/>
            <w:vAlign w:val="center"/>
          </w:tcPr>
          <w:p w14:paraId="5256608F">
            <w:pPr>
              <w:pStyle w:val="73"/>
              <w:keepNext w:val="0"/>
              <w:keepLines w:val="0"/>
              <w:pageBreakBefore w:val="0"/>
              <w:kinsoku/>
              <w:wordWrap/>
              <w:overflowPunct/>
              <w:autoSpaceDE/>
              <w:autoSpaceDN/>
              <w:bidi w:val="0"/>
              <w:snapToGrid/>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供应商提供近3年（2021年</w:t>
            </w:r>
            <w:r>
              <w:rPr>
                <w:rFonts w:hint="eastAsia" w:ascii="宋体"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月至今）的项目类似业绩，每项得1分，最高得5分，无业绩证明材料的不得分。</w:t>
            </w:r>
          </w:p>
          <w:p w14:paraId="2AA3F0E2">
            <w:pPr>
              <w:pStyle w:val="73"/>
              <w:keepNext w:val="0"/>
              <w:keepLines w:val="0"/>
              <w:pageBreakBefore w:val="0"/>
              <w:kinsoku/>
              <w:wordWrap/>
              <w:overflowPunct/>
              <w:autoSpaceDE/>
              <w:autoSpaceDN/>
              <w:bidi w:val="0"/>
              <w:snapToGrid/>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注：每一个业绩须提供项目成交通知书/中标通知书或合同关键页复印件，并加盖供应商公章。合同书关键页包括服务内容页、合同金额页、双方盖章页及签订时间页。提供不全者不予认可。</w:t>
            </w:r>
          </w:p>
        </w:tc>
        <w:tc>
          <w:tcPr>
            <w:tcW w:w="1069" w:type="dxa"/>
            <w:vMerge w:val="restart"/>
            <w:tcBorders>
              <w:left w:val="outset" w:color="auto" w:sz="6" w:space="0"/>
              <w:right w:val="outset" w:color="auto" w:sz="6" w:space="0"/>
            </w:tcBorders>
            <w:noWrap w:val="0"/>
            <w:vAlign w:val="center"/>
          </w:tcPr>
          <w:p w14:paraId="333AE185">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70</w:t>
            </w:r>
            <w:r>
              <w:rPr>
                <w:rFonts w:hint="eastAsia" w:ascii="宋体" w:hAnsi="宋体" w:eastAsia="宋体" w:cs="宋体"/>
                <w:color w:val="auto"/>
                <w:kern w:val="2"/>
                <w:sz w:val="24"/>
                <w:szCs w:val="24"/>
                <w:highlight w:val="none"/>
                <w:lang w:val="en-US" w:eastAsia="zh-CN" w:bidi="ar-SA"/>
              </w:rPr>
              <w:t>分</w:t>
            </w:r>
          </w:p>
        </w:tc>
      </w:tr>
      <w:tr w14:paraId="7E997CA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646" w:hRule="atLeast"/>
        </w:trPr>
        <w:tc>
          <w:tcPr>
            <w:tcW w:w="1026" w:type="dxa"/>
            <w:vMerge w:val="continue"/>
            <w:tcBorders>
              <w:left w:val="outset" w:color="auto" w:sz="6" w:space="0"/>
              <w:right w:val="outset" w:color="auto" w:sz="6" w:space="0"/>
            </w:tcBorders>
            <w:noWrap w:val="0"/>
            <w:vAlign w:val="center"/>
          </w:tcPr>
          <w:p w14:paraId="3C9B2E1C">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tc>
        <w:tc>
          <w:tcPr>
            <w:tcW w:w="1358" w:type="dxa"/>
            <w:tcBorders>
              <w:top w:val="outset" w:color="auto" w:sz="6" w:space="0"/>
              <w:left w:val="outset" w:color="auto" w:sz="6" w:space="0"/>
              <w:bottom w:val="outset" w:color="auto" w:sz="6" w:space="0"/>
              <w:right w:val="outset" w:color="auto" w:sz="6" w:space="0"/>
            </w:tcBorders>
            <w:shd w:val="clear" w:color="auto" w:fill="auto"/>
            <w:noWrap w:val="0"/>
            <w:vAlign w:val="center"/>
          </w:tcPr>
          <w:p w14:paraId="7C3D7BFF">
            <w:pPr>
              <w:pStyle w:val="37"/>
              <w:keepNext w:val="0"/>
              <w:keepLines w:val="0"/>
              <w:pageBreakBefore w:val="0"/>
              <w:kinsoku/>
              <w:wordWrap/>
              <w:overflowPunct/>
              <w:autoSpaceDE/>
              <w:autoSpaceDN/>
              <w:bidi w:val="0"/>
              <w:snapToGrid/>
              <w:spacing w:line="240" w:lineRule="auto"/>
              <w:ind w:left="0" w:leftChars="0" w:right="-58" w:rightChars="0" w:firstLine="0" w:firstLine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货物制作及安装方法及技术措施</w:t>
            </w:r>
            <w:r>
              <w:rPr>
                <w:rFonts w:hint="eastAsia" w:ascii="宋体" w:hAnsi="宋体" w:eastAsia="宋体" w:cs="宋体"/>
                <w:color w:val="auto"/>
                <w:kern w:val="2"/>
                <w:sz w:val="24"/>
                <w:szCs w:val="24"/>
                <w:highlight w:val="none"/>
                <w:lang w:val="en-US" w:eastAsia="zh-CN" w:bidi="ar-SA"/>
              </w:rPr>
              <w:t>（15分）</w:t>
            </w:r>
          </w:p>
        </w:tc>
        <w:tc>
          <w:tcPr>
            <w:tcW w:w="6166" w:type="dxa"/>
            <w:tcBorders>
              <w:top w:val="outset" w:color="auto" w:sz="6" w:space="0"/>
              <w:left w:val="outset" w:color="auto" w:sz="6" w:space="0"/>
              <w:bottom w:val="outset" w:color="auto" w:sz="6" w:space="0"/>
              <w:right w:val="outset" w:color="auto" w:sz="6" w:space="0"/>
            </w:tcBorders>
            <w:shd w:val="clear" w:color="auto" w:fill="auto"/>
            <w:noWrap w:val="0"/>
            <w:vAlign w:val="center"/>
          </w:tcPr>
          <w:p w14:paraId="29C3F3F7">
            <w:pPr>
              <w:pStyle w:val="73"/>
              <w:keepNext w:val="0"/>
              <w:keepLines w:val="0"/>
              <w:pageBreakBefore w:val="0"/>
              <w:kinsoku/>
              <w:wordWrap/>
              <w:overflowPunct/>
              <w:autoSpaceDE/>
              <w:autoSpaceDN/>
              <w:bidi w:val="0"/>
              <w:snapToGrid/>
              <w:spacing w:line="240" w:lineRule="auto"/>
              <w:ind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中国结灯箱及宣传栏制作方案、</w:t>
            </w:r>
            <w:r>
              <w:rPr>
                <w:rFonts w:hint="eastAsia" w:ascii="宋体" w:hAnsi="宋体" w:eastAsia="宋体" w:cs="宋体"/>
                <w:color w:val="auto"/>
                <w:kern w:val="2"/>
                <w:sz w:val="24"/>
                <w:szCs w:val="24"/>
                <w:highlight w:val="none"/>
                <w:lang w:val="en-US" w:eastAsia="zh-CN" w:bidi="ar-SA"/>
              </w:rPr>
              <w:t>安装方法及技术措施</w:t>
            </w:r>
            <w:r>
              <w:rPr>
                <w:rFonts w:hint="eastAsia" w:ascii="宋体" w:hAnsi="宋体" w:cs="宋体"/>
                <w:color w:val="auto"/>
                <w:kern w:val="2"/>
                <w:sz w:val="24"/>
                <w:szCs w:val="24"/>
                <w:highlight w:val="none"/>
                <w:lang w:val="en-US" w:eastAsia="zh-CN" w:bidi="ar-SA"/>
              </w:rPr>
              <w:t>：</w:t>
            </w:r>
            <w:r>
              <w:rPr>
                <w:rFonts w:hint="eastAsia" w:ascii="宋体" w:hAnsi="宋体" w:eastAsia="宋体" w:cs="宋体"/>
                <w:b w:val="0"/>
                <w:bCs w:val="0"/>
                <w:color w:val="auto"/>
                <w:spacing w:val="-6"/>
                <w:kern w:val="2"/>
                <w:sz w:val="24"/>
                <w:szCs w:val="24"/>
                <w:highlight w:val="none"/>
                <w:lang w:val="en-US" w:eastAsia="zh-CN" w:bidi="ar-SA"/>
              </w:rPr>
              <w:t>从方案的合理情况、全面、重点、难点解决措施就符合实际情况的针对性、有效性、合理情况进行综合评分；</w:t>
            </w:r>
            <w:r>
              <w:rPr>
                <w:rFonts w:hint="eastAsia" w:ascii="宋体" w:hAnsi="宋体" w:eastAsia="宋体" w:cs="宋体"/>
                <w:color w:val="auto"/>
                <w:kern w:val="2"/>
                <w:sz w:val="24"/>
                <w:szCs w:val="24"/>
                <w:highlight w:val="none"/>
                <w:lang w:val="en-US" w:eastAsia="zh-CN" w:bidi="ar-SA"/>
              </w:rPr>
              <w:t>方案内容满足项目需求且详细、合理可行、描述清晰、严谨且针对性强的</w:t>
            </w:r>
            <w:r>
              <w:rPr>
                <w:rFonts w:hint="eastAsia" w:ascii="宋体" w:hAnsi="宋体" w:cs="宋体"/>
                <w:color w:val="auto"/>
                <w:kern w:val="2"/>
                <w:sz w:val="24"/>
                <w:szCs w:val="24"/>
                <w:highlight w:val="none"/>
                <w:lang w:val="en-US" w:eastAsia="zh-CN" w:bidi="ar-SA"/>
              </w:rPr>
              <w:t>7-15</w:t>
            </w:r>
            <w:r>
              <w:rPr>
                <w:rFonts w:hint="eastAsia" w:ascii="宋体" w:hAnsi="宋体" w:eastAsia="宋体" w:cs="宋体"/>
                <w:color w:val="auto"/>
                <w:kern w:val="2"/>
                <w:sz w:val="24"/>
                <w:szCs w:val="24"/>
                <w:highlight w:val="none"/>
                <w:lang w:val="en-US" w:eastAsia="zh-CN" w:bidi="ar-SA"/>
              </w:rPr>
              <w:t>分；方案内容不够完整但内容较符合实际需求得</w:t>
            </w:r>
            <w:r>
              <w:rPr>
                <w:rFonts w:hint="eastAsia" w:ascii="宋体" w:hAnsi="宋体" w:cs="宋体"/>
                <w:color w:val="auto"/>
                <w:kern w:val="2"/>
                <w:sz w:val="24"/>
                <w:szCs w:val="24"/>
                <w:highlight w:val="none"/>
                <w:lang w:val="en-US" w:eastAsia="zh-CN" w:bidi="ar-SA"/>
              </w:rPr>
              <w:t>3-7</w:t>
            </w:r>
            <w:r>
              <w:rPr>
                <w:rFonts w:hint="eastAsia" w:ascii="宋体" w:hAnsi="宋体" w:eastAsia="宋体" w:cs="宋体"/>
                <w:color w:val="auto"/>
                <w:kern w:val="2"/>
                <w:sz w:val="24"/>
                <w:szCs w:val="24"/>
                <w:highlight w:val="none"/>
                <w:lang w:val="en-US" w:eastAsia="zh-CN" w:bidi="ar-SA"/>
              </w:rPr>
              <w:t xml:space="preserve">分; 凭空捏造、套用其他无关内容、逻辑漏洞、科学原理错误得 </w:t>
            </w:r>
            <w:r>
              <w:rPr>
                <w:rFonts w:hint="eastAsia" w:ascii="宋体" w:hAnsi="宋体" w:cs="宋体"/>
                <w:color w:val="auto"/>
                <w:kern w:val="2"/>
                <w:sz w:val="24"/>
                <w:szCs w:val="24"/>
                <w:highlight w:val="none"/>
                <w:lang w:val="en-US" w:eastAsia="zh-CN" w:bidi="ar-SA"/>
              </w:rPr>
              <w:t>1-3</w:t>
            </w:r>
            <w:r>
              <w:rPr>
                <w:rFonts w:hint="eastAsia" w:ascii="宋体" w:hAnsi="宋体" w:eastAsia="宋体" w:cs="宋体"/>
                <w:color w:val="auto"/>
                <w:kern w:val="2"/>
                <w:sz w:val="24"/>
                <w:szCs w:val="24"/>
                <w:highlight w:val="none"/>
                <w:lang w:val="en-US" w:eastAsia="zh-CN" w:bidi="ar-SA"/>
              </w:rPr>
              <w:t>分；未提供的不得分。</w:t>
            </w:r>
          </w:p>
        </w:tc>
        <w:tc>
          <w:tcPr>
            <w:tcW w:w="1069" w:type="dxa"/>
            <w:vMerge w:val="continue"/>
            <w:tcBorders>
              <w:left w:val="outset" w:color="auto" w:sz="6" w:space="0"/>
              <w:right w:val="outset" w:color="auto" w:sz="6" w:space="0"/>
            </w:tcBorders>
            <w:noWrap w:val="0"/>
            <w:vAlign w:val="center"/>
          </w:tcPr>
          <w:p w14:paraId="3B4A50D1">
            <w:pPr>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lang w:val="en-US" w:eastAsia="zh-CN" w:bidi="ar-SA"/>
              </w:rPr>
            </w:pPr>
          </w:p>
        </w:tc>
      </w:tr>
      <w:tr w14:paraId="13E1C27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094" w:hRule="atLeast"/>
        </w:trPr>
        <w:tc>
          <w:tcPr>
            <w:tcW w:w="1026" w:type="dxa"/>
            <w:vMerge w:val="continue"/>
            <w:tcBorders>
              <w:left w:val="outset" w:color="auto" w:sz="6" w:space="0"/>
              <w:right w:val="outset" w:color="auto" w:sz="6" w:space="0"/>
            </w:tcBorders>
            <w:noWrap w:val="0"/>
            <w:vAlign w:val="center"/>
          </w:tcPr>
          <w:p w14:paraId="1CF7BFBA">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tc>
        <w:tc>
          <w:tcPr>
            <w:tcW w:w="1358" w:type="dxa"/>
            <w:tcBorders>
              <w:top w:val="outset" w:color="auto" w:sz="6" w:space="0"/>
              <w:left w:val="outset" w:color="auto" w:sz="6" w:space="0"/>
              <w:right w:val="outset" w:color="auto" w:sz="6" w:space="0"/>
            </w:tcBorders>
            <w:noWrap w:val="0"/>
            <w:vAlign w:val="center"/>
          </w:tcPr>
          <w:p w14:paraId="33818F6B">
            <w:pPr>
              <w:pStyle w:val="73"/>
              <w:keepNext w:val="0"/>
              <w:keepLines w:val="0"/>
              <w:pageBreakBefore w:val="0"/>
              <w:kinsoku/>
              <w:wordWrap/>
              <w:overflowPunct/>
              <w:autoSpaceDE/>
              <w:autoSpaceDN/>
              <w:bidi w:val="0"/>
              <w:snapToGrid/>
              <w:spacing w:line="240" w:lineRule="auto"/>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供货方案</w:t>
            </w:r>
            <w:r>
              <w:rPr>
                <w:rFonts w:hint="eastAsia" w:ascii="宋体" w:hAnsi="宋体" w:eastAsia="宋体" w:cs="宋体"/>
                <w:color w:val="auto"/>
                <w:kern w:val="2"/>
                <w:sz w:val="24"/>
                <w:szCs w:val="24"/>
                <w:highlight w:val="none"/>
                <w:lang w:val="en-US" w:eastAsia="zh-CN" w:bidi="ar-SA"/>
              </w:rPr>
              <w:t>（15分）</w:t>
            </w:r>
          </w:p>
        </w:tc>
        <w:tc>
          <w:tcPr>
            <w:tcW w:w="6166" w:type="dxa"/>
            <w:tcBorders>
              <w:top w:val="outset" w:color="auto" w:sz="6" w:space="0"/>
              <w:left w:val="outset" w:color="auto" w:sz="6" w:space="0"/>
              <w:bottom w:val="outset" w:color="auto" w:sz="6" w:space="0"/>
              <w:right w:val="outset" w:color="auto" w:sz="6" w:space="0"/>
            </w:tcBorders>
            <w:noWrap w:val="0"/>
            <w:vAlign w:val="center"/>
          </w:tcPr>
          <w:p w14:paraId="02B8D221">
            <w:pPr>
              <w:pStyle w:val="73"/>
              <w:keepNext w:val="0"/>
              <w:keepLines w:val="0"/>
              <w:pageBreakBefore w:val="0"/>
              <w:kinsoku/>
              <w:wordWrap/>
              <w:overflowPunct/>
              <w:autoSpaceDE/>
              <w:autoSpaceDN/>
              <w:bidi w:val="0"/>
              <w:snapToGrid/>
              <w:spacing w:line="240" w:lineRule="auto"/>
              <w:ind w:firstLine="0" w:firstLineChars="0"/>
              <w:jc w:val="both"/>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提供本项目所投产品的供货方案，内容包括但不限于备货方案、供货计划、供货流程、供货渠道、供货方式、运输方案等。从方案的合理情况、全面、重点、难点解决措施就符合实际情况的针对性、有效性、合理情况进行综合评分。方案内容满足项目需求且详细、合理可行、描述清晰、严谨且针对性强的7-15分；方案内容不够完整但内容较符合实际需求得3-7分; 凭空捏造、套用其他无关内容、逻辑漏洞、科学原理错误得 1-3分；未提供的不得分。</w:t>
            </w:r>
          </w:p>
        </w:tc>
        <w:tc>
          <w:tcPr>
            <w:tcW w:w="1069" w:type="dxa"/>
            <w:vMerge w:val="continue"/>
            <w:tcBorders>
              <w:left w:val="outset" w:color="auto" w:sz="6" w:space="0"/>
              <w:right w:val="outset" w:color="auto" w:sz="6" w:space="0"/>
            </w:tcBorders>
            <w:noWrap w:val="0"/>
            <w:vAlign w:val="center"/>
          </w:tcPr>
          <w:p w14:paraId="7176C074">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rPr>
            </w:pPr>
          </w:p>
        </w:tc>
      </w:tr>
      <w:tr w14:paraId="6A0952E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904" w:hRule="atLeast"/>
        </w:trPr>
        <w:tc>
          <w:tcPr>
            <w:tcW w:w="1026" w:type="dxa"/>
            <w:vMerge w:val="continue"/>
            <w:tcBorders>
              <w:left w:val="outset" w:color="auto" w:sz="6" w:space="0"/>
              <w:right w:val="outset" w:color="auto" w:sz="6" w:space="0"/>
            </w:tcBorders>
            <w:noWrap w:val="0"/>
            <w:vAlign w:val="center"/>
          </w:tcPr>
          <w:p w14:paraId="6520C268">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tc>
        <w:tc>
          <w:tcPr>
            <w:tcW w:w="1358" w:type="dxa"/>
            <w:tcBorders>
              <w:top w:val="outset" w:color="auto" w:sz="6" w:space="0"/>
              <w:left w:val="outset" w:color="auto" w:sz="6" w:space="0"/>
              <w:right w:val="outset" w:color="auto" w:sz="6" w:space="0"/>
            </w:tcBorders>
            <w:noWrap w:val="0"/>
            <w:vAlign w:val="center"/>
          </w:tcPr>
          <w:p w14:paraId="7323F38A">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质量保障措施</w:t>
            </w:r>
          </w:p>
          <w:p w14:paraId="5623CF7B">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（13分）</w:t>
            </w:r>
          </w:p>
        </w:tc>
        <w:tc>
          <w:tcPr>
            <w:tcW w:w="6166" w:type="dxa"/>
            <w:tcBorders>
              <w:top w:val="outset" w:color="auto" w:sz="6" w:space="0"/>
              <w:left w:val="outset" w:color="auto" w:sz="6" w:space="0"/>
              <w:bottom w:val="outset" w:color="auto" w:sz="6" w:space="0"/>
              <w:right w:val="outset" w:color="auto" w:sz="6" w:space="0"/>
            </w:tcBorders>
            <w:noWrap w:val="0"/>
            <w:vAlign w:val="center"/>
          </w:tcPr>
          <w:p w14:paraId="70FE12A7">
            <w:pPr>
              <w:pStyle w:val="73"/>
              <w:keepNext w:val="0"/>
              <w:keepLines w:val="0"/>
              <w:pageBreakBefore w:val="0"/>
              <w:kinsoku/>
              <w:wordWrap/>
              <w:overflowPunct/>
              <w:autoSpaceDE/>
              <w:autoSpaceDN/>
              <w:bidi w:val="0"/>
              <w:snapToGrid/>
              <w:spacing w:line="240" w:lineRule="auto"/>
              <w:ind w:firstLine="0" w:firstLineChars="0"/>
              <w:jc w:val="both"/>
              <w:rPr>
                <w:rFonts w:hint="default" w:ascii="宋体" w:hAnsi="宋体" w:cs="宋体"/>
                <w:color w:val="auto"/>
                <w:kern w:val="2"/>
                <w:sz w:val="24"/>
                <w:szCs w:val="24"/>
                <w:highlight w:val="none"/>
                <w:lang w:val="en-US" w:eastAsia="zh-CN" w:bidi="ar-SA"/>
              </w:rPr>
            </w:pPr>
            <w:r>
              <w:rPr>
                <w:rFonts w:hint="default" w:ascii="宋体" w:hAnsi="宋体" w:cs="宋体"/>
                <w:color w:val="auto"/>
                <w:kern w:val="2"/>
                <w:sz w:val="24"/>
                <w:szCs w:val="24"/>
                <w:highlight w:val="none"/>
                <w:lang w:val="en-US" w:eastAsia="zh-CN" w:bidi="ar-SA"/>
              </w:rPr>
              <w:t>供应商针对本项目制定相应的产品质量保证措施。包括但不限于以下几方面:质量保障措施方案;</w:t>
            </w:r>
            <w:r>
              <w:rPr>
                <w:rFonts w:hint="eastAsia" w:ascii="宋体" w:hAnsi="宋体" w:cs="宋体"/>
                <w:color w:val="auto"/>
                <w:kern w:val="2"/>
                <w:sz w:val="24"/>
                <w:szCs w:val="24"/>
                <w:highlight w:val="none"/>
                <w:lang w:val="en-US" w:eastAsia="zh-CN" w:bidi="ar-SA"/>
              </w:rPr>
              <w:t>人员安全安装、登高方案；</w:t>
            </w:r>
            <w:r>
              <w:rPr>
                <w:rFonts w:hint="default" w:ascii="宋体" w:hAnsi="宋体" w:cs="宋体"/>
                <w:color w:val="auto"/>
                <w:kern w:val="2"/>
                <w:sz w:val="24"/>
                <w:szCs w:val="24"/>
                <w:highlight w:val="none"/>
                <w:lang w:val="en-US" w:eastAsia="zh-CN" w:bidi="ar-SA"/>
              </w:rPr>
              <w:t>质量方针；质量目标；质量标准；质量保证依据；质量保证原则等。方案内容满足项目需求且详细、合理可行、描述清晰、严谨且针对性强的7-1</w:t>
            </w:r>
            <w:r>
              <w:rPr>
                <w:rFonts w:hint="eastAsia" w:ascii="宋体" w:hAnsi="宋体" w:cs="宋体"/>
                <w:color w:val="auto"/>
                <w:kern w:val="2"/>
                <w:sz w:val="24"/>
                <w:szCs w:val="24"/>
                <w:highlight w:val="none"/>
                <w:lang w:val="en-US" w:eastAsia="zh-CN" w:bidi="ar-SA"/>
              </w:rPr>
              <w:t>3</w:t>
            </w:r>
            <w:r>
              <w:rPr>
                <w:rFonts w:hint="default" w:ascii="宋体" w:hAnsi="宋体" w:cs="宋体"/>
                <w:color w:val="auto"/>
                <w:kern w:val="2"/>
                <w:sz w:val="24"/>
                <w:szCs w:val="24"/>
                <w:highlight w:val="none"/>
                <w:lang w:val="en-US" w:eastAsia="zh-CN" w:bidi="ar-SA"/>
              </w:rPr>
              <w:t>分；方案内容不够完整但内容较符合实际需求得3-7分; 凭空捏造、套用其他无关内容、逻辑漏洞、科学原理错误得 1-3分；未提供的不得分。</w:t>
            </w:r>
          </w:p>
        </w:tc>
        <w:tc>
          <w:tcPr>
            <w:tcW w:w="1069" w:type="dxa"/>
            <w:vMerge w:val="continue"/>
            <w:tcBorders>
              <w:left w:val="outset" w:color="auto" w:sz="6" w:space="0"/>
              <w:right w:val="outset" w:color="auto" w:sz="6" w:space="0"/>
            </w:tcBorders>
            <w:noWrap w:val="0"/>
            <w:vAlign w:val="center"/>
          </w:tcPr>
          <w:p w14:paraId="26D21A1B">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lang w:val="zh-CN"/>
              </w:rPr>
            </w:pPr>
          </w:p>
        </w:tc>
      </w:tr>
      <w:tr w14:paraId="3008BBE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171" w:hRule="atLeast"/>
        </w:trPr>
        <w:tc>
          <w:tcPr>
            <w:tcW w:w="1026" w:type="dxa"/>
            <w:vMerge w:val="continue"/>
            <w:tcBorders>
              <w:left w:val="outset" w:color="auto" w:sz="6" w:space="0"/>
              <w:right w:val="outset" w:color="auto" w:sz="6" w:space="0"/>
            </w:tcBorders>
            <w:noWrap w:val="0"/>
            <w:vAlign w:val="center"/>
          </w:tcPr>
          <w:p w14:paraId="020679E5">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tc>
        <w:tc>
          <w:tcPr>
            <w:tcW w:w="1358" w:type="dxa"/>
            <w:tcBorders>
              <w:top w:val="outset" w:color="auto" w:sz="6" w:space="0"/>
              <w:left w:val="outset" w:color="auto" w:sz="6" w:space="0"/>
              <w:right w:val="outset" w:color="auto" w:sz="6" w:space="0"/>
            </w:tcBorders>
            <w:noWrap w:val="0"/>
            <w:vAlign w:val="center"/>
          </w:tcPr>
          <w:p w14:paraId="66F3AC94">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售后服务与技术支持方案</w:t>
            </w:r>
          </w:p>
          <w:p w14:paraId="43E99451">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（10分）</w:t>
            </w:r>
          </w:p>
        </w:tc>
        <w:tc>
          <w:tcPr>
            <w:tcW w:w="6166" w:type="dxa"/>
            <w:tcBorders>
              <w:top w:val="outset" w:color="auto" w:sz="6" w:space="0"/>
              <w:left w:val="outset" w:color="auto" w:sz="6" w:space="0"/>
              <w:bottom w:val="single" w:color="auto" w:sz="4" w:space="0"/>
              <w:right w:val="outset" w:color="auto" w:sz="6" w:space="0"/>
            </w:tcBorders>
            <w:noWrap w:val="0"/>
            <w:vAlign w:val="center"/>
          </w:tcPr>
          <w:p w14:paraId="263BCB36">
            <w:pPr>
              <w:pStyle w:val="73"/>
              <w:keepNext w:val="0"/>
              <w:keepLines w:val="0"/>
              <w:pageBreakBefore w:val="0"/>
              <w:kinsoku/>
              <w:wordWrap/>
              <w:overflowPunct/>
              <w:autoSpaceDE/>
              <w:autoSpaceDN/>
              <w:bidi w:val="0"/>
              <w:snapToGrid/>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供应商提供售后服务与技术支持方案。</w:t>
            </w:r>
          </w:p>
          <w:p w14:paraId="54C5FF98">
            <w:pPr>
              <w:pStyle w:val="73"/>
              <w:keepNext w:val="0"/>
              <w:keepLines w:val="0"/>
              <w:pageBreakBefore w:val="0"/>
              <w:kinsoku/>
              <w:wordWrap/>
              <w:overflowPunct/>
              <w:autoSpaceDE/>
              <w:autoSpaceDN/>
              <w:bidi w:val="0"/>
              <w:snapToGrid/>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方案内容满足项目需求且详细、合理可行、描述清晰、严谨且针对性强的</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0</w:t>
            </w:r>
            <w:r>
              <w:rPr>
                <w:rFonts w:hint="eastAsia" w:ascii="宋体" w:hAnsi="宋体" w:eastAsia="宋体" w:cs="宋体"/>
                <w:color w:val="auto"/>
                <w:kern w:val="2"/>
                <w:sz w:val="24"/>
                <w:szCs w:val="24"/>
                <w:highlight w:val="none"/>
                <w:lang w:val="en-US" w:eastAsia="zh-CN" w:bidi="ar-SA"/>
              </w:rPr>
              <w:t>分；方案内容不够完整但内容较符合实际需求得3-</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分; 凭空捏造、套用其他无关内容、逻辑漏洞、科学原理错误得 1-3分；未提供的不得分。</w:t>
            </w:r>
          </w:p>
        </w:tc>
        <w:tc>
          <w:tcPr>
            <w:tcW w:w="1069" w:type="dxa"/>
            <w:vMerge w:val="continue"/>
            <w:tcBorders>
              <w:left w:val="outset" w:color="auto" w:sz="6" w:space="0"/>
              <w:right w:val="outset" w:color="auto" w:sz="6" w:space="0"/>
            </w:tcBorders>
            <w:noWrap w:val="0"/>
            <w:vAlign w:val="center"/>
          </w:tcPr>
          <w:p w14:paraId="1D147456">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lang w:val="zh-CN"/>
              </w:rPr>
            </w:pPr>
          </w:p>
        </w:tc>
      </w:tr>
      <w:tr w14:paraId="749A220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705" w:hRule="atLeast"/>
        </w:trPr>
        <w:tc>
          <w:tcPr>
            <w:tcW w:w="1026" w:type="dxa"/>
            <w:vMerge w:val="continue"/>
            <w:tcBorders>
              <w:left w:val="outset" w:color="auto" w:sz="6" w:space="0"/>
              <w:right w:val="outset" w:color="auto" w:sz="6" w:space="0"/>
            </w:tcBorders>
            <w:noWrap w:val="0"/>
            <w:vAlign w:val="center"/>
          </w:tcPr>
          <w:p w14:paraId="4C2BCF66">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tc>
        <w:tc>
          <w:tcPr>
            <w:tcW w:w="1358" w:type="dxa"/>
            <w:tcBorders>
              <w:top w:val="outset" w:color="auto" w:sz="6" w:space="0"/>
              <w:left w:val="outset" w:color="auto" w:sz="6" w:space="0"/>
              <w:bottom w:val="outset" w:color="auto" w:sz="6" w:space="0"/>
              <w:right w:val="outset" w:color="auto" w:sz="6" w:space="0"/>
            </w:tcBorders>
            <w:noWrap w:val="0"/>
            <w:vAlign w:val="center"/>
          </w:tcPr>
          <w:p w14:paraId="479F59E1">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应急事故响应及处理方案</w:t>
            </w:r>
          </w:p>
          <w:p w14:paraId="7B6515EC">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（10分）</w:t>
            </w:r>
          </w:p>
        </w:tc>
        <w:tc>
          <w:tcPr>
            <w:tcW w:w="6166" w:type="dxa"/>
            <w:tcBorders>
              <w:top w:val="outset" w:color="auto" w:sz="6" w:space="0"/>
              <w:left w:val="outset" w:color="auto" w:sz="6" w:space="0"/>
              <w:bottom w:val="outset" w:color="auto" w:sz="6" w:space="0"/>
              <w:right w:val="outset" w:color="auto" w:sz="6" w:space="0"/>
            </w:tcBorders>
            <w:noWrap w:val="0"/>
            <w:vAlign w:val="center"/>
          </w:tcPr>
          <w:p w14:paraId="54112B11">
            <w:pPr>
              <w:pStyle w:val="73"/>
              <w:keepNext w:val="0"/>
              <w:keepLines w:val="0"/>
              <w:pageBreakBefore w:val="0"/>
              <w:kinsoku/>
              <w:wordWrap/>
              <w:overflowPunct/>
              <w:autoSpaceDE/>
              <w:autoSpaceDN/>
              <w:bidi w:val="0"/>
              <w:snapToGrid/>
              <w:spacing w:line="240" w:lineRule="auto"/>
              <w:ind w:firstLine="0" w:firstLineChars="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针对本项目提供应急事故响应及处理方案，包括但不限于突发应急响应时间、紧急货物供应；可能突发的应急事故情况分析；突发事件后临时处理措施等。从方案的合理情况、全面、重点、难点解决措施就符合实际情况的针对性、有效性、合理情况进行综合评分。方案内容满足项目需求且详细、合理可行、描述清晰、严谨且针对性强的5-10分；方案内容不够完整但内容较符合实际需求得3-5分; 凭空捏造、套用其他无关内容、逻辑漏洞、科学原理错误得 1-3分；未提供的不得分。</w:t>
            </w:r>
          </w:p>
        </w:tc>
        <w:tc>
          <w:tcPr>
            <w:tcW w:w="1069" w:type="dxa"/>
            <w:vMerge w:val="continue"/>
            <w:tcBorders>
              <w:left w:val="outset" w:color="auto" w:sz="6" w:space="0"/>
              <w:right w:val="outset" w:color="auto" w:sz="6" w:space="0"/>
            </w:tcBorders>
            <w:noWrap w:val="0"/>
            <w:vAlign w:val="center"/>
          </w:tcPr>
          <w:p w14:paraId="0B987ED9">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lang w:val="zh-CN"/>
              </w:rPr>
            </w:pPr>
          </w:p>
        </w:tc>
      </w:tr>
      <w:tr w14:paraId="2EC331D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207" w:hRule="atLeast"/>
        </w:trPr>
        <w:tc>
          <w:tcPr>
            <w:tcW w:w="1026" w:type="dxa"/>
            <w:vMerge w:val="continue"/>
            <w:tcBorders>
              <w:left w:val="outset" w:color="auto" w:sz="6" w:space="0"/>
              <w:right w:val="outset" w:color="auto" w:sz="6" w:space="0"/>
            </w:tcBorders>
            <w:noWrap w:val="0"/>
            <w:vAlign w:val="center"/>
          </w:tcPr>
          <w:p w14:paraId="5E9517E4">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p>
        </w:tc>
        <w:tc>
          <w:tcPr>
            <w:tcW w:w="1358" w:type="dxa"/>
            <w:tcBorders>
              <w:top w:val="outset" w:color="auto" w:sz="6" w:space="0"/>
              <w:left w:val="outset" w:color="auto" w:sz="6" w:space="0"/>
              <w:bottom w:val="outset" w:color="auto" w:sz="6" w:space="0"/>
              <w:right w:val="outset" w:color="auto" w:sz="6" w:space="0"/>
            </w:tcBorders>
            <w:noWrap w:val="0"/>
            <w:vAlign w:val="center"/>
          </w:tcPr>
          <w:p w14:paraId="1B6E417F">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标书质量</w:t>
            </w:r>
          </w:p>
          <w:p w14:paraId="557B3EA3">
            <w:pPr>
              <w:pStyle w:val="73"/>
              <w:keepNext w:val="0"/>
              <w:keepLines w:val="0"/>
              <w:pageBreakBefore w:val="0"/>
              <w:kinsoku/>
              <w:wordWrap/>
              <w:overflowPunct/>
              <w:autoSpaceDE/>
              <w:autoSpaceDN/>
              <w:bidi w:val="0"/>
              <w:snapToGrid/>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（2分）</w:t>
            </w:r>
          </w:p>
        </w:tc>
        <w:tc>
          <w:tcPr>
            <w:tcW w:w="6166" w:type="dxa"/>
            <w:tcBorders>
              <w:top w:val="outset" w:color="auto" w:sz="6" w:space="0"/>
              <w:left w:val="outset" w:color="auto" w:sz="6" w:space="0"/>
              <w:bottom w:val="outset" w:color="auto" w:sz="6" w:space="0"/>
              <w:right w:val="outset" w:color="auto" w:sz="6" w:space="0"/>
            </w:tcBorders>
            <w:noWrap w:val="0"/>
            <w:vAlign w:val="center"/>
          </w:tcPr>
          <w:p w14:paraId="4B4DE5E9">
            <w:pPr>
              <w:pStyle w:val="73"/>
              <w:keepNext w:val="0"/>
              <w:keepLines w:val="0"/>
              <w:pageBreakBefore w:val="0"/>
              <w:kinsoku/>
              <w:wordWrap/>
              <w:overflowPunct/>
              <w:autoSpaceDE/>
              <w:autoSpaceDN/>
              <w:bidi w:val="0"/>
              <w:snapToGrid/>
              <w:spacing w:line="240" w:lineRule="auto"/>
              <w:ind w:firstLine="0" w:firstLineChars="0"/>
              <w:rPr>
                <w:rFonts w:hint="default" w:ascii="宋体" w:hAnsi="宋体" w:cs="宋体"/>
                <w:b/>
                <w:bCs/>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响应文件</w:t>
            </w:r>
            <w:r>
              <w:rPr>
                <w:rFonts w:hint="default" w:ascii="宋体" w:hAnsi="宋体" w:eastAsia="宋体" w:cs="宋体"/>
                <w:color w:val="auto"/>
                <w:kern w:val="2"/>
                <w:sz w:val="24"/>
                <w:szCs w:val="24"/>
                <w:highlight w:val="none"/>
                <w:lang w:val="en-US" w:eastAsia="zh-CN" w:bidi="ar-SA"/>
              </w:rPr>
              <w:t>编制内容完整、齐全、叙述严谨，标书无涂改、错页、漏页现象的得2分；文件编制内容不完整、叙述简单；标书有涂改、错页或漏页现象得0分。</w:t>
            </w:r>
          </w:p>
        </w:tc>
        <w:tc>
          <w:tcPr>
            <w:tcW w:w="1069" w:type="dxa"/>
            <w:tcBorders>
              <w:left w:val="outset" w:color="auto" w:sz="6" w:space="0"/>
              <w:right w:val="outset" w:color="auto" w:sz="6" w:space="0"/>
            </w:tcBorders>
            <w:noWrap w:val="0"/>
            <w:vAlign w:val="center"/>
          </w:tcPr>
          <w:p w14:paraId="427D5257">
            <w:pPr>
              <w:pStyle w:val="72"/>
              <w:keepNext w:val="0"/>
              <w:keepLines w:val="0"/>
              <w:pageBreakBefore w:val="0"/>
              <w:kinsoku/>
              <w:wordWrap/>
              <w:overflowPunct/>
              <w:autoSpaceDE/>
              <w:autoSpaceDN/>
              <w:bidi w:val="0"/>
              <w:snapToGrid/>
              <w:spacing w:line="240" w:lineRule="auto"/>
              <w:jc w:val="center"/>
              <w:rPr>
                <w:rFonts w:hint="eastAsia" w:ascii="宋体" w:hAnsi="宋体" w:eastAsia="宋体" w:cs="宋体"/>
                <w:color w:val="auto"/>
                <w:kern w:val="2"/>
                <w:sz w:val="24"/>
                <w:szCs w:val="24"/>
                <w:highlight w:val="none"/>
                <w:lang w:val="zh-CN"/>
              </w:rPr>
            </w:pPr>
          </w:p>
        </w:tc>
      </w:tr>
      <w:tr w14:paraId="0D2003C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68" w:hRule="atLeast"/>
        </w:trPr>
        <w:tc>
          <w:tcPr>
            <w:tcW w:w="2384" w:type="dxa"/>
            <w:gridSpan w:val="2"/>
            <w:tcBorders>
              <w:top w:val="single" w:color="auto" w:sz="4" w:space="0"/>
              <w:left w:val="outset" w:color="auto" w:sz="6" w:space="0"/>
              <w:bottom w:val="outset" w:color="auto" w:sz="6" w:space="0"/>
              <w:right w:val="outset" w:color="auto" w:sz="6" w:space="0"/>
            </w:tcBorders>
            <w:noWrap w:val="0"/>
            <w:vAlign w:val="center"/>
          </w:tcPr>
          <w:p w14:paraId="0B5EFA20">
            <w:pPr>
              <w:keepNext w:val="0"/>
              <w:keepLines w:val="0"/>
              <w:pageBreakBefore w:val="0"/>
              <w:kinsoku/>
              <w:wordWrap/>
              <w:overflowPunct/>
              <w:topLinePunct/>
              <w:autoSpaceDE/>
              <w:autoSpaceDN/>
              <w:bidi w:val="0"/>
              <w:snapToGrid/>
              <w:spacing w:line="24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合计</w:t>
            </w:r>
          </w:p>
        </w:tc>
        <w:tc>
          <w:tcPr>
            <w:tcW w:w="7235" w:type="dxa"/>
            <w:gridSpan w:val="2"/>
            <w:tcBorders>
              <w:top w:val="outset" w:color="auto" w:sz="6" w:space="0"/>
              <w:left w:val="outset" w:color="auto" w:sz="6" w:space="0"/>
              <w:bottom w:val="outset" w:color="auto" w:sz="6" w:space="0"/>
              <w:right w:val="outset" w:color="auto" w:sz="6" w:space="0"/>
            </w:tcBorders>
            <w:noWrap w:val="0"/>
            <w:vAlign w:val="center"/>
          </w:tcPr>
          <w:p w14:paraId="3B298D01">
            <w:pPr>
              <w:keepNext w:val="0"/>
              <w:keepLines w:val="0"/>
              <w:pageBreakBefore w:val="0"/>
              <w:kinsoku/>
              <w:wordWrap/>
              <w:overflowPunct/>
              <w:topLinePunct/>
              <w:autoSpaceDE/>
              <w:autoSpaceDN/>
              <w:bidi w:val="0"/>
              <w:snapToGrid/>
              <w:spacing w:line="24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0</w:t>
            </w:r>
          </w:p>
        </w:tc>
      </w:tr>
      <w:tr w14:paraId="414CBB2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859" w:hRule="atLeast"/>
        </w:trPr>
        <w:tc>
          <w:tcPr>
            <w:tcW w:w="9619" w:type="dxa"/>
            <w:gridSpan w:val="4"/>
            <w:tcBorders>
              <w:top w:val="outset" w:color="auto" w:sz="6" w:space="0"/>
              <w:left w:val="outset" w:color="auto" w:sz="6" w:space="0"/>
              <w:bottom w:val="outset" w:color="auto" w:sz="6" w:space="0"/>
              <w:right w:val="outset" w:color="auto" w:sz="6" w:space="0"/>
            </w:tcBorders>
            <w:noWrap w:val="0"/>
            <w:vAlign w:val="center"/>
          </w:tcPr>
          <w:p w14:paraId="5E1D034A">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注： 1、计算过程中，算术平均值保留2位小数（百分比亦取2位小数），第三位小数四舍五入。</w:t>
            </w:r>
          </w:p>
          <w:p w14:paraId="14F1CB5A">
            <w:pPr>
              <w:keepNext w:val="0"/>
              <w:keepLines w:val="0"/>
              <w:pageBreakBefore w:val="0"/>
              <w:kinsoku/>
              <w:wordWrap/>
              <w:overflowPunct/>
              <w:topLinePunct/>
              <w:autoSpaceDE/>
              <w:autoSpaceDN/>
              <w:bidi w:val="0"/>
              <w:snapToGrid/>
              <w:spacing w:line="24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rPr>
              <w:t>的最终得分为：所有评委对其评分的算术平均值。</w:t>
            </w:r>
          </w:p>
        </w:tc>
      </w:tr>
    </w:tbl>
    <w:p w14:paraId="2FB33499">
      <w:pPr>
        <w:spacing w:line="360" w:lineRule="auto"/>
        <w:outlineLvl w:val="2"/>
        <w:rPr>
          <w:rFonts w:ascii="time of new roman" w:hAnsi="time of new roman"/>
          <w:color w:val="auto"/>
          <w:sz w:val="24"/>
          <w:szCs w:val="24"/>
          <w:highlight w:val="none"/>
        </w:rPr>
      </w:pPr>
    </w:p>
    <w:p w14:paraId="733ECC9C">
      <w:pPr>
        <w:spacing w:line="360" w:lineRule="auto"/>
        <w:outlineLvl w:val="2"/>
        <w:rPr>
          <w:rFonts w:hint="eastAsia" w:ascii="宋体" w:hAnsi="宋体" w:eastAsia="宋体" w:cs="Times New Roman"/>
          <w:b/>
          <w:color w:val="auto"/>
          <w:sz w:val="24"/>
          <w:highlight w:val="none"/>
        </w:rPr>
      </w:pPr>
    </w:p>
    <w:p w14:paraId="68F6D646">
      <w:pPr>
        <w:spacing w:line="360" w:lineRule="auto"/>
        <w:outlineLvl w:val="2"/>
        <w:rPr>
          <w:rFonts w:hint="eastAsia" w:ascii="宋体" w:hAnsi="宋体" w:eastAsia="宋体" w:cs="Times New Roman"/>
          <w:b/>
          <w:color w:val="auto"/>
          <w:sz w:val="24"/>
          <w:highlight w:val="none"/>
        </w:rPr>
      </w:pPr>
      <w:r>
        <w:rPr>
          <w:rFonts w:hint="eastAsia" w:ascii="宋体" w:hAnsi="宋体" w:eastAsia="宋体" w:cs="Times New Roman"/>
          <w:b/>
          <w:color w:val="auto"/>
          <w:sz w:val="24"/>
          <w:highlight w:val="none"/>
        </w:rPr>
        <w:t>附表</w:t>
      </w:r>
      <w:r>
        <w:rPr>
          <w:rFonts w:hint="eastAsia" w:ascii="宋体" w:hAnsi="宋体" w:eastAsia="宋体" w:cs="Times New Roman"/>
          <w:b/>
          <w:color w:val="auto"/>
          <w:sz w:val="24"/>
          <w:highlight w:val="none"/>
          <w:lang w:val="en-US" w:eastAsia="zh-CN"/>
        </w:rPr>
        <w:t>4</w:t>
      </w:r>
      <w:r>
        <w:rPr>
          <w:rFonts w:hint="eastAsia" w:ascii="宋体" w:hAnsi="宋体" w:eastAsia="宋体" w:cs="Times New Roman"/>
          <w:b/>
          <w:color w:val="auto"/>
          <w:sz w:val="24"/>
          <w:highlight w:val="none"/>
        </w:rPr>
        <w:t xml:space="preserve"> 价格响应性评审表</w:t>
      </w:r>
    </w:p>
    <w:tbl>
      <w:tblPr>
        <w:tblStyle w:val="30"/>
        <w:tblW w:w="9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23"/>
        <w:gridCol w:w="7825"/>
      </w:tblGrid>
      <w:tr w14:paraId="635F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399" w:type="dxa"/>
            <w:tcBorders>
              <w:top w:val="single" w:color="auto" w:sz="4" w:space="0"/>
              <w:left w:val="single" w:color="auto" w:sz="4" w:space="0"/>
              <w:bottom w:val="single" w:color="auto" w:sz="4" w:space="0"/>
              <w:right w:val="single" w:color="auto" w:sz="4" w:space="0"/>
            </w:tcBorders>
            <w:noWrap w:val="0"/>
            <w:vAlign w:val="center"/>
          </w:tcPr>
          <w:p w14:paraId="7679507A">
            <w:pPr>
              <w:widowControl/>
              <w:adjustRightInd w:val="0"/>
              <w:spacing w:line="36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w:t>
            </w:r>
          </w:p>
          <w:p w14:paraId="22216C3A">
            <w:pPr>
              <w:widowControl/>
              <w:adjustRightInd w:val="0"/>
              <w:spacing w:line="36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报价</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0BE237C7">
            <w:pPr>
              <w:spacing w:line="36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30分</w:t>
            </w:r>
          </w:p>
        </w:tc>
        <w:tc>
          <w:tcPr>
            <w:tcW w:w="7825" w:type="dxa"/>
            <w:tcBorders>
              <w:top w:val="single" w:color="auto" w:sz="4" w:space="0"/>
              <w:left w:val="single" w:color="auto" w:sz="4" w:space="0"/>
              <w:bottom w:val="single" w:color="auto" w:sz="4" w:space="0"/>
              <w:right w:val="single" w:color="auto" w:sz="4" w:space="0"/>
            </w:tcBorders>
            <w:noWrap w:val="0"/>
            <w:vAlign w:val="center"/>
          </w:tcPr>
          <w:p w14:paraId="635164E3">
            <w:pPr>
              <w:spacing w:line="400" w:lineRule="exact"/>
              <w:rPr>
                <w:rFonts w:hint="eastAsia"/>
                <w:color w:val="auto"/>
                <w:highlight w:val="none"/>
              </w:rPr>
            </w:pPr>
            <w:r>
              <w:rPr>
                <w:rFonts w:hint="eastAsia" w:ascii="宋体" w:hAnsi="宋体" w:eastAsia="宋体" w:cs="宋体"/>
                <w:b/>
                <w:bCs/>
                <w:color w:val="auto"/>
                <w:sz w:val="24"/>
                <w:szCs w:val="24"/>
                <w:highlight w:val="none"/>
              </w:rPr>
              <w:t>满足招标文件要求且投标价格最</w:t>
            </w:r>
            <w:r>
              <w:rPr>
                <w:rFonts w:hint="eastAsia" w:ascii="宋体" w:hAnsi="宋体" w:cs="宋体"/>
                <w:b/>
                <w:bCs/>
                <w:color w:val="auto"/>
                <w:sz w:val="24"/>
                <w:szCs w:val="24"/>
                <w:highlight w:val="none"/>
                <w:lang w:val="en-US" w:eastAsia="zh-CN"/>
              </w:rPr>
              <w:t>低</w:t>
            </w:r>
            <w:r>
              <w:rPr>
                <w:rFonts w:hint="eastAsia" w:ascii="宋体" w:hAnsi="宋体" w:eastAsia="宋体" w:cs="宋体"/>
                <w:b/>
                <w:bCs/>
                <w:color w:val="auto"/>
                <w:sz w:val="24"/>
                <w:szCs w:val="24"/>
                <w:highlight w:val="none"/>
              </w:rPr>
              <w:t>的投标报价为评标基准价，其价格分为满分。其他</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的价格分统一按照下列公式计算：投标报价得分=（评标基准价/有效投标报价）×30</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（计算结果保留两位小数）</w:t>
            </w:r>
          </w:p>
        </w:tc>
      </w:tr>
    </w:tbl>
    <w:p w14:paraId="3DA8AD5B">
      <w:pPr>
        <w:rPr>
          <w:rFonts w:hint="eastAsia"/>
          <w:color w:val="auto"/>
          <w:highlight w:val="none"/>
        </w:rPr>
      </w:pPr>
    </w:p>
    <w:p w14:paraId="0A0E3F8A">
      <w:pPr>
        <w:spacing w:line="360" w:lineRule="auto"/>
        <w:rPr>
          <w:rFonts w:hint="eastAsia"/>
          <w:color w:val="auto"/>
          <w:highlight w:val="none"/>
        </w:rPr>
      </w:pPr>
    </w:p>
    <w:p w14:paraId="37ACAEE7">
      <w:pPr>
        <w:spacing w:line="360" w:lineRule="auto"/>
        <w:rPr>
          <w:rFonts w:hint="eastAsia"/>
          <w:color w:val="auto"/>
          <w:highlight w:val="none"/>
        </w:rPr>
      </w:pPr>
    </w:p>
    <w:p w14:paraId="5AA10E4D">
      <w:pPr>
        <w:spacing w:line="360" w:lineRule="auto"/>
        <w:rPr>
          <w:rFonts w:hint="eastAsia"/>
          <w:color w:val="auto"/>
          <w:highlight w:val="none"/>
        </w:rPr>
      </w:pPr>
    </w:p>
    <w:p w14:paraId="1E7216D1">
      <w:pPr>
        <w:spacing w:line="360" w:lineRule="auto"/>
        <w:rPr>
          <w:rFonts w:hint="eastAsia"/>
          <w:color w:val="auto"/>
          <w:highlight w:val="none"/>
        </w:rPr>
      </w:pPr>
    </w:p>
    <w:p w14:paraId="77C825C2">
      <w:pPr>
        <w:spacing w:line="360" w:lineRule="auto"/>
        <w:rPr>
          <w:rFonts w:hint="eastAsia"/>
          <w:color w:val="auto"/>
          <w:highlight w:val="none"/>
        </w:rPr>
      </w:pPr>
    </w:p>
    <w:p w14:paraId="383737CB">
      <w:pPr>
        <w:rPr>
          <w:rFonts w:hint="eastAsia"/>
          <w:color w:val="auto"/>
          <w:highlight w:val="none"/>
        </w:rPr>
      </w:pPr>
      <w:r>
        <w:rPr>
          <w:rFonts w:hint="eastAsia"/>
          <w:color w:val="auto"/>
          <w:highlight w:val="none"/>
        </w:rPr>
        <w:br w:type="page"/>
      </w:r>
    </w:p>
    <w:p w14:paraId="1DEC1F41">
      <w:pPr>
        <w:rPr>
          <w:rFonts w:hint="eastAsia"/>
          <w:color w:val="auto"/>
          <w:highlight w:val="none"/>
        </w:rPr>
      </w:pPr>
    </w:p>
    <w:p w14:paraId="7D97BAB3">
      <w:pPr>
        <w:rPr>
          <w:rFonts w:hint="eastAsia"/>
          <w:color w:val="auto"/>
          <w:highlight w:val="none"/>
        </w:rPr>
      </w:pPr>
    </w:p>
    <w:p w14:paraId="22621916">
      <w:pPr>
        <w:pStyle w:val="2"/>
        <w:ind w:firstLine="560"/>
        <w:rPr>
          <w:rFonts w:hint="eastAsia"/>
          <w:color w:val="auto"/>
          <w:highlight w:val="none"/>
        </w:rPr>
      </w:pPr>
    </w:p>
    <w:p w14:paraId="33F2AF01">
      <w:pPr>
        <w:pStyle w:val="2"/>
        <w:ind w:firstLine="560"/>
        <w:rPr>
          <w:rFonts w:hint="eastAsia"/>
          <w:color w:val="auto"/>
          <w:highlight w:val="none"/>
        </w:rPr>
      </w:pPr>
    </w:p>
    <w:p w14:paraId="7A2D4152">
      <w:pPr>
        <w:pStyle w:val="2"/>
        <w:ind w:firstLine="560"/>
        <w:rPr>
          <w:rFonts w:hint="eastAsia"/>
          <w:color w:val="auto"/>
          <w:highlight w:val="none"/>
        </w:rPr>
      </w:pPr>
    </w:p>
    <w:p w14:paraId="69C28413">
      <w:pPr>
        <w:pStyle w:val="2"/>
        <w:ind w:firstLine="560"/>
        <w:rPr>
          <w:rFonts w:hint="eastAsia"/>
          <w:color w:val="auto"/>
          <w:highlight w:val="none"/>
        </w:rPr>
      </w:pPr>
    </w:p>
    <w:p w14:paraId="2E7BB006">
      <w:pPr>
        <w:spacing w:line="360" w:lineRule="auto"/>
        <w:rPr>
          <w:rFonts w:hint="eastAsia"/>
          <w:color w:val="auto"/>
          <w:highlight w:val="none"/>
        </w:rPr>
      </w:pPr>
    </w:p>
    <w:p w14:paraId="544F6D50">
      <w:pPr>
        <w:spacing w:line="360" w:lineRule="auto"/>
        <w:ind w:firstLine="562" w:firstLineChars="200"/>
        <w:rPr>
          <w:rFonts w:hint="eastAsia" w:ascii="宋体" w:hAnsi="宋体"/>
          <w:b/>
          <w:color w:val="auto"/>
          <w:sz w:val="28"/>
          <w:szCs w:val="28"/>
          <w:highlight w:val="none"/>
        </w:rPr>
      </w:pPr>
    </w:p>
    <w:p w14:paraId="6AC7BA0F">
      <w:pPr>
        <w:pStyle w:val="4"/>
        <w:spacing w:line="360" w:lineRule="auto"/>
        <w:jc w:val="center"/>
        <w:rPr>
          <w:rFonts w:ascii="宋体" w:hAnsi="宋体" w:eastAsia="宋体"/>
          <w:color w:val="auto"/>
          <w:sz w:val="48"/>
          <w:szCs w:val="48"/>
          <w:highlight w:val="none"/>
        </w:rPr>
      </w:pPr>
      <w:bookmarkStart w:id="679" w:name="_Toc599"/>
      <w:bookmarkStart w:id="680" w:name="_Toc297209399"/>
      <w:r>
        <w:rPr>
          <w:rFonts w:hint="eastAsia" w:ascii="宋体" w:hAnsi="宋体" w:eastAsia="宋体"/>
          <w:color w:val="auto"/>
          <w:sz w:val="48"/>
          <w:szCs w:val="48"/>
          <w:highlight w:val="none"/>
        </w:rPr>
        <w:t>第五章 合同（样本）</w:t>
      </w:r>
      <w:bookmarkEnd w:id="679"/>
      <w:bookmarkEnd w:id="680"/>
    </w:p>
    <w:p w14:paraId="5D1EA4A1">
      <w:pPr>
        <w:pStyle w:val="45"/>
        <w:rPr>
          <w:color w:val="auto"/>
          <w:highlight w:val="none"/>
        </w:rPr>
      </w:pPr>
      <w:bookmarkStart w:id="681" w:name="_Toc527703760"/>
      <w:r>
        <w:rPr>
          <w:color w:val="auto"/>
          <w:sz w:val="24"/>
          <w:highlight w:val="none"/>
        </w:rPr>
        <w:br w:type="page"/>
      </w:r>
      <w:r>
        <w:rPr>
          <w:rFonts w:hint="eastAsia"/>
          <w:color w:val="auto"/>
          <w:sz w:val="28"/>
          <w:szCs w:val="24"/>
          <w:highlight w:val="none"/>
        </w:rPr>
        <w:t>注：本合同条款仅供参考，最终以甲方提供的样本并经甲乙双方协商一致的合同为准。</w:t>
      </w:r>
    </w:p>
    <w:bookmarkEnd w:id="681"/>
    <w:p w14:paraId="0248A25B">
      <w:pPr>
        <w:pStyle w:val="87"/>
        <w:jc w:val="center"/>
        <w:rPr>
          <w:rFonts w:hint="eastAsia" w:asciiTheme="minorEastAsia" w:hAnsiTheme="minorEastAsia" w:eastAsiaTheme="minorEastAsia" w:cstheme="minorEastAsia"/>
          <w:b/>
          <w:color w:val="auto"/>
          <w:sz w:val="52"/>
          <w:szCs w:val="52"/>
          <w:highlight w:val="none"/>
        </w:rPr>
      </w:pPr>
      <w:bookmarkStart w:id="682" w:name="_Toc297209400"/>
    </w:p>
    <w:p w14:paraId="49B8F27C">
      <w:pPr>
        <w:pStyle w:val="87"/>
        <w:jc w:val="center"/>
        <w:rPr>
          <w:rFonts w:hint="eastAsia" w:asciiTheme="minorEastAsia" w:hAnsiTheme="minorEastAsia" w:eastAsiaTheme="minorEastAsia" w:cstheme="minorEastAsia"/>
          <w:b/>
          <w:color w:val="auto"/>
          <w:sz w:val="52"/>
          <w:szCs w:val="52"/>
          <w:highlight w:val="none"/>
        </w:rPr>
      </w:pPr>
      <w:r>
        <w:rPr>
          <w:rFonts w:hint="eastAsia" w:asciiTheme="minorEastAsia" w:hAnsiTheme="minorEastAsia" w:eastAsiaTheme="minorEastAsia" w:cstheme="minorEastAsia"/>
          <w:b/>
          <w:color w:val="auto"/>
          <w:sz w:val="52"/>
          <w:szCs w:val="52"/>
          <w:highlight w:val="none"/>
        </w:rPr>
        <w:t>政府采购合同</w:t>
      </w:r>
    </w:p>
    <w:p w14:paraId="03C90703">
      <w:pPr>
        <w:pStyle w:val="87"/>
        <w:jc w:val="center"/>
        <w:rPr>
          <w:rFonts w:hint="eastAsia" w:asciiTheme="minorEastAsia" w:hAnsiTheme="minorEastAsia" w:eastAsiaTheme="minorEastAsia" w:cstheme="minorEastAsia"/>
          <w:b/>
          <w:color w:val="auto"/>
          <w:sz w:val="52"/>
          <w:szCs w:val="52"/>
          <w:highlight w:val="none"/>
        </w:rPr>
      </w:pPr>
    </w:p>
    <w:p w14:paraId="49637B94">
      <w:pPr>
        <w:pStyle w:val="87"/>
        <w:jc w:val="center"/>
        <w:rPr>
          <w:rFonts w:hint="eastAsia" w:asciiTheme="minorEastAsia" w:hAnsiTheme="minorEastAsia" w:eastAsiaTheme="minorEastAsia" w:cstheme="minorEastAsia"/>
          <w:b/>
          <w:color w:val="auto"/>
          <w:sz w:val="52"/>
          <w:szCs w:val="52"/>
          <w:highlight w:val="none"/>
        </w:rPr>
      </w:pPr>
    </w:p>
    <w:p w14:paraId="6F3130E0">
      <w:pPr>
        <w:pStyle w:val="87"/>
        <w:jc w:val="center"/>
        <w:rPr>
          <w:rFonts w:hint="eastAsia" w:asciiTheme="minorEastAsia" w:hAnsiTheme="minorEastAsia" w:eastAsiaTheme="minorEastAsia" w:cstheme="minorEastAsia"/>
          <w:b/>
          <w:color w:val="auto"/>
          <w:sz w:val="52"/>
          <w:szCs w:val="52"/>
          <w:highlight w:val="none"/>
        </w:rPr>
      </w:pPr>
    </w:p>
    <w:p w14:paraId="1ED018AF">
      <w:pPr>
        <w:pStyle w:val="87"/>
        <w:jc w:val="center"/>
        <w:rPr>
          <w:rFonts w:hint="eastAsia" w:asciiTheme="minorEastAsia" w:hAnsiTheme="minorEastAsia" w:eastAsiaTheme="minorEastAsia" w:cstheme="minorEastAsia"/>
          <w:b/>
          <w:color w:val="auto"/>
          <w:sz w:val="52"/>
          <w:szCs w:val="52"/>
          <w:highlight w:val="none"/>
        </w:rPr>
      </w:pPr>
    </w:p>
    <w:p w14:paraId="02C48A13">
      <w:pPr>
        <w:pStyle w:val="87"/>
        <w:jc w:val="center"/>
        <w:rPr>
          <w:rFonts w:hint="eastAsia" w:asciiTheme="minorEastAsia" w:hAnsiTheme="minorEastAsia" w:eastAsiaTheme="minorEastAsia" w:cstheme="minorEastAsia"/>
          <w:b/>
          <w:color w:val="auto"/>
          <w:sz w:val="52"/>
          <w:szCs w:val="52"/>
          <w:highlight w:val="none"/>
        </w:rPr>
      </w:pPr>
    </w:p>
    <w:p w14:paraId="764C5F74">
      <w:pPr>
        <w:pStyle w:val="87"/>
        <w:ind w:firstLine="1597" w:firstLineChars="497"/>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项目名称:</w:t>
      </w:r>
      <w:r>
        <w:rPr>
          <w:rFonts w:hint="eastAsia" w:asciiTheme="minorEastAsia" w:hAnsiTheme="minorEastAsia" w:eastAsiaTheme="minorEastAsia" w:cstheme="minorEastAsia"/>
          <w:b/>
          <w:color w:val="auto"/>
          <w:sz w:val="32"/>
          <w:szCs w:val="32"/>
          <w:highlight w:val="none"/>
          <w:u w:val="single"/>
        </w:rPr>
        <w:t xml:space="preserve">                    </w:t>
      </w:r>
    </w:p>
    <w:p w14:paraId="457B404F">
      <w:pPr>
        <w:pStyle w:val="87"/>
        <w:spacing w:before="312" w:beforeLines="100"/>
        <w:ind w:firstLine="1597" w:firstLineChars="497"/>
        <w:rPr>
          <w:rFonts w:hint="eastAsia" w:asciiTheme="minorEastAsia" w:hAnsiTheme="minorEastAsia" w:eastAsiaTheme="minorEastAsia" w:cstheme="minorEastAsia"/>
          <w:b/>
          <w:color w:val="auto"/>
          <w:sz w:val="32"/>
          <w:szCs w:val="32"/>
          <w:highlight w:val="none"/>
          <w:u w:val="single"/>
        </w:rPr>
      </w:pPr>
      <w:r>
        <w:rPr>
          <w:rFonts w:hint="eastAsia" w:asciiTheme="minorEastAsia" w:hAnsiTheme="minorEastAsia" w:eastAsiaTheme="minorEastAsia" w:cstheme="minorEastAsia"/>
          <w:b/>
          <w:color w:val="auto"/>
          <w:sz w:val="32"/>
          <w:szCs w:val="32"/>
          <w:highlight w:val="none"/>
        </w:rPr>
        <w:t>项目编号:</w:t>
      </w:r>
      <w:r>
        <w:rPr>
          <w:rFonts w:hint="eastAsia" w:asciiTheme="minorEastAsia" w:hAnsiTheme="minorEastAsia" w:eastAsiaTheme="minorEastAsia" w:cstheme="minorEastAsia"/>
          <w:b/>
          <w:color w:val="auto"/>
          <w:sz w:val="32"/>
          <w:szCs w:val="32"/>
          <w:highlight w:val="none"/>
          <w:u w:val="single"/>
        </w:rPr>
        <w:t xml:space="preserve">                    </w:t>
      </w:r>
    </w:p>
    <w:p w14:paraId="22C162F3">
      <w:pPr>
        <w:pStyle w:val="87"/>
        <w:spacing w:before="312" w:beforeLines="100"/>
        <w:ind w:firstLine="1597" w:firstLineChars="497"/>
        <w:rPr>
          <w:rFonts w:hint="eastAsia" w:asciiTheme="minorEastAsia" w:hAnsiTheme="minorEastAsia" w:eastAsiaTheme="minorEastAsia" w:cstheme="minorEastAsia"/>
          <w:b/>
          <w:color w:val="auto"/>
          <w:sz w:val="32"/>
          <w:szCs w:val="32"/>
          <w:highlight w:val="none"/>
          <w:u w:val="single"/>
        </w:rPr>
      </w:pPr>
      <w:r>
        <w:rPr>
          <w:rFonts w:hint="eastAsia" w:asciiTheme="minorEastAsia" w:hAnsiTheme="minorEastAsia" w:eastAsiaTheme="minorEastAsia" w:cstheme="minorEastAsia"/>
          <w:b/>
          <w:bCs/>
          <w:color w:val="auto"/>
          <w:kern w:val="0"/>
          <w:sz w:val="32"/>
          <w:szCs w:val="32"/>
          <w:highlight w:val="none"/>
        </w:rPr>
        <w:t>合同编号:</w:t>
      </w:r>
      <w:r>
        <w:rPr>
          <w:rFonts w:hint="eastAsia" w:asciiTheme="minorEastAsia" w:hAnsiTheme="minorEastAsia" w:eastAsiaTheme="minorEastAsia" w:cstheme="minorEastAsia"/>
          <w:b/>
          <w:color w:val="auto"/>
          <w:sz w:val="32"/>
          <w:szCs w:val="32"/>
          <w:highlight w:val="none"/>
          <w:u w:val="single"/>
        </w:rPr>
        <w:t xml:space="preserve">                    </w:t>
      </w:r>
    </w:p>
    <w:p w14:paraId="0614EAEA">
      <w:pPr>
        <w:pStyle w:val="87"/>
        <w:spacing w:before="312" w:beforeLines="100"/>
        <w:jc w:val="center"/>
        <w:rPr>
          <w:rFonts w:hint="eastAsia" w:asciiTheme="minorEastAsia" w:hAnsiTheme="minorEastAsia" w:eastAsiaTheme="minorEastAsia" w:cstheme="minorEastAsia"/>
          <w:b/>
          <w:color w:val="auto"/>
          <w:sz w:val="32"/>
          <w:szCs w:val="32"/>
          <w:highlight w:val="none"/>
          <w:u w:val="single"/>
        </w:rPr>
      </w:pPr>
    </w:p>
    <w:p w14:paraId="4467641B">
      <w:pPr>
        <w:pStyle w:val="87"/>
        <w:spacing w:before="312" w:beforeLines="100"/>
        <w:jc w:val="center"/>
        <w:rPr>
          <w:rFonts w:hint="eastAsia" w:asciiTheme="minorEastAsia" w:hAnsiTheme="minorEastAsia" w:eastAsiaTheme="minorEastAsia" w:cstheme="minorEastAsia"/>
          <w:b/>
          <w:color w:val="auto"/>
          <w:sz w:val="32"/>
          <w:szCs w:val="32"/>
          <w:highlight w:val="none"/>
          <w:u w:val="single"/>
        </w:rPr>
      </w:pPr>
    </w:p>
    <w:p w14:paraId="7F6A89DB">
      <w:pPr>
        <w:pStyle w:val="87"/>
        <w:spacing w:before="312" w:beforeLines="100"/>
        <w:jc w:val="center"/>
        <w:rPr>
          <w:rFonts w:hint="eastAsia" w:asciiTheme="minorEastAsia" w:hAnsiTheme="minorEastAsia" w:eastAsiaTheme="minorEastAsia" w:cstheme="minorEastAsia"/>
          <w:b/>
          <w:color w:val="auto"/>
          <w:sz w:val="32"/>
          <w:szCs w:val="32"/>
          <w:highlight w:val="none"/>
          <w:u w:val="single"/>
        </w:rPr>
      </w:pPr>
    </w:p>
    <w:p w14:paraId="76B52160">
      <w:pPr>
        <w:pStyle w:val="87"/>
        <w:spacing w:before="312" w:beforeLines="100"/>
        <w:jc w:val="center"/>
        <w:rPr>
          <w:rFonts w:hint="eastAsia" w:asciiTheme="minorEastAsia" w:hAnsiTheme="minorEastAsia" w:eastAsiaTheme="minorEastAsia" w:cstheme="minorEastAsia"/>
          <w:b/>
          <w:color w:val="auto"/>
          <w:sz w:val="32"/>
          <w:szCs w:val="32"/>
          <w:highlight w:val="none"/>
          <w:u w:val="single"/>
        </w:rPr>
      </w:pPr>
    </w:p>
    <w:p w14:paraId="30A77C39">
      <w:pPr>
        <w:pStyle w:val="87"/>
        <w:ind w:firstLine="1606" w:firstLineChars="50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甲    方:</w:t>
      </w:r>
      <w:r>
        <w:rPr>
          <w:rFonts w:hint="eastAsia" w:asciiTheme="minorEastAsia" w:hAnsiTheme="minorEastAsia" w:eastAsiaTheme="minorEastAsia" w:cstheme="minorEastAsia"/>
          <w:b/>
          <w:color w:val="auto"/>
          <w:sz w:val="32"/>
          <w:szCs w:val="32"/>
          <w:highlight w:val="none"/>
          <w:u w:val="single"/>
        </w:rPr>
        <w:t xml:space="preserve">                    </w:t>
      </w:r>
    </w:p>
    <w:p w14:paraId="684EE144">
      <w:pPr>
        <w:pStyle w:val="87"/>
        <w:spacing w:before="312" w:beforeLines="100"/>
        <w:ind w:firstLine="1606" w:firstLineChars="500"/>
        <w:rPr>
          <w:rFonts w:hint="eastAsia" w:asciiTheme="minorEastAsia" w:hAnsiTheme="minorEastAsia" w:eastAsiaTheme="minorEastAsia" w:cstheme="minorEastAsia"/>
          <w:b/>
          <w:color w:val="auto"/>
          <w:sz w:val="32"/>
          <w:szCs w:val="32"/>
          <w:highlight w:val="none"/>
          <w:u w:val="single"/>
        </w:rPr>
      </w:pPr>
      <w:r>
        <w:rPr>
          <w:rFonts w:hint="eastAsia" w:asciiTheme="minorEastAsia" w:hAnsiTheme="minorEastAsia" w:eastAsiaTheme="minorEastAsia" w:cstheme="minorEastAsia"/>
          <w:b/>
          <w:color w:val="auto"/>
          <w:sz w:val="32"/>
          <w:szCs w:val="32"/>
          <w:highlight w:val="none"/>
        </w:rPr>
        <w:t>乙    方:</w:t>
      </w:r>
      <w:r>
        <w:rPr>
          <w:rFonts w:hint="eastAsia" w:asciiTheme="minorEastAsia" w:hAnsiTheme="minorEastAsia" w:eastAsiaTheme="minorEastAsia" w:cstheme="minorEastAsia"/>
          <w:b/>
          <w:color w:val="auto"/>
          <w:sz w:val="32"/>
          <w:szCs w:val="32"/>
          <w:highlight w:val="none"/>
          <w:u w:val="single"/>
        </w:rPr>
        <w:t xml:space="preserve">                    </w:t>
      </w:r>
    </w:p>
    <w:p w14:paraId="2CB9207E">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u w:val="single"/>
        </w:rPr>
      </w:pPr>
    </w:p>
    <w:p w14:paraId="10451302">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u w:val="single"/>
        </w:rPr>
      </w:pPr>
    </w:p>
    <w:p w14:paraId="6D226C90">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u w:val="single"/>
        </w:rPr>
      </w:pPr>
    </w:p>
    <w:p w14:paraId="32064B22">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u w:val="single"/>
        </w:rPr>
      </w:pPr>
    </w:p>
    <w:p w14:paraId="656C20B6">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（甲方）所需</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(项目名称)经</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（项目编号）招标文件在国内以公开招标方式进行采购。经评标委员会确定</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（乙方）为中标人。甲、乙双方根据《中华人民共和国政府采购法》、《中华人民共和国合同法》等相关法律以及本项目招标文件的规定，经平等协商达成合同如下：</w:t>
      </w:r>
    </w:p>
    <w:p w14:paraId="53359E95">
      <w:pPr>
        <w:pStyle w:val="87"/>
        <w:widowControl/>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sz w:val="24"/>
          <w:highlight w:val="none"/>
        </w:rPr>
        <w:t>一、合同文件</w:t>
      </w:r>
    </w:p>
    <w:p w14:paraId="4BFBABF3">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本合同所附下列文件是构成本合同不可分割的部分：</w:t>
      </w:r>
    </w:p>
    <w:p w14:paraId="042C6EC2">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（一）本项目招标文件</w:t>
      </w:r>
    </w:p>
    <w:p w14:paraId="25762AC8">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（二）中标人投标文件</w:t>
      </w:r>
    </w:p>
    <w:p w14:paraId="279D0757">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（三）合同格式、合同条款</w:t>
      </w:r>
    </w:p>
    <w:p w14:paraId="7CDCFA05">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（四）中标人在评标过程中做出的有关澄清、说明或者补正文件</w:t>
      </w:r>
    </w:p>
    <w:p w14:paraId="783DC0EB">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（五）中标通知书</w:t>
      </w:r>
    </w:p>
    <w:p w14:paraId="3A72E547">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（六）本合同附件</w:t>
      </w:r>
    </w:p>
    <w:p w14:paraId="47B4D37D">
      <w:pPr>
        <w:pStyle w:val="87"/>
        <w:widowControl/>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sz w:val="24"/>
          <w:highlight w:val="none"/>
        </w:rPr>
        <w:t>二、合同的范围和条件</w:t>
      </w:r>
    </w:p>
    <w:p w14:paraId="377CD375">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本合同的范围和条件应与上述合同文件的规定相一致。</w:t>
      </w:r>
    </w:p>
    <w:p w14:paraId="18BC540D">
      <w:pPr>
        <w:pStyle w:val="87"/>
        <w:widowControl/>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sz w:val="24"/>
          <w:highlight w:val="none"/>
        </w:rPr>
        <w:t>三、货物、数量及规格</w:t>
      </w:r>
    </w:p>
    <w:p w14:paraId="145C4EC6">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本合同所提供的货物、数量及规格详见合同货物清单（附件一）（同投标文件中报价明细表，下同）。</w:t>
      </w:r>
    </w:p>
    <w:p w14:paraId="51FE44B9">
      <w:pPr>
        <w:pStyle w:val="87"/>
        <w:widowControl/>
        <w:snapToGrid w:val="0"/>
        <w:spacing w:line="360" w:lineRule="auto"/>
        <w:ind w:firstLine="482" w:firstLineChars="200"/>
        <w:jc w:val="left"/>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四、合同金额</w:t>
      </w:r>
    </w:p>
    <w:p w14:paraId="40D58C24">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根据上述合同文件要求，合同金额为人民币</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元，大写：</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。（分项价格详见合同货物清单）。</w:t>
      </w:r>
    </w:p>
    <w:p w14:paraId="2D3A8403">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乙方开户单位：</w:t>
      </w:r>
    </w:p>
    <w:p w14:paraId="03EE0DB6">
      <w:pPr>
        <w:pStyle w:val="87"/>
        <w:widowControl/>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                           帐号：</w:t>
      </w:r>
    </w:p>
    <w:p w14:paraId="49FF090D">
      <w:pPr>
        <w:pStyle w:val="87"/>
        <w:widowControl/>
        <w:snapToGrid w:val="0"/>
        <w:spacing w:line="360" w:lineRule="auto"/>
        <w:ind w:firstLine="482" w:firstLineChars="200"/>
        <w:jc w:val="left"/>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五、付款途径</w:t>
      </w:r>
    </w:p>
    <w:p w14:paraId="4FB721A9">
      <w:pPr>
        <w:pStyle w:val="87"/>
        <w:widowControl/>
        <w:snapToGrid w:val="0"/>
        <w:spacing w:line="360" w:lineRule="auto"/>
        <w:ind w:firstLine="480" w:firstLineChars="200"/>
        <w:jc w:val="left"/>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 国库集中支付   □甲方支付    □ 国库与甲方共同支付</w:t>
      </w:r>
    </w:p>
    <w:p w14:paraId="4FB7807C">
      <w:pPr>
        <w:pStyle w:val="87"/>
        <w:widowControl/>
        <w:snapToGrid w:val="0"/>
        <w:spacing w:line="360" w:lineRule="auto"/>
        <w:ind w:firstLine="480" w:firstLineChars="200"/>
        <w:jc w:val="left"/>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 财政性资金</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          □ 自筹性资金</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w:t>
      </w:r>
    </w:p>
    <w:p w14:paraId="625AA711">
      <w:pPr>
        <w:pStyle w:val="87"/>
        <w:widowControl/>
        <w:snapToGrid w:val="0"/>
        <w:spacing w:line="360" w:lineRule="auto"/>
        <w:ind w:firstLine="482" w:firstLineChars="200"/>
        <w:jc w:val="left"/>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六、付款方式</w:t>
      </w:r>
    </w:p>
    <w:p w14:paraId="3FDBEC4B">
      <w:pPr>
        <w:pStyle w:val="87"/>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付款方式：</w:t>
      </w:r>
      <w:r>
        <w:rPr>
          <w:rFonts w:hint="eastAsia" w:asciiTheme="minorEastAsia" w:hAnsiTheme="minorEastAsia" w:eastAsiaTheme="minorEastAsia" w:cstheme="minorEastAsia"/>
          <w:color w:val="auto"/>
          <w:sz w:val="24"/>
          <w:highlight w:val="none"/>
          <w:u w:val="single"/>
        </w:rPr>
        <w:t xml:space="preserve">                                                    </w:t>
      </w:r>
    </w:p>
    <w:p w14:paraId="26B50ABA">
      <w:pPr>
        <w:pStyle w:val="87"/>
        <w:spacing w:line="360" w:lineRule="auto"/>
        <w:ind w:firstLine="482" w:firstLineChars="2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七、交付日期、地点</w:t>
      </w:r>
    </w:p>
    <w:p w14:paraId="231BB94A">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1、交付日期：合同生效之日起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日内交付。</w:t>
      </w:r>
    </w:p>
    <w:p w14:paraId="62FBFB3A">
      <w:pPr>
        <w:pStyle w:val="87"/>
        <w:tabs>
          <w:tab w:val="left" w:pos="955"/>
        </w:tabs>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2、交付地点：</w:t>
      </w:r>
      <w:r>
        <w:rPr>
          <w:rFonts w:hint="eastAsia" w:asciiTheme="minorEastAsia" w:hAnsiTheme="minorEastAsia" w:eastAsiaTheme="minorEastAsia" w:cstheme="minorEastAsia"/>
          <w:color w:val="auto"/>
          <w:sz w:val="24"/>
          <w:highlight w:val="none"/>
          <w:u w:val="single"/>
        </w:rPr>
        <w:t xml:space="preserve">                                                 </w:t>
      </w:r>
    </w:p>
    <w:p w14:paraId="29F84656">
      <w:pPr>
        <w:pStyle w:val="87"/>
        <w:spacing w:line="360" w:lineRule="auto"/>
        <w:ind w:firstLine="482" w:firstLineChars="2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八、履约保证金</w:t>
      </w:r>
    </w:p>
    <w:p w14:paraId="0B7F9BF9">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履约保证金在项目交付验收合格无质量问题后20个工作日内退还。</w:t>
      </w:r>
    </w:p>
    <w:p w14:paraId="1D933E5A">
      <w:pPr>
        <w:pStyle w:val="87"/>
        <w:spacing w:line="360" w:lineRule="auto"/>
        <w:ind w:firstLine="482" w:firstLineChars="2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九、合同生效</w:t>
      </w:r>
    </w:p>
    <w:p w14:paraId="4F1E35A1">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本合同经甲乙双方签字盖章后生效。</w:t>
      </w:r>
    </w:p>
    <w:p w14:paraId="0E8B2BB4">
      <w:pPr>
        <w:pStyle w:val="87"/>
        <w:spacing w:line="360" w:lineRule="auto"/>
        <w:ind w:firstLine="482" w:firstLineChars="2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十、合同保存</w:t>
      </w:r>
    </w:p>
    <w:p w14:paraId="63E4396B">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本合同一式</w:t>
      </w: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份，甲方</w:t>
      </w:r>
      <w:r>
        <w:rPr>
          <w:rFonts w:hint="eastAsia" w:asciiTheme="minorEastAsia" w:hAnsiTheme="minorEastAsia" w:eastAsiaTheme="minorEastAsia" w:cstheme="minorEastAsia"/>
          <w:color w:val="auto"/>
          <w:sz w:val="24"/>
          <w:highlight w:val="none"/>
          <w:lang w:val="en-US" w:eastAsia="zh-CN"/>
        </w:rPr>
        <w:t>二</w:t>
      </w:r>
      <w:r>
        <w:rPr>
          <w:rFonts w:hint="eastAsia" w:asciiTheme="minorEastAsia" w:hAnsiTheme="minorEastAsia" w:eastAsiaTheme="minorEastAsia" w:cstheme="minorEastAsia"/>
          <w:color w:val="auto"/>
          <w:sz w:val="24"/>
          <w:highlight w:val="none"/>
        </w:rPr>
        <w:t>份，乙方</w:t>
      </w:r>
      <w:r>
        <w:rPr>
          <w:rFonts w:hint="eastAsia" w:asciiTheme="minorEastAsia" w:hAnsiTheme="minorEastAsia" w:eastAsiaTheme="minorEastAsia" w:cstheme="minorEastAsia"/>
          <w:color w:val="auto"/>
          <w:sz w:val="24"/>
          <w:highlight w:val="none"/>
          <w:lang w:val="en-US" w:eastAsia="zh-CN"/>
        </w:rPr>
        <w:t>二</w:t>
      </w:r>
      <w:r>
        <w:rPr>
          <w:rFonts w:hint="eastAsia" w:asciiTheme="minorEastAsia" w:hAnsiTheme="minorEastAsia" w:eastAsiaTheme="minorEastAsia" w:cstheme="minorEastAsia"/>
          <w:color w:val="auto"/>
          <w:sz w:val="24"/>
          <w:highlight w:val="none"/>
        </w:rPr>
        <w:t>份。</w:t>
      </w:r>
    </w:p>
    <w:p w14:paraId="6FFB374A">
      <w:pPr>
        <w:pStyle w:val="87"/>
        <w:spacing w:line="360" w:lineRule="auto"/>
        <w:ind w:firstLine="480" w:firstLineChars="200"/>
        <w:rPr>
          <w:rFonts w:hint="eastAsia" w:asciiTheme="minorEastAsia" w:hAnsiTheme="minorEastAsia" w:eastAsiaTheme="minorEastAsia" w:cstheme="minorEastAsia"/>
          <w:color w:val="auto"/>
          <w:sz w:val="24"/>
          <w:highlight w:val="none"/>
        </w:rPr>
      </w:pPr>
    </w:p>
    <w:p w14:paraId="359FCB10">
      <w:pPr>
        <w:pStyle w:val="87"/>
        <w:spacing w:line="360" w:lineRule="auto"/>
        <w:ind w:firstLine="480" w:firstLineChars="200"/>
        <w:rPr>
          <w:rFonts w:hint="eastAsia" w:asciiTheme="minorEastAsia" w:hAnsiTheme="minorEastAsia" w:eastAsiaTheme="minorEastAsia" w:cstheme="minorEastAsia"/>
          <w:color w:val="auto"/>
          <w:sz w:val="24"/>
          <w:highlight w:val="none"/>
        </w:rPr>
      </w:pPr>
    </w:p>
    <w:p w14:paraId="576BA10B">
      <w:pPr>
        <w:pStyle w:val="87"/>
        <w:spacing w:line="360" w:lineRule="auto"/>
        <w:ind w:firstLine="480" w:firstLineChars="200"/>
        <w:rPr>
          <w:rFonts w:hint="eastAsia" w:asciiTheme="minorEastAsia" w:hAnsiTheme="minorEastAsia" w:eastAsiaTheme="minorEastAsia" w:cstheme="minorEastAsia"/>
          <w:color w:val="auto"/>
          <w:sz w:val="24"/>
          <w:highlight w:val="none"/>
        </w:rPr>
      </w:pPr>
    </w:p>
    <w:p w14:paraId="6320AC02">
      <w:pPr>
        <w:pStyle w:val="87"/>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甲    方：                            乙    方：</w:t>
      </w:r>
    </w:p>
    <w:p w14:paraId="4ED24536">
      <w:pPr>
        <w:pStyle w:val="87"/>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单位名称(公章)：                      单位名称(公章)：</w:t>
      </w:r>
    </w:p>
    <w:p w14:paraId="01B8D68B">
      <w:pPr>
        <w:pStyle w:val="87"/>
        <w:spacing w:line="360" w:lineRule="auto"/>
        <w:rPr>
          <w:rFonts w:hint="eastAsia" w:asciiTheme="minorEastAsia" w:hAnsiTheme="minorEastAsia" w:eastAsiaTheme="minorEastAsia" w:cstheme="minorEastAsia"/>
          <w:color w:val="auto"/>
          <w:sz w:val="24"/>
          <w:highlight w:val="none"/>
        </w:rPr>
      </w:pPr>
    </w:p>
    <w:p w14:paraId="069CFE39">
      <w:pPr>
        <w:pStyle w:val="87"/>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法定代表人或授权代理人：（签字）       法定代表人或授权代理人：（签字）</w:t>
      </w:r>
    </w:p>
    <w:p w14:paraId="05E81E62">
      <w:pPr>
        <w:pStyle w:val="87"/>
        <w:spacing w:line="360" w:lineRule="auto"/>
        <w:rPr>
          <w:rFonts w:hint="eastAsia" w:asciiTheme="minorEastAsia" w:hAnsiTheme="minorEastAsia" w:eastAsiaTheme="minorEastAsia" w:cstheme="minorEastAsia"/>
          <w:color w:val="auto"/>
          <w:sz w:val="24"/>
          <w:highlight w:val="none"/>
        </w:rPr>
      </w:pPr>
    </w:p>
    <w:p w14:paraId="4795EE10">
      <w:pPr>
        <w:pStyle w:val="87"/>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                            电    话：</w:t>
      </w:r>
    </w:p>
    <w:p w14:paraId="4192384C">
      <w:pPr>
        <w:pStyle w:val="87"/>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签订日期：                            签订日期：</w:t>
      </w:r>
    </w:p>
    <w:p w14:paraId="431780E5">
      <w:pPr>
        <w:pStyle w:val="87"/>
        <w:spacing w:line="360" w:lineRule="auto"/>
        <w:rPr>
          <w:rFonts w:hint="eastAsia" w:asciiTheme="minorEastAsia" w:hAnsiTheme="minorEastAsia" w:eastAsiaTheme="minorEastAsia" w:cstheme="minorEastAsia"/>
          <w:b/>
          <w:color w:val="auto"/>
          <w:sz w:val="24"/>
          <w:highlight w:val="none"/>
        </w:rPr>
      </w:pPr>
    </w:p>
    <w:p w14:paraId="089FD73D">
      <w:pPr>
        <w:pStyle w:val="87"/>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24"/>
          <w:highlight w:val="none"/>
        </w:rPr>
        <w:br w:type="page"/>
      </w:r>
      <w:r>
        <w:rPr>
          <w:rFonts w:hint="eastAsia" w:asciiTheme="minorEastAsia" w:hAnsiTheme="minorEastAsia" w:eastAsiaTheme="minorEastAsia" w:cstheme="minorEastAsia"/>
          <w:b/>
          <w:color w:val="auto"/>
          <w:sz w:val="24"/>
          <w:highlight w:val="none"/>
        </w:rPr>
        <w:t>二、合同条款</w:t>
      </w:r>
    </w:p>
    <w:p w14:paraId="1C28685E">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甲方在本项目中所需货物和服务由</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rPr>
        <w:t xml:space="preserve">在国内进行公开招标，经评标委员会评定，确定乙方为中标人。甲乙双方根据《中华人民共和国政府采购法》、《中华人民共和国合同法》等相关法律法规以及本项目招标文件的规定，经平等协商达成合同如下： </w:t>
      </w:r>
      <w:bookmarkStart w:id="683" w:name="_Toc175644041"/>
      <w:bookmarkStart w:id="684" w:name="_Toc86202594"/>
    </w:p>
    <w:p w14:paraId="163F2911">
      <w:pPr>
        <w:pStyle w:val="87"/>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一、定义</w:t>
      </w:r>
      <w:bookmarkEnd w:id="683"/>
      <w:bookmarkEnd w:id="684"/>
    </w:p>
    <w:p w14:paraId="11E67CC3">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除非另有特别解释或说明，在本合同及与本合同相关的，双方另行签署的其他文件（包括但不限于本合同的附件）中，下述词语均依如下定义进行解释：</w:t>
      </w:r>
    </w:p>
    <w:p w14:paraId="37090678">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1、“合同”指甲乙双方签署的，与本项目相关的协议、附件、附录和其他一切文件，还包括招标文件、投标文件中的相关内容及其有效补充文件。</w:t>
      </w:r>
    </w:p>
    <w:p w14:paraId="7460E45E">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2、“附件”是指与本合同的订立、履行有关的，经甲乙双方认可的，对本合同约定的内容进行细化、补充、修改、变更的文件、图纸、音像制品等资料。</w:t>
      </w:r>
    </w:p>
    <w:p w14:paraId="3505A405">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3、“货物”指合同货物清单（附件1）（同投标文件中货物明细表，下同）中所规定的硬件、软件、安装材料、备件及专用器具、文件资料等内容。</w:t>
      </w:r>
    </w:p>
    <w:p w14:paraId="6CD4A05E">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服务”指根据合同规定乙方应承担的与供货有关的辅助服务，包括（但不限于）合同货物的乙方付费办妥清关、乙方付费运输、保险、安装、测试、调试、培训、维修、提供技术指导和支持、保修期外的维护以及其他类似的义务。</w:t>
      </w:r>
    </w:p>
    <w:p w14:paraId="2844095E">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5、“检验”指按照本合同约定的标准对合同货物进行的检测与查验。</w:t>
      </w:r>
    </w:p>
    <w:p w14:paraId="6EFDA67D">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6、“政府采购项目验收单”指甲、乙双方验收完成后由合同双方签署的最终验收确认书。</w:t>
      </w:r>
    </w:p>
    <w:p w14:paraId="205FFED9">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7、“技术资料”指安装、调试、使用、维修合同货物所应具备的产品使用说明书和／或使用指南、操作手册、维修指南、服务手册、电路图、产品演示等文件。</w:t>
      </w:r>
    </w:p>
    <w:p w14:paraId="1976BA86">
      <w:pPr>
        <w:pStyle w:val="87"/>
        <w:tabs>
          <w:tab w:val="left" w:pos="36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8、“保修期”指自验收单签署之日起，乙方免费对所卖给甲方货物更换整件或零部件，维修、保养及技术支持、产品升级并以自担费用方式保证项目正常运行的时期。</w:t>
      </w:r>
    </w:p>
    <w:p w14:paraId="7E0F5470">
      <w:pPr>
        <w:pStyle w:val="87"/>
        <w:tabs>
          <w:tab w:val="left" w:pos="36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9、“第三人”是指本合同双方以外的任何中国境内、外的自然人、法人或其他经济组织。</w:t>
      </w:r>
    </w:p>
    <w:p w14:paraId="52088612">
      <w:pPr>
        <w:pStyle w:val="87"/>
        <w:tabs>
          <w:tab w:val="left" w:pos="48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10、“法律、法规”是指由中国有关部门制定的法律、行政法规、地方性法规、规章及其他规范性文件以及经全国人民代表大会常务委员会批准的中国缔结、参加的国际条（公）约的有关规定。</w:t>
      </w:r>
    </w:p>
    <w:p w14:paraId="548DA653">
      <w:pPr>
        <w:pStyle w:val="87"/>
        <w:tabs>
          <w:tab w:val="left" w:pos="48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11、“招标文件”指采购代理机构发布的本项目招标文件。</w:t>
      </w:r>
    </w:p>
    <w:p w14:paraId="46AD651F">
      <w:pPr>
        <w:pStyle w:val="87"/>
        <w:tabs>
          <w:tab w:val="left" w:pos="480"/>
          <w:tab w:val="left" w:pos="201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12、“投标文件”指乙方按照本项目招标文件的要求编制和投递，并最终经采购代理机构接收的投标文件。</w:t>
      </w:r>
    </w:p>
    <w:p w14:paraId="677DDF9C">
      <w:pPr>
        <w:pStyle w:val="87"/>
        <w:spacing w:line="360" w:lineRule="auto"/>
        <w:ind w:firstLine="501" w:firstLineChars="208"/>
        <w:rPr>
          <w:rFonts w:hint="eastAsia" w:asciiTheme="minorEastAsia" w:hAnsiTheme="minorEastAsia" w:eastAsiaTheme="minorEastAsia" w:cstheme="minorEastAsia"/>
          <w:b/>
          <w:bCs/>
          <w:color w:val="auto"/>
          <w:sz w:val="24"/>
          <w:highlight w:val="none"/>
        </w:rPr>
      </w:pPr>
      <w:bookmarkStart w:id="685" w:name="_Toc175644043"/>
      <w:bookmarkStart w:id="686" w:name="_Toc86202595"/>
      <w:r>
        <w:rPr>
          <w:rFonts w:hint="eastAsia" w:asciiTheme="minorEastAsia" w:hAnsiTheme="minorEastAsia" w:eastAsiaTheme="minorEastAsia" w:cstheme="minorEastAsia"/>
          <w:b/>
          <w:bCs/>
          <w:color w:val="auto"/>
          <w:sz w:val="24"/>
          <w:highlight w:val="none"/>
        </w:rPr>
        <w:t>二、货物、数量及规格</w:t>
      </w:r>
    </w:p>
    <w:p w14:paraId="48396F83">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本合同所提供的货物、数量及规格详见合同货物清单（附件一）（同投标文件中报价明细表）。</w:t>
      </w:r>
    </w:p>
    <w:p w14:paraId="15299F57">
      <w:pPr>
        <w:pStyle w:val="87"/>
        <w:tabs>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三、合同价格</w:t>
      </w:r>
      <w:bookmarkEnd w:id="685"/>
      <w:bookmarkEnd w:id="686"/>
    </w:p>
    <w:p w14:paraId="4F26C99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1、合同金额详见合同格式。</w:t>
      </w:r>
    </w:p>
    <w:p w14:paraId="60E0AE5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除有另行规定外，本合同价格包括设备金额及运输、财产保险及第三方损害赔偿保险、安装、调试、及安装位置调整布置、使用环境形成或恢复以及相关服务等费用，是在项目交付前、交付时所发生或引起的本合同相关的全部成本、费用等，以及依约在交付后所需承担的维修、保养、技术支持、产品升级等售后服务价格的总和，且为完税后价格。</w:t>
      </w:r>
    </w:p>
    <w:p w14:paraId="4965F746">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3、合同货物详细目录及销售价格详见合同格式附件1合同货物清单（同投标文件中报价明细表）。</w:t>
      </w:r>
      <w:bookmarkStart w:id="687" w:name="_Toc175644044"/>
      <w:bookmarkStart w:id="688" w:name="_Toc86202596"/>
    </w:p>
    <w:p w14:paraId="36473689">
      <w:pPr>
        <w:pStyle w:val="87"/>
        <w:tabs>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w:t>
      </w:r>
      <w:bookmarkEnd w:id="687"/>
      <w:bookmarkEnd w:id="688"/>
      <w:r>
        <w:rPr>
          <w:rFonts w:hint="eastAsia" w:asciiTheme="minorEastAsia" w:hAnsiTheme="minorEastAsia" w:eastAsiaTheme="minorEastAsia" w:cstheme="minorEastAsia"/>
          <w:b/>
          <w:color w:val="auto"/>
          <w:sz w:val="24"/>
          <w:highlight w:val="none"/>
        </w:rPr>
        <w:t>付款</w:t>
      </w:r>
    </w:p>
    <w:p w14:paraId="1E24855C">
      <w:pPr>
        <w:pStyle w:val="87"/>
        <w:tabs>
          <w:tab w:val="left" w:pos="360"/>
          <w:tab w:val="left" w:pos="480"/>
          <w:tab w:val="left" w:pos="84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1、双方因本合同发生的一切费用均以人民币结算及支付。</w:t>
      </w:r>
    </w:p>
    <w:p w14:paraId="22262228">
      <w:pPr>
        <w:pStyle w:val="87"/>
        <w:tabs>
          <w:tab w:val="left" w:pos="360"/>
          <w:tab w:val="left" w:pos="480"/>
          <w:tab w:val="left" w:pos="84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2、双方的帐户名称、开户银行及帐号以本合同提供的为准。</w:t>
      </w:r>
    </w:p>
    <w:p w14:paraId="731D211A">
      <w:pPr>
        <w:pStyle w:val="87"/>
        <w:tabs>
          <w:tab w:val="left" w:pos="360"/>
          <w:tab w:val="left" w:pos="480"/>
          <w:tab w:val="left" w:pos="84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3、付款途径：按照招标文件第二</w:t>
      </w:r>
      <w:r>
        <w:rPr>
          <w:rFonts w:hint="eastAsia" w:asciiTheme="minorEastAsia" w:hAnsiTheme="minorEastAsia" w:eastAsiaTheme="minorEastAsia" w:cstheme="minorEastAsia"/>
          <w:bCs/>
          <w:color w:val="auto"/>
          <w:sz w:val="24"/>
          <w:highlight w:val="none"/>
        </w:rPr>
        <w:t>部分“</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须知前附表”第27项的规定。</w:t>
      </w:r>
    </w:p>
    <w:p w14:paraId="1AD83E0C">
      <w:pPr>
        <w:pStyle w:val="78"/>
        <w:spacing w:after="0"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4、付款方式：按照招标文件第二</w:t>
      </w:r>
      <w:r>
        <w:rPr>
          <w:rFonts w:hint="eastAsia" w:asciiTheme="minorEastAsia" w:hAnsiTheme="minorEastAsia" w:eastAsiaTheme="minorEastAsia" w:cstheme="minorEastAsia"/>
          <w:bCs/>
          <w:color w:val="auto"/>
          <w:sz w:val="24"/>
          <w:highlight w:val="none"/>
        </w:rPr>
        <w:t>部分“</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须知前附表”第28项的规定。</w:t>
      </w:r>
    </w:p>
    <w:p w14:paraId="2862179C">
      <w:pPr>
        <w:pStyle w:val="87"/>
        <w:tabs>
          <w:tab w:val="left" w:pos="360"/>
          <w:tab w:val="left" w:pos="480"/>
          <w:tab w:val="left" w:pos="84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bookmarkStart w:id="689" w:name="_Toc86202597"/>
      <w:r>
        <w:rPr>
          <w:rFonts w:hint="eastAsia" w:asciiTheme="minorEastAsia" w:hAnsiTheme="minorEastAsia" w:eastAsiaTheme="minorEastAsia" w:cstheme="minorEastAsia"/>
          <w:color w:val="auto"/>
          <w:sz w:val="24"/>
          <w:highlight w:val="none"/>
        </w:rPr>
        <w:t>5、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14:paraId="5FAACE78">
      <w:pPr>
        <w:pStyle w:val="87"/>
        <w:tabs>
          <w:tab w:val="left" w:pos="360"/>
          <w:tab w:val="left" w:pos="480"/>
          <w:tab w:val="left" w:pos="84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6、甲方直接与乙方付款结算，采购代理机构不对其付款承担连带责任或任何其它责任，在任何情形下乙方亦只能直接向甲方追索而不应当向采购代理机构追索。</w:t>
      </w:r>
    </w:p>
    <w:p w14:paraId="5F2298D9">
      <w:pPr>
        <w:pStyle w:val="87"/>
        <w:tabs>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690" w:name="_Toc175644045"/>
      <w:r>
        <w:rPr>
          <w:rFonts w:hint="eastAsia" w:asciiTheme="minorEastAsia" w:hAnsiTheme="minorEastAsia" w:eastAsiaTheme="minorEastAsia" w:cstheme="minorEastAsia"/>
          <w:b/>
          <w:color w:val="auto"/>
          <w:sz w:val="24"/>
          <w:highlight w:val="none"/>
        </w:rPr>
        <w:t>五、</w:t>
      </w:r>
      <w:bookmarkEnd w:id="689"/>
      <w:bookmarkEnd w:id="690"/>
      <w:r>
        <w:rPr>
          <w:rFonts w:hint="eastAsia" w:asciiTheme="minorEastAsia" w:hAnsiTheme="minorEastAsia" w:eastAsiaTheme="minorEastAsia" w:cstheme="minorEastAsia"/>
          <w:b/>
          <w:color w:val="auto"/>
          <w:sz w:val="24"/>
          <w:highlight w:val="none"/>
        </w:rPr>
        <w:t>交付</w:t>
      </w:r>
    </w:p>
    <w:p w14:paraId="6FC49A30">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1、乙方负责办理运输和保险，将货物运抵交货地点。有关运输、保险和装卸等一切相关的费用由乙方承担。</w:t>
      </w:r>
    </w:p>
    <w:p w14:paraId="54C9118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2、货物应运至甲方指定地点，并卸至甲方指定位置，开箱清点及初步检验时双方应派人员参加。</w:t>
      </w:r>
    </w:p>
    <w:p w14:paraId="79884D6F">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3、所有货物运抵现场并且安装完毕经检验合格交付甲方，该日期为交付日期。双方签署交付收货单后为交付完毕。交付完毕货物所有权发生转移，此前货物毁坏的风险由乙方承担。</w:t>
      </w:r>
    </w:p>
    <w:p w14:paraId="0E8F240C">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color w:val="auto"/>
          <w:sz w:val="24"/>
          <w:highlight w:val="none"/>
        </w:rPr>
        <w:t>4、交付日期：按照招标文件第二</w:t>
      </w:r>
      <w:r>
        <w:rPr>
          <w:rFonts w:hint="eastAsia" w:asciiTheme="minorEastAsia" w:hAnsiTheme="minorEastAsia" w:eastAsiaTheme="minorEastAsia" w:cstheme="minorEastAsia"/>
          <w:bCs/>
          <w:color w:val="auto"/>
          <w:sz w:val="24"/>
          <w:highlight w:val="none"/>
        </w:rPr>
        <w:t>部分“</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须知前附表”第29项的规定。</w:t>
      </w:r>
    </w:p>
    <w:p w14:paraId="3F4F388B">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5、交付地点</w:t>
      </w:r>
      <w:bookmarkStart w:id="691" w:name="_Toc86202598"/>
      <w:bookmarkStart w:id="692" w:name="_Toc175644046"/>
      <w:r>
        <w:rPr>
          <w:rFonts w:hint="eastAsia" w:asciiTheme="minorEastAsia" w:hAnsiTheme="minorEastAsia" w:eastAsiaTheme="minorEastAsia" w:cstheme="minorEastAsia"/>
          <w:color w:val="auto"/>
          <w:sz w:val="24"/>
          <w:highlight w:val="none"/>
        </w:rPr>
        <w:t>：按照招标文件第二</w:t>
      </w:r>
      <w:r>
        <w:rPr>
          <w:rFonts w:hint="eastAsia" w:asciiTheme="minorEastAsia" w:hAnsiTheme="minorEastAsia" w:eastAsiaTheme="minorEastAsia" w:cstheme="minorEastAsia"/>
          <w:bCs/>
          <w:color w:val="auto"/>
          <w:sz w:val="24"/>
          <w:highlight w:val="none"/>
        </w:rPr>
        <w:t>部分“</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须知前附表”第30项的规定。</w:t>
      </w:r>
    </w:p>
    <w:p w14:paraId="2404DE14">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六、包装和标记</w:t>
      </w:r>
      <w:bookmarkEnd w:id="691"/>
      <w:bookmarkEnd w:id="692"/>
    </w:p>
    <w:p w14:paraId="5471C8E1">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1、乙方交付的所有合同货物应具有适于运输的坚固包装，并且乙方应根据合同货物的不同特性和要求采取防潮、防雨、防锈、防震、防腐等保护措施，以确保合同货物安全无损地送达交货地点。</w:t>
      </w:r>
    </w:p>
    <w:p w14:paraId="7E0E831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2、凡由于乙方对合同货物包装不善、标记不明、防护措施不当或在合同货物装箱前保管不良，致使合同货物遭到损坏或丢失，乙方应负责免费修理或更换，并承担由此给甲方造成的一切损失。</w:t>
      </w:r>
      <w:bookmarkStart w:id="693" w:name="_Toc86202599"/>
      <w:bookmarkStart w:id="694" w:name="_Toc175644047"/>
    </w:p>
    <w:p w14:paraId="24FD9FB5">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七、质量标准和检验</w:t>
      </w:r>
      <w:bookmarkEnd w:id="693"/>
      <w:r>
        <w:rPr>
          <w:rFonts w:hint="eastAsia" w:asciiTheme="minorEastAsia" w:hAnsiTheme="minorEastAsia" w:eastAsiaTheme="minorEastAsia" w:cstheme="minorEastAsia"/>
          <w:b/>
          <w:color w:val="auto"/>
          <w:sz w:val="24"/>
          <w:highlight w:val="none"/>
        </w:rPr>
        <w:t>方式</w:t>
      </w:r>
      <w:bookmarkEnd w:id="694"/>
    </w:p>
    <w:p w14:paraId="458BACEE">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1、乙方应保证提供给甲方的合同货物是货物生产厂商原造的，全新、未使用过的，是用一流的工艺和优质材料制造而成的，并完全符合本项目招标文件规定的质量、性能和规格的要求。</w:t>
      </w:r>
    </w:p>
    <w:p w14:paraId="3F3DBC8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乙方提供给甲方的合同货物应通过货物制造厂商的出厂检验，并提供质量合格证书。乙方承诺提供给甲方的合同货物的技术规范应与本项目招标文件中《项目说明》部分中的规定及投标文件中《货物技术规范偏离表》(如果被采购人接受) 相一致，同时，乙方提供的货物质量应符合中华人民共和国相关标准及相应的技术规范、本次采购相关文件中的全部相关要求及相关标准及相应的技术规范中之较高者。</w:t>
      </w:r>
    </w:p>
    <w:p w14:paraId="0E872797">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乙方保证提供的货物、服务符合中华人民共和国国家及行业的安全质量标准、环保标准中之较高者；若货物、服务来源于中华人民共和国境外，还要同时符合货物来源国的官方、行业及生产厂商的安全质量标准、环保标准中之较高者。上述标准为已发布的且在货物、服务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14:paraId="20B98741">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4、乙方应保证所提供的货物经正确安装、合理操作和维护保养在其使用寿命期内具有令甲方满意的性能，并对由于合同货物的设计、工艺或材料的缺陷而发生的任何故障负责。</w:t>
      </w:r>
    </w:p>
    <w:p w14:paraId="585284BD">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乙方提供的货物抵达甲方指定地点后的开箱清点及初步检验，应依据乙方提供的开箱要求和环境要求进行。乙方应在收到甲方的验货通知后到现场参加开箱清点及初步检验，开箱清点及初步检验时双方均应派员参加，并签署《政府采购项目验收单》，以此作为乙方履约进度的依据。</w:t>
      </w:r>
    </w:p>
    <w:p w14:paraId="07CA9A40">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6、甲方对合同货物的数量、规格和质量的检验，应依据本项目招标文件中的有关规定进行。</w:t>
      </w:r>
    </w:p>
    <w:p w14:paraId="3102FAAD">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7、若检验时发现货物数量不足、规格与合同要求不符或开箱时虽然货物外包装完好无损，但箱内货物短缺或损伤，双方应签署书面形式证明，乙方应根据该证明及时补足或更换。</w:t>
      </w:r>
    </w:p>
    <w:p w14:paraId="1287AC82">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14:paraId="13327262">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695" w:name="_Toc86202601"/>
      <w:bookmarkStart w:id="696" w:name="_Toc175644048"/>
      <w:r>
        <w:rPr>
          <w:rFonts w:hint="eastAsia" w:asciiTheme="minorEastAsia" w:hAnsiTheme="minorEastAsia" w:eastAsiaTheme="minorEastAsia" w:cstheme="minorEastAsia"/>
          <w:b/>
          <w:color w:val="auto"/>
          <w:sz w:val="24"/>
          <w:highlight w:val="none"/>
        </w:rPr>
        <w:t>八、技术服务和保修责任</w:t>
      </w:r>
      <w:bookmarkEnd w:id="695"/>
      <w:bookmarkEnd w:id="696"/>
    </w:p>
    <w:p w14:paraId="4C1F466F">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1、乙方对合同货物、服务的保修期按照招标文件第二</w:t>
      </w:r>
      <w:r>
        <w:rPr>
          <w:rFonts w:hint="eastAsia" w:asciiTheme="minorEastAsia" w:hAnsiTheme="minorEastAsia" w:eastAsiaTheme="minorEastAsia" w:cstheme="minorEastAsia"/>
          <w:bCs/>
          <w:color w:val="auto"/>
          <w:sz w:val="24"/>
          <w:highlight w:val="none"/>
        </w:rPr>
        <w:t>部分“</w:t>
      </w:r>
      <w:r>
        <w:rPr>
          <w:rFonts w:hint="eastAsia" w:asciiTheme="minorEastAsia" w:hAnsiTheme="minorEastAsia" w:eastAsiaTheme="minorEastAsia" w:cstheme="minorEastAsia"/>
          <w:bCs/>
          <w:color w:val="auto"/>
          <w:sz w:val="24"/>
          <w:highlight w:val="none"/>
          <w:lang w:eastAsia="zh-CN"/>
        </w:rPr>
        <w:t>供应商</w:t>
      </w:r>
      <w:r>
        <w:rPr>
          <w:rFonts w:hint="eastAsia" w:asciiTheme="minorEastAsia" w:hAnsiTheme="minorEastAsia" w:eastAsiaTheme="minorEastAsia" w:cstheme="minorEastAsia"/>
          <w:bCs/>
          <w:color w:val="auto"/>
          <w:sz w:val="24"/>
          <w:highlight w:val="none"/>
        </w:rPr>
        <w:t>须知前附表”第25项的规定</w:t>
      </w:r>
      <w:r>
        <w:rPr>
          <w:rFonts w:hint="eastAsia" w:asciiTheme="minorEastAsia" w:hAnsiTheme="minorEastAsia" w:eastAsiaTheme="minorEastAsia" w:cstheme="minorEastAsia"/>
          <w:color w:val="auto"/>
          <w:sz w:val="24"/>
          <w:highlight w:val="none"/>
        </w:rPr>
        <w:t>。若厂家规定的保修期或合同货物主要部件的保修期长于本合同保修期，应适用其保修期。(在本次采购文件所规定的期限中，若有不同期限自动适用其中期限较长者)。本合同项下货物的免费保修期或与质量相关的其它期限均自按照本合同约定方式完成最终验收并由甲方签署了项目验收单之日起算。</w:t>
      </w:r>
    </w:p>
    <w:p w14:paraId="172E37E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14:paraId="4C600347">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如因乙方提供的货物硬件或软件有缺陷、服务达不到要求，或乙方提供的技术资料有错误，或乙方在现场的技术人员指导有错误而使合同货物不能达到合同规定的指标和技术性能，乙方应负责按本合同相关条款规定修理或更换，使货物运行指标和技术性能以及相关服务达到合同规定,由此引起的全部费用由乙方承担。若以上原因导致或引起甲方损失及导致或引起第三方受到损害的，全部赔偿责任均应由乙方承担。</w:t>
      </w:r>
    </w:p>
    <w:p w14:paraId="7A65BAF2">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4、在免费保修期内，如果由于乙方更换、修理和续补货物或更换服务，而造成本合同不得不停止运行，保修期应依照停止运行的实际时间加以延长，如因此给甲方造成损失，乙方应负责赔偿。</w:t>
      </w:r>
    </w:p>
    <w:p w14:paraId="7FE01B0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在免费保修期届满后，乙方保证继续为甲方提供设备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14:paraId="637CBA62">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14:paraId="7A888801">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7、若由于甲方提出增加并不涉及安全性的新功能而引起的软件升级，相关成本费由甲方承担，乙方不得赚取利润或拒绝、拖延。</w:t>
      </w:r>
    </w:p>
    <w:p w14:paraId="2627B3DC">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8、若由于乙方增加并不涉及安全性的新功能引起软件升级，而且甲方愿意增加该新功能时，由双方协商解决。</w:t>
      </w:r>
    </w:p>
    <w:p w14:paraId="6F474865">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乙方保证，乙方依据本合同提供的货物、服务及相关的软件和技术资料，乙方均已得到有关知识产权的权利人的合法授权，如发生涉及到专利权、著作权、商标权等争议，乙方负责处理，并承担由此引起的全部法律及经济责任。</w:t>
      </w:r>
    </w:p>
    <w:p w14:paraId="778D1061">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697" w:name="_Toc86202602"/>
      <w:bookmarkStart w:id="698" w:name="_Toc175644049"/>
      <w:r>
        <w:rPr>
          <w:rFonts w:hint="eastAsia" w:asciiTheme="minorEastAsia" w:hAnsiTheme="minorEastAsia" w:eastAsiaTheme="minorEastAsia" w:cstheme="minorEastAsia"/>
          <w:b/>
          <w:color w:val="auto"/>
          <w:sz w:val="24"/>
          <w:highlight w:val="none"/>
        </w:rPr>
        <w:t>九、违约责任</w:t>
      </w:r>
      <w:bookmarkEnd w:id="697"/>
      <w:bookmarkEnd w:id="698"/>
    </w:p>
    <w:p w14:paraId="71B75996">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14:paraId="510B145E">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若乙方未如期按照合同约定交付合同货物或提供服务、补足或更换货物，或乙方未能履行合同规定的任何其他义务时，甲方有权直接向乙方发出违约通知书，乙方应按照甲方选择的下列一种或多种方式承担赔偿责任及违约责任：</w:t>
      </w:r>
    </w:p>
    <w:p w14:paraId="3415E4D4">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1）在甲方同意延长的期限内交付全部货物、提供服务并承担由此给甲方造成的直接损失及甲方因此产生的对第三方的责任。</w:t>
      </w:r>
    </w:p>
    <w:p w14:paraId="0D0875F4">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14:paraId="63CEFD0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3）根据货物、服务低劣程度、损坏程度以及使甲方所遭受的损失及甲方因此产生的对第三方的责任，经双方商定降低货物、服务的价格或赔偿甲方所遭受的损失及甲方因此产生的对第三方的责任。</w:t>
      </w:r>
    </w:p>
    <w:p w14:paraId="2F938799">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4）按合同规定的同种货币将甲方所退货物已支付的货款全部退还给甲方，并承担由此发生的直接损失和相关费用及甲方因此产生的对第三方的责任。</w:t>
      </w:r>
    </w:p>
    <w:p w14:paraId="618D3B39">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5）甲方有权部分或全部解除合同并要求乙方赔偿由此造成的损失及甲方因此产生的对第三方的责任。此时甲方可采取必要的补救措施，相关费用由乙方承担。</w:t>
      </w:r>
    </w:p>
    <w:p w14:paraId="4B18774C">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6）此外，上述情形下甲方为采取必要的补救措施或因防止损失扩大而支出的合理费用应由乙方承担。</w:t>
      </w:r>
    </w:p>
    <w:p w14:paraId="284B9CCB">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如果乙方在收到甲方的违约通知书5个工作日内未作答复也没有按照甲方选择的方式承担违约责任，则甲方有权从尚未支付的合同价款中扣回相当于甲方选择的方式计算的索赔金额。如果这些金额不足以补偿，甲方有权向乙方提出不足部分的赔偿要求。</w:t>
      </w:r>
    </w:p>
    <w:p w14:paraId="24C5587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4、除有另行约定外，甲方如延期付款，每逾期1日，按应付金额0.3‰支付违约金；乙方如延期交付，每延迟1日，按应交付货物总额0.3‰支付违约金。</w:t>
      </w:r>
    </w:p>
    <w:p w14:paraId="6F428D8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bookmarkStart w:id="699" w:name="_Toc86202603"/>
      <w:r>
        <w:rPr>
          <w:rFonts w:hint="eastAsia" w:asciiTheme="minorEastAsia" w:hAnsiTheme="minorEastAsia" w:eastAsiaTheme="minorEastAsia" w:cstheme="minorEastAsia"/>
          <w:color w:val="auto"/>
          <w:sz w:val="24"/>
          <w:highlight w:val="none"/>
        </w:rPr>
        <w:t>5、当违约行为给对方造成损失时，若违约金不足以弥补全部损失，违约方还应当赔偿对方因此所受全部损失。当构成严重违约时，对方可以单方面决定解除或终止合同履行，违约方同时还应当承担违约或赔偿责任。</w:t>
      </w:r>
    </w:p>
    <w:p w14:paraId="26957432">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7、以上各项交付的违约金并不影响违约方履行合同的各项义务。</w:t>
      </w:r>
    </w:p>
    <w:p w14:paraId="7D51949D">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00" w:name="_Toc175644050"/>
      <w:r>
        <w:rPr>
          <w:rFonts w:hint="eastAsia" w:asciiTheme="minorEastAsia" w:hAnsiTheme="minorEastAsia" w:eastAsiaTheme="minorEastAsia" w:cstheme="minorEastAsia"/>
          <w:b/>
          <w:color w:val="auto"/>
          <w:sz w:val="24"/>
          <w:highlight w:val="none"/>
        </w:rPr>
        <w:t>十、不可抗力</w:t>
      </w:r>
      <w:bookmarkEnd w:id="699"/>
      <w:bookmarkEnd w:id="700"/>
    </w:p>
    <w:p w14:paraId="59F8149C">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1、不可抗力指下列事件：战争、动乱、瘟疫、严重火灾、洪水、地震、风暴或其他自然灾害，以及本合同各方不可预见、不可防止并不能避免或克服的一切其他因素及事件。</w:t>
      </w:r>
    </w:p>
    <w:p w14:paraId="03C3682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做出的公证证明。</w:t>
      </w:r>
    </w:p>
    <w:p w14:paraId="2C59FA57">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78E20A16">
      <w:pPr>
        <w:pStyle w:val="87"/>
        <w:tabs>
          <w:tab w:val="left" w:pos="360"/>
          <w:tab w:val="left" w:pos="480"/>
          <w:tab w:val="left" w:pos="1413"/>
          <w:tab w:val="left" w:pos="1531"/>
          <w:tab w:val="left" w:pos="1951"/>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4、合同各方应根据不可抗力对本合同履行的影响程度，协商确定是否终止本合同，或是继续履行本合同。</w:t>
      </w:r>
      <w:bookmarkStart w:id="701" w:name="_Toc175644051"/>
      <w:bookmarkStart w:id="702" w:name="_Toc86202604"/>
    </w:p>
    <w:p w14:paraId="5163F1FE">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十一、联系方式</w:t>
      </w:r>
      <w:bookmarkEnd w:id="701"/>
      <w:bookmarkEnd w:id="702"/>
    </w:p>
    <w:p w14:paraId="55A807F7">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2、合同双方发出的与本合同有关的通知或回复均应发至招标文件与投标文件中的通讯地址，一方变更通讯地址或帐号，应自变更之日起3个工作日内，将变更后的地址通知对方。变更方不履行通知义务的，应对此造成的一切后果承担法律责任。</w:t>
      </w:r>
    </w:p>
    <w:p w14:paraId="2215F6AB">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3、上述发出通知、回复的费用由发出一方承担。</w:t>
      </w:r>
    </w:p>
    <w:p w14:paraId="3189B760">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03" w:name="_Toc86202605"/>
      <w:bookmarkStart w:id="704" w:name="_Toc175644052"/>
      <w:r>
        <w:rPr>
          <w:rFonts w:hint="eastAsia" w:asciiTheme="minorEastAsia" w:hAnsiTheme="minorEastAsia" w:eastAsiaTheme="minorEastAsia" w:cstheme="minorEastAsia"/>
          <w:b/>
          <w:color w:val="auto"/>
          <w:sz w:val="24"/>
          <w:highlight w:val="none"/>
        </w:rPr>
        <w:t>十二、保密条款</w:t>
      </w:r>
      <w:bookmarkEnd w:id="703"/>
      <w:bookmarkEnd w:id="704"/>
    </w:p>
    <w:p w14:paraId="2B34BC34">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1、任何一方对其获知的本合同及附件中其他各方的商业秘密和国家秘密负有保密义务。</w:t>
      </w:r>
    </w:p>
    <w:p w14:paraId="2F7F8F5F">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bookmarkStart w:id="705" w:name="_Toc86202606"/>
      <w:r>
        <w:rPr>
          <w:rFonts w:hint="eastAsia" w:asciiTheme="minorEastAsia" w:hAnsiTheme="minorEastAsia" w:eastAsiaTheme="minorEastAsia" w:cstheme="minorEastAsia"/>
          <w:color w:val="auto"/>
          <w:sz w:val="24"/>
          <w:highlight w:val="none"/>
        </w:rPr>
        <w:t>2、在下列情形下：当发布中标公告和其他公告时，当国家机关调查、审查、审计时，以及其他符合法律规定的情形下，无须事先征求乙方同意而可以披露关于采购过程、合同文本、签署情况的资料、乙方的名称及地址、采购内容的有关信息以及补充条款等，但应当在合理的必要范围内。对任何已经公布过的内容或与之内容相同的资料，以及乙方已经泄露或公开的，无须再承担保密责任。</w:t>
      </w:r>
    </w:p>
    <w:p w14:paraId="0026930B">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此外的其他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14:paraId="73CB1FD1">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06" w:name="_Toc175644053"/>
      <w:r>
        <w:rPr>
          <w:rFonts w:hint="eastAsia" w:asciiTheme="minorEastAsia" w:hAnsiTheme="minorEastAsia" w:eastAsiaTheme="minorEastAsia" w:cstheme="minorEastAsia"/>
          <w:b/>
          <w:color w:val="auto"/>
          <w:sz w:val="24"/>
          <w:highlight w:val="none"/>
        </w:rPr>
        <w:t>十三、合同的解释</w:t>
      </w:r>
      <w:bookmarkEnd w:id="705"/>
      <w:bookmarkEnd w:id="706"/>
    </w:p>
    <w:p w14:paraId="5444483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任何一方对本合同及其附件的解释均应遵循诚实信用原则,依照本合同签订时有效的中国法律、法规以及通常的理解进行。2、本合同标题仅供查阅方便，并非对本合同的诠释或解释；本合同中以日表述的时间期限均指自然日。</w:t>
      </w:r>
    </w:p>
    <w:p w14:paraId="4D9E1B0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3、对本合同的任何解释均应以书面做出。</w:t>
      </w:r>
    </w:p>
    <w:p w14:paraId="4E259E29">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07" w:name="_Toc175644054"/>
      <w:bookmarkStart w:id="708" w:name="_Toc86202607"/>
      <w:r>
        <w:rPr>
          <w:rFonts w:hint="eastAsia" w:asciiTheme="minorEastAsia" w:hAnsiTheme="minorEastAsia" w:eastAsiaTheme="minorEastAsia" w:cstheme="minorEastAsia"/>
          <w:b/>
          <w:color w:val="auto"/>
          <w:sz w:val="24"/>
          <w:highlight w:val="none"/>
        </w:rPr>
        <w:t>十四、合同的终止</w:t>
      </w:r>
      <w:bookmarkEnd w:id="707"/>
      <w:bookmarkEnd w:id="708"/>
    </w:p>
    <w:p w14:paraId="1B94DB6D">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1、本合同因下列原因而终止：</w:t>
      </w:r>
    </w:p>
    <w:p w14:paraId="2E5CCB32">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1）本合同正常履行完毕；</w:t>
      </w:r>
    </w:p>
    <w:p w14:paraId="0A55752D">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2）合同双方协议终止本合同的履行；</w:t>
      </w:r>
    </w:p>
    <w:p w14:paraId="5C2E8B1B">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3）不可抗力事件导致本合同无法履行或履行不必要；</w:t>
      </w:r>
    </w:p>
    <w:p w14:paraId="1311E61E">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4）任何一方行使解除权，解除本合同。</w:t>
      </w:r>
    </w:p>
    <w:p w14:paraId="27975ED0">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2、对本合同终止有过错的一方应赔偿另一方因合同终止而受到的损失。对合同终止双方均无过错的，则各自承担所受到的损失。</w:t>
      </w:r>
    </w:p>
    <w:p w14:paraId="5E14ECB2">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09" w:name="_Toc175644055"/>
      <w:bookmarkStart w:id="710" w:name="_Toc86202608"/>
      <w:r>
        <w:rPr>
          <w:rFonts w:hint="eastAsia" w:asciiTheme="minorEastAsia" w:hAnsiTheme="minorEastAsia" w:eastAsiaTheme="minorEastAsia" w:cstheme="minorEastAsia"/>
          <w:b/>
          <w:color w:val="auto"/>
          <w:sz w:val="24"/>
          <w:highlight w:val="none"/>
        </w:rPr>
        <w:t>十五、法律适用</w:t>
      </w:r>
      <w:bookmarkEnd w:id="709"/>
    </w:p>
    <w:p w14:paraId="2619969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1、本合同及附件的订立、效力、解释、履行、争议的解决等适用本合同签订时有效的中华人民共和国法律、法规的有关规定。</w:t>
      </w:r>
    </w:p>
    <w:p w14:paraId="1D7B718A">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在本合同履行期间，因中华人民共和国法律、法规、政策的变化致使本合同的部分条款相冲突、无效或失去可强制执行效力时，双方同意将密切合作，尽快修改本合同中相冲突或无效或失去强制执行效力的有关条款。</w:t>
      </w:r>
    </w:p>
    <w:p w14:paraId="63F53696">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11" w:name="_Toc175644056"/>
      <w:r>
        <w:rPr>
          <w:rFonts w:hint="eastAsia" w:asciiTheme="minorEastAsia" w:hAnsiTheme="minorEastAsia" w:eastAsiaTheme="minorEastAsia" w:cstheme="minorEastAsia"/>
          <w:b/>
          <w:color w:val="auto"/>
          <w:sz w:val="24"/>
          <w:highlight w:val="none"/>
        </w:rPr>
        <w:t>十六、权利的保留</w:t>
      </w:r>
      <w:bookmarkEnd w:id="710"/>
      <w:bookmarkEnd w:id="711"/>
    </w:p>
    <w:p w14:paraId="4319AF04">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238A029B">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57801473">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12" w:name="_Toc175644057"/>
      <w:bookmarkStart w:id="713" w:name="_Toc86202609"/>
      <w:r>
        <w:rPr>
          <w:rFonts w:hint="eastAsia" w:asciiTheme="minorEastAsia" w:hAnsiTheme="minorEastAsia" w:eastAsiaTheme="minorEastAsia" w:cstheme="minorEastAsia"/>
          <w:b/>
          <w:color w:val="auto"/>
          <w:sz w:val="24"/>
          <w:highlight w:val="none"/>
        </w:rPr>
        <w:t>十七、争议的解决</w:t>
      </w:r>
      <w:bookmarkEnd w:id="712"/>
      <w:bookmarkEnd w:id="713"/>
    </w:p>
    <w:p w14:paraId="14D775B6">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1、合同双方应通过友好协商解决因解释﹑执行本合同所发生的和本合同有关的一切争议。如果经协商不能达成协议，可以采用以下方式解决：</w:t>
      </w:r>
    </w:p>
    <w:p w14:paraId="6EF2A483">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（1）提交仲裁委员会仲裁；（2）向甲方所在地人民法院起诉。</w:t>
      </w:r>
    </w:p>
    <w:p w14:paraId="5F4DD098">
      <w:pPr>
        <w:pStyle w:val="87"/>
        <w:tabs>
          <w:tab w:val="left" w:pos="360"/>
          <w:tab w:val="left" w:pos="480"/>
          <w:tab w:val="left" w:pos="1413"/>
        </w:tabs>
        <w:spacing w:line="360" w:lineRule="auto"/>
        <w:ind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2、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14:paraId="0251A186">
      <w:pPr>
        <w:pStyle w:val="87"/>
        <w:tabs>
          <w:tab w:val="left" w:pos="360"/>
          <w:tab w:val="left" w:pos="480"/>
          <w:tab w:val="left" w:pos="1413"/>
        </w:tabs>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3、在争议解决期间，除了诉讼或仲裁进行过程中正在解决的那部分问题外，合同其余部分应继续履行。</w:t>
      </w:r>
    </w:p>
    <w:p w14:paraId="7889B662">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14" w:name="_Toc86202611"/>
      <w:bookmarkStart w:id="715" w:name="_Toc175644059"/>
      <w:r>
        <w:rPr>
          <w:rFonts w:hint="eastAsia" w:asciiTheme="minorEastAsia" w:hAnsiTheme="minorEastAsia" w:eastAsiaTheme="minorEastAsia" w:cstheme="minorEastAsia"/>
          <w:b/>
          <w:color w:val="auto"/>
          <w:sz w:val="24"/>
          <w:highlight w:val="none"/>
        </w:rPr>
        <w:t>十八、合同的生效</w:t>
      </w:r>
      <w:bookmarkEnd w:id="714"/>
      <w:bookmarkEnd w:id="715"/>
    </w:p>
    <w:p w14:paraId="66C785AD">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本合同经甲乙双方法定代表人或授权代理人签字加盖单位公章，乙方按时、足额提交履约保证金后生效。</w:t>
      </w:r>
    </w:p>
    <w:p w14:paraId="4B64D9E7">
      <w:pPr>
        <w:pStyle w:val="87"/>
        <w:tabs>
          <w:tab w:val="left" w:pos="360"/>
          <w:tab w:val="left" w:pos="480"/>
          <w:tab w:val="left" w:pos="1413"/>
        </w:tabs>
        <w:spacing w:line="360" w:lineRule="auto"/>
        <w:ind w:firstLine="482" w:firstLineChars="200"/>
        <w:rPr>
          <w:rFonts w:hint="eastAsia" w:asciiTheme="minorEastAsia" w:hAnsiTheme="minorEastAsia" w:eastAsiaTheme="minorEastAsia" w:cstheme="minorEastAsia"/>
          <w:b/>
          <w:color w:val="auto"/>
          <w:sz w:val="24"/>
          <w:highlight w:val="none"/>
        </w:rPr>
      </w:pPr>
      <w:bookmarkStart w:id="716" w:name="_Toc175644060"/>
      <w:bookmarkStart w:id="717" w:name="_Toc86202612"/>
      <w:r>
        <w:rPr>
          <w:rFonts w:hint="eastAsia" w:asciiTheme="minorEastAsia" w:hAnsiTheme="minorEastAsia" w:eastAsiaTheme="minorEastAsia" w:cstheme="minorEastAsia"/>
          <w:b/>
          <w:color w:val="auto"/>
          <w:sz w:val="24"/>
          <w:highlight w:val="none"/>
        </w:rPr>
        <w:t>十九、其他约定事项</w:t>
      </w:r>
      <w:bookmarkEnd w:id="716"/>
      <w:bookmarkEnd w:id="717"/>
    </w:p>
    <w:p w14:paraId="7B3EE3B2">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1、本合同中的附件均为本合同不可分割的部分，与本合同具有相同的法律效力。</w:t>
      </w:r>
    </w:p>
    <w:p w14:paraId="3C167D9A">
      <w:pPr>
        <w:pStyle w:val="8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2、不得将合同转让给第三人，有关分包事项或服务委托等须事先取得甲方和采购代理机构书面同意并且须遵守相关法律、法规；有关联合投标须在本次招标允许的情况下并须符合本次招标的全部规定。</w:t>
      </w:r>
    </w:p>
    <w:p w14:paraId="5320754A">
      <w:pPr>
        <w:widowControl/>
        <w:jc w:val="left"/>
        <w:rPr>
          <w:rFonts w:hint="eastAsia" w:ascii="宋体" w:hAnsi="宋体"/>
          <w:color w:val="auto"/>
          <w:sz w:val="24"/>
          <w:szCs w:val="24"/>
          <w:highlight w:val="none"/>
          <w:u w:val="single"/>
        </w:rPr>
      </w:pPr>
      <w:r>
        <w:rPr>
          <w:rFonts w:hint="eastAsia" w:asciiTheme="minorEastAsia" w:hAnsiTheme="minorEastAsia" w:eastAsiaTheme="minorEastAsia" w:cstheme="minorEastAsia"/>
          <w:color w:val="auto"/>
          <w:sz w:val="24"/>
          <w:highlight w:val="none"/>
        </w:rPr>
        <w:t>3、本合同一式五份，具有同等法律效力。</w:t>
      </w:r>
    </w:p>
    <w:p w14:paraId="040A2FFF">
      <w:pPr>
        <w:spacing w:line="360" w:lineRule="auto"/>
        <w:jc w:val="center"/>
        <w:rPr>
          <w:rFonts w:ascii="宋体" w:hAnsi="宋体"/>
          <w:b/>
          <w:bCs/>
          <w:color w:val="auto"/>
          <w:sz w:val="24"/>
          <w:szCs w:val="24"/>
          <w:highlight w:val="none"/>
          <w:u w:val="single"/>
        </w:rPr>
      </w:pPr>
      <w:r>
        <w:rPr>
          <w:rFonts w:hint="eastAsia"/>
          <w:b/>
          <w:bCs/>
          <w:color w:val="auto"/>
          <w:sz w:val="28"/>
          <w:szCs w:val="24"/>
          <w:highlight w:val="none"/>
        </w:rPr>
        <w:t>注：本合同条款仅供参考，最终以甲方提供的样本并经甲乙双方协商一致的合同为准。</w:t>
      </w:r>
    </w:p>
    <w:p w14:paraId="32BADED1">
      <w:pPr>
        <w:pStyle w:val="4"/>
        <w:spacing w:line="360" w:lineRule="auto"/>
        <w:jc w:val="center"/>
        <w:outlineLvl w:val="9"/>
        <w:rPr>
          <w:rFonts w:hint="eastAsia" w:ascii="宋体" w:hAnsi="宋体" w:eastAsia="宋体"/>
          <w:color w:val="auto"/>
          <w:sz w:val="48"/>
          <w:szCs w:val="48"/>
          <w:highlight w:val="none"/>
        </w:rPr>
      </w:pPr>
    </w:p>
    <w:p w14:paraId="4CF9D905">
      <w:pPr>
        <w:pStyle w:val="4"/>
        <w:spacing w:line="360" w:lineRule="auto"/>
        <w:jc w:val="center"/>
        <w:outlineLvl w:val="9"/>
        <w:rPr>
          <w:rFonts w:hint="eastAsia" w:ascii="宋体" w:hAnsi="宋体" w:eastAsia="宋体"/>
          <w:color w:val="auto"/>
          <w:sz w:val="48"/>
          <w:szCs w:val="48"/>
          <w:highlight w:val="none"/>
        </w:rPr>
      </w:pPr>
    </w:p>
    <w:p w14:paraId="30A42C61">
      <w:pPr>
        <w:pStyle w:val="4"/>
        <w:spacing w:line="360" w:lineRule="auto"/>
        <w:jc w:val="center"/>
        <w:outlineLvl w:val="9"/>
        <w:rPr>
          <w:rFonts w:hint="eastAsia" w:ascii="宋体" w:hAnsi="宋体" w:eastAsia="宋体"/>
          <w:color w:val="auto"/>
          <w:sz w:val="48"/>
          <w:szCs w:val="48"/>
          <w:highlight w:val="none"/>
        </w:rPr>
      </w:pPr>
    </w:p>
    <w:p w14:paraId="74FC5BD8">
      <w:pPr>
        <w:pStyle w:val="4"/>
        <w:spacing w:line="360" w:lineRule="auto"/>
        <w:jc w:val="center"/>
        <w:outlineLvl w:val="9"/>
        <w:rPr>
          <w:rFonts w:hint="eastAsia" w:ascii="宋体" w:hAnsi="宋体" w:eastAsia="宋体"/>
          <w:color w:val="auto"/>
          <w:sz w:val="48"/>
          <w:szCs w:val="48"/>
          <w:highlight w:val="none"/>
        </w:rPr>
      </w:pPr>
    </w:p>
    <w:p w14:paraId="2A6BAA8B">
      <w:pPr>
        <w:pStyle w:val="4"/>
        <w:spacing w:line="360" w:lineRule="auto"/>
        <w:jc w:val="center"/>
        <w:rPr>
          <w:rFonts w:hint="eastAsia" w:ascii="宋体" w:hAnsi="宋体" w:eastAsia="宋体"/>
          <w:color w:val="auto"/>
          <w:sz w:val="48"/>
          <w:szCs w:val="48"/>
          <w:highlight w:val="none"/>
        </w:rPr>
      </w:pPr>
      <w:bookmarkStart w:id="718" w:name="_Toc22252"/>
      <w:r>
        <w:rPr>
          <w:rFonts w:hint="eastAsia" w:ascii="宋体" w:hAnsi="宋体" w:eastAsia="宋体"/>
          <w:color w:val="auto"/>
          <w:sz w:val="48"/>
          <w:szCs w:val="48"/>
          <w:highlight w:val="none"/>
        </w:rPr>
        <w:t xml:space="preserve">第六章 </w:t>
      </w:r>
      <w:r>
        <w:rPr>
          <w:rFonts w:hint="eastAsia" w:ascii="宋体" w:hAnsi="宋体" w:eastAsia="宋体"/>
          <w:color w:val="auto"/>
          <w:sz w:val="48"/>
          <w:szCs w:val="48"/>
          <w:highlight w:val="none"/>
          <w:lang w:eastAsia="zh-CN"/>
        </w:rPr>
        <w:t>响应文件</w:t>
      </w:r>
      <w:r>
        <w:rPr>
          <w:rFonts w:hint="eastAsia" w:ascii="宋体" w:hAnsi="宋体" w:eastAsia="宋体"/>
          <w:color w:val="auto"/>
          <w:sz w:val="48"/>
          <w:szCs w:val="48"/>
          <w:highlight w:val="none"/>
        </w:rPr>
        <w:t>格式</w:t>
      </w:r>
      <w:bookmarkEnd w:id="682"/>
      <w:bookmarkEnd w:id="718"/>
    </w:p>
    <w:p w14:paraId="4D57810C">
      <w:pPr>
        <w:keepNext w:val="0"/>
        <w:keepLines w:val="0"/>
        <w:pageBreakBefore w:val="0"/>
        <w:widowControl w:val="0"/>
        <w:kinsoku/>
        <w:wordWrap/>
        <w:overflowPunct/>
        <w:topLinePunct w:val="0"/>
        <w:autoSpaceDE/>
        <w:autoSpaceDN/>
        <w:bidi w:val="0"/>
        <w:adjustRightInd/>
        <w:snapToGrid/>
        <w:spacing w:after="100" w:line="360" w:lineRule="exact"/>
        <w:ind w:right="102"/>
        <w:jc w:val="center"/>
        <w:textAlignment w:val="auto"/>
        <w:rPr>
          <w:rFonts w:hint="eastAsia" w:ascii="宋体" w:hAnsi="宋体" w:eastAsia="宋体" w:cs="宋体"/>
          <w:b/>
          <w:bCs/>
          <w:color w:val="auto"/>
          <w:sz w:val="32"/>
          <w:szCs w:val="32"/>
          <w:highlight w:val="none"/>
          <w:u w:val="none"/>
        </w:rPr>
      </w:pPr>
      <w:r>
        <w:rPr>
          <w:color w:val="auto"/>
          <w:highlight w:val="none"/>
        </w:rPr>
        <w:br w:type="page"/>
      </w:r>
      <w:r>
        <w:rPr>
          <w:rFonts w:hint="eastAsia" w:ascii="宋体" w:hAnsi="宋体" w:eastAsia="宋体" w:cs="宋体"/>
          <w:b/>
          <w:bCs/>
          <w:color w:val="auto"/>
          <w:sz w:val="32"/>
          <w:szCs w:val="32"/>
          <w:highlight w:val="none"/>
          <w:u w:val="none"/>
        </w:rPr>
        <w:t>目 录</w:t>
      </w:r>
    </w:p>
    <w:p w14:paraId="1FD4D25F">
      <w:pPr>
        <w:pStyle w:val="29"/>
        <w:rPr>
          <w:rFonts w:hint="eastAsia"/>
          <w:color w:val="auto"/>
          <w:highlight w:val="none"/>
        </w:rPr>
      </w:pPr>
    </w:p>
    <w:p w14:paraId="5A0ACD4D">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（1）投标函；</w:t>
      </w:r>
    </w:p>
    <w:p w14:paraId="48140134">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（2）法定代表人身份证明书、法定代表人授权委托书；</w:t>
      </w:r>
    </w:p>
    <w:p w14:paraId="13553E9D">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（3）企业信誉信息截图；</w:t>
      </w:r>
    </w:p>
    <w:p w14:paraId="4BE4C835">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（4）报价一览表；</w:t>
      </w:r>
    </w:p>
    <w:p w14:paraId="1197B502">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5</w:t>
      </w: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供应商</w:t>
      </w:r>
      <w:r>
        <w:rPr>
          <w:rFonts w:hint="eastAsia" w:ascii="宋体" w:hAnsi="宋体" w:eastAsia="宋体" w:cs="宋体"/>
          <w:b/>
          <w:bCs/>
          <w:color w:val="auto"/>
          <w:sz w:val="24"/>
          <w:szCs w:val="24"/>
          <w:highlight w:val="none"/>
          <w:u w:val="none"/>
          <w:lang w:val="en-US" w:eastAsia="zh-CN"/>
        </w:rPr>
        <w:t>概况一览表；</w:t>
      </w:r>
    </w:p>
    <w:p w14:paraId="69525113">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6</w:t>
      </w: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供应商</w:t>
      </w:r>
      <w:r>
        <w:rPr>
          <w:rFonts w:hint="eastAsia" w:ascii="宋体" w:hAnsi="宋体" w:eastAsia="宋体" w:cs="宋体"/>
          <w:b/>
          <w:bCs/>
          <w:color w:val="auto"/>
          <w:sz w:val="24"/>
          <w:szCs w:val="24"/>
          <w:highlight w:val="none"/>
          <w:u w:val="none"/>
          <w:lang w:val="en-US" w:eastAsia="zh-CN"/>
        </w:rPr>
        <w:t>递交投标保证金汇款凭证；</w:t>
      </w:r>
    </w:p>
    <w:p w14:paraId="03F006E1">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7</w:t>
      </w:r>
      <w:r>
        <w:rPr>
          <w:rFonts w:hint="eastAsia" w:ascii="宋体" w:hAnsi="宋体" w:eastAsia="宋体" w:cs="宋体"/>
          <w:b/>
          <w:bCs/>
          <w:color w:val="auto"/>
          <w:sz w:val="24"/>
          <w:szCs w:val="24"/>
          <w:highlight w:val="none"/>
          <w:u w:val="none"/>
          <w:lang w:val="en-US" w:eastAsia="zh-CN"/>
        </w:rPr>
        <w:t>）投标企业类型声明函；</w:t>
      </w:r>
    </w:p>
    <w:p w14:paraId="117CBAF7">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近三年项目业绩一览表</w:t>
      </w:r>
      <w:r>
        <w:rPr>
          <w:rFonts w:hint="eastAsia" w:ascii="宋体" w:hAnsi="宋体" w:eastAsia="宋体" w:cs="宋体"/>
          <w:b/>
          <w:bCs/>
          <w:color w:val="auto"/>
          <w:sz w:val="24"/>
          <w:szCs w:val="24"/>
          <w:highlight w:val="none"/>
          <w:u w:val="none"/>
          <w:lang w:val="en-US" w:eastAsia="zh-CN"/>
        </w:rPr>
        <w:t xml:space="preserve"> ；</w:t>
      </w:r>
    </w:p>
    <w:p w14:paraId="6C01A813">
      <w:pPr>
        <w:spacing w:after="100" w:line="265" w:lineRule="auto"/>
        <w:ind w:right="103"/>
        <w:jc w:val="left"/>
        <w:rPr>
          <w:rFonts w:hint="eastAsia" w:ascii="宋体" w:hAnsi="宋体" w:cs="宋体"/>
          <w:b/>
          <w:bCs/>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（9）人员配备</w:t>
      </w:r>
    </w:p>
    <w:p w14:paraId="63F9D149">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（11）技术服务方案</w:t>
      </w:r>
    </w:p>
    <w:p w14:paraId="12A65210">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cs="宋体"/>
          <w:b/>
          <w:bCs/>
          <w:color w:val="auto"/>
          <w:sz w:val="24"/>
          <w:szCs w:val="24"/>
          <w:highlight w:val="none"/>
          <w:u w:val="none"/>
          <w:lang w:val="en-US" w:eastAsia="zh-CN"/>
        </w:rPr>
        <w:t>2</w:t>
      </w:r>
      <w:r>
        <w:rPr>
          <w:rFonts w:hint="eastAsia" w:ascii="宋体" w:hAnsi="宋体" w:eastAsia="宋体" w:cs="宋体"/>
          <w:b/>
          <w:bCs/>
          <w:color w:val="auto"/>
          <w:sz w:val="24"/>
          <w:szCs w:val="24"/>
          <w:highlight w:val="none"/>
          <w:u w:val="none"/>
          <w:lang w:val="en-US" w:eastAsia="zh-CN"/>
        </w:rPr>
        <w:t>）商务、技术偏离表</w:t>
      </w:r>
    </w:p>
    <w:p w14:paraId="3BADA6DC">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）反商业贿赂承诺书</w:t>
      </w:r>
    </w:p>
    <w:p w14:paraId="58AF4C32">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cs="宋体"/>
          <w:b/>
          <w:bCs/>
          <w:color w:val="auto"/>
          <w:sz w:val="24"/>
          <w:szCs w:val="24"/>
          <w:highlight w:val="none"/>
          <w:u w:val="none"/>
          <w:lang w:val="en-US" w:eastAsia="zh-CN"/>
        </w:rPr>
        <w:t>4</w:t>
      </w:r>
      <w:r>
        <w:rPr>
          <w:rFonts w:hint="eastAsia" w:ascii="宋体" w:hAnsi="宋体" w:eastAsia="宋体" w:cs="宋体"/>
          <w:b/>
          <w:bCs/>
          <w:color w:val="auto"/>
          <w:sz w:val="24"/>
          <w:szCs w:val="24"/>
          <w:highlight w:val="none"/>
          <w:u w:val="none"/>
          <w:lang w:val="en-US" w:eastAsia="zh-CN"/>
        </w:rPr>
        <w:t>）关于投标资料真实性的承诺书</w:t>
      </w:r>
    </w:p>
    <w:p w14:paraId="2A9F398E">
      <w:pPr>
        <w:spacing w:after="100" w:line="265" w:lineRule="auto"/>
        <w:ind w:right="103"/>
        <w:jc w:val="left"/>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cs="宋体"/>
          <w:b/>
          <w:bCs/>
          <w:color w:val="auto"/>
          <w:sz w:val="24"/>
          <w:szCs w:val="24"/>
          <w:highlight w:val="none"/>
          <w:u w:val="none"/>
          <w:lang w:val="en-US" w:eastAsia="zh-CN"/>
        </w:rPr>
        <w:t>5</w:t>
      </w:r>
      <w:r>
        <w:rPr>
          <w:rFonts w:hint="eastAsia" w:ascii="宋体" w:hAnsi="宋体" w:eastAsia="宋体" w:cs="宋体"/>
          <w:b/>
          <w:bCs/>
          <w:color w:val="auto"/>
          <w:sz w:val="24"/>
          <w:szCs w:val="24"/>
          <w:highlight w:val="none"/>
          <w:u w:val="none"/>
          <w:lang w:val="en-US" w:eastAsia="zh-CN"/>
        </w:rPr>
        <w:t>）要求提供的其它材料以及</w:t>
      </w:r>
      <w:r>
        <w:rPr>
          <w:rFonts w:hint="eastAsia" w:ascii="宋体" w:hAnsi="宋体" w:cs="宋体"/>
          <w:b/>
          <w:bCs/>
          <w:color w:val="auto"/>
          <w:sz w:val="24"/>
          <w:szCs w:val="24"/>
          <w:highlight w:val="none"/>
          <w:u w:val="none"/>
          <w:lang w:val="en-US" w:eastAsia="zh-CN"/>
        </w:rPr>
        <w:t>供应商</w:t>
      </w:r>
      <w:r>
        <w:rPr>
          <w:rFonts w:hint="eastAsia" w:ascii="宋体" w:hAnsi="宋体" w:eastAsia="宋体" w:cs="宋体"/>
          <w:b/>
          <w:bCs/>
          <w:color w:val="auto"/>
          <w:sz w:val="24"/>
          <w:szCs w:val="24"/>
          <w:highlight w:val="none"/>
          <w:u w:val="none"/>
          <w:lang w:val="en-US" w:eastAsia="zh-CN"/>
        </w:rPr>
        <w:t>认为需要提交的材料</w:t>
      </w:r>
    </w:p>
    <w:p w14:paraId="7EEE53BF">
      <w:pPr>
        <w:spacing w:after="100" w:line="265" w:lineRule="auto"/>
        <w:ind w:right="103"/>
        <w:jc w:val="left"/>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u w:val="none"/>
        </w:rPr>
        <w:t>注：</w:t>
      </w:r>
      <w:r>
        <w:rPr>
          <w:rFonts w:hint="eastAsia" w:ascii="宋体" w:hAnsi="宋体" w:cs="宋体"/>
          <w:b/>
          <w:bCs/>
          <w:color w:val="auto"/>
          <w:sz w:val="24"/>
          <w:szCs w:val="24"/>
          <w:highlight w:val="none"/>
          <w:u w:val="none"/>
          <w:lang w:eastAsia="zh-CN"/>
        </w:rPr>
        <w:t>供应商</w:t>
      </w:r>
      <w:r>
        <w:rPr>
          <w:rFonts w:hint="eastAsia" w:ascii="宋体" w:hAnsi="宋体" w:eastAsia="宋体" w:cs="宋体"/>
          <w:b/>
          <w:bCs/>
          <w:color w:val="auto"/>
          <w:sz w:val="24"/>
          <w:szCs w:val="24"/>
          <w:highlight w:val="none"/>
          <w:u w:val="none"/>
        </w:rPr>
        <w:t>根据评标方法如有需要的其他资料自行添加，以上材料须加盖单位公章，</w:t>
      </w:r>
      <w:r>
        <w:rPr>
          <w:rFonts w:hint="eastAsia" w:ascii="宋体" w:hAnsi="宋体" w:cs="宋体"/>
          <w:b/>
          <w:bCs/>
          <w:color w:val="auto"/>
          <w:sz w:val="24"/>
          <w:szCs w:val="24"/>
          <w:highlight w:val="none"/>
          <w:u w:val="none"/>
          <w:lang w:eastAsia="zh-CN"/>
        </w:rPr>
        <w:t>供应商</w:t>
      </w:r>
      <w:r>
        <w:rPr>
          <w:rFonts w:hint="eastAsia" w:ascii="宋体" w:hAnsi="宋体" w:eastAsia="宋体" w:cs="宋体"/>
          <w:b/>
          <w:bCs/>
          <w:color w:val="auto"/>
          <w:sz w:val="24"/>
          <w:szCs w:val="24"/>
          <w:highlight w:val="none"/>
          <w:u w:val="none"/>
        </w:rPr>
        <w:t>需将</w:t>
      </w:r>
      <w:r>
        <w:rPr>
          <w:rFonts w:hint="eastAsia" w:ascii="宋体" w:hAnsi="宋体" w:cs="宋体"/>
          <w:b/>
          <w:bCs/>
          <w:color w:val="auto"/>
          <w:sz w:val="24"/>
          <w:szCs w:val="24"/>
          <w:highlight w:val="none"/>
          <w:u w:val="none"/>
          <w:lang w:eastAsia="zh-CN"/>
        </w:rPr>
        <w:t>响应文件</w:t>
      </w:r>
      <w:r>
        <w:rPr>
          <w:rFonts w:hint="eastAsia" w:ascii="宋体" w:hAnsi="宋体" w:eastAsia="宋体" w:cs="宋体"/>
          <w:b/>
          <w:bCs/>
          <w:color w:val="auto"/>
          <w:sz w:val="24"/>
          <w:szCs w:val="24"/>
          <w:highlight w:val="none"/>
          <w:u w:val="none"/>
        </w:rPr>
        <w:t>按上述顺序装订成册。</w:t>
      </w:r>
    </w:p>
    <w:p w14:paraId="289C71D5">
      <w:pPr>
        <w:pStyle w:val="41"/>
        <w:rPr>
          <w:rFonts w:hint="eastAsia"/>
          <w:color w:val="auto"/>
          <w:highlight w:val="none"/>
        </w:rPr>
      </w:pPr>
    </w:p>
    <w:p w14:paraId="5B65CDC7">
      <w:pPr>
        <w:spacing w:after="100" w:line="265" w:lineRule="auto"/>
        <w:ind w:right="103"/>
        <w:jc w:val="center"/>
        <w:rPr>
          <w:rFonts w:hint="eastAsia" w:ascii="黑体" w:hAnsi="黑体" w:eastAsia="黑体" w:cs="Tahoma"/>
          <w:b/>
          <w:bCs/>
          <w:color w:val="auto"/>
          <w:sz w:val="36"/>
          <w:szCs w:val="36"/>
          <w:highlight w:val="none"/>
          <w:u w:val="single"/>
        </w:rPr>
      </w:pPr>
    </w:p>
    <w:p w14:paraId="461F0756">
      <w:pPr>
        <w:pStyle w:val="41"/>
        <w:rPr>
          <w:rFonts w:hint="eastAsia"/>
          <w:color w:val="auto"/>
          <w:highlight w:val="none"/>
        </w:rPr>
      </w:pPr>
    </w:p>
    <w:p w14:paraId="7E460F7C">
      <w:pPr>
        <w:rPr>
          <w:rFonts w:hint="eastAsia"/>
          <w:color w:val="auto"/>
          <w:highlight w:val="none"/>
        </w:rPr>
      </w:pPr>
    </w:p>
    <w:p w14:paraId="6D41F020">
      <w:pPr>
        <w:pStyle w:val="41"/>
        <w:ind w:left="0" w:leftChars="0" w:firstLine="0" w:firstLineChars="0"/>
        <w:rPr>
          <w:rFonts w:hint="eastAsia"/>
          <w:color w:val="auto"/>
          <w:highlight w:val="none"/>
        </w:rPr>
      </w:pPr>
    </w:p>
    <w:p w14:paraId="0781B044">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投  标  函</w:t>
      </w:r>
    </w:p>
    <w:p w14:paraId="7E3512B8">
      <w:pPr>
        <w:spacing w:line="360" w:lineRule="auto"/>
        <w:ind w:firstLine="48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招标人</w:t>
      </w:r>
      <w:r>
        <w:rPr>
          <w:rFonts w:hint="eastAsia" w:ascii="宋体" w:hAnsi="宋体" w:eastAsia="宋体" w:cs="宋体"/>
          <w:color w:val="auto"/>
          <w:sz w:val="24"/>
          <w:szCs w:val="24"/>
          <w:highlight w:val="none"/>
          <w:u w:val="none"/>
          <w:lang w:eastAsia="zh-CN"/>
        </w:rPr>
        <w:t>）</w:t>
      </w:r>
    </w:p>
    <w:p w14:paraId="013319F9">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经研究，我们决定参加</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项目</w:t>
      </w:r>
      <w:r>
        <w:rPr>
          <w:rFonts w:hint="eastAsia" w:ascii="宋体" w:hAnsi="宋体" w:eastAsia="宋体" w:cs="宋体"/>
          <w:color w:val="auto"/>
          <w:sz w:val="24"/>
          <w:szCs w:val="24"/>
          <w:highlight w:val="none"/>
          <w:u w:val="single"/>
          <w:lang w:val="en-US" w:eastAsia="zh-CN"/>
        </w:rPr>
        <w:t>名称、标项名称</w:t>
      </w:r>
      <w:r>
        <w:rPr>
          <w:rFonts w:hint="eastAsia" w:ascii="宋体" w:hAnsi="宋体" w:cs="宋体"/>
          <w:color w:val="auto"/>
          <w:sz w:val="24"/>
          <w:szCs w:val="24"/>
          <w:highlight w:val="none"/>
          <w:u w:val="single"/>
          <w:lang w:eastAsia="zh-CN"/>
        </w:rPr>
        <w:t>）</w:t>
      </w:r>
      <w:r>
        <w:rPr>
          <w:rFonts w:hint="eastAsia" w:ascii="宋体" w:hAnsi="宋体" w:eastAsia="宋体" w:cs="宋体"/>
          <w:color w:val="auto"/>
          <w:sz w:val="24"/>
          <w:szCs w:val="24"/>
          <w:highlight w:val="none"/>
        </w:rPr>
        <w:t>的招标活动并投标，为此，我方郑重声明以下诸点，并负法律责任。</w:t>
      </w:r>
    </w:p>
    <w:p w14:paraId="6492C5EE">
      <w:pPr>
        <w:spacing w:line="360" w:lineRule="auto"/>
        <w:ind w:firstLine="48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一、我方承诺以</w:t>
      </w:r>
      <w:r>
        <w:rPr>
          <w:rFonts w:hint="eastAsia" w:ascii="宋体" w:hAnsi="宋体" w:cs="宋体"/>
          <w:color w:val="auto"/>
          <w:sz w:val="24"/>
          <w:szCs w:val="24"/>
          <w:highlight w:val="none"/>
          <w:lang w:val="en-US" w:eastAsia="zh-CN"/>
        </w:rPr>
        <w:t>报价：</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元（大写：</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承担本次项目</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文件中要求所有工作，</w:t>
      </w:r>
      <w:r>
        <w:rPr>
          <w:rFonts w:hint="eastAsia" w:ascii="宋体" w:hAnsi="宋体" w:cs="宋体"/>
          <w:color w:val="auto"/>
          <w:sz w:val="24"/>
          <w:szCs w:val="24"/>
          <w:highlight w:val="none"/>
          <w:lang w:val="en-US" w:eastAsia="zh-CN"/>
        </w:rPr>
        <w:t>合同履约</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none"/>
          <w:lang w:eastAsia="zh-CN"/>
        </w:rPr>
        <w:t>；</w:t>
      </w:r>
    </w:p>
    <w:p w14:paraId="66A6E778">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二、完全响应</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文件中所有条款。</w:t>
      </w:r>
    </w:p>
    <w:p w14:paraId="56F013B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三、一旦我方中标，我方保证在贵方约定的日期交货，安装、调试、检测、培训、验收完毕。</w:t>
      </w:r>
    </w:p>
    <w:p w14:paraId="6D20D90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四、如果我方中标，非业主原因，我方保证将按下列质量要求完成本工程产品质量，质量要求：</w:t>
      </w:r>
      <w:r>
        <w:rPr>
          <w:rFonts w:hint="eastAsia" w:ascii="宋体" w:hAnsi="宋体" w:eastAsia="宋体" w:cs="宋体"/>
          <w:color w:val="auto"/>
          <w:sz w:val="24"/>
          <w:szCs w:val="24"/>
          <w:highlight w:val="none"/>
          <w:u w:val="single"/>
        </w:rPr>
        <w:t>合格，必须达到国家规定的标准。</w:t>
      </w:r>
    </w:p>
    <w:p w14:paraId="2F35962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五、如果我方中标，我方将按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文件规定的时间内签订合同。如果违约，我方愿以投标保证金作为赔偿金，同时贵方有权终止我方中标并选择其它</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6AFF95F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六、如果我方中标，到达现场的</w:t>
      </w:r>
      <w:r>
        <w:rPr>
          <w:rFonts w:hint="eastAsia" w:ascii="宋体" w:hAnsi="宋体" w:eastAsia="宋体" w:cs="宋体"/>
          <w:color w:val="auto"/>
          <w:sz w:val="24"/>
          <w:szCs w:val="24"/>
          <w:highlight w:val="none"/>
          <w:lang w:eastAsia="zh-CN"/>
        </w:rPr>
        <w:t>货物</w:t>
      </w:r>
      <w:r>
        <w:rPr>
          <w:rFonts w:hint="eastAsia" w:ascii="宋体" w:hAnsi="宋体" w:eastAsia="宋体" w:cs="宋体"/>
          <w:color w:val="auto"/>
          <w:sz w:val="24"/>
          <w:szCs w:val="24"/>
          <w:highlight w:val="none"/>
        </w:rPr>
        <w:t>质量、品牌、型号与</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文件要求不一致的，施工质量达不到一次性合格,我方将进行整改直至贵方验收合格为止，并愿以中标价的10%作为违约金。</w:t>
      </w:r>
    </w:p>
    <w:p w14:paraId="10F001F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七、贵方的</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文件、答疑文件、</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文件文件补充、</w:t>
      </w:r>
      <w:r>
        <w:rPr>
          <w:rFonts w:hint="eastAsia" w:ascii="宋体" w:hAnsi="宋体" w:cs="宋体"/>
          <w:color w:val="auto"/>
          <w:sz w:val="24"/>
          <w:szCs w:val="24"/>
          <w:highlight w:val="none"/>
          <w:lang w:eastAsia="zh-CN"/>
        </w:rPr>
        <w:t>成交通知书</w:t>
      </w:r>
      <w:r>
        <w:rPr>
          <w:rFonts w:hint="eastAsia" w:ascii="宋体" w:hAnsi="宋体" w:eastAsia="宋体" w:cs="宋体"/>
          <w:color w:val="auto"/>
          <w:sz w:val="24"/>
          <w:szCs w:val="24"/>
          <w:highlight w:val="none"/>
        </w:rPr>
        <w:t>和本</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将做为合同附件，具有同等法律效力。</w:t>
      </w:r>
    </w:p>
    <w:p w14:paraId="6A950BF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八、如果我方未中标，贵方没有必要对我方做出任何解释和说明，我方将充分尊重和理解贵方的选择。</w:t>
      </w:r>
    </w:p>
    <w:p w14:paraId="124C464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九</w:t>
      </w:r>
      <w:r>
        <w:rPr>
          <w:rFonts w:hint="eastAsia" w:ascii="宋体" w:hAnsi="宋体" w:eastAsia="宋体" w:cs="宋体"/>
          <w:color w:val="auto"/>
          <w:sz w:val="24"/>
          <w:szCs w:val="24"/>
          <w:highlight w:val="none"/>
        </w:rPr>
        <w:t>、我方的</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p>
    <w:p w14:paraId="5599F925">
      <w:pPr>
        <w:spacing w:line="360" w:lineRule="auto"/>
        <w:ind w:right="105" w:rightChars="50" w:firstLine="480" w:firstLineChars="200"/>
        <w:rPr>
          <w:rFonts w:hint="eastAsia" w:ascii="宋体" w:hAnsi="宋体" w:eastAsia="宋体" w:cs="宋体"/>
          <w:color w:val="auto"/>
          <w:sz w:val="24"/>
          <w:szCs w:val="24"/>
          <w:highlight w:val="none"/>
          <w:lang w:val="en-US" w:eastAsia="zh-CN"/>
        </w:rPr>
      </w:pPr>
    </w:p>
    <w:p w14:paraId="6A8847A6">
      <w:pPr>
        <w:spacing w:line="360" w:lineRule="auto"/>
        <w:ind w:right="105" w:rightChars="50" w:firstLine="480" w:firstLineChars="200"/>
        <w:rPr>
          <w:rFonts w:hint="eastAsia" w:ascii="宋体" w:hAnsi="宋体" w:eastAsia="宋体" w:cs="宋体"/>
          <w:color w:val="auto"/>
          <w:sz w:val="24"/>
          <w:szCs w:val="24"/>
          <w:highlight w:val="none"/>
          <w:lang w:val="en-US" w:eastAsia="zh-CN"/>
        </w:rPr>
      </w:pPr>
    </w:p>
    <w:p w14:paraId="45C156E7">
      <w:pPr>
        <w:spacing w:line="360" w:lineRule="auto"/>
        <w:ind w:right="105" w:rightChars="5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名称（公章）：</w:t>
      </w:r>
    </w:p>
    <w:p w14:paraId="232F6551">
      <w:pPr>
        <w:spacing w:line="360" w:lineRule="auto"/>
        <w:ind w:right="105" w:rightChars="5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法定代表人（签字或盖章）：</w:t>
      </w:r>
    </w:p>
    <w:p w14:paraId="3C62A2E5">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lang w:eastAsia="zh-CN"/>
        </w:rPr>
        <w:t>：</w:t>
      </w:r>
    </w:p>
    <w:p w14:paraId="36FA818A">
      <w:pPr>
        <w:spacing w:after="100" w:line="265" w:lineRule="auto"/>
        <w:ind w:right="103"/>
        <w:jc w:val="center"/>
        <w:rPr>
          <w:rFonts w:hint="eastAsia" w:ascii="黑体" w:hAnsi="黑体" w:eastAsia="黑体" w:cs="Tahoma"/>
          <w:b/>
          <w:bCs/>
          <w:color w:val="auto"/>
          <w:sz w:val="36"/>
          <w:szCs w:val="36"/>
          <w:highlight w:val="none"/>
          <w:u w:val="single"/>
        </w:rPr>
      </w:pPr>
    </w:p>
    <w:p w14:paraId="45BE8F12">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39B75385">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（2）法定代表人身份证明书</w:t>
      </w:r>
    </w:p>
    <w:p w14:paraId="2E95A97B">
      <w:pPr>
        <w:spacing w:line="360" w:lineRule="auto"/>
        <w:jc w:val="center"/>
        <w:rPr>
          <w:rFonts w:hint="eastAsia" w:ascii="宋体" w:hAnsi="宋体" w:eastAsia="宋体" w:cs="宋体"/>
          <w:b/>
          <w:color w:val="auto"/>
          <w:sz w:val="28"/>
          <w:szCs w:val="28"/>
          <w:highlight w:val="none"/>
          <w:lang w:val="en-US" w:eastAsia="zh-CN"/>
        </w:rPr>
      </w:pPr>
    </w:p>
    <w:p w14:paraId="6640BF3A">
      <w:pPr>
        <w:spacing w:line="360" w:lineRule="auto"/>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bidi="ar"/>
        </w:rPr>
        <w:t>单位名称：</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2B507EC8">
      <w:pPr>
        <w:spacing w:line="360" w:lineRule="auto"/>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bidi="ar"/>
        </w:rPr>
        <w:t>企业类型：</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560EB9E6">
      <w:pPr>
        <w:spacing w:line="360" w:lineRule="auto"/>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bidi="ar"/>
        </w:rPr>
        <w:t>地    址：</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384CE91B">
      <w:pPr>
        <w:spacing w:line="360" w:lineRule="auto"/>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bidi="ar"/>
        </w:rPr>
        <w:t>营业期限：</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257E5D06">
      <w:pPr>
        <w:spacing w:line="360" w:lineRule="auto"/>
        <w:rPr>
          <w:rFonts w:hint="eastAsia"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lang w:bidi="ar"/>
        </w:rPr>
        <w:t>成立时间：</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70BD4B1A">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姓名：</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性别：</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w:t>
      </w:r>
    </w:p>
    <w:p w14:paraId="54ACEE0A">
      <w:pPr>
        <w:spacing w:line="360" w:lineRule="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lang w:bidi="ar"/>
        </w:rPr>
        <w:t>年龄：</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w:t>
      </w:r>
      <w:r>
        <w:rPr>
          <w:rFonts w:hint="eastAsia" w:ascii="宋体" w:hAnsi="宋体" w:eastAsia="宋体" w:cs="宋体"/>
          <w:bCs/>
          <w:color w:val="auto"/>
          <w:sz w:val="24"/>
          <w:szCs w:val="24"/>
          <w:highlight w:val="none"/>
          <w:lang w:val="en-US" w:eastAsia="zh-CN" w:bidi="ar"/>
        </w:rPr>
        <w:t xml:space="preserve"> </w:t>
      </w:r>
      <w:r>
        <w:rPr>
          <w:rFonts w:hint="eastAsia" w:ascii="宋体" w:hAnsi="宋体" w:eastAsia="宋体" w:cs="宋体"/>
          <w:bCs/>
          <w:color w:val="auto"/>
          <w:sz w:val="24"/>
          <w:szCs w:val="24"/>
          <w:highlight w:val="none"/>
          <w:lang w:bidi="ar"/>
        </w:rPr>
        <w:t xml:space="preserve"> 职务：</w:t>
      </w:r>
      <w:r>
        <w:rPr>
          <w:rFonts w:hint="eastAsia" w:ascii="宋体" w:hAnsi="宋体" w:eastAsia="宋体" w:cs="宋体"/>
          <w:bCs/>
          <w:color w:val="auto"/>
          <w:sz w:val="24"/>
          <w:szCs w:val="24"/>
          <w:highlight w:val="none"/>
          <w:u w:val="single"/>
          <w:lang w:bidi="ar"/>
        </w:rPr>
        <w:t xml:space="preserve">               </w:t>
      </w:r>
    </w:p>
    <w:p w14:paraId="5770A148">
      <w:pPr>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 xml:space="preserve">系 </w:t>
      </w:r>
      <w:r>
        <w:rPr>
          <w:rFonts w:hint="eastAsia" w:ascii="宋体" w:hAnsi="宋体" w:eastAsia="宋体" w:cs="宋体"/>
          <w:bCs/>
          <w:color w:val="auto"/>
          <w:sz w:val="24"/>
          <w:szCs w:val="24"/>
          <w:highlight w:val="none"/>
          <w:u w:val="single"/>
          <w:lang w:bidi="ar"/>
        </w:rPr>
        <w:t xml:space="preserve">         （</w:t>
      </w:r>
      <w:r>
        <w:rPr>
          <w:rFonts w:hint="eastAsia" w:ascii="宋体" w:hAnsi="宋体" w:cs="宋体"/>
          <w:bCs/>
          <w:color w:val="auto"/>
          <w:sz w:val="24"/>
          <w:szCs w:val="24"/>
          <w:highlight w:val="none"/>
          <w:u w:val="single"/>
          <w:lang w:eastAsia="zh-CN" w:bidi="ar"/>
        </w:rPr>
        <w:t>供应商</w:t>
      </w:r>
      <w:r>
        <w:rPr>
          <w:rFonts w:hint="eastAsia" w:ascii="宋体" w:hAnsi="宋体" w:eastAsia="宋体" w:cs="宋体"/>
          <w:bCs/>
          <w:color w:val="auto"/>
          <w:sz w:val="24"/>
          <w:szCs w:val="24"/>
          <w:highlight w:val="none"/>
          <w:u w:val="single"/>
          <w:lang w:bidi="ar"/>
        </w:rPr>
        <w:t xml:space="preserve">名称）               </w:t>
      </w:r>
      <w:r>
        <w:rPr>
          <w:rFonts w:hint="eastAsia" w:ascii="宋体" w:hAnsi="宋体" w:eastAsia="宋体" w:cs="宋体"/>
          <w:bCs/>
          <w:color w:val="auto"/>
          <w:sz w:val="24"/>
          <w:szCs w:val="24"/>
          <w:highlight w:val="none"/>
          <w:lang w:bidi="ar"/>
        </w:rPr>
        <w:t>的法定代表人。</w:t>
      </w:r>
    </w:p>
    <w:p w14:paraId="2B77DF1B">
      <w:pPr>
        <w:spacing w:line="360" w:lineRule="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特此证明。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3439"/>
      </w:tblGrid>
      <w:tr w14:paraId="68AF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402" w:type="dxa"/>
            <w:noWrap w:val="0"/>
            <w:vAlign w:val="center"/>
          </w:tcPr>
          <w:p w14:paraId="3917CB41">
            <w:pPr>
              <w:spacing w:line="360" w:lineRule="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法定代表人身份证（正面）</w:t>
            </w:r>
          </w:p>
        </w:tc>
        <w:tc>
          <w:tcPr>
            <w:tcW w:w="3439" w:type="dxa"/>
            <w:noWrap w:val="0"/>
            <w:vAlign w:val="center"/>
          </w:tcPr>
          <w:p w14:paraId="401A9712">
            <w:pPr>
              <w:spacing w:line="360" w:lineRule="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法</w:t>
            </w:r>
            <w:r>
              <w:rPr>
                <w:rFonts w:hint="eastAsia" w:ascii="宋体" w:hAnsi="宋体" w:eastAsia="宋体" w:cs="宋体"/>
                <w:bCs/>
                <w:color w:val="auto"/>
                <w:sz w:val="24"/>
                <w:szCs w:val="24"/>
                <w:highlight w:val="none"/>
                <w:lang w:val="en-US" w:eastAsia="zh-CN" w:bidi="ar"/>
              </w:rPr>
              <w:t>定代表人身份证（背面）</w:t>
            </w:r>
          </w:p>
        </w:tc>
      </w:tr>
    </w:tbl>
    <w:p w14:paraId="00735575">
      <w:pPr>
        <w:rPr>
          <w:rFonts w:hint="eastAsia" w:ascii="宋体" w:hAnsi="宋体" w:eastAsia="宋体" w:cs="宋体"/>
          <w:b/>
          <w:color w:val="auto"/>
          <w:sz w:val="24"/>
          <w:szCs w:val="24"/>
          <w:highlight w:val="none"/>
        </w:rPr>
      </w:pPr>
    </w:p>
    <w:p w14:paraId="56730389">
      <w:pPr>
        <w:rPr>
          <w:rFonts w:hint="eastAsia" w:ascii="宋体" w:hAnsi="宋体" w:eastAsia="宋体" w:cs="宋体"/>
          <w:bCs/>
          <w:color w:val="auto"/>
          <w:sz w:val="24"/>
          <w:szCs w:val="24"/>
          <w:highlight w:val="none"/>
        </w:rPr>
      </w:pPr>
    </w:p>
    <w:p w14:paraId="5EA4EB11">
      <w:pPr>
        <w:rPr>
          <w:rFonts w:hint="eastAsia" w:ascii="宋体" w:hAnsi="宋体" w:eastAsia="宋体" w:cs="宋体"/>
          <w:bCs/>
          <w:color w:val="auto"/>
          <w:sz w:val="24"/>
          <w:szCs w:val="24"/>
          <w:highlight w:val="none"/>
        </w:rPr>
      </w:pPr>
    </w:p>
    <w:p w14:paraId="415FF187">
      <w:pPr>
        <w:rPr>
          <w:rFonts w:hint="eastAsia" w:ascii="宋体" w:hAnsi="宋体" w:eastAsia="宋体" w:cs="宋体"/>
          <w:bCs/>
          <w:color w:val="auto"/>
          <w:sz w:val="24"/>
          <w:szCs w:val="24"/>
          <w:highlight w:val="none"/>
        </w:rPr>
      </w:pPr>
    </w:p>
    <w:p w14:paraId="31F2BFC3">
      <w:pPr>
        <w:jc w:val="left"/>
        <w:rPr>
          <w:rFonts w:hint="eastAsia" w:ascii="宋体" w:hAnsi="宋体" w:eastAsia="宋体" w:cs="宋体"/>
          <w:bCs/>
          <w:color w:val="auto"/>
          <w:sz w:val="24"/>
          <w:szCs w:val="24"/>
          <w:highlight w:val="none"/>
          <w:u w:val="single"/>
          <w:lang w:bidi="ar"/>
        </w:rPr>
      </w:pPr>
      <w:r>
        <w:rPr>
          <w:rFonts w:hint="eastAsia" w:ascii="宋体" w:hAnsi="宋体" w:cs="宋体"/>
          <w:bCs/>
          <w:color w:val="auto"/>
          <w:sz w:val="24"/>
          <w:szCs w:val="24"/>
          <w:highlight w:val="none"/>
          <w:lang w:eastAsia="zh-CN" w:bidi="ar"/>
        </w:rPr>
        <w:t>供应商</w:t>
      </w:r>
      <w:r>
        <w:rPr>
          <w:rFonts w:hint="eastAsia" w:ascii="宋体" w:hAnsi="宋体" w:eastAsia="宋体" w:cs="宋体"/>
          <w:bCs/>
          <w:color w:val="auto"/>
          <w:sz w:val="24"/>
          <w:szCs w:val="24"/>
          <w:highlight w:val="none"/>
          <w:lang w:val="en-US" w:eastAsia="zh-CN" w:bidi="ar"/>
        </w:rPr>
        <w:t>名称</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none"/>
          <w:lang w:bidi="ar"/>
        </w:rPr>
        <w:t>（</w:t>
      </w:r>
      <w:r>
        <w:rPr>
          <w:rFonts w:hint="eastAsia" w:ascii="宋体" w:hAnsi="宋体" w:eastAsia="宋体" w:cs="宋体"/>
          <w:bCs/>
          <w:color w:val="auto"/>
          <w:sz w:val="24"/>
          <w:szCs w:val="24"/>
          <w:highlight w:val="none"/>
          <w:u w:val="none"/>
          <w:lang w:val="en-US" w:eastAsia="zh-CN" w:bidi="ar"/>
        </w:rPr>
        <w:t>公</w:t>
      </w:r>
      <w:r>
        <w:rPr>
          <w:rFonts w:hint="eastAsia" w:ascii="宋体" w:hAnsi="宋体" w:eastAsia="宋体" w:cs="宋体"/>
          <w:bCs/>
          <w:color w:val="auto"/>
          <w:sz w:val="24"/>
          <w:szCs w:val="24"/>
          <w:highlight w:val="none"/>
          <w:u w:val="none"/>
          <w:lang w:bidi="ar"/>
        </w:rPr>
        <w:t>章）</w:t>
      </w:r>
    </w:p>
    <w:p w14:paraId="2D1D247E">
      <w:pPr>
        <w:pStyle w:val="29"/>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法定代表人（签字或盖章）：</w:t>
      </w:r>
      <w:r>
        <w:rPr>
          <w:rFonts w:hint="eastAsia" w:ascii="宋体" w:hAnsi="宋体" w:eastAsia="宋体" w:cs="宋体"/>
          <w:bCs/>
          <w:color w:val="auto"/>
          <w:sz w:val="24"/>
          <w:szCs w:val="24"/>
          <w:highlight w:val="none"/>
          <w:u w:val="single"/>
          <w:lang w:bidi="ar"/>
        </w:rPr>
        <w:t xml:space="preserve">                  </w:t>
      </w:r>
    </w:p>
    <w:p w14:paraId="5244809E">
      <w:pPr>
        <w:spacing w:line="360" w:lineRule="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日  期：</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年</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月</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日</w:t>
      </w:r>
    </w:p>
    <w:p w14:paraId="581ACA6C">
      <w:pPr>
        <w:spacing w:line="360" w:lineRule="auto"/>
        <w:rPr>
          <w:rFonts w:hint="eastAsia" w:ascii="宋体" w:hAnsi="宋体" w:eastAsia="宋体" w:cs="宋体"/>
          <w:b/>
          <w:color w:val="auto"/>
          <w:sz w:val="24"/>
          <w:szCs w:val="24"/>
          <w:highlight w:val="none"/>
        </w:rPr>
      </w:pPr>
    </w:p>
    <w:p w14:paraId="2E83E0D0">
      <w:pPr>
        <w:spacing w:line="360" w:lineRule="auto"/>
        <w:rPr>
          <w:rFonts w:hint="eastAsia" w:ascii="宋体" w:hAnsi="宋体" w:eastAsia="宋体" w:cs="宋体"/>
          <w:b/>
          <w:color w:val="auto"/>
          <w:sz w:val="24"/>
          <w:szCs w:val="24"/>
          <w:highlight w:val="none"/>
        </w:rPr>
      </w:pPr>
    </w:p>
    <w:p w14:paraId="554B6603">
      <w:pPr>
        <w:spacing w:line="360" w:lineRule="auto"/>
        <w:rPr>
          <w:rFonts w:hint="eastAsia" w:ascii="宋体" w:hAnsi="宋体" w:eastAsia="宋体" w:cs="宋体"/>
          <w:b/>
          <w:color w:val="auto"/>
          <w:sz w:val="24"/>
          <w:szCs w:val="24"/>
          <w:highlight w:val="none"/>
        </w:rPr>
      </w:pPr>
    </w:p>
    <w:p w14:paraId="7E25FAD6">
      <w:pPr>
        <w:spacing w:line="360" w:lineRule="auto"/>
        <w:rPr>
          <w:rFonts w:hint="eastAsia" w:ascii="宋体" w:hAnsi="宋体" w:eastAsia="宋体" w:cs="宋体"/>
          <w:b/>
          <w:color w:val="auto"/>
          <w:sz w:val="24"/>
          <w:szCs w:val="24"/>
          <w:highlight w:val="none"/>
        </w:rPr>
      </w:pPr>
    </w:p>
    <w:p w14:paraId="7B12B4F5">
      <w:pPr>
        <w:spacing w:line="360" w:lineRule="auto"/>
        <w:rPr>
          <w:rFonts w:hint="eastAsia" w:ascii="宋体" w:hAnsi="宋体" w:eastAsia="宋体" w:cs="宋体"/>
          <w:b/>
          <w:color w:val="auto"/>
          <w:sz w:val="24"/>
          <w:szCs w:val="24"/>
          <w:highlight w:val="none"/>
        </w:rPr>
      </w:pPr>
    </w:p>
    <w:p w14:paraId="6C5C9FA8">
      <w:pPr>
        <w:spacing w:line="360" w:lineRule="auto"/>
        <w:rPr>
          <w:rFonts w:hint="eastAsia" w:ascii="宋体" w:hAnsi="宋体" w:eastAsia="宋体" w:cs="宋体"/>
          <w:b/>
          <w:color w:val="auto"/>
          <w:sz w:val="24"/>
          <w:szCs w:val="24"/>
          <w:highlight w:val="none"/>
        </w:rPr>
      </w:pPr>
    </w:p>
    <w:p w14:paraId="43B6F723">
      <w:pPr>
        <w:spacing w:line="360" w:lineRule="auto"/>
        <w:rPr>
          <w:rFonts w:hint="eastAsia" w:ascii="宋体" w:hAnsi="宋体" w:eastAsia="宋体" w:cs="宋体"/>
          <w:b/>
          <w:color w:val="auto"/>
          <w:sz w:val="24"/>
          <w:szCs w:val="24"/>
          <w:highlight w:val="none"/>
        </w:rPr>
      </w:pPr>
    </w:p>
    <w:p w14:paraId="65709F26">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68BDC1DD">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法定代表人授权委托书</w:t>
      </w:r>
    </w:p>
    <w:p w14:paraId="4CD6C828">
      <w:pPr>
        <w:spacing w:line="360" w:lineRule="auto"/>
        <w:jc w:val="center"/>
        <w:rPr>
          <w:rFonts w:hint="eastAsia" w:ascii="宋体" w:hAnsi="宋体" w:eastAsia="宋体" w:cs="宋体"/>
          <w:b/>
          <w:color w:val="auto"/>
          <w:sz w:val="28"/>
          <w:szCs w:val="28"/>
          <w:highlight w:val="none"/>
          <w:lang w:val="en-US" w:eastAsia="zh-CN"/>
        </w:rPr>
      </w:pPr>
    </w:p>
    <w:p w14:paraId="5515409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招标人名称</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1549651">
      <w:pPr>
        <w:spacing w:line="360" w:lineRule="auto"/>
        <w:ind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供应商名称</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授权我单位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（职务或职称）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（姓名）为我单位本次授权委托人，全权处理此次</w:t>
      </w:r>
      <w:r>
        <w:rPr>
          <w:rFonts w:hint="eastAsia" w:ascii="宋体" w:hAnsi="宋体" w:eastAsia="宋体" w:cs="宋体"/>
          <w:color w:val="auto"/>
          <w:sz w:val="24"/>
          <w:szCs w:val="24"/>
          <w:highlight w:val="none"/>
          <w:u w:val="single"/>
        </w:rPr>
        <w:t xml:space="preserve">             项目名称</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标项名称   </w:t>
      </w:r>
      <w:r>
        <w:rPr>
          <w:rFonts w:hint="eastAsia" w:ascii="宋体" w:hAnsi="宋体" w:eastAsia="宋体" w:cs="宋体"/>
          <w:color w:val="auto"/>
          <w:sz w:val="24"/>
          <w:szCs w:val="24"/>
          <w:highlight w:val="none"/>
        </w:rPr>
        <w:t>招投标活动的一切事宜。</w:t>
      </w:r>
    </w:p>
    <w:p w14:paraId="1587729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特此授权</w:t>
      </w:r>
    </w:p>
    <w:p w14:paraId="0FA3975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（附法定代表人、授权委托人身份证明复印件）</w:t>
      </w:r>
    </w:p>
    <w:p w14:paraId="760077BA">
      <w:pPr>
        <w:spacing w:line="360" w:lineRule="auto"/>
        <w:ind w:firstLine="480" w:firstLineChars="200"/>
        <w:rPr>
          <w:rFonts w:hint="eastAsia" w:ascii="宋体" w:hAnsi="宋体" w:eastAsia="宋体" w:cs="宋体"/>
          <w:color w:val="auto"/>
          <w:sz w:val="24"/>
          <w:szCs w:val="24"/>
          <w:highlight w:val="none"/>
        </w:rPr>
      </w:pPr>
    </w:p>
    <w:tbl>
      <w:tblPr>
        <w:tblStyle w:val="30"/>
        <w:tblW w:w="0" w:type="auto"/>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59D54AC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noWrap w:val="0"/>
            <w:vAlign w:val="center"/>
          </w:tcPr>
          <w:p w14:paraId="18036397">
            <w:pPr>
              <w:pStyle w:val="75"/>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正面</w:t>
            </w:r>
          </w:p>
        </w:tc>
        <w:tc>
          <w:tcPr>
            <w:tcW w:w="4232" w:type="dxa"/>
            <w:noWrap w:val="0"/>
            <w:vAlign w:val="center"/>
          </w:tcPr>
          <w:p w14:paraId="5DFC6F9F">
            <w:pPr>
              <w:pStyle w:val="75"/>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背面</w:t>
            </w:r>
          </w:p>
        </w:tc>
      </w:tr>
      <w:tr w14:paraId="64952E8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noWrap w:val="0"/>
            <w:vAlign w:val="center"/>
          </w:tcPr>
          <w:p w14:paraId="779878DC">
            <w:pPr>
              <w:pStyle w:val="75"/>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正面</w:t>
            </w:r>
          </w:p>
        </w:tc>
        <w:tc>
          <w:tcPr>
            <w:tcW w:w="4232" w:type="dxa"/>
            <w:noWrap w:val="0"/>
            <w:vAlign w:val="center"/>
          </w:tcPr>
          <w:p w14:paraId="28C27494">
            <w:pPr>
              <w:pStyle w:val="75"/>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背面</w:t>
            </w:r>
          </w:p>
        </w:tc>
      </w:tr>
    </w:tbl>
    <w:p w14:paraId="2BF4F2D2">
      <w:pPr>
        <w:widowControl/>
        <w:snapToGrid w:val="0"/>
        <w:spacing w:line="360" w:lineRule="auto"/>
        <w:ind w:firstLine="480" w:firstLineChars="200"/>
        <w:rPr>
          <w:rFonts w:hint="eastAsia" w:ascii="宋体" w:hAnsi="宋体" w:eastAsia="宋体" w:cs="宋体"/>
          <w:color w:val="auto"/>
          <w:sz w:val="24"/>
          <w:szCs w:val="24"/>
          <w:highlight w:val="none"/>
        </w:rPr>
      </w:pPr>
    </w:p>
    <w:p w14:paraId="58FE0F98">
      <w:pPr>
        <w:spacing w:line="360" w:lineRule="auto"/>
        <w:ind w:right="105" w:rightChars="50"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名称（公章）：</w:t>
      </w:r>
    </w:p>
    <w:p w14:paraId="3D8AFF45">
      <w:pPr>
        <w:spacing w:line="360" w:lineRule="auto"/>
        <w:ind w:right="105" w:rightChars="5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法定代表人（签字或盖章）：</w:t>
      </w:r>
    </w:p>
    <w:p w14:paraId="57170DF8">
      <w:pPr>
        <w:widowControl/>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w:t>
      </w:r>
      <w:r>
        <w:rPr>
          <w:rFonts w:hint="eastAsia" w:ascii="宋体" w:hAnsi="宋体" w:cs="宋体"/>
          <w:color w:val="auto"/>
          <w:sz w:val="24"/>
          <w:szCs w:val="24"/>
          <w:highlight w:val="none"/>
          <w:lang w:val="en-US" w:eastAsia="zh-CN"/>
        </w:rPr>
        <w:t>委托</w:t>
      </w:r>
      <w:r>
        <w:rPr>
          <w:rFonts w:hint="eastAsia" w:ascii="宋体" w:hAnsi="宋体" w:eastAsia="宋体" w:cs="宋体"/>
          <w:color w:val="auto"/>
          <w:sz w:val="24"/>
          <w:szCs w:val="24"/>
          <w:highlight w:val="none"/>
        </w:rPr>
        <w:t>人（签字）：</w:t>
      </w:r>
    </w:p>
    <w:p w14:paraId="31BBD346">
      <w:pPr>
        <w:pStyle w:val="76"/>
        <w:outlineLvl w:val="9"/>
        <w:rPr>
          <w:rFonts w:hint="eastAsia" w:ascii="黑体" w:hAnsi="黑体" w:eastAsia="黑体" w:cs="Tahoma"/>
          <w:b w:val="0"/>
          <w:bCs/>
          <w:color w:val="auto"/>
          <w:sz w:val="21"/>
          <w:szCs w:val="21"/>
          <w:highlight w:val="none"/>
        </w:rPr>
      </w:pPr>
    </w:p>
    <w:p w14:paraId="163F8CAD">
      <w:pPr>
        <w:spacing w:after="100" w:line="265" w:lineRule="auto"/>
        <w:ind w:right="103"/>
        <w:jc w:val="center"/>
        <w:rPr>
          <w:rFonts w:hint="eastAsia" w:ascii="黑体" w:hAnsi="黑体" w:eastAsia="黑体" w:cs="Tahoma"/>
          <w:b/>
          <w:bCs/>
          <w:color w:val="auto"/>
          <w:sz w:val="36"/>
          <w:szCs w:val="36"/>
          <w:highlight w:val="none"/>
          <w:u w:val="single"/>
        </w:rPr>
      </w:pPr>
    </w:p>
    <w:p w14:paraId="6C00A4D1">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sz w:val="28"/>
          <w:szCs w:val="28"/>
          <w:highlight w:val="none"/>
          <w:lang w:val="en-US" w:eastAsia="zh-CN"/>
        </w:rPr>
        <w:t>（3）企业信誉信息截图</w:t>
      </w:r>
    </w:p>
    <w:p w14:paraId="54EC54EB">
      <w:pPr>
        <w:keepNext w:val="0"/>
        <w:keepLines w:val="0"/>
        <w:pageBreakBefore w:val="0"/>
        <w:widowControl w:val="0"/>
        <w:kinsoku/>
        <w:wordWrap/>
        <w:overflowPunct/>
        <w:topLinePunct w:val="0"/>
        <w:autoSpaceDE/>
        <w:autoSpaceDN/>
        <w:bidi w:val="0"/>
        <w:adjustRightInd/>
        <w:snapToGrid/>
        <w:spacing w:after="100" w:line="264" w:lineRule="auto"/>
        <w:ind w:right="0" w:firstLine="480" w:firstLineChars="200"/>
        <w:jc w:val="left"/>
        <w:textAlignment w:val="auto"/>
        <w:rPr>
          <w:rFonts w:hint="eastAsia" w:ascii="黑体" w:hAnsi="黑体" w:eastAsia="黑体" w:cs="Tahoma"/>
          <w:b/>
          <w:bCs/>
          <w:color w:val="auto"/>
          <w:sz w:val="36"/>
          <w:szCs w:val="36"/>
          <w:highlight w:val="none"/>
          <w:u w:val="single"/>
        </w:rPr>
      </w:pPr>
      <w:r>
        <w:rPr>
          <w:rFonts w:hint="eastAsia" w:ascii="宋体" w:hAnsi="宋体" w:eastAsia="宋体" w:cs="宋体"/>
          <w:color w:val="auto"/>
          <w:kern w:val="2"/>
          <w:sz w:val="24"/>
          <w:szCs w:val="24"/>
          <w:highlight w:val="none"/>
          <w:lang w:val="en-US" w:eastAsia="zh-CN" w:bidi="ar-SA"/>
        </w:rPr>
        <w:t>在“信用中国”网站（ www.creditchina.gov.cn）失信被执行人、异常经营名录、税收违法黑名单</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中国政府采购网（http://www.ccgp.gov.cn/search/cr/）严重违法失信行为记录名单</w:t>
      </w:r>
      <w:r>
        <w:rPr>
          <w:rFonts w:hint="eastAsia" w:ascii="宋体" w:hAnsi="宋体" w:eastAsia="宋体" w:cs="宋体"/>
          <w:color w:val="auto"/>
          <w:sz w:val="24"/>
          <w:szCs w:val="24"/>
          <w:highlight w:val="none"/>
          <w:lang w:val="en-US" w:eastAsia="zh-CN"/>
        </w:rPr>
        <w:t>查询结果网页截图并加盖单位公章（查询时间为投标截止时间内）</w:t>
      </w:r>
    </w:p>
    <w:p w14:paraId="690DFDFA">
      <w:pPr>
        <w:spacing w:line="360" w:lineRule="auto"/>
        <w:rPr>
          <w:rFonts w:hint="eastAsia" w:ascii="仿宋" w:hAnsi="仿宋" w:eastAsia="仿宋" w:cs="宋体"/>
          <w:b/>
          <w:color w:val="auto"/>
          <w:sz w:val="24"/>
          <w:highlight w:val="none"/>
        </w:rPr>
      </w:pPr>
    </w:p>
    <w:p w14:paraId="1182D682">
      <w:pPr>
        <w:pStyle w:val="29"/>
        <w:rPr>
          <w:rFonts w:hint="eastAsia" w:ascii="仿宋" w:hAnsi="仿宋" w:eastAsia="仿宋" w:cs="宋体"/>
          <w:b/>
          <w:color w:val="auto"/>
          <w:sz w:val="24"/>
          <w:highlight w:val="none"/>
        </w:rPr>
      </w:pPr>
    </w:p>
    <w:p w14:paraId="3818E0BD">
      <w:pPr>
        <w:spacing w:line="360" w:lineRule="auto"/>
        <w:jc w:val="center"/>
        <w:rPr>
          <w:rFonts w:hint="eastAsia" w:ascii="仿宋" w:hAnsi="仿宋" w:eastAsia="仿宋" w:cs="宋体"/>
          <w:b/>
          <w:color w:val="auto"/>
          <w:sz w:val="24"/>
          <w:highlight w:val="none"/>
          <w:lang w:val="en-US" w:eastAsia="zh-CN"/>
        </w:rPr>
      </w:pPr>
      <w:r>
        <w:rPr>
          <w:rFonts w:hint="eastAsia" w:ascii="仿宋" w:hAnsi="仿宋" w:eastAsia="仿宋" w:cs="宋体"/>
          <w:b/>
          <w:color w:val="auto"/>
          <w:sz w:val="24"/>
          <w:highlight w:val="none"/>
          <w:lang w:val="en-US" w:eastAsia="zh-CN"/>
        </w:rPr>
        <w:t xml:space="preserve"> </w:t>
      </w:r>
    </w:p>
    <w:p w14:paraId="43E4536D">
      <w:pPr>
        <w:spacing w:line="360" w:lineRule="auto"/>
        <w:jc w:val="center"/>
        <w:rPr>
          <w:rFonts w:hint="eastAsia" w:ascii="宋体" w:hAnsi="宋体" w:eastAsia="宋体" w:cs="宋体"/>
          <w:b/>
          <w:color w:val="auto"/>
          <w:sz w:val="28"/>
          <w:szCs w:val="28"/>
          <w:highlight w:val="none"/>
          <w:lang w:val="en-US" w:eastAsia="zh-CN"/>
        </w:rPr>
      </w:pPr>
      <w:r>
        <w:rPr>
          <w:rFonts w:hint="eastAsia" w:ascii="仿宋" w:hAnsi="仿宋" w:eastAsia="仿宋" w:cs="宋体"/>
          <w:b/>
          <w:color w:val="auto"/>
          <w:sz w:val="24"/>
          <w:highlight w:val="none"/>
          <w:lang w:val="en-US" w:eastAsia="zh-CN"/>
        </w:rPr>
        <w:br w:type="page"/>
      </w:r>
      <w:r>
        <w:rPr>
          <w:rFonts w:hint="eastAsia" w:ascii="宋体" w:hAnsi="宋体" w:eastAsia="宋体" w:cs="宋体"/>
          <w:b/>
          <w:color w:val="auto"/>
          <w:sz w:val="28"/>
          <w:szCs w:val="28"/>
          <w:highlight w:val="none"/>
          <w:lang w:val="en-US" w:eastAsia="zh-CN"/>
        </w:rPr>
        <w:t>（4）报价一览表</w:t>
      </w:r>
    </w:p>
    <w:tbl>
      <w:tblPr>
        <w:tblStyle w:val="30"/>
        <w:tblpPr w:leftFromText="180" w:rightFromText="180" w:vertAnchor="text" w:horzAnchor="margin" w:tblpXSpec="center" w:tblpY="2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3872"/>
        <w:gridCol w:w="1540"/>
        <w:gridCol w:w="2679"/>
      </w:tblGrid>
      <w:tr w14:paraId="6C8C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848" w:type="dxa"/>
            <w:noWrap w:val="0"/>
            <w:vAlign w:val="center"/>
          </w:tcPr>
          <w:p w14:paraId="1603E490">
            <w:pPr>
              <w:spacing w:line="24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供应商</w:t>
            </w:r>
          </w:p>
        </w:tc>
        <w:tc>
          <w:tcPr>
            <w:tcW w:w="8091" w:type="dxa"/>
            <w:gridSpan w:val="3"/>
            <w:noWrap w:val="0"/>
            <w:vAlign w:val="center"/>
          </w:tcPr>
          <w:p w14:paraId="5057907A">
            <w:pPr>
              <w:spacing w:line="240" w:lineRule="auto"/>
              <w:rPr>
                <w:rFonts w:hint="eastAsia" w:ascii="宋体" w:hAnsi="宋体" w:eastAsia="宋体" w:cs="宋体"/>
                <w:color w:val="auto"/>
                <w:sz w:val="24"/>
                <w:szCs w:val="24"/>
                <w:highlight w:val="none"/>
              </w:rPr>
            </w:pPr>
          </w:p>
        </w:tc>
      </w:tr>
      <w:tr w14:paraId="107E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848" w:type="dxa"/>
            <w:noWrap w:val="0"/>
            <w:vAlign w:val="center"/>
          </w:tcPr>
          <w:p w14:paraId="4EA194DD">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c>
          <w:tcPr>
            <w:tcW w:w="8091" w:type="dxa"/>
            <w:gridSpan w:val="3"/>
            <w:noWrap w:val="0"/>
            <w:vAlign w:val="center"/>
          </w:tcPr>
          <w:p w14:paraId="32A9C655">
            <w:pPr>
              <w:spacing w:line="240" w:lineRule="auto"/>
              <w:rPr>
                <w:rFonts w:hint="eastAsia" w:ascii="宋体" w:hAnsi="宋体" w:eastAsia="宋体" w:cs="宋体"/>
                <w:color w:val="auto"/>
                <w:sz w:val="24"/>
                <w:szCs w:val="24"/>
                <w:highlight w:val="none"/>
              </w:rPr>
            </w:pPr>
          </w:p>
        </w:tc>
      </w:tr>
      <w:tr w14:paraId="36AF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848" w:type="dxa"/>
            <w:noWrap w:val="0"/>
            <w:vAlign w:val="center"/>
          </w:tcPr>
          <w:p w14:paraId="13956BF3">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3872" w:type="dxa"/>
            <w:noWrap w:val="0"/>
            <w:vAlign w:val="center"/>
          </w:tcPr>
          <w:p w14:paraId="4AB6988F">
            <w:pPr>
              <w:spacing w:line="240" w:lineRule="auto"/>
              <w:rPr>
                <w:rFonts w:hint="eastAsia" w:ascii="宋体" w:hAnsi="宋体" w:eastAsia="宋体" w:cs="宋体"/>
                <w:color w:val="auto"/>
                <w:sz w:val="24"/>
                <w:szCs w:val="24"/>
                <w:highlight w:val="none"/>
              </w:rPr>
            </w:pPr>
          </w:p>
        </w:tc>
        <w:tc>
          <w:tcPr>
            <w:tcW w:w="1540" w:type="dxa"/>
            <w:noWrap w:val="0"/>
            <w:vAlign w:val="center"/>
          </w:tcPr>
          <w:p w14:paraId="24BD0C6D">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2679" w:type="dxa"/>
            <w:noWrap w:val="0"/>
            <w:vAlign w:val="center"/>
          </w:tcPr>
          <w:p w14:paraId="76A7456A">
            <w:pPr>
              <w:spacing w:line="240" w:lineRule="auto"/>
              <w:rPr>
                <w:rFonts w:hint="eastAsia" w:ascii="宋体" w:hAnsi="宋体" w:eastAsia="宋体" w:cs="宋体"/>
                <w:color w:val="auto"/>
                <w:sz w:val="24"/>
                <w:szCs w:val="24"/>
                <w:highlight w:val="none"/>
              </w:rPr>
            </w:pPr>
          </w:p>
        </w:tc>
      </w:tr>
      <w:tr w14:paraId="5B68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848" w:type="dxa"/>
            <w:noWrap w:val="0"/>
            <w:vAlign w:val="center"/>
          </w:tcPr>
          <w:p w14:paraId="0EADA20C">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授权委托人</w:t>
            </w:r>
          </w:p>
        </w:tc>
        <w:tc>
          <w:tcPr>
            <w:tcW w:w="3872" w:type="dxa"/>
            <w:noWrap w:val="0"/>
            <w:vAlign w:val="center"/>
          </w:tcPr>
          <w:p w14:paraId="00A14A1B">
            <w:pPr>
              <w:spacing w:line="240" w:lineRule="auto"/>
              <w:rPr>
                <w:rFonts w:hint="eastAsia" w:ascii="宋体" w:hAnsi="宋体" w:eastAsia="宋体" w:cs="宋体"/>
                <w:color w:val="auto"/>
                <w:sz w:val="24"/>
                <w:szCs w:val="24"/>
                <w:highlight w:val="none"/>
              </w:rPr>
            </w:pPr>
          </w:p>
        </w:tc>
        <w:tc>
          <w:tcPr>
            <w:tcW w:w="1540" w:type="dxa"/>
            <w:noWrap w:val="0"/>
            <w:vAlign w:val="center"/>
          </w:tcPr>
          <w:p w14:paraId="38F665A1">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2679" w:type="dxa"/>
            <w:noWrap w:val="0"/>
            <w:vAlign w:val="center"/>
          </w:tcPr>
          <w:p w14:paraId="2E912438">
            <w:pPr>
              <w:spacing w:line="240" w:lineRule="auto"/>
              <w:rPr>
                <w:rFonts w:hint="eastAsia" w:ascii="宋体" w:hAnsi="宋体" w:eastAsia="宋体" w:cs="宋体"/>
                <w:color w:val="auto"/>
                <w:sz w:val="24"/>
                <w:szCs w:val="24"/>
                <w:highlight w:val="none"/>
              </w:rPr>
            </w:pPr>
          </w:p>
        </w:tc>
      </w:tr>
      <w:tr w14:paraId="3960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848" w:type="dxa"/>
            <w:noWrap w:val="0"/>
            <w:vAlign w:val="center"/>
          </w:tcPr>
          <w:p w14:paraId="2516CDA7">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投标项目名称</w:t>
            </w:r>
          </w:p>
        </w:tc>
        <w:tc>
          <w:tcPr>
            <w:tcW w:w="8091" w:type="dxa"/>
            <w:gridSpan w:val="3"/>
            <w:noWrap w:val="0"/>
            <w:vAlign w:val="center"/>
          </w:tcPr>
          <w:p w14:paraId="3421537B">
            <w:pPr>
              <w:spacing w:line="240" w:lineRule="auto"/>
              <w:rPr>
                <w:rFonts w:hint="eastAsia" w:ascii="宋体" w:hAnsi="宋体" w:eastAsia="宋体" w:cs="宋体"/>
                <w:color w:val="auto"/>
                <w:sz w:val="24"/>
                <w:szCs w:val="24"/>
                <w:highlight w:val="none"/>
              </w:rPr>
            </w:pPr>
          </w:p>
        </w:tc>
      </w:tr>
      <w:tr w14:paraId="7FB4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trPr>
        <w:tc>
          <w:tcPr>
            <w:tcW w:w="1848" w:type="dxa"/>
            <w:noWrap w:val="0"/>
            <w:vAlign w:val="center"/>
          </w:tcPr>
          <w:p w14:paraId="46E61409">
            <w:pPr>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标项名称</w:t>
            </w:r>
          </w:p>
        </w:tc>
        <w:tc>
          <w:tcPr>
            <w:tcW w:w="8091" w:type="dxa"/>
            <w:gridSpan w:val="3"/>
            <w:noWrap w:val="0"/>
            <w:vAlign w:val="center"/>
          </w:tcPr>
          <w:p w14:paraId="67BC10C4">
            <w:pPr>
              <w:spacing w:line="240" w:lineRule="auto"/>
              <w:rPr>
                <w:rFonts w:hint="eastAsia" w:ascii="宋体" w:hAnsi="宋体" w:eastAsia="宋体" w:cs="宋体"/>
                <w:color w:val="auto"/>
                <w:sz w:val="24"/>
                <w:szCs w:val="24"/>
                <w:highlight w:val="none"/>
              </w:rPr>
            </w:pPr>
          </w:p>
        </w:tc>
      </w:tr>
      <w:tr w14:paraId="6DF1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9" w:hRule="atLeast"/>
        </w:trPr>
        <w:tc>
          <w:tcPr>
            <w:tcW w:w="1848" w:type="dxa"/>
            <w:noWrap w:val="0"/>
            <w:vAlign w:val="center"/>
          </w:tcPr>
          <w:p w14:paraId="66DD3D4A">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w:t>
            </w:r>
            <w:r>
              <w:rPr>
                <w:rFonts w:hint="eastAsia" w:ascii="宋体" w:hAnsi="宋体" w:cs="宋体"/>
                <w:color w:val="auto"/>
                <w:sz w:val="24"/>
                <w:szCs w:val="24"/>
                <w:highlight w:val="none"/>
                <w:lang w:val="en-US" w:eastAsia="zh-CN"/>
              </w:rPr>
              <w:t>报价</w:t>
            </w:r>
          </w:p>
        </w:tc>
        <w:tc>
          <w:tcPr>
            <w:tcW w:w="8091" w:type="dxa"/>
            <w:gridSpan w:val="3"/>
            <w:noWrap w:val="0"/>
            <w:vAlign w:val="center"/>
          </w:tcPr>
          <w:p w14:paraId="59D60BCE">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p w14:paraId="540ECA32">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tc>
      </w:tr>
      <w:tr w14:paraId="1B8D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rPr>
        <w:tc>
          <w:tcPr>
            <w:tcW w:w="1848" w:type="dxa"/>
            <w:noWrap w:val="0"/>
            <w:vAlign w:val="center"/>
          </w:tcPr>
          <w:p w14:paraId="0BAE7DF0">
            <w:pPr>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合同履约期</w:t>
            </w:r>
          </w:p>
        </w:tc>
        <w:tc>
          <w:tcPr>
            <w:tcW w:w="8091" w:type="dxa"/>
            <w:gridSpan w:val="3"/>
            <w:noWrap w:val="0"/>
            <w:vAlign w:val="center"/>
          </w:tcPr>
          <w:p w14:paraId="105DBFE9">
            <w:pPr>
              <w:spacing w:line="240" w:lineRule="auto"/>
              <w:jc w:val="left"/>
              <w:rPr>
                <w:rFonts w:hint="eastAsia" w:ascii="宋体" w:hAnsi="宋体" w:eastAsia="宋体" w:cs="宋体"/>
                <w:b/>
                <w:bCs/>
                <w:color w:val="auto"/>
                <w:sz w:val="24"/>
                <w:szCs w:val="24"/>
                <w:highlight w:val="none"/>
                <w:u w:val="single"/>
              </w:rPr>
            </w:pPr>
          </w:p>
        </w:tc>
      </w:tr>
      <w:tr w14:paraId="06D2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rPr>
        <w:tc>
          <w:tcPr>
            <w:tcW w:w="1848" w:type="dxa"/>
            <w:noWrap w:val="0"/>
            <w:vAlign w:val="center"/>
          </w:tcPr>
          <w:p w14:paraId="3DD8D97D">
            <w:pPr>
              <w:spacing w:line="24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质保期</w:t>
            </w:r>
          </w:p>
        </w:tc>
        <w:tc>
          <w:tcPr>
            <w:tcW w:w="8091" w:type="dxa"/>
            <w:gridSpan w:val="3"/>
            <w:noWrap w:val="0"/>
            <w:vAlign w:val="center"/>
          </w:tcPr>
          <w:p w14:paraId="6A6E9BFE">
            <w:pPr>
              <w:spacing w:line="240" w:lineRule="auto"/>
              <w:jc w:val="left"/>
              <w:rPr>
                <w:rFonts w:hint="eastAsia" w:ascii="宋体" w:hAnsi="宋体" w:eastAsia="宋体" w:cs="宋体"/>
                <w:b/>
                <w:bCs/>
                <w:color w:val="auto"/>
                <w:sz w:val="24"/>
                <w:szCs w:val="24"/>
                <w:highlight w:val="none"/>
                <w:u w:val="single"/>
              </w:rPr>
            </w:pPr>
          </w:p>
        </w:tc>
      </w:tr>
      <w:tr w14:paraId="51FD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4" w:hRule="atLeast"/>
        </w:trPr>
        <w:tc>
          <w:tcPr>
            <w:tcW w:w="1848" w:type="dxa"/>
            <w:noWrap w:val="0"/>
            <w:vAlign w:val="center"/>
          </w:tcPr>
          <w:p w14:paraId="512FCF38">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8091" w:type="dxa"/>
            <w:gridSpan w:val="3"/>
            <w:noWrap w:val="0"/>
            <w:vAlign w:val="center"/>
          </w:tcPr>
          <w:p w14:paraId="5BE005AD">
            <w:pPr>
              <w:pStyle w:val="42"/>
              <w:spacing w:before="74" w:line="400" w:lineRule="exact"/>
              <w:ind w:left="42" w:leftChars="20" w:right="42" w:rightChars="20"/>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投标报价应包括：有关本项目所需货物采购、包装费、服务费、运输费、保险费、人员工资、验收、售后服务、税金等。运输途中风险由成交单位自行承担；</w:t>
            </w:r>
          </w:p>
          <w:p w14:paraId="208D25F6">
            <w:pPr>
              <w:spacing w:line="24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（本项目为一次报价，即一次报价为最终报价）</w:t>
            </w:r>
          </w:p>
        </w:tc>
      </w:tr>
    </w:tbl>
    <w:p w14:paraId="7EBB43EA">
      <w:pPr>
        <w:spacing w:line="360" w:lineRule="auto"/>
        <w:rPr>
          <w:rFonts w:hint="eastAsia" w:ascii="宋体" w:hAnsi="宋体" w:eastAsia="宋体" w:cs="宋体"/>
          <w:b/>
          <w:bCs/>
          <w:color w:val="auto"/>
          <w:sz w:val="24"/>
          <w:szCs w:val="24"/>
          <w:highlight w:val="none"/>
          <w:lang w:val="en-US" w:eastAsia="zh-CN"/>
        </w:rPr>
      </w:pPr>
    </w:p>
    <w:p w14:paraId="0EE6D39F">
      <w:pPr>
        <w:spacing w:line="360" w:lineRule="auto"/>
        <w:rPr>
          <w:rFonts w:hint="default" w:ascii="宋体" w:hAnsi="宋体" w:eastAsia="宋体" w:cs="宋体"/>
          <w:b/>
          <w:bCs/>
          <w:color w:val="auto"/>
          <w:sz w:val="24"/>
          <w:szCs w:val="24"/>
          <w:highlight w:val="none"/>
          <w:lang w:val="en-US" w:eastAsia="zh-CN"/>
        </w:rPr>
      </w:pPr>
    </w:p>
    <w:p w14:paraId="4843B5DB">
      <w:pPr>
        <w:spacing w:line="360" w:lineRule="auto"/>
        <w:ind w:right="105" w:rightChars="50"/>
        <w:rPr>
          <w:rFonts w:hint="eastAsia" w:ascii="宋体" w:hAnsi="宋体" w:eastAsia="宋体" w:cs="宋体"/>
          <w:color w:val="auto"/>
          <w:sz w:val="24"/>
          <w:szCs w:val="24"/>
          <w:highlight w:val="none"/>
        </w:rPr>
      </w:pPr>
    </w:p>
    <w:p w14:paraId="7BA430F9">
      <w:pPr>
        <w:spacing w:line="360" w:lineRule="auto"/>
        <w:ind w:right="105" w:rightChars="5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0BB1229">
      <w:pPr>
        <w:spacing w:line="360" w:lineRule="auto"/>
        <w:ind w:right="105" w:rightChars="5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7795A8C5">
      <w:pPr>
        <w:spacing w:line="360" w:lineRule="auto"/>
        <w:ind w:right="105" w:rightChars="50"/>
        <w:rPr>
          <w:rFonts w:hint="eastAsia" w:ascii="仿宋" w:hAnsi="仿宋" w:eastAsia="仿宋" w:cs="宋体"/>
          <w:color w:val="auto"/>
          <w:sz w:val="24"/>
          <w:highlight w:val="none"/>
          <w:u w:val="single"/>
        </w:rPr>
      </w:pPr>
      <w:r>
        <w:rPr>
          <w:rFonts w:hint="eastAsia" w:ascii="仿宋" w:hAnsi="仿宋" w:eastAsia="仿宋" w:cs="宋体"/>
          <w:color w:val="auto"/>
          <w:sz w:val="24"/>
          <w:highlight w:val="none"/>
          <w:u w:val="single"/>
        </w:rPr>
        <w:br w:type="page"/>
      </w:r>
    </w:p>
    <w:p w14:paraId="24EB1690">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5</w:t>
      </w: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供应商</w:t>
      </w:r>
      <w:r>
        <w:rPr>
          <w:rFonts w:hint="eastAsia" w:ascii="宋体" w:hAnsi="宋体" w:eastAsia="宋体" w:cs="宋体"/>
          <w:b/>
          <w:color w:val="auto"/>
          <w:sz w:val="28"/>
          <w:szCs w:val="28"/>
          <w:highlight w:val="none"/>
          <w:lang w:val="en-US" w:eastAsia="zh-CN"/>
        </w:rPr>
        <w:t>概况一览表</w:t>
      </w:r>
    </w:p>
    <w:p w14:paraId="0B681453">
      <w:pPr>
        <w:pStyle w:val="84"/>
        <w:tabs>
          <w:tab w:val="left" w:pos="5570"/>
        </w:tabs>
        <w:spacing w:before="123" w:line="240" w:lineRule="auto"/>
        <w:ind w:left="217"/>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项目名称</w:t>
      </w:r>
      <w:r>
        <w:rPr>
          <w:rFonts w:hint="eastAsia" w:ascii="宋体" w:hAnsi="宋体" w:eastAsia="宋体" w:cs="宋体"/>
          <w:color w:val="auto"/>
          <w:sz w:val="24"/>
          <w:highlight w:val="none"/>
        </w:rPr>
        <w:t>：</w:t>
      </w:r>
    </w:p>
    <w:p w14:paraId="6585C724">
      <w:pPr>
        <w:pStyle w:val="84"/>
        <w:tabs>
          <w:tab w:val="left" w:pos="5570"/>
        </w:tabs>
        <w:spacing w:before="123" w:line="240" w:lineRule="auto"/>
        <w:ind w:left="217"/>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bl>
      <w:tblPr>
        <w:tblStyle w:val="30"/>
        <w:tblW w:w="4975"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513"/>
        <w:gridCol w:w="2249"/>
        <w:gridCol w:w="2068"/>
        <w:gridCol w:w="1625"/>
        <w:gridCol w:w="2252"/>
      </w:tblGrid>
      <w:tr w14:paraId="2CEDD7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4" w:hRule="atLeast"/>
          <w:jc w:val="center"/>
        </w:trPr>
        <w:tc>
          <w:tcPr>
            <w:tcW w:w="779" w:type="pct"/>
            <w:tcBorders>
              <w:bottom w:val="single" w:color="000000" w:sz="4" w:space="0"/>
              <w:right w:val="single" w:color="000000" w:sz="4" w:space="0"/>
            </w:tcBorders>
            <w:noWrap w:val="0"/>
            <w:vAlign w:val="center"/>
          </w:tcPr>
          <w:p w14:paraId="063EBAF3">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p>
        </w:tc>
        <w:tc>
          <w:tcPr>
            <w:tcW w:w="4220" w:type="pct"/>
            <w:gridSpan w:val="4"/>
            <w:tcBorders>
              <w:left w:val="single" w:color="000000" w:sz="4" w:space="0"/>
              <w:bottom w:val="single" w:color="000000" w:sz="4" w:space="0"/>
            </w:tcBorders>
            <w:noWrap w:val="0"/>
            <w:vAlign w:val="center"/>
          </w:tcPr>
          <w:p w14:paraId="6FD1445B">
            <w:pPr>
              <w:pStyle w:val="85"/>
              <w:keepNext w:val="0"/>
              <w:keepLines w:val="0"/>
              <w:pageBreakBefore w:val="0"/>
              <w:kinsoku/>
              <w:wordWrap/>
              <w:overflowPunct/>
              <w:topLinePunct w:val="0"/>
              <w:autoSpaceDE/>
              <w:autoSpaceDN/>
              <w:bidi w:val="0"/>
              <w:adjustRightInd/>
              <w:snapToGrid/>
              <w:spacing w:before="120"/>
              <w:textAlignment w:val="auto"/>
              <w:rPr>
                <w:rFonts w:hint="eastAsia" w:ascii="宋体" w:hAnsi="宋体" w:eastAsia="宋体" w:cs="宋体"/>
                <w:color w:val="auto"/>
                <w:sz w:val="24"/>
                <w:szCs w:val="24"/>
                <w:highlight w:val="none"/>
              </w:rPr>
            </w:pPr>
          </w:p>
        </w:tc>
      </w:tr>
      <w:tr w14:paraId="2E8D17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6" w:hRule="atLeast"/>
          <w:jc w:val="center"/>
        </w:trPr>
        <w:tc>
          <w:tcPr>
            <w:tcW w:w="779" w:type="pct"/>
            <w:tcBorders>
              <w:top w:val="single" w:color="000000" w:sz="4" w:space="0"/>
              <w:bottom w:val="single" w:color="000000" w:sz="4" w:space="0"/>
              <w:right w:val="single" w:color="000000" w:sz="4" w:space="0"/>
            </w:tcBorders>
            <w:noWrap w:val="0"/>
            <w:vAlign w:val="center"/>
          </w:tcPr>
          <w:p w14:paraId="66CCCA47">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联系地址</w:t>
            </w:r>
          </w:p>
        </w:tc>
        <w:tc>
          <w:tcPr>
            <w:tcW w:w="4220" w:type="pct"/>
            <w:gridSpan w:val="4"/>
            <w:tcBorders>
              <w:top w:val="single" w:color="000000" w:sz="4" w:space="0"/>
              <w:left w:val="single" w:color="000000" w:sz="4" w:space="0"/>
              <w:bottom w:val="single" w:color="000000" w:sz="4" w:space="0"/>
            </w:tcBorders>
            <w:noWrap w:val="0"/>
            <w:vAlign w:val="center"/>
          </w:tcPr>
          <w:p w14:paraId="11A4BC0C">
            <w:pPr>
              <w:pStyle w:val="85"/>
              <w:keepNext w:val="0"/>
              <w:keepLines w:val="0"/>
              <w:pageBreakBefore w:val="0"/>
              <w:kinsoku/>
              <w:wordWrap/>
              <w:overflowPunct/>
              <w:topLinePunct w:val="0"/>
              <w:autoSpaceDE/>
              <w:autoSpaceDN/>
              <w:bidi w:val="0"/>
              <w:adjustRightInd/>
              <w:snapToGrid/>
              <w:spacing w:before="120"/>
              <w:textAlignment w:val="auto"/>
              <w:rPr>
                <w:rFonts w:hint="eastAsia" w:ascii="宋体" w:hAnsi="宋体" w:eastAsia="宋体" w:cs="宋体"/>
                <w:color w:val="auto"/>
                <w:sz w:val="24"/>
                <w:szCs w:val="24"/>
                <w:highlight w:val="none"/>
              </w:rPr>
            </w:pPr>
          </w:p>
        </w:tc>
      </w:tr>
      <w:tr w14:paraId="1A528C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19" w:hRule="atLeast"/>
          <w:jc w:val="center"/>
        </w:trPr>
        <w:tc>
          <w:tcPr>
            <w:tcW w:w="779" w:type="pct"/>
            <w:tcBorders>
              <w:top w:val="single" w:color="000000" w:sz="4" w:space="0"/>
              <w:bottom w:val="single" w:color="000000" w:sz="4" w:space="0"/>
              <w:right w:val="single" w:color="000000" w:sz="4" w:space="0"/>
            </w:tcBorders>
            <w:noWrap w:val="0"/>
            <w:vAlign w:val="center"/>
          </w:tcPr>
          <w:p w14:paraId="6B977C89">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供应商从业人员数量</w:t>
            </w:r>
          </w:p>
        </w:tc>
        <w:tc>
          <w:tcPr>
            <w:tcW w:w="4220" w:type="pct"/>
            <w:gridSpan w:val="4"/>
            <w:tcBorders>
              <w:top w:val="single" w:color="000000" w:sz="4" w:space="0"/>
              <w:left w:val="single" w:color="000000" w:sz="4" w:space="0"/>
              <w:bottom w:val="single" w:color="auto" w:sz="4" w:space="0"/>
            </w:tcBorders>
            <w:noWrap w:val="0"/>
            <w:vAlign w:val="center"/>
          </w:tcPr>
          <w:p w14:paraId="09CB5D01">
            <w:pPr>
              <w:pStyle w:val="85"/>
              <w:keepNext w:val="0"/>
              <w:keepLines w:val="0"/>
              <w:pageBreakBefore w:val="0"/>
              <w:kinsoku/>
              <w:wordWrap/>
              <w:overflowPunct/>
              <w:topLinePunct w:val="0"/>
              <w:autoSpaceDE/>
              <w:autoSpaceDN/>
              <w:bidi w:val="0"/>
              <w:adjustRightInd/>
              <w:snapToGrid/>
              <w:spacing w:before="120"/>
              <w:textAlignment w:val="auto"/>
              <w:rPr>
                <w:rFonts w:hint="eastAsia" w:ascii="宋体" w:hAnsi="宋体" w:eastAsia="宋体" w:cs="宋体"/>
                <w:color w:val="auto"/>
                <w:sz w:val="24"/>
                <w:szCs w:val="24"/>
                <w:highlight w:val="none"/>
              </w:rPr>
            </w:pPr>
          </w:p>
        </w:tc>
      </w:tr>
      <w:tr w14:paraId="61EE334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4" w:hRule="atLeast"/>
          <w:jc w:val="center"/>
        </w:trPr>
        <w:tc>
          <w:tcPr>
            <w:tcW w:w="779" w:type="pct"/>
            <w:tcBorders>
              <w:top w:val="single" w:color="000000" w:sz="4" w:space="0"/>
              <w:bottom w:val="single" w:color="000000" w:sz="4" w:space="0"/>
              <w:right w:val="single" w:color="auto" w:sz="4" w:space="0"/>
            </w:tcBorders>
            <w:noWrap w:val="0"/>
            <w:vAlign w:val="center"/>
          </w:tcPr>
          <w:p w14:paraId="385FE917">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w:t>
            </w:r>
          </w:p>
        </w:tc>
        <w:tc>
          <w:tcPr>
            <w:tcW w:w="1158" w:type="pct"/>
            <w:tcBorders>
              <w:top w:val="single" w:color="auto" w:sz="4" w:space="0"/>
              <w:left w:val="single" w:color="auto" w:sz="4" w:space="0"/>
              <w:bottom w:val="single" w:color="auto" w:sz="4" w:space="0"/>
              <w:right w:val="nil"/>
            </w:tcBorders>
            <w:noWrap w:val="0"/>
            <w:vAlign w:val="center"/>
          </w:tcPr>
          <w:p w14:paraId="518F61D9">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姓名：</w:t>
            </w:r>
          </w:p>
        </w:tc>
        <w:tc>
          <w:tcPr>
            <w:tcW w:w="1065" w:type="pct"/>
            <w:tcBorders>
              <w:top w:val="single" w:color="auto" w:sz="4" w:space="0"/>
              <w:left w:val="nil"/>
              <w:bottom w:val="single" w:color="auto" w:sz="4" w:space="0"/>
              <w:right w:val="nil"/>
            </w:tcBorders>
            <w:noWrap w:val="0"/>
            <w:vAlign w:val="center"/>
          </w:tcPr>
          <w:p w14:paraId="5F9124A3">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职务：</w:t>
            </w:r>
          </w:p>
        </w:tc>
        <w:tc>
          <w:tcPr>
            <w:tcW w:w="837" w:type="pct"/>
            <w:tcBorders>
              <w:top w:val="single" w:color="auto" w:sz="4" w:space="0"/>
              <w:left w:val="nil"/>
              <w:bottom w:val="single" w:color="auto" w:sz="4" w:space="0"/>
              <w:right w:val="nil"/>
            </w:tcBorders>
            <w:noWrap w:val="0"/>
            <w:vAlign w:val="center"/>
          </w:tcPr>
          <w:p w14:paraId="74A8CE4C">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职称：</w:t>
            </w:r>
          </w:p>
        </w:tc>
        <w:tc>
          <w:tcPr>
            <w:tcW w:w="1159" w:type="pct"/>
            <w:tcBorders>
              <w:top w:val="single" w:color="auto" w:sz="4" w:space="0"/>
              <w:left w:val="nil"/>
              <w:bottom w:val="single" w:color="auto" w:sz="4" w:space="0"/>
              <w:right w:val="single" w:color="auto" w:sz="4" w:space="0"/>
            </w:tcBorders>
            <w:noWrap w:val="0"/>
            <w:vAlign w:val="center"/>
          </w:tcPr>
          <w:p w14:paraId="67E98AD6">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电话：</w:t>
            </w:r>
          </w:p>
        </w:tc>
      </w:tr>
      <w:tr w14:paraId="39C9B1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6" w:hRule="atLeast"/>
          <w:jc w:val="center"/>
        </w:trPr>
        <w:tc>
          <w:tcPr>
            <w:tcW w:w="779" w:type="pct"/>
            <w:tcBorders>
              <w:top w:val="single" w:color="000000" w:sz="4" w:space="0"/>
              <w:bottom w:val="single" w:color="000000" w:sz="4" w:space="0"/>
              <w:right w:val="single" w:color="auto" w:sz="4" w:space="0"/>
            </w:tcBorders>
            <w:noWrap w:val="0"/>
            <w:vAlign w:val="center"/>
          </w:tcPr>
          <w:p w14:paraId="1B8EEFD1">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项目</w:t>
            </w:r>
            <w:r>
              <w:rPr>
                <w:rFonts w:hint="eastAsia" w:ascii="宋体" w:hAnsi="宋体" w:eastAsia="宋体" w:cs="宋体"/>
                <w:color w:val="auto"/>
                <w:kern w:val="2"/>
                <w:sz w:val="24"/>
                <w:szCs w:val="24"/>
                <w:highlight w:val="none"/>
              </w:rPr>
              <w:t>负责人</w:t>
            </w:r>
          </w:p>
        </w:tc>
        <w:tc>
          <w:tcPr>
            <w:tcW w:w="1158" w:type="pct"/>
            <w:tcBorders>
              <w:top w:val="single" w:color="auto" w:sz="4" w:space="0"/>
              <w:left w:val="single" w:color="auto" w:sz="4" w:space="0"/>
              <w:bottom w:val="single" w:color="auto" w:sz="4" w:space="0"/>
              <w:right w:val="nil"/>
            </w:tcBorders>
            <w:noWrap w:val="0"/>
            <w:vAlign w:val="center"/>
          </w:tcPr>
          <w:p w14:paraId="00FADD83">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姓名：</w:t>
            </w:r>
          </w:p>
        </w:tc>
        <w:tc>
          <w:tcPr>
            <w:tcW w:w="1065" w:type="pct"/>
            <w:tcBorders>
              <w:top w:val="single" w:color="auto" w:sz="4" w:space="0"/>
              <w:left w:val="nil"/>
              <w:bottom w:val="single" w:color="auto" w:sz="4" w:space="0"/>
              <w:right w:val="nil"/>
            </w:tcBorders>
            <w:noWrap w:val="0"/>
            <w:vAlign w:val="center"/>
          </w:tcPr>
          <w:p w14:paraId="6EE7A77C">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职务：</w:t>
            </w:r>
          </w:p>
        </w:tc>
        <w:tc>
          <w:tcPr>
            <w:tcW w:w="837" w:type="pct"/>
            <w:tcBorders>
              <w:top w:val="single" w:color="auto" w:sz="4" w:space="0"/>
              <w:left w:val="nil"/>
              <w:bottom w:val="single" w:color="auto" w:sz="4" w:space="0"/>
              <w:right w:val="nil"/>
            </w:tcBorders>
            <w:noWrap w:val="0"/>
            <w:vAlign w:val="center"/>
          </w:tcPr>
          <w:p w14:paraId="109102BC">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职称：</w:t>
            </w:r>
          </w:p>
        </w:tc>
        <w:tc>
          <w:tcPr>
            <w:tcW w:w="1159" w:type="pct"/>
            <w:tcBorders>
              <w:top w:val="single" w:color="auto" w:sz="4" w:space="0"/>
              <w:left w:val="nil"/>
              <w:bottom w:val="single" w:color="auto" w:sz="4" w:space="0"/>
              <w:right w:val="single" w:color="auto" w:sz="4" w:space="0"/>
            </w:tcBorders>
            <w:noWrap w:val="0"/>
            <w:vAlign w:val="center"/>
          </w:tcPr>
          <w:p w14:paraId="16F12709">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电话：</w:t>
            </w:r>
          </w:p>
        </w:tc>
      </w:tr>
      <w:tr w14:paraId="31E8078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4" w:hRule="atLeast"/>
          <w:jc w:val="center"/>
        </w:trPr>
        <w:tc>
          <w:tcPr>
            <w:tcW w:w="779" w:type="pct"/>
            <w:vMerge w:val="restart"/>
            <w:tcBorders>
              <w:top w:val="single" w:color="000000" w:sz="4" w:space="0"/>
              <w:right w:val="single" w:color="auto" w:sz="4" w:space="0"/>
            </w:tcBorders>
            <w:noWrap w:val="0"/>
            <w:vAlign w:val="center"/>
          </w:tcPr>
          <w:p w14:paraId="11275814">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联系方式</w:t>
            </w:r>
          </w:p>
        </w:tc>
        <w:tc>
          <w:tcPr>
            <w:tcW w:w="2223" w:type="pct"/>
            <w:gridSpan w:val="2"/>
            <w:tcBorders>
              <w:top w:val="single" w:color="auto" w:sz="4" w:space="0"/>
              <w:left w:val="single" w:color="auto" w:sz="4" w:space="0"/>
              <w:bottom w:val="nil"/>
              <w:right w:val="nil"/>
            </w:tcBorders>
            <w:noWrap w:val="0"/>
            <w:vAlign w:val="center"/>
          </w:tcPr>
          <w:p w14:paraId="228ED5F4">
            <w:pPr>
              <w:pStyle w:val="42"/>
              <w:keepNext w:val="0"/>
              <w:keepLines w:val="0"/>
              <w:pageBreakBefore w:val="0"/>
              <w:tabs>
                <w:tab w:val="left" w:pos="3735"/>
              </w:tabs>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联系人：</w:t>
            </w:r>
            <w:r>
              <w:rPr>
                <w:rFonts w:hint="eastAsia" w:ascii="宋体" w:hAnsi="宋体" w:eastAsia="宋体" w:cs="宋体"/>
                <w:color w:val="auto"/>
                <w:kern w:val="2"/>
                <w:sz w:val="24"/>
                <w:szCs w:val="24"/>
                <w:highlight w:val="none"/>
                <w:lang w:val="en-US" w:eastAsia="zh-CN"/>
              </w:rPr>
              <w:t xml:space="preserve">             </w:t>
            </w:r>
          </w:p>
        </w:tc>
        <w:tc>
          <w:tcPr>
            <w:tcW w:w="1996" w:type="pct"/>
            <w:gridSpan w:val="2"/>
            <w:tcBorders>
              <w:top w:val="single" w:color="auto" w:sz="4" w:space="0"/>
              <w:left w:val="nil"/>
              <w:bottom w:val="nil"/>
              <w:right w:val="single" w:color="auto" w:sz="4" w:space="0"/>
            </w:tcBorders>
            <w:noWrap w:val="0"/>
            <w:vAlign w:val="center"/>
          </w:tcPr>
          <w:p w14:paraId="2C8D2A1B">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电话：</w:t>
            </w:r>
          </w:p>
        </w:tc>
      </w:tr>
      <w:tr w14:paraId="404543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0" w:hRule="atLeast"/>
          <w:jc w:val="center"/>
        </w:trPr>
        <w:tc>
          <w:tcPr>
            <w:tcW w:w="779" w:type="pct"/>
            <w:vMerge w:val="continue"/>
            <w:tcBorders>
              <w:bottom w:val="single" w:color="000000" w:sz="4" w:space="0"/>
              <w:right w:val="single" w:color="auto" w:sz="4" w:space="0"/>
            </w:tcBorders>
            <w:noWrap w:val="0"/>
            <w:vAlign w:val="center"/>
          </w:tcPr>
          <w:p w14:paraId="6D5F3166">
            <w:pPr>
              <w:pStyle w:val="42"/>
              <w:keepNext w:val="0"/>
              <w:keepLines w:val="0"/>
              <w:pageBreakBefore w:val="0"/>
              <w:tabs>
                <w:tab w:val="left" w:pos="3673"/>
              </w:tabs>
              <w:kinsoku/>
              <w:wordWrap/>
              <w:overflowPunct/>
              <w:topLinePunct w:val="0"/>
              <w:autoSpaceDE/>
              <w:autoSpaceDN/>
              <w:bidi w:val="0"/>
              <w:adjustRightInd/>
              <w:snapToGrid/>
              <w:spacing w:before="120"/>
              <w:ind w:left="102"/>
              <w:textAlignment w:val="auto"/>
              <w:rPr>
                <w:color w:val="auto"/>
                <w:highlight w:val="none"/>
              </w:rPr>
            </w:pPr>
          </w:p>
        </w:tc>
        <w:tc>
          <w:tcPr>
            <w:tcW w:w="2223" w:type="pct"/>
            <w:gridSpan w:val="2"/>
            <w:tcBorders>
              <w:top w:val="nil"/>
              <w:left w:val="single" w:color="auto" w:sz="4" w:space="0"/>
              <w:bottom w:val="single" w:color="auto" w:sz="4" w:space="0"/>
              <w:right w:val="nil"/>
            </w:tcBorders>
            <w:noWrap w:val="0"/>
            <w:vAlign w:val="center"/>
          </w:tcPr>
          <w:p w14:paraId="1B56DB4D">
            <w:pPr>
              <w:pStyle w:val="42"/>
              <w:keepNext w:val="0"/>
              <w:keepLines w:val="0"/>
              <w:pageBreakBefore w:val="0"/>
              <w:tabs>
                <w:tab w:val="left" w:pos="3673"/>
              </w:tabs>
              <w:kinsoku/>
              <w:wordWrap/>
              <w:overflowPunct/>
              <w:topLinePunct w:val="0"/>
              <w:autoSpaceDE/>
              <w:autoSpaceDN/>
              <w:bidi w:val="0"/>
              <w:adjustRightInd/>
              <w:snapToGrid/>
              <w:spacing w:before="120"/>
              <w:ind w:left="102"/>
              <w:textAlignment w:val="auto"/>
              <w:rPr>
                <w:color w:val="auto"/>
                <w:highlight w:val="none"/>
              </w:rPr>
            </w:pPr>
            <w:r>
              <w:rPr>
                <w:rFonts w:hint="eastAsia" w:ascii="宋体" w:hAnsi="宋体" w:eastAsia="宋体" w:cs="宋体"/>
                <w:color w:val="auto"/>
                <w:kern w:val="2"/>
                <w:sz w:val="24"/>
                <w:szCs w:val="24"/>
                <w:highlight w:val="none"/>
                <w:lang w:eastAsia="zh-CN"/>
              </w:rPr>
              <w:t xml:space="preserve">传  真： </w:t>
            </w:r>
          </w:p>
        </w:tc>
        <w:tc>
          <w:tcPr>
            <w:tcW w:w="1996" w:type="pct"/>
            <w:gridSpan w:val="2"/>
            <w:tcBorders>
              <w:top w:val="nil"/>
              <w:left w:val="nil"/>
              <w:bottom w:val="single" w:color="auto" w:sz="4" w:space="0"/>
              <w:right w:val="single" w:color="auto" w:sz="4" w:space="0"/>
            </w:tcBorders>
            <w:noWrap w:val="0"/>
            <w:vAlign w:val="center"/>
          </w:tcPr>
          <w:p w14:paraId="668EA0CA">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邮箱：</w:t>
            </w:r>
          </w:p>
        </w:tc>
      </w:tr>
      <w:tr w14:paraId="7673A8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4" w:hRule="atLeast"/>
          <w:jc w:val="center"/>
        </w:trPr>
        <w:tc>
          <w:tcPr>
            <w:tcW w:w="779" w:type="pct"/>
            <w:tcBorders>
              <w:top w:val="single" w:color="000000" w:sz="4" w:space="0"/>
              <w:bottom w:val="single" w:color="auto" w:sz="4" w:space="0"/>
              <w:right w:val="single" w:color="000000" w:sz="4" w:space="0"/>
            </w:tcBorders>
            <w:noWrap w:val="0"/>
            <w:vAlign w:val="center"/>
          </w:tcPr>
          <w:p w14:paraId="31BFCC3F">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基本账户</w:t>
            </w:r>
          </w:p>
        </w:tc>
        <w:tc>
          <w:tcPr>
            <w:tcW w:w="2223" w:type="pct"/>
            <w:gridSpan w:val="2"/>
            <w:tcBorders>
              <w:top w:val="single" w:color="auto" w:sz="4" w:space="0"/>
              <w:left w:val="single" w:color="000000" w:sz="4" w:space="0"/>
              <w:bottom w:val="single" w:color="auto" w:sz="4" w:space="0"/>
              <w:right w:val="nil"/>
            </w:tcBorders>
            <w:noWrap w:val="0"/>
            <w:vAlign w:val="center"/>
          </w:tcPr>
          <w:p w14:paraId="115315DF">
            <w:pPr>
              <w:pStyle w:val="42"/>
              <w:keepNext w:val="0"/>
              <w:keepLines w:val="0"/>
              <w:pageBreakBefore w:val="0"/>
              <w:kinsoku/>
              <w:wordWrap/>
              <w:overflowPunct/>
              <w:topLinePunct w:val="0"/>
              <w:autoSpaceDE/>
              <w:autoSpaceDN/>
              <w:bidi w:val="0"/>
              <w:adjustRightInd/>
              <w:snapToGrid/>
              <w:spacing w:before="120"/>
              <w:ind w:left="3461" w:leftChars="48" w:hanging="3360" w:hangingChars="14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名  称：          </w:t>
            </w:r>
          </w:p>
        </w:tc>
        <w:tc>
          <w:tcPr>
            <w:tcW w:w="1996" w:type="pct"/>
            <w:gridSpan w:val="2"/>
            <w:tcBorders>
              <w:top w:val="single" w:color="auto" w:sz="4" w:space="0"/>
              <w:left w:val="nil"/>
              <w:bottom w:val="single" w:color="auto" w:sz="4" w:space="0"/>
            </w:tcBorders>
            <w:noWrap w:val="0"/>
            <w:vAlign w:val="center"/>
          </w:tcPr>
          <w:p w14:paraId="5637DE09">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账号：</w:t>
            </w:r>
          </w:p>
        </w:tc>
      </w:tr>
      <w:tr w14:paraId="22145AF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21" w:hRule="atLeast"/>
          <w:jc w:val="center"/>
        </w:trPr>
        <w:tc>
          <w:tcPr>
            <w:tcW w:w="779" w:type="pct"/>
            <w:vMerge w:val="restart"/>
            <w:tcBorders>
              <w:top w:val="single" w:color="auto" w:sz="4" w:space="0"/>
              <w:right w:val="single" w:color="000000" w:sz="4" w:space="0"/>
            </w:tcBorders>
            <w:noWrap w:val="0"/>
            <w:vAlign w:val="center"/>
          </w:tcPr>
          <w:p w14:paraId="5CF9C151">
            <w:pPr>
              <w:pStyle w:val="42"/>
              <w:keepNext w:val="0"/>
              <w:keepLines w:val="0"/>
              <w:pageBreakBefore w:val="0"/>
              <w:widowControl w:val="0"/>
              <w:kinsoku/>
              <w:wordWrap/>
              <w:overflowPunct/>
              <w:topLinePunct w:val="0"/>
              <w:autoSpaceDE/>
              <w:autoSpaceDN/>
              <w:bidi w:val="0"/>
              <w:adjustRightInd/>
              <w:snapToGrid/>
              <w:spacing w:before="120"/>
              <w:ind w:lef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供应商关联情况</w:t>
            </w:r>
          </w:p>
        </w:tc>
        <w:tc>
          <w:tcPr>
            <w:tcW w:w="4220" w:type="pct"/>
            <w:gridSpan w:val="4"/>
            <w:tcBorders>
              <w:top w:val="single" w:color="auto" w:sz="4" w:space="0"/>
              <w:left w:val="single" w:color="000000" w:sz="4" w:space="0"/>
              <w:bottom w:val="nil"/>
            </w:tcBorders>
            <w:noWrap w:val="0"/>
            <w:vAlign w:val="center"/>
          </w:tcPr>
          <w:p w14:paraId="12D97954">
            <w:pPr>
              <w:pStyle w:val="42"/>
              <w:keepNext w:val="0"/>
              <w:keepLines w:val="0"/>
              <w:pageBreakBefore w:val="0"/>
              <w:kinsoku/>
              <w:wordWrap/>
              <w:overflowPunct/>
              <w:topLinePunct w:val="0"/>
              <w:autoSpaceDE/>
              <w:autoSpaceDN/>
              <w:bidi w:val="0"/>
              <w:adjustRightInd/>
              <w:snapToGrid/>
              <w:spacing w:before="120" w:line="242" w:lineRule="exact"/>
              <w:ind w:left="101"/>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 xml:space="preserve">1：与我公司单位负责人为同一人的其他单位名称： </w:t>
            </w:r>
          </w:p>
        </w:tc>
      </w:tr>
      <w:tr w14:paraId="5E9A2A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8" w:hRule="atLeast"/>
          <w:jc w:val="center"/>
        </w:trPr>
        <w:tc>
          <w:tcPr>
            <w:tcW w:w="779" w:type="pct"/>
            <w:vMerge w:val="continue"/>
            <w:tcBorders>
              <w:right w:val="single" w:color="000000" w:sz="4" w:space="0"/>
            </w:tcBorders>
            <w:noWrap w:val="0"/>
            <w:vAlign w:val="center"/>
          </w:tcPr>
          <w:p w14:paraId="2269E935">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rPr>
            </w:pPr>
          </w:p>
        </w:tc>
        <w:tc>
          <w:tcPr>
            <w:tcW w:w="4220" w:type="pct"/>
            <w:gridSpan w:val="4"/>
            <w:tcBorders>
              <w:top w:val="nil"/>
              <w:left w:val="single" w:color="000000" w:sz="4" w:space="0"/>
              <w:bottom w:val="nil"/>
            </w:tcBorders>
            <w:noWrap w:val="0"/>
            <w:vAlign w:val="center"/>
          </w:tcPr>
          <w:p w14:paraId="38728475">
            <w:pPr>
              <w:pStyle w:val="42"/>
              <w:keepNext w:val="0"/>
              <w:keepLines w:val="0"/>
              <w:pageBreakBefore w:val="0"/>
              <w:kinsoku/>
              <w:wordWrap/>
              <w:overflowPunct/>
              <w:topLinePunct w:val="0"/>
              <w:autoSpaceDE/>
              <w:autoSpaceDN/>
              <w:bidi w:val="0"/>
              <w:adjustRightInd/>
              <w:snapToGrid/>
              <w:spacing w:before="120" w:line="262" w:lineRule="exact"/>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□无； </w:t>
            </w:r>
          </w:p>
        </w:tc>
      </w:tr>
      <w:tr w14:paraId="1197C8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8" w:hRule="atLeast"/>
          <w:jc w:val="center"/>
        </w:trPr>
        <w:tc>
          <w:tcPr>
            <w:tcW w:w="779" w:type="pct"/>
            <w:vMerge w:val="continue"/>
            <w:tcBorders>
              <w:right w:val="single" w:color="000000" w:sz="4" w:space="0"/>
            </w:tcBorders>
            <w:noWrap w:val="0"/>
            <w:vAlign w:val="center"/>
          </w:tcPr>
          <w:p w14:paraId="137318FC">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lang w:eastAsia="en-US"/>
              </w:rPr>
            </w:pPr>
          </w:p>
        </w:tc>
        <w:tc>
          <w:tcPr>
            <w:tcW w:w="4220" w:type="pct"/>
            <w:gridSpan w:val="4"/>
            <w:tcBorders>
              <w:top w:val="nil"/>
              <w:left w:val="single" w:color="000000" w:sz="4" w:space="0"/>
              <w:bottom w:val="nil"/>
            </w:tcBorders>
            <w:noWrap w:val="0"/>
            <w:vAlign w:val="center"/>
          </w:tcPr>
          <w:p w14:paraId="133BC268">
            <w:pPr>
              <w:pStyle w:val="42"/>
              <w:keepNext w:val="0"/>
              <w:keepLines w:val="0"/>
              <w:pageBreakBefore w:val="0"/>
              <w:kinsoku/>
              <w:wordWrap/>
              <w:overflowPunct/>
              <w:topLinePunct w:val="0"/>
              <w:autoSpaceDE/>
              <w:autoSpaceDN/>
              <w:bidi w:val="0"/>
              <w:adjustRightInd/>
              <w:snapToGrid/>
              <w:spacing w:before="120" w:line="262" w:lineRule="exact"/>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有：</w:t>
            </w:r>
            <w:r>
              <w:rPr>
                <w:rFonts w:hint="eastAsia" w:ascii="宋体" w:hAnsi="宋体" w:eastAsia="宋体" w:cs="宋体"/>
                <w:color w:val="auto"/>
                <w:kern w:val="2"/>
                <w:sz w:val="24"/>
                <w:szCs w:val="24"/>
                <w:highlight w:val="none"/>
              </w:rPr>
              <w:t xml:space="preserve">                                  </w:t>
            </w:r>
            <w:r>
              <w:rPr>
                <w:rFonts w:hint="eastAsia" w:ascii="宋体" w:hAnsi="宋体" w:eastAsia="宋体" w:cs="宋体"/>
                <w:color w:val="auto"/>
                <w:spacing w:val="68"/>
                <w:kern w:val="2"/>
                <w:sz w:val="24"/>
                <w:szCs w:val="24"/>
                <w:highlight w:val="none"/>
              </w:rPr>
              <w:t xml:space="preserve"> </w:t>
            </w:r>
            <w:r>
              <w:rPr>
                <w:rFonts w:hint="eastAsia" w:ascii="宋体" w:hAnsi="宋体" w:eastAsia="宋体" w:cs="宋体"/>
                <w:color w:val="auto"/>
                <w:kern w:val="2"/>
                <w:sz w:val="24"/>
                <w:szCs w:val="24"/>
                <w:highlight w:val="none"/>
              </w:rPr>
              <w:t xml:space="preserve">。 </w:t>
            </w:r>
          </w:p>
        </w:tc>
      </w:tr>
      <w:tr w14:paraId="617195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8" w:hRule="atLeast"/>
          <w:jc w:val="center"/>
        </w:trPr>
        <w:tc>
          <w:tcPr>
            <w:tcW w:w="779" w:type="pct"/>
            <w:vMerge w:val="continue"/>
            <w:tcBorders>
              <w:right w:val="single" w:color="000000" w:sz="4" w:space="0"/>
            </w:tcBorders>
            <w:noWrap w:val="0"/>
            <w:vAlign w:val="center"/>
          </w:tcPr>
          <w:p w14:paraId="17C19DC1">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lang w:eastAsia="en-US"/>
              </w:rPr>
            </w:pPr>
          </w:p>
        </w:tc>
        <w:tc>
          <w:tcPr>
            <w:tcW w:w="4220" w:type="pct"/>
            <w:gridSpan w:val="4"/>
            <w:tcBorders>
              <w:top w:val="nil"/>
              <w:left w:val="single" w:color="000000" w:sz="4" w:space="0"/>
              <w:bottom w:val="nil"/>
            </w:tcBorders>
            <w:noWrap w:val="0"/>
            <w:vAlign w:val="center"/>
          </w:tcPr>
          <w:p w14:paraId="546FB136">
            <w:pPr>
              <w:pStyle w:val="42"/>
              <w:keepNext w:val="0"/>
              <w:keepLines w:val="0"/>
              <w:pageBreakBefore w:val="0"/>
              <w:kinsoku/>
              <w:wordWrap/>
              <w:overflowPunct/>
              <w:topLinePunct w:val="0"/>
              <w:autoSpaceDE/>
              <w:autoSpaceDN/>
              <w:bidi w:val="0"/>
              <w:adjustRightInd/>
              <w:snapToGrid/>
              <w:spacing w:before="120" w:line="262" w:lineRule="exact"/>
              <w:ind w:left="101"/>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 xml:space="preserve">2、与我公司存在控股、管理关系的其他单位的名称： </w:t>
            </w:r>
          </w:p>
        </w:tc>
      </w:tr>
      <w:tr w14:paraId="61D5B23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8" w:hRule="atLeast"/>
          <w:jc w:val="center"/>
        </w:trPr>
        <w:tc>
          <w:tcPr>
            <w:tcW w:w="779" w:type="pct"/>
            <w:vMerge w:val="continue"/>
            <w:tcBorders>
              <w:right w:val="single" w:color="000000" w:sz="4" w:space="0"/>
            </w:tcBorders>
            <w:noWrap w:val="0"/>
            <w:vAlign w:val="center"/>
          </w:tcPr>
          <w:p w14:paraId="5ED9EA52">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rPr>
            </w:pPr>
          </w:p>
        </w:tc>
        <w:tc>
          <w:tcPr>
            <w:tcW w:w="4220" w:type="pct"/>
            <w:gridSpan w:val="4"/>
            <w:tcBorders>
              <w:top w:val="nil"/>
              <w:left w:val="single" w:color="000000" w:sz="4" w:space="0"/>
              <w:bottom w:val="nil"/>
            </w:tcBorders>
            <w:noWrap w:val="0"/>
            <w:vAlign w:val="center"/>
          </w:tcPr>
          <w:p w14:paraId="6CE8C644">
            <w:pPr>
              <w:pStyle w:val="42"/>
              <w:keepNext w:val="0"/>
              <w:keepLines w:val="0"/>
              <w:pageBreakBefore w:val="0"/>
              <w:kinsoku/>
              <w:wordWrap/>
              <w:overflowPunct/>
              <w:topLinePunct w:val="0"/>
              <w:autoSpaceDE/>
              <w:autoSpaceDN/>
              <w:bidi w:val="0"/>
              <w:adjustRightInd/>
              <w:snapToGrid/>
              <w:spacing w:before="120" w:line="262" w:lineRule="exact"/>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□无； </w:t>
            </w:r>
          </w:p>
        </w:tc>
      </w:tr>
      <w:tr w14:paraId="6065CB0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8" w:hRule="atLeast"/>
          <w:jc w:val="center"/>
        </w:trPr>
        <w:tc>
          <w:tcPr>
            <w:tcW w:w="779" w:type="pct"/>
            <w:vMerge w:val="continue"/>
            <w:tcBorders>
              <w:right w:val="single" w:color="000000" w:sz="4" w:space="0"/>
            </w:tcBorders>
            <w:noWrap w:val="0"/>
            <w:vAlign w:val="center"/>
          </w:tcPr>
          <w:p w14:paraId="52C72193">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lang w:eastAsia="en-US"/>
              </w:rPr>
            </w:pPr>
          </w:p>
        </w:tc>
        <w:tc>
          <w:tcPr>
            <w:tcW w:w="4220" w:type="pct"/>
            <w:gridSpan w:val="4"/>
            <w:tcBorders>
              <w:top w:val="nil"/>
              <w:left w:val="single" w:color="000000" w:sz="4" w:space="0"/>
              <w:bottom w:val="nil"/>
            </w:tcBorders>
            <w:noWrap w:val="0"/>
            <w:vAlign w:val="center"/>
          </w:tcPr>
          <w:p w14:paraId="242C44DE">
            <w:pPr>
              <w:pStyle w:val="42"/>
              <w:keepNext w:val="0"/>
              <w:keepLines w:val="0"/>
              <w:pageBreakBefore w:val="0"/>
              <w:kinsoku/>
              <w:wordWrap/>
              <w:overflowPunct/>
              <w:topLinePunct w:val="0"/>
              <w:autoSpaceDE/>
              <w:autoSpaceDN/>
              <w:bidi w:val="0"/>
              <w:adjustRightInd/>
              <w:snapToGrid/>
              <w:spacing w:before="120" w:line="262" w:lineRule="exact"/>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有：</w:t>
            </w:r>
            <w:r>
              <w:rPr>
                <w:rFonts w:hint="eastAsia" w:ascii="宋体" w:hAnsi="宋体" w:eastAsia="宋体" w:cs="宋体"/>
                <w:color w:val="auto"/>
                <w:kern w:val="2"/>
                <w:sz w:val="24"/>
                <w:szCs w:val="24"/>
                <w:highlight w:val="none"/>
              </w:rPr>
              <w:t xml:space="preserve">                                   </w:t>
            </w:r>
            <w:r>
              <w:rPr>
                <w:rFonts w:hint="eastAsia" w:ascii="宋体" w:hAnsi="宋体" w:eastAsia="宋体" w:cs="宋体"/>
                <w:color w:val="auto"/>
                <w:spacing w:val="68"/>
                <w:kern w:val="2"/>
                <w:sz w:val="24"/>
                <w:szCs w:val="24"/>
                <w:highlight w:val="none"/>
              </w:rPr>
              <w:t xml:space="preserve"> </w:t>
            </w:r>
            <w:r>
              <w:rPr>
                <w:rFonts w:hint="eastAsia" w:ascii="宋体" w:hAnsi="宋体" w:eastAsia="宋体" w:cs="宋体"/>
                <w:color w:val="auto"/>
                <w:kern w:val="2"/>
                <w:sz w:val="24"/>
                <w:szCs w:val="24"/>
                <w:highlight w:val="none"/>
              </w:rPr>
              <w:t xml:space="preserve">。 </w:t>
            </w:r>
          </w:p>
        </w:tc>
      </w:tr>
      <w:tr w14:paraId="2E1D50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61" w:hRule="atLeast"/>
          <w:jc w:val="center"/>
        </w:trPr>
        <w:tc>
          <w:tcPr>
            <w:tcW w:w="779" w:type="pct"/>
            <w:vMerge w:val="continue"/>
            <w:tcBorders>
              <w:right w:val="single" w:color="000000" w:sz="4" w:space="0"/>
            </w:tcBorders>
            <w:noWrap w:val="0"/>
            <w:vAlign w:val="center"/>
          </w:tcPr>
          <w:p w14:paraId="0C8A8324">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lang w:eastAsia="en-US"/>
              </w:rPr>
            </w:pPr>
          </w:p>
        </w:tc>
        <w:tc>
          <w:tcPr>
            <w:tcW w:w="4220" w:type="pct"/>
            <w:gridSpan w:val="4"/>
            <w:tcBorders>
              <w:top w:val="nil"/>
              <w:left w:val="single" w:color="000000" w:sz="4" w:space="0"/>
              <w:bottom w:val="nil"/>
            </w:tcBorders>
            <w:noWrap w:val="0"/>
            <w:vAlign w:val="center"/>
          </w:tcPr>
          <w:p w14:paraId="060936BC">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r>
      <w:tr w14:paraId="2A0406C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00" w:hRule="atLeast"/>
          <w:jc w:val="center"/>
        </w:trPr>
        <w:tc>
          <w:tcPr>
            <w:tcW w:w="779" w:type="pct"/>
            <w:vMerge w:val="continue"/>
            <w:tcBorders>
              <w:right w:val="single" w:color="000000" w:sz="4" w:space="0"/>
            </w:tcBorders>
            <w:noWrap w:val="0"/>
            <w:vAlign w:val="center"/>
          </w:tcPr>
          <w:p w14:paraId="21B91706">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lang w:eastAsia="en-US"/>
              </w:rPr>
            </w:pPr>
          </w:p>
        </w:tc>
        <w:tc>
          <w:tcPr>
            <w:tcW w:w="4220" w:type="pct"/>
            <w:gridSpan w:val="4"/>
            <w:tcBorders>
              <w:top w:val="nil"/>
              <w:left w:val="single" w:color="000000" w:sz="4" w:space="0"/>
              <w:bottom w:val="nil"/>
            </w:tcBorders>
            <w:noWrap w:val="0"/>
            <w:vAlign w:val="center"/>
          </w:tcPr>
          <w:p w14:paraId="1FB947B1">
            <w:pPr>
              <w:pStyle w:val="42"/>
              <w:keepNext w:val="0"/>
              <w:keepLines w:val="0"/>
              <w:pageBreakBefore w:val="0"/>
              <w:kinsoku/>
              <w:wordWrap/>
              <w:overflowPunct/>
              <w:topLinePunct w:val="0"/>
              <w:autoSpaceDE/>
              <w:autoSpaceDN/>
              <w:bidi w:val="0"/>
              <w:adjustRightInd/>
              <w:snapToGrid/>
              <w:spacing w:before="120"/>
              <w:ind w:left="101"/>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1、“单位负责人”是指单位法定代表人或者法律、行政法规规定代表单位行使职权的主要负责人。</w:t>
            </w:r>
          </w:p>
        </w:tc>
      </w:tr>
      <w:tr w14:paraId="7584C4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824" w:hRule="atLeast"/>
          <w:jc w:val="center"/>
        </w:trPr>
        <w:tc>
          <w:tcPr>
            <w:tcW w:w="779" w:type="pct"/>
            <w:vMerge w:val="continue"/>
            <w:tcBorders>
              <w:bottom w:val="single" w:color="auto" w:sz="4" w:space="0"/>
              <w:right w:val="single" w:color="000000" w:sz="4" w:space="0"/>
            </w:tcBorders>
            <w:noWrap w:val="0"/>
            <w:vAlign w:val="center"/>
          </w:tcPr>
          <w:p w14:paraId="44481692">
            <w:pPr>
              <w:keepNext w:val="0"/>
              <w:keepLines w:val="0"/>
              <w:pageBreakBefore w:val="0"/>
              <w:widowControl/>
              <w:kinsoku/>
              <w:wordWrap/>
              <w:overflowPunct/>
              <w:topLinePunct w:val="0"/>
              <w:autoSpaceDE/>
              <w:autoSpaceDN/>
              <w:bidi w:val="0"/>
              <w:adjustRightInd/>
              <w:snapToGrid/>
              <w:spacing w:before="120"/>
              <w:jc w:val="left"/>
              <w:textAlignment w:val="auto"/>
              <w:rPr>
                <w:rFonts w:hint="eastAsia" w:ascii="宋体" w:hAnsi="宋体" w:eastAsia="宋体" w:cs="宋体"/>
                <w:color w:val="auto"/>
                <w:sz w:val="24"/>
                <w:szCs w:val="24"/>
                <w:highlight w:val="none"/>
              </w:rPr>
            </w:pPr>
          </w:p>
        </w:tc>
        <w:tc>
          <w:tcPr>
            <w:tcW w:w="4220" w:type="pct"/>
            <w:gridSpan w:val="4"/>
            <w:tcBorders>
              <w:top w:val="nil"/>
              <w:left w:val="single" w:color="000000" w:sz="4" w:space="0"/>
              <w:bottom w:val="single" w:color="auto" w:sz="4" w:space="0"/>
            </w:tcBorders>
            <w:noWrap w:val="0"/>
            <w:vAlign w:val="center"/>
          </w:tcPr>
          <w:p w14:paraId="5BB12F9A">
            <w:pPr>
              <w:pStyle w:val="42"/>
              <w:keepNext w:val="0"/>
              <w:keepLines w:val="0"/>
              <w:pageBreakBefore w:val="0"/>
              <w:kinsoku/>
              <w:wordWrap/>
              <w:overflowPunct/>
              <w:topLinePunct w:val="0"/>
              <w:autoSpaceDE/>
              <w:autoSpaceDN/>
              <w:bidi w:val="0"/>
              <w:adjustRightInd/>
              <w:snapToGrid/>
              <w:spacing w:before="120"/>
              <w:ind w:left="102"/>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2、本条所规定的控股、管理关系仅限于直接控股、直接管理关系，不包括间接的控股或管理关系。</w:t>
            </w:r>
          </w:p>
        </w:tc>
      </w:tr>
    </w:tbl>
    <w:p w14:paraId="454BC09B">
      <w:pPr>
        <w:spacing w:line="360" w:lineRule="auto"/>
        <w:ind w:firstLine="28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我们保证上述声明中的资料和数据是真实的、正确的，我们同意如贵方要求，可以出示相关证明文件。（</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rPr>
        <w:t>附相关证明材料</w:t>
      </w:r>
      <w:r>
        <w:rPr>
          <w:rFonts w:hint="eastAsia" w:ascii="宋体" w:hAnsi="宋体" w:cs="宋体"/>
          <w:color w:val="auto"/>
          <w:sz w:val="24"/>
          <w:szCs w:val="24"/>
          <w:highlight w:val="none"/>
          <w:lang w:eastAsia="zh-CN"/>
        </w:rPr>
        <w:t>：营业执照、开户许可证）。</w:t>
      </w:r>
    </w:p>
    <w:p w14:paraId="2F2D776D">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F1D4C94">
      <w:pPr>
        <w:spacing w:line="360" w:lineRule="auto"/>
        <w:ind w:right="105" w:rightChars="50"/>
        <w:rPr>
          <w:rFonts w:hint="eastAsia"/>
          <w:color w:val="auto"/>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190ACEDD">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6A249014">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6</w:t>
      </w: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供应商</w:t>
      </w:r>
      <w:r>
        <w:rPr>
          <w:rFonts w:hint="eastAsia" w:ascii="宋体" w:hAnsi="宋体" w:eastAsia="宋体" w:cs="宋体"/>
          <w:b/>
          <w:color w:val="auto"/>
          <w:sz w:val="28"/>
          <w:szCs w:val="28"/>
          <w:highlight w:val="none"/>
          <w:lang w:val="en-US" w:eastAsia="zh-CN"/>
        </w:rPr>
        <w:t>递交投标保证金汇款凭证</w:t>
      </w:r>
    </w:p>
    <w:p w14:paraId="7EADDCA7">
      <w:pPr>
        <w:spacing w:line="360" w:lineRule="auto"/>
        <w:jc w:val="center"/>
        <w:rPr>
          <w:rFonts w:hint="eastAsia" w:ascii="宋体" w:hAnsi="宋体" w:eastAsia="宋体" w:cs="宋体"/>
          <w:b/>
          <w:color w:val="auto"/>
          <w:sz w:val="28"/>
          <w:szCs w:val="28"/>
          <w:highlight w:val="none"/>
          <w:lang w:val="en-US" w:eastAsia="zh-CN"/>
        </w:rPr>
      </w:pPr>
    </w:p>
    <w:p w14:paraId="7977A94C">
      <w:pPr>
        <w:spacing w:after="100" w:line="265" w:lineRule="auto"/>
        <w:ind w:right="103"/>
        <w:jc w:val="center"/>
        <w:rPr>
          <w:rFonts w:hint="eastAsia" w:ascii="黑体" w:hAnsi="黑体" w:eastAsia="黑体" w:cs="Tahoma"/>
          <w:b/>
          <w:bCs/>
          <w:color w:val="auto"/>
          <w:sz w:val="36"/>
          <w:szCs w:val="36"/>
          <w:highlight w:val="none"/>
          <w:u w:val="single"/>
        </w:rPr>
      </w:pPr>
    </w:p>
    <w:p w14:paraId="0703351B">
      <w:pPr>
        <w:spacing w:after="100" w:line="265" w:lineRule="auto"/>
        <w:ind w:right="103"/>
        <w:jc w:val="center"/>
        <w:rPr>
          <w:rFonts w:hint="eastAsia" w:ascii="黑体" w:hAnsi="黑体" w:eastAsia="黑体" w:cs="Tahoma"/>
          <w:b/>
          <w:bCs/>
          <w:color w:val="auto"/>
          <w:sz w:val="36"/>
          <w:szCs w:val="36"/>
          <w:highlight w:val="none"/>
          <w:u w:val="single"/>
        </w:rPr>
      </w:pPr>
    </w:p>
    <w:p w14:paraId="244B2603">
      <w:pPr>
        <w:spacing w:after="100" w:line="265" w:lineRule="auto"/>
        <w:ind w:right="103"/>
        <w:jc w:val="center"/>
        <w:rPr>
          <w:rFonts w:hint="eastAsia" w:ascii="黑体" w:hAnsi="黑体" w:eastAsia="黑体" w:cs="Tahoma"/>
          <w:b/>
          <w:bCs/>
          <w:color w:val="auto"/>
          <w:sz w:val="36"/>
          <w:szCs w:val="36"/>
          <w:highlight w:val="none"/>
          <w:u w:val="single"/>
        </w:rPr>
      </w:pPr>
    </w:p>
    <w:p w14:paraId="708676C8">
      <w:pPr>
        <w:pStyle w:val="41"/>
        <w:rPr>
          <w:rFonts w:hint="eastAsia" w:ascii="黑体" w:hAnsi="黑体" w:eastAsia="黑体" w:cs="Tahoma"/>
          <w:b/>
          <w:bCs/>
          <w:color w:val="auto"/>
          <w:sz w:val="36"/>
          <w:szCs w:val="36"/>
          <w:highlight w:val="none"/>
          <w:u w:val="single"/>
        </w:rPr>
      </w:pPr>
    </w:p>
    <w:p w14:paraId="30C119DF">
      <w:pPr>
        <w:rPr>
          <w:rFonts w:hint="eastAsia" w:ascii="黑体" w:hAnsi="黑体" w:eastAsia="黑体" w:cs="Tahoma"/>
          <w:b/>
          <w:bCs/>
          <w:color w:val="auto"/>
          <w:sz w:val="36"/>
          <w:szCs w:val="36"/>
          <w:highlight w:val="none"/>
          <w:u w:val="single"/>
        </w:rPr>
      </w:pPr>
    </w:p>
    <w:p w14:paraId="534D3FDC">
      <w:pPr>
        <w:pStyle w:val="41"/>
        <w:rPr>
          <w:rFonts w:hint="eastAsia" w:ascii="黑体" w:hAnsi="黑体" w:eastAsia="黑体" w:cs="Tahoma"/>
          <w:b/>
          <w:bCs/>
          <w:color w:val="auto"/>
          <w:sz w:val="36"/>
          <w:szCs w:val="36"/>
          <w:highlight w:val="none"/>
          <w:u w:val="single"/>
        </w:rPr>
      </w:pPr>
    </w:p>
    <w:p w14:paraId="3EF4F20A">
      <w:pPr>
        <w:rPr>
          <w:rFonts w:hint="eastAsia" w:ascii="黑体" w:hAnsi="黑体" w:eastAsia="黑体" w:cs="Tahoma"/>
          <w:b/>
          <w:bCs/>
          <w:color w:val="auto"/>
          <w:sz w:val="36"/>
          <w:szCs w:val="36"/>
          <w:highlight w:val="none"/>
          <w:u w:val="single"/>
        </w:rPr>
      </w:pPr>
    </w:p>
    <w:p w14:paraId="610E0FB8">
      <w:pPr>
        <w:pStyle w:val="41"/>
        <w:rPr>
          <w:rFonts w:hint="eastAsia" w:ascii="黑体" w:hAnsi="黑体" w:eastAsia="黑体" w:cs="Tahoma"/>
          <w:b/>
          <w:bCs/>
          <w:color w:val="auto"/>
          <w:sz w:val="36"/>
          <w:szCs w:val="36"/>
          <w:highlight w:val="none"/>
          <w:u w:val="single"/>
        </w:rPr>
      </w:pPr>
    </w:p>
    <w:p w14:paraId="3CF7A22D">
      <w:pPr>
        <w:rPr>
          <w:rFonts w:hint="eastAsia" w:ascii="黑体" w:hAnsi="黑体" w:eastAsia="黑体" w:cs="Tahoma"/>
          <w:b/>
          <w:bCs/>
          <w:color w:val="auto"/>
          <w:sz w:val="36"/>
          <w:szCs w:val="36"/>
          <w:highlight w:val="none"/>
          <w:u w:val="single"/>
        </w:rPr>
      </w:pPr>
    </w:p>
    <w:p w14:paraId="2CE2F3C6">
      <w:pPr>
        <w:pStyle w:val="41"/>
        <w:rPr>
          <w:rFonts w:hint="eastAsia" w:ascii="黑体" w:hAnsi="黑体" w:eastAsia="黑体" w:cs="Tahoma"/>
          <w:b/>
          <w:bCs/>
          <w:color w:val="auto"/>
          <w:sz w:val="36"/>
          <w:szCs w:val="36"/>
          <w:highlight w:val="none"/>
          <w:u w:val="single"/>
        </w:rPr>
      </w:pPr>
    </w:p>
    <w:p w14:paraId="1AB3DEA8">
      <w:pPr>
        <w:rPr>
          <w:rFonts w:hint="eastAsia" w:ascii="黑体" w:hAnsi="黑体" w:eastAsia="黑体" w:cs="Tahoma"/>
          <w:b/>
          <w:bCs/>
          <w:color w:val="auto"/>
          <w:sz w:val="36"/>
          <w:szCs w:val="36"/>
          <w:highlight w:val="none"/>
          <w:u w:val="single"/>
        </w:rPr>
      </w:pPr>
    </w:p>
    <w:p w14:paraId="5C15179A">
      <w:pPr>
        <w:pStyle w:val="41"/>
        <w:rPr>
          <w:rFonts w:hint="eastAsia" w:ascii="黑体" w:hAnsi="黑体" w:eastAsia="黑体" w:cs="Tahoma"/>
          <w:b/>
          <w:bCs/>
          <w:color w:val="auto"/>
          <w:sz w:val="36"/>
          <w:szCs w:val="36"/>
          <w:highlight w:val="none"/>
          <w:u w:val="single"/>
        </w:rPr>
      </w:pPr>
    </w:p>
    <w:p w14:paraId="58C32811">
      <w:pPr>
        <w:rPr>
          <w:rFonts w:hint="eastAsia" w:ascii="黑体" w:hAnsi="黑体" w:eastAsia="黑体" w:cs="Tahoma"/>
          <w:b/>
          <w:bCs/>
          <w:color w:val="auto"/>
          <w:sz w:val="36"/>
          <w:szCs w:val="36"/>
          <w:highlight w:val="none"/>
          <w:u w:val="single"/>
        </w:rPr>
      </w:pPr>
    </w:p>
    <w:p w14:paraId="4F0BB00C">
      <w:pPr>
        <w:pStyle w:val="41"/>
        <w:rPr>
          <w:rFonts w:hint="eastAsia" w:ascii="黑体" w:hAnsi="黑体" w:eastAsia="黑体" w:cs="Tahoma"/>
          <w:b/>
          <w:bCs/>
          <w:color w:val="auto"/>
          <w:sz w:val="36"/>
          <w:szCs w:val="36"/>
          <w:highlight w:val="none"/>
          <w:u w:val="single"/>
        </w:rPr>
      </w:pPr>
    </w:p>
    <w:p w14:paraId="4BDF2928">
      <w:pPr>
        <w:rPr>
          <w:rFonts w:hint="eastAsia" w:ascii="黑体" w:hAnsi="黑体" w:eastAsia="黑体" w:cs="Tahoma"/>
          <w:b/>
          <w:bCs/>
          <w:color w:val="auto"/>
          <w:sz w:val="36"/>
          <w:szCs w:val="36"/>
          <w:highlight w:val="none"/>
          <w:u w:val="single"/>
        </w:rPr>
      </w:pPr>
    </w:p>
    <w:p w14:paraId="41B0B452">
      <w:pPr>
        <w:pStyle w:val="41"/>
        <w:rPr>
          <w:rFonts w:hint="eastAsia"/>
          <w:color w:val="auto"/>
          <w:highlight w:val="none"/>
        </w:rPr>
      </w:pPr>
    </w:p>
    <w:p w14:paraId="429319A5">
      <w:pPr>
        <w:spacing w:after="100" w:line="265" w:lineRule="auto"/>
        <w:ind w:right="103"/>
        <w:jc w:val="center"/>
        <w:rPr>
          <w:rFonts w:hint="eastAsia" w:ascii="黑体" w:hAnsi="黑体" w:eastAsia="黑体" w:cs="Tahoma"/>
          <w:b/>
          <w:bCs/>
          <w:color w:val="auto"/>
          <w:sz w:val="36"/>
          <w:szCs w:val="36"/>
          <w:highlight w:val="none"/>
          <w:u w:val="single"/>
        </w:rPr>
      </w:pPr>
    </w:p>
    <w:p w14:paraId="3D6A2BB5">
      <w:pPr>
        <w:spacing w:after="100" w:line="265" w:lineRule="auto"/>
        <w:ind w:right="103"/>
        <w:jc w:val="center"/>
        <w:rPr>
          <w:rFonts w:hint="eastAsia" w:ascii="黑体" w:hAnsi="黑体" w:eastAsia="黑体" w:cs="Tahoma"/>
          <w:b/>
          <w:bCs/>
          <w:color w:val="auto"/>
          <w:sz w:val="36"/>
          <w:szCs w:val="36"/>
          <w:highlight w:val="none"/>
          <w:u w:val="single"/>
        </w:rPr>
      </w:pPr>
    </w:p>
    <w:p w14:paraId="7BFEC783">
      <w:pPr>
        <w:spacing w:line="360" w:lineRule="auto"/>
        <w:jc w:val="center"/>
        <w:rPr>
          <w:rFonts w:hint="eastAsia" w:ascii="宋体" w:hAnsi="宋体" w:eastAsia="宋体" w:cs="宋体"/>
          <w:b/>
          <w:color w:val="auto"/>
          <w:sz w:val="28"/>
          <w:szCs w:val="28"/>
          <w:highlight w:val="none"/>
          <w:lang w:val="en-US" w:eastAsia="zh-CN"/>
        </w:rPr>
      </w:pPr>
    </w:p>
    <w:p w14:paraId="03E0287D">
      <w:pPr>
        <w:pStyle w:val="41"/>
        <w:rPr>
          <w:rFonts w:hint="eastAsia"/>
          <w:color w:val="auto"/>
          <w:highlight w:val="none"/>
          <w:lang w:val="en-US" w:eastAsia="zh-CN"/>
        </w:rPr>
      </w:pPr>
    </w:p>
    <w:p w14:paraId="16ADD739">
      <w:pPr>
        <w:pStyle w:val="41"/>
        <w:numPr>
          <w:ilvl w:val="0"/>
          <w:numId w:val="0"/>
        </w:numPr>
        <w:autoSpaceDE w:val="0"/>
        <w:autoSpaceDN w:val="0"/>
        <w:adjustRightInd w:val="0"/>
        <w:snapToGrid w:val="0"/>
        <w:spacing w:line="360" w:lineRule="auto"/>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kern w:val="2"/>
          <w:sz w:val="28"/>
          <w:szCs w:val="28"/>
          <w:highlight w:val="none"/>
          <w:lang w:val="en-US" w:eastAsia="zh-CN" w:bidi="ar-SA"/>
        </w:rPr>
        <w:t>（</w:t>
      </w:r>
      <w:r>
        <w:rPr>
          <w:rFonts w:hint="eastAsia" w:hAnsi="宋体" w:cs="宋体"/>
          <w:b/>
          <w:color w:val="auto"/>
          <w:kern w:val="2"/>
          <w:sz w:val="28"/>
          <w:szCs w:val="28"/>
          <w:highlight w:val="none"/>
          <w:lang w:val="en-US" w:eastAsia="zh-CN" w:bidi="ar-SA"/>
        </w:rPr>
        <w:t>7</w:t>
      </w:r>
      <w:r>
        <w:rPr>
          <w:rFonts w:hint="eastAsia" w:ascii="宋体" w:hAnsi="宋体" w:eastAsia="宋体" w:cs="宋体"/>
          <w:b/>
          <w:color w:val="auto"/>
          <w:kern w:val="2"/>
          <w:sz w:val="28"/>
          <w:szCs w:val="28"/>
          <w:highlight w:val="none"/>
          <w:lang w:val="en-US" w:eastAsia="zh-CN" w:bidi="ar-SA"/>
        </w:rPr>
        <w:t>）</w:t>
      </w:r>
      <w:r>
        <w:rPr>
          <w:rFonts w:hint="eastAsia" w:hAnsi="宋体" w:cs="宋体"/>
          <w:b/>
          <w:color w:val="auto"/>
          <w:kern w:val="2"/>
          <w:sz w:val="28"/>
          <w:szCs w:val="28"/>
          <w:highlight w:val="none"/>
          <w:lang w:val="en-US" w:eastAsia="zh-CN" w:bidi="ar-SA"/>
        </w:rPr>
        <w:t>投标企业类型声明函</w:t>
      </w:r>
      <w:r>
        <w:rPr>
          <w:rFonts w:hint="eastAsia" w:ascii="宋体" w:hAnsi="宋体" w:eastAsia="宋体" w:cs="宋体"/>
          <w:b/>
          <w:color w:val="auto"/>
          <w:kern w:val="2"/>
          <w:sz w:val="28"/>
          <w:szCs w:val="28"/>
          <w:highlight w:val="none"/>
          <w:lang w:val="en-US" w:eastAsia="zh-CN" w:bidi="ar-SA"/>
        </w:rPr>
        <w:t>；</w:t>
      </w:r>
    </w:p>
    <w:p w14:paraId="41A9FA7D">
      <w:pPr>
        <w:pStyle w:val="68"/>
        <w:widowControl w:val="0"/>
        <w:autoSpaceDE w:val="0"/>
        <w:autoSpaceDN w:val="0"/>
        <w:spacing w:before="0" w:after="0" w:line="440" w:lineRule="exact"/>
        <w:jc w:val="center"/>
        <w:rPr>
          <w:rFonts w:hint="eastAsia" w:ascii="宋体" w:hAnsi="宋体" w:eastAsia="宋体" w:cs="宋体"/>
          <w:b/>
          <w:color w:val="auto"/>
          <w:kern w:val="2"/>
          <w:sz w:val="28"/>
          <w:szCs w:val="24"/>
          <w:highlight w:val="none"/>
          <w:lang w:val="en-US" w:eastAsia="zh-CN"/>
        </w:rPr>
      </w:pPr>
      <w:r>
        <w:rPr>
          <w:rStyle w:val="62"/>
          <w:rFonts w:hint="eastAsia" w:ascii="宋体" w:hAnsi="宋体" w:eastAsia="宋体" w:cs="宋体"/>
          <w:b/>
          <w:color w:val="auto"/>
          <w:kern w:val="2"/>
          <w:sz w:val="28"/>
          <w:szCs w:val="24"/>
          <w:highlight w:val="none"/>
          <w:lang w:val="en-US" w:eastAsia="zh-CN" w:bidi="ar-SA"/>
        </w:rPr>
        <w:t>中小企业声明函</w:t>
      </w:r>
    </w:p>
    <w:p w14:paraId="613C593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1" w:line="240" w:lineRule="auto"/>
        <w:ind w:left="0" w:right="0" w:firstLine="317"/>
        <w:jc w:val="left"/>
        <w:textAlignment w:val="auto"/>
        <w:rPr>
          <w:rFonts w:ascii="Arial" w:hAnsi="Arial" w:cs="Arial"/>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本公司（联合体）郑重声明，根据《政府采购促进中小企业发展管理办法》（财库﹝2020﹞46号）的规定，本公司（联合体）参加</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（单位名称）</w:t>
      </w:r>
      <w:r>
        <w:rPr>
          <w:rFonts w:hint="eastAsia" w:ascii="宋体" w:hAnsi="宋体" w:eastAsia="宋体" w:cs="宋体"/>
          <w:i w:val="0"/>
          <w:iCs w:val="0"/>
          <w:caps w:val="0"/>
          <w:color w:val="auto"/>
          <w:spacing w:val="0"/>
          <w:kern w:val="0"/>
          <w:sz w:val="24"/>
          <w:szCs w:val="24"/>
          <w:highlight w:val="none"/>
          <w:shd w:val="clear" w:fill="FFFFFF"/>
          <w:lang w:val="en-US" w:eastAsia="zh-CN" w:bidi="ar"/>
        </w:rPr>
        <w:t>的</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（项目名称</w:t>
      </w:r>
      <w:r>
        <w:rPr>
          <w:rFonts w:hint="eastAsia" w:ascii="宋体" w:hAnsi="宋体" w:cs="宋体"/>
          <w:i w:val="0"/>
          <w:iCs w:val="0"/>
          <w:caps w:val="0"/>
          <w:color w:val="auto"/>
          <w:spacing w:val="0"/>
          <w:kern w:val="0"/>
          <w:sz w:val="24"/>
          <w:szCs w:val="24"/>
          <w:highlight w:val="none"/>
          <w:u w:val="single"/>
          <w:shd w:val="clear" w:fill="FFFFFF"/>
          <w:lang w:val="en-US" w:eastAsia="zh-CN" w:bidi="ar"/>
        </w:rPr>
        <w:t>、标项名称</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w:t>
      </w:r>
      <w:r>
        <w:rPr>
          <w:rFonts w:hint="eastAsia" w:ascii="宋体" w:hAnsi="宋体" w:eastAsia="宋体" w:cs="宋体"/>
          <w:i w:val="0"/>
          <w:iCs w:val="0"/>
          <w:caps w:val="0"/>
          <w:color w:val="auto"/>
          <w:spacing w:val="0"/>
          <w:kern w:val="0"/>
          <w:sz w:val="24"/>
          <w:szCs w:val="24"/>
          <w:highlight w:val="none"/>
          <w:shd w:val="clear" w:fill="FFFFFF"/>
          <w:lang w:val="en-US" w:eastAsia="zh-CN" w:bidi="ar"/>
        </w:rPr>
        <w:t>采购活动，提供的货物全部由符合政策要求的中小企业制造。相关企业（含联合体中的中小企业、签订分包意向协议的中小企业）的具体情况如下：</w:t>
      </w:r>
    </w:p>
    <w:p w14:paraId="23E2B02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1" w:line="240" w:lineRule="auto"/>
        <w:ind w:left="0" w:right="0" w:firstLine="317"/>
        <w:jc w:val="left"/>
        <w:textAlignment w:val="auto"/>
        <w:rPr>
          <w:rFonts w:hint="default" w:ascii="Arial" w:hAnsi="Arial" w:cs="Arial"/>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1.</w:t>
      </w:r>
      <w:r>
        <w:rPr>
          <w:rFonts w:hint="eastAsia" w:ascii="宋体" w:hAnsi="宋体" w:cs="宋体"/>
          <w:i w:val="0"/>
          <w:iCs w:val="0"/>
          <w:caps w:val="0"/>
          <w:color w:val="auto"/>
          <w:spacing w:val="0"/>
          <w:kern w:val="0"/>
          <w:sz w:val="24"/>
          <w:szCs w:val="24"/>
          <w:highlight w:val="none"/>
          <w:u w:val="single"/>
          <w:shd w:val="clear" w:fill="FFFFFF"/>
          <w:lang w:val="en-US" w:eastAsia="zh-CN" w:bidi="ar"/>
        </w:rPr>
        <w:t xml:space="preserve"> 中国结 </w:t>
      </w:r>
      <w:r>
        <w:rPr>
          <w:rFonts w:hint="eastAsia" w:ascii="宋体" w:hAnsi="宋体" w:eastAsia="宋体" w:cs="宋体"/>
          <w:i w:val="0"/>
          <w:iCs w:val="0"/>
          <w:caps w:val="0"/>
          <w:color w:val="auto"/>
          <w:spacing w:val="0"/>
          <w:kern w:val="0"/>
          <w:sz w:val="24"/>
          <w:szCs w:val="24"/>
          <w:highlight w:val="none"/>
          <w:shd w:val="clear" w:fill="FFFFFF"/>
          <w:lang w:val="en-US" w:eastAsia="zh-CN" w:bidi="ar"/>
        </w:rPr>
        <w:t>，属于</w:t>
      </w:r>
      <w:r>
        <w:rPr>
          <w:rFonts w:hint="eastAsia" w:ascii="宋体" w:hAnsi="宋体" w:cs="宋体"/>
          <w:i w:val="0"/>
          <w:iCs w:val="0"/>
          <w:caps w:val="0"/>
          <w:color w:val="auto"/>
          <w:spacing w:val="0"/>
          <w:kern w:val="0"/>
          <w:sz w:val="24"/>
          <w:szCs w:val="24"/>
          <w:highlight w:val="none"/>
          <w:u w:val="single"/>
          <w:shd w:val="clear" w:fill="FFFFFF"/>
          <w:lang w:val="en-US" w:eastAsia="zh-CN" w:bidi="ar"/>
        </w:rPr>
        <w:t xml:space="preserve"> 其他未列明行业 </w:t>
      </w:r>
      <w:r>
        <w:rPr>
          <w:rFonts w:hint="eastAsia" w:ascii="宋体" w:hAnsi="宋体" w:eastAsia="宋体" w:cs="宋体"/>
          <w:i w:val="0"/>
          <w:iCs w:val="0"/>
          <w:caps w:val="0"/>
          <w:color w:val="auto"/>
          <w:spacing w:val="0"/>
          <w:kern w:val="0"/>
          <w:sz w:val="24"/>
          <w:szCs w:val="24"/>
          <w:highlight w:val="none"/>
          <w:shd w:val="clear" w:fill="FFFFFF"/>
          <w:lang w:val="en-US" w:eastAsia="zh-CN" w:bidi="ar"/>
        </w:rPr>
        <w:t>；制造商为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（企业名称）</w:t>
      </w:r>
      <w:r>
        <w:rPr>
          <w:rFonts w:hint="eastAsia" w:ascii="宋体" w:hAnsi="宋体" w:eastAsia="宋体" w:cs="宋体"/>
          <w:i w:val="0"/>
          <w:iCs w:val="0"/>
          <w:caps w:val="0"/>
          <w:color w:val="auto"/>
          <w:spacing w:val="0"/>
          <w:kern w:val="0"/>
          <w:sz w:val="24"/>
          <w:szCs w:val="24"/>
          <w:highlight w:val="none"/>
          <w:shd w:val="clear" w:fill="FFFFFF"/>
          <w:lang w:val="en-US" w:eastAsia="zh-CN" w:bidi="ar"/>
        </w:rPr>
        <w:t>，从业人员</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人，营业收入为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万元，资产总额为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w:t>
      </w:r>
      <w:r>
        <w:rPr>
          <w:rFonts w:hint="eastAsia" w:ascii="宋体" w:hAnsi="宋体" w:eastAsia="宋体" w:cs="宋体"/>
          <w:i w:val="0"/>
          <w:iCs w:val="0"/>
          <w:caps w:val="0"/>
          <w:color w:val="auto"/>
          <w:spacing w:val="0"/>
          <w:kern w:val="0"/>
          <w:sz w:val="24"/>
          <w:szCs w:val="24"/>
          <w:highlight w:val="none"/>
          <w:shd w:val="clear" w:fill="FFFFFF"/>
          <w:vertAlign w:val="superscript"/>
          <w:lang w:val="en-US" w:eastAsia="zh-CN" w:bidi="ar"/>
        </w:rPr>
        <w:t>1</w:t>
      </w:r>
      <w:r>
        <w:rPr>
          <w:rFonts w:hint="eastAsia" w:ascii="宋体" w:hAnsi="宋体" w:eastAsia="宋体" w:cs="宋体"/>
          <w:i w:val="0"/>
          <w:iCs w:val="0"/>
          <w:caps w:val="0"/>
          <w:color w:val="auto"/>
          <w:spacing w:val="0"/>
          <w:kern w:val="0"/>
          <w:sz w:val="24"/>
          <w:szCs w:val="24"/>
          <w:highlight w:val="none"/>
          <w:shd w:val="clear" w:fill="FFFFFF"/>
          <w:lang w:val="en-US" w:eastAsia="zh-CN" w:bidi="ar"/>
        </w:rPr>
        <w:t>，属于</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（中型企业、小型企业、微型企业）</w:t>
      </w:r>
      <w:r>
        <w:rPr>
          <w:rFonts w:hint="eastAsia" w:ascii="宋体" w:hAnsi="宋体" w:eastAsia="宋体" w:cs="宋体"/>
          <w:i w:val="0"/>
          <w:iCs w:val="0"/>
          <w:caps w:val="0"/>
          <w:color w:val="auto"/>
          <w:spacing w:val="0"/>
          <w:kern w:val="0"/>
          <w:sz w:val="24"/>
          <w:szCs w:val="24"/>
          <w:highlight w:val="none"/>
          <w:shd w:val="clear" w:fill="FFFFFF"/>
          <w:lang w:val="en-US" w:eastAsia="zh-CN" w:bidi="ar"/>
        </w:rPr>
        <w:t>；</w:t>
      </w:r>
    </w:p>
    <w:p w14:paraId="77C9C333">
      <w:pPr>
        <w:rPr>
          <w:rFonts w:hint="eastAsia" w:ascii="宋体" w:hAnsi="宋体" w:eastAsia="宋体" w:cs="宋体"/>
          <w:i w:val="0"/>
          <w:iCs w:val="0"/>
          <w:caps w:val="0"/>
          <w:color w:val="auto"/>
          <w:spacing w:val="0"/>
          <w:kern w:val="0"/>
          <w:sz w:val="24"/>
          <w:szCs w:val="24"/>
          <w:highlight w:val="none"/>
          <w:shd w:val="clear" w:fill="FFFFFF"/>
          <w:lang w:val="en-US" w:eastAsia="zh-CN" w:bidi="ar"/>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2.</w:t>
      </w:r>
      <w:r>
        <w:rPr>
          <w:rFonts w:hint="eastAsia" w:ascii="宋体" w:hAnsi="宋体" w:cs="宋体"/>
          <w:i w:val="0"/>
          <w:iCs w:val="0"/>
          <w:caps w:val="0"/>
          <w:color w:val="auto"/>
          <w:spacing w:val="0"/>
          <w:kern w:val="0"/>
          <w:sz w:val="24"/>
          <w:szCs w:val="24"/>
          <w:highlight w:val="none"/>
          <w:u w:val="single"/>
          <w:shd w:val="clear" w:fill="FFFFFF"/>
          <w:lang w:val="en-US" w:eastAsia="zh-CN" w:bidi="ar"/>
        </w:rPr>
        <w:t xml:space="preserve"> 灯箱 </w:t>
      </w:r>
      <w:r>
        <w:rPr>
          <w:rFonts w:hint="eastAsia" w:ascii="宋体" w:hAnsi="宋体" w:eastAsia="宋体" w:cs="宋体"/>
          <w:i w:val="0"/>
          <w:iCs w:val="0"/>
          <w:caps w:val="0"/>
          <w:color w:val="auto"/>
          <w:spacing w:val="0"/>
          <w:kern w:val="0"/>
          <w:sz w:val="24"/>
          <w:szCs w:val="24"/>
          <w:highlight w:val="none"/>
          <w:shd w:val="clear" w:fill="FFFFFF"/>
          <w:lang w:val="en-US" w:eastAsia="zh-CN" w:bidi="ar"/>
        </w:rPr>
        <w:t>，属于</w:t>
      </w:r>
      <w:r>
        <w:rPr>
          <w:rFonts w:hint="eastAsia" w:ascii="宋体" w:hAnsi="宋体" w:cs="宋体"/>
          <w:i w:val="0"/>
          <w:iCs w:val="0"/>
          <w:caps w:val="0"/>
          <w:color w:val="auto"/>
          <w:spacing w:val="0"/>
          <w:kern w:val="0"/>
          <w:sz w:val="24"/>
          <w:szCs w:val="24"/>
          <w:highlight w:val="none"/>
          <w:u w:val="single"/>
          <w:shd w:val="clear" w:fill="FFFFFF"/>
          <w:lang w:val="en-US" w:eastAsia="zh-CN" w:bidi="ar"/>
        </w:rPr>
        <w:t xml:space="preserve"> 其他未列明行业 </w:t>
      </w:r>
      <w:r>
        <w:rPr>
          <w:rFonts w:hint="eastAsia" w:ascii="宋体" w:hAnsi="宋体" w:eastAsia="宋体" w:cs="宋体"/>
          <w:i w:val="0"/>
          <w:iCs w:val="0"/>
          <w:caps w:val="0"/>
          <w:color w:val="auto"/>
          <w:spacing w:val="0"/>
          <w:kern w:val="0"/>
          <w:sz w:val="24"/>
          <w:szCs w:val="24"/>
          <w:highlight w:val="none"/>
          <w:shd w:val="clear" w:fill="FFFFFF"/>
          <w:lang w:val="en-US" w:eastAsia="zh-CN" w:bidi="ar"/>
        </w:rPr>
        <w:t>；制造商为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（企业名称）</w:t>
      </w:r>
      <w:r>
        <w:rPr>
          <w:rFonts w:hint="eastAsia" w:ascii="宋体" w:hAnsi="宋体" w:eastAsia="宋体" w:cs="宋体"/>
          <w:i w:val="0"/>
          <w:iCs w:val="0"/>
          <w:caps w:val="0"/>
          <w:color w:val="auto"/>
          <w:spacing w:val="0"/>
          <w:kern w:val="0"/>
          <w:sz w:val="24"/>
          <w:szCs w:val="24"/>
          <w:highlight w:val="none"/>
          <w:shd w:val="clear" w:fill="FFFFFF"/>
          <w:lang w:val="en-US" w:eastAsia="zh-CN" w:bidi="ar"/>
        </w:rPr>
        <w:t>，从业人员</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人，营业收入为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万元，资产总额为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w:t>
      </w:r>
      <w:r>
        <w:rPr>
          <w:rFonts w:hint="eastAsia" w:ascii="宋体" w:hAnsi="宋体" w:eastAsia="宋体" w:cs="宋体"/>
          <w:i w:val="0"/>
          <w:iCs w:val="0"/>
          <w:caps w:val="0"/>
          <w:color w:val="auto"/>
          <w:spacing w:val="0"/>
          <w:kern w:val="0"/>
          <w:sz w:val="24"/>
          <w:szCs w:val="24"/>
          <w:highlight w:val="none"/>
          <w:shd w:val="clear" w:fill="FFFFFF"/>
          <w:vertAlign w:val="superscript"/>
          <w:lang w:val="en-US" w:eastAsia="zh-CN" w:bidi="ar"/>
        </w:rPr>
        <w:t>1</w:t>
      </w:r>
      <w:r>
        <w:rPr>
          <w:rFonts w:hint="eastAsia" w:ascii="宋体" w:hAnsi="宋体" w:eastAsia="宋体" w:cs="宋体"/>
          <w:i w:val="0"/>
          <w:iCs w:val="0"/>
          <w:caps w:val="0"/>
          <w:color w:val="auto"/>
          <w:spacing w:val="0"/>
          <w:kern w:val="0"/>
          <w:sz w:val="24"/>
          <w:szCs w:val="24"/>
          <w:highlight w:val="none"/>
          <w:shd w:val="clear" w:fill="FFFFFF"/>
          <w:lang w:val="en-US" w:eastAsia="zh-CN" w:bidi="ar"/>
        </w:rPr>
        <w:t>，属于</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（中型企业、小型企业、微型企业）</w:t>
      </w:r>
      <w:r>
        <w:rPr>
          <w:rFonts w:hint="eastAsia" w:ascii="宋体" w:hAnsi="宋体" w:eastAsia="宋体" w:cs="宋体"/>
          <w:i w:val="0"/>
          <w:iCs w:val="0"/>
          <w:caps w:val="0"/>
          <w:color w:val="auto"/>
          <w:spacing w:val="0"/>
          <w:kern w:val="0"/>
          <w:sz w:val="24"/>
          <w:szCs w:val="24"/>
          <w:highlight w:val="none"/>
          <w:shd w:val="clear" w:fill="FFFFFF"/>
          <w:lang w:val="en-US" w:eastAsia="zh-CN" w:bidi="ar"/>
        </w:rPr>
        <w:t>；</w:t>
      </w:r>
    </w:p>
    <w:p w14:paraId="337F2D4A">
      <w:pPr>
        <w:rPr>
          <w:rFonts w:hint="eastAsia" w:ascii="宋体" w:hAnsi="宋体" w:cs="宋体"/>
          <w:i w:val="0"/>
          <w:iCs w:val="0"/>
          <w:caps w:val="0"/>
          <w:color w:val="auto"/>
          <w:spacing w:val="0"/>
          <w:kern w:val="0"/>
          <w:sz w:val="24"/>
          <w:szCs w:val="24"/>
          <w:highlight w:val="none"/>
          <w:shd w:val="clear" w:fill="FFFFFF"/>
          <w:lang w:val="en-US" w:eastAsia="zh-CN" w:bidi="ar"/>
        </w:rPr>
      </w:pPr>
    </w:p>
    <w:p w14:paraId="1AF0B6FA">
      <w:pP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pPr>
      <w:r>
        <w:rPr>
          <w:rFonts w:hint="eastAsia" w:ascii="宋体" w:hAnsi="宋体" w:cs="宋体"/>
          <w:i w:val="0"/>
          <w:iCs w:val="0"/>
          <w:caps w:val="0"/>
          <w:color w:val="auto"/>
          <w:spacing w:val="0"/>
          <w:kern w:val="0"/>
          <w:sz w:val="24"/>
          <w:szCs w:val="24"/>
          <w:highlight w:val="none"/>
          <w:shd w:val="clear" w:fill="FFFFFF"/>
          <w:lang w:val="en-US" w:eastAsia="zh-CN" w:bidi="ar"/>
        </w:rPr>
        <w:t>3</w:t>
      </w:r>
      <w:r>
        <w:rPr>
          <w:rFonts w:hint="eastAsia" w:ascii="宋体" w:hAnsi="宋体" w:eastAsia="宋体" w:cs="宋体"/>
          <w:i w:val="0"/>
          <w:iCs w:val="0"/>
          <w:caps w:val="0"/>
          <w:color w:val="auto"/>
          <w:spacing w:val="0"/>
          <w:kern w:val="0"/>
          <w:sz w:val="24"/>
          <w:szCs w:val="24"/>
          <w:highlight w:val="none"/>
          <w:shd w:val="clear" w:fill="FFFFFF"/>
          <w:lang w:val="en-US" w:eastAsia="zh-CN" w:bidi="ar"/>
        </w:rPr>
        <w:t>.</w:t>
      </w:r>
      <w:r>
        <w:rPr>
          <w:rFonts w:hint="eastAsia" w:ascii="宋体" w:hAnsi="宋体" w:cs="宋体"/>
          <w:i w:val="0"/>
          <w:iCs w:val="0"/>
          <w:caps w:val="0"/>
          <w:color w:val="auto"/>
          <w:spacing w:val="0"/>
          <w:kern w:val="0"/>
          <w:sz w:val="24"/>
          <w:szCs w:val="24"/>
          <w:highlight w:val="none"/>
          <w:u w:val="single"/>
          <w:shd w:val="clear" w:fill="FFFFFF"/>
          <w:lang w:val="en-US" w:eastAsia="zh-CN" w:bidi="ar"/>
        </w:rPr>
        <w:t xml:space="preserve"> 宣传栏 </w:t>
      </w:r>
      <w:r>
        <w:rPr>
          <w:rFonts w:hint="eastAsia" w:ascii="宋体" w:hAnsi="宋体" w:eastAsia="宋体" w:cs="宋体"/>
          <w:i w:val="0"/>
          <w:iCs w:val="0"/>
          <w:caps w:val="0"/>
          <w:color w:val="auto"/>
          <w:spacing w:val="0"/>
          <w:kern w:val="0"/>
          <w:sz w:val="24"/>
          <w:szCs w:val="24"/>
          <w:highlight w:val="none"/>
          <w:shd w:val="clear" w:fill="FFFFFF"/>
          <w:lang w:val="en-US" w:eastAsia="zh-CN" w:bidi="ar"/>
        </w:rPr>
        <w:t>，属于</w:t>
      </w:r>
      <w:r>
        <w:rPr>
          <w:rFonts w:hint="eastAsia" w:ascii="宋体" w:hAnsi="宋体" w:cs="宋体"/>
          <w:i w:val="0"/>
          <w:iCs w:val="0"/>
          <w:caps w:val="0"/>
          <w:color w:val="auto"/>
          <w:spacing w:val="0"/>
          <w:kern w:val="0"/>
          <w:sz w:val="24"/>
          <w:szCs w:val="24"/>
          <w:highlight w:val="none"/>
          <w:u w:val="single"/>
          <w:shd w:val="clear" w:fill="FFFFFF"/>
          <w:lang w:val="en-US" w:eastAsia="zh-CN" w:bidi="ar"/>
        </w:rPr>
        <w:t xml:space="preserve"> 其他未列明行业 </w:t>
      </w:r>
      <w:r>
        <w:rPr>
          <w:rFonts w:hint="eastAsia" w:ascii="宋体" w:hAnsi="宋体" w:eastAsia="宋体" w:cs="宋体"/>
          <w:i w:val="0"/>
          <w:iCs w:val="0"/>
          <w:caps w:val="0"/>
          <w:color w:val="auto"/>
          <w:spacing w:val="0"/>
          <w:kern w:val="0"/>
          <w:sz w:val="24"/>
          <w:szCs w:val="24"/>
          <w:highlight w:val="none"/>
          <w:shd w:val="clear" w:fill="FFFFFF"/>
          <w:lang w:val="en-US" w:eastAsia="zh-CN" w:bidi="ar"/>
        </w:rPr>
        <w:t>；制造商为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（企业名称）</w:t>
      </w:r>
      <w:r>
        <w:rPr>
          <w:rFonts w:hint="eastAsia" w:ascii="宋体" w:hAnsi="宋体" w:eastAsia="宋体" w:cs="宋体"/>
          <w:i w:val="0"/>
          <w:iCs w:val="0"/>
          <w:caps w:val="0"/>
          <w:color w:val="auto"/>
          <w:spacing w:val="0"/>
          <w:kern w:val="0"/>
          <w:sz w:val="24"/>
          <w:szCs w:val="24"/>
          <w:highlight w:val="none"/>
          <w:shd w:val="clear" w:fill="FFFFFF"/>
          <w:lang w:val="en-US" w:eastAsia="zh-CN" w:bidi="ar"/>
        </w:rPr>
        <w:t>，从业人员</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人，营业收入为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万元，资产总额为</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w:t>
      </w:r>
      <w:r>
        <w:rPr>
          <w:rFonts w:hint="eastAsia" w:ascii="宋体" w:hAnsi="宋体" w:eastAsia="宋体" w:cs="宋体"/>
          <w:i w:val="0"/>
          <w:iCs w:val="0"/>
          <w:caps w:val="0"/>
          <w:color w:val="auto"/>
          <w:spacing w:val="0"/>
          <w:kern w:val="0"/>
          <w:sz w:val="24"/>
          <w:szCs w:val="24"/>
          <w:highlight w:val="none"/>
          <w:shd w:val="clear" w:fill="FFFFFF"/>
          <w:vertAlign w:val="superscript"/>
          <w:lang w:val="en-US" w:eastAsia="zh-CN" w:bidi="ar"/>
        </w:rPr>
        <w:t>1</w:t>
      </w:r>
      <w:r>
        <w:rPr>
          <w:rFonts w:hint="eastAsia" w:ascii="宋体" w:hAnsi="宋体" w:eastAsia="宋体" w:cs="宋体"/>
          <w:i w:val="0"/>
          <w:iCs w:val="0"/>
          <w:caps w:val="0"/>
          <w:color w:val="auto"/>
          <w:spacing w:val="0"/>
          <w:kern w:val="0"/>
          <w:sz w:val="24"/>
          <w:szCs w:val="24"/>
          <w:highlight w:val="none"/>
          <w:shd w:val="clear" w:fill="FFFFFF"/>
          <w:lang w:val="en-US" w:eastAsia="zh-CN" w:bidi="ar"/>
        </w:rPr>
        <w:t>，属于</w:t>
      </w:r>
      <w:r>
        <w:rPr>
          <w:rFonts w:hint="eastAsia" w:ascii="宋体" w:hAnsi="宋体" w:eastAsia="宋体" w:cs="宋体"/>
          <w:i w:val="0"/>
          <w:iCs w:val="0"/>
          <w:caps w:val="0"/>
          <w:color w:val="auto"/>
          <w:spacing w:val="0"/>
          <w:kern w:val="0"/>
          <w:sz w:val="24"/>
          <w:szCs w:val="24"/>
          <w:highlight w:val="none"/>
          <w:u w:val="single"/>
          <w:shd w:val="clear" w:fill="FFFFFF"/>
          <w:lang w:val="en-US" w:eastAsia="zh-CN" w:bidi="ar"/>
        </w:rPr>
        <w:t> （中型企业、小型企业、微型企业）</w:t>
      </w:r>
    </w:p>
    <w:p w14:paraId="24E75DDD">
      <w:pPr>
        <w:rPr>
          <w:rFonts w:hint="eastAsia" w:ascii="宋体" w:hAnsi="宋体" w:eastAsia="宋体" w:cs="宋体"/>
          <w:i w:val="0"/>
          <w:iCs w:val="0"/>
          <w:caps w:val="0"/>
          <w:color w:val="auto"/>
          <w:spacing w:val="0"/>
          <w:kern w:val="0"/>
          <w:sz w:val="24"/>
          <w:szCs w:val="24"/>
          <w:highlight w:val="none"/>
          <w:shd w:val="clear" w:fill="FFFFFF"/>
          <w:lang w:val="en-US" w:eastAsia="zh-CN" w:bidi="ar"/>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w:t>
      </w:r>
    </w:p>
    <w:p w14:paraId="44FCCDB1">
      <w:pPr>
        <w:keepNext w:val="0"/>
        <w:keepLines w:val="0"/>
        <w:widowControl/>
        <w:suppressLineNumbers w:val="0"/>
        <w:shd w:val="clear" w:fill="FFFFFF"/>
        <w:spacing w:before="0" w:beforeAutospacing="1" w:after="0" w:afterAutospacing="1" w:line="290" w:lineRule="atLeast"/>
        <w:ind w:left="0" w:right="0" w:firstLine="320"/>
        <w:jc w:val="left"/>
        <w:rPr>
          <w:rFonts w:hint="default" w:ascii="Arial" w:hAnsi="Arial" w:cs="Arial"/>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以上企业，不属于大企业的分支机构，不存在控股股东为大企业的情形，也不存在与大企业的负责人为同一人的情形。</w:t>
      </w:r>
    </w:p>
    <w:p w14:paraId="2869FF45">
      <w:pPr>
        <w:keepNext w:val="0"/>
        <w:keepLines w:val="0"/>
        <w:widowControl/>
        <w:suppressLineNumbers w:val="0"/>
        <w:shd w:val="clear" w:fill="FFFFFF"/>
        <w:spacing w:before="0" w:beforeAutospacing="1" w:after="0" w:afterAutospacing="1" w:line="290" w:lineRule="atLeast"/>
        <w:ind w:left="0" w:right="0" w:firstLine="320"/>
        <w:jc w:val="left"/>
        <w:rPr>
          <w:rFonts w:hint="default" w:ascii="Arial" w:hAnsi="Arial" w:cs="Arial"/>
          <w:i w:val="0"/>
          <w:iCs w:val="0"/>
          <w:caps w:val="0"/>
          <w:color w:val="auto"/>
          <w:spacing w:val="0"/>
          <w:sz w:val="28"/>
          <w:szCs w:val="2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本企业对上述声明内容的真实性负责。如有虚假，将依法承担相应责任。</w:t>
      </w:r>
    </w:p>
    <w:p w14:paraId="1A0EC3C8">
      <w:pPr>
        <w:spacing w:line="280" w:lineRule="exact"/>
        <w:jc w:val="left"/>
        <w:outlineLvl w:val="0"/>
        <w:rPr>
          <w:rFonts w:hint="eastAsia" w:ascii="宋体" w:hAnsi="宋体" w:eastAsia="宋体" w:cs="宋体"/>
          <w:color w:val="auto"/>
          <w:kern w:val="0"/>
          <w:sz w:val="24"/>
          <w:szCs w:val="24"/>
          <w:highlight w:val="none"/>
          <w:lang w:val="en-US" w:eastAsia="zh-CN" w:bidi="ar-SA"/>
        </w:rPr>
      </w:pPr>
    </w:p>
    <w:p w14:paraId="134349D1">
      <w:pPr>
        <w:pStyle w:val="8"/>
        <w:rPr>
          <w:rFonts w:hint="eastAsia" w:ascii="宋体" w:hAnsi="宋体" w:eastAsia="宋体" w:cs="宋体"/>
          <w:color w:val="auto"/>
          <w:kern w:val="0"/>
          <w:sz w:val="24"/>
          <w:szCs w:val="24"/>
          <w:highlight w:val="none"/>
          <w:lang w:val="en-US" w:eastAsia="zh-CN" w:bidi="ar-SA"/>
        </w:rPr>
      </w:pPr>
    </w:p>
    <w:p w14:paraId="6AC02B6D">
      <w:pPr>
        <w:rPr>
          <w:rFonts w:hint="eastAsia" w:ascii="宋体" w:hAnsi="宋体" w:eastAsia="宋体" w:cs="宋体"/>
          <w:color w:val="auto"/>
          <w:kern w:val="0"/>
          <w:sz w:val="24"/>
          <w:szCs w:val="24"/>
          <w:highlight w:val="none"/>
          <w:lang w:val="en-US" w:eastAsia="zh-CN" w:bidi="ar-SA"/>
        </w:rPr>
      </w:pPr>
    </w:p>
    <w:p w14:paraId="5D62A563">
      <w:pPr>
        <w:pStyle w:val="8"/>
        <w:rPr>
          <w:rFonts w:hint="eastAsia"/>
          <w:color w:val="auto"/>
          <w:highlight w:val="none"/>
          <w:lang w:val="en-US" w:eastAsia="zh-CN"/>
        </w:rPr>
      </w:pPr>
    </w:p>
    <w:p w14:paraId="46E53873">
      <w:pPr>
        <w:spacing w:line="280" w:lineRule="exact"/>
        <w:jc w:val="left"/>
        <w:outlineLvl w:val="0"/>
        <w:rPr>
          <w:rFonts w:hint="eastAsia" w:ascii="宋体" w:hAnsi="宋体" w:eastAsia="宋体" w:cs="宋体"/>
          <w:color w:val="auto"/>
          <w:kern w:val="0"/>
          <w:sz w:val="24"/>
          <w:szCs w:val="24"/>
          <w:highlight w:val="none"/>
          <w:lang w:val="en-US" w:eastAsia="zh-CN" w:bidi="ar-SA"/>
        </w:rPr>
      </w:pPr>
    </w:p>
    <w:p w14:paraId="3483E18D">
      <w:pPr>
        <w:pStyle w:val="68"/>
        <w:widowControl w:val="0"/>
        <w:autoSpaceDE w:val="0"/>
        <w:autoSpaceDN w:val="0"/>
        <w:spacing w:before="0" w:after="0" w:line="440" w:lineRule="exact"/>
        <w:ind w:left="0" w:leftChars="0" w:firstLine="3780" w:firstLineChars="1575"/>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企业名称（盖章）： </w:t>
      </w:r>
    </w:p>
    <w:p w14:paraId="321942DC">
      <w:pPr>
        <w:pStyle w:val="68"/>
        <w:widowControl w:val="0"/>
        <w:autoSpaceDE w:val="0"/>
        <w:autoSpaceDN w:val="0"/>
        <w:spacing w:before="0" w:after="0" w:line="440" w:lineRule="exact"/>
        <w:ind w:left="0" w:leftChars="0" w:firstLine="3780" w:firstLineChars="1575"/>
        <w:jc w:val="center"/>
        <w:rPr>
          <w:rFonts w:hint="eastAsia" w:ascii="宋体" w:hAnsi="宋体" w:eastAsia="宋体" w:cs="QEWSUC+??¨¬?"/>
          <w:b/>
          <w:color w:val="auto"/>
          <w:kern w:val="2"/>
          <w:sz w:val="28"/>
          <w:szCs w:val="24"/>
          <w:highlight w:val="none"/>
          <w:lang w:val="en-US" w:eastAsia="zh-CN"/>
        </w:rPr>
      </w:pPr>
      <w:r>
        <w:rPr>
          <w:rFonts w:ascii="宋体" w:hAnsi="宋体" w:eastAsia="宋体" w:cs="宋体"/>
          <w:color w:val="auto"/>
          <w:sz w:val="24"/>
          <w:szCs w:val="24"/>
          <w:highlight w:val="none"/>
        </w:rPr>
        <w:t>日 期</w:t>
      </w:r>
      <w:r>
        <w:rPr>
          <w:rFonts w:hint="eastAsia" w:ascii="宋体" w:hAnsi="宋体" w:eastAsia="宋体" w:cs="宋体"/>
          <w:color w:val="auto"/>
          <w:sz w:val="24"/>
          <w:szCs w:val="24"/>
          <w:highlight w:val="none"/>
          <w:lang w:eastAsia="zh-CN"/>
        </w:rPr>
        <w:t>：</w:t>
      </w:r>
    </w:p>
    <w:p w14:paraId="0953F5C2">
      <w:pPr>
        <w:keepNext w:val="0"/>
        <w:keepLines w:val="0"/>
        <w:pageBreakBefore w:val="0"/>
        <w:widowControl w:val="0"/>
        <w:kinsoku/>
        <w:wordWrap/>
        <w:overflowPunct/>
        <w:topLinePunct w:val="0"/>
        <w:autoSpaceDE/>
        <w:autoSpaceDN/>
        <w:bidi w:val="0"/>
        <w:adjustRightInd/>
        <w:snapToGrid/>
        <w:spacing w:before="157" w:beforeLines="50" w:line="280" w:lineRule="exact"/>
        <w:jc w:val="left"/>
        <w:textAlignment w:val="auto"/>
        <w:outlineLvl w:val="0"/>
        <w:rPr>
          <w:rStyle w:val="62"/>
          <w:rFonts w:hint="eastAsia" w:ascii="仿宋" w:hAnsi="仿宋" w:eastAsia="仿宋" w:cs="仿宋"/>
          <w:b/>
          <w:color w:val="auto"/>
          <w:kern w:val="2"/>
          <w:szCs w:val="24"/>
          <w:highlight w:val="none"/>
          <w:lang w:val="en-US" w:eastAsia="zh-CN" w:bidi="ar-SA"/>
        </w:rPr>
      </w:pPr>
      <w:r>
        <w:rPr>
          <w:rFonts w:hint="eastAsia" w:ascii="宋体" w:hAnsi="宋体" w:eastAsia="宋体" w:cs="宋体"/>
          <w:b/>
          <w:bCs/>
          <w:color w:val="auto"/>
          <w:kern w:val="0"/>
          <w:sz w:val="28"/>
          <w:szCs w:val="28"/>
          <w:highlight w:val="none"/>
          <w:lang w:val="en-US" w:eastAsia="zh-CN" w:bidi="ar-SA"/>
        </w:rPr>
        <w:t>注：1.</w:t>
      </w:r>
      <w:r>
        <w:rPr>
          <w:rFonts w:hint="eastAsia" w:ascii="宋体" w:hAnsi="宋体" w:cs="宋体"/>
          <w:b/>
          <w:bCs/>
          <w:color w:val="auto"/>
          <w:kern w:val="0"/>
          <w:sz w:val="28"/>
          <w:szCs w:val="28"/>
          <w:highlight w:val="none"/>
          <w:lang w:val="en-US" w:eastAsia="zh-CN" w:bidi="ar-SA"/>
        </w:rPr>
        <w:t>声明函</w:t>
      </w:r>
      <w:r>
        <w:rPr>
          <w:rFonts w:hint="eastAsia" w:ascii="宋体" w:hAnsi="宋体" w:eastAsia="宋体" w:cs="宋体"/>
          <w:b/>
          <w:bCs/>
          <w:color w:val="auto"/>
          <w:kern w:val="0"/>
          <w:sz w:val="28"/>
          <w:szCs w:val="28"/>
          <w:highlight w:val="none"/>
          <w:lang w:val="en-US" w:eastAsia="zh-CN" w:bidi="ar-SA"/>
        </w:rPr>
        <w:t>加盖供应商公章。</w:t>
      </w:r>
      <w:r>
        <w:rPr>
          <w:rStyle w:val="62"/>
          <w:rFonts w:hint="eastAsia" w:ascii="仿宋" w:hAnsi="仿宋" w:eastAsia="仿宋" w:cs="仿宋"/>
          <w:b/>
          <w:color w:val="auto"/>
          <w:kern w:val="2"/>
          <w:szCs w:val="24"/>
          <w:highlight w:val="none"/>
          <w:lang w:val="en-US" w:eastAsia="zh-CN" w:bidi="ar-SA"/>
        </w:rPr>
        <w:br w:type="page"/>
      </w:r>
    </w:p>
    <w:p w14:paraId="287748D7">
      <w:pPr>
        <w:keepNext w:val="0"/>
        <w:keepLines w:val="0"/>
        <w:pageBreakBefore w:val="0"/>
        <w:widowControl w:val="0"/>
        <w:tabs>
          <w:tab w:val="left" w:pos="6300"/>
        </w:tabs>
        <w:kinsoku/>
        <w:wordWrap/>
        <w:overflowPunct/>
        <w:topLinePunct w:val="0"/>
        <w:autoSpaceDE/>
        <w:autoSpaceDN/>
        <w:bidi w:val="0"/>
        <w:adjustRightInd/>
        <w:snapToGrid w:val="0"/>
        <w:spacing w:before="157" w:beforeLines="50" w:line="500" w:lineRule="exact"/>
        <w:ind w:firstLine="562" w:firstLineChars="200"/>
        <w:jc w:val="center"/>
        <w:textAlignment w:val="auto"/>
        <w:outlineLvl w:val="0"/>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残疾人福利性单位声明函（如有）</w:t>
      </w:r>
    </w:p>
    <w:p w14:paraId="5A896A76">
      <w:pPr>
        <w:tabs>
          <w:tab w:val="left" w:pos="6300"/>
        </w:tabs>
        <w:snapToGrid w:val="0"/>
        <w:spacing w:line="500" w:lineRule="exact"/>
        <w:ind w:firstLine="480" w:firstLineChars="200"/>
        <w:rPr>
          <w:rFonts w:hint="eastAsia" w:ascii="宋体" w:hAnsi="宋体" w:eastAsia="宋体" w:cs="宋体"/>
          <w:color w:val="auto"/>
          <w:sz w:val="24"/>
          <w:highlight w:val="none"/>
        </w:rPr>
      </w:pPr>
    </w:p>
    <w:p w14:paraId="21BD42D9">
      <w:pPr>
        <w:tabs>
          <w:tab w:val="left" w:pos="6300"/>
        </w:tabs>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szCs w:val="24"/>
          <w:highlight w:val="none"/>
          <w:u w:val="single"/>
        </w:rPr>
        <w:t>_（</w:t>
      </w:r>
      <w:r>
        <w:rPr>
          <w:rFonts w:hint="eastAsia" w:ascii="宋体" w:hAnsi="宋体" w:cs="宋体"/>
          <w:color w:val="auto"/>
          <w:sz w:val="24"/>
          <w:szCs w:val="24"/>
          <w:highlight w:val="none"/>
          <w:u w:val="single"/>
          <w:lang w:eastAsia="zh-CN"/>
        </w:rPr>
        <w:t>招标人</w:t>
      </w:r>
      <w:r>
        <w:rPr>
          <w:rFonts w:hint="eastAsia" w:ascii="宋体" w:hAnsi="宋体" w:eastAsia="宋体" w:cs="宋体"/>
          <w:color w:val="auto"/>
          <w:sz w:val="24"/>
          <w:szCs w:val="24"/>
          <w:highlight w:val="none"/>
          <w:u w:val="single"/>
        </w:rPr>
        <w:t>）单位</w:t>
      </w:r>
      <w:r>
        <w:rPr>
          <w:rFonts w:hint="eastAsia" w:ascii="宋体" w:hAnsi="宋体" w:eastAsia="宋体" w:cs="宋体"/>
          <w:color w:val="auto"/>
          <w:sz w:val="24"/>
          <w:szCs w:val="24"/>
          <w:highlight w:val="none"/>
        </w:rPr>
        <w:t>的______项目采购活动提供本单位制造的货物</w:t>
      </w:r>
      <w:r>
        <w:rPr>
          <w:rFonts w:hint="eastAsia" w:ascii="宋体" w:hAnsi="宋体" w:eastAsia="宋体" w:cs="宋体"/>
          <w:color w:val="auto"/>
          <w:sz w:val="24"/>
          <w:szCs w:val="24"/>
          <w:highlight w:val="none"/>
          <w:u w:val="single"/>
        </w:rPr>
        <w:t>（由本单位承担工程/提供服务）</w:t>
      </w:r>
      <w:r>
        <w:rPr>
          <w:rFonts w:hint="eastAsia" w:ascii="宋体" w:hAnsi="宋体" w:eastAsia="宋体" w:cs="宋体"/>
          <w:color w:val="auto"/>
          <w:sz w:val="24"/>
          <w:szCs w:val="24"/>
          <w:highlight w:val="none"/>
        </w:rPr>
        <w:t>，或者提供其他残疾人福利性单位制造的货物（不包括使用非残疾人福利性单位注册商标的货物）。</w:t>
      </w:r>
    </w:p>
    <w:p w14:paraId="72431165">
      <w:pPr>
        <w:tabs>
          <w:tab w:val="left" w:pos="6300"/>
        </w:tabs>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6B8C84FA">
      <w:pPr>
        <w:tabs>
          <w:tab w:val="left" w:pos="6300"/>
        </w:tabs>
        <w:snapToGrid w:val="0"/>
        <w:spacing w:line="500" w:lineRule="exact"/>
        <w:ind w:firstLine="480" w:firstLineChars="200"/>
        <w:rPr>
          <w:rFonts w:hint="eastAsia" w:ascii="宋体" w:hAnsi="宋体" w:eastAsia="宋体" w:cs="宋体"/>
          <w:color w:val="auto"/>
          <w:sz w:val="24"/>
          <w:szCs w:val="24"/>
          <w:highlight w:val="none"/>
        </w:rPr>
      </w:pPr>
    </w:p>
    <w:p w14:paraId="66F921A8">
      <w:pPr>
        <w:spacing w:line="4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投标单位：</w:t>
      </w:r>
      <w:r>
        <w:rPr>
          <w:rFonts w:hint="eastAsia" w:ascii="宋体" w:hAnsi="宋体" w:eastAsia="宋体" w:cs="宋体"/>
          <w:bCs/>
          <w:color w:val="auto"/>
          <w:sz w:val="24"/>
          <w:szCs w:val="24"/>
          <w:highlight w:val="none"/>
          <w:u w:val="single"/>
        </w:rPr>
        <w:t xml:space="preserve">   （全称）（盖章）  </w:t>
      </w:r>
    </w:p>
    <w:p w14:paraId="4224DB02">
      <w:pPr>
        <w:pStyle w:val="14"/>
        <w:spacing w:line="420" w:lineRule="exact"/>
        <w:rPr>
          <w:rFonts w:hint="eastAsia" w:ascii="宋体" w:hAnsi="宋体" w:eastAsia="宋体" w:cs="宋体"/>
          <w:bCs/>
          <w:color w:val="auto"/>
          <w:sz w:val="24"/>
          <w:szCs w:val="24"/>
          <w:highlight w:val="none"/>
        </w:rPr>
      </w:pPr>
      <w:r>
        <w:rPr>
          <w:rFonts w:hint="eastAsia" w:ascii="宋体" w:hAnsi="宋体" w:eastAsia="宋体" w:cs="宋体"/>
          <w:b w:val="0"/>
          <w:bCs w:val="0"/>
          <w:color w:val="auto"/>
          <w:sz w:val="24"/>
          <w:szCs w:val="24"/>
          <w:highlight w:val="none"/>
        </w:rPr>
        <w:t>法定代表人或委托代理人：</w:t>
      </w:r>
      <w:r>
        <w:rPr>
          <w:rFonts w:hint="eastAsia" w:ascii="宋体" w:hAnsi="宋体" w:eastAsia="宋体" w:cs="宋体"/>
          <w:b w:val="0"/>
          <w:bCs w:val="0"/>
          <w:color w:val="auto"/>
          <w:sz w:val="24"/>
          <w:szCs w:val="24"/>
          <w:highlight w:val="none"/>
          <w:u w:val="single"/>
        </w:rPr>
        <w:t>（签字或盖章）</w:t>
      </w:r>
    </w:p>
    <w:p w14:paraId="67B76559">
      <w:pPr>
        <w:widowControl/>
        <w:adjustRightInd w:val="0"/>
        <w:snapToGrid w:val="0"/>
        <w:spacing w:line="420" w:lineRule="exact"/>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9ACCABE">
      <w:pPr>
        <w:spacing w:line="360" w:lineRule="auto"/>
        <w:jc w:val="left"/>
        <w:rPr>
          <w:rFonts w:hint="eastAsia" w:ascii="宋体" w:hAnsi="宋体" w:eastAsia="宋体" w:cs="宋体"/>
          <w:bCs/>
          <w:color w:val="auto"/>
          <w:sz w:val="24"/>
          <w:szCs w:val="24"/>
          <w:highlight w:val="none"/>
        </w:rPr>
      </w:pPr>
    </w:p>
    <w:p w14:paraId="5B7B722A">
      <w:pPr>
        <w:widowControl/>
        <w:spacing w:line="440" w:lineRule="exact"/>
        <w:ind w:firstLine="48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注：须提供证明材料（能反映出企业残疾人的占比等情况的材料及残疾人证等）。</w:t>
      </w:r>
    </w:p>
    <w:p w14:paraId="4C26EA8C">
      <w:pPr>
        <w:spacing w:line="360" w:lineRule="auto"/>
        <w:ind w:firstLine="220" w:firstLineChars="100"/>
        <w:jc w:val="left"/>
        <w:rPr>
          <w:rFonts w:hint="eastAsia" w:ascii="宋体" w:hAnsi="宋体" w:eastAsia="宋体" w:cs="宋体"/>
          <w:bCs/>
          <w:color w:val="auto"/>
          <w:sz w:val="22"/>
          <w:szCs w:val="30"/>
          <w:highlight w:val="none"/>
        </w:rPr>
      </w:pPr>
    </w:p>
    <w:p w14:paraId="4A8680EB">
      <w:pPr>
        <w:spacing w:line="360" w:lineRule="auto"/>
        <w:jc w:val="center"/>
        <w:rPr>
          <w:rFonts w:hint="eastAsia" w:ascii="宋体" w:hAnsi="宋体" w:eastAsia="宋体" w:cs="宋体"/>
          <w:b/>
          <w:bCs/>
          <w:color w:val="auto"/>
          <w:sz w:val="30"/>
          <w:szCs w:val="30"/>
          <w:highlight w:val="none"/>
        </w:rPr>
      </w:pPr>
    </w:p>
    <w:p w14:paraId="4A7928A7">
      <w:pPr>
        <w:widowControl/>
        <w:spacing w:line="560" w:lineRule="exact"/>
        <w:jc w:val="center"/>
        <w:rPr>
          <w:rFonts w:hint="eastAsia" w:ascii="宋体" w:hAnsi="宋体" w:eastAsia="宋体" w:cs="宋体"/>
          <w:b/>
          <w:color w:val="auto"/>
          <w:sz w:val="32"/>
          <w:szCs w:val="32"/>
          <w:highlight w:val="none"/>
        </w:rPr>
      </w:pPr>
    </w:p>
    <w:p w14:paraId="2D2C33DC">
      <w:pPr>
        <w:widowControl/>
        <w:spacing w:line="560" w:lineRule="exact"/>
        <w:jc w:val="center"/>
        <w:rPr>
          <w:rFonts w:hint="eastAsia" w:ascii="宋体" w:hAnsi="宋体" w:eastAsia="宋体" w:cs="宋体"/>
          <w:b/>
          <w:color w:val="auto"/>
          <w:sz w:val="32"/>
          <w:szCs w:val="32"/>
          <w:highlight w:val="none"/>
        </w:rPr>
      </w:pPr>
    </w:p>
    <w:p w14:paraId="1C5F94E2">
      <w:pPr>
        <w:widowControl/>
        <w:spacing w:line="560" w:lineRule="exact"/>
        <w:jc w:val="center"/>
        <w:rPr>
          <w:rStyle w:val="62"/>
          <w:rFonts w:hint="eastAsia" w:ascii="宋体" w:hAnsi="宋体" w:eastAsia="宋体" w:cs="宋体"/>
          <w:b/>
          <w:color w:val="auto"/>
          <w:kern w:val="2"/>
          <w:szCs w:val="24"/>
          <w:highlight w:val="none"/>
          <w:lang w:val="en-US" w:eastAsia="zh-CN" w:bidi="ar-SA"/>
        </w:rPr>
      </w:pPr>
      <w:r>
        <w:rPr>
          <w:rStyle w:val="62"/>
          <w:rFonts w:hint="eastAsia" w:ascii="仿宋" w:hAnsi="仿宋" w:eastAsia="仿宋" w:cs="仿宋"/>
          <w:b/>
          <w:color w:val="auto"/>
          <w:kern w:val="2"/>
          <w:szCs w:val="24"/>
          <w:highlight w:val="none"/>
          <w:lang w:val="en-US" w:eastAsia="zh-CN" w:bidi="ar-SA"/>
        </w:rPr>
        <w:br w:type="page"/>
      </w:r>
      <w:r>
        <w:rPr>
          <w:rFonts w:hint="eastAsia" w:ascii="宋体" w:hAnsi="宋体" w:eastAsia="宋体" w:cs="宋体"/>
          <w:b/>
          <w:color w:val="auto"/>
          <w:kern w:val="2"/>
          <w:sz w:val="28"/>
          <w:szCs w:val="28"/>
          <w:highlight w:val="none"/>
          <w:lang w:val="en-US" w:eastAsia="zh-CN" w:bidi="ar-SA"/>
        </w:rPr>
        <w:t>监狱企业证明文件（如有）</w:t>
      </w:r>
    </w:p>
    <w:p w14:paraId="31F0F311">
      <w:pPr>
        <w:spacing w:line="400" w:lineRule="exact"/>
        <w:ind w:firstLine="480" w:firstLineChars="200"/>
        <w:jc w:val="left"/>
        <w:rPr>
          <w:rFonts w:hint="eastAsia" w:ascii="宋体" w:hAnsi="宋体" w:eastAsia="宋体" w:cs="宋体"/>
          <w:color w:val="auto"/>
          <w:sz w:val="24"/>
          <w:highlight w:val="none"/>
        </w:rPr>
      </w:pPr>
    </w:p>
    <w:p w14:paraId="342E78AC">
      <w:pPr>
        <w:widowControl/>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监狱企业证明（如属于监狱企业，需提供由省级以上监狱管理局、戒毒管理局（含新疆生产建设兵团）出具的属于监狱企业的证明文件）；</w:t>
      </w:r>
    </w:p>
    <w:p w14:paraId="57CA4DC3">
      <w:pPr>
        <w:widowControl/>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2.证明材料加盖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公章。</w:t>
      </w:r>
    </w:p>
    <w:p w14:paraId="70D51EB6">
      <w:pPr>
        <w:rPr>
          <w:rFonts w:hint="eastAsia" w:ascii="宋体" w:hAnsi="宋体" w:eastAsia="宋体" w:cs="宋体"/>
          <w:color w:val="auto"/>
          <w:sz w:val="24"/>
          <w:szCs w:val="24"/>
          <w:highlight w:val="none"/>
        </w:rPr>
      </w:pPr>
    </w:p>
    <w:p w14:paraId="215F0AFA">
      <w:pPr>
        <w:rPr>
          <w:rFonts w:hint="eastAsia" w:ascii="宋体" w:hAnsi="宋体" w:eastAsia="宋体" w:cs="宋体"/>
          <w:color w:val="auto"/>
          <w:sz w:val="24"/>
          <w:highlight w:val="none"/>
        </w:rPr>
      </w:pPr>
    </w:p>
    <w:p w14:paraId="4D0ACED7">
      <w:pPr>
        <w:rPr>
          <w:rFonts w:hint="eastAsia" w:ascii="宋体" w:hAnsi="宋体" w:eastAsia="宋体" w:cs="宋体"/>
          <w:color w:val="auto"/>
          <w:sz w:val="24"/>
          <w:highlight w:val="none"/>
        </w:rPr>
      </w:pPr>
    </w:p>
    <w:p w14:paraId="28F10FCE">
      <w:pPr>
        <w:rPr>
          <w:rFonts w:hint="eastAsia" w:ascii="宋体" w:hAnsi="宋体" w:eastAsia="宋体" w:cs="宋体"/>
          <w:color w:val="auto"/>
          <w:sz w:val="24"/>
          <w:highlight w:val="none"/>
        </w:rPr>
      </w:pPr>
    </w:p>
    <w:p w14:paraId="4FC59D9E">
      <w:pPr>
        <w:rPr>
          <w:rFonts w:hint="eastAsia" w:ascii="宋体" w:hAnsi="宋体" w:eastAsia="宋体" w:cs="宋体"/>
          <w:color w:val="auto"/>
          <w:sz w:val="24"/>
          <w:highlight w:val="none"/>
        </w:rPr>
      </w:pPr>
    </w:p>
    <w:p w14:paraId="0AAAA1D5">
      <w:pPr>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color w:val="auto"/>
          <w:sz w:val="24"/>
          <w:highlight w:val="none"/>
        </w:rPr>
        <w:br w:type="page"/>
      </w:r>
      <w:r>
        <w:rPr>
          <w:rFonts w:hint="eastAsia" w:ascii="宋体" w:hAnsi="宋体" w:eastAsia="宋体" w:cs="宋体"/>
          <w:b/>
          <w:color w:val="auto"/>
          <w:kern w:val="2"/>
          <w:sz w:val="28"/>
          <w:szCs w:val="28"/>
          <w:highlight w:val="none"/>
          <w:lang w:val="en-US" w:eastAsia="zh-CN" w:bidi="ar-SA"/>
        </w:rPr>
        <w:t>不参与围标串标承诺书</w:t>
      </w:r>
    </w:p>
    <w:p w14:paraId="48E74AE5">
      <w:pPr>
        <w:pStyle w:val="14"/>
        <w:rPr>
          <w:rFonts w:hint="eastAsia" w:ascii="宋体" w:hAnsi="宋体" w:eastAsia="宋体" w:cs="宋体"/>
          <w:color w:val="auto"/>
          <w:highlight w:val="none"/>
          <w:lang w:eastAsia="zh-CN"/>
        </w:rPr>
      </w:pPr>
    </w:p>
    <w:p w14:paraId="5B09EC32">
      <w:pPr>
        <w:widowControl/>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本人作为经授权</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代表，清楚知晓我单位本项目投标活动，对以下事项作出承诺：</w:t>
      </w:r>
    </w:p>
    <w:p w14:paraId="78240B05">
      <w:pPr>
        <w:widowControl/>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我单位和我本人遵循公开、公平、公正、诚实守信的原则，依法依规参与本项目竞标。</w:t>
      </w:r>
    </w:p>
    <w:p w14:paraId="65F9A579">
      <w:pPr>
        <w:widowControl/>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我单位和我本人在本项目招投标活动中，未参与围标串标。</w:t>
      </w:r>
    </w:p>
    <w:p w14:paraId="3174F4A8">
      <w:pPr>
        <w:widowControl/>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我单位如被查实在本项目招标投标活动中存在《新疆维吾尔自治区房屋建筑和市政基础设施工程串通投标和弄虚作假行为认定查处办法（试行）》所列围标串标行为的，递交</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行为作为实施串通投标违法行为的关键环节，本人承担直接责任人员法律责任，接受相应行政处罚和失信惩戒。</w:t>
      </w:r>
    </w:p>
    <w:p w14:paraId="1E4450B0">
      <w:pPr>
        <w:widowControl/>
        <w:spacing w:line="560" w:lineRule="exact"/>
        <w:jc w:val="center"/>
        <w:rPr>
          <w:rStyle w:val="62"/>
          <w:rFonts w:hint="eastAsia" w:ascii="宋体" w:hAnsi="宋体" w:eastAsia="宋体" w:cs="宋体"/>
          <w:b/>
          <w:color w:val="auto"/>
          <w:kern w:val="2"/>
          <w:szCs w:val="24"/>
          <w:highlight w:val="none"/>
          <w:lang w:val="en-US" w:eastAsia="zh-CN" w:bidi="ar-SA"/>
        </w:rPr>
      </w:pPr>
    </w:p>
    <w:p w14:paraId="43BF40A9">
      <w:pPr>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《不参与围标串标承诺书》签署页</w:t>
      </w:r>
    </w:p>
    <w:p w14:paraId="35982B9B">
      <w:pPr>
        <w:numPr>
          <w:ilvl w:val="0"/>
          <w:numId w:val="0"/>
        </w:numPr>
        <w:spacing w:line="360" w:lineRule="auto"/>
        <w:ind w:left="21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14:paraId="7D8F43AF">
      <w:pPr>
        <w:pStyle w:val="37"/>
        <w:ind w:left="0" w:leftChars="0" w:firstLine="240" w:firstLineChars="100"/>
        <w:rPr>
          <w:rFonts w:hint="default" w:eastAsia="宋体"/>
          <w:color w:val="auto"/>
          <w:highlight w:val="none"/>
          <w:lang w:val="en-US" w:eastAsia="zh-CN"/>
        </w:rPr>
      </w:pPr>
      <w:r>
        <w:rPr>
          <w:rFonts w:hint="eastAsia" w:hAnsi="宋体" w:cs="宋体"/>
          <w:color w:val="auto"/>
          <w:sz w:val="24"/>
          <w:szCs w:val="24"/>
          <w:highlight w:val="none"/>
          <w:lang w:val="en-US" w:eastAsia="zh-CN"/>
        </w:rPr>
        <w:t>标项名称：</w:t>
      </w:r>
    </w:p>
    <w:p w14:paraId="0D06B94D">
      <w:pPr>
        <w:numPr>
          <w:ilvl w:val="0"/>
          <w:numId w:val="0"/>
        </w:numPr>
        <w:spacing w:line="360" w:lineRule="auto"/>
        <w:ind w:left="210" w:left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 xml:space="preserve">编号：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14:paraId="186DEDF8">
      <w:pPr>
        <w:numPr>
          <w:ilvl w:val="0"/>
          <w:numId w:val="0"/>
        </w:numPr>
        <w:spacing w:line="360" w:lineRule="auto"/>
        <w:ind w:left="210" w:left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日</w:t>
      </w:r>
    </w:p>
    <w:p w14:paraId="22F31AD7">
      <w:pPr>
        <w:pStyle w:val="14"/>
        <w:rPr>
          <w:rFonts w:hint="eastAsia" w:ascii="宋体" w:hAnsi="宋体" w:eastAsia="宋体" w:cs="宋体"/>
          <w:color w:val="auto"/>
          <w:sz w:val="22"/>
          <w:szCs w:val="22"/>
          <w:highlight w:val="none"/>
          <w:lang w:eastAsia="zh-CN"/>
        </w:rPr>
      </w:pPr>
    </w:p>
    <w:tbl>
      <w:tblPr>
        <w:tblStyle w:val="30"/>
        <w:tblW w:w="9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4959"/>
        <w:gridCol w:w="3696"/>
      </w:tblGrid>
      <w:tr w14:paraId="5092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44" w:type="dxa"/>
            <w:noWrap w:val="0"/>
            <w:vAlign w:val="center"/>
          </w:tcPr>
          <w:p w14:paraId="16732D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959" w:type="dxa"/>
            <w:noWrap w:val="0"/>
            <w:vAlign w:val="center"/>
          </w:tcPr>
          <w:p w14:paraId="4C6F92D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投标单位名称</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盖章</w:t>
            </w:r>
            <w:r>
              <w:rPr>
                <w:rFonts w:hint="eastAsia" w:ascii="宋体" w:hAnsi="宋体" w:cs="宋体"/>
                <w:color w:val="auto"/>
                <w:sz w:val="24"/>
                <w:szCs w:val="24"/>
                <w:highlight w:val="none"/>
                <w:lang w:eastAsia="zh-CN"/>
              </w:rPr>
              <w:t>）</w:t>
            </w:r>
          </w:p>
        </w:tc>
        <w:tc>
          <w:tcPr>
            <w:tcW w:w="3696" w:type="dxa"/>
            <w:noWrap w:val="0"/>
            <w:vAlign w:val="center"/>
          </w:tcPr>
          <w:p w14:paraId="414DA9D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投标单位代表签名</w:t>
            </w:r>
            <w:r>
              <w:rPr>
                <w:rFonts w:hint="eastAsia" w:ascii="宋体" w:hAnsi="宋体" w:cs="宋体"/>
                <w:color w:val="auto"/>
                <w:sz w:val="24"/>
                <w:szCs w:val="24"/>
                <w:highlight w:val="none"/>
                <w:lang w:val="en-US" w:eastAsia="zh-CN"/>
              </w:rPr>
              <w:t>或盖章</w:t>
            </w:r>
          </w:p>
        </w:tc>
      </w:tr>
      <w:tr w14:paraId="5845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44" w:type="dxa"/>
            <w:noWrap w:val="0"/>
            <w:vAlign w:val="center"/>
          </w:tcPr>
          <w:p w14:paraId="720EFDB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59" w:type="dxa"/>
            <w:noWrap w:val="0"/>
            <w:vAlign w:val="center"/>
          </w:tcPr>
          <w:p w14:paraId="791B0F00">
            <w:pPr>
              <w:jc w:val="center"/>
              <w:rPr>
                <w:rFonts w:hint="eastAsia" w:ascii="宋体" w:hAnsi="宋体" w:eastAsia="宋体" w:cs="宋体"/>
                <w:color w:val="auto"/>
                <w:sz w:val="24"/>
                <w:szCs w:val="24"/>
                <w:highlight w:val="none"/>
              </w:rPr>
            </w:pPr>
          </w:p>
        </w:tc>
        <w:tc>
          <w:tcPr>
            <w:tcW w:w="3696" w:type="dxa"/>
            <w:noWrap w:val="0"/>
            <w:vAlign w:val="center"/>
          </w:tcPr>
          <w:p w14:paraId="2C90F50B">
            <w:pPr>
              <w:jc w:val="center"/>
              <w:rPr>
                <w:rFonts w:hint="eastAsia" w:ascii="宋体" w:hAnsi="宋体" w:eastAsia="宋体" w:cs="宋体"/>
                <w:color w:val="auto"/>
                <w:sz w:val="24"/>
                <w:szCs w:val="24"/>
                <w:highlight w:val="none"/>
              </w:rPr>
            </w:pPr>
          </w:p>
        </w:tc>
      </w:tr>
    </w:tbl>
    <w:p w14:paraId="7CB7444C">
      <w:pPr>
        <w:pStyle w:val="41"/>
        <w:rPr>
          <w:rFonts w:hint="eastAsia"/>
          <w:color w:val="auto"/>
          <w:sz w:val="22"/>
          <w:szCs w:val="21"/>
          <w:highlight w:val="none"/>
          <w:lang w:val="en-US" w:eastAsia="zh-CN"/>
        </w:rPr>
      </w:pPr>
    </w:p>
    <w:p w14:paraId="49721D24">
      <w:pPr>
        <w:rPr>
          <w:rFonts w:hint="eastAsia"/>
          <w:color w:val="auto"/>
          <w:sz w:val="20"/>
          <w:szCs w:val="22"/>
          <w:highlight w:val="none"/>
          <w:lang w:val="en-US" w:eastAsia="zh-CN"/>
        </w:rPr>
      </w:pPr>
    </w:p>
    <w:p w14:paraId="71110FCC">
      <w:pPr>
        <w:pStyle w:val="41"/>
        <w:rPr>
          <w:rFonts w:hint="eastAsia"/>
          <w:color w:val="auto"/>
          <w:sz w:val="22"/>
          <w:szCs w:val="21"/>
          <w:highlight w:val="none"/>
          <w:lang w:val="en-US" w:eastAsia="zh-CN"/>
        </w:rPr>
      </w:pPr>
    </w:p>
    <w:p w14:paraId="5D20A95A">
      <w:pPr>
        <w:rPr>
          <w:rFonts w:hint="eastAsia"/>
          <w:color w:val="auto"/>
          <w:highlight w:val="none"/>
          <w:lang w:val="en-US" w:eastAsia="zh-CN"/>
        </w:rPr>
      </w:pPr>
    </w:p>
    <w:p w14:paraId="7E7EF385">
      <w:pPr>
        <w:pStyle w:val="41"/>
        <w:rPr>
          <w:rFonts w:hint="eastAsia"/>
          <w:color w:val="auto"/>
          <w:highlight w:val="none"/>
          <w:lang w:val="en-US" w:eastAsia="zh-CN"/>
        </w:rPr>
      </w:pPr>
    </w:p>
    <w:p w14:paraId="518410BD">
      <w:pPr>
        <w:rPr>
          <w:rFonts w:hint="eastAsia"/>
          <w:color w:val="auto"/>
          <w:highlight w:val="none"/>
          <w:lang w:val="en-US" w:eastAsia="zh-CN"/>
        </w:rPr>
      </w:pPr>
    </w:p>
    <w:p w14:paraId="5980B3CB">
      <w:pPr>
        <w:pStyle w:val="41"/>
        <w:rPr>
          <w:rFonts w:hint="eastAsia"/>
          <w:color w:val="auto"/>
          <w:highlight w:val="none"/>
          <w:lang w:val="en-US" w:eastAsia="zh-CN"/>
        </w:rPr>
      </w:pPr>
    </w:p>
    <w:p w14:paraId="2D2F011A">
      <w:pPr>
        <w:rPr>
          <w:rFonts w:hint="eastAsia"/>
          <w:color w:val="auto"/>
          <w:highlight w:val="none"/>
          <w:lang w:val="en-US" w:eastAsia="zh-CN"/>
        </w:rPr>
      </w:pPr>
    </w:p>
    <w:p w14:paraId="70D571A0">
      <w:pPr>
        <w:pStyle w:val="41"/>
        <w:rPr>
          <w:rFonts w:hint="eastAsia"/>
          <w:color w:val="auto"/>
          <w:highlight w:val="none"/>
          <w:lang w:val="en-US" w:eastAsia="zh-CN"/>
        </w:rPr>
      </w:pPr>
    </w:p>
    <w:p w14:paraId="647B8E42">
      <w:pPr>
        <w:rPr>
          <w:rFonts w:hint="eastAsia"/>
          <w:color w:val="auto"/>
          <w:highlight w:val="none"/>
          <w:lang w:val="en-US" w:eastAsia="zh-CN"/>
        </w:rPr>
      </w:pPr>
    </w:p>
    <w:p w14:paraId="6D919C1A">
      <w:pPr>
        <w:pStyle w:val="41"/>
        <w:rPr>
          <w:rFonts w:hint="eastAsia"/>
          <w:color w:val="auto"/>
          <w:highlight w:val="none"/>
          <w:lang w:val="en-US" w:eastAsia="zh-CN"/>
        </w:rPr>
      </w:pPr>
    </w:p>
    <w:p w14:paraId="1CECCAAA">
      <w:pPr>
        <w:rPr>
          <w:rFonts w:hint="eastAsia"/>
          <w:color w:val="auto"/>
          <w:highlight w:val="none"/>
          <w:lang w:val="en-US" w:eastAsia="zh-CN"/>
        </w:rPr>
      </w:pPr>
    </w:p>
    <w:p w14:paraId="6EC8F11F">
      <w:pPr>
        <w:pStyle w:val="41"/>
        <w:rPr>
          <w:rFonts w:hint="eastAsia"/>
          <w:color w:val="auto"/>
          <w:highlight w:val="none"/>
          <w:lang w:val="en-US" w:eastAsia="zh-CN"/>
        </w:rPr>
      </w:pPr>
    </w:p>
    <w:p w14:paraId="15DF006A">
      <w:pPr>
        <w:rPr>
          <w:rFonts w:hint="eastAsia"/>
          <w:color w:val="auto"/>
          <w:highlight w:val="none"/>
          <w:lang w:val="en-US" w:eastAsia="zh-CN"/>
        </w:rPr>
      </w:pPr>
    </w:p>
    <w:p w14:paraId="6E590B45">
      <w:pPr>
        <w:spacing w:line="360" w:lineRule="auto"/>
        <w:jc w:val="center"/>
        <w:rPr>
          <w:rFonts w:hint="eastAsia" w:ascii="宋体" w:hAnsi="宋体" w:eastAsia="宋体" w:cs="宋体"/>
          <w:b/>
          <w:color w:val="auto"/>
          <w:sz w:val="28"/>
          <w:szCs w:val="28"/>
          <w:highlight w:val="none"/>
          <w:lang w:val="en-US" w:eastAsia="zh-CN"/>
        </w:rPr>
      </w:pPr>
    </w:p>
    <w:p w14:paraId="44622E7D">
      <w:pPr>
        <w:spacing w:line="360" w:lineRule="auto"/>
        <w:jc w:val="center"/>
        <w:rPr>
          <w:rFonts w:hint="eastAsia" w:ascii="宋体" w:hAnsi="宋体" w:eastAsia="宋体" w:cs="宋体"/>
          <w:b/>
          <w:color w:val="auto"/>
          <w:sz w:val="28"/>
          <w:szCs w:val="28"/>
          <w:highlight w:val="none"/>
          <w:lang w:val="en-US" w:eastAsia="zh-CN"/>
        </w:rPr>
      </w:pPr>
    </w:p>
    <w:p w14:paraId="63B0B4BE">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00BED3D8">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8</w:t>
      </w: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近三年项目业绩一览表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493"/>
        <w:gridCol w:w="1329"/>
        <w:gridCol w:w="1497"/>
        <w:gridCol w:w="1403"/>
        <w:gridCol w:w="1422"/>
        <w:gridCol w:w="1440"/>
      </w:tblGrid>
      <w:tr w14:paraId="7033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1172" w:type="dxa"/>
            <w:noWrap w:val="0"/>
            <w:vAlign w:val="center"/>
          </w:tcPr>
          <w:p w14:paraId="14A4293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93" w:type="dxa"/>
            <w:noWrap w:val="0"/>
            <w:vAlign w:val="center"/>
          </w:tcPr>
          <w:p w14:paraId="2E5F1F4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329" w:type="dxa"/>
            <w:noWrap w:val="0"/>
            <w:vAlign w:val="center"/>
          </w:tcPr>
          <w:p w14:paraId="2A84DB3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招标单位</w:t>
            </w:r>
          </w:p>
        </w:tc>
        <w:tc>
          <w:tcPr>
            <w:tcW w:w="1497" w:type="dxa"/>
            <w:noWrap w:val="0"/>
            <w:vAlign w:val="center"/>
          </w:tcPr>
          <w:p w14:paraId="2677268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p>
        </w:tc>
        <w:tc>
          <w:tcPr>
            <w:tcW w:w="1403" w:type="dxa"/>
            <w:noWrap w:val="0"/>
            <w:vAlign w:val="center"/>
          </w:tcPr>
          <w:p w14:paraId="14A00F8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w:t>
            </w:r>
          </w:p>
        </w:tc>
        <w:tc>
          <w:tcPr>
            <w:tcW w:w="1422" w:type="dxa"/>
            <w:noWrap w:val="0"/>
            <w:vAlign w:val="center"/>
          </w:tcPr>
          <w:p w14:paraId="4F31EB4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1440" w:type="dxa"/>
            <w:noWrap w:val="0"/>
            <w:vAlign w:val="center"/>
          </w:tcPr>
          <w:p w14:paraId="71763E5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r>
      <w:tr w14:paraId="7408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1172" w:type="dxa"/>
            <w:noWrap w:val="0"/>
            <w:vAlign w:val="top"/>
          </w:tcPr>
          <w:p w14:paraId="0CACC23F">
            <w:pPr>
              <w:spacing w:line="360" w:lineRule="auto"/>
              <w:jc w:val="center"/>
              <w:rPr>
                <w:rFonts w:hint="eastAsia" w:ascii="宋体" w:hAnsi="宋体" w:eastAsia="宋体" w:cs="宋体"/>
                <w:color w:val="auto"/>
                <w:sz w:val="24"/>
                <w:szCs w:val="24"/>
                <w:highlight w:val="none"/>
              </w:rPr>
            </w:pPr>
          </w:p>
        </w:tc>
        <w:tc>
          <w:tcPr>
            <w:tcW w:w="1493" w:type="dxa"/>
            <w:noWrap w:val="0"/>
            <w:vAlign w:val="center"/>
          </w:tcPr>
          <w:p w14:paraId="0A52FF1B">
            <w:pPr>
              <w:spacing w:line="360" w:lineRule="auto"/>
              <w:jc w:val="center"/>
              <w:rPr>
                <w:rFonts w:hint="eastAsia" w:ascii="宋体" w:hAnsi="宋体" w:eastAsia="宋体" w:cs="宋体"/>
                <w:color w:val="auto"/>
                <w:sz w:val="24"/>
                <w:szCs w:val="24"/>
                <w:highlight w:val="none"/>
              </w:rPr>
            </w:pPr>
          </w:p>
        </w:tc>
        <w:tc>
          <w:tcPr>
            <w:tcW w:w="1329" w:type="dxa"/>
            <w:noWrap w:val="0"/>
            <w:vAlign w:val="top"/>
          </w:tcPr>
          <w:p w14:paraId="7FD2A1B6">
            <w:pPr>
              <w:spacing w:line="360" w:lineRule="auto"/>
              <w:jc w:val="center"/>
              <w:rPr>
                <w:rFonts w:hint="eastAsia" w:ascii="宋体" w:hAnsi="宋体" w:eastAsia="宋体" w:cs="宋体"/>
                <w:color w:val="auto"/>
                <w:sz w:val="24"/>
                <w:szCs w:val="24"/>
                <w:highlight w:val="none"/>
              </w:rPr>
            </w:pPr>
          </w:p>
        </w:tc>
        <w:tc>
          <w:tcPr>
            <w:tcW w:w="1497" w:type="dxa"/>
            <w:noWrap w:val="0"/>
            <w:vAlign w:val="center"/>
          </w:tcPr>
          <w:p w14:paraId="4E735A0D">
            <w:pPr>
              <w:spacing w:line="360" w:lineRule="auto"/>
              <w:jc w:val="center"/>
              <w:rPr>
                <w:rFonts w:hint="eastAsia" w:ascii="宋体" w:hAnsi="宋体" w:eastAsia="宋体" w:cs="宋体"/>
                <w:color w:val="auto"/>
                <w:sz w:val="24"/>
                <w:szCs w:val="24"/>
                <w:highlight w:val="none"/>
              </w:rPr>
            </w:pPr>
          </w:p>
        </w:tc>
        <w:tc>
          <w:tcPr>
            <w:tcW w:w="1403" w:type="dxa"/>
            <w:noWrap w:val="0"/>
            <w:vAlign w:val="center"/>
          </w:tcPr>
          <w:p w14:paraId="064003C2">
            <w:pPr>
              <w:spacing w:line="360" w:lineRule="auto"/>
              <w:jc w:val="center"/>
              <w:rPr>
                <w:rFonts w:hint="eastAsia" w:ascii="宋体" w:hAnsi="宋体" w:eastAsia="宋体" w:cs="宋体"/>
                <w:color w:val="auto"/>
                <w:sz w:val="24"/>
                <w:szCs w:val="24"/>
                <w:highlight w:val="none"/>
              </w:rPr>
            </w:pPr>
          </w:p>
        </w:tc>
        <w:tc>
          <w:tcPr>
            <w:tcW w:w="1422" w:type="dxa"/>
            <w:noWrap w:val="0"/>
            <w:vAlign w:val="center"/>
          </w:tcPr>
          <w:p w14:paraId="42983EFC">
            <w:pPr>
              <w:spacing w:line="360" w:lineRule="auto"/>
              <w:jc w:val="center"/>
              <w:rPr>
                <w:rFonts w:hint="eastAsia" w:ascii="宋体" w:hAnsi="宋体" w:eastAsia="宋体" w:cs="宋体"/>
                <w:color w:val="auto"/>
                <w:sz w:val="24"/>
                <w:szCs w:val="24"/>
                <w:highlight w:val="none"/>
              </w:rPr>
            </w:pPr>
          </w:p>
        </w:tc>
        <w:tc>
          <w:tcPr>
            <w:tcW w:w="1440" w:type="dxa"/>
            <w:noWrap w:val="0"/>
            <w:vAlign w:val="center"/>
          </w:tcPr>
          <w:p w14:paraId="657C1398">
            <w:pPr>
              <w:spacing w:line="360" w:lineRule="auto"/>
              <w:jc w:val="center"/>
              <w:rPr>
                <w:rFonts w:hint="eastAsia" w:ascii="宋体" w:hAnsi="宋体" w:eastAsia="宋体" w:cs="宋体"/>
                <w:color w:val="auto"/>
                <w:sz w:val="24"/>
                <w:szCs w:val="24"/>
                <w:highlight w:val="none"/>
              </w:rPr>
            </w:pPr>
          </w:p>
        </w:tc>
      </w:tr>
      <w:tr w14:paraId="15EF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1172" w:type="dxa"/>
            <w:noWrap w:val="0"/>
            <w:vAlign w:val="top"/>
          </w:tcPr>
          <w:p w14:paraId="228DC82A">
            <w:pPr>
              <w:spacing w:line="360" w:lineRule="auto"/>
              <w:jc w:val="center"/>
              <w:rPr>
                <w:rFonts w:hint="eastAsia" w:ascii="宋体" w:hAnsi="宋体" w:eastAsia="宋体" w:cs="宋体"/>
                <w:color w:val="auto"/>
                <w:sz w:val="24"/>
                <w:szCs w:val="24"/>
                <w:highlight w:val="none"/>
              </w:rPr>
            </w:pPr>
          </w:p>
        </w:tc>
        <w:tc>
          <w:tcPr>
            <w:tcW w:w="1493" w:type="dxa"/>
            <w:noWrap w:val="0"/>
            <w:vAlign w:val="center"/>
          </w:tcPr>
          <w:p w14:paraId="25DBF312">
            <w:pPr>
              <w:spacing w:line="360" w:lineRule="auto"/>
              <w:jc w:val="center"/>
              <w:rPr>
                <w:rFonts w:hint="eastAsia" w:ascii="宋体" w:hAnsi="宋体" w:eastAsia="宋体" w:cs="宋体"/>
                <w:color w:val="auto"/>
                <w:sz w:val="24"/>
                <w:szCs w:val="24"/>
                <w:highlight w:val="none"/>
              </w:rPr>
            </w:pPr>
          </w:p>
        </w:tc>
        <w:tc>
          <w:tcPr>
            <w:tcW w:w="1329" w:type="dxa"/>
            <w:noWrap w:val="0"/>
            <w:vAlign w:val="top"/>
          </w:tcPr>
          <w:p w14:paraId="08378308">
            <w:pPr>
              <w:spacing w:line="360" w:lineRule="auto"/>
              <w:jc w:val="center"/>
              <w:rPr>
                <w:rFonts w:hint="eastAsia" w:ascii="宋体" w:hAnsi="宋体" w:eastAsia="宋体" w:cs="宋体"/>
                <w:color w:val="auto"/>
                <w:sz w:val="24"/>
                <w:szCs w:val="24"/>
                <w:highlight w:val="none"/>
              </w:rPr>
            </w:pPr>
          </w:p>
        </w:tc>
        <w:tc>
          <w:tcPr>
            <w:tcW w:w="1497" w:type="dxa"/>
            <w:noWrap w:val="0"/>
            <w:vAlign w:val="center"/>
          </w:tcPr>
          <w:p w14:paraId="1D683CCB">
            <w:pPr>
              <w:spacing w:line="360" w:lineRule="auto"/>
              <w:jc w:val="center"/>
              <w:rPr>
                <w:rFonts w:hint="eastAsia" w:ascii="宋体" w:hAnsi="宋体" w:eastAsia="宋体" w:cs="宋体"/>
                <w:color w:val="auto"/>
                <w:sz w:val="24"/>
                <w:szCs w:val="24"/>
                <w:highlight w:val="none"/>
              </w:rPr>
            </w:pPr>
          </w:p>
        </w:tc>
        <w:tc>
          <w:tcPr>
            <w:tcW w:w="1403" w:type="dxa"/>
            <w:noWrap w:val="0"/>
            <w:vAlign w:val="center"/>
          </w:tcPr>
          <w:p w14:paraId="75D99678">
            <w:pPr>
              <w:spacing w:line="360" w:lineRule="auto"/>
              <w:jc w:val="center"/>
              <w:rPr>
                <w:rFonts w:hint="eastAsia" w:ascii="宋体" w:hAnsi="宋体" w:eastAsia="宋体" w:cs="宋体"/>
                <w:color w:val="auto"/>
                <w:sz w:val="24"/>
                <w:szCs w:val="24"/>
                <w:highlight w:val="none"/>
              </w:rPr>
            </w:pPr>
          </w:p>
        </w:tc>
        <w:tc>
          <w:tcPr>
            <w:tcW w:w="1422" w:type="dxa"/>
            <w:noWrap w:val="0"/>
            <w:vAlign w:val="center"/>
          </w:tcPr>
          <w:p w14:paraId="0B376266">
            <w:pPr>
              <w:spacing w:line="360" w:lineRule="auto"/>
              <w:jc w:val="center"/>
              <w:rPr>
                <w:rFonts w:hint="eastAsia" w:ascii="宋体" w:hAnsi="宋体" w:eastAsia="宋体" w:cs="宋体"/>
                <w:color w:val="auto"/>
                <w:sz w:val="24"/>
                <w:szCs w:val="24"/>
                <w:highlight w:val="none"/>
              </w:rPr>
            </w:pPr>
          </w:p>
        </w:tc>
        <w:tc>
          <w:tcPr>
            <w:tcW w:w="1440" w:type="dxa"/>
            <w:noWrap w:val="0"/>
            <w:vAlign w:val="center"/>
          </w:tcPr>
          <w:p w14:paraId="11CC6287">
            <w:pPr>
              <w:spacing w:line="360" w:lineRule="auto"/>
              <w:jc w:val="center"/>
              <w:rPr>
                <w:rFonts w:hint="eastAsia" w:ascii="宋体" w:hAnsi="宋体" w:eastAsia="宋体" w:cs="宋体"/>
                <w:color w:val="auto"/>
                <w:sz w:val="24"/>
                <w:szCs w:val="24"/>
                <w:highlight w:val="none"/>
              </w:rPr>
            </w:pPr>
          </w:p>
        </w:tc>
      </w:tr>
      <w:tr w14:paraId="319D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1172" w:type="dxa"/>
            <w:noWrap w:val="0"/>
            <w:vAlign w:val="top"/>
          </w:tcPr>
          <w:p w14:paraId="766DCF24">
            <w:pPr>
              <w:spacing w:line="360" w:lineRule="auto"/>
              <w:jc w:val="center"/>
              <w:rPr>
                <w:rFonts w:hint="eastAsia" w:ascii="宋体" w:hAnsi="宋体" w:eastAsia="宋体" w:cs="宋体"/>
                <w:color w:val="auto"/>
                <w:sz w:val="24"/>
                <w:szCs w:val="24"/>
                <w:highlight w:val="none"/>
              </w:rPr>
            </w:pPr>
          </w:p>
        </w:tc>
        <w:tc>
          <w:tcPr>
            <w:tcW w:w="1493" w:type="dxa"/>
            <w:noWrap w:val="0"/>
            <w:vAlign w:val="center"/>
          </w:tcPr>
          <w:p w14:paraId="582E458E">
            <w:pPr>
              <w:spacing w:line="360" w:lineRule="auto"/>
              <w:jc w:val="center"/>
              <w:rPr>
                <w:rFonts w:hint="eastAsia" w:ascii="宋体" w:hAnsi="宋体" w:eastAsia="宋体" w:cs="宋体"/>
                <w:color w:val="auto"/>
                <w:sz w:val="24"/>
                <w:szCs w:val="24"/>
                <w:highlight w:val="none"/>
              </w:rPr>
            </w:pPr>
          </w:p>
        </w:tc>
        <w:tc>
          <w:tcPr>
            <w:tcW w:w="1329" w:type="dxa"/>
            <w:noWrap w:val="0"/>
            <w:vAlign w:val="top"/>
          </w:tcPr>
          <w:p w14:paraId="71824AB9">
            <w:pPr>
              <w:spacing w:line="360" w:lineRule="auto"/>
              <w:jc w:val="center"/>
              <w:rPr>
                <w:rFonts w:hint="eastAsia" w:ascii="宋体" w:hAnsi="宋体" w:eastAsia="宋体" w:cs="宋体"/>
                <w:color w:val="auto"/>
                <w:sz w:val="24"/>
                <w:szCs w:val="24"/>
                <w:highlight w:val="none"/>
              </w:rPr>
            </w:pPr>
          </w:p>
        </w:tc>
        <w:tc>
          <w:tcPr>
            <w:tcW w:w="1497" w:type="dxa"/>
            <w:noWrap w:val="0"/>
            <w:vAlign w:val="center"/>
          </w:tcPr>
          <w:p w14:paraId="7744F370">
            <w:pPr>
              <w:spacing w:line="360" w:lineRule="auto"/>
              <w:jc w:val="center"/>
              <w:rPr>
                <w:rFonts w:hint="eastAsia" w:ascii="宋体" w:hAnsi="宋体" w:eastAsia="宋体" w:cs="宋体"/>
                <w:color w:val="auto"/>
                <w:sz w:val="24"/>
                <w:szCs w:val="24"/>
                <w:highlight w:val="none"/>
              </w:rPr>
            </w:pPr>
          </w:p>
        </w:tc>
        <w:tc>
          <w:tcPr>
            <w:tcW w:w="1403" w:type="dxa"/>
            <w:noWrap w:val="0"/>
            <w:vAlign w:val="center"/>
          </w:tcPr>
          <w:p w14:paraId="75BDA5E3">
            <w:pPr>
              <w:spacing w:line="360" w:lineRule="auto"/>
              <w:jc w:val="center"/>
              <w:rPr>
                <w:rFonts w:hint="eastAsia" w:ascii="宋体" w:hAnsi="宋体" w:eastAsia="宋体" w:cs="宋体"/>
                <w:color w:val="auto"/>
                <w:sz w:val="24"/>
                <w:szCs w:val="24"/>
                <w:highlight w:val="none"/>
              </w:rPr>
            </w:pPr>
          </w:p>
        </w:tc>
        <w:tc>
          <w:tcPr>
            <w:tcW w:w="1422" w:type="dxa"/>
            <w:noWrap w:val="0"/>
            <w:vAlign w:val="center"/>
          </w:tcPr>
          <w:p w14:paraId="6BB345FE">
            <w:pPr>
              <w:spacing w:line="360" w:lineRule="auto"/>
              <w:jc w:val="center"/>
              <w:rPr>
                <w:rFonts w:hint="eastAsia" w:ascii="宋体" w:hAnsi="宋体" w:eastAsia="宋体" w:cs="宋体"/>
                <w:color w:val="auto"/>
                <w:sz w:val="24"/>
                <w:szCs w:val="24"/>
                <w:highlight w:val="none"/>
              </w:rPr>
            </w:pPr>
          </w:p>
        </w:tc>
        <w:tc>
          <w:tcPr>
            <w:tcW w:w="1440" w:type="dxa"/>
            <w:noWrap w:val="0"/>
            <w:vAlign w:val="center"/>
          </w:tcPr>
          <w:p w14:paraId="642FC427">
            <w:pPr>
              <w:spacing w:line="360" w:lineRule="auto"/>
              <w:jc w:val="center"/>
              <w:rPr>
                <w:rFonts w:hint="eastAsia" w:ascii="宋体" w:hAnsi="宋体" w:eastAsia="宋体" w:cs="宋体"/>
                <w:color w:val="auto"/>
                <w:sz w:val="24"/>
                <w:szCs w:val="24"/>
                <w:highlight w:val="none"/>
              </w:rPr>
            </w:pPr>
          </w:p>
        </w:tc>
      </w:tr>
      <w:tr w14:paraId="5AA3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9" w:hRule="atLeast"/>
          <w:jc w:val="center"/>
        </w:trPr>
        <w:tc>
          <w:tcPr>
            <w:tcW w:w="1172" w:type="dxa"/>
            <w:noWrap w:val="0"/>
            <w:vAlign w:val="top"/>
          </w:tcPr>
          <w:p w14:paraId="74479571">
            <w:pPr>
              <w:spacing w:line="360" w:lineRule="auto"/>
              <w:jc w:val="center"/>
              <w:rPr>
                <w:rFonts w:hint="eastAsia" w:ascii="宋体" w:hAnsi="宋体" w:eastAsia="宋体" w:cs="宋体"/>
                <w:color w:val="auto"/>
                <w:sz w:val="24"/>
                <w:szCs w:val="24"/>
                <w:highlight w:val="none"/>
              </w:rPr>
            </w:pPr>
          </w:p>
        </w:tc>
        <w:tc>
          <w:tcPr>
            <w:tcW w:w="1493" w:type="dxa"/>
            <w:noWrap w:val="0"/>
            <w:vAlign w:val="center"/>
          </w:tcPr>
          <w:p w14:paraId="37F9DD82">
            <w:pPr>
              <w:spacing w:line="360" w:lineRule="auto"/>
              <w:jc w:val="center"/>
              <w:rPr>
                <w:rFonts w:hint="eastAsia" w:ascii="宋体" w:hAnsi="宋体" w:eastAsia="宋体" w:cs="宋体"/>
                <w:color w:val="auto"/>
                <w:sz w:val="24"/>
                <w:szCs w:val="24"/>
                <w:highlight w:val="none"/>
              </w:rPr>
            </w:pPr>
          </w:p>
        </w:tc>
        <w:tc>
          <w:tcPr>
            <w:tcW w:w="1329" w:type="dxa"/>
            <w:noWrap w:val="0"/>
            <w:vAlign w:val="top"/>
          </w:tcPr>
          <w:p w14:paraId="56BC5890">
            <w:pPr>
              <w:spacing w:line="360" w:lineRule="auto"/>
              <w:jc w:val="center"/>
              <w:rPr>
                <w:rFonts w:hint="eastAsia" w:ascii="宋体" w:hAnsi="宋体" w:eastAsia="宋体" w:cs="宋体"/>
                <w:color w:val="auto"/>
                <w:sz w:val="24"/>
                <w:szCs w:val="24"/>
                <w:highlight w:val="none"/>
              </w:rPr>
            </w:pPr>
          </w:p>
        </w:tc>
        <w:tc>
          <w:tcPr>
            <w:tcW w:w="1497" w:type="dxa"/>
            <w:noWrap w:val="0"/>
            <w:vAlign w:val="center"/>
          </w:tcPr>
          <w:p w14:paraId="031E55F9">
            <w:pPr>
              <w:spacing w:line="360" w:lineRule="auto"/>
              <w:jc w:val="center"/>
              <w:rPr>
                <w:rFonts w:hint="eastAsia" w:ascii="宋体" w:hAnsi="宋体" w:eastAsia="宋体" w:cs="宋体"/>
                <w:color w:val="auto"/>
                <w:sz w:val="24"/>
                <w:szCs w:val="24"/>
                <w:highlight w:val="none"/>
              </w:rPr>
            </w:pPr>
          </w:p>
        </w:tc>
        <w:tc>
          <w:tcPr>
            <w:tcW w:w="1403" w:type="dxa"/>
            <w:noWrap w:val="0"/>
            <w:vAlign w:val="center"/>
          </w:tcPr>
          <w:p w14:paraId="15A61F16">
            <w:pPr>
              <w:spacing w:line="360" w:lineRule="auto"/>
              <w:jc w:val="center"/>
              <w:rPr>
                <w:rFonts w:hint="eastAsia" w:ascii="宋体" w:hAnsi="宋体" w:eastAsia="宋体" w:cs="宋体"/>
                <w:color w:val="auto"/>
                <w:sz w:val="24"/>
                <w:szCs w:val="24"/>
                <w:highlight w:val="none"/>
              </w:rPr>
            </w:pPr>
          </w:p>
        </w:tc>
        <w:tc>
          <w:tcPr>
            <w:tcW w:w="1422" w:type="dxa"/>
            <w:noWrap w:val="0"/>
            <w:vAlign w:val="center"/>
          </w:tcPr>
          <w:p w14:paraId="59E7C04E">
            <w:pPr>
              <w:spacing w:line="360" w:lineRule="auto"/>
              <w:jc w:val="center"/>
              <w:rPr>
                <w:rFonts w:hint="eastAsia" w:ascii="宋体" w:hAnsi="宋体" w:eastAsia="宋体" w:cs="宋体"/>
                <w:color w:val="auto"/>
                <w:sz w:val="24"/>
                <w:szCs w:val="24"/>
                <w:highlight w:val="none"/>
              </w:rPr>
            </w:pPr>
          </w:p>
        </w:tc>
        <w:tc>
          <w:tcPr>
            <w:tcW w:w="1440" w:type="dxa"/>
            <w:noWrap w:val="0"/>
            <w:vAlign w:val="center"/>
          </w:tcPr>
          <w:p w14:paraId="0931B2A7">
            <w:pPr>
              <w:spacing w:line="360" w:lineRule="auto"/>
              <w:jc w:val="center"/>
              <w:rPr>
                <w:rFonts w:hint="eastAsia" w:ascii="宋体" w:hAnsi="宋体" w:eastAsia="宋体" w:cs="宋体"/>
                <w:color w:val="auto"/>
                <w:sz w:val="24"/>
                <w:szCs w:val="24"/>
                <w:highlight w:val="none"/>
              </w:rPr>
            </w:pPr>
          </w:p>
        </w:tc>
      </w:tr>
      <w:tr w14:paraId="5D4D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1172" w:type="dxa"/>
            <w:noWrap w:val="0"/>
            <w:vAlign w:val="top"/>
          </w:tcPr>
          <w:p w14:paraId="6021FCE9">
            <w:pPr>
              <w:spacing w:line="360" w:lineRule="auto"/>
              <w:jc w:val="center"/>
              <w:rPr>
                <w:rFonts w:hint="eastAsia" w:ascii="宋体" w:hAnsi="宋体" w:eastAsia="宋体" w:cs="宋体"/>
                <w:color w:val="auto"/>
                <w:sz w:val="24"/>
                <w:szCs w:val="24"/>
                <w:highlight w:val="none"/>
              </w:rPr>
            </w:pPr>
          </w:p>
        </w:tc>
        <w:tc>
          <w:tcPr>
            <w:tcW w:w="1493" w:type="dxa"/>
            <w:noWrap w:val="0"/>
            <w:vAlign w:val="center"/>
          </w:tcPr>
          <w:p w14:paraId="2B87FA27">
            <w:pPr>
              <w:spacing w:line="360" w:lineRule="auto"/>
              <w:jc w:val="center"/>
              <w:rPr>
                <w:rFonts w:hint="eastAsia" w:ascii="宋体" w:hAnsi="宋体" w:eastAsia="宋体" w:cs="宋体"/>
                <w:color w:val="auto"/>
                <w:sz w:val="24"/>
                <w:szCs w:val="24"/>
                <w:highlight w:val="none"/>
              </w:rPr>
            </w:pPr>
          </w:p>
        </w:tc>
        <w:tc>
          <w:tcPr>
            <w:tcW w:w="1329" w:type="dxa"/>
            <w:noWrap w:val="0"/>
            <w:vAlign w:val="top"/>
          </w:tcPr>
          <w:p w14:paraId="17E2FCAF">
            <w:pPr>
              <w:spacing w:line="360" w:lineRule="auto"/>
              <w:jc w:val="center"/>
              <w:rPr>
                <w:rFonts w:hint="eastAsia" w:ascii="宋体" w:hAnsi="宋体" w:eastAsia="宋体" w:cs="宋体"/>
                <w:color w:val="auto"/>
                <w:sz w:val="24"/>
                <w:szCs w:val="24"/>
                <w:highlight w:val="none"/>
              </w:rPr>
            </w:pPr>
          </w:p>
        </w:tc>
        <w:tc>
          <w:tcPr>
            <w:tcW w:w="1497" w:type="dxa"/>
            <w:noWrap w:val="0"/>
            <w:vAlign w:val="center"/>
          </w:tcPr>
          <w:p w14:paraId="1623721D">
            <w:pPr>
              <w:spacing w:line="360" w:lineRule="auto"/>
              <w:jc w:val="center"/>
              <w:rPr>
                <w:rFonts w:hint="eastAsia" w:ascii="宋体" w:hAnsi="宋体" w:eastAsia="宋体" w:cs="宋体"/>
                <w:color w:val="auto"/>
                <w:sz w:val="24"/>
                <w:szCs w:val="24"/>
                <w:highlight w:val="none"/>
              </w:rPr>
            </w:pPr>
          </w:p>
        </w:tc>
        <w:tc>
          <w:tcPr>
            <w:tcW w:w="1403" w:type="dxa"/>
            <w:noWrap w:val="0"/>
            <w:vAlign w:val="center"/>
          </w:tcPr>
          <w:p w14:paraId="5C634CFA">
            <w:pPr>
              <w:spacing w:line="360" w:lineRule="auto"/>
              <w:jc w:val="center"/>
              <w:rPr>
                <w:rFonts w:hint="eastAsia" w:ascii="宋体" w:hAnsi="宋体" w:eastAsia="宋体" w:cs="宋体"/>
                <w:color w:val="auto"/>
                <w:sz w:val="24"/>
                <w:szCs w:val="24"/>
                <w:highlight w:val="none"/>
              </w:rPr>
            </w:pPr>
          </w:p>
        </w:tc>
        <w:tc>
          <w:tcPr>
            <w:tcW w:w="1422" w:type="dxa"/>
            <w:noWrap w:val="0"/>
            <w:vAlign w:val="center"/>
          </w:tcPr>
          <w:p w14:paraId="2751E7EB">
            <w:pPr>
              <w:spacing w:line="360" w:lineRule="auto"/>
              <w:jc w:val="center"/>
              <w:rPr>
                <w:rFonts w:hint="eastAsia" w:ascii="宋体" w:hAnsi="宋体" w:eastAsia="宋体" w:cs="宋体"/>
                <w:color w:val="auto"/>
                <w:sz w:val="24"/>
                <w:szCs w:val="24"/>
                <w:highlight w:val="none"/>
              </w:rPr>
            </w:pPr>
          </w:p>
        </w:tc>
        <w:tc>
          <w:tcPr>
            <w:tcW w:w="1440" w:type="dxa"/>
            <w:noWrap w:val="0"/>
            <w:vAlign w:val="center"/>
          </w:tcPr>
          <w:p w14:paraId="20A270F5">
            <w:pPr>
              <w:spacing w:line="360" w:lineRule="auto"/>
              <w:jc w:val="center"/>
              <w:rPr>
                <w:rFonts w:hint="eastAsia" w:ascii="宋体" w:hAnsi="宋体" w:eastAsia="宋体" w:cs="宋体"/>
                <w:color w:val="auto"/>
                <w:sz w:val="24"/>
                <w:szCs w:val="24"/>
                <w:highlight w:val="none"/>
              </w:rPr>
            </w:pPr>
          </w:p>
        </w:tc>
      </w:tr>
    </w:tbl>
    <w:p w14:paraId="0419E78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须附每一个业绩</w:t>
      </w:r>
      <w:r>
        <w:rPr>
          <w:rFonts w:hint="eastAsia" w:ascii="宋体" w:hAnsi="宋体" w:cs="宋体"/>
          <w:color w:val="auto"/>
          <w:sz w:val="24"/>
          <w:szCs w:val="24"/>
          <w:highlight w:val="none"/>
          <w:lang w:eastAsia="zh-CN"/>
        </w:rPr>
        <w:t>的</w:t>
      </w:r>
      <w:r>
        <w:rPr>
          <w:rFonts w:hint="eastAsia" w:ascii="宋体" w:hAnsi="宋体" w:eastAsia="宋体" w:cs="宋体"/>
          <w:color w:val="auto"/>
          <w:sz w:val="24"/>
          <w:szCs w:val="24"/>
          <w:highlight w:val="none"/>
        </w:rPr>
        <w:t>项目成交通知书/中标通知书或合同关键页复印件，并加盖供应商公章。合同书关键页包括服务内容页、合同金额页、双方盖章页及签订时间页。提供不全者不予认可（加盖单位公章）。</w:t>
      </w:r>
    </w:p>
    <w:p w14:paraId="3F57610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2、近三年业绩指从20</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11月</w:t>
      </w:r>
      <w:r>
        <w:rPr>
          <w:rFonts w:hint="eastAsia" w:ascii="宋体" w:hAnsi="宋体" w:eastAsia="宋体" w:cs="宋体"/>
          <w:color w:val="auto"/>
          <w:sz w:val="24"/>
          <w:szCs w:val="24"/>
          <w:highlight w:val="none"/>
          <w:lang w:val="en-US" w:eastAsia="zh-CN"/>
        </w:rPr>
        <w:t>至今类似项目业绩一览表</w:t>
      </w:r>
    </w:p>
    <w:p w14:paraId="5B53DBCB">
      <w:pPr>
        <w:spacing w:line="360" w:lineRule="auto"/>
        <w:ind w:right="105" w:rightChars="50"/>
        <w:rPr>
          <w:rFonts w:hint="eastAsia" w:ascii="宋体" w:hAnsi="宋体" w:eastAsia="宋体" w:cs="宋体"/>
          <w:color w:val="auto"/>
          <w:sz w:val="24"/>
          <w:szCs w:val="24"/>
          <w:highlight w:val="none"/>
          <w:lang w:val="en-US" w:eastAsia="zh-CN"/>
        </w:rPr>
      </w:pPr>
    </w:p>
    <w:p w14:paraId="3CDB2F3E">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B03478C">
      <w:pPr>
        <w:spacing w:line="360" w:lineRule="auto"/>
        <w:jc w:val="left"/>
        <w:rPr>
          <w:rFonts w:hint="eastAsia" w:ascii="宋体" w:hAnsi="宋体" w:eastAsia="宋体" w:cs="宋体"/>
          <w:b/>
          <w:color w:val="auto"/>
          <w:sz w:val="28"/>
          <w:szCs w:val="28"/>
          <w:highlight w:val="none"/>
          <w:lang w:val="en-US" w:eastAsia="zh-CN"/>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693E6F3A">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50D0122E">
      <w:pPr>
        <w:rPr>
          <w:rFonts w:hint="eastAsia" w:ascii="宋体" w:hAnsi="宋体" w:eastAsia="宋体" w:cs="宋体"/>
          <w:b/>
          <w:color w:val="auto"/>
          <w:sz w:val="28"/>
          <w:szCs w:val="28"/>
          <w:highlight w:val="none"/>
          <w:lang w:val="en-US" w:eastAsia="zh-CN"/>
        </w:rPr>
      </w:pPr>
    </w:p>
    <w:p w14:paraId="1B2582DB">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（9）</w:t>
      </w:r>
      <w:r>
        <w:rPr>
          <w:rFonts w:hint="eastAsia" w:ascii="宋体" w:hAnsi="宋体" w:eastAsia="宋体" w:cs="宋体"/>
          <w:b/>
          <w:color w:val="auto"/>
          <w:sz w:val="28"/>
          <w:szCs w:val="28"/>
          <w:highlight w:val="none"/>
          <w:lang w:val="en-US" w:eastAsia="zh-CN"/>
        </w:rPr>
        <w:t>人员配备</w:t>
      </w:r>
    </w:p>
    <w:p w14:paraId="28271359">
      <w:pPr>
        <w:numPr>
          <w:ilvl w:val="0"/>
          <w:numId w:val="0"/>
        </w:numPr>
        <w:spacing w:line="360" w:lineRule="auto"/>
        <w:ind w:left="732" w:leftChars="71" w:hanging="583" w:hangingChars="242"/>
        <w:rPr>
          <w:rFonts w:hint="eastAsia" w:ascii="宋体" w:hAnsi="宋体" w:eastAsia="宋体" w:cs="宋体"/>
          <w:b/>
          <w:color w:val="auto"/>
          <w:sz w:val="24"/>
          <w:szCs w:val="24"/>
          <w:highlight w:val="none"/>
        </w:rPr>
      </w:pPr>
      <w:r>
        <w:rPr>
          <w:rFonts w:hint="default" w:ascii="宋体" w:hAnsi="宋体" w:eastAsia="宋体" w:cs="宋体"/>
          <w:b/>
          <w:color w:val="auto"/>
          <w:kern w:val="2"/>
          <w:sz w:val="24"/>
          <w:szCs w:val="24"/>
          <w:highlight w:val="none"/>
          <w:lang w:val="en-US" w:eastAsia="zh-CN" w:bidi="ar-SA"/>
        </w:rPr>
        <w:t>1、</w:t>
      </w:r>
      <w:r>
        <w:rPr>
          <w:rFonts w:hint="eastAsia" w:ascii="宋体" w:hAnsi="宋体" w:eastAsia="宋体" w:cs="宋体"/>
          <w:b/>
          <w:color w:val="auto"/>
          <w:sz w:val="24"/>
          <w:szCs w:val="24"/>
          <w:highlight w:val="none"/>
        </w:rPr>
        <w:t>项目负责人简历表</w:t>
      </w:r>
    </w:p>
    <w:tbl>
      <w:tblPr>
        <w:tblStyle w:val="30"/>
        <w:tblW w:w="0" w:type="auto"/>
        <w:jc w:val="center"/>
        <w:tblLayout w:type="fixed"/>
        <w:tblCellMar>
          <w:top w:w="0" w:type="dxa"/>
          <w:left w:w="108" w:type="dxa"/>
          <w:bottom w:w="0" w:type="dxa"/>
          <w:right w:w="108" w:type="dxa"/>
        </w:tblCellMar>
      </w:tblPr>
      <w:tblGrid>
        <w:gridCol w:w="1285"/>
        <w:gridCol w:w="1835"/>
        <w:gridCol w:w="1592"/>
        <w:gridCol w:w="1325"/>
        <w:gridCol w:w="1462"/>
        <w:gridCol w:w="2355"/>
      </w:tblGrid>
      <w:tr w14:paraId="5D0DB3CA">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303A940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835" w:type="dxa"/>
            <w:tcBorders>
              <w:top w:val="single" w:color="auto" w:sz="6" w:space="0"/>
              <w:left w:val="single" w:color="auto" w:sz="6" w:space="0"/>
              <w:bottom w:val="single" w:color="auto" w:sz="6" w:space="0"/>
              <w:right w:val="single" w:color="auto" w:sz="6" w:space="0"/>
            </w:tcBorders>
            <w:noWrap w:val="0"/>
            <w:vAlign w:val="center"/>
          </w:tcPr>
          <w:p w14:paraId="13500FB4">
            <w:pPr>
              <w:spacing w:line="360" w:lineRule="auto"/>
              <w:jc w:val="center"/>
              <w:rPr>
                <w:rFonts w:hint="eastAsia" w:ascii="宋体" w:hAnsi="宋体" w:eastAsia="宋体" w:cs="宋体"/>
                <w:color w:val="auto"/>
                <w:sz w:val="24"/>
                <w:szCs w:val="24"/>
                <w:highlight w:val="none"/>
              </w:rPr>
            </w:pPr>
          </w:p>
        </w:tc>
        <w:tc>
          <w:tcPr>
            <w:tcW w:w="1592" w:type="dxa"/>
            <w:tcBorders>
              <w:top w:val="single" w:color="auto" w:sz="6" w:space="0"/>
              <w:left w:val="single" w:color="auto" w:sz="6" w:space="0"/>
              <w:bottom w:val="single" w:color="auto" w:sz="6" w:space="0"/>
              <w:right w:val="single" w:color="auto" w:sz="6" w:space="0"/>
            </w:tcBorders>
            <w:noWrap w:val="0"/>
            <w:vAlign w:val="center"/>
          </w:tcPr>
          <w:p w14:paraId="3E5EB01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325" w:type="dxa"/>
            <w:tcBorders>
              <w:top w:val="single" w:color="auto" w:sz="6" w:space="0"/>
              <w:left w:val="single" w:color="auto" w:sz="6" w:space="0"/>
              <w:bottom w:val="single" w:color="auto" w:sz="6" w:space="0"/>
              <w:right w:val="single" w:color="auto" w:sz="6" w:space="0"/>
            </w:tcBorders>
            <w:noWrap w:val="0"/>
            <w:vAlign w:val="center"/>
          </w:tcPr>
          <w:p w14:paraId="735E0467">
            <w:pPr>
              <w:spacing w:line="360" w:lineRule="auto"/>
              <w:jc w:val="center"/>
              <w:rPr>
                <w:rFonts w:hint="eastAsia" w:ascii="宋体" w:hAnsi="宋体" w:eastAsia="宋体" w:cs="宋体"/>
                <w:color w:val="auto"/>
                <w:sz w:val="24"/>
                <w:szCs w:val="24"/>
                <w:highlight w:val="none"/>
              </w:rPr>
            </w:pPr>
          </w:p>
        </w:tc>
        <w:tc>
          <w:tcPr>
            <w:tcW w:w="1462" w:type="dxa"/>
            <w:tcBorders>
              <w:top w:val="single" w:color="auto" w:sz="6" w:space="0"/>
              <w:left w:val="single" w:color="auto" w:sz="6" w:space="0"/>
              <w:bottom w:val="single" w:color="auto" w:sz="6" w:space="0"/>
              <w:right w:val="single" w:color="auto" w:sz="6" w:space="0"/>
            </w:tcBorders>
            <w:noWrap w:val="0"/>
            <w:vAlign w:val="center"/>
          </w:tcPr>
          <w:p w14:paraId="03E5EAE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tc>
        <w:tc>
          <w:tcPr>
            <w:tcW w:w="2355" w:type="dxa"/>
            <w:tcBorders>
              <w:top w:val="single" w:color="auto" w:sz="6" w:space="0"/>
              <w:left w:val="single" w:color="auto" w:sz="6" w:space="0"/>
              <w:bottom w:val="single" w:color="auto" w:sz="6" w:space="0"/>
              <w:right w:val="single" w:color="auto" w:sz="6" w:space="0"/>
            </w:tcBorders>
            <w:noWrap w:val="0"/>
            <w:vAlign w:val="center"/>
          </w:tcPr>
          <w:p w14:paraId="4EC8FABA">
            <w:pPr>
              <w:spacing w:line="360" w:lineRule="auto"/>
              <w:jc w:val="center"/>
              <w:rPr>
                <w:rFonts w:hint="eastAsia" w:ascii="宋体" w:hAnsi="宋体" w:eastAsia="宋体" w:cs="宋体"/>
                <w:color w:val="auto"/>
                <w:sz w:val="24"/>
                <w:szCs w:val="24"/>
                <w:highlight w:val="none"/>
              </w:rPr>
            </w:pPr>
          </w:p>
        </w:tc>
      </w:tr>
      <w:tr w14:paraId="1B02410C">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07ABF8A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4752" w:type="dxa"/>
            <w:gridSpan w:val="3"/>
            <w:tcBorders>
              <w:top w:val="single" w:color="auto" w:sz="6" w:space="0"/>
              <w:left w:val="single" w:color="auto" w:sz="6" w:space="0"/>
              <w:bottom w:val="single" w:color="auto" w:sz="6" w:space="0"/>
              <w:right w:val="single" w:color="auto" w:sz="6" w:space="0"/>
            </w:tcBorders>
            <w:noWrap w:val="0"/>
            <w:vAlign w:val="center"/>
          </w:tcPr>
          <w:p w14:paraId="1C331113">
            <w:pPr>
              <w:spacing w:line="360" w:lineRule="auto"/>
              <w:jc w:val="center"/>
              <w:rPr>
                <w:rFonts w:hint="eastAsia" w:ascii="宋体" w:hAnsi="宋体" w:eastAsia="宋体" w:cs="宋体"/>
                <w:color w:val="auto"/>
                <w:sz w:val="24"/>
                <w:szCs w:val="24"/>
                <w:highlight w:val="none"/>
              </w:rPr>
            </w:pPr>
          </w:p>
        </w:tc>
        <w:tc>
          <w:tcPr>
            <w:tcW w:w="1462" w:type="dxa"/>
            <w:tcBorders>
              <w:top w:val="single" w:color="auto" w:sz="6" w:space="0"/>
              <w:left w:val="single" w:color="auto" w:sz="6" w:space="0"/>
              <w:bottom w:val="single" w:color="auto" w:sz="6" w:space="0"/>
              <w:right w:val="single" w:color="auto" w:sz="6" w:space="0"/>
            </w:tcBorders>
            <w:noWrap w:val="0"/>
            <w:vAlign w:val="center"/>
          </w:tcPr>
          <w:p w14:paraId="6D74409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     业</w:t>
            </w:r>
          </w:p>
        </w:tc>
        <w:tc>
          <w:tcPr>
            <w:tcW w:w="2355" w:type="dxa"/>
            <w:tcBorders>
              <w:top w:val="single" w:color="auto" w:sz="6" w:space="0"/>
              <w:left w:val="single" w:color="auto" w:sz="6" w:space="0"/>
              <w:bottom w:val="single" w:color="auto" w:sz="6" w:space="0"/>
              <w:right w:val="single" w:color="auto" w:sz="6" w:space="0"/>
            </w:tcBorders>
            <w:noWrap w:val="0"/>
            <w:vAlign w:val="center"/>
          </w:tcPr>
          <w:p w14:paraId="4CD3EA67">
            <w:pPr>
              <w:spacing w:line="360" w:lineRule="auto"/>
              <w:jc w:val="center"/>
              <w:rPr>
                <w:rFonts w:hint="eastAsia" w:ascii="宋体" w:hAnsi="宋体" w:eastAsia="宋体" w:cs="宋体"/>
                <w:color w:val="auto"/>
                <w:sz w:val="24"/>
                <w:szCs w:val="24"/>
                <w:highlight w:val="none"/>
              </w:rPr>
            </w:pPr>
          </w:p>
        </w:tc>
      </w:tr>
      <w:tr w14:paraId="65525F66">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3CE5503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学位</w:t>
            </w:r>
          </w:p>
        </w:tc>
        <w:tc>
          <w:tcPr>
            <w:tcW w:w="4752" w:type="dxa"/>
            <w:gridSpan w:val="3"/>
            <w:tcBorders>
              <w:top w:val="single" w:color="auto" w:sz="6" w:space="0"/>
              <w:left w:val="single" w:color="auto" w:sz="6" w:space="0"/>
              <w:bottom w:val="single" w:color="auto" w:sz="6" w:space="0"/>
              <w:right w:val="single" w:color="auto" w:sz="6" w:space="0"/>
            </w:tcBorders>
            <w:noWrap w:val="0"/>
            <w:vAlign w:val="center"/>
          </w:tcPr>
          <w:p w14:paraId="2C749859">
            <w:pPr>
              <w:spacing w:line="360" w:lineRule="auto"/>
              <w:jc w:val="center"/>
              <w:rPr>
                <w:rFonts w:hint="eastAsia" w:ascii="宋体" w:hAnsi="宋体" w:eastAsia="宋体" w:cs="宋体"/>
                <w:color w:val="auto"/>
                <w:sz w:val="24"/>
                <w:szCs w:val="24"/>
                <w:highlight w:val="none"/>
              </w:rPr>
            </w:pPr>
          </w:p>
        </w:tc>
        <w:tc>
          <w:tcPr>
            <w:tcW w:w="1462" w:type="dxa"/>
            <w:tcBorders>
              <w:top w:val="single" w:color="auto" w:sz="6" w:space="0"/>
              <w:left w:val="single" w:color="auto" w:sz="6" w:space="0"/>
              <w:bottom w:val="single" w:color="auto" w:sz="6" w:space="0"/>
              <w:right w:val="single" w:color="auto" w:sz="6" w:space="0"/>
            </w:tcBorders>
            <w:noWrap w:val="0"/>
            <w:vAlign w:val="center"/>
          </w:tcPr>
          <w:p w14:paraId="62D6F97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2355" w:type="dxa"/>
            <w:tcBorders>
              <w:top w:val="single" w:color="auto" w:sz="6" w:space="0"/>
              <w:left w:val="single" w:color="auto" w:sz="6" w:space="0"/>
              <w:bottom w:val="single" w:color="auto" w:sz="6" w:space="0"/>
              <w:right w:val="single" w:color="auto" w:sz="6" w:space="0"/>
            </w:tcBorders>
            <w:noWrap w:val="0"/>
            <w:vAlign w:val="center"/>
          </w:tcPr>
          <w:p w14:paraId="72AB4CF2">
            <w:pPr>
              <w:spacing w:line="360" w:lineRule="auto"/>
              <w:jc w:val="center"/>
              <w:rPr>
                <w:rFonts w:hint="eastAsia" w:ascii="宋体" w:hAnsi="宋体" w:eastAsia="宋体" w:cs="宋体"/>
                <w:color w:val="auto"/>
                <w:sz w:val="24"/>
                <w:szCs w:val="24"/>
                <w:highlight w:val="none"/>
              </w:rPr>
            </w:pPr>
          </w:p>
        </w:tc>
      </w:tr>
      <w:tr w14:paraId="315B2875">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12E9D65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现所在机构或部门</w:t>
            </w:r>
          </w:p>
        </w:tc>
        <w:tc>
          <w:tcPr>
            <w:tcW w:w="4752" w:type="dxa"/>
            <w:gridSpan w:val="3"/>
            <w:tcBorders>
              <w:top w:val="single" w:color="auto" w:sz="6" w:space="0"/>
              <w:left w:val="single" w:color="auto" w:sz="6" w:space="0"/>
              <w:bottom w:val="single" w:color="auto" w:sz="6" w:space="0"/>
              <w:right w:val="single" w:color="auto" w:sz="6" w:space="0"/>
            </w:tcBorders>
            <w:noWrap w:val="0"/>
            <w:vAlign w:val="center"/>
          </w:tcPr>
          <w:p w14:paraId="20905D29">
            <w:pPr>
              <w:spacing w:line="360" w:lineRule="auto"/>
              <w:jc w:val="center"/>
              <w:rPr>
                <w:rFonts w:hint="eastAsia" w:ascii="宋体" w:hAnsi="宋体" w:eastAsia="宋体" w:cs="宋体"/>
                <w:color w:val="auto"/>
                <w:sz w:val="24"/>
                <w:szCs w:val="24"/>
                <w:highlight w:val="none"/>
              </w:rPr>
            </w:pPr>
          </w:p>
        </w:tc>
        <w:tc>
          <w:tcPr>
            <w:tcW w:w="1462" w:type="dxa"/>
            <w:tcBorders>
              <w:top w:val="single" w:color="auto" w:sz="6" w:space="0"/>
              <w:left w:val="single" w:color="auto" w:sz="6" w:space="0"/>
              <w:bottom w:val="single" w:color="auto" w:sz="6" w:space="0"/>
              <w:right w:val="single" w:color="auto" w:sz="6" w:space="0"/>
            </w:tcBorders>
            <w:noWrap w:val="0"/>
            <w:vAlign w:val="center"/>
          </w:tcPr>
          <w:p w14:paraId="6E73ADC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服务时间</w:t>
            </w:r>
          </w:p>
        </w:tc>
        <w:tc>
          <w:tcPr>
            <w:tcW w:w="2355" w:type="dxa"/>
            <w:tcBorders>
              <w:top w:val="single" w:color="auto" w:sz="6" w:space="0"/>
              <w:left w:val="single" w:color="auto" w:sz="6" w:space="0"/>
              <w:bottom w:val="single" w:color="auto" w:sz="6" w:space="0"/>
              <w:right w:val="single" w:color="auto" w:sz="6" w:space="0"/>
            </w:tcBorders>
            <w:noWrap w:val="0"/>
            <w:vAlign w:val="center"/>
          </w:tcPr>
          <w:p w14:paraId="441EF794">
            <w:pPr>
              <w:spacing w:line="360" w:lineRule="auto"/>
              <w:jc w:val="center"/>
              <w:rPr>
                <w:rFonts w:hint="eastAsia" w:ascii="宋体" w:hAnsi="宋体" w:eastAsia="宋体" w:cs="宋体"/>
                <w:color w:val="auto"/>
                <w:sz w:val="24"/>
                <w:szCs w:val="24"/>
                <w:highlight w:val="none"/>
              </w:rPr>
            </w:pPr>
          </w:p>
        </w:tc>
      </w:tr>
      <w:tr w14:paraId="6BA9C5CC">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4E1263D0">
            <w:pPr>
              <w:spacing w:line="360" w:lineRule="auto"/>
              <w:jc w:val="center"/>
              <w:rPr>
                <w:rFonts w:hint="eastAsia" w:ascii="宋体" w:hAnsi="宋体" w:eastAsia="宋体" w:cs="宋体"/>
                <w:color w:val="auto"/>
                <w:sz w:val="24"/>
                <w:szCs w:val="24"/>
                <w:highlight w:val="none"/>
              </w:rPr>
            </w:pPr>
          </w:p>
          <w:p w14:paraId="5ED6357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主要经历</w:t>
            </w:r>
          </w:p>
          <w:p w14:paraId="0D09AA3A">
            <w:pPr>
              <w:spacing w:line="360" w:lineRule="auto"/>
              <w:jc w:val="center"/>
              <w:rPr>
                <w:rFonts w:hint="eastAsia" w:ascii="宋体" w:hAnsi="宋体" w:eastAsia="宋体" w:cs="宋体"/>
                <w:color w:val="auto"/>
                <w:sz w:val="24"/>
                <w:szCs w:val="24"/>
                <w:highlight w:val="none"/>
              </w:rPr>
            </w:pPr>
          </w:p>
        </w:tc>
        <w:tc>
          <w:tcPr>
            <w:tcW w:w="8569" w:type="dxa"/>
            <w:gridSpan w:val="5"/>
            <w:tcBorders>
              <w:top w:val="single" w:color="auto" w:sz="6" w:space="0"/>
              <w:left w:val="single" w:color="auto" w:sz="6" w:space="0"/>
              <w:bottom w:val="single" w:color="auto" w:sz="6" w:space="0"/>
              <w:right w:val="single" w:color="auto" w:sz="6" w:space="0"/>
            </w:tcBorders>
            <w:noWrap w:val="0"/>
            <w:vAlign w:val="center"/>
          </w:tcPr>
          <w:p w14:paraId="31BCF956">
            <w:pPr>
              <w:spacing w:line="360" w:lineRule="auto"/>
              <w:jc w:val="center"/>
              <w:rPr>
                <w:rFonts w:hint="eastAsia" w:ascii="宋体" w:hAnsi="宋体" w:eastAsia="宋体" w:cs="宋体"/>
                <w:color w:val="auto"/>
                <w:sz w:val="24"/>
                <w:szCs w:val="24"/>
                <w:highlight w:val="none"/>
              </w:rPr>
            </w:pPr>
          </w:p>
          <w:p w14:paraId="3742D1F8">
            <w:pPr>
              <w:spacing w:line="360" w:lineRule="auto"/>
              <w:jc w:val="center"/>
              <w:rPr>
                <w:rFonts w:hint="eastAsia" w:ascii="宋体" w:hAnsi="宋体" w:eastAsia="宋体" w:cs="宋体"/>
                <w:color w:val="auto"/>
                <w:sz w:val="24"/>
                <w:szCs w:val="24"/>
                <w:highlight w:val="none"/>
              </w:rPr>
            </w:pPr>
          </w:p>
        </w:tc>
      </w:tr>
      <w:tr w14:paraId="141B5DAA">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55AE563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c>
          <w:tcPr>
            <w:tcW w:w="3427" w:type="dxa"/>
            <w:gridSpan w:val="2"/>
            <w:tcBorders>
              <w:top w:val="single" w:color="auto" w:sz="6" w:space="0"/>
              <w:left w:val="single" w:color="auto" w:sz="6" w:space="0"/>
              <w:bottom w:val="single" w:color="auto" w:sz="6" w:space="0"/>
              <w:right w:val="single" w:color="auto" w:sz="6" w:space="0"/>
            </w:tcBorders>
            <w:noWrap w:val="0"/>
            <w:vAlign w:val="center"/>
          </w:tcPr>
          <w:p w14:paraId="4DA7E3D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参加过的项目名称</w:t>
            </w:r>
          </w:p>
        </w:tc>
        <w:tc>
          <w:tcPr>
            <w:tcW w:w="2787" w:type="dxa"/>
            <w:gridSpan w:val="2"/>
            <w:tcBorders>
              <w:top w:val="single" w:color="auto" w:sz="6" w:space="0"/>
              <w:left w:val="single" w:color="auto" w:sz="6" w:space="0"/>
              <w:bottom w:val="single" w:color="auto" w:sz="6" w:space="0"/>
              <w:right w:val="single" w:color="auto" w:sz="6" w:space="0"/>
            </w:tcBorders>
            <w:noWrap w:val="0"/>
            <w:vAlign w:val="center"/>
          </w:tcPr>
          <w:p w14:paraId="2DA107E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担任何职务</w:t>
            </w:r>
          </w:p>
        </w:tc>
        <w:tc>
          <w:tcPr>
            <w:tcW w:w="2355" w:type="dxa"/>
            <w:tcBorders>
              <w:top w:val="single" w:color="auto" w:sz="6" w:space="0"/>
              <w:left w:val="single" w:color="auto" w:sz="6" w:space="0"/>
              <w:bottom w:val="single" w:color="auto" w:sz="6" w:space="0"/>
              <w:right w:val="single" w:color="auto" w:sz="6" w:space="0"/>
            </w:tcBorders>
            <w:noWrap w:val="0"/>
            <w:vAlign w:val="center"/>
          </w:tcPr>
          <w:p w14:paraId="2492FCA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6A74D99">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2798C5EF">
            <w:pPr>
              <w:spacing w:line="360" w:lineRule="auto"/>
              <w:jc w:val="center"/>
              <w:rPr>
                <w:rFonts w:hint="eastAsia" w:ascii="宋体" w:hAnsi="宋体" w:eastAsia="宋体" w:cs="宋体"/>
                <w:color w:val="auto"/>
                <w:sz w:val="24"/>
                <w:szCs w:val="24"/>
                <w:highlight w:val="none"/>
              </w:rPr>
            </w:pPr>
          </w:p>
        </w:tc>
        <w:tc>
          <w:tcPr>
            <w:tcW w:w="3427" w:type="dxa"/>
            <w:gridSpan w:val="2"/>
            <w:tcBorders>
              <w:top w:val="single" w:color="auto" w:sz="6" w:space="0"/>
              <w:left w:val="single" w:color="auto" w:sz="6" w:space="0"/>
              <w:bottom w:val="single" w:color="auto" w:sz="6" w:space="0"/>
              <w:right w:val="single" w:color="auto" w:sz="6" w:space="0"/>
            </w:tcBorders>
            <w:noWrap w:val="0"/>
            <w:vAlign w:val="center"/>
          </w:tcPr>
          <w:p w14:paraId="15298E3E">
            <w:pPr>
              <w:spacing w:line="360" w:lineRule="auto"/>
              <w:jc w:val="center"/>
              <w:rPr>
                <w:rFonts w:hint="eastAsia" w:ascii="宋体" w:hAnsi="宋体" w:eastAsia="宋体" w:cs="宋体"/>
                <w:color w:val="auto"/>
                <w:sz w:val="24"/>
                <w:szCs w:val="24"/>
                <w:highlight w:val="none"/>
              </w:rPr>
            </w:pPr>
          </w:p>
        </w:tc>
        <w:tc>
          <w:tcPr>
            <w:tcW w:w="2787" w:type="dxa"/>
            <w:gridSpan w:val="2"/>
            <w:tcBorders>
              <w:top w:val="single" w:color="auto" w:sz="6" w:space="0"/>
              <w:left w:val="single" w:color="auto" w:sz="6" w:space="0"/>
              <w:bottom w:val="single" w:color="auto" w:sz="6" w:space="0"/>
              <w:right w:val="single" w:color="auto" w:sz="6" w:space="0"/>
            </w:tcBorders>
            <w:noWrap w:val="0"/>
            <w:vAlign w:val="center"/>
          </w:tcPr>
          <w:p w14:paraId="0C20C5C2">
            <w:pPr>
              <w:spacing w:line="360" w:lineRule="auto"/>
              <w:jc w:val="center"/>
              <w:rPr>
                <w:rFonts w:hint="eastAsia" w:ascii="宋体" w:hAnsi="宋体" w:eastAsia="宋体" w:cs="宋体"/>
                <w:color w:val="auto"/>
                <w:sz w:val="24"/>
                <w:szCs w:val="24"/>
                <w:highlight w:val="none"/>
              </w:rPr>
            </w:pPr>
          </w:p>
        </w:tc>
        <w:tc>
          <w:tcPr>
            <w:tcW w:w="2355" w:type="dxa"/>
            <w:tcBorders>
              <w:top w:val="single" w:color="auto" w:sz="6" w:space="0"/>
              <w:left w:val="single" w:color="auto" w:sz="6" w:space="0"/>
              <w:bottom w:val="single" w:color="auto" w:sz="6" w:space="0"/>
              <w:right w:val="single" w:color="auto" w:sz="6" w:space="0"/>
            </w:tcBorders>
            <w:noWrap w:val="0"/>
            <w:vAlign w:val="center"/>
          </w:tcPr>
          <w:p w14:paraId="4770759B">
            <w:pPr>
              <w:spacing w:line="360" w:lineRule="auto"/>
              <w:jc w:val="center"/>
              <w:rPr>
                <w:rFonts w:hint="eastAsia" w:ascii="宋体" w:hAnsi="宋体" w:eastAsia="宋体" w:cs="宋体"/>
                <w:color w:val="auto"/>
                <w:sz w:val="24"/>
                <w:szCs w:val="24"/>
                <w:highlight w:val="none"/>
              </w:rPr>
            </w:pPr>
          </w:p>
        </w:tc>
      </w:tr>
      <w:tr w14:paraId="6D83395D">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5462E3BD">
            <w:pPr>
              <w:spacing w:line="360" w:lineRule="auto"/>
              <w:jc w:val="center"/>
              <w:rPr>
                <w:rFonts w:hint="eastAsia" w:ascii="宋体" w:hAnsi="宋体" w:eastAsia="宋体" w:cs="宋体"/>
                <w:color w:val="auto"/>
                <w:sz w:val="24"/>
                <w:szCs w:val="24"/>
                <w:highlight w:val="none"/>
              </w:rPr>
            </w:pPr>
          </w:p>
        </w:tc>
        <w:tc>
          <w:tcPr>
            <w:tcW w:w="3427" w:type="dxa"/>
            <w:gridSpan w:val="2"/>
            <w:tcBorders>
              <w:top w:val="single" w:color="auto" w:sz="6" w:space="0"/>
              <w:left w:val="single" w:color="auto" w:sz="6" w:space="0"/>
              <w:bottom w:val="single" w:color="auto" w:sz="6" w:space="0"/>
              <w:right w:val="single" w:color="auto" w:sz="6" w:space="0"/>
            </w:tcBorders>
            <w:noWrap w:val="0"/>
            <w:vAlign w:val="center"/>
          </w:tcPr>
          <w:p w14:paraId="1C9E2B65">
            <w:pPr>
              <w:spacing w:line="360" w:lineRule="auto"/>
              <w:jc w:val="center"/>
              <w:rPr>
                <w:rFonts w:hint="eastAsia" w:ascii="宋体" w:hAnsi="宋体" w:eastAsia="宋体" w:cs="宋体"/>
                <w:color w:val="auto"/>
                <w:sz w:val="24"/>
                <w:szCs w:val="24"/>
                <w:highlight w:val="none"/>
              </w:rPr>
            </w:pPr>
          </w:p>
        </w:tc>
        <w:tc>
          <w:tcPr>
            <w:tcW w:w="2787" w:type="dxa"/>
            <w:gridSpan w:val="2"/>
            <w:tcBorders>
              <w:top w:val="single" w:color="auto" w:sz="6" w:space="0"/>
              <w:left w:val="single" w:color="auto" w:sz="6" w:space="0"/>
              <w:bottom w:val="single" w:color="auto" w:sz="6" w:space="0"/>
              <w:right w:val="single" w:color="auto" w:sz="6" w:space="0"/>
            </w:tcBorders>
            <w:noWrap w:val="0"/>
            <w:vAlign w:val="center"/>
          </w:tcPr>
          <w:p w14:paraId="63172179">
            <w:pPr>
              <w:spacing w:line="360" w:lineRule="auto"/>
              <w:jc w:val="center"/>
              <w:rPr>
                <w:rFonts w:hint="eastAsia" w:ascii="宋体" w:hAnsi="宋体" w:eastAsia="宋体" w:cs="宋体"/>
                <w:color w:val="auto"/>
                <w:sz w:val="24"/>
                <w:szCs w:val="24"/>
                <w:highlight w:val="none"/>
              </w:rPr>
            </w:pPr>
          </w:p>
        </w:tc>
        <w:tc>
          <w:tcPr>
            <w:tcW w:w="2355" w:type="dxa"/>
            <w:tcBorders>
              <w:top w:val="single" w:color="auto" w:sz="6" w:space="0"/>
              <w:left w:val="single" w:color="auto" w:sz="6" w:space="0"/>
              <w:bottom w:val="single" w:color="auto" w:sz="6" w:space="0"/>
              <w:right w:val="single" w:color="auto" w:sz="6" w:space="0"/>
            </w:tcBorders>
            <w:noWrap w:val="0"/>
            <w:vAlign w:val="center"/>
          </w:tcPr>
          <w:p w14:paraId="322BC586">
            <w:pPr>
              <w:spacing w:line="360" w:lineRule="auto"/>
              <w:jc w:val="center"/>
              <w:rPr>
                <w:rFonts w:hint="eastAsia" w:ascii="宋体" w:hAnsi="宋体" w:eastAsia="宋体" w:cs="宋体"/>
                <w:color w:val="auto"/>
                <w:sz w:val="24"/>
                <w:szCs w:val="24"/>
                <w:highlight w:val="none"/>
              </w:rPr>
            </w:pPr>
          </w:p>
        </w:tc>
      </w:tr>
      <w:tr w14:paraId="35B541B3">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14:paraId="314FCBA9">
            <w:pPr>
              <w:spacing w:line="360" w:lineRule="auto"/>
              <w:jc w:val="center"/>
              <w:rPr>
                <w:rFonts w:hint="eastAsia" w:ascii="宋体" w:hAnsi="宋体" w:eastAsia="宋体" w:cs="宋体"/>
                <w:color w:val="auto"/>
                <w:sz w:val="24"/>
                <w:szCs w:val="24"/>
                <w:highlight w:val="none"/>
              </w:rPr>
            </w:pPr>
          </w:p>
        </w:tc>
        <w:tc>
          <w:tcPr>
            <w:tcW w:w="3427" w:type="dxa"/>
            <w:gridSpan w:val="2"/>
            <w:tcBorders>
              <w:top w:val="single" w:color="auto" w:sz="6" w:space="0"/>
              <w:left w:val="single" w:color="auto" w:sz="6" w:space="0"/>
              <w:bottom w:val="single" w:color="auto" w:sz="6" w:space="0"/>
              <w:right w:val="single" w:color="auto" w:sz="6" w:space="0"/>
            </w:tcBorders>
            <w:noWrap w:val="0"/>
            <w:vAlign w:val="center"/>
          </w:tcPr>
          <w:p w14:paraId="367E6F3F">
            <w:pPr>
              <w:spacing w:line="360" w:lineRule="auto"/>
              <w:jc w:val="center"/>
              <w:rPr>
                <w:rFonts w:hint="eastAsia" w:ascii="宋体" w:hAnsi="宋体" w:eastAsia="宋体" w:cs="宋体"/>
                <w:color w:val="auto"/>
                <w:sz w:val="24"/>
                <w:szCs w:val="24"/>
                <w:highlight w:val="none"/>
              </w:rPr>
            </w:pPr>
          </w:p>
        </w:tc>
        <w:tc>
          <w:tcPr>
            <w:tcW w:w="2787" w:type="dxa"/>
            <w:gridSpan w:val="2"/>
            <w:tcBorders>
              <w:top w:val="single" w:color="auto" w:sz="6" w:space="0"/>
              <w:left w:val="single" w:color="auto" w:sz="6" w:space="0"/>
              <w:bottom w:val="single" w:color="auto" w:sz="6" w:space="0"/>
              <w:right w:val="single" w:color="auto" w:sz="6" w:space="0"/>
            </w:tcBorders>
            <w:noWrap w:val="0"/>
            <w:vAlign w:val="center"/>
          </w:tcPr>
          <w:p w14:paraId="5BE298A3">
            <w:pPr>
              <w:spacing w:line="360" w:lineRule="auto"/>
              <w:jc w:val="center"/>
              <w:rPr>
                <w:rFonts w:hint="eastAsia" w:ascii="宋体" w:hAnsi="宋体" w:eastAsia="宋体" w:cs="宋体"/>
                <w:color w:val="auto"/>
                <w:sz w:val="24"/>
                <w:szCs w:val="24"/>
                <w:highlight w:val="none"/>
              </w:rPr>
            </w:pPr>
          </w:p>
        </w:tc>
        <w:tc>
          <w:tcPr>
            <w:tcW w:w="2355" w:type="dxa"/>
            <w:tcBorders>
              <w:top w:val="single" w:color="auto" w:sz="6" w:space="0"/>
              <w:left w:val="single" w:color="auto" w:sz="6" w:space="0"/>
              <w:bottom w:val="single" w:color="auto" w:sz="6" w:space="0"/>
              <w:right w:val="single" w:color="auto" w:sz="6" w:space="0"/>
            </w:tcBorders>
            <w:noWrap w:val="0"/>
            <w:vAlign w:val="center"/>
          </w:tcPr>
          <w:p w14:paraId="3E1678CE">
            <w:pPr>
              <w:spacing w:line="360" w:lineRule="auto"/>
              <w:jc w:val="center"/>
              <w:rPr>
                <w:rFonts w:hint="eastAsia" w:ascii="宋体" w:hAnsi="宋体" w:eastAsia="宋体" w:cs="宋体"/>
                <w:color w:val="auto"/>
                <w:sz w:val="24"/>
                <w:szCs w:val="24"/>
                <w:highlight w:val="none"/>
              </w:rPr>
            </w:pPr>
          </w:p>
        </w:tc>
      </w:tr>
    </w:tbl>
    <w:p w14:paraId="065269BD">
      <w:pPr>
        <w:pStyle w:val="41"/>
        <w:numPr>
          <w:ilvl w:val="0"/>
          <w:numId w:val="0"/>
        </w:numPr>
        <w:autoSpaceDE w:val="0"/>
        <w:autoSpaceDN w:val="0"/>
        <w:adjustRightInd w:val="0"/>
        <w:snapToGrid w:val="0"/>
        <w:spacing w:line="360" w:lineRule="auto"/>
        <w:jc w:val="both"/>
        <w:rPr>
          <w:rFonts w:hint="eastAsia"/>
          <w:color w:val="auto"/>
          <w:sz w:val="24"/>
          <w:szCs w:val="24"/>
          <w:highlight w:val="none"/>
          <w:lang w:val="en-US" w:eastAsia="zh-CN"/>
        </w:rPr>
      </w:pPr>
    </w:p>
    <w:p w14:paraId="2DF90954">
      <w:pPr>
        <w:pStyle w:val="41"/>
        <w:numPr>
          <w:ilvl w:val="0"/>
          <w:numId w:val="0"/>
        </w:numPr>
        <w:autoSpaceDE w:val="0"/>
        <w:autoSpaceDN w:val="0"/>
        <w:adjustRightInd w:val="0"/>
        <w:snapToGrid w:val="0"/>
        <w:spacing w:line="360" w:lineRule="auto"/>
        <w:jc w:val="both"/>
        <w:rPr>
          <w:rFonts w:hint="eastAsia"/>
          <w:color w:val="auto"/>
          <w:sz w:val="24"/>
          <w:szCs w:val="24"/>
          <w:highlight w:val="none"/>
          <w:lang w:val="en-US" w:eastAsia="zh-CN"/>
        </w:rPr>
      </w:pPr>
    </w:p>
    <w:p w14:paraId="380A4CD0">
      <w:pPr>
        <w:pStyle w:val="41"/>
        <w:numPr>
          <w:ilvl w:val="0"/>
          <w:numId w:val="0"/>
        </w:numPr>
        <w:autoSpaceDE w:val="0"/>
        <w:autoSpaceDN w:val="0"/>
        <w:adjustRightInd w:val="0"/>
        <w:snapToGrid w:val="0"/>
        <w:spacing w:line="360" w:lineRule="auto"/>
        <w:jc w:val="both"/>
        <w:rPr>
          <w:rFonts w:hint="default"/>
          <w:color w:val="auto"/>
          <w:sz w:val="24"/>
          <w:szCs w:val="24"/>
          <w:highlight w:val="none"/>
          <w:lang w:val="en-US" w:eastAsia="zh-CN"/>
        </w:rPr>
      </w:pPr>
      <w:r>
        <w:rPr>
          <w:rFonts w:hint="eastAsia"/>
          <w:color w:val="auto"/>
          <w:sz w:val="24"/>
          <w:szCs w:val="24"/>
          <w:highlight w:val="none"/>
          <w:lang w:val="en-US" w:eastAsia="zh-CN"/>
        </w:rPr>
        <w:t>注：</w:t>
      </w:r>
      <w:r>
        <w:rPr>
          <w:rFonts w:hint="eastAsia" w:ascii="宋体" w:hAnsi="宋体" w:eastAsia="宋体" w:cs="宋体"/>
          <w:color w:val="auto"/>
          <w:kern w:val="2"/>
          <w:sz w:val="24"/>
          <w:szCs w:val="24"/>
          <w:highlight w:val="none"/>
          <w:lang w:val="en-US" w:eastAsia="zh-CN" w:bidi="ar-SA"/>
        </w:rPr>
        <w:t>须提供人员登记表、人员简历、在本单位缴纳前6个月内（至少提供1个月）的社保缴纳证明或劳动合同。</w:t>
      </w:r>
    </w:p>
    <w:p w14:paraId="7521964D">
      <w:pPr>
        <w:rPr>
          <w:rFonts w:hint="eastAsia" w:ascii="宋体" w:hAnsi="宋体" w:eastAsia="宋体" w:cs="宋体"/>
          <w:b/>
          <w:bCs/>
          <w:color w:val="auto"/>
          <w:sz w:val="24"/>
          <w:szCs w:val="24"/>
          <w:highlight w:val="none"/>
        </w:rPr>
      </w:pPr>
    </w:p>
    <w:p w14:paraId="75343045">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7EA385D">
      <w:pPr>
        <w:pStyle w:val="41"/>
        <w:tabs>
          <w:tab w:val="left" w:pos="6533"/>
        </w:tabs>
        <w:ind w:left="0" w:leftChars="0" w:firstLine="0" w:firstLineChar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4B4CA43A">
      <w:pP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年   月   日</w:t>
      </w:r>
      <w:r>
        <w:rPr>
          <w:rFonts w:hint="eastAsia" w:ascii="宋体" w:hAnsi="宋体" w:eastAsia="宋体" w:cs="宋体"/>
          <w:b/>
          <w:bCs/>
          <w:color w:val="auto"/>
          <w:sz w:val="24"/>
          <w:szCs w:val="24"/>
          <w:highlight w:val="none"/>
        </w:rPr>
        <w:br w:type="page"/>
      </w:r>
    </w:p>
    <w:p w14:paraId="6163ED62">
      <w:pPr>
        <w:autoSpaceDE w:val="0"/>
        <w:autoSpaceDN w:val="0"/>
        <w:adjustRightInd w:val="0"/>
        <w:spacing w:line="360" w:lineRule="auto"/>
        <w:ind w:firstLine="241" w:firstLineChars="1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2、拟投入本项目的主要成员表</w:t>
      </w:r>
    </w:p>
    <w:tbl>
      <w:tblPr>
        <w:tblStyle w:val="30"/>
        <w:tblW w:w="1013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315"/>
        <w:gridCol w:w="1356"/>
        <w:gridCol w:w="1333"/>
        <w:gridCol w:w="1388"/>
        <w:gridCol w:w="2166"/>
        <w:gridCol w:w="1611"/>
      </w:tblGrid>
      <w:tr w14:paraId="0A39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967" w:type="dxa"/>
            <w:noWrap w:val="0"/>
            <w:vAlign w:val="center"/>
          </w:tcPr>
          <w:p w14:paraId="4024A0C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315" w:type="dxa"/>
            <w:noWrap w:val="0"/>
            <w:vAlign w:val="center"/>
          </w:tcPr>
          <w:p w14:paraId="75B1DA4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356" w:type="dxa"/>
            <w:noWrap w:val="0"/>
            <w:vAlign w:val="center"/>
          </w:tcPr>
          <w:p w14:paraId="57AA3FA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333" w:type="dxa"/>
            <w:noWrap w:val="0"/>
            <w:vAlign w:val="center"/>
          </w:tcPr>
          <w:p w14:paraId="4239ABA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388" w:type="dxa"/>
            <w:noWrap w:val="0"/>
            <w:vAlign w:val="center"/>
          </w:tcPr>
          <w:p w14:paraId="75FEB65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岗位</w:t>
            </w:r>
          </w:p>
        </w:tc>
        <w:tc>
          <w:tcPr>
            <w:tcW w:w="2166" w:type="dxa"/>
            <w:noWrap w:val="0"/>
            <w:vAlign w:val="center"/>
          </w:tcPr>
          <w:p w14:paraId="5EC1AF5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从事该岗位时间</w:t>
            </w:r>
          </w:p>
        </w:tc>
        <w:tc>
          <w:tcPr>
            <w:tcW w:w="1611" w:type="dxa"/>
            <w:noWrap w:val="0"/>
            <w:vAlign w:val="center"/>
          </w:tcPr>
          <w:p w14:paraId="03957951">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备注</w:t>
            </w:r>
          </w:p>
        </w:tc>
      </w:tr>
      <w:tr w14:paraId="6280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67" w:type="dxa"/>
            <w:noWrap w:val="0"/>
            <w:vAlign w:val="center"/>
          </w:tcPr>
          <w:p w14:paraId="37FC9FD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15" w:type="dxa"/>
            <w:noWrap w:val="0"/>
            <w:vAlign w:val="center"/>
          </w:tcPr>
          <w:p w14:paraId="5D749DBB">
            <w:pPr>
              <w:spacing w:line="360" w:lineRule="auto"/>
              <w:jc w:val="center"/>
              <w:rPr>
                <w:rFonts w:hint="eastAsia" w:ascii="宋体" w:hAnsi="宋体" w:eastAsia="宋体" w:cs="宋体"/>
                <w:color w:val="auto"/>
                <w:sz w:val="24"/>
                <w:highlight w:val="none"/>
              </w:rPr>
            </w:pPr>
          </w:p>
        </w:tc>
        <w:tc>
          <w:tcPr>
            <w:tcW w:w="1356" w:type="dxa"/>
            <w:noWrap w:val="0"/>
            <w:vAlign w:val="center"/>
          </w:tcPr>
          <w:p w14:paraId="7E4EEC45">
            <w:pPr>
              <w:spacing w:line="360" w:lineRule="auto"/>
              <w:jc w:val="center"/>
              <w:rPr>
                <w:rFonts w:hint="eastAsia" w:ascii="宋体" w:hAnsi="宋体" w:eastAsia="宋体" w:cs="宋体"/>
                <w:color w:val="auto"/>
                <w:sz w:val="24"/>
                <w:highlight w:val="none"/>
              </w:rPr>
            </w:pPr>
          </w:p>
        </w:tc>
        <w:tc>
          <w:tcPr>
            <w:tcW w:w="1333" w:type="dxa"/>
            <w:noWrap w:val="0"/>
            <w:vAlign w:val="center"/>
          </w:tcPr>
          <w:p w14:paraId="2ACB3ACB">
            <w:pPr>
              <w:spacing w:line="360" w:lineRule="auto"/>
              <w:jc w:val="center"/>
              <w:rPr>
                <w:rFonts w:hint="eastAsia" w:ascii="宋体" w:hAnsi="宋体" w:eastAsia="宋体" w:cs="宋体"/>
                <w:color w:val="auto"/>
                <w:sz w:val="24"/>
                <w:highlight w:val="none"/>
              </w:rPr>
            </w:pPr>
          </w:p>
        </w:tc>
        <w:tc>
          <w:tcPr>
            <w:tcW w:w="1388" w:type="dxa"/>
            <w:noWrap w:val="0"/>
            <w:vAlign w:val="center"/>
          </w:tcPr>
          <w:p w14:paraId="263D6D0B">
            <w:pPr>
              <w:spacing w:line="360" w:lineRule="auto"/>
              <w:jc w:val="center"/>
              <w:rPr>
                <w:rFonts w:hint="eastAsia" w:ascii="宋体" w:hAnsi="宋体" w:eastAsia="宋体" w:cs="宋体"/>
                <w:color w:val="auto"/>
                <w:sz w:val="24"/>
                <w:highlight w:val="none"/>
              </w:rPr>
            </w:pPr>
          </w:p>
        </w:tc>
        <w:tc>
          <w:tcPr>
            <w:tcW w:w="2166" w:type="dxa"/>
            <w:noWrap w:val="0"/>
            <w:vAlign w:val="center"/>
          </w:tcPr>
          <w:p w14:paraId="7876D49D">
            <w:pPr>
              <w:spacing w:line="360" w:lineRule="auto"/>
              <w:jc w:val="center"/>
              <w:rPr>
                <w:rFonts w:hint="eastAsia" w:ascii="宋体" w:hAnsi="宋体" w:eastAsia="宋体" w:cs="宋体"/>
                <w:color w:val="auto"/>
                <w:sz w:val="24"/>
                <w:highlight w:val="none"/>
              </w:rPr>
            </w:pPr>
          </w:p>
        </w:tc>
        <w:tc>
          <w:tcPr>
            <w:tcW w:w="1611" w:type="dxa"/>
            <w:noWrap w:val="0"/>
            <w:vAlign w:val="center"/>
          </w:tcPr>
          <w:p w14:paraId="7352B6B6">
            <w:pPr>
              <w:spacing w:line="360" w:lineRule="auto"/>
              <w:jc w:val="center"/>
              <w:rPr>
                <w:rFonts w:hint="eastAsia" w:ascii="宋体" w:hAnsi="宋体" w:eastAsia="宋体" w:cs="宋体"/>
                <w:color w:val="auto"/>
                <w:sz w:val="24"/>
                <w:highlight w:val="none"/>
              </w:rPr>
            </w:pPr>
          </w:p>
        </w:tc>
      </w:tr>
      <w:tr w14:paraId="0A74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67" w:type="dxa"/>
            <w:noWrap w:val="0"/>
            <w:vAlign w:val="center"/>
          </w:tcPr>
          <w:p w14:paraId="64360C4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15" w:type="dxa"/>
            <w:noWrap w:val="0"/>
            <w:vAlign w:val="center"/>
          </w:tcPr>
          <w:p w14:paraId="4C915237">
            <w:pPr>
              <w:spacing w:line="360" w:lineRule="auto"/>
              <w:jc w:val="center"/>
              <w:rPr>
                <w:rFonts w:hint="eastAsia" w:ascii="宋体" w:hAnsi="宋体" w:eastAsia="宋体" w:cs="宋体"/>
                <w:color w:val="auto"/>
                <w:sz w:val="24"/>
                <w:highlight w:val="none"/>
              </w:rPr>
            </w:pPr>
          </w:p>
        </w:tc>
        <w:tc>
          <w:tcPr>
            <w:tcW w:w="1356" w:type="dxa"/>
            <w:noWrap w:val="0"/>
            <w:vAlign w:val="center"/>
          </w:tcPr>
          <w:p w14:paraId="7E7CFF81">
            <w:pPr>
              <w:spacing w:line="360" w:lineRule="auto"/>
              <w:jc w:val="center"/>
              <w:rPr>
                <w:rFonts w:hint="eastAsia" w:ascii="宋体" w:hAnsi="宋体" w:eastAsia="宋体" w:cs="宋体"/>
                <w:color w:val="auto"/>
                <w:sz w:val="24"/>
                <w:highlight w:val="none"/>
              </w:rPr>
            </w:pPr>
          </w:p>
        </w:tc>
        <w:tc>
          <w:tcPr>
            <w:tcW w:w="1333" w:type="dxa"/>
            <w:noWrap w:val="0"/>
            <w:vAlign w:val="center"/>
          </w:tcPr>
          <w:p w14:paraId="7112E321">
            <w:pPr>
              <w:spacing w:line="360" w:lineRule="auto"/>
              <w:jc w:val="center"/>
              <w:rPr>
                <w:rFonts w:hint="eastAsia" w:ascii="宋体" w:hAnsi="宋体" w:eastAsia="宋体" w:cs="宋体"/>
                <w:color w:val="auto"/>
                <w:sz w:val="24"/>
                <w:highlight w:val="none"/>
              </w:rPr>
            </w:pPr>
          </w:p>
        </w:tc>
        <w:tc>
          <w:tcPr>
            <w:tcW w:w="1388" w:type="dxa"/>
            <w:noWrap w:val="0"/>
            <w:vAlign w:val="center"/>
          </w:tcPr>
          <w:p w14:paraId="39EF229D">
            <w:pPr>
              <w:spacing w:line="360" w:lineRule="auto"/>
              <w:jc w:val="center"/>
              <w:rPr>
                <w:rFonts w:hint="eastAsia" w:ascii="宋体" w:hAnsi="宋体" w:eastAsia="宋体" w:cs="宋体"/>
                <w:color w:val="auto"/>
                <w:sz w:val="24"/>
                <w:highlight w:val="none"/>
              </w:rPr>
            </w:pPr>
          </w:p>
        </w:tc>
        <w:tc>
          <w:tcPr>
            <w:tcW w:w="2166" w:type="dxa"/>
            <w:noWrap w:val="0"/>
            <w:vAlign w:val="center"/>
          </w:tcPr>
          <w:p w14:paraId="3B1AADA7">
            <w:pPr>
              <w:spacing w:line="360" w:lineRule="auto"/>
              <w:jc w:val="center"/>
              <w:rPr>
                <w:rFonts w:hint="eastAsia" w:ascii="宋体" w:hAnsi="宋体" w:eastAsia="宋体" w:cs="宋体"/>
                <w:color w:val="auto"/>
                <w:sz w:val="24"/>
                <w:highlight w:val="none"/>
              </w:rPr>
            </w:pPr>
          </w:p>
        </w:tc>
        <w:tc>
          <w:tcPr>
            <w:tcW w:w="1611" w:type="dxa"/>
            <w:noWrap w:val="0"/>
            <w:vAlign w:val="center"/>
          </w:tcPr>
          <w:p w14:paraId="373F61E3">
            <w:pPr>
              <w:spacing w:line="360" w:lineRule="auto"/>
              <w:jc w:val="center"/>
              <w:rPr>
                <w:rFonts w:hint="eastAsia" w:ascii="宋体" w:hAnsi="宋体" w:eastAsia="宋体" w:cs="宋体"/>
                <w:color w:val="auto"/>
                <w:sz w:val="24"/>
                <w:highlight w:val="none"/>
              </w:rPr>
            </w:pPr>
          </w:p>
        </w:tc>
      </w:tr>
      <w:tr w14:paraId="363A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67" w:type="dxa"/>
            <w:noWrap w:val="0"/>
            <w:vAlign w:val="center"/>
          </w:tcPr>
          <w:p w14:paraId="4755789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315" w:type="dxa"/>
            <w:noWrap w:val="0"/>
            <w:vAlign w:val="center"/>
          </w:tcPr>
          <w:p w14:paraId="5C21C63C">
            <w:pPr>
              <w:spacing w:line="360" w:lineRule="auto"/>
              <w:jc w:val="center"/>
              <w:rPr>
                <w:rFonts w:hint="eastAsia" w:ascii="宋体" w:hAnsi="宋体" w:eastAsia="宋体" w:cs="宋体"/>
                <w:color w:val="auto"/>
                <w:sz w:val="24"/>
                <w:highlight w:val="none"/>
              </w:rPr>
            </w:pPr>
          </w:p>
        </w:tc>
        <w:tc>
          <w:tcPr>
            <w:tcW w:w="1356" w:type="dxa"/>
            <w:noWrap w:val="0"/>
            <w:vAlign w:val="center"/>
          </w:tcPr>
          <w:p w14:paraId="52ABA4B7">
            <w:pPr>
              <w:spacing w:line="360" w:lineRule="auto"/>
              <w:jc w:val="center"/>
              <w:rPr>
                <w:rFonts w:hint="eastAsia" w:ascii="宋体" w:hAnsi="宋体" w:eastAsia="宋体" w:cs="宋体"/>
                <w:color w:val="auto"/>
                <w:sz w:val="24"/>
                <w:highlight w:val="none"/>
              </w:rPr>
            </w:pPr>
          </w:p>
        </w:tc>
        <w:tc>
          <w:tcPr>
            <w:tcW w:w="1333" w:type="dxa"/>
            <w:noWrap w:val="0"/>
            <w:vAlign w:val="center"/>
          </w:tcPr>
          <w:p w14:paraId="36A96125">
            <w:pPr>
              <w:spacing w:line="360" w:lineRule="auto"/>
              <w:jc w:val="center"/>
              <w:rPr>
                <w:rFonts w:hint="eastAsia" w:ascii="宋体" w:hAnsi="宋体" w:eastAsia="宋体" w:cs="宋体"/>
                <w:color w:val="auto"/>
                <w:sz w:val="24"/>
                <w:highlight w:val="none"/>
              </w:rPr>
            </w:pPr>
          </w:p>
        </w:tc>
        <w:tc>
          <w:tcPr>
            <w:tcW w:w="1388" w:type="dxa"/>
            <w:noWrap w:val="0"/>
            <w:vAlign w:val="center"/>
          </w:tcPr>
          <w:p w14:paraId="1F0693B5">
            <w:pPr>
              <w:spacing w:line="360" w:lineRule="auto"/>
              <w:jc w:val="center"/>
              <w:rPr>
                <w:rFonts w:hint="eastAsia" w:ascii="宋体" w:hAnsi="宋体" w:eastAsia="宋体" w:cs="宋体"/>
                <w:color w:val="auto"/>
                <w:sz w:val="24"/>
                <w:highlight w:val="none"/>
              </w:rPr>
            </w:pPr>
          </w:p>
        </w:tc>
        <w:tc>
          <w:tcPr>
            <w:tcW w:w="2166" w:type="dxa"/>
            <w:noWrap w:val="0"/>
            <w:vAlign w:val="center"/>
          </w:tcPr>
          <w:p w14:paraId="748F4FEB">
            <w:pPr>
              <w:spacing w:line="360" w:lineRule="auto"/>
              <w:jc w:val="center"/>
              <w:rPr>
                <w:rFonts w:hint="eastAsia" w:ascii="宋体" w:hAnsi="宋体" w:eastAsia="宋体" w:cs="宋体"/>
                <w:color w:val="auto"/>
                <w:sz w:val="24"/>
                <w:highlight w:val="none"/>
              </w:rPr>
            </w:pPr>
          </w:p>
        </w:tc>
        <w:tc>
          <w:tcPr>
            <w:tcW w:w="1611" w:type="dxa"/>
            <w:noWrap w:val="0"/>
            <w:vAlign w:val="center"/>
          </w:tcPr>
          <w:p w14:paraId="769E9EC6">
            <w:pPr>
              <w:spacing w:line="360" w:lineRule="auto"/>
              <w:jc w:val="center"/>
              <w:rPr>
                <w:rFonts w:hint="eastAsia" w:ascii="宋体" w:hAnsi="宋体" w:eastAsia="宋体" w:cs="宋体"/>
                <w:color w:val="auto"/>
                <w:sz w:val="24"/>
                <w:highlight w:val="none"/>
              </w:rPr>
            </w:pPr>
          </w:p>
        </w:tc>
      </w:tr>
      <w:tr w14:paraId="6F0E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67" w:type="dxa"/>
            <w:noWrap w:val="0"/>
            <w:vAlign w:val="center"/>
          </w:tcPr>
          <w:p w14:paraId="0E7F9F4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15" w:type="dxa"/>
            <w:noWrap w:val="0"/>
            <w:vAlign w:val="center"/>
          </w:tcPr>
          <w:p w14:paraId="5075CDE0">
            <w:pPr>
              <w:spacing w:line="360" w:lineRule="auto"/>
              <w:jc w:val="center"/>
              <w:rPr>
                <w:rFonts w:hint="eastAsia" w:ascii="宋体" w:hAnsi="宋体" w:eastAsia="宋体" w:cs="宋体"/>
                <w:color w:val="auto"/>
                <w:sz w:val="24"/>
                <w:highlight w:val="none"/>
              </w:rPr>
            </w:pPr>
          </w:p>
        </w:tc>
        <w:tc>
          <w:tcPr>
            <w:tcW w:w="1356" w:type="dxa"/>
            <w:noWrap w:val="0"/>
            <w:vAlign w:val="center"/>
          </w:tcPr>
          <w:p w14:paraId="2C905668">
            <w:pPr>
              <w:spacing w:line="360" w:lineRule="auto"/>
              <w:jc w:val="center"/>
              <w:rPr>
                <w:rFonts w:hint="eastAsia" w:ascii="宋体" w:hAnsi="宋体" w:eastAsia="宋体" w:cs="宋体"/>
                <w:color w:val="auto"/>
                <w:sz w:val="24"/>
                <w:highlight w:val="none"/>
              </w:rPr>
            </w:pPr>
          </w:p>
        </w:tc>
        <w:tc>
          <w:tcPr>
            <w:tcW w:w="1333" w:type="dxa"/>
            <w:noWrap w:val="0"/>
            <w:vAlign w:val="center"/>
          </w:tcPr>
          <w:p w14:paraId="682C43B9">
            <w:pPr>
              <w:spacing w:line="360" w:lineRule="auto"/>
              <w:jc w:val="center"/>
              <w:rPr>
                <w:rFonts w:hint="eastAsia" w:ascii="宋体" w:hAnsi="宋体" w:eastAsia="宋体" w:cs="宋体"/>
                <w:color w:val="auto"/>
                <w:sz w:val="24"/>
                <w:highlight w:val="none"/>
              </w:rPr>
            </w:pPr>
          </w:p>
        </w:tc>
        <w:tc>
          <w:tcPr>
            <w:tcW w:w="1388" w:type="dxa"/>
            <w:noWrap w:val="0"/>
            <w:vAlign w:val="center"/>
          </w:tcPr>
          <w:p w14:paraId="45098D29">
            <w:pPr>
              <w:spacing w:line="360" w:lineRule="auto"/>
              <w:jc w:val="center"/>
              <w:rPr>
                <w:rFonts w:hint="eastAsia" w:ascii="宋体" w:hAnsi="宋体" w:eastAsia="宋体" w:cs="宋体"/>
                <w:color w:val="auto"/>
                <w:sz w:val="24"/>
                <w:highlight w:val="none"/>
              </w:rPr>
            </w:pPr>
          </w:p>
        </w:tc>
        <w:tc>
          <w:tcPr>
            <w:tcW w:w="2166" w:type="dxa"/>
            <w:noWrap w:val="0"/>
            <w:vAlign w:val="center"/>
          </w:tcPr>
          <w:p w14:paraId="1E8434AC">
            <w:pPr>
              <w:spacing w:line="360" w:lineRule="auto"/>
              <w:jc w:val="center"/>
              <w:rPr>
                <w:rFonts w:hint="eastAsia" w:ascii="宋体" w:hAnsi="宋体" w:eastAsia="宋体" w:cs="宋体"/>
                <w:color w:val="auto"/>
                <w:sz w:val="24"/>
                <w:highlight w:val="none"/>
              </w:rPr>
            </w:pPr>
          </w:p>
        </w:tc>
        <w:tc>
          <w:tcPr>
            <w:tcW w:w="1611" w:type="dxa"/>
            <w:noWrap w:val="0"/>
            <w:vAlign w:val="center"/>
          </w:tcPr>
          <w:p w14:paraId="5861961A">
            <w:pPr>
              <w:spacing w:line="360" w:lineRule="auto"/>
              <w:jc w:val="center"/>
              <w:rPr>
                <w:rFonts w:hint="eastAsia" w:ascii="宋体" w:hAnsi="宋体" w:eastAsia="宋体" w:cs="宋体"/>
                <w:color w:val="auto"/>
                <w:sz w:val="24"/>
                <w:highlight w:val="none"/>
              </w:rPr>
            </w:pPr>
          </w:p>
        </w:tc>
      </w:tr>
    </w:tbl>
    <w:p w14:paraId="3EA25AE4">
      <w:pPr>
        <w:pStyle w:val="41"/>
        <w:numPr>
          <w:ilvl w:val="0"/>
          <w:numId w:val="0"/>
        </w:numPr>
        <w:autoSpaceDE w:val="0"/>
        <w:autoSpaceDN w:val="0"/>
        <w:adjustRightInd w:val="0"/>
        <w:snapToGrid w:val="0"/>
        <w:spacing w:line="360" w:lineRule="auto"/>
        <w:jc w:val="both"/>
        <w:rPr>
          <w:rFonts w:hint="default"/>
          <w:color w:val="auto"/>
          <w:sz w:val="24"/>
          <w:szCs w:val="24"/>
          <w:highlight w:val="none"/>
          <w:lang w:val="en-US" w:eastAsia="zh-CN"/>
        </w:rPr>
      </w:pPr>
      <w:r>
        <w:rPr>
          <w:rFonts w:hint="eastAsia"/>
          <w:color w:val="auto"/>
          <w:sz w:val="24"/>
          <w:szCs w:val="24"/>
          <w:highlight w:val="none"/>
          <w:lang w:val="en-US" w:eastAsia="zh-CN"/>
        </w:rPr>
        <w:t>注：</w:t>
      </w:r>
      <w:r>
        <w:rPr>
          <w:rFonts w:hint="eastAsia" w:ascii="宋体" w:hAnsi="宋体" w:eastAsia="宋体" w:cs="宋体"/>
          <w:color w:val="auto"/>
          <w:kern w:val="2"/>
          <w:sz w:val="24"/>
          <w:szCs w:val="24"/>
          <w:highlight w:val="none"/>
          <w:lang w:val="en-US" w:eastAsia="zh-CN" w:bidi="ar-SA"/>
        </w:rPr>
        <w:t>须提供人员登记表、人员简历、在本单位缴纳前6个月内（至少提供1个月）的社保缴纳证明或劳动合同，不提供不得分。</w:t>
      </w:r>
    </w:p>
    <w:p w14:paraId="5060EEBE">
      <w:pPr>
        <w:pStyle w:val="41"/>
        <w:rPr>
          <w:rFonts w:hint="eastAsia"/>
          <w:color w:val="auto"/>
          <w:highlight w:val="none"/>
          <w:lang w:val="en-US" w:eastAsia="zh-CN"/>
        </w:rPr>
      </w:pPr>
    </w:p>
    <w:p w14:paraId="5C3CD866">
      <w:pPr>
        <w:rPr>
          <w:rFonts w:hint="eastAsia"/>
          <w:color w:val="auto"/>
          <w:highlight w:val="none"/>
          <w:lang w:val="en-US" w:eastAsia="zh-CN"/>
        </w:rPr>
      </w:pPr>
    </w:p>
    <w:p w14:paraId="4B49FF93">
      <w:pPr>
        <w:pStyle w:val="41"/>
        <w:rPr>
          <w:rFonts w:hint="eastAsia"/>
          <w:color w:val="auto"/>
          <w:highlight w:val="none"/>
          <w:lang w:val="en-US" w:eastAsia="zh-CN"/>
        </w:rPr>
      </w:pPr>
    </w:p>
    <w:p w14:paraId="2034E876">
      <w:pPr>
        <w:rPr>
          <w:rFonts w:hint="eastAsia"/>
          <w:color w:val="auto"/>
          <w:highlight w:val="none"/>
          <w:lang w:val="en-US" w:eastAsia="zh-CN"/>
        </w:rPr>
      </w:pPr>
    </w:p>
    <w:p w14:paraId="0C6D964C">
      <w:pPr>
        <w:pStyle w:val="41"/>
        <w:rPr>
          <w:rFonts w:hint="eastAsia"/>
          <w:color w:val="auto"/>
          <w:highlight w:val="none"/>
          <w:lang w:val="en-US" w:eastAsia="zh-CN"/>
        </w:rPr>
      </w:pPr>
    </w:p>
    <w:p w14:paraId="276F29E9">
      <w:pPr>
        <w:rPr>
          <w:rFonts w:hint="eastAsia"/>
          <w:color w:val="auto"/>
          <w:highlight w:val="none"/>
          <w:lang w:val="en-US" w:eastAsia="zh-CN"/>
        </w:rPr>
      </w:pPr>
    </w:p>
    <w:p w14:paraId="599D95BE">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29AB236">
      <w:pPr>
        <w:pStyle w:val="41"/>
        <w:tabs>
          <w:tab w:val="left" w:pos="6533"/>
        </w:tabs>
        <w:ind w:left="0" w:leftChars="0" w:firstLine="0" w:firstLineChar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3309F66F">
      <w:pPr>
        <w:ind w:firstLine="720" w:firstLineChars="300"/>
        <w:rPr>
          <w:rFonts w:hint="eastAsia"/>
          <w:color w:val="auto"/>
          <w:highlight w:val="none"/>
          <w:lang w:val="en-US" w:eastAsia="zh-CN"/>
        </w:rPr>
      </w:pPr>
      <w:r>
        <w:rPr>
          <w:rFonts w:hint="eastAsia" w:ascii="宋体" w:hAnsi="宋体" w:eastAsia="宋体" w:cs="宋体"/>
          <w:color w:val="auto"/>
          <w:sz w:val="24"/>
          <w:szCs w:val="24"/>
          <w:highlight w:val="none"/>
        </w:rPr>
        <w:t>年   月   日</w:t>
      </w:r>
    </w:p>
    <w:p w14:paraId="1962D7CD">
      <w:pPr>
        <w:pStyle w:val="37"/>
        <w:rPr>
          <w:rFonts w:hint="eastAsia"/>
          <w:color w:val="auto"/>
          <w:highlight w:val="none"/>
          <w:lang w:val="en-US" w:eastAsia="zh-CN"/>
        </w:rPr>
      </w:pPr>
    </w:p>
    <w:p w14:paraId="4B877EB2">
      <w:pPr>
        <w:numPr>
          <w:ilvl w:val="0"/>
          <w:numId w:val="0"/>
        </w:numPr>
        <w:spacing w:line="360" w:lineRule="auto"/>
        <w:jc w:val="center"/>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1</w:t>
      </w: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技术服务方案</w:t>
      </w:r>
    </w:p>
    <w:p w14:paraId="533156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（格式自拟）</w:t>
      </w:r>
    </w:p>
    <w:p w14:paraId="59E9947C">
      <w:pPr>
        <w:pStyle w:val="2"/>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highlight w:val="none"/>
        </w:rPr>
        <w:t>包括但不限于以下内容</w:t>
      </w:r>
      <w:r>
        <w:rPr>
          <w:rFonts w:hint="eastAsia" w:ascii="宋体" w:hAnsi="宋体" w:eastAsia="宋体" w:cs="宋体"/>
          <w:bCs/>
          <w:color w:val="auto"/>
          <w:sz w:val="24"/>
          <w:highlight w:val="none"/>
          <w:lang w:eastAsia="zh-CN"/>
        </w:rPr>
        <w:t>：</w:t>
      </w:r>
      <w:r>
        <w:rPr>
          <w:rFonts w:hint="eastAsia" w:ascii="宋体" w:hAnsi="宋体" w:eastAsia="宋体" w:cs="宋体"/>
          <w:color w:val="auto"/>
          <w:sz w:val="24"/>
          <w:szCs w:val="24"/>
          <w:highlight w:val="none"/>
          <w:lang w:val="en-US" w:eastAsia="zh-CN"/>
        </w:rPr>
        <w:t>货物制作及安装方法及技术措施、</w:t>
      </w:r>
      <w:r>
        <w:rPr>
          <w:rFonts w:hint="default" w:ascii="宋体" w:hAnsi="宋体" w:eastAsia="宋体" w:cs="宋体"/>
          <w:color w:val="auto"/>
          <w:kern w:val="2"/>
          <w:sz w:val="24"/>
          <w:szCs w:val="24"/>
          <w:highlight w:val="none"/>
          <w:lang w:val="en-US" w:eastAsia="zh-CN" w:bidi="ar-SA"/>
        </w:rPr>
        <w:t>供货方案</w:t>
      </w:r>
      <w:r>
        <w:rPr>
          <w:rFonts w:hint="eastAsia" w:ascii="宋体" w:hAnsi="宋体" w:eastAsia="宋体" w:cs="宋体"/>
          <w:color w:val="auto"/>
          <w:kern w:val="2"/>
          <w:sz w:val="24"/>
          <w:szCs w:val="24"/>
          <w:highlight w:val="none"/>
          <w:lang w:val="en-US" w:eastAsia="zh-CN" w:bidi="ar-SA"/>
        </w:rPr>
        <w:t>、质量保障措施、售后服务与技术支持方案、应急事故响应及处理方案；</w:t>
      </w:r>
    </w:p>
    <w:p w14:paraId="1A7427C0">
      <w:pPr>
        <w:rPr>
          <w:rFonts w:hint="eastAsia"/>
          <w:color w:val="auto"/>
          <w:highlight w:val="none"/>
          <w:lang w:val="en-US" w:eastAsia="zh-CN"/>
        </w:rPr>
      </w:pPr>
    </w:p>
    <w:p w14:paraId="24D6D878">
      <w:pPr>
        <w:pStyle w:val="41"/>
        <w:rPr>
          <w:rFonts w:hint="eastAsia"/>
          <w:color w:val="auto"/>
          <w:highlight w:val="none"/>
          <w:lang w:val="en-US" w:eastAsia="zh-CN"/>
        </w:rPr>
      </w:pPr>
    </w:p>
    <w:p w14:paraId="41434FF8">
      <w:pPr>
        <w:rPr>
          <w:rFonts w:hint="eastAsia"/>
          <w:color w:val="auto"/>
          <w:highlight w:val="none"/>
          <w:lang w:val="en-US" w:eastAsia="zh-CN"/>
        </w:rPr>
      </w:pPr>
    </w:p>
    <w:p w14:paraId="1C018340">
      <w:pPr>
        <w:pStyle w:val="41"/>
        <w:rPr>
          <w:rFonts w:hint="eastAsia"/>
          <w:color w:val="auto"/>
          <w:highlight w:val="none"/>
          <w:lang w:val="en-US" w:eastAsia="zh-CN"/>
        </w:rPr>
      </w:pPr>
    </w:p>
    <w:p w14:paraId="57EE548C">
      <w:pPr>
        <w:rPr>
          <w:rFonts w:hint="eastAsia"/>
          <w:color w:val="auto"/>
          <w:highlight w:val="none"/>
          <w:lang w:val="en-US" w:eastAsia="zh-CN"/>
        </w:rPr>
      </w:pPr>
    </w:p>
    <w:p w14:paraId="1C2161C3">
      <w:pPr>
        <w:pStyle w:val="41"/>
        <w:rPr>
          <w:rFonts w:hint="eastAsia"/>
          <w:color w:val="auto"/>
          <w:highlight w:val="none"/>
          <w:lang w:val="en-US" w:eastAsia="zh-CN"/>
        </w:rPr>
      </w:pPr>
    </w:p>
    <w:p w14:paraId="15522652">
      <w:pPr>
        <w:rPr>
          <w:rFonts w:hint="eastAsia"/>
          <w:color w:val="auto"/>
          <w:highlight w:val="none"/>
          <w:lang w:val="en-US" w:eastAsia="zh-CN"/>
        </w:rPr>
      </w:pPr>
    </w:p>
    <w:p w14:paraId="55A0A8FF">
      <w:pPr>
        <w:pStyle w:val="41"/>
        <w:rPr>
          <w:rFonts w:hint="eastAsia"/>
          <w:color w:val="auto"/>
          <w:highlight w:val="none"/>
          <w:lang w:val="en-US" w:eastAsia="zh-CN"/>
        </w:rPr>
      </w:pPr>
    </w:p>
    <w:p w14:paraId="0C91717E">
      <w:pPr>
        <w:rPr>
          <w:rFonts w:hint="eastAsia"/>
          <w:color w:val="auto"/>
          <w:highlight w:val="none"/>
          <w:lang w:val="en-US" w:eastAsia="zh-CN"/>
        </w:rPr>
      </w:pPr>
    </w:p>
    <w:p w14:paraId="7AA585B7">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3D2A02E">
      <w:pPr>
        <w:pStyle w:val="41"/>
        <w:tabs>
          <w:tab w:val="left" w:pos="6533"/>
        </w:tabs>
        <w:ind w:left="0" w:leftChars="0" w:firstLine="0" w:firstLineChar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68CB6DEE">
      <w:pPr>
        <w:ind w:firstLine="720" w:firstLineChars="300"/>
        <w:rPr>
          <w:rFonts w:hint="eastAsia"/>
          <w:color w:val="auto"/>
          <w:highlight w:val="none"/>
          <w:lang w:val="en-US" w:eastAsia="zh-CN"/>
        </w:rPr>
      </w:pPr>
      <w:r>
        <w:rPr>
          <w:rFonts w:hint="eastAsia" w:ascii="宋体" w:hAnsi="宋体" w:eastAsia="宋体" w:cs="宋体"/>
          <w:color w:val="auto"/>
          <w:sz w:val="24"/>
          <w:szCs w:val="24"/>
          <w:highlight w:val="none"/>
        </w:rPr>
        <w:t>年   月   日</w:t>
      </w:r>
    </w:p>
    <w:p w14:paraId="6E27B769">
      <w:pPr>
        <w:pStyle w:val="37"/>
        <w:rPr>
          <w:rFonts w:hint="eastAsia"/>
          <w:color w:val="auto"/>
          <w:highlight w:val="none"/>
          <w:lang w:val="en-US" w:eastAsia="zh-CN"/>
        </w:rPr>
      </w:pPr>
    </w:p>
    <w:p w14:paraId="5AA766D6">
      <w:pPr>
        <w:pStyle w:val="37"/>
        <w:numPr>
          <w:ilvl w:val="0"/>
          <w:numId w:val="0"/>
        </w:numPr>
        <w:ind w:right="-58" w:rightChars="0"/>
        <w:rPr>
          <w:rFonts w:hint="eastAsia"/>
          <w:color w:val="auto"/>
          <w:highlight w:val="none"/>
          <w:lang w:val="en-US" w:eastAsia="zh-CN"/>
        </w:rPr>
      </w:pPr>
    </w:p>
    <w:p w14:paraId="7279219D">
      <w:pPr>
        <w:spacing w:line="360" w:lineRule="auto"/>
        <w:ind w:right="105" w:rightChars="50"/>
        <w:rPr>
          <w:rFonts w:hint="eastAsia" w:ascii="宋体" w:hAnsi="宋体" w:eastAsia="宋体" w:cs="宋体"/>
          <w:color w:val="auto"/>
          <w:sz w:val="24"/>
          <w:szCs w:val="24"/>
          <w:highlight w:val="none"/>
          <w:u w:val="single"/>
        </w:rPr>
      </w:pPr>
      <w:r>
        <w:rPr>
          <w:rFonts w:hint="eastAsia" w:ascii="宋体" w:hAnsi="宋体" w:eastAsia="宋体" w:cs="宋体"/>
          <w:b/>
          <w:color w:val="auto"/>
          <w:sz w:val="28"/>
          <w:szCs w:val="28"/>
          <w:highlight w:val="none"/>
          <w:lang w:val="en-US" w:eastAsia="zh-CN"/>
        </w:rPr>
        <w:br w:type="page"/>
      </w:r>
    </w:p>
    <w:p w14:paraId="11FED908">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w:t>
      </w:r>
      <w:r>
        <w:rPr>
          <w:rFonts w:hint="eastAsia" w:ascii="宋体" w:hAnsi="宋体" w:cs="宋体"/>
          <w:b/>
          <w:color w:val="auto"/>
          <w:sz w:val="28"/>
          <w:szCs w:val="28"/>
          <w:highlight w:val="none"/>
          <w:lang w:val="en-US" w:eastAsia="zh-CN"/>
        </w:rPr>
        <w:t>12</w:t>
      </w:r>
      <w:r>
        <w:rPr>
          <w:rFonts w:hint="eastAsia" w:ascii="宋体" w:hAnsi="宋体" w:eastAsia="宋体" w:cs="宋体"/>
          <w:b/>
          <w:color w:val="auto"/>
          <w:sz w:val="28"/>
          <w:szCs w:val="28"/>
          <w:highlight w:val="none"/>
          <w:lang w:val="en-US" w:eastAsia="zh-CN"/>
        </w:rPr>
        <w:t>）商务、技术偏离表</w:t>
      </w:r>
    </w:p>
    <w:p w14:paraId="14C2842E">
      <w:pPr>
        <w:spacing w:line="360" w:lineRule="auto"/>
        <w:jc w:val="center"/>
        <w:rPr>
          <w:rFonts w:hint="eastAsia" w:ascii="宋体" w:hAnsi="宋体" w:eastAsia="宋体" w:cs="宋体"/>
          <w:color w:val="auto"/>
          <w:sz w:val="24"/>
          <w:szCs w:val="24"/>
          <w:highlight w:val="none"/>
        </w:rPr>
      </w:pPr>
    </w:p>
    <w:tbl>
      <w:tblPr>
        <w:tblStyle w:val="30"/>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150"/>
        <w:gridCol w:w="2445"/>
        <w:gridCol w:w="2472"/>
        <w:gridCol w:w="1033"/>
        <w:gridCol w:w="1094"/>
      </w:tblGrid>
      <w:tr w14:paraId="2705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7E78DD82">
            <w:pPr>
              <w:bidi w:val="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序号</w:t>
            </w:r>
          </w:p>
        </w:tc>
        <w:tc>
          <w:tcPr>
            <w:tcW w:w="2150" w:type="dxa"/>
            <w:noWrap w:val="0"/>
            <w:vAlign w:val="center"/>
          </w:tcPr>
          <w:p w14:paraId="302E7A82">
            <w:pPr>
              <w:bidi w:val="0"/>
              <w:jc w:val="center"/>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文件条目号</w:t>
            </w:r>
          </w:p>
        </w:tc>
        <w:tc>
          <w:tcPr>
            <w:tcW w:w="2445" w:type="dxa"/>
            <w:noWrap w:val="0"/>
            <w:vAlign w:val="center"/>
          </w:tcPr>
          <w:p w14:paraId="1AAA82E1">
            <w:pPr>
              <w:bidi w:val="0"/>
              <w:jc w:val="center"/>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文件的商务条款</w:t>
            </w:r>
          </w:p>
        </w:tc>
        <w:tc>
          <w:tcPr>
            <w:tcW w:w="2472" w:type="dxa"/>
            <w:noWrap w:val="0"/>
            <w:vAlign w:val="center"/>
          </w:tcPr>
          <w:p w14:paraId="5163F081">
            <w:pPr>
              <w:bidi w:val="0"/>
              <w:jc w:val="center"/>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响应文件</w:t>
            </w:r>
            <w:r>
              <w:rPr>
                <w:rFonts w:hint="eastAsia" w:ascii="宋体" w:hAnsi="宋体" w:eastAsia="宋体" w:cs="宋体"/>
                <w:color w:val="auto"/>
                <w:sz w:val="24"/>
                <w:szCs w:val="24"/>
                <w:highlight w:val="none"/>
              </w:rPr>
              <w:t>的商务条款</w:t>
            </w:r>
          </w:p>
        </w:tc>
        <w:tc>
          <w:tcPr>
            <w:tcW w:w="1033" w:type="dxa"/>
            <w:noWrap w:val="0"/>
            <w:vAlign w:val="center"/>
          </w:tcPr>
          <w:p w14:paraId="6CA28545">
            <w:pPr>
              <w:bidi w:val="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偏离</w:t>
            </w:r>
          </w:p>
        </w:tc>
        <w:tc>
          <w:tcPr>
            <w:tcW w:w="1094" w:type="dxa"/>
            <w:noWrap w:val="0"/>
            <w:vAlign w:val="center"/>
          </w:tcPr>
          <w:p w14:paraId="2F6A0761">
            <w:pPr>
              <w:bidi w:val="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备注</w:t>
            </w:r>
          </w:p>
        </w:tc>
      </w:tr>
      <w:tr w14:paraId="274F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14BA8DC2">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4512B9E0">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3D6BA590">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041FD01F">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4AF091BF">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72D12964">
            <w:pPr>
              <w:spacing w:line="360" w:lineRule="auto"/>
              <w:jc w:val="center"/>
              <w:rPr>
                <w:rFonts w:hint="eastAsia" w:ascii="宋体" w:hAnsi="宋体" w:eastAsia="宋体" w:cs="宋体"/>
                <w:color w:val="auto"/>
                <w:sz w:val="24"/>
                <w:szCs w:val="24"/>
                <w:highlight w:val="none"/>
              </w:rPr>
            </w:pPr>
          </w:p>
        </w:tc>
      </w:tr>
      <w:tr w14:paraId="0EED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4A8C53B3">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0B7C9812">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5A693F63">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24B9827D">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3B3CC202">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761FF6A6">
            <w:pPr>
              <w:spacing w:line="360" w:lineRule="auto"/>
              <w:jc w:val="center"/>
              <w:rPr>
                <w:rFonts w:hint="eastAsia" w:ascii="宋体" w:hAnsi="宋体" w:eastAsia="宋体" w:cs="宋体"/>
                <w:color w:val="auto"/>
                <w:sz w:val="24"/>
                <w:szCs w:val="24"/>
                <w:highlight w:val="none"/>
              </w:rPr>
            </w:pPr>
          </w:p>
        </w:tc>
      </w:tr>
      <w:tr w14:paraId="77F3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144E227C">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464F23D3">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52298AF9">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73F4B18C">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3DE1403A">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050D47A9">
            <w:pPr>
              <w:spacing w:line="360" w:lineRule="auto"/>
              <w:jc w:val="center"/>
              <w:rPr>
                <w:rFonts w:hint="eastAsia" w:ascii="宋体" w:hAnsi="宋体" w:eastAsia="宋体" w:cs="宋体"/>
                <w:color w:val="auto"/>
                <w:sz w:val="24"/>
                <w:szCs w:val="24"/>
                <w:highlight w:val="none"/>
              </w:rPr>
            </w:pPr>
          </w:p>
        </w:tc>
      </w:tr>
      <w:tr w14:paraId="030E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469F4CB0">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3E1AAB42">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3142D7B0">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573DFFF0">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52B3AFD6">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1440AD9F">
            <w:pPr>
              <w:spacing w:line="360" w:lineRule="auto"/>
              <w:jc w:val="center"/>
              <w:rPr>
                <w:rFonts w:hint="eastAsia" w:ascii="宋体" w:hAnsi="宋体" w:eastAsia="宋体" w:cs="宋体"/>
                <w:color w:val="auto"/>
                <w:sz w:val="24"/>
                <w:szCs w:val="24"/>
                <w:highlight w:val="none"/>
              </w:rPr>
            </w:pPr>
          </w:p>
        </w:tc>
      </w:tr>
      <w:tr w14:paraId="5099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5EB6E284">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78EAC5D7">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46316B4B">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1E7C9A61">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3D7FE7E1">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4DFBCB1F">
            <w:pPr>
              <w:spacing w:line="360" w:lineRule="auto"/>
              <w:jc w:val="center"/>
              <w:rPr>
                <w:rFonts w:hint="eastAsia" w:ascii="宋体" w:hAnsi="宋体" w:eastAsia="宋体" w:cs="宋体"/>
                <w:color w:val="auto"/>
                <w:sz w:val="24"/>
                <w:szCs w:val="24"/>
                <w:highlight w:val="none"/>
              </w:rPr>
            </w:pPr>
          </w:p>
        </w:tc>
      </w:tr>
      <w:tr w14:paraId="18D5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5BC043E2">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5B59E58B">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1230ED9C">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66AA3B1D">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04073998">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0339FD19">
            <w:pPr>
              <w:spacing w:line="360" w:lineRule="auto"/>
              <w:jc w:val="center"/>
              <w:rPr>
                <w:rFonts w:hint="eastAsia" w:ascii="宋体" w:hAnsi="宋体" w:eastAsia="宋体" w:cs="宋体"/>
                <w:color w:val="auto"/>
                <w:sz w:val="24"/>
                <w:szCs w:val="24"/>
                <w:highlight w:val="none"/>
              </w:rPr>
            </w:pPr>
          </w:p>
        </w:tc>
      </w:tr>
      <w:tr w14:paraId="544E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0EE72598">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55BAE480">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36659418">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2B72AD1D">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00BEBC8C">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597BBB34">
            <w:pPr>
              <w:spacing w:line="360" w:lineRule="auto"/>
              <w:jc w:val="center"/>
              <w:rPr>
                <w:rFonts w:hint="eastAsia" w:ascii="宋体" w:hAnsi="宋体" w:eastAsia="宋体" w:cs="宋体"/>
                <w:color w:val="auto"/>
                <w:sz w:val="24"/>
                <w:szCs w:val="24"/>
                <w:highlight w:val="none"/>
              </w:rPr>
            </w:pPr>
          </w:p>
        </w:tc>
      </w:tr>
      <w:tr w14:paraId="0417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6FAD67D5">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298E1988">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627D05AA">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010DB6B2">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7F3E86C5">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52F674E3">
            <w:pPr>
              <w:spacing w:line="360" w:lineRule="auto"/>
              <w:jc w:val="center"/>
              <w:rPr>
                <w:rFonts w:hint="eastAsia" w:ascii="宋体" w:hAnsi="宋体" w:eastAsia="宋体" w:cs="宋体"/>
                <w:color w:val="auto"/>
                <w:sz w:val="24"/>
                <w:szCs w:val="24"/>
                <w:highlight w:val="none"/>
              </w:rPr>
            </w:pPr>
          </w:p>
        </w:tc>
      </w:tr>
      <w:tr w14:paraId="37E8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05D98CC3">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62249AA9">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7D7AADB8">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4802996F">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4555A379">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4A2108C1">
            <w:pPr>
              <w:spacing w:line="360" w:lineRule="auto"/>
              <w:jc w:val="center"/>
              <w:rPr>
                <w:rFonts w:hint="eastAsia" w:ascii="宋体" w:hAnsi="宋体" w:eastAsia="宋体" w:cs="宋体"/>
                <w:color w:val="auto"/>
                <w:sz w:val="24"/>
                <w:szCs w:val="24"/>
                <w:highlight w:val="none"/>
              </w:rPr>
            </w:pPr>
          </w:p>
        </w:tc>
      </w:tr>
      <w:tr w14:paraId="27FC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73B37EF5">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092C3C53">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423D6E27">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474D259B">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779E9D53">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6A3163B6">
            <w:pPr>
              <w:spacing w:line="360" w:lineRule="auto"/>
              <w:jc w:val="center"/>
              <w:rPr>
                <w:rFonts w:hint="eastAsia" w:ascii="宋体" w:hAnsi="宋体" w:eastAsia="宋体" w:cs="宋体"/>
                <w:color w:val="auto"/>
                <w:sz w:val="24"/>
                <w:szCs w:val="24"/>
                <w:highlight w:val="none"/>
              </w:rPr>
            </w:pPr>
          </w:p>
        </w:tc>
      </w:tr>
      <w:tr w14:paraId="53D6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62" w:type="dxa"/>
            <w:noWrap w:val="0"/>
            <w:vAlign w:val="center"/>
          </w:tcPr>
          <w:p w14:paraId="4C2547EA">
            <w:pPr>
              <w:spacing w:line="360" w:lineRule="auto"/>
              <w:jc w:val="center"/>
              <w:rPr>
                <w:rFonts w:hint="eastAsia" w:ascii="宋体" w:hAnsi="宋体" w:eastAsia="宋体" w:cs="宋体"/>
                <w:color w:val="auto"/>
                <w:sz w:val="24"/>
                <w:szCs w:val="24"/>
                <w:highlight w:val="none"/>
              </w:rPr>
            </w:pPr>
          </w:p>
        </w:tc>
        <w:tc>
          <w:tcPr>
            <w:tcW w:w="2150" w:type="dxa"/>
            <w:noWrap w:val="0"/>
            <w:vAlign w:val="center"/>
          </w:tcPr>
          <w:p w14:paraId="1A30F965">
            <w:pPr>
              <w:spacing w:line="360" w:lineRule="auto"/>
              <w:jc w:val="center"/>
              <w:rPr>
                <w:rFonts w:hint="eastAsia" w:ascii="宋体" w:hAnsi="宋体" w:eastAsia="宋体" w:cs="宋体"/>
                <w:color w:val="auto"/>
                <w:sz w:val="24"/>
                <w:szCs w:val="24"/>
                <w:highlight w:val="none"/>
              </w:rPr>
            </w:pPr>
          </w:p>
        </w:tc>
        <w:tc>
          <w:tcPr>
            <w:tcW w:w="2445" w:type="dxa"/>
            <w:noWrap w:val="0"/>
            <w:vAlign w:val="center"/>
          </w:tcPr>
          <w:p w14:paraId="52259709">
            <w:pPr>
              <w:spacing w:line="360" w:lineRule="auto"/>
              <w:jc w:val="center"/>
              <w:rPr>
                <w:rFonts w:hint="eastAsia" w:ascii="宋体" w:hAnsi="宋体" w:eastAsia="宋体" w:cs="宋体"/>
                <w:color w:val="auto"/>
                <w:sz w:val="24"/>
                <w:szCs w:val="24"/>
                <w:highlight w:val="none"/>
              </w:rPr>
            </w:pPr>
          </w:p>
        </w:tc>
        <w:tc>
          <w:tcPr>
            <w:tcW w:w="2472" w:type="dxa"/>
            <w:noWrap w:val="0"/>
            <w:vAlign w:val="center"/>
          </w:tcPr>
          <w:p w14:paraId="50F1A7C9">
            <w:pPr>
              <w:spacing w:line="360" w:lineRule="auto"/>
              <w:jc w:val="center"/>
              <w:rPr>
                <w:rFonts w:hint="eastAsia" w:ascii="宋体" w:hAnsi="宋体" w:eastAsia="宋体" w:cs="宋体"/>
                <w:color w:val="auto"/>
                <w:sz w:val="24"/>
                <w:szCs w:val="24"/>
                <w:highlight w:val="none"/>
              </w:rPr>
            </w:pPr>
          </w:p>
        </w:tc>
        <w:tc>
          <w:tcPr>
            <w:tcW w:w="1033" w:type="dxa"/>
            <w:noWrap w:val="0"/>
            <w:vAlign w:val="center"/>
          </w:tcPr>
          <w:p w14:paraId="404472D0">
            <w:pPr>
              <w:spacing w:line="360" w:lineRule="auto"/>
              <w:jc w:val="center"/>
              <w:rPr>
                <w:rFonts w:hint="eastAsia" w:ascii="宋体" w:hAnsi="宋体" w:eastAsia="宋体" w:cs="宋体"/>
                <w:color w:val="auto"/>
                <w:sz w:val="24"/>
                <w:szCs w:val="24"/>
                <w:highlight w:val="none"/>
              </w:rPr>
            </w:pPr>
          </w:p>
        </w:tc>
        <w:tc>
          <w:tcPr>
            <w:tcW w:w="1094" w:type="dxa"/>
            <w:noWrap w:val="0"/>
            <w:vAlign w:val="center"/>
          </w:tcPr>
          <w:p w14:paraId="101E5312">
            <w:pPr>
              <w:spacing w:line="360" w:lineRule="auto"/>
              <w:jc w:val="center"/>
              <w:rPr>
                <w:rFonts w:hint="eastAsia" w:ascii="宋体" w:hAnsi="宋体" w:eastAsia="宋体" w:cs="宋体"/>
                <w:color w:val="auto"/>
                <w:sz w:val="24"/>
                <w:szCs w:val="24"/>
                <w:highlight w:val="none"/>
              </w:rPr>
            </w:pPr>
          </w:p>
        </w:tc>
      </w:tr>
    </w:tbl>
    <w:p w14:paraId="5CB48D5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注：凡</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中商务条款（包括交货期、付款、合同条款以及其它所有商务内容）与</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的，均应在此表中列出（内容较多的可以标注见</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第几页，</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包括</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）。未在本表中列明的</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视同响应</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w:t>
      </w:r>
    </w:p>
    <w:p w14:paraId="3A51F040">
      <w:pPr>
        <w:spacing w:line="360" w:lineRule="auto"/>
        <w:ind w:right="105" w:rightChars="50"/>
        <w:rPr>
          <w:rFonts w:hint="eastAsia" w:ascii="宋体" w:hAnsi="宋体" w:eastAsia="宋体" w:cs="宋体"/>
          <w:color w:val="auto"/>
          <w:sz w:val="24"/>
          <w:szCs w:val="24"/>
          <w:highlight w:val="none"/>
        </w:rPr>
      </w:pPr>
    </w:p>
    <w:p w14:paraId="683CD388">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5C9A162">
      <w:pPr>
        <w:spacing w:line="360" w:lineRule="auto"/>
        <w:ind w:right="105" w:rightChars="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3483F1FD">
      <w:pPr>
        <w:spacing w:after="100" w:line="265" w:lineRule="auto"/>
        <w:ind w:right="103" w:firstLine="1440" w:firstLineChars="600"/>
        <w:jc w:val="both"/>
        <w:rPr>
          <w:rFonts w:hint="eastAsia" w:ascii="黑体" w:hAnsi="黑体" w:eastAsia="黑体" w:cs="Tahoma"/>
          <w:b/>
          <w:bCs/>
          <w:color w:val="auto"/>
          <w:sz w:val="36"/>
          <w:szCs w:val="36"/>
          <w:highlight w:val="none"/>
          <w:u w:val="single"/>
        </w:rPr>
      </w:pPr>
      <w:r>
        <w:rPr>
          <w:rFonts w:hint="eastAsia" w:ascii="宋体" w:hAnsi="宋体" w:eastAsia="宋体" w:cs="宋体"/>
          <w:color w:val="auto"/>
          <w:sz w:val="24"/>
          <w:szCs w:val="24"/>
          <w:highlight w:val="none"/>
        </w:rPr>
        <w:t>年   月   日</w:t>
      </w:r>
    </w:p>
    <w:p w14:paraId="44DEB198">
      <w:pPr>
        <w:pStyle w:val="41"/>
        <w:ind w:left="0" w:leftChars="0" w:firstLine="0" w:firstLineChars="0"/>
        <w:rPr>
          <w:rFonts w:hint="eastAsia"/>
          <w:color w:val="auto"/>
          <w:highlight w:val="none"/>
        </w:rPr>
      </w:pPr>
    </w:p>
    <w:p w14:paraId="27007F4D">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sz w:val="28"/>
          <w:szCs w:val="28"/>
          <w:highlight w:val="none"/>
          <w:lang w:val="en-US" w:eastAsia="zh-CN"/>
        </w:rPr>
        <w:t>技 术 偏 离 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988"/>
        <w:gridCol w:w="1533"/>
        <w:gridCol w:w="1533"/>
        <w:gridCol w:w="1533"/>
        <w:gridCol w:w="1533"/>
      </w:tblGrid>
      <w:tr w14:paraId="566F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776BFC8F">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88" w:type="dxa"/>
            <w:noWrap w:val="0"/>
            <w:vAlign w:val="center"/>
          </w:tcPr>
          <w:p w14:paraId="629B0B35">
            <w:pPr>
              <w:bidi w:val="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条目号</w:t>
            </w:r>
          </w:p>
        </w:tc>
        <w:tc>
          <w:tcPr>
            <w:tcW w:w="1533" w:type="dxa"/>
            <w:noWrap w:val="0"/>
            <w:vAlign w:val="center"/>
          </w:tcPr>
          <w:p w14:paraId="219ABF2A">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招标规格</w:t>
            </w:r>
          </w:p>
        </w:tc>
        <w:tc>
          <w:tcPr>
            <w:tcW w:w="1533" w:type="dxa"/>
            <w:noWrap w:val="0"/>
            <w:vAlign w:val="center"/>
          </w:tcPr>
          <w:p w14:paraId="6504E5FD">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投标规格</w:t>
            </w:r>
          </w:p>
        </w:tc>
        <w:tc>
          <w:tcPr>
            <w:tcW w:w="1533" w:type="dxa"/>
            <w:noWrap w:val="0"/>
            <w:vAlign w:val="center"/>
          </w:tcPr>
          <w:p w14:paraId="04AE0BA7">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1533" w:type="dxa"/>
            <w:noWrap w:val="0"/>
            <w:vAlign w:val="center"/>
          </w:tcPr>
          <w:p w14:paraId="7EC8C09F">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18D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1B8B293D">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188493E6">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3F5C2704">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626D013">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054BE49">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64F6E321">
            <w:pPr>
              <w:spacing w:line="360" w:lineRule="auto"/>
              <w:jc w:val="center"/>
              <w:rPr>
                <w:rFonts w:hint="eastAsia" w:ascii="宋体" w:hAnsi="宋体" w:eastAsia="宋体" w:cs="宋体"/>
                <w:color w:val="auto"/>
                <w:sz w:val="24"/>
                <w:szCs w:val="24"/>
                <w:highlight w:val="none"/>
              </w:rPr>
            </w:pPr>
          </w:p>
        </w:tc>
      </w:tr>
      <w:tr w14:paraId="7C24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1836A727">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43E96D80">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26F3341B">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3068EA22">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AB28429">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4D15615">
            <w:pPr>
              <w:spacing w:line="360" w:lineRule="auto"/>
              <w:jc w:val="center"/>
              <w:rPr>
                <w:rFonts w:hint="eastAsia" w:ascii="宋体" w:hAnsi="宋体" w:eastAsia="宋体" w:cs="宋体"/>
                <w:color w:val="auto"/>
                <w:sz w:val="24"/>
                <w:szCs w:val="24"/>
                <w:highlight w:val="none"/>
              </w:rPr>
            </w:pPr>
          </w:p>
        </w:tc>
      </w:tr>
      <w:tr w14:paraId="7059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799AD6BF">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1DF7AE30">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28F55B06">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0857DD49">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0A907CD8">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29812BE3">
            <w:pPr>
              <w:spacing w:line="360" w:lineRule="auto"/>
              <w:jc w:val="center"/>
              <w:rPr>
                <w:rFonts w:hint="eastAsia" w:ascii="宋体" w:hAnsi="宋体" w:eastAsia="宋体" w:cs="宋体"/>
                <w:color w:val="auto"/>
                <w:sz w:val="24"/>
                <w:szCs w:val="24"/>
                <w:highlight w:val="none"/>
              </w:rPr>
            </w:pPr>
          </w:p>
        </w:tc>
      </w:tr>
      <w:tr w14:paraId="28E0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7C037F1A">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367C893D">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28BEA55E">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126DFD44">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F14A8EC">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375B0AF4">
            <w:pPr>
              <w:spacing w:line="360" w:lineRule="auto"/>
              <w:jc w:val="center"/>
              <w:rPr>
                <w:rFonts w:hint="eastAsia" w:ascii="宋体" w:hAnsi="宋体" w:eastAsia="宋体" w:cs="宋体"/>
                <w:color w:val="auto"/>
                <w:sz w:val="24"/>
                <w:szCs w:val="24"/>
                <w:highlight w:val="none"/>
              </w:rPr>
            </w:pPr>
          </w:p>
        </w:tc>
      </w:tr>
      <w:tr w14:paraId="315F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012ADF97">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7CA45E66">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43A9BCC">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626307F6">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23AF99F9">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3C545B9">
            <w:pPr>
              <w:spacing w:line="360" w:lineRule="auto"/>
              <w:jc w:val="center"/>
              <w:rPr>
                <w:rFonts w:hint="eastAsia" w:ascii="宋体" w:hAnsi="宋体" w:eastAsia="宋体" w:cs="宋体"/>
                <w:color w:val="auto"/>
                <w:sz w:val="24"/>
                <w:szCs w:val="24"/>
                <w:highlight w:val="none"/>
              </w:rPr>
            </w:pPr>
          </w:p>
        </w:tc>
      </w:tr>
      <w:tr w14:paraId="754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4A3472DA">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0C4C5859">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282C32F">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5D38B60B">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24F710C">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7F811CC">
            <w:pPr>
              <w:spacing w:line="360" w:lineRule="auto"/>
              <w:jc w:val="center"/>
              <w:rPr>
                <w:rFonts w:hint="eastAsia" w:ascii="宋体" w:hAnsi="宋体" w:eastAsia="宋体" w:cs="宋体"/>
                <w:color w:val="auto"/>
                <w:sz w:val="24"/>
                <w:szCs w:val="24"/>
                <w:highlight w:val="none"/>
              </w:rPr>
            </w:pPr>
          </w:p>
        </w:tc>
      </w:tr>
      <w:tr w14:paraId="314A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12EE9FC5">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661198C7">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E9F8761">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165CAF5B">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5D5A7E7A">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1B99983">
            <w:pPr>
              <w:spacing w:line="360" w:lineRule="auto"/>
              <w:jc w:val="center"/>
              <w:rPr>
                <w:rFonts w:hint="eastAsia" w:ascii="宋体" w:hAnsi="宋体" w:eastAsia="宋体" w:cs="宋体"/>
                <w:color w:val="auto"/>
                <w:sz w:val="24"/>
                <w:szCs w:val="24"/>
                <w:highlight w:val="none"/>
              </w:rPr>
            </w:pPr>
          </w:p>
        </w:tc>
      </w:tr>
      <w:tr w14:paraId="4E9C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2D4E2749">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67543CDF">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1C85FA54">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ABFA9C7">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8415ADC">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08D2C157">
            <w:pPr>
              <w:spacing w:line="360" w:lineRule="auto"/>
              <w:jc w:val="center"/>
              <w:rPr>
                <w:rFonts w:hint="eastAsia" w:ascii="宋体" w:hAnsi="宋体" w:eastAsia="宋体" w:cs="宋体"/>
                <w:color w:val="auto"/>
                <w:sz w:val="24"/>
                <w:szCs w:val="24"/>
                <w:highlight w:val="none"/>
              </w:rPr>
            </w:pPr>
          </w:p>
        </w:tc>
      </w:tr>
      <w:tr w14:paraId="4D35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102A27CA">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0B92BD4A">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C1C73C6">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672471A3">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F0171BB">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1B5F09EC">
            <w:pPr>
              <w:spacing w:line="360" w:lineRule="auto"/>
              <w:jc w:val="center"/>
              <w:rPr>
                <w:rFonts w:hint="eastAsia" w:ascii="宋体" w:hAnsi="宋体" w:eastAsia="宋体" w:cs="宋体"/>
                <w:color w:val="auto"/>
                <w:sz w:val="24"/>
                <w:szCs w:val="24"/>
                <w:highlight w:val="none"/>
              </w:rPr>
            </w:pPr>
          </w:p>
        </w:tc>
      </w:tr>
      <w:tr w14:paraId="237F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06E70ED6">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354B2A60">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7C5FE647">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0695150B">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4ED71B5B">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58E63490">
            <w:pPr>
              <w:spacing w:line="360" w:lineRule="auto"/>
              <w:jc w:val="center"/>
              <w:rPr>
                <w:rFonts w:hint="eastAsia" w:ascii="宋体" w:hAnsi="宋体" w:eastAsia="宋体" w:cs="宋体"/>
                <w:color w:val="auto"/>
                <w:sz w:val="24"/>
                <w:szCs w:val="24"/>
                <w:highlight w:val="none"/>
              </w:rPr>
            </w:pPr>
          </w:p>
        </w:tc>
      </w:tr>
      <w:tr w14:paraId="6739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23" w:type="dxa"/>
            <w:noWrap w:val="0"/>
            <w:vAlign w:val="center"/>
          </w:tcPr>
          <w:p w14:paraId="5368D617">
            <w:pPr>
              <w:spacing w:line="360" w:lineRule="auto"/>
              <w:jc w:val="center"/>
              <w:rPr>
                <w:rFonts w:hint="eastAsia" w:ascii="宋体" w:hAnsi="宋体" w:eastAsia="宋体" w:cs="宋体"/>
                <w:color w:val="auto"/>
                <w:sz w:val="24"/>
                <w:szCs w:val="24"/>
                <w:highlight w:val="none"/>
              </w:rPr>
            </w:pPr>
          </w:p>
        </w:tc>
        <w:tc>
          <w:tcPr>
            <w:tcW w:w="2988" w:type="dxa"/>
            <w:noWrap w:val="0"/>
            <w:vAlign w:val="center"/>
          </w:tcPr>
          <w:p w14:paraId="7CCC25BA">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5230FD58">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0B759B38">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1EBD1FB4">
            <w:pPr>
              <w:spacing w:line="360" w:lineRule="auto"/>
              <w:jc w:val="center"/>
              <w:rPr>
                <w:rFonts w:hint="eastAsia" w:ascii="宋体" w:hAnsi="宋体" w:eastAsia="宋体" w:cs="宋体"/>
                <w:color w:val="auto"/>
                <w:sz w:val="24"/>
                <w:szCs w:val="24"/>
                <w:highlight w:val="none"/>
              </w:rPr>
            </w:pPr>
          </w:p>
        </w:tc>
        <w:tc>
          <w:tcPr>
            <w:tcW w:w="1533" w:type="dxa"/>
            <w:noWrap w:val="0"/>
            <w:vAlign w:val="center"/>
          </w:tcPr>
          <w:p w14:paraId="5F517E39">
            <w:pPr>
              <w:spacing w:line="360" w:lineRule="auto"/>
              <w:jc w:val="center"/>
              <w:rPr>
                <w:rFonts w:hint="eastAsia" w:ascii="宋体" w:hAnsi="宋体" w:eastAsia="宋体" w:cs="宋体"/>
                <w:color w:val="auto"/>
                <w:sz w:val="24"/>
                <w:szCs w:val="24"/>
                <w:highlight w:val="none"/>
              </w:rPr>
            </w:pPr>
          </w:p>
        </w:tc>
      </w:tr>
    </w:tbl>
    <w:p w14:paraId="533E1F0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注：凡</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中技术条款（包括投标技术参数等所有技术内容）与</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的，均应在此表中列出（内容较多的可以标注见</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第几页，</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包括</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）。未在本表中列明的</w:t>
      </w:r>
      <w:r>
        <w:rPr>
          <w:rFonts w:hint="eastAsia" w:ascii="宋体" w:hAnsi="宋体" w:eastAsia="宋体" w:cs="宋体"/>
          <w:color w:val="auto"/>
          <w:sz w:val="24"/>
          <w:szCs w:val="24"/>
          <w:highlight w:val="none"/>
          <w:lang w:eastAsia="zh-CN"/>
        </w:rPr>
        <w:t>偏离</w:t>
      </w:r>
      <w:r>
        <w:rPr>
          <w:rFonts w:hint="eastAsia" w:ascii="宋体" w:hAnsi="宋体" w:eastAsia="宋体" w:cs="宋体"/>
          <w:color w:val="auto"/>
          <w:sz w:val="24"/>
          <w:szCs w:val="24"/>
          <w:highlight w:val="none"/>
        </w:rPr>
        <w:t>视同响应</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规定。</w:t>
      </w:r>
    </w:p>
    <w:p w14:paraId="07A8AE66">
      <w:pPr>
        <w:spacing w:line="360" w:lineRule="auto"/>
        <w:ind w:right="105" w:rightChars="50"/>
        <w:rPr>
          <w:rFonts w:hint="eastAsia" w:ascii="宋体" w:hAnsi="宋体" w:eastAsia="宋体" w:cs="宋体"/>
          <w:color w:val="auto"/>
          <w:sz w:val="24"/>
          <w:szCs w:val="24"/>
          <w:highlight w:val="none"/>
          <w:lang w:val="en-US" w:eastAsia="zh-CN"/>
        </w:rPr>
      </w:pPr>
    </w:p>
    <w:p w14:paraId="0F00E8A2">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48F186BA">
      <w:pPr>
        <w:spacing w:line="360" w:lineRule="auto"/>
        <w:ind w:right="105" w:rightChars="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36EF76D6">
      <w:pPr>
        <w:spacing w:after="100" w:line="265" w:lineRule="auto"/>
        <w:ind w:right="103" w:firstLine="1440" w:firstLineChars="600"/>
        <w:jc w:val="both"/>
        <w:rPr>
          <w:rFonts w:hint="eastAsia" w:ascii="黑体" w:hAnsi="黑体" w:eastAsia="黑体" w:cs="Tahoma"/>
          <w:b/>
          <w:bCs/>
          <w:color w:val="auto"/>
          <w:sz w:val="36"/>
          <w:szCs w:val="36"/>
          <w:highlight w:val="none"/>
          <w:u w:val="single"/>
        </w:rPr>
      </w:pPr>
      <w:r>
        <w:rPr>
          <w:rFonts w:hint="eastAsia" w:ascii="宋体" w:hAnsi="宋体" w:eastAsia="宋体" w:cs="宋体"/>
          <w:color w:val="auto"/>
          <w:sz w:val="24"/>
          <w:szCs w:val="24"/>
          <w:highlight w:val="none"/>
        </w:rPr>
        <w:t>年   月   日</w:t>
      </w:r>
    </w:p>
    <w:p w14:paraId="42D28620">
      <w:pPr>
        <w:pStyle w:val="41"/>
        <w:ind w:left="0" w:leftChars="0" w:firstLine="0" w:firstLineChars="0"/>
        <w:rPr>
          <w:rFonts w:hint="eastAsia"/>
          <w:color w:val="auto"/>
          <w:highlight w:val="none"/>
        </w:rPr>
      </w:pPr>
    </w:p>
    <w:p w14:paraId="7507C36C">
      <w:pPr>
        <w:rPr>
          <w:rFonts w:hint="eastAsia"/>
          <w:color w:val="auto"/>
          <w:highlight w:val="none"/>
        </w:rPr>
      </w:pPr>
    </w:p>
    <w:p w14:paraId="752AFFD9">
      <w:pPr>
        <w:pStyle w:val="41"/>
        <w:rPr>
          <w:rFonts w:hint="eastAsia"/>
          <w:color w:val="auto"/>
          <w:highlight w:val="none"/>
        </w:rPr>
      </w:pPr>
    </w:p>
    <w:p w14:paraId="2139F396">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3</w:t>
      </w:r>
      <w:r>
        <w:rPr>
          <w:rFonts w:hint="eastAsia" w:ascii="宋体" w:hAnsi="宋体" w:eastAsia="宋体" w:cs="宋体"/>
          <w:b/>
          <w:color w:val="auto"/>
          <w:sz w:val="28"/>
          <w:szCs w:val="28"/>
          <w:highlight w:val="none"/>
          <w:lang w:val="en-US" w:eastAsia="zh-CN"/>
        </w:rPr>
        <w:t>）反商业贿赂承诺书</w:t>
      </w:r>
    </w:p>
    <w:p w14:paraId="043DD6DF">
      <w:pPr>
        <w:spacing w:line="360" w:lineRule="exact"/>
        <w:rPr>
          <w:rFonts w:hint="eastAsia" w:ascii="宋体" w:hAnsi="宋体" w:eastAsia="宋体" w:cs="宋体"/>
          <w:color w:val="auto"/>
          <w:sz w:val="24"/>
          <w:szCs w:val="24"/>
          <w:highlight w:val="none"/>
        </w:rPr>
      </w:pPr>
    </w:p>
    <w:p w14:paraId="77076E0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为了从源头上防治腐败，杜绝商业贿赂行为的发生，更好地配合政府采购的工作，我们</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承诺如下：</w:t>
      </w:r>
    </w:p>
    <w:p w14:paraId="539E81E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1、不以各种名义给</w:t>
      </w:r>
      <w:r>
        <w:rPr>
          <w:rFonts w:hint="eastAsia" w:ascii="宋体" w:hAnsi="宋体" w:cs="宋体"/>
          <w:color w:val="auto"/>
          <w:sz w:val="24"/>
          <w:szCs w:val="24"/>
          <w:highlight w:val="none"/>
          <w:lang w:eastAsia="zh-CN"/>
        </w:rPr>
        <w:t>招标人</w:t>
      </w:r>
      <w:r>
        <w:rPr>
          <w:rFonts w:hint="eastAsia" w:ascii="宋体" w:hAnsi="宋体" w:eastAsia="宋体" w:cs="宋体"/>
          <w:color w:val="auto"/>
          <w:sz w:val="24"/>
          <w:szCs w:val="24"/>
          <w:highlight w:val="none"/>
        </w:rPr>
        <w:t>或采购代理机构借或送现金、有价证券及物品;</w:t>
      </w:r>
    </w:p>
    <w:p w14:paraId="6825370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2、不以个人名义邀请</w:t>
      </w:r>
      <w:r>
        <w:rPr>
          <w:rFonts w:hint="eastAsia" w:ascii="宋体" w:hAnsi="宋体" w:cs="宋体"/>
          <w:color w:val="auto"/>
          <w:sz w:val="24"/>
          <w:szCs w:val="24"/>
          <w:highlight w:val="none"/>
          <w:lang w:eastAsia="zh-CN"/>
        </w:rPr>
        <w:t>招标人</w:t>
      </w:r>
      <w:r>
        <w:rPr>
          <w:rFonts w:hint="eastAsia" w:ascii="宋体" w:hAnsi="宋体" w:eastAsia="宋体" w:cs="宋体"/>
          <w:color w:val="auto"/>
          <w:sz w:val="24"/>
          <w:szCs w:val="24"/>
          <w:highlight w:val="none"/>
        </w:rPr>
        <w:t>或采购代理机构工作人员参与考察旅游活动和宴请活动；</w:t>
      </w:r>
    </w:p>
    <w:p w14:paraId="3838A85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3、不发生与采购事项有关的其他违规违纪行为。</w:t>
      </w:r>
    </w:p>
    <w:p w14:paraId="36852DF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如违反其中一项，</w:t>
      </w:r>
      <w:r>
        <w:rPr>
          <w:rFonts w:hint="eastAsia" w:ascii="宋体" w:hAnsi="宋体" w:cs="宋体"/>
          <w:color w:val="auto"/>
          <w:sz w:val="24"/>
          <w:szCs w:val="24"/>
          <w:highlight w:val="none"/>
          <w:lang w:eastAsia="zh-CN"/>
        </w:rPr>
        <w:t>招标人</w:t>
      </w:r>
      <w:r>
        <w:rPr>
          <w:rFonts w:hint="eastAsia" w:ascii="宋体" w:hAnsi="宋体" w:eastAsia="宋体" w:cs="宋体"/>
          <w:color w:val="auto"/>
          <w:sz w:val="24"/>
          <w:szCs w:val="24"/>
          <w:highlight w:val="none"/>
        </w:rPr>
        <w:t>或采购代理机构将向新疆维吾尔自治区采购办反映将其列入政府采购黑名单并终止投标资格，今后不得参与新疆维吾尔自治区政府采购招投标活动，触犯法律由司法部门处理。</w:t>
      </w:r>
    </w:p>
    <w:p w14:paraId="0D30B1A4">
      <w:pPr>
        <w:pStyle w:val="3"/>
        <w:spacing w:line="360" w:lineRule="auto"/>
        <w:ind w:left="420" w:leftChars="200"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249B281">
      <w:pPr>
        <w:pStyle w:val="3"/>
        <w:spacing w:line="360" w:lineRule="exact"/>
        <w:ind w:left="420" w:leftChars="200" w:firstLine="2930" w:firstLineChars="1221"/>
        <w:jc w:val="left"/>
        <w:rPr>
          <w:rFonts w:hint="eastAsia" w:ascii="宋体" w:hAnsi="宋体" w:eastAsia="宋体" w:cs="宋体"/>
          <w:color w:val="auto"/>
          <w:sz w:val="24"/>
          <w:szCs w:val="24"/>
          <w:highlight w:val="none"/>
        </w:rPr>
      </w:pPr>
    </w:p>
    <w:p w14:paraId="5D5CB91E">
      <w:pPr>
        <w:pStyle w:val="3"/>
        <w:spacing w:line="360" w:lineRule="exact"/>
        <w:ind w:left="420" w:leftChars="200" w:firstLine="2930" w:firstLineChars="1221"/>
        <w:jc w:val="left"/>
        <w:rPr>
          <w:rFonts w:hint="eastAsia" w:ascii="宋体" w:hAnsi="宋体" w:eastAsia="宋体" w:cs="宋体"/>
          <w:color w:val="auto"/>
          <w:sz w:val="24"/>
          <w:szCs w:val="24"/>
          <w:highlight w:val="none"/>
        </w:rPr>
      </w:pPr>
    </w:p>
    <w:p w14:paraId="28165E54">
      <w:pPr>
        <w:pStyle w:val="3"/>
        <w:spacing w:line="360" w:lineRule="exact"/>
        <w:ind w:left="420" w:leftChars="200" w:firstLine="2930" w:firstLineChars="1221"/>
        <w:jc w:val="left"/>
        <w:rPr>
          <w:rFonts w:hint="eastAsia" w:ascii="宋体" w:hAnsi="宋体" w:eastAsia="宋体" w:cs="宋体"/>
          <w:color w:val="auto"/>
          <w:sz w:val="24"/>
          <w:szCs w:val="24"/>
          <w:highlight w:val="none"/>
        </w:rPr>
      </w:pPr>
    </w:p>
    <w:p w14:paraId="756A105C">
      <w:pPr>
        <w:pStyle w:val="3"/>
        <w:spacing w:line="360" w:lineRule="exact"/>
        <w:ind w:left="420" w:leftChars="200" w:firstLine="2930" w:firstLineChars="1221"/>
        <w:jc w:val="left"/>
        <w:rPr>
          <w:rFonts w:hint="eastAsia" w:ascii="宋体" w:hAnsi="宋体" w:eastAsia="宋体" w:cs="宋体"/>
          <w:color w:val="auto"/>
          <w:sz w:val="24"/>
          <w:szCs w:val="24"/>
          <w:highlight w:val="none"/>
        </w:rPr>
      </w:pPr>
    </w:p>
    <w:p w14:paraId="60211ABF">
      <w:pPr>
        <w:pStyle w:val="3"/>
        <w:spacing w:line="360" w:lineRule="exact"/>
        <w:ind w:left="420" w:leftChars="200" w:firstLine="540"/>
        <w:jc w:val="right"/>
        <w:rPr>
          <w:rFonts w:hint="eastAsia" w:ascii="宋体" w:hAnsi="宋体" w:eastAsia="宋体" w:cs="宋体"/>
          <w:color w:val="auto"/>
          <w:sz w:val="24"/>
          <w:szCs w:val="24"/>
          <w:highlight w:val="none"/>
        </w:rPr>
      </w:pPr>
    </w:p>
    <w:p w14:paraId="6207BF3A">
      <w:pPr>
        <w:spacing w:line="360" w:lineRule="auto"/>
        <w:ind w:right="105" w:rightChars="5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C77D275">
      <w:pPr>
        <w:spacing w:line="360" w:lineRule="auto"/>
        <w:ind w:right="105" w:rightChars="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1667702E">
      <w:pPr>
        <w:pStyle w:val="3"/>
        <w:spacing w:line="360" w:lineRule="exact"/>
        <w:ind w:firstLine="54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10E3DDD9">
      <w:pPr>
        <w:spacing w:after="100" w:line="265" w:lineRule="auto"/>
        <w:ind w:right="103"/>
        <w:jc w:val="center"/>
        <w:rPr>
          <w:rFonts w:hint="eastAsia" w:ascii="黑体" w:hAnsi="黑体" w:eastAsia="黑体" w:cs="Tahoma"/>
          <w:b/>
          <w:bCs/>
          <w:color w:val="auto"/>
          <w:sz w:val="36"/>
          <w:szCs w:val="36"/>
          <w:highlight w:val="none"/>
          <w:u w:val="single"/>
        </w:rPr>
      </w:pPr>
    </w:p>
    <w:p w14:paraId="0E438F80">
      <w:pPr>
        <w:pStyle w:val="41"/>
        <w:rPr>
          <w:rFonts w:hint="eastAsia" w:ascii="黑体" w:hAnsi="黑体" w:eastAsia="黑体" w:cs="Tahoma"/>
          <w:b/>
          <w:bCs/>
          <w:color w:val="auto"/>
          <w:sz w:val="36"/>
          <w:szCs w:val="36"/>
          <w:highlight w:val="none"/>
          <w:u w:val="single"/>
        </w:rPr>
      </w:pPr>
    </w:p>
    <w:p w14:paraId="4A112454">
      <w:pPr>
        <w:rPr>
          <w:rFonts w:hint="eastAsia" w:ascii="黑体" w:hAnsi="黑体" w:eastAsia="黑体" w:cs="Tahoma"/>
          <w:b/>
          <w:bCs/>
          <w:color w:val="auto"/>
          <w:sz w:val="36"/>
          <w:szCs w:val="36"/>
          <w:highlight w:val="none"/>
          <w:u w:val="single"/>
        </w:rPr>
      </w:pPr>
    </w:p>
    <w:p w14:paraId="05F88646">
      <w:pPr>
        <w:pStyle w:val="41"/>
        <w:rPr>
          <w:rFonts w:hint="eastAsia"/>
          <w:color w:val="auto"/>
          <w:highlight w:val="none"/>
        </w:rPr>
      </w:pPr>
    </w:p>
    <w:p w14:paraId="7D4CAA56">
      <w:pPr>
        <w:spacing w:line="360" w:lineRule="auto"/>
        <w:jc w:val="center"/>
        <w:rPr>
          <w:rFonts w:hint="eastAsia" w:ascii="宋体" w:hAnsi="宋体" w:eastAsia="宋体" w:cs="宋体"/>
          <w:b/>
          <w:color w:val="auto"/>
          <w:sz w:val="28"/>
          <w:szCs w:val="28"/>
          <w:highlight w:val="none"/>
          <w:lang w:val="en-US" w:eastAsia="zh-CN"/>
        </w:rPr>
      </w:pPr>
      <w:r>
        <w:rPr>
          <w:rFonts w:hint="eastAsia"/>
          <w:color w:val="auto"/>
          <w:highlight w:val="none"/>
        </w:rPr>
        <w:br w:type="page"/>
      </w:r>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4</w:t>
      </w:r>
      <w:r>
        <w:rPr>
          <w:rFonts w:hint="eastAsia" w:ascii="宋体" w:hAnsi="宋体" w:eastAsia="宋体" w:cs="宋体"/>
          <w:b/>
          <w:color w:val="auto"/>
          <w:sz w:val="28"/>
          <w:szCs w:val="28"/>
          <w:highlight w:val="none"/>
          <w:lang w:val="en-US" w:eastAsia="zh-CN"/>
        </w:rPr>
        <w:t>）关于投标资料真实性的承诺书</w:t>
      </w:r>
    </w:p>
    <w:p w14:paraId="1E688F56">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关于对本</w:t>
      </w:r>
      <w:r>
        <w:rPr>
          <w:rFonts w:hint="eastAsia" w:ascii="宋体" w:hAnsi="宋体" w:cs="宋体"/>
          <w:b/>
          <w:color w:val="auto"/>
          <w:sz w:val="28"/>
          <w:szCs w:val="28"/>
          <w:highlight w:val="none"/>
          <w:lang w:val="en-US" w:eastAsia="zh-CN"/>
        </w:rPr>
        <w:t>响应文件</w:t>
      </w:r>
      <w:r>
        <w:rPr>
          <w:rFonts w:hint="eastAsia" w:ascii="宋体" w:hAnsi="宋体" w:eastAsia="宋体" w:cs="宋体"/>
          <w:b/>
          <w:color w:val="auto"/>
          <w:sz w:val="28"/>
          <w:szCs w:val="28"/>
          <w:highlight w:val="none"/>
          <w:lang w:val="en-US" w:eastAsia="zh-CN"/>
        </w:rPr>
        <w:t>中资料真实性的承诺</w:t>
      </w:r>
    </w:p>
    <w:p w14:paraId="3AB25460">
      <w:pPr>
        <w:spacing w:line="360" w:lineRule="exact"/>
        <w:jc w:val="center"/>
        <w:rPr>
          <w:rFonts w:hint="eastAsia" w:ascii="黑体" w:hAnsi="黑体" w:eastAsia="黑体"/>
          <w:b/>
          <w:color w:val="auto"/>
          <w:sz w:val="24"/>
          <w:highlight w:val="none"/>
        </w:rPr>
      </w:pPr>
    </w:p>
    <w:p w14:paraId="3343FC25">
      <w:pPr>
        <w:spacing w:line="600" w:lineRule="auto"/>
        <w:rPr>
          <w:rFonts w:hint="eastAsia" w:ascii="宋体" w:hAnsi="宋体" w:eastAsia="宋体" w:cs="宋体"/>
          <w:b w:val="0"/>
          <w:bCs/>
          <w:color w:val="auto"/>
          <w:sz w:val="21"/>
          <w:szCs w:val="21"/>
          <w:highlight w:val="none"/>
          <w:u w:val="single"/>
        </w:rPr>
      </w:pPr>
      <w:r>
        <w:rPr>
          <w:rFonts w:hint="eastAsia" w:ascii="宋体" w:hAnsi="宋体" w:eastAsia="宋体" w:cs="宋体"/>
          <w:b w:val="0"/>
          <w:bCs/>
          <w:color w:val="auto"/>
          <w:sz w:val="21"/>
          <w:szCs w:val="21"/>
          <w:highlight w:val="none"/>
        </w:rPr>
        <w:t>至：</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val="0"/>
          <w:bCs/>
          <w:color w:val="auto"/>
          <w:sz w:val="21"/>
          <w:szCs w:val="21"/>
          <w:highlight w:val="none"/>
          <w:u w:val="single"/>
          <w:lang w:val="en-US" w:eastAsia="zh-CN"/>
        </w:rPr>
        <w:t>招标人</w:t>
      </w:r>
      <w:r>
        <w:rPr>
          <w:rFonts w:hint="eastAsia" w:ascii="宋体" w:hAnsi="宋体" w:eastAsia="宋体" w:cs="宋体"/>
          <w:b w:val="0"/>
          <w:bCs/>
          <w:color w:val="auto"/>
          <w:sz w:val="21"/>
          <w:szCs w:val="21"/>
          <w:highlight w:val="none"/>
          <w:u w:val="single"/>
        </w:rPr>
        <w:t xml:space="preserve">）  </w:t>
      </w:r>
    </w:p>
    <w:p w14:paraId="64FCA677">
      <w:pPr>
        <w:spacing w:line="48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根据《中华人民共和国政府采购法》、《中华人民共和国政府采购法实施条例》等有关法律、法规的规定和</w:t>
      </w:r>
      <w:r>
        <w:rPr>
          <w:rFonts w:hint="eastAsia" w:ascii="宋体" w:hAnsi="宋体" w:eastAsia="宋体" w:cs="宋体"/>
          <w:color w:val="auto"/>
          <w:sz w:val="21"/>
          <w:szCs w:val="21"/>
          <w:highlight w:val="none"/>
          <w:u w:val="single"/>
        </w:rPr>
        <w:t>    （项目名称</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lang w:val="en-US" w:eastAsia="zh-CN"/>
        </w:rPr>
        <w:t>标项名称</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rPr>
        <w:t>的要求，我公司在</w:t>
      </w:r>
      <w:r>
        <w:rPr>
          <w:rFonts w:hint="eastAsia" w:ascii="宋体" w:hAnsi="宋体" w:eastAsia="宋体" w:cs="宋体"/>
          <w:color w:val="auto"/>
          <w:sz w:val="21"/>
          <w:szCs w:val="21"/>
          <w:highlight w:val="none"/>
          <w:u w:val="single"/>
        </w:rPr>
        <w:t>   （项目名称</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lang w:val="en-US" w:eastAsia="zh-CN"/>
        </w:rPr>
        <w:t>标项名称</w:t>
      </w:r>
      <w:r>
        <w:rPr>
          <w:rFonts w:hint="eastAsia" w:ascii="宋体" w:hAnsi="宋体" w:eastAsia="宋体" w:cs="宋体"/>
          <w:color w:val="auto"/>
          <w:sz w:val="21"/>
          <w:szCs w:val="21"/>
          <w:highlight w:val="none"/>
          <w:u w:val="single"/>
        </w:rPr>
        <w:t>）   </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中所提供资料真实性作如下承诺：</w:t>
      </w:r>
    </w:p>
    <w:p w14:paraId="07B31932">
      <w:pPr>
        <w:spacing w:line="48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我公司将严格按</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要求，在编制本</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时，对</w:t>
      </w:r>
      <w:r>
        <w:rPr>
          <w:rFonts w:hint="eastAsia" w:ascii="宋体" w:hAnsi="宋体" w:cs="宋体"/>
          <w:color w:val="auto"/>
          <w:sz w:val="21"/>
          <w:szCs w:val="21"/>
          <w:highlight w:val="none"/>
          <w:lang w:val="en-US" w:eastAsia="zh-CN"/>
        </w:rPr>
        <w:t>响应文件</w:t>
      </w:r>
      <w:r>
        <w:rPr>
          <w:rFonts w:hint="eastAsia" w:ascii="宋体" w:hAnsi="宋体" w:eastAsia="宋体" w:cs="宋体"/>
          <w:color w:val="auto"/>
          <w:sz w:val="21"/>
          <w:szCs w:val="21"/>
          <w:highlight w:val="none"/>
        </w:rPr>
        <w:t xml:space="preserve">中所提供的资料全部真实和正确，并对提供的所有资料（资格、业绩、其他材料等）的真实性负责！ </w:t>
      </w:r>
    </w:p>
    <w:p w14:paraId="4F5BF588">
      <w:pPr>
        <w:spacing w:line="48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对提供的全部资料中有存在不真实（伪造或租借等虚假资料）情形，将无条件接受任何处罚，自行承担由此引起的一切责任！</w:t>
      </w:r>
    </w:p>
    <w:p w14:paraId="155ADFD3">
      <w:pPr>
        <w:spacing w:line="480" w:lineRule="auto"/>
        <w:ind w:firstLine="632" w:firstLineChars="300"/>
        <w:rPr>
          <w:rFonts w:hint="eastAsia" w:ascii="宋体" w:hAnsi="宋体" w:eastAsia="宋体" w:cs="宋体"/>
          <w:b/>
          <w:color w:val="auto"/>
          <w:sz w:val="21"/>
          <w:szCs w:val="21"/>
          <w:highlight w:val="none"/>
        </w:rPr>
      </w:pPr>
    </w:p>
    <w:p w14:paraId="719B60AF">
      <w:pPr>
        <w:spacing w:line="480" w:lineRule="auto"/>
        <w:ind w:firstLine="632" w:firstLineChars="3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特此承诺</w:t>
      </w:r>
    </w:p>
    <w:p w14:paraId="1E6E0E5E">
      <w:pPr>
        <w:spacing w:line="480" w:lineRule="auto"/>
        <w:ind w:firstLine="632" w:firstLineChars="300"/>
        <w:rPr>
          <w:rFonts w:hint="eastAsia" w:ascii="宋体" w:hAnsi="宋体" w:eastAsia="宋体" w:cs="宋体"/>
          <w:b/>
          <w:color w:val="auto"/>
          <w:sz w:val="21"/>
          <w:szCs w:val="21"/>
          <w:highlight w:val="none"/>
        </w:rPr>
      </w:pPr>
    </w:p>
    <w:p w14:paraId="3055A0A6">
      <w:pPr>
        <w:spacing w:line="480" w:lineRule="auto"/>
        <w:ind w:firstLine="1470" w:firstLineChars="700"/>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lang w:val="en-US" w:eastAsia="zh-CN"/>
        </w:rPr>
        <w:t>名称</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公</w:t>
      </w:r>
      <w:r>
        <w:rPr>
          <w:rFonts w:hint="eastAsia" w:ascii="宋体" w:hAnsi="宋体" w:eastAsia="宋体" w:cs="宋体"/>
          <w:b w:val="0"/>
          <w:bCs/>
          <w:color w:val="auto"/>
          <w:sz w:val="21"/>
          <w:szCs w:val="21"/>
          <w:highlight w:val="none"/>
        </w:rPr>
        <w:t>章）</w:t>
      </w:r>
      <w:r>
        <w:rPr>
          <w:rFonts w:hint="eastAsia" w:ascii="宋体" w:hAnsi="宋体" w:eastAsia="宋体" w:cs="宋体"/>
          <w:b w:val="0"/>
          <w:bCs/>
          <w:color w:val="auto"/>
          <w:sz w:val="21"/>
          <w:szCs w:val="21"/>
          <w:highlight w:val="none"/>
          <w:u w:val="single"/>
        </w:rPr>
        <w:t xml:space="preserve">                         </w:t>
      </w:r>
    </w:p>
    <w:p w14:paraId="1CF15819">
      <w:pPr>
        <w:spacing w:line="480" w:lineRule="auto"/>
        <w:ind w:firstLine="1470" w:firstLineChars="700"/>
        <w:rPr>
          <w:rFonts w:hint="eastAsia" w:ascii="宋体" w:hAnsi="宋体" w:eastAsia="宋体" w:cs="宋体"/>
          <w:b w:val="0"/>
          <w:bCs/>
          <w:color w:val="auto"/>
          <w:sz w:val="21"/>
          <w:szCs w:val="21"/>
          <w:highlight w:val="none"/>
          <w:u w:val="single"/>
        </w:rPr>
      </w:pPr>
      <w:r>
        <w:rPr>
          <w:rFonts w:hint="eastAsia" w:ascii="宋体" w:hAnsi="宋体" w:eastAsia="宋体" w:cs="宋体"/>
          <w:b w:val="0"/>
          <w:bCs/>
          <w:color w:val="auto"/>
          <w:sz w:val="21"/>
          <w:szCs w:val="21"/>
          <w:highlight w:val="none"/>
        </w:rPr>
        <w:t>法定代表人：（</w:t>
      </w:r>
      <w:r>
        <w:rPr>
          <w:rFonts w:hint="eastAsia" w:ascii="宋体" w:hAnsi="宋体" w:eastAsia="宋体" w:cs="宋体"/>
          <w:b w:val="0"/>
          <w:bCs/>
          <w:color w:val="auto"/>
          <w:sz w:val="21"/>
          <w:szCs w:val="21"/>
          <w:highlight w:val="none"/>
          <w:lang w:val="en-US" w:eastAsia="zh-CN"/>
        </w:rPr>
        <w:t>签字或盖章</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u w:val="single"/>
        </w:rPr>
        <w:t xml:space="preserve">                    </w:t>
      </w:r>
    </w:p>
    <w:p w14:paraId="42D7D09E">
      <w:pPr>
        <w:spacing w:line="480" w:lineRule="auto"/>
        <w:ind w:firstLine="1470" w:firstLineChars="7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有效的联系方式：</w:t>
      </w:r>
      <w:r>
        <w:rPr>
          <w:rFonts w:hint="eastAsia" w:ascii="宋体" w:hAnsi="宋体" w:eastAsia="宋体" w:cs="宋体"/>
          <w:b w:val="0"/>
          <w:bCs/>
          <w:color w:val="auto"/>
          <w:sz w:val="21"/>
          <w:szCs w:val="21"/>
          <w:highlight w:val="none"/>
          <w:u w:val="single"/>
        </w:rPr>
        <w:t xml:space="preserve">                                   </w:t>
      </w:r>
    </w:p>
    <w:p w14:paraId="1EABC8B7">
      <w:pPr>
        <w:spacing w:line="480" w:lineRule="auto"/>
        <w:ind w:firstLine="3780" w:firstLineChars="18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年      月       日</w:t>
      </w:r>
    </w:p>
    <w:p w14:paraId="2FB3D47C">
      <w:pPr>
        <w:spacing w:line="480" w:lineRule="auto"/>
        <w:rPr>
          <w:rFonts w:hint="eastAsia" w:ascii="宋体" w:hAnsi="宋体" w:eastAsia="宋体" w:cs="宋体"/>
          <w:b/>
          <w:color w:val="auto"/>
          <w:sz w:val="21"/>
          <w:szCs w:val="21"/>
          <w:highlight w:val="none"/>
        </w:rPr>
      </w:pPr>
    </w:p>
    <w:p w14:paraId="70F1DFA0">
      <w:pPr>
        <w:keepNext/>
        <w:keepLines/>
        <w:pageBreakBefore w:val="0"/>
        <w:widowControl w:val="0"/>
        <w:numPr>
          <w:ilvl w:val="0"/>
          <w:numId w:val="0"/>
        </w:numPr>
        <w:tabs>
          <w:tab w:val="left" w:pos="425"/>
          <w:tab w:val="left" w:pos="5852"/>
        </w:tabs>
        <w:kinsoku/>
        <w:wordWrap/>
        <w:overflowPunct/>
        <w:topLinePunct w:val="0"/>
        <w:autoSpaceDE/>
        <w:autoSpaceDN/>
        <w:bidi w:val="0"/>
        <w:adjustRightInd/>
        <w:snapToGrid w:val="0"/>
        <w:spacing w:line="480" w:lineRule="auto"/>
        <w:ind w:leftChars="0"/>
        <w:textAlignment w:val="auto"/>
        <w:outlineLvl w:val="9"/>
        <w:rPr>
          <w:rFonts w:ascii="黑体" w:hAnsi="黑体" w:eastAsia="黑体"/>
          <w:b w:val="0"/>
          <w:bCs/>
          <w:color w:val="auto"/>
          <w:sz w:val="21"/>
          <w:szCs w:val="21"/>
          <w:highlight w:val="none"/>
        </w:rPr>
      </w:pPr>
      <w:r>
        <w:rPr>
          <w:rFonts w:hint="eastAsia" w:ascii="宋体" w:hAnsi="宋体" w:eastAsia="宋体" w:cs="宋体"/>
          <w:b w:val="0"/>
          <w:bCs/>
          <w:color w:val="auto"/>
          <w:sz w:val="21"/>
          <w:szCs w:val="21"/>
          <w:highlight w:val="none"/>
        </w:rPr>
        <w:t>说明：投标</w:t>
      </w:r>
      <w:r>
        <w:rPr>
          <w:rFonts w:hint="eastAsia" w:ascii="宋体" w:hAnsi="宋体" w:cs="宋体"/>
          <w:b w:val="0"/>
          <w:bCs/>
          <w:color w:val="auto"/>
          <w:sz w:val="21"/>
          <w:szCs w:val="21"/>
          <w:highlight w:val="none"/>
          <w:lang w:eastAsia="zh-CN"/>
        </w:rPr>
        <w:t>供应商</w:t>
      </w:r>
      <w:r>
        <w:rPr>
          <w:rFonts w:hint="eastAsia" w:ascii="宋体" w:hAnsi="宋体" w:eastAsia="宋体" w:cs="宋体"/>
          <w:b w:val="0"/>
          <w:bCs/>
          <w:color w:val="auto"/>
          <w:sz w:val="21"/>
          <w:szCs w:val="21"/>
          <w:highlight w:val="none"/>
        </w:rPr>
        <w:t>未提供此承诺的，内容应填写完整，否则其投标将被拒绝！</w:t>
      </w:r>
    </w:p>
    <w:p w14:paraId="29848536">
      <w:pPr>
        <w:pStyle w:val="76"/>
        <w:widowControl w:val="0"/>
        <w:numPr>
          <w:ilvl w:val="0"/>
          <w:numId w:val="0"/>
        </w:numPr>
        <w:spacing w:line="0" w:lineRule="atLeast"/>
        <w:jc w:val="center"/>
        <w:outlineLvl w:val="9"/>
        <w:rPr>
          <w:rFonts w:hint="eastAsia" w:ascii="黑体" w:hAnsi="黑体" w:eastAsia="黑体"/>
          <w:b/>
          <w:color w:val="auto"/>
          <w:szCs w:val="28"/>
          <w:highlight w:val="none"/>
          <w:lang w:val="en-US" w:eastAsia="zh-CN"/>
        </w:rPr>
      </w:pPr>
    </w:p>
    <w:p w14:paraId="7A4BA7AD">
      <w:pPr>
        <w:pStyle w:val="76"/>
        <w:widowControl w:val="0"/>
        <w:numPr>
          <w:ilvl w:val="0"/>
          <w:numId w:val="0"/>
        </w:numPr>
        <w:spacing w:line="0" w:lineRule="atLeast"/>
        <w:jc w:val="center"/>
        <w:outlineLvl w:val="9"/>
        <w:rPr>
          <w:rFonts w:hint="eastAsia" w:ascii="黑体" w:hAnsi="黑体" w:eastAsia="黑体"/>
          <w:b/>
          <w:color w:val="auto"/>
          <w:szCs w:val="28"/>
          <w:highlight w:val="none"/>
          <w:lang w:val="en-US" w:eastAsia="zh-CN"/>
        </w:rPr>
      </w:pPr>
    </w:p>
    <w:p w14:paraId="40D6E1B8">
      <w:pPr>
        <w:pStyle w:val="76"/>
        <w:widowControl w:val="0"/>
        <w:numPr>
          <w:ilvl w:val="0"/>
          <w:numId w:val="0"/>
        </w:numPr>
        <w:spacing w:line="0" w:lineRule="atLeast"/>
        <w:jc w:val="center"/>
        <w:outlineLvl w:val="9"/>
        <w:rPr>
          <w:rFonts w:hint="eastAsia" w:ascii="黑体" w:hAnsi="黑体" w:eastAsia="黑体"/>
          <w:b/>
          <w:color w:val="auto"/>
          <w:szCs w:val="28"/>
          <w:highlight w:val="none"/>
          <w:lang w:val="en-US" w:eastAsia="zh-CN"/>
        </w:rPr>
      </w:pPr>
    </w:p>
    <w:p w14:paraId="5697EEB2">
      <w:pPr>
        <w:pStyle w:val="76"/>
        <w:widowControl w:val="0"/>
        <w:numPr>
          <w:ilvl w:val="0"/>
          <w:numId w:val="0"/>
        </w:numPr>
        <w:spacing w:line="0" w:lineRule="atLeast"/>
        <w:jc w:val="center"/>
        <w:outlineLvl w:val="9"/>
        <w:rPr>
          <w:rFonts w:hint="eastAsia" w:ascii="黑体" w:hAnsi="黑体" w:eastAsia="黑体"/>
          <w:b/>
          <w:color w:val="auto"/>
          <w:szCs w:val="28"/>
          <w:highlight w:val="none"/>
          <w:lang w:val="en-US" w:eastAsia="zh-CN"/>
        </w:rPr>
      </w:pPr>
    </w:p>
    <w:p w14:paraId="33EBB5DA">
      <w:pPr>
        <w:pStyle w:val="76"/>
        <w:widowControl w:val="0"/>
        <w:numPr>
          <w:ilvl w:val="0"/>
          <w:numId w:val="0"/>
        </w:numPr>
        <w:spacing w:line="0" w:lineRule="atLeast"/>
        <w:jc w:val="center"/>
        <w:outlineLvl w:val="9"/>
        <w:rPr>
          <w:rFonts w:hint="eastAsia" w:ascii="黑体" w:hAnsi="黑体" w:eastAsia="黑体"/>
          <w:b/>
          <w:color w:val="auto"/>
          <w:szCs w:val="28"/>
          <w:highlight w:val="none"/>
          <w:lang w:val="en-US" w:eastAsia="zh-CN"/>
        </w:rPr>
      </w:pPr>
    </w:p>
    <w:p w14:paraId="3C5B8E0A">
      <w:pPr>
        <w:pStyle w:val="76"/>
        <w:widowControl w:val="0"/>
        <w:numPr>
          <w:ilvl w:val="0"/>
          <w:numId w:val="0"/>
        </w:numPr>
        <w:spacing w:line="0" w:lineRule="atLeast"/>
        <w:jc w:val="both"/>
        <w:outlineLvl w:val="9"/>
        <w:rPr>
          <w:rFonts w:hint="eastAsia" w:ascii="黑体" w:hAnsi="黑体" w:eastAsia="黑体"/>
          <w:b/>
          <w:color w:val="auto"/>
          <w:szCs w:val="28"/>
          <w:highlight w:val="none"/>
          <w:lang w:val="en-US" w:eastAsia="zh-CN"/>
        </w:rPr>
      </w:pPr>
    </w:p>
    <w:p w14:paraId="1C646287">
      <w:pPr>
        <w:spacing w:line="360" w:lineRule="auto"/>
        <w:jc w:val="center"/>
        <w:rPr>
          <w:rFonts w:hint="eastAsia" w:ascii="宋体" w:hAnsi="宋体" w:eastAsia="宋体" w:cs="宋体"/>
          <w:b/>
          <w:color w:val="auto"/>
          <w:sz w:val="28"/>
          <w:szCs w:val="28"/>
          <w:highlight w:val="none"/>
          <w:lang w:val="en-US" w:eastAsia="zh-CN"/>
        </w:rPr>
      </w:pPr>
    </w:p>
    <w:p w14:paraId="194C09A3">
      <w:pPr>
        <w:spacing w:line="360" w:lineRule="auto"/>
        <w:jc w:val="center"/>
        <w:rPr>
          <w:rFonts w:hint="eastAsia" w:ascii="宋体" w:hAnsi="宋体" w:eastAsia="宋体" w:cs="宋体"/>
          <w:b/>
          <w:color w:val="auto"/>
          <w:sz w:val="28"/>
          <w:szCs w:val="28"/>
          <w:highlight w:val="none"/>
          <w:lang w:val="en-US" w:eastAsia="zh-CN"/>
        </w:rPr>
      </w:pPr>
    </w:p>
    <w:p w14:paraId="36E6499B">
      <w:pPr>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（1</w:t>
      </w:r>
      <w:r>
        <w:rPr>
          <w:rFonts w:hint="eastAsia" w:ascii="宋体" w:hAnsi="宋体" w:cs="宋体"/>
          <w:b/>
          <w:color w:val="auto"/>
          <w:sz w:val="28"/>
          <w:szCs w:val="28"/>
          <w:highlight w:val="none"/>
          <w:lang w:val="en-US" w:eastAsia="zh-CN"/>
        </w:rPr>
        <w:t>5</w:t>
      </w:r>
      <w:r>
        <w:rPr>
          <w:rFonts w:hint="eastAsia" w:ascii="宋体" w:hAnsi="宋体" w:eastAsia="宋体" w:cs="宋体"/>
          <w:b/>
          <w:color w:val="auto"/>
          <w:sz w:val="28"/>
          <w:szCs w:val="28"/>
          <w:highlight w:val="none"/>
          <w:lang w:val="en-US" w:eastAsia="zh-CN"/>
        </w:rPr>
        <w:t>）要求提供的其它材料以及</w:t>
      </w:r>
      <w:r>
        <w:rPr>
          <w:rFonts w:hint="eastAsia" w:ascii="宋体" w:hAnsi="宋体" w:cs="宋体"/>
          <w:b/>
          <w:color w:val="auto"/>
          <w:sz w:val="28"/>
          <w:szCs w:val="28"/>
          <w:highlight w:val="none"/>
          <w:lang w:val="en-US" w:eastAsia="zh-CN"/>
        </w:rPr>
        <w:t>供应商</w:t>
      </w:r>
      <w:r>
        <w:rPr>
          <w:rFonts w:hint="eastAsia" w:ascii="宋体" w:hAnsi="宋体" w:eastAsia="宋体" w:cs="宋体"/>
          <w:b/>
          <w:color w:val="auto"/>
          <w:sz w:val="28"/>
          <w:szCs w:val="28"/>
          <w:highlight w:val="none"/>
          <w:lang w:val="en-US" w:eastAsia="zh-CN"/>
        </w:rPr>
        <w:t>认为需要提交的材料</w:t>
      </w:r>
    </w:p>
    <w:p w14:paraId="21D5A050">
      <w:pPr>
        <w:pStyle w:val="76"/>
        <w:widowControl w:val="0"/>
        <w:numPr>
          <w:ilvl w:val="0"/>
          <w:numId w:val="0"/>
        </w:numPr>
        <w:spacing w:line="0" w:lineRule="atLeast"/>
        <w:jc w:val="center"/>
        <w:outlineLvl w:val="9"/>
        <w:rPr>
          <w:rFonts w:hint="eastAsia" w:ascii="黑体" w:hAnsi="黑体" w:eastAsia="黑体"/>
          <w:b/>
          <w:color w:val="auto"/>
          <w:szCs w:val="28"/>
          <w:highlight w:val="none"/>
          <w:lang w:val="en-US" w:eastAsia="zh-CN"/>
        </w:rPr>
      </w:pPr>
    </w:p>
    <w:p w14:paraId="2BC6CED8">
      <w:pPr>
        <w:pStyle w:val="27"/>
        <w:spacing w:line="480" w:lineRule="exact"/>
        <w:jc w:val="center"/>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承诺书</w:t>
      </w:r>
    </w:p>
    <w:p w14:paraId="0A40E43B">
      <w:pPr>
        <w:pStyle w:val="27"/>
        <w:spacing w:line="480" w:lineRule="exact"/>
        <w:rPr>
          <w:rFonts w:hint="eastAsia" w:ascii="宋体" w:hAnsi="宋体" w:eastAsia="宋体" w:cs="宋体"/>
          <w:snapToGrid w:val="0"/>
          <w:color w:val="auto"/>
          <w:spacing w:val="9"/>
          <w:kern w:val="0"/>
          <w:sz w:val="22"/>
          <w:szCs w:val="22"/>
          <w:highlight w:val="none"/>
          <w:lang w:val="en-US" w:eastAsia="zh-CN"/>
        </w:rPr>
      </w:pPr>
    </w:p>
    <w:p w14:paraId="0290D620">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我单位参加</w:t>
      </w:r>
      <w:r>
        <w:rPr>
          <w:rFonts w:hint="eastAsia" w:ascii="宋体" w:hAnsi="宋体" w:eastAsia="宋体" w:cs="宋体"/>
          <w:snapToGrid w:val="0"/>
          <w:color w:val="auto"/>
          <w:spacing w:val="9"/>
          <w:kern w:val="0"/>
          <w:sz w:val="22"/>
          <w:szCs w:val="22"/>
          <w:highlight w:val="none"/>
          <w:u w:val="single"/>
          <w:lang w:val="en-US" w:eastAsia="zh-CN"/>
        </w:rPr>
        <w:t xml:space="preserve">                    </w:t>
      </w:r>
      <w:r>
        <w:rPr>
          <w:rFonts w:hint="eastAsia" w:ascii="宋体" w:hAnsi="宋体" w:eastAsia="宋体" w:cs="宋体"/>
          <w:snapToGrid w:val="0"/>
          <w:color w:val="auto"/>
          <w:spacing w:val="9"/>
          <w:kern w:val="0"/>
          <w:sz w:val="22"/>
          <w:szCs w:val="22"/>
          <w:highlight w:val="none"/>
          <w:lang w:val="en-US" w:eastAsia="zh-CN"/>
        </w:rPr>
        <w:t>采购活动，郑重承诺具备以下条件;</w:t>
      </w:r>
    </w:p>
    <w:p w14:paraId="6AFE650D">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1、具有独立承担民事责任的能力;</w:t>
      </w:r>
    </w:p>
    <w:p w14:paraId="70EF7213">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2、具有良好的商业信誉和健全的财务会计制度;</w:t>
      </w:r>
    </w:p>
    <w:p w14:paraId="4C0452E4">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3、具有履行合同所必需的设备和专业技术能力;</w:t>
      </w:r>
    </w:p>
    <w:p w14:paraId="7DF4A766">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4、有依法缴纳税收和社会保障资金的良好记录;</w:t>
      </w:r>
    </w:p>
    <w:p w14:paraId="2B7DCFCE">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5、参加采购活动前三年内，在经营活动中没有重大违法记录;</w:t>
      </w:r>
    </w:p>
    <w:p w14:paraId="6DF7EE66">
      <w:pPr>
        <w:pStyle w:val="27"/>
        <w:spacing w:line="480" w:lineRule="exact"/>
        <w:rPr>
          <w:rFonts w:hint="eastAsia" w:ascii="宋体" w:hAnsi="宋体" w:eastAsia="宋体" w:cs="宋体"/>
          <w:snapToGrid w:val="0"/>
          <w:color w:val="auto"/>
          <w:spacing w:val="9"/>
          <w:kern w:val="0"/>
          <w:sz w:val="22"/>
          <w:szCs w:val="22"/>
          <w:highlight w:val="none"/>
          <w:lang w:val="en-US" w:eastAsia="zh-CN"/>
        </w:rPr>
      </w:pPr>
      <w:r>
        <w:rPr>
          <w:rFonts w:hint="eastAsia" w:ascii="宋体" w:hAnsi="宋体" w:eastAsia="宋体" w:cs="宋体"/>
          <w:snapToGrid w:val="0"/>
          <w:color w:val="auto"/>
          <w:spacing w:val="9"/>
          <w:kern w:val="0"/>
          <w:sz w:val="22"/>
          <w:szCs w:val="22"/>
          <w:highlight w:val="none"/>
          <w:lang w:val="en-US" w:eastAsia="zh-CN"/>
        </w:rPr>
        <w:t>6、法律、行政法规规定的其他条件。</w:t>
      </w:r>
    </w:p>
    <w:p w14:paraId="0BF6E1B9">
      <w:pPr>
        <w:pStyle w:val="27"/>
        <w:spacing w:line="480" w:lineRule="exact"/>
        <w:rPr>
          <w:rFonts w:hint="eastAsia" w:ascii="宋体" w:hAnsi="宋体" w:eastAsia="宋体" w:cs="宋体"/>
          <w:snapToGrid w:val="0"/>
          <w:color w:val="auto"/>
          <w:spacing w:val="9"/>
          <w:kern w:val="0"/>
          <w:sz w:val="22"/>
          <w:szCs w:val="22"/>
          <w:highlight w:val="none"/>
          <w:lang w:val="en-US" w:eastAsia="zh-CN"/>
        </w:rPr>
      </w:pPr>
    </w:p>
    <w:p w14:paraId="4F6C0670">
      <w:pPr>
        <w:pStyle w:val="27"/>
        <w:spacing w:line="480" w:lineRule="exact"/>
        <w:jc w:val="right"/>
        <w:rPr>
          <w:rFonts w:hint="eastAsia" w:ascii="宋体" w:hAnsi="宋体" w:eastAsia="宋体" w:cs="宋体"/>
          <w:snapToGrid w:val="0"/>
          <w:color w:val="auto"/>
          <w:spacing w:val="9"/>
          <w:kern w:val="0"/>
          <w:sz w:val="22"/>
          <w:szCs w:val="22"/>
          <w:highlight w:val="none"/>
          <w:lang w:val="en-US" w:eastAsia="zh-CN"/>
        </w:rPr>
      </w:pPr>
    </w:p>
    <w:p w14:paraId="57FAF520">
      <w:pPr>
        <w:keepNext w:val="0"/>
        <w:keepLines w:val="0"/>
        <w:pageBreakBefore w:val="0"/>
        <w:widowControl/>
        <w:kinsoku w:val="0"/>
        <w:wordWrap/>
        <w:overflowPunct/>
        <w:topLinePunct w:val="0"/>
        <w:autoSpaceDE w:val="0"/>
        <w:autoSpaceDN w:val="0"/>
        <w:bidi w:val="0"/>
        <w:adjustRightInd w:val="0"/>
        <w:snapToGrid w:val="0"/>
        <w:spacing w:line="245" w:lineRule="auto"/>
        <w:ind w:left="0" w:right="0" w:firstLine="0" w:firstLineChars="0"/>
        <w:jc w:val="right"/>
        <w:textAlignment w:val="baseline"/>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供应商</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 xml:space="preserve">       </w:t>
      </w:r>
      <w:r>
        <w:rPr>
          <w:rFonts w:hint="eastAsia"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rPr>
        <w:t xml:space="preserve">（盖章) </w:t>
      </w:r>
    </w:p>
    <w:p w14:paraId="681A394A">
      <w:pPr>
        <w:keepNext w:val="0"/>
        <w:keepLines w:val="0"/>
        <w:pageBreakBefore w:val="0"/>
        <w:widowControl/>
        <w:kinsoku w:val="0"/>
        <w:wordWrap/>
        <w:overflowPunct/>
        <w:topLinePunct w:val="0"/>
        <w:autoSpaceDE w:val="0"/>
        <w:autoSpaceDN w:val="0"/>
        <w:bidi w:val="0"/>
        <w:adjustRightInd w:val="0"/>
        <w:snapToGrid w:val="0"/>
        <w:spacing w:line="245" w:lineRule="auto"/>
        <w:ind w:left="0" w:right="0" w:firstLine="0" w:firstLineChars="0"/>
        <w:jc w:val="right"/>
        <w:textAlignment w:val="baseline"/>
        <w:rPr>
          <w:rFonts w:hint="eastAsia" w:ascii="宋体" w:hAnsi="宋体" w:eastAsia="宋体" w:cs="宋体"/>
          <w:color w:val="auto"/>
          <w:spacing w:val="3"/>
          <w:sz w:val="22"/>
          <w:szCs w:val="22"/>
          <w:highlight w:val="none"/>
        </w:rPr>
      </w:pPr>
      <w:r>
        <w:rPr>
          <w:rFonts w:hint="eastAsia" w:ascii="宋体" w:hAnsi="宋体" w:eastAsia="宋体" w:cs="宋体"/>
          <w:color w:val="auto"/>
          <w:spacing w:val="9"/>
          <w:sz w:val="22"/>
          <w:szCs w:val="22"/>
          <w:highlight w:val="none"/>
        </w:rPr>
        <w:t>法定代表人</w:t>
      </w:r>
      <w:r>
        <w:rPr>
          <w:rFonts w:hint="eastAsia" w:ascii="宋体" w:hAnsi="宋体" w:eastAsia="宋体" w:cs="宋体"/>
          <w:color w:val="auto"/>
          <w:spacing w:val="8"/>
          <w:sz w:val="22"/>
          <w:szCs w:val="22"/>
          <w:highlight w:val="none"/>
        </w:rPr>
        <w:t>或委托代理人</w:t>
      </w:r>
      <w:r>
        <w:rPr>
          <w:rFonts w:hint="eastAsia" w:ascii="宋体" w:hAnsi="宋体" w:eastAsia="宋体" w:cs="宋体"/>
          <w:color w:val="auto"/>
          <w:spacing w:val="2"/>
          <w:sz w:val="22"/>
          <w:szCs w:val="22"/>
          <w:highlight w:val="none"/>
        </w:rPr>
        <w:t>:</w:t>
      </w:r>
      <w:r>
        <w:rPr>
          <w:rFonts w:hint="eastAsia"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lang w:val="en-US" w:eastAsia="zh-CN"/>
        </w:rPr>
        <w:t xml:space="preserve">       </w:t>
      </w:r>
      <w:r>
        <w:rPr>
          <w:rFonts w:hint="eastAsia" w:ascii="宋体" w:hAnsi="宋体" w:eastAsia="宋体" w:cs="宋体"/>
          <w:color w:val="auto"/>
          <w:sz w:val="22"/>
          <w:szCs w:val="22"/>
          <w:highlight w:val="none"/>
          <w:u w:val="single" w:color="auto"/>
        </w:rPr>
        <w:t xml:space="preserve">  </w:t>
      </w:r>
      <w:r>
        <w:rPr>
          <w:rFonts w:hint="eastAsia" w:ascii="宋体" w:hAnsi="宋体" w:eastAsia="宋体" w:cs="宋体"/>
          <w:color w:val="auto"/>
          <w:spacing w:val="8"/>
          <w:sz w:val="22"/>
          <w:szCs w:val="22"/>
          <w:highlight w:val="none"/>
        </w:rPr>
        <w:t>（签字</w:t>
      </w:r>
      <w:r>
        <w:rPr>
          <w:rFonts w:hint="eastAsia" w:ascii="宋体" w:hAnsi="宋体" w:eastAsia="宋体" w:cs="宋体"/>
          <w:color w:val="auto"/>
          <w:spacing w:val="3"/>
          <w:sz w:val="22"/>
          <w:szCs w:val="22"/>
          <w:highlight w:val="none"/>
        </w:rPr>
        <w:t>)</w:t>
      </w:r>
    </w:p>
    <w:p w14:paraId="5BE804EB">
      <w:pPr>
        <w:bidi w:val="0"/>
        <w:ind w:left="5880" w:leftChars="2800" w:firstLine="0" w:firstLineChars="0"/>
        <w:jc w:val="left"/>
        <w:rPr>
          <w:rFonts w:hint="eastAsia" w:ascii="宋体" w:hAnsi="宋体" w:eastAsia="宋体" w:cs="宋体"/>
          <w:color w:val="auto"/>
          <w:sz w:val="22"/>
          <w:szCs w:val="22"/>
          <w:highlight w:val="none"/>
        </w:rPr>
      </w:pPr>
      <w:r>
        <w:rPr>
          <w:rFonts w:hint="eastAsia"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rPr>
        <w:t>日</w:t>
      </w:r>
    </w:p>
    <w:p w14:paraId="2830FEE5">
      <w:pPr>
        <w:spacing w:line="480" w:lineRule="auto"/>
        <w:jc w:val="left"/>
        <w:rPr>
          <w:rFonts w:ascii="宋体" w:hAnsi="宋体"/>
          <w:b/>
          <w:bCs/>
          <w:color w:val="auto"/>
          <w:sz w:val="40"/>
          <w:szCs w:val="21"/>
          <w:highlight w:val="none"/>
        </w:rPr>
      </w:pPr>
    </w:p>
    <w:p w14:paraId="47B79DF9">
      <w:pPr>
        <w:pStyle w:val="41"/>
        <w:rPr>
          <w:rFonts w:ascii="宋体" w:hAnsi="宋体"/>
          <w:b/>
          <w:bCs/>
          <w:color w:val="auto"/>
          <w:sz w:val="36"/>
          <w:highlight w:val="none"/>
        </w:rPr>
      </w:pPr>
    </w:p>
    <w:p w14:paraId="633445C7">
      <w:pPr>
        <w:rPr>
          <w:rFonts w:ascii="宋体" w:hAnsi="宋体"/>
          <w:b/>
          <w:bCs/>
          <w:color w:val="auto"/>
          <w:sz w:val="36"/>
          <w:highlight w:val="none"/>
        </w:rPr>
      </w:pPr>
    </w:p>
    <w:p w14:paraId="1F58E062">
      <w:pPr>
        <w:pStyle w:val="27"/>
        <w:spacing w:line="480" w:lineRule="exact"/>
        <w:rPr>
          <w:rFonts w:hint="eastAsia" w:ascii="宋体" w:hAnsi="宋体" w:eastAsia="宋体" w:cs="宋体"/>
          <w:b/>
          <w:color w:val="auto"/>
          <w:sz w:val="24"/>
          <w:szCs w:val="24"/>
          <w:highlight w:val="none"/>
        </w:rPr>
      </w:pPr>
    </w:p>
    <w:p w14:paraId="1F28765F">
      <w:pPr>
        <w:pStyle w:val="27"/>
        <w:spacing w:line="480" w:lineRule="exact"/>
        <w:rPr>
          <w:rFonts w:hint="eastAsia" w:ascii="宋体" w:hAnsi="宋体" w:eastAsia="宋体" w:cs="宋体"/>
          <w:b/>
          <w:color w:val="auto"/>
          <w:sz w:val="24"/>
          <w:szCs w:val="24"/>
          <w:highlight w:val="none"/>
        </w:rPr>
      </w:pPr>
    </w:p>
    <w:p w14:paraId="1AEDF99B">
      <w:pPr>
        <w:spacing w:line="480" w:lineRule="exact"/>
        <w:rPr>
          <w:rFonts w:hint="eastAsia" w:ascii="宋体" w:hAnsi="宋体" w:eastAsia="宋体" w:cs="宋体"/>
          <w:b/>
          <w:bCs/>
          <w:color w:val="auto"/>
          <w:sz w:val="24"/>
          <w:szCs w:val="24"/>
          <w:highlight w:val="none"/>
        </w:rPr>
      </w:pPr>
    </w:p>
    <w:p w14:paraId="4A101103">
      <w:pPr>
        <w:rPr>
          <w:rStyle w:val="62"/>
          <w:rFonts w:hint="eastAsia" w:ascii="宋体" w:hAnsi="宋体" w:eastAsia="宋体" w:cs="宋体"/>
          <w:b w:val="0"/>
          <w:color w:val="auto"/>
          <w:sz w:val="24"/>
          <w:szCs w:val="24"/>
          <w:highlight w:val="none"/>
          <w:lang w:val="en-US" w:eastAsia="zh-CN"/>
        </w:rPr>
      </w:pPr>
      <w:r>
        <w:rPr>
          <w:rStyle w:val="62"/>
          <w:rFonts w:hint="eastAsia" w:ascii="宋体" w:hAnsi="宋体" w:eastAsia="宋体" w:cs="宋体"/>
          <w:b w:val="0"/>
          <w:color w:val="auto"/>
          <w:sz w:val="24"/>
          <w:szCs w:val="24"/>
          <w:highlight w:val="none"/>
          <w:lang w:val="en-US" w:eastAsia="zh-CN"/>
        </w:rPr>
        <w:br w:type="page"/>
      </w:r>
    </w:p>
    <w:p w14:paraId="365A7696">
      <w:pPr>
        <w:spacing w:line="600" w:lineRule="auto"/>
        <w:jc w:val="center"/>
        <w:rPr>
          <w:rFonts w:hint="eastAsia" w:ascii="宋体" w:hAnsi="宋体" w:eastAsia="宋体" w:cs="宋体"/>
          <w:color w:val="auto"/>
          <w:sz w:val="32"/>
          <w:szCs w:val="32"/>
          <w:highlight w:val="none"/>
        </w:rPr>
      </w:pPr>
      <w:r>
        <w:rPr>
          <w:rFonts w:hint="eastAsia" w:ascii="宋体" w:hAnsi="宋体" w:eastAsia="宋体" w:cs="宋体"/>
          <w:b/>
          <w:bCs/>
          <w:color w:val="auto"/>
          <w:spacing w:val="60"/>
          <w:sz w:val="32"/>
          <w:szCs w:val="32"/>
          <w:highlight w:val="none"/>
        </w:rPr>
        <w:t>注意事项</w:t>
      </w:r>
    </w:p>
    <w:p w14:paraId="3977ECDB">
      <w:pPr>
        <w:spacing w:line="6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对所附表格中要求的资料和询问应做出肯定的回答。</w:t>
      </w:r>
    </w:p>
    <w:p w14:paraId="489A3097">
      <w:pPr>
        <w:spacing w:line="6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的签字人应保证他所做的声明及对一切问题的回答的真实性和准确。</w:t>
      </w:r>
    </w:p>
    <w:p w14:paraId="57CA0198">
      <w:pPr>
        <w:spacing w:line="6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将由</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使用，并据此进行评价和判断，确定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的能力。</w:t>
      </w:r>
    </w:p>
    <w:p w14:paraId="293544E3">
      <w:pPr>
        <w:spacing w:line="6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提交的文件将给予保密，但不退还。</w:t>
      </w:r>
    </w:p>
    <w:p w14:paraId="7DD3FB57">
      <w:pPr>
        <w:spacing w:line="400" w:lineRule="exact"/>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 xml:space="preserve">            </w:t>
      </w:r>
    </w:p>
    <w:p w14:paraId="6D535BE6">
      <w:pPr>
        <w:pStyle w:val="6"/>
        <w:numPr>
          <w:ilvl w:val="0"/>
          <w:numId w:val="0"/>
        </w:numPr>
        <w:shd w:val="clear" w:color="auto" w:fill="auto"/>
        <w:ind w:left="0" w:leftChars="0" w:firstLine="0" w:firstLineChars="0"/>
        <w:jc w:val="center"/>
        <w:rPr>
          <w:rFonts w:hint="eastAsia" w:ascii="宋体" w:hAnsi="宋体" w:eastAsia="宋体" w:cs="宋体"/>
          <w:color w:val="auto"/>
          <w:highlight w:val="none"/>
        </w:rPr>
      </w:pPr>
      <w:bookmarkStart w:id="719" w:name="_Toc29473"/>
      <w:bookmarkStart w:id="720" w:name="_Toc23573"/>
      <w:r>
        <w:rPr>
          <w:rFonts w:hint="eastAsia" w:ascii="宋体" w:hAnsi="宋体" w:eastAsia="宋体" w:cs="宋体"/>
          <w:b/>
          <w:bCs/>
          <w:i w:val="0"/>
          <w:color w:val="auto"/>
          <w:spacing w:val="0"/>
          <w:w w:val="100"/>
          <w:kern w:val="0"/>
          <w:position w:val="0"/>
          <w:sz w:val="21"/>
          <w:szCs w:val="21"/>
          <w:highlight w:val="none"/>
          <w:lang w:val="en-US" w:eastAsia="zh-CN" w:bidi="ar-SA"/>
        </w:rPr>
        <w:t>(二)</w:t>
      </w:r>
      <w:r>
        <w:rPr>
          <w:rFonts w:hint="eastAsia" w:ascii="宋体" w:hAnsi="宋体" w:eastAsia="宋体" w:cs="宋体"/>
          <w:color w:val="auto"/>
          <w:sz w:val="28"/>
          <w:szCs w:val="28"/>
          <w:highlight w:val="none"/>
        </w:rPr>
        <w:t>中小企业划分标准</w:t>
      </w:r>
      <w:bookmarkEnd w:id="719"/>
      <w:bookmarkEnd w:id="720"/>
    </w:p>
    <w:p w14:paraId="23CDE87E">
      <w:pPr>
        <w:shd w:val="clear" w:color="auto" w:fill="auto"/>
        <w:ind w:firstLine="480" w:firstLineChars="200"/>
        <w:rPr>
          <w:rFonts w:hint="eastAsia" w:ascii="宋体" w:hAnsi="宋体" w:eastAsia="宋体" w:cs="宋体"/>
          <w:color w:val="auto"/>
          <w:sz w:val="24"/>
          <w:highlight w:val="none"/>
        </w:rPr>
      </w:pPr>
      <w:bookmarkStart w:id="721" w:name="bookmark4"/>
      <w:bookmarkStart w:id="722" w:name="bookmark5"/>
      <w:r>
        <w:rPr>
          <w:rFonts w:hint="eastAsia" w:ascii="宋体" w:hAnsi="宋体" w:eastAsia="宋体" w:cs="宋体"/>
          <w:color w:val="auto"/>
          <w:sz w:val="24"/>
          <w:highlight w:val="none"/>
        </w:rPr>
        <w:t>工业和信息化部、国家统计局、发展改革委、财政部等四部门《关于印发中小企业划型标准规定的通知》（工信部联企业〔2011〕300号）规定中小企业划型标准如表所示：</w:t>
      </w:r>
      <w:bookmarkEnd w:id="721"/>
      <w:bookmarkEnd w:id="722"/>
    </w:p>
    <w:p w14:paraId="50080F86">
      <w:pPr>
        <w:shd w:val="clear" w:color="auto" w:fill="auto"/>
        <w:spacing w:line="1" w:lineRule="exact"/>
        <w:jc w:val="center"/>
        <w:rPr>
          <w:rFonts w:hint="eastAsia" w:ascii="宋体" w:hAnsi="宋体" w:eastAsia="宋体" w:cs="宋体"/>
          <w:color w:val="auto"/>
          <w:sz w:val="18"/>
          <w:szCs w:val="18"/>
          <w:highlight w:val="none"/>
        </w:rPr>
      </w:pPr>
    </w:p>
    <w:tbl>
      <w:tblPr>
        <w:tblStyle w:val="30"/>
        <w:tblW w:w="9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693"/>
        <w:gridCol w:w="36"/>
        <w:gridCol w:w="733"/>
        <w:gridCol w:w="316"/>
        <w:gridCol w:w="6990"/>
        <w:gridCol w:w="2"/>
      </w:tblGrid>
      <w:tr w14:paraId="7384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6C91C35B">
            <w:pPr>
              <w:pStyle w:val="83"/>
              <w:shd w:val="clear" w:color="auto" w:fill="auto"/>
              <w:spacing w:line="240" w:lineRule="auto"/>
              <w:ind w:firstLine="2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农、林、牧、渔业</w:t>
            </w:r>
          </w:p>
        </w:tc>
        <w:tc>
          <w:tcPr>
            <w:tcW w:w="8039" w:type="dxa"/>
            <w:gridSpan w:val="3"/>
            <w:shd w:val="clear" w:color="auto" w:fill="FFFFFF"/>
            <w:noWrap w:val="0"/>
            <w:vAlign w:val="center"/>
          </w:tcPr>
          <w:p w14:paraId="0345F407">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营业收入20000万元以下的为中小微型企业。</w:t>
            </w:r>
          </w:p>
        </w:tc>
      </w:tr>
      <w:tr w14:paraId="1DFB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41920AB1">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50A84C62">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4AEF3835">
            <w:pPr>
              <w:pStyle w:val="83"/>
              <w:shd w:val="clear" w:color="auto" w:fill="auto"/>
              <w:tabs>
                <w:tab w:val="left" w:pos="1930"/>
              </w:tabs>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营业收入500万元及以上</w:t>
            </w:r>
          </w:p>
        </w:tc>
      </w:tr>
      <w:tr w14:paraId="32B4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112B7686">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3D390131">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436E56CB">
            <w:pPr>
              <w:pStyle w:val="83"/>
              <w:shd w:val="clear" w:color="auto" w:fill="auto"/>
              <w:tabs>
                <w:tab w:val="left" w:pos="1752"/>
              </w:tabs>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营业收入50万元及以上</w:t>
            </w:r>
          </w:p>
        </w:tc>
      </w:tr>
      <w:tr w14:paraId="115D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0A50288A">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5E44B5CD">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6C5C717D">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营业收入50万元以下</w:t>
            </w:r>
          </w:p>
        </w:tc>
      </w:tr>
      <w:tr w14:paraId="4A24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142E9085">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w:t>
            </w:r>
          </w:p>
          <w:p w14:paraId="0E7C1D8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（包括采矿业，制造业，电力、热力、燃气及水生产和供应</w:t>
            </w:r>
          </w:p>
          <w:p w14:paraId="12617CA8">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w:t>
            </w:r>
          </w:p>
        </w:tc>
        <w:tc>
          <w:tcPr>
            <w:tcW w:w="8039" w:type="dxa"/>
            <w:gridSpan w:val="3"/>
            <w:shd w:val="clear" w:color="auto" w:fill="FFFFFF"/>
            <w:noWrap w:val="0"/>
            <w:vAlign w:val="center"/>
          </w:tcPr>
          <w:p w14:paraId="12E33F08">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从业人员1 000人以下或营业收入 40000万元以下的为中小微型企业。</w:t>
            </w:r>
          </w:p>
        </w:tc>
      </w:tr>
      <w:tr w14:paraId="3391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25865EAE">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4AC2B316">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2FE851CF">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从业人员300人及以上，且营业收入2000万元及以上</w:t>
            </w:r>
          </w:p>
        </w:tc>
      </w:tr>
      <w:tr w14:paraId="56EF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7DC5BBE0">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6051DC4F">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6A532549">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从业人员20人及以上，且营业收入300万元及以上</w:t>
            </w:r>
          </w:p>
        </w:tc>
      </w:tr>
      <w:tr w14:paraId="46A5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10C24471">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5197B75B">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505DA299">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从业人员20人以下或营业收入300万元以下</w:t>
            </w:r>
          </w:p>
        </w:tc>
      </w:tr>
      <w:tr w14:paraId="28F6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2584B25F">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c>
          <w:tcPr>
            <w:tcW w:w="8039" w:type="dxa"/>
            <w:gridSpan w:val="3"/>
            <w:shd w:val="clear" w:color="auto" w:fill="FFFFFF"/>
            <w:noWrap w:val="0"/>
            <w:vAlign w:val="center"/>
          </w:tcPr>
          <w:p w14:paraId="1314EBA6">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营业收入80000万元以下或资产总额 80000万元以下的为中小微型企业。</w:t>
            </w:r>
          </w:p>
        </w:tc>
      </w:tr>
      <w:tr w14:paraId="1A78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4381C44B">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36AAC9D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5FDD6B3B">
            <w:pPr>
              <w:pStyle w:val="83"/>
              <w:shd w:val="clear" w:color="auto" w:fill="auto"/>
              <w:spacing w:line="240" w:lineRule="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营业收入6000万元及以上，且资产总额5000万元及以上</w:t>
            </w:r>
          </w:p>
        </w:tc>
      </w:tr>
      <w:tr w14:paraId="04C5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4E9E869F">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5AB291F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2E7E60D1">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营业收入300万元及以上，且资产总额300万元及以上</w:t>
            </w:r>
          </w:p>
        </w:tc>
      </w:tr>
      <w:tr w14:paraId="22FD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6F9B7B18">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2110AD3B">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7B66B234">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营业收入300万元以下或资产总额300万元以下</w:t>
            </w:r>
          </w:p>
        </w:tc>
      </w:tr>
      <w:tr w14:paraId="35C1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230B6E75">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批发业</w:t>
            </w:r>
          </w:p>
        </w:tc>
        <w:tc>
          <w:tcPr>
            <w:tcW w:w="8039" w:type="dxa"/>
            <w:gridSpan w:val="3"/>
            <w:shd w:val="clear" w:color="auto" w:fill="FFFFFF"/>
            <w:noWrap w:val="0"/>
            <w:vAlign w:val="center"/>
          </w:tcPr>
          <w:p w14:paraId="22DD0705">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从业人员200人以下或营业收入 40000万元以下的为中小微型企业。</w:t>
            </w:r>
          </w:p>
        </w:tc>
      </w:tr>
      <w:tr w14:paraId="1399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17A4C79">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065BE0FC">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2A468932">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从业人员20人及以上，且营业收入5000万元及以上</w:t>
            </w:r>
          </w:p>
        </w:tc>
      </w:tr>
      <w:tr w14:paraId="4A80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7AA53E5">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7453805F">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00EB51E9">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从业人员5人及以上，且营业收入1000万元及以上</w:t>
            </w:r>
          </w:p>
        </w:tc>
      </w:tr>
      <w:tr w14:paraId="6389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61CB898">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17F45305">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6AE1FEA1">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从业人员5人以下或营业收入1000万元以下</w:t>
            </w:r>
          </w:p>
        </w:tc>
      </w:tr>
      <w:tr w14:paraId="75F2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43A771DB">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零售业</w:t>
            </w:r>
          </w:p>
        </w:tc>
        <w:tc>
          <w:tcPr>
            <w:tcW w:w="8039" w:type="dxa"/>
            <w:gridSpan w:val="3"/>
            <w:shd w:val="clear" w:color="auto" w:fill="FFFFFF"/>
            <w:noWrap w:val="0"/>
            <w:vAlign w:val="center"/>
          </w:tcPr>
          <w:p w14:paraId="164A9F08">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从业人员300人以下或营业收入 20 000万元以下的为中小微型企业。</w:t>
            </w:r>
          </w:p>
        </w:tc>
      </w:tr>
      <w:tr w14:paraId="4BA8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71FA636C">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3E573991">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69112E50">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从业人员50人及以上，且营业收入500万元及以上</w:t>
            </w:r>
          </w:p>
        </w:tc>
      </w:tr>
      <w:tr w14:paraId="1406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52ABC800">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1147C0C7">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66E44608">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从业人员10人及以上，且营业收入100万元及以上</w:t>
            </w:r>
          </w:p>
        </w:tc>
      </w:tr>
      <w:tr w14:paraId="491B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6AAA5CC6">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1F9511F4">
            <w:pPr>
              <w:pStyle w:val="83"/>
              <w:shd w:val="clear" w:color="auto" w:fill="auto"/>
              <w:spacing w:before="8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23FBFA77">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从业人员10人以下或营业收入100万元以下</w:t>
            </w:r>
          </w:p>
        </w:tc>
      </w:tr>
      <w:tr w14:paraId="3A0C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7925B360">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交通运输业 （不含铁路运输业）</w:t>
            </w:r>
          </w:p>
        </w:tc>
        <w:tc>
          <w:tcPr>
            <w:tcW w:w="8039" w:type="dxa"/>
            <w:gridSpan w:val="3"/>
            <w:shd w:val="clear" w:color="auto" w:fill="FFFFFF"/>
            <w:noWrap w:val="0"/>
            <w:vAlign w:val="center"/>
          </w:tcPr>
          <w:p w14:paraId="77722A63">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从业人员1 000人以下或营业收入 30 000万元以下的为中小微型企业。</w:t>
            </w:r>
          </w:p>
        </w:tc>
      </w:tr>
      <w:tr w14:paraId="139D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90BD308">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3DB55312">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630ADFD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从业人员300人及以上，且营业收入3000万元及以上</w:t>
            </w:r>
          </w:p>
        </w:tc>
      </w:tr>
      <w:tr w14:paraId="6C33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11241504">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64409588">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2E0F66C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从业人员20人及以上，且营业收入200万元及以上</w:t>
            </w:r>
          </w:p>
        </w:tc>
      </w:tr>
      <w:tr w14:paraId="4C31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23CF78CA">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067EB15A">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548DC09A">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从业人员20人以下或营业收入200万元以下</w:t>
            </w:r>
          </w:p>
        </w:tc>
      </w:tr>
      <w:tr w14:paraId="7B1E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54556489">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仓储业</w:t>
            </w:r>
          </w:p>
        </w:tc>
        <w:tc>
          <w:tcPr>
            <w:tcW w:w="8039" w:type="dxa"/>
            <w:gridSpan w:val="3"/>
            <w:shd w:val="clear" w:color="auto" w:fill="FFFFFF"/>
            <w:noWrap w:val="0"/>
            <w:vAlign w:val="center"/>
          </w:tcPr>
          <w:p w14:paraId="7303F3E6">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从业人员200人以下或营业收入 30 000万元以下的为中小微型企业。</w:t>
            </w:r>
          </w:p>
        </w:tc>
      </w:tr>
      <w:tr w14:paraId="5776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00B46927">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5D89F64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161DD4F7">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从业人员100人及以上，且营业收入1000万元及以上</w:t>
            </w:r>
          </w:p>
        </w:tc>
      </w:tr>
      <w:tr w14:paraId="108F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43246FD">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1E0B0AE9">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48487D40">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从业人员20人及以上，且营业收入100万元及以上</w:t>
            </w:r>
          </w:p>
        </w:tc>
      </w:tr>
      <w:tr w14:paraId="6386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1AAA1C8">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12AE53E5">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6738BD1E">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从业人员20人以下或营业收入100万元以下</w:t>
            </w:r>
          </w:p>
        </w:tc>
      </w:tr>
      <w:tr w14:paraId="1929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restart"/>
            <w:shd w:val="clear" w:color="auto" w:fill="FFFFFF"/>
            <w:noWrap w:val="0"/>
            <w:vAlign w:val="center"/>
          </w:tcPr>
          <w:p w14:paraId="536E892A">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邮政业</w:t>
            </w:r>
          </w:p>
        </w:tc>
        <w:tc>
          <w:tcPr>
            <w:tcW w:w="8039" w:type="dxa"/>
            <w:gridSpan w:val="3"/>
            <w:shd w:val="clear" w:color="auto" w:fill="FFFFFF"/>
            <w:noWrap w:val="0"/>
            <w:vAlign w:val="center"/>
          </w:tcPr>
          <w:p w14:paraId="37F6A671">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从业人员1 000人以下或营业收入 30 000万元以下的为中小微型企业。</w:t>
            </w:r>
          </w:p>
        </w:tc>
      </w:tr>
      <w:tr w14:paraId="6449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5278421B">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11454BAA">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6990" w:type="dxa"/>
            <w:shd w:val="clear" w:color="auto" w:fill="FFFFFF"/>
            <w:noWrap w:val="0"/>
            <w:vAlign w:val="center"/>
          </w:tcPr>
          <w:p w14:paraId="3AFE7435">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从业人员300人及以上，且营业收入2000万元及以上</w:t>
            </w:r>
          </w:p>
        </w:tc>
      </w:tr>
      <w:tr w14:paraId="7AF2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6F10B621">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3A19ABAC">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6990" w:type="dxa"/>
            <w:shd w:val="clear" w:color="auto" w:fill="FFFFFF"/>
            <w:noWrap w:val="0"/>
            <w:vAlign w:val="center"/>
          </w:tcPr>
          <w:p w14:paraId="24D827BB">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从业人员20人及以上，且营业收入100万元及以上</w:t>
            </w:r>
          </w:p>
        </w:tc>
      </w:tr>
      <w:tr w14:paraId="4D77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 w:type="dxa"/>
          <w:trHeight w:val="454" w:hRule="atLeast"/>
          <w:jc w:val="center"/>
        </w:trPr>
        <w:tc>
          <w:tcPr>
            <w:tcW w:w="1729" w:type="dxa"/>
            <w:gridSpan w:val="2"/>
            <w:vMerge w:val="continue"/>
            <w:shd w:val="clear" w:color="auto" w:fill="FFFFFF"/>
            <w:noWrap w:val="0"/>
            <w:vAlign w:val="center"/>
          </w:tcPr>
          <w:p w14:paraId="30513C8C">
            <w:pPr>
              <w:shd w:val="clear" w:color="auto" w:fill="auto"/>
              <w:spacing w:line="240" w:lineRule="auto"/>
              <w:jc w:val="center"/>
              <w:rPr>
                <w:rFonts w:hint="eastAsia" w:ascii="宋体" w:hAnsi="宋体" w:eastAsia="宋体" w:cs="宋体"/>
                <w:color w:val="auto"/>
                <w:sz w:val="21"/>
                <w:szCs w:val="21"/>
                <w:highlight w:val="none"/>
              </w:rPr>
            </w:pPr>
          </w:p>
        </w:tc>
        <w:tc>
          <w:tcPr>
            <w:tcW w:w="1049" w:type="dxa"/>
            <w:gridSpan w:val="2"/>
            <w:shd w:val="clear" w:color="auto" w:fill="FFFFFF"/>
            <w:noWrap w:val="0"/>
            <w:vAlign w:val="center"/>
          </w:tcPr>
          <w:p w14:paraId="4AA10191">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6990" w:type="dxa"/>
            <w:shd w:val="clear" w:color="auto" w:fill="FFFFFF"/>
            <w:noWrap w:val="0"/>
            <w:vAlign w:val="center"/>
          </w:tcPr>
          <w:p w14:paraId="1D18197D">
            <w:pPr>
              <w:pStyle w:val="83"/>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从业人员20人以下或营业收入100万元以下</w:t>
            </w:r>
          </w:p>
        </w:tc>
      </w:tr>
      <w:tr w14:paraId="4D15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3E3761F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住宿业</w:t>
            </w:r>
          </w:p>
        </w:tc>
        <w:tc>
          <w:tcPr>
            <w:tcW w:w="8077" w:type="dxa"/>
            <w:gridSpan w:val="5"/>
            <w:shd w:val="clear" w:color="auto" w:fill="FFFFFF"/>
            <w:noWrap w:val="0"/>
            <w:vAlign w:val="center"/>
          </w:tcPr>
          <w:p w14:paraId="4D39E4D5">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从业人员300人以下或营业收入 10000万元以下的为中小微型企业。</w:t>
            </w:r>
          </w:p>
        </w:tc>
      </w:tr>
      <w:tr w14:paraId="21E4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666BF7C6">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1083900D">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7C60174C">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从业人员100人及以上，且营业收入2000万元及以上</w:t>
            </w:r>
          </w:p>
        </w:tc>
      </w:tr>
      <w:tr w14:paraId="5776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44A58E04">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1B5DA2F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57DDF418">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从业人员10人及以上，且营业收入100万元及以上</w:t>
            </w:r>
          </w:p>
        </w:tc>
      </w:tr>
      <w:tr w14:paraId="0AC5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325A8DD2">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683C0E8B">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40E95888">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从业人员10人以下或营业收入100万元以下</w:t>
            </w:r>
          </w:p>
        </w:tc>
      </w:tr>
      <w:tr w14:paraId="51F1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27B80584">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餐饮业</w:t>
            </w:r>
          </w:p>
        </w:tc>
        <w:tc>
          <w:tcPr>
            <w:tcW w:w="8077" w:type="dxa"/>
            <w:gridSpan w:val="5"/>
            <w:shd w:val="clear" w:color="auto" w:fill="FFFFFF"/>
            <w:noWrap w:val="0"/>
            <w:vAlign w:val="center"/>
          </w:tcPr>
          <w:p w14:paraId="266D357B">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从业人员300人以下或营业收入 10 000万元以下的为中小微型企业。</w:t>
            </w:r>
          </w:p>
        </w:tc>
      </w:tr>
      <w:tr w14:paraId="3528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5DEB3C5E">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220EEBE2">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4130A483">
            <w:pPr>
              <w:pStyle w:val="83"/>
              <w:shd w:val="clear" w:color="auto" w:fill="auto"/>
              <w:ind w:firstLine="140" w:firstLineChars="0"/>
              <w:jc w:val="center"/>
              <w:rPr>
                <w:rFonts w:hint="eastAsia" w:ascii="宋体" w:hAnsi="宋体" w:eastAsia="宋体" w:cs="宋体"/>
                <w:color w:val="auto"/>
                <w:kern w:val="2"/>
                <w:sz w:val="21"/>
                <w:szCs w:val="21"/>
                <w:highlight w:val="none"/>
                <w:u w:val="none"/>
                <w:lang w:val="zh-CN" w:eastAsia="zh-CN" w:bidi="zh-CN"/>
              </w:rPr>
            </w:pPr>
            <w:r>
              <w:rPr>
                <w:rFonts w:hint="eastAsia" w:ascii="宋体" w:hAnsi="宋体" w:eastAsia="宋体" w:cs="宋体"/>
                <w:color w:val="auto"/>
                <w:sz w:val="21"/>
                <w:szCs w:val="21"/>
                <w:highlight w:val="none"/>
              </w:rPr>
              <w:t>从业人员100人及以上，且营业收入2000万元及以上</w:t>
            </w:r>
          </w:p>
        </w:tc>
      </w:tr>
      <w:tr w14:paraId="7F60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047CEA59">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6593EF30">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07FDB12C">
            <w:pPr>
              <w:pStyle w:val="83"/>
              <w:shd w:val="clear" w:color="auto" w:fill="auto"/>
              <w:ind w:firstLine="140" w:firstLineChars="0"/>
              <w:jc w:val="center"/>
              <w:rPr>
                <w:rFonts w:hint="eastAsia" w:ascii="宋体" w:hAnsi="宋体" w:eastAsia="宋体" w:cs="宋体"/>
                <w:color w:val="auto"/>
                <w:kern w:val="2"/>
                <w:sz w:val="21"/>
                <w:szCs w:val="21"/>
                <w:highlight w:val="none"/>
                <w:u w:val="none"/>
                <w:lang w:val="zh-CN" w:eastAsia="zh-CN" w:bidi="zh-CN"/>
              </w:rPr>
            </w:pPr>
            <w:r>
              <w:rPr>
                <w:rFonts w:hint="eastAsia" w:ascii="宋体" w:hAnsi="宋体" w:eastAsia="宋体" w:cs="宋体"/>
                <w:color w:val="auto"/>
                <w:sz w:val="21"/>
                <w:szCs w:val="21"/>
                <w:highlight w:val="none"/>
              </w:rPr>
              <w:t>从业人员10人及以上，且营业收入100万元及以上</w:t>
            </w:r>
          </w:p>
        </w:tc>
      </w:tr>
      <w:tr w14:paraId="0485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549325EC">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3B1FDD3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2F330E33">
            <w:pPr>
              <w:pStyle w:val="83"/>
              <w:shd w:val="clear" w:color="auto" w:fill="auto"/>
              <w:ind w:firstLine="140" w:firstLineChars="0"/>
              <w:jc w:val="center"/>
              <w:rPr>
                <w:rFonts w:hint="eastAsia" w:ascii="宋体" w:hAnsi="宋体" w:eastAsia="宋体" w:cs="宋体"/>
                <w:color w:val="auto"/>
                <w:kern w:val="2"/>
                <w:sz w:val="21"/>
                <w:szCs w:val="21"/>
                <w:highlight w:val="none"/>
                <w:u w:val="none"/>
                <w:lang w:val="zh-CN" w:eastAsia="zh-CN" w:bidi="zh-CN"/>
              </w:rPr>
            </w:pPr>
            <w:r>
              <w:rPr>
                <w:rFonts w:hint="eastAsia" w:ascii="宋体" w:hAnsi="宋体" w:eastAsia="宋体" w:cs="宋体"/>
                <w:color w:val="auto"/>
                <w:sz w:val="21"/>
                <w:szCs w:val="21"/>
                <w:highlight w:val="none"/>
              </w:rPr>
              <w:t>从业人员10人以下或营业收入100万元以下</w:t>
            </w:r>
          </w:p>
        </w:tc>
      </w:tr>
      <w:tr w14:paraId="1544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4E8EA484">
            <w:pPr>
              <w:pStyle w:val="83"/>
              <w:shd w:val="clear" w:color="auto" w:fill="auto"/>
              <w:spacing w:line="492"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信息传输业 （包括电信、互联网 和相关服务）</w:t>
            </w:r>
          </w:p>
        </w:tc>
        <w:tc>
          <w:tcPr>
            <w:tcW w:w="8077" w:type="dxa"/>
            <w:gridSpan w:val="5"/>
            <w:shd w:val="clear" w:color="auto" w:fill="FFFFFF"/>
            <w:noWrap w:val="0"/>
            <w:vAlign w:val="center"/>
          </w:tcPr>
          <w:p w14:paraId="0AE6E9FB">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从业人员2 000人以下或营业收入 100 000万元以下的为中小微型企业。</w:t>
            </w:r>
          </w:p>
        </w:tc>
      </w:tr>
      <w:tr w14:paraId="1CD3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583C7F45">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74F4596D">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2586C0BF">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从业人员100人及以上，且营业收入1000万元及以上</w:t>
            </w:r>
          </w:p>
        </w:tc>
      </w:tr>
      <w:tr w14:paraId="26EE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651E7EE1">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3E322E8E">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02DBF0B1">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从业人员10人及以上，且营业收入100万元及以上</w:t>
            </w:r>
          </w:p>
        </w:tc>
      </w:tr>
      <w:tr w14:paraId="2563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7F0BEDD5">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77BCAEBF">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0DB7FDB2">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从业人员10人以下或营业收入100万元以下</w:t>
            </w:r>
          </w:p>
        </w:tc>
      </w:tr>
      <w:tr w14:paraId="06D3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11D25BC8">
            <w:pPr>
              <w:pStyle w:val="83"/>
              <w:shd w:val="clear" w:color="auto" w:fill="auto"/>
              <w:spacing w:line="509"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8077" w:type="dxa"/>
            <w:gridSpan w:val="5"/>
            <w:shd w:val="clear" w:color="auto" w:fill="FFFFFF"/>
            <w:noWrap w:val="0"/>
            <w:vAlign w:val="center"/>
          </w:tcPr>
          <w:p w14:paraId="703BDB65">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从业人员300人以下或营业收入 10000万元以下的为中小微型企业。</w:t>
            </w:r>
          </w:p>
        </w:tc>
      </w:tr>
      <w:tr w14:paraId="5A53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56D1CFDA">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73906C6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6F886514">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从业人员100人及以上，且营业收入1000万元及以上</w:t>
            </w:r>
          </w:p>
        </w:tc>
      </w:tr>
      <w:tr w14:paraId="15C9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3F243A24">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220A0DB7">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37ECCE87">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从业人员10人及以上，且营业收入50万元及以上</w:t>
            </w:r>
          </w:p>
        </w:tc>
      </w:tr>
      <w:tr w14:paraId="223D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74F1168E">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032E9CB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16F192D5">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从业人员10人以下或营业收入50万元以下</w:t>
            </w:r>
          </w:p>
        </w:tc>
      </w:tr>
      <w:tr w14:paraId="7B2A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05263A35">
            <w:pPr>
              <w:pStyle w:val="83"/>
              <w:shd w:val="clear" w:color="auto" w:fil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房地产开发经营</w:t>
            </w:r>
          </w:p>
        </w:tc>
        <w:tc>
          <w:tcPr>
            <w:tcW w:w="8077" w:type="dxa"/>
            <w:gridSpan w:val="5"/>
            <w:shd w:val="clear" w:color="auto" w:fill="FFFFFF"/>
            <w:noWrap w:val="0"/>
            <w:vAlign w:val="center"/>
          </w:tcPr>
          <w:p w14:paraId="2596F051">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营业收入200 000万元以下或资产总额 10 000万元以下的为中小微型企业。</w:t>
            </w:r>
          </w:p>
        </w:tc>
      </w:tr>
      <w:tr w14:paraId="240C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7470F253">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53C1C5D1">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74555843">
            <w:pPr>
              <w:pStyle w:val="83"/>
              <w:shd w:val="clear" w:color="auto" w:fill="auto"/>
              <w:spacing w:after="120"/>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营业收入1000万元及以上，且资产总额5000万元及以上</w:t>
            </w:r>
          </w:p>
        </w:tc>
      </w:tr>
      <w:tr w14:paraId="5C65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065A03B2">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5DCE7F9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347EEA6B">
            <w:pPr>
              <w:pStyle w:val="83"/>
              <w:shd w:val="clear" w:color="auto" w:fill="auto"/>
              <w:spacing w:line="240" w:lineRule="auto"/>
              <w:ind w:left="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营业收入100万元及以上，且资产总额2000万元及以上</w:t>
            </w:r>
          </w:p>
        </w:tc>
      </w:tr>
      <w:tr w14:paraId="0AF4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7E895E92">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35A92547">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0DE6D9B2">
            <w:pPr>
              <w:pStyle w:val="83"/>
              <w:shd w:val="clear" w:color="auto" w:fill="auto"/>
              <w:tabs>
                <w:tab w:val="left" w:pos="5256"/>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营业收入100万元以下或资产总额2000万元以下</w:t>
            </w:r>
          </w:p>
        </w:tc>
      </w:tr>
      <w:tr w14:paraId="5161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7A724577">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物业管理</w:t>
            </w:r>
          </w:p>
        </w:tc>
        <w:tc>
          <w:tcPr>
            <w:tcW w:w="8077" w:type="dxa"/>
            <w:gridSpan w:val="5"/>
            <w:shd w:val="clear" w:color="auto" w:fill="FFFFFF"/>
            <w:noWrap w:val="0"/>
            <w:vAlign w:val="center"/>
          </w:tcPr>
          <w:p w14:paraId="6D23D267">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从业人员1 000人以下或营业收入 5 000万元以下的为中小微型企业。</w:t>
            </w:r>
          </w:p>
        </w:tc>
      </w:tr>
      <w:tr w14:paraId="1910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52532F51">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3FD384AD">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543DA3B8">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从业人员300人及以上，且营业收入1000万元及以上</w:t>
            </w:r>
          </w:p>
        </w:tc>
      </w:tr>
      <w:tr w14:paraId="422A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0B19D848">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3EA9EB7B">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6232EFDB">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从业人员100人及以上，且营业收入500万元及以上</w:t>
            </w:r>
          </w:p>
        </w:tc>
      </w:tr>
      <w:tr w14:paraId="34DE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0EAAD7C1">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18AF9A31">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2386C943">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从业人员100人以下或营业收入500万元以下</w:t>
            </w:r>
          </w:p>
        </w:tc>
      </w:tr>
      <w:tr w14:paraId="5549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33BBB72D">
            <w:pPr>
              <w:pStyle w:val="83"/>
              <w:shd w:val="clear" w:color="auto" w:fill="auto"/>
              <w:ind w:firstLine="2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租赁和商务服务业</w:t>
            </w:r>
          </w:p>
        </w:tc>
        <w:tc>
          <w:tcPr>
            <w:tcW w:w="8077" w:type="dxa"/>
            <w:gridSpan w:val="5"/>
            <w:shd w:val="clear" w:color="auto" w:fill="FFFFFF"/>
            <w:noWrap w:val="0"/>
            <w:vAlign w:val="center"/>
          </w:tcPr>
          <w:p w14:paraId="7841D8BA">
            <w:pPr>
              <w:pStyle w:val="83"/>
              <w:shd w:val="clear" w:color="auto" w:fill="auto"/>
              <w:tabs>
                <w:tab w:val="left" w:pos="10666"/>
              </w:tabs>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从业人员300人以下或资产总额 120 000万元以下的为中小微型企业。 其中， 从业人员100人及以上，且资产总额 8 000万元及以上的为中型企业；从业 人员10人及以上，且资产总额 100万元及以上的为小型企业；从业人员</w:t>
            </w:r>
            <w:r>
              <w:rPr>
                <w:rFonts w:hint="eastAsia" w:ascii="宋体" w:hAnsi="宋体" w:eastAsia="宋体" w:cs="宋体"/>
                <w:color w:val="auto"/>
                <w:sz w:val="21"/>
                <w:szCs w:val="21"/>
                <w:highlight w:val="none"/>
                <w:lang w:val="en-US"/>
              </w:rPr>
              <w:t>10</w:t>
            </w:r>
            <w:r>
              <w:rPr>
                <w:rFonts w:hint="eastAsia" w:ascii="宋体" w:hAnsi="宋体" w:eastAsia="宋体" w:cs="宋体"/>
                <w:color w:val="auto"/>
                <w:sz w:val="21"/>
                <w:szCs w:val="21"/>
                <w:highlight w:val="none"/>
              </w:rPr>
              <w:t>人以下或资产总额 100万元以下的为微型企业。</w:t>
            </w:r>
          </w:p>
        </w:tc>
      </w:tr>
      <w:tr w14:paraId="4417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6D209423">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28437F69">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41C30D4D">
            <w:pPr>
              <w:pStyle w:val="83"/>
              <w:shd w:val="clear" w:color="auto" w:fill="auto"/>
              <w:ind w:firstLine="14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从业人员100人及以上，且资产总额8000万元及以上</w:t>
            </w:r>
          </w:p>
        </w:tc>
      </w:tr>
      <w:tr w14:paraId="2E75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65E26738">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57466E34">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5CB4AAEC">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从业人员10人及以上，且资产总额100万元及以上</w:t>
            </w:r>
          </w:p>
        </w:tc>
      </w:tr>
      <w:tr w14:paraId="510D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20621179">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056955C7">
            <w:pPr>
              <w:pStyle w:val="83"/>
              <w:shd w:val="clear" w:color="auto" w:fill="auto"/>
              <w:spacing w:before="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705623F7">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从业人员10人以下或资产总额100万元以下</w:t>
            </w:r>
          </w:p>
        </w:tc>
      </w:tr>
      <w:tr w14:paraId="4144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restart"/>
            <w:shd w:val="clear" w:color="auto" w:fill="FFFFFF"/>
            <w:noWrap w:val="0"/>
            <w:vAlign w:val="center"/>
          </w:tcPr>
          <w:p w14:paraId="70F41D8C">
            <w:pPr>
              <w:pStyle w:val="83"/>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其他未列明行业</w:t>
            </w:r>
          </w:p>
        </w:tc>
        <w:tc>
          <w:tcPr>
            <w:tcW w:w="8077" w:type="dxa"/>
            <w:gridSpan w:val="5"/>
            <w:shd w:val="clear" w:color="auto" w:fill="FFFFFF"/>
            <w:noWrap w:val="0"/>
            <w:vAlign w:val="center"/>
          </w:tcPr>
          <w:p w14:paraId="41E2CDD6">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从业人员300人以下的为中小微型企业。</w:t>
            </w:r>
          </w:p>
        </w:tc>
      </w:tr>
      <w:tr w14:paraId="1397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302C994C">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5AB18C62">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中型</w:t>
            </w:r>
          </w:p>
        </w:tc>
        <w:tc>
          <w:tcPr>
            <w:tcW w:w="7308" w:type="dxa"/>
            <w:gridSpan w:val="3"/>
            <w:shd w:val="clear" w:color="auto" w:fill="FFFFFF"/>
            <w:noWrap w:val="0"/>
            <w:vAlign w:val="center"/>
          </w:tcPr>
          <w:p w14:paraId="0D129358">
            <w:pPr>
              <w:pStyle w:val="83"/>
              <w:shd w:val="clear" w:color="auto" w:fill="auto"/>
              <w:ind w:firstLine="14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从业人员100人及以上</w:t>
            </w:r>
          </w:p>
        </w:tc>
      </w:tr>
      <w:tr w14:paraId="5434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5B397BBC">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59CE2E0B">
            <w:pPr>
              <w:pStyle w:val="83"/>
              <w:shd w:val="clear" w:color="auto" w:fill="auto"/>
              <w:spacing w:before="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小型</w:t>
            </w:r>
          </w:p>
        </w:tc>
        <w:tc>
          <w:tcPr>
            <w:tcW w:w="7308" w:type="dxa"/>
            <w:gridSpan w:val="3"/>
            <w:shd w:val="clear" w:color="auto" w:fill="FFFFFF"/>
            <w:noWrap w:val="0"/>
            <w:vAlign w:val="center"/>
          </w:tcPr>
          <w:p w14:paraId="50622C5E">
            <w:pPr>
              <w:pStyle w:val="83"/>
              <w:shd w:val="clear" w:color="auto" w:fill="auto"/>
              <w:ind w:firstLine="14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从业人员10人及以上</w:t>
            </w:r>
          </w:p>
        </w:tc>
      </w:tr>
      <w:tr w14:paraId="5172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693" w:type="dxa"/>
            <w:vMerge w:val="continue"/>
            <w:shd w:val="clear" w:color="auto" w:fill="FFFFFF"/>
            <w:noWrap w:val="0"/>
            <w:vAlign w:val="center"/>
          </w:tcPr>
          <w:p w14:paraId="38199DE8">
            <w:pPr>
              <w:shd w:val="clear" w:color="auto" w:fill="auto"/>
              <w:jc w:val="center"/>
              <w:rPr>
                <w:rFonts w:hint="eastAsia" w:ascii="宋体" w:hAnsi="宋体" w:eastAsia="宋体" w:cs="宋体"/>
                <w:color w:val="auto"/>
                <w:sz w:val="21"/>
                <w:szCs w:val="21"/>
                <w:highlight w:val="none"/>
              </w:rPr>
            </w:pPr>
          </w:p>
        </w:tc>
        <w:tc>
          <w:tcPr>
            <w:tcW w:w="769" w:type="dxa"/>
            <w:gridSpan w:val="2"/>
            <w:shd w:val="clear" w:color="auto" w:fill="FFFFFF"/>
            <w:noWrap w:val="0"/>
            <w:vAlign w:val="center"/>
          </w:tcPr>
          <w:p w14:paraId="1405D723">
            <w:pPr>
              <w:pStyle w:val="83"/>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微型</w:t>
            </w:r>
          </w:p>
        </w:tc>
        <w:tc>
          <w:tcPr>
            <w:tcW w:w="7308" w:type="dxa"/>
            <w:gridSpan w:val="3"/>
            <w:shd w:val="clear" w:color="auto" w:fill="FFFFFF"/>
            <w:noWrap w:val="0"/>
            <w:vAlign w:val="center"/>
          </w:tcPr>
          <w:p w14:paraId="1460351C">
            <w:pPr>
              <w:pStyle w:val="83"/>
              <w:shd w:val="clear" w:color="auto" w:fill="auto"/>
              <w:ind w:firstLine="14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从业人员10人以下</w:t>
            </w:r>
          </w:p>
        </w:tc>
      </w:tr>
    </w:tbl>
    <w:p w14:paraId="0033328C">
      <w:pPr>
        <w:rPr>
          <w:rFonts w:hint="eastAsia"/>
          <w:color w:val="auto"/>
          <w:highlight w:val="none"/>
          <w:lang w:val="en-US" w:eastAsia="zh-CN"/>
        </w:rPr>
      </w:pPr>
    </w:p>
    <w:p w14:paraId="2D5D05D6">
      <w:pPr>
        <w:rPr>
          <w:rFonts w:hint="eastAsia" w:ascii="宋体" w:hAnsi="宋体" w:eastAsia="宋体" w:cs="宋体"/>
          <w:color w:val="auto"/>
          <w:sz w:val="24"/>
          <w:szCs w:val="24"/>
          <w:highlight w:val="none"/>
        </w:rPr>
      </w:pPr>
    </w:p>
    <w:sectPr>
      <w:headerReference r:id="rId6" w:type="default"/>
      <w:footerReference r:id="rId7" w:type="default"/>
      <w:pgSz w:w="11906" w:h="16838"/>
      <w:pgMar w:top="1440" w:right="1080" w:bottom="1440" w:left="1080" w:header="568" w:footer="623"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time of new roman">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QEWSUC+??¨¬?">
    <w:altName w:val="宋体"/>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5035">
    <w:pPr>
      <w:pStyle w:val="48"/>
      <w:pBdr>
        <w:top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8FA63">
    <w:pPr>
      <w:pStyle w:val="48"/>
      <w:pBdr>
        <w:top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E550F">
    <w:pPr>
      <w:pStyle w:val="48"/>
      <w:pBdr>
        <w:top w:val="none" w:color="auto" w:sz="0" w:space="0"/>
      </w:pBd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B6C8B7">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9B6C8B7">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9BBB">
    <w:pPr>
      <w:pStyle w:val="22"/>
      <w:pBdr>
        <w:bottom w:val="double" w:color="auto" w:sz="8" w:space="1"/>
      </w:pBdr>
      <w:spacing w:beforeAutospacing="0"/>
      <w:jc w:val="both"/>
      <w:rPr>
        <w:rFonts w:hint="eastAsia" w:ascii="宋体" w:hAnsi="宋体" w:cs="宋体"/>
        <w:b/>
        <w:bCs/>
        <w:caps/>
        <w:sz w:val="13"/>
        <w:szCs w:val="13"/>
        <w:lang w:val="en-US" w:eastAsia="zh-CN"/>
      </w:rPr>
    </w:pPr>
  </w:p>
  <w:p w14:paraId="36966241">
    <w:pPr>
      <w:pStyle w:val="22"/>
      <w:pBdr>
        <w:bottom w:val="double" w:color="auto" w:sz="8" w:space="1"/>
      </w:pBdr>
      <w:spacing w:beforeAutospacing="0"/>
      <w:jc w:val="both"/>
      <w:rPr>
        <w:rFonts w:hint="eastAsia" w:ascii="宋体" w:hAnsi="宋体" w:cs="宋体"/>
        <w:b/>
        <w:bCs/>
        <w:caps/>
        <w:sz w:val="13"/>
        <w:szCs w:val="13"/>
        <w:lang w:val="en-US" w:eastAsia="zh-CN"/>
      </w:rPr>
    </w:pPr>
  </w:p>
  <w:p w14:paraId="79043C18">
    <w:pPr>
      <w:pStyle w:val="22"/>
      <w:pBdr>
        <w:bottom w:val="double" w:color="auto" w:sz="8" w:space="1"/>
      </w:pBdr>
      <w:spacing w:beforeAutospacing="0"/>
      <w:jc w:val="both"/>
      <w:rPr>
        <w:rFonts w:ascii="宋体" w:hAnsi="宋体"/>
        <w:color w:val="000000"/>
      </w:rPr>
    </w:pPr>
    <w:r>
      <w:rPr>
        <w:rFonts w:hint="eastAsia" w:ascii="宋体" w:hAnsi="宋体" w:cs="宋体"/>
        <w:b/>
        <w:bCs/>
        <w:szCs w:val="18"/>
        <w:lang w:val="en-US" w:eastAsia="zh-CN"/>
      </w:rPr>
      <w:t>新疆国腾工程项目管理咨询有限公司</w:t>
    </w:r>
    <w:r>
      <w:rPr>
        <w:rFonts w:hint="eastAsia" w:ascii="宋体" w:hAnsi="宋体" w:cs="宋体"/>
        <w:b/>
        <w:bCs/>
        <w:caps/>
        <w:sz w:val="13"/>
        <w:szCs w:val="13"/>
        <w:lang w:val="en-US" w:eastAsia="zh-CN"/>
      </w:rPr>
      <w:t xml:space="preserve">                                               </w:t>
    </w:r>
    <w:r>
      <w:rPr>
        <w:rFonts w:hint="eastAsia" w:ascii="宋体" w:hAnsi="宋体" w:cs="宋体"/>
        <w:b/>
        <w:bCs/>
        <w:szCs w:val="18"/>
      </w:rPr>
      <w:t xml:space="preserve">  </w:t>
    </w:r>
    <w:r>
      <w:rPr>
        <w:rFonts w:hint="eastAsia" w:ascii="宋体" w:hAnsi="宋体" w:cs="宋体"/>
        <w:b/>
        <w:bCs/>
        <w:szCs w:val="18"/>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AB9C7">
    <w:pPr>
      <w:pStyle w:val="22"/>
      <w:pBdr>
        <w:bottom w:val="none" w:color="auto" w:sz="0" w:space="1"/>
      </w:pBdr>
      <w:jc w:val="both"/>
      <w:rPr>
        <w:rFonts w:ascii="宋体" w:hAnsi="宋体"/>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4E5AD"/>
    <w:multiLevelType w:val="singleLevel"/>
    <w:tmpl w:val="8494E5AD"/>
    <w:lvl w:ilvl="0" w:tentative="0">
      <w:start w:val="1"/>
      <w:numFmt w:val="decimal"/>
      <w:lvlText w:val="(%1)"/>
      <w:lvlJc w:val="left"/>
      <w:pPr>
        <w:ind w:left="425" w:hanging="425"/>
      </w:pPr>
      <w:rPr>
        <w:rFonts w:hint="default"/>
      </w:rPr>
    </w:lvl>
  </w:abstractNum>
  <w:abstractNum w:abstractNumId="1">
    <w:nsid w:val="9A659121"/>
    <w:multiLevelType w:val="singleLevel"/>
    <w:tmpl w:val="9A659121"/>
    <w:lvl w:ilvl="0" w:tentative="0">
      <w:start w:val="1"/>
      <w:numFmt w:val="bullet"/>
      <w:pStyle w:val="10"/>
      <w:lvlText w:val=""/>
      <w:lvlJc w:val="left"/>
      <w:pPr>
        <w:tabs>
          <w:tab w:val="left" w:pos="360"/>
        </w:tabs>
        <w:ind w:left="360" w:hanging="360"/>
      </w:pPr>
      <w:rPr>
        <w:rFonts w:hint="default" w:ascii="Wingdings" w:hAnsi="Wingdings"/>
      </w:rPr>
    </w:lvl>
  </w:abstractNum>
  <w:abstractNum w:abstractNumId="2">
    <w:nsid w:val="0000000C"/>
    <w:multiLevelType w:val="multilevel"/>
    <w:tmpl w:val="0000000C"/>
    <w:lvl w:ilvl="0" w:tentative="0">
      <w:start w:val="1"/>
      <w:numFmt w:val="decimal"/>
      <w:lvlText w:val="（%1）"/>
      <w:lvlJc w:val="left"/>
      <w:pPr>
        <w:tabs>
          <w:tab w:val="left" w:pos="1080"/>
        </w:tabs>
        <w:ind w:left="1080" w:hanging="720"/>
      </w:pPr>
      <w:rPr>
        <w:rFonts w:hint="default"/>
        <w:b w:val="0"/>
      </w:rPr>
    </w:lvl>
    <w:lvl w:ilvl="1" w:tentative="0">
      <w:start w:val="11"/>
      <w:numFmt w:val="decimal"/>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0"/>
    <w:multiLevelType w:val="multilevel"/>
    <w:tmpl w:val="00000010"/>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240"/>
        </w:tabs>
        <w:ind w:left="-240" w:hanging="420"/>
      </w:pPr>
    </w:lvl>
    <w:lvl w:ilvl="2" w:tentative="0">
      <w:start w:val="1"/>
      <w:numFmt w:val="lowerRoman"/>
      <w:lvlText w:val="%3."/>
      <w:lvlJc w:val="right"/>
      <w:pPr>
        <w:tabs>
          <w:tab w:val="left" w:pos="180"/>
        </w:tabs>
        <w:ind w:left="180" w:hanging="420"/>
      </w:pPr>
    </w:lvl>
    <w:lvl w:ilvl="3" w:tentative="0">
      <w:start w:val="1"/>
      <w:numFmt w:val="decimal"/>
      <w:lvlText w:val="%4."/>
      <w:lvlJc w:val="left"/>
      <w:pPr>
        <w:tabs>
          <w:tab w:val="left" w:pos="600"/>
        </w:tabs>
        <w:ind w:left="600" w:hanging="420"/>
      </w:pPr>
    </w:lvl>
    <w:lvl w:ilvl="4" w:tentative="0">
      <w:start w:val="1"/>
      <w:numFmt w:val="lowerLetter"/>
      <w:lvlText w:val="%5)"/>
      <w:lvlJc w:val="left"/>
      <w:pPr>
        <w:tabs>
          <w:tab w:val="left" w:pos="1020"/>
        </w:tabs>
        <w:ind w:left="1020" w:hanging="420"/>
      </w:pPr>
    </w:lvl>
    <w:lvl w:ilvl="5" w:tentative="0">
      <w:start w:val="1"/>
      <w:numFmt w:val="lowerRoman"/>
      <w:lvlText w:val="%6."/>
      <w:lvlJc w:val="right"/>
      <w:pPr>
        <w:tabs>
          <w:tab w:val="left" w:pos="1440"/>
        </w:tabs>
        <w:ind w:left="1440" w:hanging="420"/>
      </w:pPr>
    </w:lvl>
    <w:lvl w:ilvl="6" w:tentative="0">
      <w:start w:val="1"/>
      <w:numFmt w:val="decimal"/>
      <w:lvlText w:val="%7."/>
      <w:lvlJc w:val="left"/>
      <w:pPr>
        <w:tabs>
          <w:tab w:val="left" w:pos="1860"/>
        </w:tabs>
        <w:ind w:left="1860" w:hanging="420"/>
      </w:pPr>
    </w:lvl>
    <w:lvl w:ilvl="7" w:tentative="0">
      <w:start w:val="1"/>
      <w:numFmt w:val="lowerLetter"/>
      <w:lvlText w:val="%8)"/>
      <w:lvlJc w:val="left"/>
      <w:pPr>
        <w:tabs>
          <w:tab w:val="left" w:pos="2280"/>
        </w:tabs>
        <w:ind w:left="2280" w:hanging="420"/>
      </w:pPr>
    </w:lvl>
    <w:lvl w:ilvl="8" w:tentative="0">
      <w:start w:val="1"/>
      <w:numFmt w:val="lowerRoman"/>
      <w:lvlText w:val="%9."/>
      <w:lvlJc w:val="right"/>
      <w:pPr>
        <w:tabs>
          <w:tab w:val="left" w:pos="2700"/>
        </w:tabs>
        <w:ind w:left="2700" w:hanging="420"/>
      </w:pPr>
    </w:lvl>
  </w:abstractNum>
  <w:abstractNum w:abstractNumId="4">
    <w:nsid w:val="0000001E"/>
    <w:multiLevelType w:val="multilevel"/>
    <w:tmpl w:val="0000001E"/>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684E40"/>
    <w:multiLevelType w:val="singleLevel"/>
    <w:tmpl w:val="00684E40"/>
    <w:lvl w:ilvl="0" w:tentative="0">
      <w:start w:val="1"/>
      <w:numFmt w:val="decimal"/>
      <w:suff w:val="nothing"/>
      <w:lvlText w:val="（%1）"/>
      <w:lvlJc w:val="left"/>
      <w:rPr>
        <w:rFonts w:hint="default"/>
        <w:b/>
        <w:bCs/>
      </w:rPr>
    </w:lvl>
  </w:abstractNum>
  <w:abstractNum w:abstractNumId="6">
    <w:nsid w:val="010B216D"/>
    <w:multiLevelType w:val="multilevel"/>
    <w:tmpl w:val="010B216D"/>
    <w:lvl w:ilvl="0" w:tentative="0">
      <w:start w:val="1"/>
      <w:numFmt w:val="decimal"/>
      <w:lvlText w:val="%1."/>
      <w:lvlJc w:val="left"/>
      <w:pPr>
        <w:tabs>
          <w:tab w:val="left" w:pos="147"/>
        </w:tabs>
        <w:ind w:left="147" w:hanging="425"/>
      </w:pPr>
      <w:rPr>
        <w:rFonts w:hint="eastAsia"/>
        <w:b/>
        <w:i w:val="0"/>
        <w:sz w:val="28"/>
        <w:szCs w:val="28"/>
      </w:rPr>
    </w:lvl>
    <w:lvl w:ilvl="1" w:tentative="0">
      <w:start w:val="1"/>
      <w:numFmt w:val="decimal"/>
      <w:lvlText w:val="%1.%2."/>
      <w:lvlJc w:val="left"/>
      <w:pPr>
        <w:tabs>
          <w:tab w:val="left" w:pos="289"/>
        </w:tabs>
        <w:ind w:left="289" w:hanging="567"/>
      </w:pPr>
      <w:rPr>
        <w:rFonts w:hint="eastAsia" w:ascii="宋体" w:hAnsi="宋体" w:eastAsia="宋体"/>
        <w:b/>
        <w:i w:val="0"/>
        <w:sz w:val="24"/>
        <w:szCs w:val="24"/>
      </w:rPr>
    </w:lvl>
    <w:lvl w:ilvl="2" w:tentative="0">
      <w:start w:val="1"/>
      <w:numFmt w:val="decimal"/>
      <w:lvlText w:val="%1.%2.%3."/>
      <w:lvlJc w:val="left"/>
      <w:pPr>
        <w:tabs>
          <w:tab w:val="left" w:pos="1050"/>
        </w:tabs>
        <w:ind w:left="1050" w:hanging="624"/>
      </w:pPr>
      <w:rPr>
        <w:rFonts w:hint="eastAsia" w:ascii="宋体" w:eastAsia="宋体"/>
        <w:b w:val="0"/>
        <w:i w:val="0"/>
        <w:sz w:val="24"/>
        <w:szCs w:val="24"/>
      </w:rPr>
    </w:lvl>
    <w:lvl w:ilvl="3" w:tentative="0">
      <w:start w:val="1"/>
      <w:numFmt w:val="decimal"/>
      <w:lvlText w:val="%1.%2.%3.%4."/>
      <w:lvlJc w:val="left"/>
      <w:pPr>
        <w:tabs>
          <w:tab w:val="left" w:pos="573"/>
        </w:tabs>
        <w:ind w:left="573" w:hanging="851"/>
      </w:pPr>
      <w:rPr>
        <w:rFonts w:hint="eastAsia"/>
      </w:rPr>
    </w:lvl>
    <w:lvl w:ilvl="4" w:tentative="0">
      <w:start w:val="1"/>
      <w:numFmt w:val="decimal"/>
      <w:lvlText w:val="%1.%2.%3.%4.%5."/>
      <w:lvlJc w:val="left"/>
      <w:pPr>
        <w:tabs>
          <w:tab w:val="left" w:pos="714"/>
        </w:tabs>
        <w:ind w:left="714" w:hanging="992"/>
      </w:pPr>
      <w:rPr>
        <w:rFonts w:hint="eastAsia"/>
      </w:rPr>
    </w:lvl>
    <w:lvl w:ilvl="5" w:tentative="0">
      <w:start w:val="1"/>
      <w:numFmt w:val="decimal"/>
      <w:lvlText w:val="%1.%2.%3.%4.%5.%6."/>
      <w:lvlJc w:val="left"/>
      <w:pPr>
        <w:tabs>
          <w:tab w:val="left" w:pos="856"/>
        </w:tabs>
        <w:ind w:left="856" w:hanging="1134"/>
      </w:pPr>
      <w:rPr>
        <w:rFonts w:hint="eastAsia"/>
      </w:rPr>
    </w:lvl>
    <w:lvl w:ilvl="6" w:tentative="0">
      <w:start w:val="1"/>
      <w:numFmt w:val="decimal"/>
      <w:lvlText w:val="%1.%2.%3.%4.%5.%6.%7."/>
      <w:lvlJc w:val="left"/>
      <w:pPr>
        <w:tabs>
          <w:tab w:val="left" w:pos="998"/>
        </w:tabs>
        <w:ind w:left="998" w:hanging="1276"/>
      </w:pPr>
      <w:rPr>
        <w:rFonts w:hint="eastAsia"/>
      </w:rPr>
    </w:lvl>
    <w:lvl w:ilvl="7" w:tentative="0">
      <w:start w:val="1"/>
      <w:numFmt w:val="decimal"/>
      <w:lvlText w:val="%1.%2.%3.%4.%5.%6.%7.%8."/>
      <w:lvlJc w:val="left"/>
      <w:pPr>
        <w:tabs>
          <w:tab w:val="left" w:pos="1140"/>
        </w:tabs>
        <w:ind w:left="1140" w:hanging="1418"/>
      </w:pPr>
      <w:rPr>
        <w:rFonts w:hint="eastAsia"/>
      </w:rPr>
    </w:lvl>
    <w:lvl w:ilvl="8" w:tentative="0">
      <w:start w:val="1"/>
      <w:numFmt w:val="decimal"/>
      <w:lvlText w:val="%1.%2.%3.%4.%5.%6.%7.%8.%9."/>
      <w:lvlJc w:val="left"/>
      <w:pPr>
        <w:tabs>
          <w:tab w:val="left" w:pos="1281"/>
        </w:tabs>
        <w:ind w:left="1281" w:hanging="1559"/>
      </w:pPr>
      <w:rPr>
        <w:rFonts w:hint="eastAsia"/>
      </w:rPr>
    </w:lvl>
  </w:abstractNum>
  <w:abstractNum w:abstractNumId="7">
    <w:nsid w:val="0264A9F5"/>
    <w:multiLevelType w:val="singleLevel"/>
    <w:tmpl w:val="0264A9F5"/>
    <w:lvl w:ilvl="0" w:tentative="0">
      <w:start w:val="2"/>
      <w:numFmt w:val="chineseCounting"/>
      <w:suff w:val="space"/>
      <w:lvlText w:val="第%1章"/>
      <w:lvlJc w:val="left"/>
      <w:rPr>
        <w:rFonts w:hint="eastAsia"/>
      </w:rPr>
    </w:lvl>
  </w:abstractNum>
  <w:abstractNum w:abstractNumId="8">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9">
    <w:nsid w:val="55CD4C99"/>
    <w:multiLevelType w:val="singleLevel"/>
    <w:tmpl w:val="55CD4C99"/>
    <w:lvl w:ilvl="0" w:tentative="0">
      <w:start w:val="1"/>
      <w:numFmt w:val="chineseCounting"/>
      <w:suff w:val="nothing"/>
      <w:lvlText w:val="%1、"/>
      <w:lvlJc w:val="left"/>
    </w:lvl>
  </w:abstractNum>
  <w:abstractNum w:abstractNumId="10">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num w:numId="1">
    <w:abstractNumId w:val="1"/>
  </w:num>
  <w:num w:numId="2">
    <w:abstractNumId w:val="7"/>
  </w:num>
  <w:num w:numId="3">
    <w:abstractNumId w:val="5"/>
  </w:num>
  <w:num w:numId="4">
    <w:abstractNumId w:val="6"/>
  </w:num>
  <w:num w:numId="5">
    <w:abstractNumId w:val="0"/>
  </w:num>
  <w:num w:numId="6">
    <w:abstractNumId w:val="9"/>
  </w:num>
  <w:num w:numId="7">
    <w:abstractNumId w:val="8"/>
  </w:num>
  <w:num w:numId="8">
    <w:abstractNumId w:val="10"/>
  </w:num>
  <w:num w:numId="9">
    <w:abstractNumId w:val="2"/>
  </w:num>
  <w:num w:numId="10">
    <w:abstractNumId w:val="4"/>
    <w:lvlOverride w:ilvl="1">
      <w:startOverride w:val="1"/>
    </w:lvlOverride>
  </w:num>
  <w:num w:numId="11">
    <w:abstractNumId w:val="3"/>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ZjVmMjUxNjhkNmY4MTFiOTJmNDI3YmM0OGNiOGYifQ=="/>
  </w:docVars>
  <w:rsids>
    <w:rsidRoot w:val="7C6102CA"/>
    <w:rsid w:val="00A23DF8"/>
    <w:rsid w:val="012E5582"/>
    <w:rsid w:val="01C0753F"/>
    <w:rsid w:val="01DC4A7B"/>
    <w:rsid w:val="02BE17C0"/>
    <w:rsid w:val="02DF57A3"/>
    <w:rsid w:val="03D14035"/>
    <w:rsid w:val="03F67601"/>
    <w:rsid w:val="043B46F7"/>
    <w:rsid w:val="04732647"/>
    <w:rsid w:val="058E05D6"/>
    <w:rsid w:val="06080E63"/>
    <w:rsid w:val="0730397D"/>
    <w:rsid w:val="07CD6512"/>
    <w:rsid w:val="07E353BA"/>
    <w:rsid w:val="087D1CE6"/>
    <w:rsid w:val="08FA5A7C"/>
    <w:rsid w:val="090120EE"/>
    <w:rsid w:val="09D40ACE"/>
    <w:rsid w:val="0AC34508"/>
    <w:rsid w:val="0B387A4E"/>
    <w:rsid w:val="0B4929E2"/>
    <w:rsid w:val="0C464205"/>
    <w:rsid w:val="0C950876"/>
    <w:rsid w:val="0D5C71FC"/>
    <w:rsid w:val="0E2D1AB8"/>
    <w:rsid w:val="0EC92CCF"/>
    <w:rsid w:val="0F5352EA"/>
    <w:rsid w:val="0F60670D"/>
    <w:rsid w:val="106B37DA"/>
    <w:rsid w:val="11586146"/>
    <w:rsid w:val="116C282A"/>
    <w:rsid w:val="11FE0D43"/>
    <w:rsid w:val="126C329A"/>
    <w:rsid w:val="12B021A5"/>
    <w:rsid w:val="13F745A0"/>
    <w:rsid w:val="143B037F"/>
    <w:rsid w:val="1613704A"/>
    <w:rsid w:val="16306F40"/>
    <w:rsid w:val="16FE12D6"/>
    <w:rsid w:val="174A0844"/>
    <w:rsid w:val="17BE19D3"/>
    <w:rsid w:val="18F51711"/>
    <w:rsid w:val="1ADD6614"/>
    <w:rsid w:val="1C996313"/>
    <w:rsid w:val="1CAA3620"/>
    <w:rsid w:val="1CDE733B"/>
    <w:rsid w:val="1DAF4298"/>
    <w:rsid w:val="1DFB23A5"/>
    <w:rsid w:val="20CA3473"/>
    <w:rsid w:val="218473D6"/>
    <w:rsid w:val="21FE2C60"/>
    <w:rsid w:val="2230171F"/>
    <w:rsid w:val="226F6F81"/>
    <w:rsid w:val="22E9024C"/>
    <w:rsid w:val="244D7F86"/>
    <w:rsid w:val="24C3687B"/>
    <w:rsid w:val="25E92311"/>
    <w:rsid w:val="2677074C"/>
    <w:rsid w:val="270627E5"/>
    <w:rsid w:val="273C1350"/>
    <w:rsid w:val="276E53A4"/>
    <w:rsid w:val="27856069"/>
    <w:rsid w:val="29192A8A"/>
    <w:rsid w:val="29240E10"/>
    <w:rsid w:val="292D6084"/>
    <w:rsid w:val="297C16ED"/>
    <w:rsid w:val="29826D04"/>
    <w:rsid w:val="29FA2D3E"/>
    <w:rsid w:val="2A4B359A"/>
    <w:rsid w:val="2A612DBE"/>
    <w:rsid w:val="2AB10A39"/>
    <w:rsid w:val="2AF57A1F"/>
    <w:rsid w:val="2B3564E7"/>
    <w:rsid w:val="2B8D72B8"/>
    <w:rsid w:val="2DF06932"/>
    <w:rsid w:val="2E34487D"/>
    <w:rsid w:val="2E843437"/>
    <w:rsid w:val="2E9C2118"/>
    <w:rsid w:val="308570DA"/>
    <w:rsid w:val="31834A37"/>
    <w:rsid w:val="32D24852"/>
    <w:rsid w:val="32E4458C"/>
    <w:rsid w:val="331C5AD4"/>
    <w:rsid w:val="338B0CB3"/>
    <w:rsid w:val="34ED51B0"/>
    <w:rsid w:val="35ED3757"/>
    <w:rsid w:val="371B42F4"/>
    <w:rsid w:val="38A42675"/>
    <w:rsid w:val="39EB6200"/>
    <w:rsid w:val="3A1F08B8"/>
    <w:rsid w:val="3A966B3D"/>
    <w:rsid w:val="3AAF547F"/>
    <w:rsid w:val="3B1F54E9"/>
    <w:rsid w:val="3BDD09B9"/>
    <w:rsid w:val="3D0E6912"/>
    <w:rsid w:val="3DA60DBB"/>
    <w:rsid w:val="3DD1722C"/>
    <w:rsid w:val="3DF15D4D"/>
    <w:rsid w:val="3F201D3F"/>
    <w:rsid w:val="3F6104C3"/>
    <w:rsid w:val="3F9115F7"/>
    <w:rsid w:val="4039660E"/>
    <w:rsid w:val="4050500F"/>
    <w:rsid w:val="409279BE"/>
    <w:rsid w:val="410E6A32"/>
    <w:rsid w:val="41874A60"/>
    <w:rsid w:val="42091919"/>
    <w:rsid w:val="42437AC2"/>
    <w:rsid w:val="42AE4EBA"/>
    <w:rsid w:val="43CD6303"/>
    <w:rsid w:val="444043A0"/>
    <w:rsid w:val="45795917"/>
    <w:rsid w:val="46DE61F7"/>
    <w:rsid w:val="47376F28"/>
    <w:rsid w:val="48A04659"/>
    <w:rsid w:val="49965848"/>
    <w:rsid w:val="4A8B58C4"/>
    <w:rsid w:val="4AEB61E4"/>
    <w:rsid w:val="4BA72C4C"/>
    <w:rsid w:val="4D0F29B4"/>
    <w:rsid w:val="4D624012"/>
    <w:rsid w:val="4E481A1B"/>
    <w:rsid w:val="4F645B70"/>
    <w:rsid w:val="506568B4"/>
    <w:rsid w:val="51AB3D3B"/>
    <w:rsid w:val="52BB04BB"/>
    <w:rsid w:val="52CF4760"/>
    <w:rsid w:val="539354E6"/>
    <w:rsid w:val="53A616BE"/>
    <w:rsid w:val="53CE37AD"/>
    <w:rsid w:val="541B7F5F"/>
    <w:rsid w:val="54A87049"/>
    <w:rsid w:val="55102B67"/>
    <w:rsid w:val="553E3924"/>
    <w:rsid w:val="57A82053"/>
    <w:rsid w:val="5A631A81"/>
    <w:rsid w:val="5BB606DB"/>
    <w:rsid w:val="5C724FDF"/>
    <w:rsid w:val="5CAC2EA5"/>
    <w:rsid w:val="5EA04F5B"/>
    <w:rsid w:val="5EAD1265"/>
    <w:rsid w:val="5F24793A"/>
    <w:rsid w:val="603B13E0"/>
    <w:rsid w:val="61CE4C4E"/>
    <w:rsid w:val="62C74B48"/>
    <w:rsid w:val="63F42489"/>
    <w:rsid w:val="64FA04E8"/>
    <w:rsid w:val="65C40B5A"/>
    <w:rsid w:val="65D35C16"/>
    <w:rsid w:val="682B1129"/>
    <w:rsid w:val="6A1A02B8"/>
    <w:rsid w:val="6A514D30"/>
    <w:rsid w:val="6A57276D"/>
    <w:rsid w:val="6AFA59F3"/>
    <w:rsid w:val="6B2D401B"/>
    <w:rsid w:val="6B457399"/>
    <w:rsid w:val="6BB07AD6"/>
    <w:rsid w:val="6BFD3031"/>
    <w:rsid w:val="6C360CAD"/>
    <w:rsid w:val="6D3671B7"/>
    <w:rsid w:val="6E856472"/>
    <w:rsid w:val="6EFE2975"/>
    <w:rsid w:val="70ED2282"/>
    <w:rsid w:val="719C7699"/>
    <w:rsid w:val="726A30B5"/>
    <w:rsid w:val="72E2393D"/>
    <w:rsid w:val="73057E05"/>
    <w:rsid w:val="735D4177"/>
    <w:rsid w:val="74472FBD"/>
    <w:rsid w:val="74743DBF"/>
    <w:rsid w:val="7478018D"/>
    <w:rsid w:val="74956EB9"/>
    <w:rsid w:val="751D0CB9"/>
    <w:rsid w:val="7682370F"/>
    <w:rsid w:val="774B2230"/>
    <w:rsid w:val="777955C2"/>
    <w:rsid w:val="778B3E9C"/>
    <w:rsid w:val="77B33C85"/>
    <w:rsid w:val="7959691A"/>
    <w:rsid w:val="79B871A5"/>
    <w:rsid w:val="79BD2A0E"/>
    <w:rsid w:val="79CD2453"/>
    <w:rsid w:val="7B58479C"/>
    <w:rsid w:val="7C0106C9"/>
    <w:rsid w:val="7C184379"/>
    <w:rsid w:val="7C32323F"/>
    <w:rsid w:val="7C6102CA"/>
    <w:rsid w:val="7CE16A13"/>
    <w:rsid w:val="7CE65A86"/>
    <w:rsid w:val="7CF9504E"/>
    <w:rsid w:val="7D555DEC"/>
    <w:rsid w:val="7D6F60E6"/>
    <w:rsid w:val="7D817AAD"/>
    <w:rsid w:val="7D8F76E8"/>
    <w:rsid w:val="7E2549BD"/>
    <w:rsid w:val="7E45629C"/>
    <w:rsid w:val="7E843AFA"/>
    <w:rsid w:val="7E957AB5"/>
    <w:rsid w:val="7F421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2"/>
    <w:qFormat/>
    <w:uiPriority w:val="0"/>
    <w:pPr>
      <w:keepNext/>
      <w:keepLines/>
      <w:spacing w:before="340" w:beforeLines="0" w:after="330" w:afterLines="0" w:line="578" w:lineRule="auto"/>
      <w:outlineLvl w:val="0"/>
    </w:pPr>
    <w:rPr>
      <w:rFonts w:eastAsia="楷体_GB2312"/>
      <w:b/>
      <w:kern w:val="44"/>
      <w:sz w:val="72"/>
    </w:rPr>
  </w:style>
  <w:style w:type="paragraph" w:styleId="5">
    <w:name w:val="heading 2"/>
    <w:basedOn w:val="1"/>
    <w:next w:val="1"/>
    <w:qFormat/>
    <w:uiPriority w:val="0"/>
    <w:pPr>
      <w:keepNext/>
      <w:keepLines/>
      <w:spacing w:before="20" w:beforeLines="0" w:after="20" w:afterLines="0" w:line="500" w:lineRule="exact"/>
      <w:outlineLvl w:val="1"/>
    </w:pPr>
    <w:rPr>
      <w:rFonts w:ascii="宋体" w:hAnsi="宋体"/>
      <w:b/>
      <w:sz w:val="28"/>
    </w:rPr>
  </w:style>
  <w:style w:type="paragraph" w:styleId="6">
    <w:name w:val="heading 3"/>
    <w:basedOn w:val="1"/>
    <w:next w:val="1"/>
    <w:qFormat/>
    <w:uiPriority w:val="0"/>
    <w:pPr>
      <w:keepNext/>
      <w:keepLines/>
      <w:spacing w:before="260" w:beforeLines="0" w:after="260" w:afterLines="0" w:line="400" w:lineRule="exact"/>
      <w:outlineLvl w:val="2"/>
    </w:pPr>
    <w:rPr>
      <w:rFonts w:ascii="宋体" w:hAnsi="宋体"/>
      <w:b/>
      <w:sz w:val="24"/>
    </w:rPr>
  </w:style>
  <w:style w:type="paragraph" w:styleId="7">
    <w:name w:val="heading 4"/>
    <w:basedOn w:val="1"/>
    <w:next w:val="8"/>
    <w:qFormat/>
    <w:uiPriority w:val="0"/>
    <w:pPr>
      <w:keepNext/>
      <w:spacing w:line="480" w:lineRule="atLeast"/>
      <w:jc w:val="left"/>
      <w:outlineLvl w:val="3"/>
    </w:pPr>
    <w:rPr>
      <w:rFonts w:ascii="楷体_GB2312" w:eastAsia="楷体_GB2312"/>
      <w:sz w:val="30"/>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0"/>
        <w:tab w:val="left" w:pos="993"/>
        <w:tab w:val="left" w:pos="1134"/>
      </w:tabs>
      <w:ind w:firstLine="420" w:firstLineChars="200"/>
    </w:pPr>
  </w:style>
  <w:style w:type="paragraph" w:styleId="3">
    <w:name w:val="Body Text Indent"/>
    <w:basedOn w:val="1"/>
    <w:next w:val="2"/>
    <w:qFormat/>
    <w:uiPriority w:val="0"/>
    <w:pPr>
      <w:ind w:firstLine="700" w:firstLineChars="250"/>
    </w:pPr>
    <w:rPr>
      <w:rFonts w:ascii="楷体_GB2312" w:hAnsi="宋体" w:eastAsia="楷体_GB2312"/>
      <w:sz w:val="28"/>
    </w:rPr>
  </w:style>
  <w:style w:type="paragraph" w:styleId="8">
    <w:name w:val="Normal Indent"/>
    <w:basedOn w:val="1"/>
    <w:next w:val="1"/>
    <w:qFormat/>
    <w:uiPriority w:val="0"/>
    <w:pPr>
      <w:ind w:firstLine="420"/>
    </w:pPr>
  </w:style>
  <w:style w:type="paragraph" w:styleId="9">
    <w:name w:val="index 8"/>
    <w:basedOn w:val="1"/>
    <w:next w:val="1"/>
    <w:qFormat/>
    <w:uiPriority w:val="0"/>
    <w:pPr>
      <w:spacing w:line="276" w:lineRule="auto"/>
      <w:jc w:val="left"/>
    </w:pPr>
    <w:rPr>
      <w:rFonts w:ascii="宋体" w:hAnsi="宋体"/>
      <w:color w:val="FF0000"/>
      <w:szCs w:val="21"/>
    </w:rPr>
  </w:style>
  <w:style w:type="paragraph" w:styleId="10">
    <w:name w:val="List Bullet"/>
    <w:basedOn w:val="1"/>
    <w:next w:val="11"/>
    <w:qFormat/>
    <w:uiPriority w:val="0"/>
    <w:pPr>
      <w:numPr>
        <w:ilvl w:val="0"/>
        <w:numId w:val="1"/>
      </w:numPr>
    </w:pPr>
  </w:style>
  <w:style w:type="paragraph" w:styleId="11">
    <w:name w:val="Normal (Web)"/>
    <w:basedOn w:val="1"/>
    <w:qFormat/>
    <w:uiPriority w:val="99"/>
    <w:pPr>
      <w:widowControl/>
      <w:spacing w:before="100" w:beforeLines="0" w:beforeAutospacing="1" w:after="100" w:afterLines="0" w:afterAutospacing="1"/>
      <w:jc w:val="left"/>
    </w:pPr>
    <w:rPr>
      <w:rFonts w:ascii="宋体" w:hAnsi="宋体" w:cs="宋体"/>
      <w:kern w:val="0"/>
      <w:sz w:val="24"/>
      <w:szCs w:val="24"/>
    </w:rPr>
  </w:style>
  <w:style w:type="paragraph" w:styleId="12">
    <w:name w:val="toa heading"/>
    <w:basedOn w:val="1"/>
    <w:next w:val="1"/>
    <w:qFormat/>
    <w:uiPriority w:val="0"/>
    <w:pPr>
      <w:spacing w:before="120"/>
    </w:pPr>
    <w:rPr>
      <w:rFonts w:ascii="Arial" w:hAnsi="Arial" w:cs="Arial"/>
      <w:sz w:val="24"/>
      <w:szCs w:val="24"/>
    </w:rPr>
  </w:style>
  <w:style w:type="paragraph" w:styleId="13">
    <w:name w:val="annotation text"/>
    <w:basedOn w:val="1"/>
    <w:qFormat/>
    <w:uiPriority w:val="0"/>
    <w:pPr>
      <w:jc w:val="left"/>
    </w:pPr>
  </w:style>
  <w:style w:type="paragraph" w:styleId="14">
    <w:name w:val="Body Text"/>
    <w:basedOn w:val="1"/>
    <w:qFormat/>
    <w:uiPriority w:val="0"/>
    <w:pPr>
      <w:spacing w:line="480" w:lineRule="atLeast"/>
    </w:pPr>
    <w:rPr>
      <w:rFonts w:ascii="楷体_GB2312" w:eastAsia="楷体_GB2312"/>
      <w:b/>
      <w:sz w:val="30"/>
    </w:rPr>
  </w:style>
  <w:style w:type="paragraph" w:styleId="15">
    <w:name w:val="List 2"/>
    <w:basedOn w:val="1"/>
    <w:next w:val="16"/>
    <w:qFormat/>
    <w:uiPriority w:val="0"/>
    <w:pPr>
      <w:ind w:left="100" w:leftChars="200" w:hanging="200" w:hangingChars="200"/>
    </w:pPr>
  </w:style>
  <w:style w:type="paragraph" w:styleId="16">
    <w:name w:val="Plain Text"/>
    <w:basedOn w:val="1"/>
    <w:qFormat/>
    <w:uiPriority w:val="0"/>
    <w:rPr>
      <w:rFonts w:ascii="宋体" w:hAnsi="Courier New"/>
    </w:rPr>
  </w:style>
  <w:style w:type="paragraph" w:styleId="17">
    <w:name w:val="toc 3"/>
    <w:basedOn w:val="1"/>
    <w:next w:val="1"/>
    <w:qFormat/>
    <w:uiPriority w:val="39"/>
    <w:pPr>
      <w:tabs>
        <w:tab w:val="right" w:leader="dot" w:pos="9345"/>
        <w:tab w:val="right" w:leader="dot" w:pos="9450"/>
      </w:tabs>
      <w:spacing w:line="360" w:lineRule="auto"/>
      <w:ind w:left="525"/>
      <w:jc w:val="left"/>
    </w:pPr>
    <w:rPr>
      <w:i/>
      <w:iCs/>
      <w:szCs w:val="24"/>
    </w:rPr>
  </w:style>
  <w:style w:type="paragraph" w:styleId="18">
    <w:name w:val="Date"/>
    <w:basedOn w:val="1"/>
    <w:next w:val="1"/>
    <w:qFormat/>
    <w:uiPriority w:val="0"/>
    <w:pPr>
      <w:autoSpaceDE w:val="0"/>
      <w:autoSpaceDN w:val="0"/>
      <w:adjustRightInd w:val="0"/>
      <w:spacing w:line="312" w:lineRule="atLeast"/>
      <w:textAlignment w:val="baseline"/>
    </w:pPr>
    <w:rPr>
      <w:kern w:val="0"/>
      <w:sz w:val="32"/>
    </w:rPr>
  </w:style>
  <w:style w:type="paragraph" w:styleId="19">
    <w:name w:val="Body Text Indent 2"/>
    <w:basedOn w:val="1"/>
    <w:qFormat/>
    <w:uiPriority w:val="0"/>
    <w:pPr>
      <w:spacing w:line="360" w:lineRule="auto"/>
      <w:ind w:firstLine="555"/>
    </w:pPr>
    <w:rPr>
      <w:rFonts w:ascii="仿宋_GB2312" w:eastAsia="仿宋_GB2312"/>
      <w:sz w:val="28"/>
    </w:rPr>
  </w:style>
  <w:style w:type="paragraph" w:styleId="20">
    <w:name w:val="footer"/>
    <w:basedOn w:val="1"/>
    <w:qFormat/>
    <w:uiPriority w:val="99"/>
    <w:pPr>
      <w:tabs>
        <w:tab w:val="center" w:pos="4153"/>
        <w:tab w:val="right" w:pos="8306"/>
      </w:tabs>
      <w:snapToGrid w:val="0"/>
      <w:jc w:val="left"/>
    </w:pPr>
    <w:rPr>
      <w:sz w:val="18"/>
    </w:rPr>
  </w:style>
  <w:style w:type="paragraph" w:styleId="21">
    <w:name w:val="envelope return"/>
    <w:basedOn w:val="1"/>
    <w:qFormat/>
    <w:uiPriority w:val="99"/>
    <w:pPr>
      <w:snapToGrid w:val="0"/>
    </w:pPr>
    <w:rPr>
      <w:rFonts w:ascii="Arial" w:hAnsi="Arial" w:cs="Arial"/>
    </w:rPr>
  </w:style>
  <w:style w:type="paragraph" w:styleId="22">
    <w:name w:val="header"/>
    <w:basedOn w:val="1"/>
    <w:qFormat/>
    <w:uiPriority w:val="0"/>
    <w:pPr>
      <w:pBdr>
        <w:bottom w:val="thinThickMediumGap" w:color="auto" w:sz="18"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9180"/>
      </w:tabs>
      <w:spacing w:after="120" w:afterLines="0" w:line="480" w:lineRule="auto"/>
      <w:jc w:val="center"/>
    </w:pPr>
    <w:rPr>
      <w:b/>
      <w:sz w:val="28"/>
      <w:szCs w:val="28"/>
    </w:rPr>
  </w:style>
  <w:style w:type="paragraph" w:styleId="24">
    <w:name w:val="Subtitle"/>
    <w:basedOn w:val="1"/>
    <w:next w:val="1"/>
    <w:qFormat/>
    <w:uiPriority w:val="11"/>
    <w:pPr>
      <w:wordWrap w:val="0"/>
      <w:spacing w:after="60"/>
      <w:ind w:left="1024" w:firstLine="18"/>
      <w:jc w:val="center"/>
    </w:pPr>
    <w:rPr>
      <w:rFonts w:ascii="Calibri" w:hAnsi="Calibri" w:eastAsia="宋体" w:cs="Times New Roman"/>
      <w:sz w:val="21"/>
      <w:szCs w:val="22"/>
      <w:lang w:val="en-US" w:eastAsia="zh-CN" w:bidi="ar-SA"/>
    </w:rPr>
  </w:style>
  <w:style w:type="paragraph" w:styleId="25">
    <w:name w:val="List"/>
    <w:basedOn w:val="1"/>
    <w:next w:val="26"/>
    <w:qFormat/>
    <w:uiPriority w:val="0"/>
    <w:pPr>
      <w:keepNext w:val="0"/>
      <w:keepLines w:val="0"/>
      <w:widowControl w:val="0"/>
      <w:suppressLineNumbers w:val="0"/>
      <w:spacing w:before="0" w:beforeAutospacing="0" w:after="0" w:afterAutospacing="0"/>
      <w:ind w:left="200" w:right="0" w:hanging="200" w:hangingChars="200"/>
      <w:contextualSpacing/>
      <w:jc w:val="both"/>
    </w:pPr>
    <w:rPr>
      <w:rFonts w:hint="default" w:ascii="Calibri" w:hAnsi="Calibri" w:eastAsia="宋体" w:cs="Times New Roman"/>
      <w:kern w:val="2"/>
      <w:sz w:val="21"/>
      <w:szCs w:val="24"/>
      <w:lang w:val="en-US" w:eastAsia="zh-CN" w:bidi="ar"/>
    </w:rPr>
  </w:style>
  <w:style w:type="paragraph" w:styleId="26">
    <w:name w:val="Body Text Indent 3"/>
    <w:basedOn w:val="1"/>
    <w:next w:val="10"/>
    <w:qFormat/>
    <w:uiPriority w:val="0"/>
    <w:pPr>
      <w:spacing w:after="120"/>
      <w:ind w:left="420" w:leftChars="200"/>
    </w:pPr>
    <w:rPr>
      <w:sz w:val="16"/>
      <w:szCs w:val="16"/>
    </w:rPr>
  </w:style>
  <w:style w:type="paragraph" w:styleId="27">
    <w:name w:val="footnote text"/>
    <w:basedOn w:val="1"/>
    <w:qFormat/>
    <w:uiPriority w:val="0"/>
    <w:pPr>
      <w:snapToGrid w:val="0"/>
      <w:jc w:val="left"/>
    </w:pPr>
    <w:rPr>
      <w:rFonts w:eastAsia="楷体_GB2312"/>
      <w:sz w:val="18"/>
      <w:szCs w:val="18"/>
    </w:rPr>
  </w:style>
  <w:style w:type="paragraph" w:styleId="28">
    <w:name w:val="toc 2"/>
    <w:basedOn w:val="1"/>
    <w:next w:val="1"/>
    <w:qFormat/>
    <w:uiPriority w:val="39"/>
    <w:pPr>
      <w:tabs>
        <w:tab w:val="right" w:leader="dot" w:pos="9180"/>
      </w:tabs>
      <w:spacing w:line="360" w:lineRule="auto"/>
      <w:ind w:left="210"/>
      <w:jc w:val="left"/>
    </w:pPr>
    <w:rPr>
      <w:smallCaps/>
      <w:szCs w:val="24"/>
    </w:rPr>
  </w:style>
  <w:style w:type="paragraph" w:styleId="29">
    <w:name w:val="Body Text First Indent"/>
    <w:basedOn w:val="14"/>
    <w:next w:val="1"/>
    <w:qFormat/>
    <w:uiPriority w:val="99"/>
    <w:pPr>
      <w:spacing w:after="120"/>
      <w:ind w:firstLine="420" w:firstLineChars="100"/>
    </w:p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Hyperlink"/>
    <w:basedOn w:val="32"/>
    <w:qFormat/>
    <w:uiPriority w:val="99"/>
    <w:rPr>
      <w:color w:val="000000"/>
      <w:sz w:val="18"/>
      <w:szCs w:val="18"/>
      <w:u w:val="none"/>
    </w:rPr>
  </w:style>
  <w:style w:type="character" w:styleId="35">
    <w:name w:val="HTML Sample"/>
    <w:basedOn w:val="32"/>
    <w:qFormat/>
    <w:uiPriority w:val="0"/>
    <w:rPr>
      <w:rFonts w:ascii="Courier New" w:hAnsi="Courier New"/>
    </w:rPr>
  </w:style>
  <w:style w:type="paragraph" w:customStyle="1" w:styleId="36">
    <w:name w:val="样式 正文首行缩进 2 + 首行缩进:  2 字符"/>
    <w:basedOn w:val="1"/>
    <w:qFormat/>
    <w:uiPriority w:val="0"/>
    <w:pPr>
      <w:spacing w:line="360" w:lineRule="auto"/>
      <w:ind w:firstLine="480" w:firstLineChars="200"/>
    </w:pPr>
    <w:rPr>
      <w:szCs w:val="21"/>
    </w:rPr>
  </w:style>
  <w:style w:type="paragraph" w:customStyle="1" w:styleId="37">
    <w:name w:val="BodyText"/>
    <w:basedOn w:val="1"/>
    <w:next w:val="38"/>
    <w:qFormat/>
    <w:uiPriority w:val="0"/>
    <w:pPr>
      <w:tabs>
        <w:tab w:val="left" w:pos="9214"/>
      </w:tabs>
      <w:spacing w:after="120" w:line="400" w:lineRule="atLeast"/>
      <w:ind w:right="-58" w:firstLine="600"/>
      <w:textAlignment w:val="bottom"/>
    </w:pPr>
    <w:rPr>
      <w:rFonts w:ascii="宋体"/>
      <w:kern w:val="0"/>
      <w:sz w:val="24"/>
      <w:szCs w:val="20"/>
    </w:rPr>
  </w:style>
  <w:style w:type="paragraph" w:customStyle="1" w:styleId="38">
    <w:name w:val="UserStyle_0"/>
    <w:next w:val="1"/>
    <w:qFormat/>
    <w:uiPriority w:val="0"/>
    <w:pPr>
      <w:textAlignment w:val="baseline"/>
    </w:pPr>
    <w:rPr>
      <w:rFonts w:ascii="Times New Roman" w:hAnsi="Times New Roman" w:eastAsia="宋体" w:cs="Times New Roman"/>
      <w:sz w:val="32"/>
      <w:szCs w:val="22"/>
      <w:lang w:val="en-US" w:eastAsia="zh-CN" w:bidi="ar-SA"/>
    </w:rPr>
  </w:style>
  <w:style w:type="paragraph" w:customStyle="1" w:styleId="39">
    <w:name w:val="目录 53"/>
    <w:basedOn w:val="1"/>
    <w:next w:val="1"/>
    <w:qFormat/>
    <w:uiPriority w:val="0"/>
    <w:pPr>
      <w:ind w:left="840"/>
    </w:pPr>
    <w:rPr>
      <w:sz w:val="18"/>
    </w:rPr>
  </w:style>
  <w:style w:type="paragraph" w:customStyle="1" w:styleId="40">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2">
    <w:name w:val="Table Paragraph"/>
    <w:basedOn w:val="1"/>
    <w:qFormat/>
    <w:uiPriority w:val="1"/>
  </w:style>
  <w:style w:type="paragraph" w:customStyle="1" w:styleId="43">
    <w:name w:val="xl29"/>
    <w:basedOn w:val="1"/>
    <w:qFormat/>
    <w:uiPriority w:val="0"/>
    <w:pPr>
      <w:widowControl/>
      <w:spacing w:before="100" w:beforeLines="0" w:beforeAutospacing="1" w:after="100" w:afterLines="0" w:afterAutospacing="1"/>
      <w:jc w:val="center"/>
    </w:pPr>
    <w:rPr>
      <w:rFonts w:ascii="宋体" w:hAnsi="宋体"/>
      <w:kern w:val="0"/>
      <w:sz w:val="28"/>
      <w:szCs w:val="28"/>
    </w:rPr>
  </w:style>
  <w:style w:type="paragraph" w:customStyle="1" w:styleId="44">
    <w:name w:val="xl25"/>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45">
    <w:name w:val="表"/>
    <w:basedOn w:val="1"/>
    <w:qFormat/>
    <w:uiPriority w:val="0"/>
    <w:pPr>
      <w:spacing w:line="360" w:lineRule="auto"/>
    </w:pPr>
    <w:rPr>
      <w:rFonts w:ascii="宋体" w:hAnsi="宋体"/>
      <w:b/>
      <w:bCs/>
    </w:rPr>
  </w:style>
  <w:style w:type="paragraph" w:customStyle="1" w:styleId="46">
    <w:name w:val="样式 小四 段前: 5 磅 段后: 5 磅 首行缩进:  2 字符"/>
    <w:basedOn w:val="1"/>
    <w:qFormat/>
    <w:uiPriority w:val="0"/>
    <w:pPr>
      <w:spacing w:line="360" w:lineRule="auto"/>
    </w:pPr>
    <w:rPr>
      <w:rFonts w:ascii="宋体" w:hAnsi="宋体"/>
      <w:sz w:val="24"/>
      <w:szCs w:val="21"/>
    </w:rPr>
  </w:style>
  <w:style w:type="character" w:customStyle="1" w:styleId="47">
    <w:name w:val="p141"/>
    <w:qFormat/>
    <w:uiPriority w:val="0"/>
    <w:rPr>
      <w:sz w:val="21"/>
      <w:szCs w:val="21"/>
    </w:rPr>
  </w:style>
  <w:style w:type="paragraph" w:customStyle="1" w:styleId="48">
    <w:name w:val="页脚2"/>
    <w:basedOn w:val="1"/>
    <w:qFormat/>
    <w:uiPriority w:val="0"/>
    <w:pPr>
      <w:widowControl/>
      <w:pBdr>
        <w:top w:val="single" w:color="auto" w:sz="6" w:space="0"/>
      </w:pBdr>
      <w:jc w:val="right"/>
      <w:textAlignment w:val="center"/>
    </w:pPr>
    <w:rPr>
      <w:rFonts w:ascii="宋体" w:hAnsi="宋体"/>
      <w:kern w:val="0"/>
      <w:sz w:val="18"/>
      <w:szCs w:val="18"/>
    </w:rPr>
  </w:style>
  <w:style w:type="character" w:customStyle="1" w:styleId="49">
    <w:name w:val="font31"/>
    <w:basedOn w:val="32"/>
    <w:qFormat/>
    <w:uiPriority w:val="0"/>
    <w:rPr>
      <w:rFonts w:hint="eastAsia" w:ascii="宋体" w:hAnsi="宋体" w:eastAsia="宋体" w:cs="宋体"/>
      <w:b/>
      <w:bCs/>
      <w:color w:val="000000"/>
      <w:sz w:val="22"/>
      <w:szCs w:val="22"/>
      <w:u w:val="none"/>
    </w:rPr>
  </w:style>
  <w:style w:type="character" w:customStyle="1" w:styleId="50">
    <w:name w:val="font21"/>
    <w:basedOn w:val="32"/>
    <w:qFormat/>
    <w:uiPriority w:val="0"/>
    <w:rPr>
      <w:rFonts w:hint="eastAsia" w:ascii="宋体" w:hAnsi="宋体" w:eastAsia="宋体" w:cs="宋体"/>
      <w:color w:val="000000"/>
      <w:sz w:val="22"/>
      <w:szCs w:val="22"/>
      <w:u w:val="none"/>
    </w:rPr>
  </w:style>
  <w:style w:type="character" w:customStyle="1" w:styleId="51">
    <w:name w:val="font71"/>
    <w:basedOn w:val="32"/>
    <w:qFormat/>
    <w:uiPriority w:val="0"/>
    <w:rPr>
      <w:rFonts w:hint="default" w:ascii="Times New Roman" w:hAnsi="Times New Roman" w:cs="Times New Roman"/>
      <w:color w:val="000000"/>
      <w:sz w:val="22"/>
      <w:szCs w:val="22"/>
      <w:u w:val="none"/>
    </w:rPr>
  </w:style>
  <w:style w:type="character" w:customStyle="1" w:styleId="52">
    <w:name w:val="font51"/>
    <w:basedOn w:val="32"/>
    <w:qFormat/>
    <w:uiPriority w:val="0"/>
    <w:rPr>
      <w:rFonts w:hint="eastAsia" w:ascii="宋体" w:hAnsi="宋体" w:eastAsia="宋体" w:cs="宋体"/>
      <w:color w:val="000000"/>
      <w:sz w:val="18"/>
      <w:szCs w:val="18"/>
      <w:u w:val="none"/>
    </w:rPr>
  </w:style>
  <w:style w:type="character" w:customStyle="1" w:styleId="53">
    <w:name w:val="font41"/>
    <w:basedOn w:val="32"/>
    <w:qFormat/>
    <w:uiPriority w:val="0"/>
    <w:rPr>
      <w:rFonts w:hint="eastAsia" w:ascii="宋体" w:hAnsi="宋体" w:eastAsia="宋体" w:cs="宋体"/>
      <w:color w:val="000000"/>
      <w:sz w:val="20"/>
      <w:szCs w:val="20"/>
      <w:u w:val="none"/>
    </w:rPr>
  </w:style>
  <w:style w:type="character" w:customStyle="1" w:styleId="54">
    <w:name w:val="font61"/>
    <w:basedOn w:val="32"/>
    <w:qFormat/>
    <w:uiPriority w:val="0"/>
    <w:rPr>
      <w:rFonts w:hint="default" w:ascii="Times New Roman" w:hAnsi="Times New Roman" w:cs="Times New Roman"/>
      <w:color w:val="000000"/>
      <w:sz w:val="20"/>
      <w:szCs w:val="20"/>
      <w:u w:val="none"/>
    </w:rPr>
  </w:style>
  <w:style w:type="character" w:customStyle="1" w:styleId="55">
    <w:name w:val="font91"/>
    <w:basedOn w:val="32"/>
    <w:qFormat/>
    <w:uiPriority w:val="0"/>
    <w:rPr>
      <w:rFonts w:hint="eastAsia" w:ascii="宋体" w:hAnsi="宋体" w:eastAsia="宋体" w:cs="宋体"/>
      <w:b/>
      <w:bCs/>
      <w:color w:val="000000"/>
      <w:sz w:val="24"/>
      <w:szCs w:val="24"/>
      <w:u w:val="none"/>
    </w:rPr>
  </w:style>
  <w:style w:type="character" w:customStyle="1" w:styleId="56">
    <w:name w:val="font01"/>
    <w:basedOn w:val="32"/>
    <w:qFormat/>
    <w:uiPriority w:val="0"/>
    <w:rPr>
      <w:rFonts w:hint="eastAsia" w:ascii="宋体" w:hAnsi="宋体" w:eastAsia="宋体" w:cs="宋体"/>
      <w:color w:val="000000"/>
      <w:sz w:val="24"/>
      <w:szCs w:val="24"/>
      <w:u w:val="none"/>
    </w:rPr>
  </w:style>
  <w:style w:type="character" w:customStyle="1" w:styleId="57">
    <w:name w:val="font101"/>
    <w:basedOn w:val="32"/>
    <w:qFormat/>
    <w:uiPriority w:val="0"/>
    <w:rPr>
      <w:rFonts w:hint="eastAsia" w:ascii="宋体" w:hAnsi="宋体" w:eastAsia="宋体" w:cs="宋体"/>
      <w:b/>
      <w:bCs/>
      <w:color w:val="000000"/>
      <w:sz w:val="24"/>
      <w:szCs w:val="24"/>
      <w:u w:val="none"/>
    </w:rPr>
  </w:style>
  <w:style w:type="paragraph" w:customStyle="1" w:styleId="58">
    <w:name w:val="列出段落11"/>
    <w:basedOn w:val="1"/>
    <w:qFormat/>
    <w:uiPriority w:val="0"/>
    <w:pPr>
      <w:ind w:firstLine="420" w:firstLineChars="200"/>
    </w:pPr>
  </w:style>
  <w:style w:type="paragraph" w:customStyle="1" w:styleId="59">
    <w:name w:val="列出段落1"/>
    <w:basedOn w:val="1"/>
    <w:qFormat/>
    <w:uiPriority w:val="0"/>
    <w:pPr>
      <w:ind w:firstLine="420" w:firstLineChars="200"/>
    </w:pPr>
  </w:style>
  <w:style w:type="paragraph" w:styleId="60">
    <w:name w:val="List Paragraph"/>
    <w:basedOn w:val="1"/>
    <w:qFormat/>
    <w:uiPriority w:val="34"/>
    <w:pPr>
      <w:ind w:firstLine="420" w:firstLineChars="200"/>
    </w:pPr>
  </w:style>
  <w:style w:type="paragraph" w:customStyle="1" w:styleId="6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62">
    <w:name w:val="标题 1 Char"/>
    <w:link w:val="4"/>
    <w:qFormat/>
    <w:uiPriority w:val="0"/>
    <w:rPr>
      <w:rFonts w:eastAsia="楷体_GB2312"/>
      <w:b/>
      <w:kern w:val="44"/>
      <w:sz w:val="72"/>
    </w:rPr>
  </w:style>
  <w:style w:type="paragraph" w:customStyle="1" w:styleId="63">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6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纯文本1 New New New New New New New New"/>
    <w:basedOn w:val="1"/>
    <w:qFormat/>
    <w:uiPriority w:val="0"/>
    <w:pPr>
      <w:widowControl w:val="0"/>
      <w:suppressAutoHyphens/>
    </w:pPr>
    <w:rPr>
      <w:rFonts w:ascii="宋体"/>
      <w:kern w:val="2"/>
      <w:szCs w:val="20"/>
      <w:lang w:eastAsia="ar-SA"/>
    </w:rPr>
  </w:style>
  <w:style w:type="character" w:customStyle="1" w:styleId="67">
    <w:name w:val="标题 2 字符"/>
    <w:qFormat/>
    <w:uiPriority w:val="99"/>
    <w:rPr>
      <w:b/>
      <w:kern w:val="2"/>
      <w:sz w:val="24"/>
      <w:szCs w:val="24"/>
    </w:rPr>
  </w:style>
  <w:style w:type="paragraph" w:customStyle="1" w:styleId="68">
    <w:name w:val="Normal_8"/>
    <w:qFormat/>
    <w:uiPriority w:val="0"/>
    <w:pPr>
      <w:spacing w:before="120" w:after="240"/>
      <w:jc w:val="both"/>
    </w:pPr>
    <w:rPr>
      <w:rFonts w:ascii="Times New Roman" w:hAnsi="Times New Roman" w:eastAsia="宋体" w:cs="Times New Roman"/>
      <w:sz w:val="22"/>
      <w:szCs w:val="22"/>
      <w:lang w:val="ru-RU" w:eastAsia="en-US" w:bidi="ar-SA"/>
    </w:rPr>
  </w:style>
  <w:style w:type="paragraph" w:customStyle="1" w:styleId="69">
    <w:name w:val="Normal_0"/>
    <w:next w:val="2"/>
    <w:qFormat/>
    <w:uiPriority w:val="0"/>
    <w:rPr>
      <w:rFonts w:ascii="Times New Roman" w:hAnsi="Times New Roman" w:eastAsia="Times New Roman" w:cs="Times New Roman"/>
      <w:sz w:val="24"/>
      <w:szCs w:val="24"/>
      <w:lang w:bidi="ar-SA"/>
    </w:rPr>
  </w:style>
  <w:style w:type="paragraph" w:customStyle="1" w:styleId="70">
    <w:name w:val="Normal_3"/>
    <w:qFormat/>
    <w:uiPriority w:val="0"/>
    <w:rPr>
      <w:rFonts w:ascii="黑体" w:hAnsi="黑体" w:eastAsia="黑体" w:cs="Times New Roman"/>
      <w:b/>
      <w:sz w:val="32"/>
      <w:szCs w:val="24"/>
      <w:lang w:bidi="ar-SA"/>
    </w:rPr>
  </w:style>
  <w:style w:type="paragraph" w:customStyle="1" w:styleId="71">
    <w:name w:val="WPSOffice手动目录 1"/>
    <w:qFormat/>
    <w:uiPriority w:val="0"/>
    <w:pPr>
      <w:ind w:leftChars="0"/>
    </w:pPr>
    <w:rPr>
      <w:rFonts w:ascii="Times New Roman" w:hAnsi="Times New Roman" w:eastAsia="宋体" w:cs="Times New Roman"/>
      <w:sz w:val="20"/>
      <w:szCs w:val="20"/>
    </w:rPr>
  </w:style>
  <w:style w:type="paragraph" w:customStyle="1" w:styleId="72">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3">
    <w:name w:val="样式 样式 样式 左侧:  2 字符1 + 首行缩进:  2 字符1 + 首行缩进:  2 字符"/>
    <w:basedOn w:val="1"/>
    <w:qFormat/>
    <w:uiPriority w:val="0"/>
    <w:pPr>
      <w:widowControl/>
      <w:spacing w:before="60" w:after="120" w:line="440" w:lineRule="atLeast"/>
      <w:ind w:firstLine="480"/>
    </w:pPr>
    <w:rPr>
      <w:rFonts w:hint="eastAsia"/>
      <w:sz w:val="24"/>
      <w:szCs w:val="20"/>
    </w:rPr>
  </w:style>
  <w:style w:type="paragraph" w:customStyle="1" w:styleId="74">
    <w:name w:val="TOC2"/>
    <w:basedOn w:val="1"/>
    <w:next w:val="1"/>
    <w:qFormat/>
    <w:uiPriority w:val="0"/>
    <w:pPr>
      <w:spacing w:line="413" w:lineRule="auto"/>
      <w:ind w:left="240" w:leftChars="100" w:firstLineChars="0"/>
      <w:jc w:val="both"/>
      <w:textAlignment w:val="baseline"/>
    </w:pPr>
    <w:rPr>
      <w:rFonts w:ascii="Calibri" w:hAnsi="Calibri" w:eastAsia="仿宋"/>
      <w:kern w:val="2"/>
      <w:sz w:val="24"/>
      <w:szCs w:val="24"/>
      <w:lang w:val="en-US" w:eastAsia="zh-CN" w:bidi="ar-SA"/>
    </w:rPr>
  </w:style>
  <w:style w:type="paragraph" w:customStyle="1" w:styleId="75">
    <w:name w:val="正文缩进2格"/>
    <w:basedOn w:val="1"/>
    <w:qFormat/>
    <w:uiPriority w:val="0"/>
    <w:pPr>
      <w:spacing w:line="600" w:lineRule="exact"/>
      <w:ind w:firstLine="639" w:firstLineChars="206"/>
    </w:pPr>
    <w:rPr>
      <w:rFonts w:ascii="仿宋_GB2312" w:hAnsi="宋体" w:eastAsia="仿宋_GB2312" w:cs="Times New Roman"/>
      <w:sz w:val="31"/>
      <w:szCs w:val="28"/>
    </w:rPr>
  </w:style>
  <w:style w:type="paragraph" w:customStyle="1" w:styleId="76">
    <w:name w:val="样式3"/>
    <w:basedOn w:val="16"/>
    <w:qFormat/>
    <w:uiPriority w:val="0"/>
    <w:pPr>
      <w:spacing w:line="0" w:lineRule="atLeast"/>
      <w:outlineLvl w:val="0"/>
    </w:pPr>
    <w:rPr>
      <w:sz w:val="28"/>
    </w:rPr>
  </w:style>
  <w:style w:type="paragraph" w:customStyle="1" w:styleId="77">
    <w:name w:val="È±Ê¡ÎÄ±¾"/>
    <w:basedOn w:val="1"/>
    <w:qFormat/>
    <w:uiPriority w:val="0"/>
    <w:pPr>
      <w:widowControl/>
      <w:overflowPunct w:val="0"/>
      <w:autoSpaceDE w:val="0"/>
      <w:autoSpaceDN w:val="0"/>
      <w:adjustRightInd w:val="0"/>
      <w:jc w:val="left"/>
    </w:pPr>
    <w:rPr>
      <w:kern w:val="0"/>
      <w:sz w:val="24"/>
    </w:rPr>
  </w:style>
  <w:style w:type="paragraph" w:customStyle="1" w:styleId="78">
    <w:name w:val="正文文本_0"/>
    <w:basedOn w:val="79"/>
    <w:unhideWhenUsed/>
    <w:qFormat/>
    <w:uiPriority w:val="0"/>
    <w:pPr>
      <w:spacing w:after="120"/>
    </w:pPr>
    <w:rPr>
      <w:rFonts w:ascii="Times New Roman" w:hAnsi="Times New Roman" w:eastAsia="仿宋_GB2312"/>
      <w:sz w:val="28"/>
      <w:szCs w:val="24"/>
    </w:rPr>
  </w:style>
  <w:style w:type="paragraph" w:customStyle="1" w:styleId="79">
    <w:name w:val="正文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Table Text"/>
    <w:basedOn w:val="1"/>
    <w:autoRedefine/>
    <w:semiHidden/>
    <w:qFormat/>
    <w:uiPriority w:val="0"/>
    <w:rPr>
      <w:rFonts w:ascii="宋体" w:hAnsi="宋体" w:eastAsia="宋体" w:cs="宋体"/>
      <w:sz w:val="24"/>
      <w:szCs w:val="24"/>
      <w:lang w:val="en-US" w:eastAsia="en-US" w:bidi="ar-SA"/>
    </w:rPr>
  </w:style>
  <w:style w:type="table" w:customStyle="1" w:styleId="81">
    <w:name w:val="Table Normal"/>
    <w:autoRedefine/>
    <w:semiHidden/>
    <w:unhideWhenUsed/>
    <w:qFormat/>
    <w:uiPriority w:val="0"/>
    <w:tblPr>
      <w:tblCellMar>
        <w:top w:w="0" w:type="dxa"/>
        <w:left w:w="0" w:type="dxa"/>
        <w:bottom w:w="0" w:type="dxa"/>
        <w:right w:w="0" w:type="dxa"/>
      </w:tblCellMar>
    </w:tblPr>
  </w:style>
  <w:style w:type="paragraph" w:customStyle="1" w:styleId="82">
    <w:name w:val="正文文本首行缩进1"/>
    <w:basedOn w:val="14"/>
    <w:autoRedefine/>
    <w:qFormat/>
    <w:uiPriority w:val="0"/>
    <w:pPr>
      <w:ind w:firstLine="420" w:firstLineChars="100"/>
    </w:pPr>
    <w:rPr>
      <w:sz w:val="30"/>
    </w:rPr>
  </w:style>
  <w:style w:type="paragraph" w:customStyle="1" w:styleId="83">
    <w:name w:val="其他"/>
    <w:basedOn w:val="1"/>
    <w:qFormat/>
    <w:uiPriority w:val="0"/>
    <w:pPr>
      <w:widowControl w:val="0"/>
      <w:shd w:val="clear" w:color="auto" w:fill="FFFFFF"/>
    </w:pPr>
    <w:rPr>
      <w:rFonts w:ascii="新宋体" w:hAnsi="新宋体" w:eastAsia="新宋体" w:cs="新宋体"/>
      <w:sz w:val="30"/>
      <w:szCs w:val="30"/>
      <w:u w:val="none"/>
      <w:lang w:val="zh-CN" w:eastAsia="zh-CN" w:bidi="zh-CN"/>
    </w:rPr>
  </w:style>
  <w:style w:type="paragraph" w:customStyle="1" w:styleId="84">
    <w:name w:val="正文文本_1_0"/>
    <w:basedOn w:val="85"/>
    <w:qFormat/>
    <w:uiPriority w:val="0"/>
    <w:pPr>
      <w:spacing w:after="120"/>
    </w:pPr>
    <w:rPr>
      <w:rFonts w:ascii="Times New Roman" w:hAnsi="Times New Roman"/>
    </w:rPr>
  </w:style>
  <w:style w:type="paragraph" w:customStyle="1" w:styleId="85">
    <w:name w:val="正文_0_2_0"/>
    <w:semiHidden/>
    <w:qFormat/>
    <w:uiPriority w:val="0"/>
    <w:pPr>
      <w:widowControl w:val="0"/>
      <w:jc w:val="both"/>
    </w:pPr>
    <w:rPr>
      <w:rFonts w:ascii="Calibri" w:hAnsi="Calibri" w:eastAsia="宋体" w:cs="Times New Roman"/>
      <w:kern w:val="2"/>
      <w:sz w:val="21"/>
      <w:szCs w:val="24"/>
      <w:lang w:val="en-US" w:eastAsia="zh-CN" w:bidi="ar-SA"/>
    </w:rPr>
  </w:style>
  <w:style w:type="paragraph" w:customStyle="1" w:styleId="86">
    <w:name w:val="正文_2"/>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8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10094</Words>
  <Characters>10775</Characters>
  <Lines>0</Lines>
  <Paragraphs>0</Paragraphs>
  <TotalTime>66</TotalTime>
  <ScaleCrop>false</ScaleCrop>
  <LinksUpToDate>false</LinksUpToDate>
  <CharactersWithSpaces>10924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2023-02-21T08:19:00Z</dcterms:created>
  <dc:creator>Se7en</dc:creator>
  <cp:lastModifiedBy>Lenovo</cp:lastModifiedBy>
  <cp:lastPrinted>2024-11-21T03:28:00Z</cp:lastPrinted>
  <dcterms:modified xsi:type="dcterms:W3CDTF">2024-12-27T09:34:37Z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27FE401A649A4A07A45EA4593C63EB70_13</vt:lpwstr>
  </property>
</Properties>
</file>