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61BA1D">
      <w:pPr>
        <w:snapToGrid w:val="0"/>
        <w:spacing w:line="360" w:lineRule="auto"/>
        <w:jc w:val="center"/>
        <w:outlineLvl w:val="9"/>
        <w:rPr>
          <w:rFonts w:hint="eastAsia" w:ascii="仿宋" w:hAnsi="仿宋" w:eastAsia="仿宋" w:cs="仿宋"/>
          <w:b/>
          <w:color w:val="auto"/>
          <w:sz w:val="36"/>
          <w:szCs w:val="36"/>
          <w:highlight w:val="none"/>
          <w:lang w:eastAsia="zh-CN"/>
        </w:rPr>
      </w:pPr>
    </w:p>
    <w:p w14:paraId="4A51C2B2">
      <w:pPr>
        <w:snapToGrid w:val="0"/>
        <w:spacing w:line="360" w:lineRule="auto"/>
        <w:jc w:val="center"/>
        <w:outlineLvl w:val="9"/>
        <w:rPr>
          <w:rFonts w:hint="eastAsia" w:ascii="仿宋" w:hAnsi="仿宋" w:eastAsia="仿宋" w:cs="仿宋"/>
          <w:b/>
          <w:color w:val="auto"/>
          <w:sz w:val="36"/>
          <w:szCs w:val="36"/>
          <w:highlight w:val="none"/>
          <w:lang w:eastAsia="zh-CN"/>
        </w:rPr>
      </w:pPr>
    </w:p>
    <w:p w14:paraId="68C9B8CC">
      <w:pPr>
        <w:snapToGrid w:val="0"/>
        <w:spacing w:line="360" w:lineRule="auto"/>
        <w:jc w:val="center"/>
        <w:outlineLvl w:val="9"/>
        <w:rPr>
          <w:rFonts w:hint="eastAsia" w:ascii="仿宋" w:hAnsi="仿宋" w:eastAsia="仿宋" w:cs="仿宋"/>
          <w:b/>
          <w:color w:val="auto"/>
          <w:sz w:val="72"/>
          <w:szCs w:val="72"/>
          <w:highlight w:val="none"/>
          <w:lang w:eastAsia="zh-CN"/>
        </w:rPr>
      </w:pPr>
      <w:r>
        <w:rPr>
          <w:rFonts w:hint="eastAsia" w:ascii="仿宋" w:hAnsi="仿宋" w:eastAsia="仿宋" w:cs="仿宋"/>
          <w:b/>
          <w:color w:val="auto"/>
          <w:sz w:val="36"/>
          <w:szCs w:val="36"/>
          <w:highlight w:val="none"/>
          <w:lang w:eastAsia="zh-CN"/>
        </w:rPr>
        <w:t>2025年第三十七幼儿园设施设备采购-二标段</w:t>
      </w:r>
    </w:p>
    <w:p w14:paraId="4C21D4D1">
      <w:pPr>
        <w:jc w:val="center"/>
        <w:outlineLvl w:val="9"/>
        <w:rPr>
          <w:rFonts w:hint="eastAsia" w:ascii="仿宋" w:hAnsi="仿宋" w:eastAsia="仿宋" w:cs="仿宋"/>
          <w:b/>
          <w:bCs/>
          <w:color w:val="auto"/>
          <w:sz w:val="32"/>
          <w:szCs w:val="32"/>
          <w:highlight w:val="none"/>
        </w:rPr>
      </w:pPr>
    </w:p>
    <w:p w14:paraId="4BD1266F">
      <w:pPr>
        <w:jc w:val="center"/>
        <w:outlineLvl w:val="9"/>
        <w:rPr>
          <w:rFonts w:hint="eastAsia" w:ascii="仿宋" w:hAnsi="仿宋" w:eastAsia="仿宋" w:cs="仿宋"/>
          <w:b/>
          <w:bCs/>
          <w:color w:val="auto"/>
          <w:sz w:val="32"/>
          <w:szCs w:val="32"/>
          <w:highlight w:val="none"/>
        </w:rPr>
      </w:pPr>
    </w:p>
    <w:p w14:paraId="10F17595">
      <w:pPr>
        <w:jc w:val="center"/>
        <w:outlineLvl w:val="9"/>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rPr>
        <w:t>项目编号：</w:t>
      </w:r>
      <w:r>
        <w:rPr>
          <w:rFonts w:hint="eastAsia" w:ascii="仿宋" w:hAnsi="仿宋" w:eastAsia="仿宋" w:cs="仿宋"/>
          <w:b/>
          <w:bCs/>
          <w:color w:val="auto"/>
          <w:sz w:val="32"/>
          <w:szCs w:val="32"/>
          <w:highlight w:val="none"/>
          <w:lang w:eastAsia="zh-CN"/>
        </w:rPr>
        <w:t>XJYS(ZFCG)2025-002</w:t>
      </w:r>
    </w:p>
    <w:p w14:paraId="63C025EF">
      <w:pPr>
        <w:snapToGrid w:val="0"/>
        <w:spacing w:line="360" w:lineRule="auto"/>
        <w:jc w:val="center"/>
        <w:outlineLvl w:val="9"/>
        <w:rPr>
          <w:rFonts w:hint="eastAsia" w:ascii="仿宋" w:hAnsi="仿宋" w:eastAsia="仿宋" w:cs="仿宋"/>
          <w:b/>
          <w:color w:val="auto"/>
          <w:sz w:val="48"/>
          <w:szCs w:val="48"/>
          <w:highlight w:val="none"/>
        </w:rPr>
      </w:pPr>
    </w:p>
    <w:p w14:paraId="73091DBF">
      <w:pPr>
        <w:snapToGrid w:val="0"/>
        <w:spacing w:line="360" w:lineRule="auto"/>
        <w:jc w:val="center"/>
        <w:outlineLvl w:val="9"/>
        <w:rPr>
          <w:rFonts w:hint="eastAsia" w:ascii="仿宋" w:hAnsi="仿宋" w:eastAsia="仿宋" w:cs="仿宋"/>
          <w:b/>
          <w:color w:val="auto"/>
          <w:sz w:val="48"/>
          <w:szCs w:val="48"/>
          <w:highlight w:val="none"/>
        </w:rPr>
      </w:pPr>
    </w:p>
    <w:p w14:paraId="1C572AB2">
      <w:pPr>
        <w:pStyle w:val="8"/>
        <w:outlineLvl w:val="9"/>
        <w:rPr>
          <w:rFonts w:hint="eastAsia" w:ascii="仿宋" w:hAnsi="仿宋" w:eastAsia="仿宋" w:cs="仿宋"/>
          <w:b/>
          <w:color w:val="auto"/>
          <w:sz w:val="48"/>
          <w:szCs w:val="48"/>
          <w:highlight w:val="none"/>
        </w:rPr>
      </w:pPr>
    </w:p>
    <w:p w14:paraId="16B8C65B">
      <w:pPr>
        <w:pStyle w:val="8"/>
        <w:outlineLvl w:val="9"/>
        <w:rPr>
          <w:rFonts w:hint="eastAsia" w:ascii="仿宋" w:hAnsi="仿宋" w:eastAsia="仿宋" w:cs="仿宋"/>
          <w:b/>
          <w:color w:val="auto"/>
          <w:sz w:val="48"/>
          <w:szCs w:val="48"/>
          <w:highlight w:val="none"/>
        </w:rPr>
      </w:pPr>
    </w:p>
    <w:p w14:paraId="6AE865AE">
      <w:pPr>
        <w:snapToGrid w:val="0"/>
        <w:spacing w:line="360" w:lineRule="auto"/>
        <w:jc w:val="center"/>
        <w:outlineLvl w:val="9"/>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公开招标文件</w:t>
      </w:r>
    </w:p>
    <w:p w14:paraId="5DD3B582">
      <w:pPr>
        <w:snapToGrid w:val="0"/>
        <w:spacing w:line="360" w:lineRule="auto"/>
        <w:outlineLvl w:val="9"/>
        <w:rPr>
          <w:rFonts w:hint="eastAsia" w:ascii="仿宋" w:hAnsi="仿宋" w:eastAsia="仿宋" w:cs="仿宋"/>
          <w:b/>
          <w:color w:val="auto"/>
          <w:sz w:val="28"/>
          <w:szCs w:val="28"/>
          <w:highlight w:val="none"/>
        </w:rPr>
      </w:pPr>
    </w:p>
    <w:p w14:paraId="2066DDA1">
      <w:pPr>
        <w:pStyle w:val="8"/>
        <w:outlineLvl w:val="9"/>
        <w:rPr>
          <w:rFonts w:hint="eastAsia" w:ascii="仿宋" w:hAnsi="仿宋" w:eastAsia="仿宋" w:cs="仿宋"/>
          <w:color w:val="auto"/>
          <w:highlight w:val="none"/>
        </w:rPr>
      </w:pPr>
    </w:p>
    <w:p w14:paraId="37DAF1A8">
      <w:pPr>
        <w:pStyle w:val="8"/>
        <w:outlineLvl w:val="9"/>
        <w:rPr>
          <w:rFonts w:hint="eastAsia" w:ascii="仿宋" w:hAnsi="仿宋" w:eastAsia="仿宋" w:cs="仿宋"/>
          <w:color w:val="auto"/>
          <w:highlight w:val="none"/>
        </w:rPr>
      </w:pPr>
    </w:p>
    <w:p w14:paraId="5E0F023C">
      <w:pPr>
        <w:pStyle w:val="13"/>
        <w:outlineLvl w:val="9"/>
        <w:rPr>
          <w:rFonts w:hint="eastAsia" w:ascii="仿宋" w:hAnsi="仿宋" w:eastAsia="仿宋" w:cs="仿宋"/>
          <w:color w:val="auto"/>
          <w:highlight w:val="none"/>
        </w:rPr>
      </w:pPr>
    </w:p>
    <w:p w14:paraId="36442467">
      <w:pPr>
        <w:pStyle w:val="8"/>
        <w:outlineLvl w:val="9"/>
        <w:rPr>
          <w:rFonts w:hint="eastAsia" w:ascii="仿宋" w:hAnsi="仿宋" w:eastAsia="仿宋" w:cs="仿宋"/>
          <w:color w:val="auto"/>
          <w:highlight w:val="none"/>
        </w:rPr>
      </w:pPr>
    </w:p>
    <w:p w14:paraId="559ED397">
      <w:pPr>
        <w:outlineLvl w:val="9"/>
        <w:rPr>
          <w:rFonts w:hint="eastAsia" w:ascii="仿宋" w:hAnsi="仿宋" w:eastAsia="仿宋" w:cs="仿宋"/>
          <w:color w:val="auto"/>
          <w:highlight w:val="none"/>
        </w:rPr>
      </w:pPr>
    </w:p>
    <w:p w14:paraId="2186B028">
      <w:pPr>
        <w:ind w:firstLine="640" w:firstLineChars="200"/>
        <w:outlineLvl w:val="9"/>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采购单位：</w:t>
      </w:r>
      <w:r>
        <w:rPr>
          <w:rFonts w:hint="eastAsia" w:ascii="仿宋" w:hAnsi="仿宋" w:eastAsia="仿宋" w:cs="仿宋"/>
          <w:color w:val="auto"/>
          <w:sz w:val="32"/>
          <w:szCs w:val="32"/>
          <w:highlight w:val="none"/>
          <w:lang w:eastAsia="zh-CN"/>
        </w:rPr>
        <w:t>库尔勒市第二幼儿园</w:t>
      </w:r>
    </w:p>
    <w:p w14:paraId="03FCDF87">
      <w:pPr>
        <w:spacing w:beforeLines="50" w:afterLines="50"/>
        <w:ind w:firstLine="640" w:firstLineChars="200"/>
        <w:textAlignment w:val="baseline"/>
        <w:outlineLvl w:val="9"/>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color w:val="auto"/>
          <w:sz w:val="32"/>
          <w:szCs w:val="32"/>
          <w:highlight w:val="none"/>
          <w:lang w:eastAsia="zh-CN"/>
        </w:rPr>
        <w:t>新疆益双工程管理有限公司</w:t>
      </w:r>
    </w:p>
    <w:p w14:paraId="7F023B83">
      <w:pPr>
        <w:pStyle w:val="8"/>
        <w:outlineLvl w:val="9"/>
        <w:rPr>
          <w:rFonts w:hint="eastAsia" w:ascii="仿宋" w:hAnsi="仿宋" w:eastAsia="仿宋" w:cs="仿宋"/>
          <w:color w:val="auto"/>
          <w:highlight w:val="none"/>
        </w:rPr>
      </w:pPr>
    </w:p>
    <w:p w14:paraId="4F24C99A">
      <w:pPr>
        <w:jc w:val="center"/>
        <w:outlineLvl w:val="9"/>
        <w:rPr>
          <w:rFonts w:hint="eastAsia" w:ascii="仿宋" w:hAnsi="仿宋" w:eastAsia="仿宋" w:cs="仿宋"/>
          <w:b/>
          <w:bCs/>
          <w:color w:val="auto"/>
          <w:sz w:val="30"/>
          <w:szCs w:val="32"/>
          <w:highlight w:val="none"/>
          <w:lang w:eastAsia="zh-CN"/>
        </w:rPr>
      </w:pPr>
      <w:r>
        <w:rPr>
          <w:rFonts w:hint="eastAsia" w:ascii="仿宋" w:hAnsi="仿宋" w:eastAsia="仿宋" w:cs="仿宋"/>
          <w:b/>
          <w:bCs/>
          <w:color w:val="auto"/>
          <w:sz w:val="30"/>
          <w:szCs w:val="32"/>
          <w:highlight w:val="none"/>
          <w:lang w:eastAsia="zh-CN"/>
        </w:rPr>
        <w:t>202</w:t>
      </w:r>
      <w:r>
        <w:rPr>
          <w:rFonts w:hint="eastAsia" w:ascii="仿宋" w:hAnsi="仿宋" w:eastAsia="仿宋" w:cs="仿宋"/>
          <w:b/>
          <w:bCs/>
          <w:color w:val="auto"/>
          <w:sz w:val="30"/>
          <w:szCs w:val="32"/>
          <w:highlight w:val="none"/>
          <w:lang w:val="en-US" w:eastAsia="zh-CN"/>
        </w:rPr>
        <w:t>5</w:t>
      </w:r>
      <w:r>
        <w:rPr>
          <w:rFonts w:hint="eastAsia" w:ascii="仿宋" w:hAnsi="仿宋" w:eastAsia="仿宋" w:cs="仿宋"/>
          <w:b/>
          <w:bCs/>
          <w:color w:val="auto"/>
          <w:sz w:val="30"/>
          <w:szCs w:val="32"/>
          <w:highlight w:val="none"/>
          <w:lang w:eastAsia="zh-CN"/>
        </w:rPr>
        <w:t>年</w:t>
      </w:r>
      <w:r>
        <w:rPr>
          <w:rFonts w:hint="eastAsia" w:ascii="仿宋" w:hAnsi="仿宋" w:eastAsia="仿宋" w:cs="仿宋"/>
          <w:b/>
          <w:bCs/>
          <w:color w:val="auto"/>
          <w:sz w:val="30"/>
          <w:szCs w:val="32"/>
          <w:highlight w:val="none"/>
          <w:lang w:val="en-US" w:eastAsia="zh-CN"/>
        </w:rPr>
        <w:t>3</w:t>
      </w:r>
      <w:r>
        <w:rPr>
          <w:rFonts w:hint="eastAsia" w:ascii="仿宋" w:hAnsi="仿宋" w:eastAsia="仿宋" w:cs="仿宋"/>
          <w:b/>
          <w:bCs/>
          <w:color w:val="auto"/>
          <w:sz w:val="30"/>
          <w:szCs w:val="32"/>
          <w:highlight w:val="none"/>
          <w:lang w:eastAsia="zh-CN"/>
        </w:rPr>
        <w:t>月</w:t>
      </w:r>
    </w:p>
    <w:p w14:paraId="0B1F0752">
      <w:pPr>
        <w:kinsoku w:val="0"/>
        <w:autoSpaceDE w:val="0"/>
        <w:autoSpaceDN w:val="0"/>
        <w:spacing w:line="360" w:lineRule="auto"/>
        <w:ind w:firstLine="420"/>
        <w:jc w:val="center"/>
        <w:outlineLvl w:val="9"/>
        <w:rPr>
          <w:rFonts w:hint="eastAsia" w:ascii="仿宋" w:hAnsi="仿宋" w:eastAsia="仿宋" w:cs="仿宋"/>
          <w:b/>
          <w:color w:val="auto"/>
          <w:sz w:val="40"/>
          <w:szCs w:val="48"/>
          <w:highlight w:val="none"/>
          <w:lang w:eastAsia="zh-CN"/>
        </w:rPr>
        <w:sectPr>
          <w:pgSz w:w="11906" w:h="16838"/>
          <w:pgMar w:top="1418" w:right="1106" w:bottom="1418" w:left="1418" w:header="851" w:footer="992" w:gutter="0"/>
          <w:pgNumType w:fmt="decimal" w:start="1"/>
          <w:cols w:space="720" w:num="1"/>
          <w:docGrid w:type="lines" w:linePitch="312" w:charSpace="0"/>
        </w:sectPr>
      </w:pPr>
    </w:p>
    <w:p w14:paraId="243A474D">
      <w:pPr>
        <w:kinsoku w:val="0"/>
        <w:autoSpaceDE w:val="0"/>
        <w:autoSpaceDN w:val="0"/>
        <w:spacing w:line="360" w:lineRule="auto"/>
        <w:ind w:firstLine="420"/>
        <w:jc w:val="center"/>
        <w:outlineLvl w:val="9"/>
        <w:rPr>
          <w:rFonts w:hint="eastAsia" w:ascii="仿宋" w:hAnsi="仿宋" w:eastAsia="仿宋" w:cs="仿宋"/>
          <w:color w:val="auto"/>
          <w:sz w:val="40"/>
          <w:szCs w:val="48"/>
          <w:highlight w:val="none"/>
          <w:lang w:val="zh-CN"/>
        </w:rPr>
      </w:pPr>
      <w:r>
        <w:rPr>
          <w:rFonts w:hint="eastAsia" w:ascii="仿宋" w:hAnsi="仿宋" w:eastAsia="仿宋" w:cs="仿宋"/>
          <w:b/>
          <w:color w:val="auto"/>
          <w:sz w:val="40"/>
          <w:szCs w:val="48"/>
          <w:highlight w:val="none"/>
          <w:lang w:eastAsia="zh-CN"/>
        </w:rPr>
        <w:t>2025年第三十七幼儿园设施设备采购-二标段</w:t>
      </w:r>
    </w:p>
    <w:p w14:paraId="6B266636">
      <w:pPr>
        <w:kinsoku w:val="0"/>
        <w:spacing w:line="360" w:lineRule="auto"/>
        <w:outlineLvl w:val="9"/>
        <w:rPr>
          <w:rFonts w:hint="eastAsia" w:ascii="仿宋" w:hAnsi="仿宋" w:eastAsia="仿宋" w:cs="仿宋"/>
          <w:color w:val="auto"/>
          <w:sz w:val="28"/>
          <w:szCs w:val="21"/>
          <w:highlight w:val="none"/>
        </w:rPr>
      </w:pPr>
    </w:p>
    <w:p w14:paraId="52DB0025">
      <w:pPr>
        <w:kinsoku w:val="0"/>
        <w:spacing w:line="360" w:lineRule="auto"/>
        <w:ind w:left="2527" w:leftChars="266" w:hanging="1968" w:hangingChars="700"/>
        <w:outlineLvl w:val="9"/>
        <w:rPr>
          <w:rFonts w:hint="eastAsia" w:ascii="仿宋" w:hAnsi="仿宋" w:eastAsia="仿宋" w:cs="仿宋"/>
          <w:color w:val="auto"/>
          <w:highlight w:val="none"/>
          <w:lang w:eastAsia="zh-CN"/>
        </w:rPr>
      </w:pPr>
      <w:r>
        <w:rPr>
          <w:rFonts w:hint="eastAsia" w:ascii="仿宋" w:hAnsi="仿宋" w:eastAsia="仿宋" w:cs="仿宋"/>
          <w:b/>
          <w:color w:val="auto"/>
          <w:sz w:val="28"/>
          <w:szCs w:val="28"/>
          <w:highlight w:val="none"/>
        </w:rPr>
        <w:t xml:space="preserve">项目名称: </w:t>
      </w:r>
      <w:r>
        <w:rPr>
          <w:rFonts w:hint="eastAsia" w:ascii="仿宋" w:hAnsi="仿宋" w:eastAsia="仿宋" w:cs="仿宋"/>
          <w:b/>
          <w:color w:val="auto"/>
          <w:spacing w:val="-20"/>
          <w:sz w:val="28"/>
          <w:szCs w:val="28"/>
          <w:highlight w:val="none"/>
          <w:lang w:eastAsia="zh-CN"/>
        </w:rPr>
        <w:t>2025年第三十七幼儿园设施设备采购-二标段</w:t>
      </w:r>
    </w:p>
    <w:p w14:paraId="1C9BCAE0">
      <w:pPr>
        <w:kinsoku w:val="0"/>
        <w:spacing w:line="360" w:lineRule="auto"/>
        <w:ind w:firstLine="562" w:firstLineChars="200"/>
        <w:outlineLvl w:val="9"/>
        <w:rPr>
          <w:rFonts w:hint="eastAsia" w:ascii="仿宋" w:hAnsi="仿宋" w:eastAsia="仿宋" w:cs="仿宋"/>
          <w:b/>
          <w:color w:val="auto"/>
          <w:sz w:val="28"/>
          <w:szCs w:val="28"/>
          <w:highlight w:val="none"/>
        </w:rPr>
      </w:pPr>
    </w:p>
    <w:p w14:paraId="66CCDC40">
      <w:pPr>
        <w:kinsoku w:val="0"/>
        <w:spacing w:line="360" w:lineRule="auto"/>
        <w:ind w:firstLine="562" w:firstLineChars="200"/>
        <w:outlineLvl w:val="9"/>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建设规模：</w:t>
      </w:r>
      <w:r>
        <w:rPr>
          <w:rFonts w:hint="eastAsia" w:ascii="仿宋" w:hAnsi="仿宋" w:eastAsia="仿宋" w:cs="仿宋"/>
          <w:b/>
          <w:color w:val="auto"/>
          <w:sz w:val="28"/>
          <w:szCs w:val="28"/>
          <w:highlight w:val="none"/>
          <w:lang w:eastAsia="zh-CN"/>
        </w:rPr>
        <w:t>采购第三十七幼儿园办公设备、教学设备等一批（具体内容详见采购清单）</w:t>
      </w:r>
    </w:p>
    <w:p w14:paraId="0F418DD2">
      <w:pPr>
        <w:kinsoku w:val="0"/>
        <w:autoSpaceDE w:val="0"/>
        <w:autoSpaceDN w:val="0"/>
        <w:spacing w:line="360" w:lineRule="auto"/>
        <w:ind w:left="567" w:leftChars="270" w:firstLine="141" w:firstLineChars="50"/>
        <w:jc w:val="left"/>
        <w:outlineLvl w:val="9"/>
        <w:rPr>
          <w:rFonts w:hint="eastAsia" w:ascii="仿宋" w:hAnsi="仿宋" w:eastAsia="仿宋" w:cs="仿宋"/>
          <w:b/>
          <w:color w:val="auto"/>
          <w:sz w:val="28"/>
          <w:szCs w:val="28"/>
          <w:highlight w:val="none"/>
        </w:rPr>
      </w:pPr>
    </w:p>
    <w:p w14:paraId="0A048DAF">
      <w:pPr>
        <w:kinsoku w:val="0"/>
        <w:autoSpaceDE w:val="0"/>
        <w:autoSpaceDN w:val="0"/>
        <w:spacing w:line="360" w:lineRule="auto"/>
        <w:ind w:left="567" w:leftChars="270" w:firstLine="141" w:firstLineChars="50"/>
        <w:jc w:val="left"/>
        <w:outlineLvl w:val="9"/>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 xml:space="preserve">招标单 位: </w:t>
      </w:r>
      <w:r>
        <w:rPr>
          <w:rFonts w:hint="eastAsia" w:ascii="仿宋" w:hAnsi="仿宋" w:eastAsia="仿宋" w:cs="仿宋"/>
          <w:b/>
          <w:color w:val="auto"/>
          <w:sz w:val="28"/>
          <w:szCs w:val="28"/>
          <w:highlight w:val="none"/>
          <w:lang w:eastAsia="zh-CN"/>
        </w:rPr>
        <w:t>库尔勒市第二幼儿园</w:t>
      </w:r>
    </w:p>
    <w:p w14:paraId="42DFC622">
      <w:pPr>
        <w:kinsoku w:val="0"/>
        <w:autoSpaceDE w:val="0"/>
        <w:autoSpaceDN w:val="0"/>
        <w:spacing w:line="360" w:lineRule="auto"/>
        <w:ind w:left="567" w:leftChars="270" w:firstLine="141" w:firstLineChars="50"/>
        <w:jc w:val="left"/>
        <w:outlineLvl w:val="9"/>
        <w:rPr>
          <w:rFonts w:hint="eastAsia" w:ascii="仿宋" w:hAnsi="仿宋" w:eastAsia="仿宋" w:cs="仿宋"/>
          <w:color w:val="auto"/>
          <w:kern w:val="0"/>
          <w:sz w:val="28"/>
          <w:szCs w:val="21"/>
          <w:highlight w:val="none"/>
        </w:rPr>
      </w:pPr>
      <w:r>
        <w:rPr>
          <w:rFonts w:hint="eastAsia" w:ascii="仿宋" w:hAnsi="仿宋" w:eastAsia="仿宋" w:cs="仿宋"/>
          <w:b/>
          <w:color w:val="auto"/>
          <w:sz w:val="28"/>
          <w:szCs w:val="28"/>
          <w:highlight w:val="none"/>
        </w:rPr>
        <w:t>法定代表人（</w:t>
      </w:r>
      <w:r>
        <w:rPr>
          <w:rFonts w:hint="eastAsia" w:ascii="仿宋" w:hAnsi="仿宋" w:eastAsia="仿宋" w:cs="仿宋"/>
          <w:b/>
          <w:color w:val="auto"/>
          <w:sz w:val="28"/>
          <w:szCs w:val="28"/>
          <w:highlight w:val="none"/>
          <w:lang w:val="en-US" w:eastAsia="zh-CN"/>
        </w:rPr>
        <w:t>签字或盖章</w:t>
      </w:r>
      <w:r>
        <w:rPr>
          <w:rFonts w:hint="eastAsia" w:ascii="仿宋" w:hAnsi="仿宋" w:eastAsia="仿宋" w:cs="仿宋"/>
          <w:b/>
          <w:color w:val="auto"/>
          <w:sz w:val="28"/>
          <w:szCs w:val="28"/>
          <w:highlight w:val="none"/>
        </w:rPr>
        <w:t>）：</w:t>
      </w:r>
    </w:p>
    <w:p w14:paraId="7CF14A42">
      <w:pPr>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联    系    人：</w:t>
      </w:r>
      <w:r>
        <w:rPr>
          <w:rFonts w:hint="eastAsia" w:ascii="仿宋" w:hAnsi="仿宋" w:eastAsia="仿宋" w:cs="仿宋"/>
          <w:b/>
          <w:color w:val="auto"/>
          <w:sz w:val="28"/>
          <w:szCs w:val="28"/>
          <w:highlight w:val="none"/>
          <w:lang w:eastAsia="zh-CN"/>
        </w:rPr>
        <w:t>高慧慧 </w:t>
      </w:r>
    </w:p>
    <w:p w14:paraId="6D5033EC">
      <w:pPr>
        <w:kinsoku w:val="0"/>
        <w:spacing w:line="360" w:lineRule="auto"/>
        <w:ind w:left="567" w:leftChars="270" w:firstLine="141" w:firstLineChars="50"/>
        <w:jc w:val="left"/>
        <w:outlineLvl w:val="9"/>
        <w:rPr>
          <w:rFonts w:hint="eastAsia" w:ascii="仿宋" w:hAnsi="仿宋" w:eastAsia="仿宋" w:cs="仿宋"/>
          <w:color w:val="auto"/>
          <w:kern w:val="0"/>
          <w:sz w:val="28"/>
          <w:szCs w:val="21"/>
          <w:highlight w:val="none"/>
          <w:lang w:eastAsia="zh-CN"/>
        </w:rPr>
      </w:pPr>
      <w:r>
        <w:rPr>
          <w:rFonts w:hint="eastAsia" w:ascii="仿宋" w:hAnsi="仿宋" w:eastAsia="仿宋" w:cs="仿宋"/>
          <w:b/>
          <w:color w:val="auto"/>
          <w:sz w:val="28"/>
          <w:szCs w:val="28"/>
          <w:highlight w:val="none"/>
        </w:rPr>
        <w:t>联  系  电  话：</w:t>
      </w:r>
      <w:r>
        <w:rPr>
          <w:rFonts w:hint="eastAsia" w:ascii="仿宋" w:hAnsi="仿宋" w:eastAsia="仿宋" w:cs="仿宋"/>
          <w:b/>
          <w:color w:val="auto"/>
          <w:sz w:val="28"/>
          <w:szCs w:val="28"/>
          <w:highlight w:val="none"/>
          <w:lang w:eastAsia="zh-CN"/>
        </w:rPr>
        <w:t>19999197179</w:t>
      </w:r>
    </w:p>
    <w:p w14:paraId="3F72F4C2">
      <w:pPr>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rPr>
        <w:t>邮  政  编  码：841</w:t>
      </w:r>
      <w:r>
        <w:rPr>
          <w:rFonts w:hint="eastAsia" w:ascii="仿宋" w:hAnsi="仿宋" w:eastAsia="仿宋" w:cs="仿宋"/>
          <w:b/>
          <w:color w:val="auto"/>
          <w:sz w:val="28"/>
          <w:szCs w:val="28"/>
          <w:highlight w:val="none"/>
          <w:lang w:val="en-US" w:eastAsia="zh-CN"/>
        </w:rPr>
        <w:t>000</w:t>
      </w:r>
    </w:p>
    <w:p w14:paraId="3C4FCCA3">
      <w:pPr>
        <w:kinsoku w:val="0"/>
        <w:spacing w:line="360" w:lineRule="auto"/>
        <w:jc w:val="left"/>
        <w:outlineLvl w:val="9"/>
        <w:rPr>
          <w:rFonts w:hint="eastAsia" w:ascii="仿宋" w:hAnsi="仿宋" w:eastAsia="仿宋" w:cs="仿宋"/>
          <w:b/>
          <w:color w:val="auto"/>
          <w:sz w:val="28"/>
          <w:szCs w:val="28"/>
          <w:highlight w:val="none"/>
        </w:rPr>
      </w:pPr>
    </w:p>
    <w:p w14:paraId="605F473C">
      <w:pPr>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招标代理机构（公章）：</w:t>
      </w:r>
      <w:r>
        <w:rPr>
          <w:rFonts w:hint="eastAsia" w:ascii="仿宋" w:hAnsi="仿宋" w:eastAsia="仿宋" w:cs="仿宋"/>
          <w:b/>
          <w:color w:val="auto"/>
          <w:sz w:val="28"/>
          <w:szCs w:val="32"/>
          <w:highlight w:val="none"/>
          <w:lang w:eastAsia="zh-CN"/>
        </w:rPr>
        <w:t>新疆益双工程管理有限公司</w:t>
      </w:r>
    </w:p>
    <w:p w14:paraId="113B3B1E">
      <w:pPr>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法定代表人（</w:t>
      </w:r>
      <w:r>
        <w:rPr>
          <w:rFonts w:hint="eastAsia" w:ascii="仿宋" w:hAnsi="仿宋" w:eastAsia="仿宋" w:cs="仿宋"/>
          <w:b/>
          <w:color w:val="auto"/>
          <w:sz w:val="28"/>
          <w:szCs w:val="28"/>
          <w:highlight w:val="none"/>
          <w:lang w:val="en-US" w:eastAsia="zh-CN"/>
        </w:rPr>
        <w:t>签字或盖章</w:t>
      </w:r>
      <w:r>
        <w:rPr>
          <w:rFonts w:hint="eastAsia" w:ascii="仿宋" w:hAnsi="仿宋" w:eastAsia="仿宋" w:cs="仿宋"/>
          <w:b/>
          <w:color w:val="auto"/>
          <w:sz w:val="28"/>
          <w:szCs w:val="28"/>
          <w:highlight w:val="none"/>
        </w:rPr>
        <w:t>）：</w:t>
      </w:r>
    </w:p>
    <w:p w14:paraId="6CFD2DE0">
      <w:pPr>
        <w:tabs>
          <w:tab w:val="left" w:pos="3780"/>
        </w:tabs>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委 托 代 理 人：</w:t>
      </w:r>
      <w:r>
        <w:rPr>
          <w:rFonts w:hint="eastAsia" w:ascii="仿宋" w:hAnsi="仿宋" w:eastAsia="仿宋" w:cs="仿宋"/>
          <w:b/>
          <w:color w:val="auto"/>
          <w:sz w:val="28"/>
          <w:szCs w:val="28"/>
          <w:highlight w:val="none"/>
          <w:lang w:eastAsia="zh-CN"/>
        </w:rPr>
        <w:t>周先生</w:t>
      </w:r>
    </w:p>
    <w:p w14:paraId="77401F2B">
      <w:pPr>
        <w:tabs>
          <w:tab w:val="left" w:pos="3780"/>
        </w:tabs>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联  系  电  话：</w:t>
      </w:r>
      <w:r>
        <w:rPr>
          <w:rFonts w:hint="eastAsia" w:ascii="仿宋" w:hAnsi="仿宋" w:eastAsia="仿宋" w:cs="仿宋"/>
          <w:b/>
          <w:color w:val="auto"/>
          <w:sz w:val="28"/>
          <w:szCs w:val="28"/>
          <w:highlight w:val="none"/>
          <w:lang w:eastAsia="zh-CN"/>
        </w:rPr>
        <w:t>18699639766</w:t>
      </w:r>
    </w:p>
    <w:p w14:paraId="56B0FC15">
      <w:pPr>
        <w:kinsoku w:val="0"/>
        <w:spacing w:line="360" w:lineRule="auto"/>
        <w:ind w:left="567" w:leftChars="270" w:firstLine="141" w:firstLineChars="50"/>
        <w:jc w:val="left"/>
        <w:outlineLvl w:val="9"/>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rPr>
        <w:t>联  系  地  址：库尔勒市</w:t>
      </w:r>
      <w:r>
        <w:rPr>
          <w:rFonts w:hint="eastAsia" w:ascii="仿宋" w:hAnsi="仿宋" w:eastAsia="仿宋" w:cs="仿宋"/>
          <w:b/>
          <w:color w:val="auto"/>
          <w:sz w:val="28"/>
          <w:szCs w:val="28"/>
          <w:highlight w:val="none"/>
          <w:lang w:val="en-US" w:eastAsia="zh-CN"/>
        </w:rPr>
        <w:t>铁克其路冠农汇景台门面3栋3层</w:t>
      </w:r>
    </w:p>
    <w:p w14:paraId="2FB73F7F">
      <w:pPr>
        <w:kinsoku w:val="0"/>
        <w:spacing w:line="360" w:lineRule="auto"/>
        <w:ind w:left="567" w:leftChars="270" w:firstLine="141" w:firstLineChars="50"/>
        <w:jc w:val="left"/>
        <w:outlineLvl w:val="9"/>
        <w:rPr>
          <w:rFonts w:hint="eastAsia" w:ascii="仿宋" w:hAnsi="仿宋" w:eastAsia="仿宋" w:cs="仿宋"/>
          <w:color w:val="auto"/>
          <w:sz w:val="28"/>
          <w:szCs w:val="21"/>
          <w:highlight w:val="none"/>
        </w:rPr>
        <w:sectPr>
          <w:footerReference r:id="rId3" w:type="default"/>
          <w:pgSz w:w="11906" w:h="16838"/>
          <w:pgMar w:top="1418" w:right="1106" w:bottom="1418" w:left="1418" w:header="851" w:footer="992" w:gutter="0"/>
          <w:pgNumType w:fmt="decimal" w:start="1"/>
          <w:cols w:space="720" w:num="1"/>
          <w:docGrid w:type="lines" w:linePitch="312" w:charSpace="0"/>
        </w:sectPr>
      </w:pPr>
      <w:r>
        <w:rPr>
          <w:rFonts w:hint="eastAsia" w:ascii="仿宋" w:hAnsi="仿宋" w:eastAsia="仿宋" w:cs="仿宋"/>
          <w:b/>
          <w:color w:val="auto"/>
          <w:sz w:val="28"/>
          <w:szCs w:val="28"/>
          <w:highlight w:val="none"/>
        </w:rPr>
        <w:t>邮  政  编  码：841000</w:t>
      </w:r>
    </w:p>
    <w:p w14:paraId="071713CC">
      <w:pPr>
        <w:spacing w:beforeLines="50" w:afterLines="50" w:line="360" w:lineRule="auto"/>
        <w:jc w:val="center"/>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目    录</w:t>
      </w:r>
    </w:p>
    <w:p w14:paraId="57738C6B">
      <w:pPr>
        <w:pStyle w:val="32"/>
        <w:spacing w:line="360" w:lineRule="auto"/>
        <w:ind w:firstLine="270" w:firstLineChars="112"/>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第一部分 招标公告</w:t>
      </w:r>
    </w:p>
    <w:p w14:paraId="7A550096">
      <w:pPr>
        <w:pStyle w:val="32"/>
        <w:spacing w:line="360" w:lineRule="auto"/>
        <w:ind w:firstLine="748" w:firstLineChars="312"/>
        <w:outlineLvl w:val="9"/>
        <w:rPr>
          <w:rFonts w:hint="eastAsia" w:ascii="仿宋" w:hAnsi="仿宋" w:eastAsia="仿宋" w:cs="仿宋"/>
          <w:b/>
          <w:bCs/>
          <w:color w:val="auto"/>
          <w:highlight w:val="none"/>
        </w:rPr>
      </w:pPr>
      <w:r>
        <w:rPr>
          <w:rFonts w:hint="eastAsia" w:ascii="仿宋" w:hAnsi="仿宋" w:eastAsia="仿宋" w:cs="仿宋"/>
          <w:color w:val="auto"/>
          <w:highlight w:val="none"/>
        </w:rPr>
        <w:t>招标公告</w:t>
      </w:r>
    </w:p>
    <w:p w14:paraId="4152DCA9">
      <w:pPr>
        <w:pStyle w:val="32"/>
        <w:spacing w:line="360" w:lineRule="auto"/>
        <w:ind w:firstLine="270" w:firstLineChars="112"/>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第二部分 投标须知</w:t>
      </w:r>
    </w:p>
    <w:p w14:paraId="7595599A">
      <w:pPr>
        <w:pStyle w:val="32"/>
        <w:spacing w:line="360" w:lineRule="auto"/>
        <w:ind w:firstLine="720" w:firstLineChars="300"/>
        <w:outlineLvl w:val="9"/>
        <w:rPr>
          <w:rFonts w:hint="eastAsia" w:ascii="仿宋" w:hAnsi="仿宋" w:eastAsia="仿宋" w:cs="仿宋"/>
          <w:color w:val="auto"/>
          <w:highlight w:val="none"/>
        </w:rPr>
      </w:pPr>
      <w:r>
        <w:rPr>
          <w:rFonts w:hint="eastAsia" w:ascii="仿宋" w:hAnsi="仿宋" w:eastAsia="仿宋" w:cs="仿宋"/>
          <w:color w:val="auto"/>
          <w:highlight w:val="none"/>
        </w:rPr>
        <w:t>投标须知</w:t>
      </w:r>
    </w:p>
    <w:p w14:paraId="3FD8648D">
      <w:pPr>
        <w:pStyle w:val="32"/>
        <w:spacing w:line="360" w:lineRule="auto"/>
        <w:ind w:firstLine="241" w:firstLineChars="100"/>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 xml:space="preserve">第三部分 </w:t>
      </w:r>
      <w:r>
        <w:rPr>
          <w:rFonts w:hint="eastAsia" w:ascii="仿宋" w:hAnsi="仿宋" w:eastAsia="仿宋" w:cs="仿宋"/>
          <w:b/>
          <w:color w:val="auto"/>
          <w:kern w:val="2"/>
          <w:sz w:val="28"/>
          <w:szCs w:val="36"/>
          <w:highlight w:val="none"/>
        </w:rPr>
        <w:t>货物需求、技术规格说明</w:t>
      </w:r>
    </w:p>
    <w:p w14:paraId="6F26EDBB">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第一章 技术规格及报价明细表</w:t>
      </w:r>
    </w:p>
    <w:p w14:paraId="731375BF">
      <w:pPr>
        <w:pStyle w:val="32"/>
        <w:spacing w:line="360" w:lineRule="auto"/>
        <w:ind w:firstLine="241" w:firstLineChars="100"/>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第四部分 招标说明</w:t>
      </w:r>
    </w:p>
    <w:p w14:paraId="28CF9EEA">
      <w:pPr>
        <w:pStyle w:val="32"/>
        <w:spacing w:line="360" w:lineRule="auto"/>
        <w:ind w:firstLine="241" w:firstLineChars="100"/>
        <w:outlineLvl w:val="9"/>
        <w:rPr>
          <w:rFonts w:hint="eastAsia" w:ascii="仿宋" w:hAnsi="仿宋" w:eastAsia="仿宋" w:cs="仿宋"/>
          <w:color w:val="auto"/>
          <w:highlight w:val="none"/>
        </w:rPr>
      </w:pPr>
      <w:r>
        <w:rPr>
          <w:rFonts w:hint="eastAsia" w:ascii="仿宋" w:hAnsi="仿宋" w:eastAsia="仿宋" w:cs="仿宋"/>
          <w:b/>
          <w:bCs/>
          <w:color w:val="auto"/>
          <w:highlight w:val="none"/>
        </w:rPr>
        <w:t>第五部分 投标说明</w:t>
      </w:r>
    </w:p>
    <w:p w14:paraId="33B1DCF9">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第一章 对投标方的资质要求</w:t>
      </w:r>
    </w:p>
    <w:p w14:paraId="17B8DE05">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第二章 投标文件的编写</w:t>
      </w:r>
    </w:p>
    <w:p w14:paraId="08A725FC">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第三章 投标文件的递交</w:t>
      </w:r>
    </w:p>
    <w:p w14:paraId="73661A67">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第四章 评标委员会</w:t>
      </w:r>
    </w:p>
    <w:p w14:paraId="452E383A">
      <w:pPr>
        <w:pStyle w:val="32"/>
        <w:spacing w:line="360" w:lineRule="auto"/>
        <w:ind w:firstLine="241" w:firstLineChars="100"/>
        <w:outlineLvl w:val="9"/>
        <w:rPr>
          <w:rFonts w:hint="eastAsia" w:ascii="仿宋" w:hAnsi="仿宋" w:eastAsia="仿宋" w:cs="仿宋"/>
          <w:color w:val="auto"/>
          <w:highlight w:val="none"/>
        </w:rPr>
      </w:pPr>
      <w:r>
        <w:rPr>
          <w:rFonts w:hint="eastAsia" w:ascii="仿宋" w:hAnsi="仿宋" w:eastAsia="仿宋" w:cs="仿宋"/>
          <w:b/>
          <w:bCs/>
          <w:color w:val="auto"/>
          <w:highlight w:val="none"/>
        </w:rPr>
        <w:t>第六部分 开标 评标 定标说明</w:t>
      </w:r>
    </w:p>
    <w:p w14:paraId="583E2C9F">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第一章 开　标</w:t>
      </w:r>
    </w:p>
    <w:p w14:paraId="272EB977">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第二章 评　标</w:t>
      </w:r>
    </w:p>
    <w:p w14:paraId="737B588C">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第三章 定　标</w:t>
      </w:r>
    </w:p>
    <w:p w14:paraId="7CED0D60">
      <w:pPr>
        <w:spacing w:line="360" w:lineRule="auto"/>
        <w:ind w:firstLine="720" w:firstLineChars="3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第四章 授予合同</w:t>
      </w:r>
    </w:p>
    <w:p w14:paraId="67A177FA">
      <w:pPr>
        <w:pStyle w:val="32"/>
        <w:spacing w:line="360" w:lineRule="auto"/>
        <w:ind w:firstLine="241" w:firstLineChars="100"/>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第七部分 商务部分</w:t>
      </w:r>
    </w:p>
    <w:p w14:paraId="554041D5">
      <w:pPr>
        <w:pStyle w:val="32"/>
        <w:spacing w:line="360" w:lineRule="auto"/>
        <w:ind w:firstLine="720" w:firstLineChars="300"/>
        <w:outlineLvl w:val="9"/>
        <w:rPr>
          <w:rFonts w:hint="eastAsia" w:ascii="仿宋" w:hAnsi="仿宋" w:eastAsia="仿宋" w:cs="仿宋"/>
          <w:bCs/>
          <w:color w:val="auto"/>
          <w:kern w:val="2"/>
          <w:highlight w:val="none"/>
        </w:rPr>
      </w:pPr>
      <w:r>
        <w:rPr>
          <w:rFonts w:hint="eastAsia" w:ascii="仿宋" w:hAnsi="仿宋" w:eastAsia="仿宋" w:cs="仿宋"/>
          <w:bCs/>
          <w:color w:val="auto"/>
          <w:kern w:val="2"/>
          <w:highlight w:val="none"/>
        </w:rPr>
        <w:t xml:space="preserve">第一章 合同一般条款 </w:t>
      </w:r>
    </w:p>
    <w:p w14:paraId="57858B2C">
      <w:pPr>
        <w:pStyle w:val="32"/>
        <w:spacing w:line="360" w:lineRule="auto"/>
        <w:ind w:firstLine="720" w:firstLineChars="300"/>
        <w:outlineLvl w:val="9"/>
        <w:rPr>
          <w:rFonts w:hint="eastAsia" w:ascii="仿宋" w:hAnsi="仿宋" w:eastAsia="仿宋" w:cs="仿宋"/>
          <w:bCs/>
          <w:color w:val="auto"/>
          <w:kern w:val="2"/>
          <w:highlight w:val="none"/>
        </w:rPr>
      </w:pPr>
      <w:r>
        <w:rPr>
          <w:rFonts w:hint="eastAsia" w:ascii="仿宋" w:hAnsi="仿宋" w:eastAsia="仿宋" w:cs="仿宋"/>
          <w:bCs/>
          <w:color w:val="auto"/>
          <w:kern w:val="2"/>
          <w:highlight w:val="none"/>
        </w:rPr>
        <w:t xml:space="preserve">第二章 付款币种及方式 </w:t>
      </w:r>
    </w:p>
    <w:p w14:paraId="7CAB3AD2">
      <w:pPr>
        <w:pStyle w:val="32"/>
        <w:spacing w:line="360" w:lineRule="auto"/>
        <w:ind w:firstLine="720" w:firstLineChars="300"/>
        <w:outlineLvl w:val="9"/>
        <w:rPr>
          <w:rFonts w:hint="eastAsia" w:ascii="仿宋" w:hAnsi="仿宋" w:eastAsia="仿宋" w:cs="仿宋"/>
          <w:bCs/>
          <w:color w:val="auto"/>
          <w:kern w:val="2"/>
          <w:highlight w:val="none"/>
        </w:rPr>
      </w:pPr>
      <w:r>
        <w:rPr>
          <w:rFonts w:hint="eastAsia" w:ascii="仿宋" w:hAnsi="仿宋" w:eastAsia="仿宋" w:cs="仿宋"/>
          <w:bCs/>
          <w:color w:val="auto"/>
          <w:kern w:val="2"/>
          <w:highlight w:val="none"/>
        </w:rPr>
        <w:t xml:space="preserve">第三章 服务承诺 </w:t>
      </w:r>
    </w:p>
    <w:p w14:paraId="1A83E24C">
      <w:pPr>
        <w:pStyle w:val="32"/>
        <w:spacing w:line="360" w:lineRule="auto"/>
        <w:ind w:firstLine="241" w:firstLineChars="100"/>
        <w:outlineLvl w:val="9"/>
        <w:rPr>
          <w:rFonts w:hint="eastAsia" w:ascii="仿宋" w:hAnsi="仿宋" w:eastAsia="仿宋" w:cs="仿宋"/>
          <w:b/>
          <w:bCs/>
          <w:color w:val="auto"/>
          <w:highlight w:val="none"/>
        </w:rPr>
      </w:pPr>
      <w:r>
        <w:rPr>
          <w:rFonts w:hint="eastAsia" w:ascii="仿宋" w:hAnsi="仿宋" w:eastAsia="仿宋" w:cs="仿宋"/>
          <w:b/>
          <w:bCs/>
          <w:color w:val="auto"/>
          <w:highlight w:val="none"/>
        </w:rPr>
        <w:t>第八部分  投标文件的编制装订</w:t>
      </w:r>
    </w:p>
    <w:p w14:paraId="5A3B1B75">
      <w:pPr>
        <w:pStyle w:val="32"/>
        <w:spacing w:line="360" w:lineRule="auto"/>
        <w:ind w:firstLine="720" w:firstLineChars="300"/>
        <w:outlineLvl w:val="9"/>
        <w:rPr>
          <w:rFonts w:hint="eastAsia" w:ascii="仿宋" w:hAnsi="仿宋" w:eastAsia="仿宋" w:cs="仿宋"/>
          <w:color w:val="auto"/>
          <w:highlight w:val="none"/>
        </w:rPr>
      </w:pPr>
      <w:r>
        <w:rPr>
          <w:rFonts w:hint="eastAsia" w:ascii="仿宋" w:hAnsi="仿宋" w:eastAsia="仿宋" w:cs="仿宋"/>
          <w:color w:val="auto"/>
          <w:highlight w:val="none"/>
        </w:rPr>
        <w:t>一、投标文件编制和装订顺序</w:t>
      </w:r>
    </w:p>
    <w:p w14:paraId="306F5F91">
      <w:pPr>
        <w:pStyle w:val="32"/>
        <w:spacing w:line="360" w:lineRule="auto"/>
        <w:ind w:firstLine="720" w:firstLineChars="300"/>
        <w:outlineLvl w:val="9"/>
        <w:rPr>
          <w:rFonts w:hint="eastAsia" w:ascii="仿宋" w:hAnsi="仿宋" w:eastAsia="仿宋" w:cs="仿宋"/>
          <w:color w:val="auto"/>
          <w:highlight w:val="none"/>
        </w:rPr>
      </w:pPr>
      <w:r>
        <w:rPr>
          <w:rFonts w:hint="eastAsia" w:ascii="仿宋" w:hAnsi="仿宋" w:eastAsia="仿宋" w:cs="仿宋"/>
          <w:color w:val="auto"/>
          <w:highlight w:val="none"/>
        </w:rPr>
        <w:t xml:space="preserve">二、投标报价文件顺序及格式范本 </w:t>
      </w:r>
    </w:p>
    <w:p w14:paraId="4327F784">
      <w:pPr>
        <w:pStyle w:val="32"/>
        <w:spacing w:line="360" w:lineRule="auto"/>
        <w:ind w:firstLine="720" w:firstLineChars="300"/>
        <w:outlineLvl w:val="9"/>
        <w:rPr>
          <w:rFonts w:hint="eastAsia" w:ascii="仿宋" w:hAnsi="仿宋" w:eastAsia="仿宋" w:cs="仿宋"/>
          <w:color w:val="auto"/>
          <w:highlight w:val="none"/>
        </w:rPr>
      </w:pPr>
    </w:p>
    <w:p w14:paraId="0889F6C2">
      <w:pPr>
        <w:pStyle w:val="32"/>
        <w:spacing w:line="360" w:lineRule="auto"/>
        <w:outlineLvl w:val="9"/>
        <w:rPr>
          <w:rFonts w:hint="eastAsia" w:ascii="仿宋" w:hAnsi="仿宋" w:eastAsia="仿宋" w:cs="仿宋"/>
          <w:color w:val="auto"/>
          <w:highlight w:val="none"/>
        </w:rPr>
      </w:pPr>
    </w:p>
    <w:p w14:paraId="4DDDEEB5">
      <w:pPr>
        <w:pStyle w:val="32"/>
        <w:spacing w:line="360" w:lineRule="auto"/>
        <w:ind w:firstLine="1084" w:firstLineChars="300"/>
        <w:jc w:val="center"/>
        <w:outlineLvl w:val="9"/>
        <w:rPr>
          <w:rFonts w:hint="eastAsia" w:ascii="仿宋" w:hAnsi="仿宋" w:eastAsia="仿宋" w:cs="仿宋"/>
          <w:b/>
          <w:color w:val="auto"/>
          <w:sz w:val="36"/>
          <w:szCs w:val="36"/>
          <w:highlight w:val="none"/>
        </w:rPr>
        <w:sectPr>
          <w:headerReference r:id="rId4" w:type="default"/>
          <w:footerReference r:id="rId5" w:type="default"/>
          <w:pgSz w:w="11906" w:h="16838"/>
          <w:pgMar w:top="1440" w:right="1800" w:bottom="1440" w:left="1800" w:header="851" w:footer="992" w:gutter="0"/>
          <w:pgNumType w:start="1"/>
          <w:cols w:space="720" w:num="1"/>
          <w:docGrid w:type="lines" w:linePitch="312" w:charSpace="0"/>
        </w:sectPr>
      </w:pPr>
    </w:p>
    <w:p w14:paraId="70FF7495">
      <w:pPr>
        <w:pStyle w:val="32"/>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59F5B8AD">
      <w:pPr>
        <w:spacing w:line="360" w:lineRule="auto"/>
        <w:ind w:firstLine="540" w:firstLineChars="225"/>
        <w:outlineLvl w:val="9"/>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新疆益双工程管理有限公司</w:t>
      </w:r>
      <w:r>
        <w:rPr>
          <w:rFonts w:hint="eastAsia" w:ascii="仿宋" w:hAnsi="仿宋" w:eastAsia="仿宋" w:cs="仿宋"/>
          <w:color w:val="auto"/>
          <w:kern w:val="0"/>
          <w:sz w:val="24"/>
          <w:szCs w:val="24"/>
          <w:highlight w:val="none"/>
        </w:rPr>
        <w:t>受</w:t>
      </w:r>
      <w:r>
        <w:rPr>
          <w:rFonts w:hint="eastAsia" w:ascii="仿宋" w:hAnsi="仿宋" w:eastAsia="仿宋" w:cs="仿宋"/>
          <w:color w:val="auto"/>
          <w:sz w:val="24"/>
          <w:szCs w:val="24"/>
          <w:highlight w:val="none"/>
          <w:lang w:eastAsia="zh-CN"/>
        </w:rPr>
        <w:t>库尔勒市第二幼儿园</w:t>
      </w:r>
      <w:r>
        <w:rPr>
          <w:rFonts w:hint="eastAsia" w:ascii="仿宋" w:hAnsi="仿宋" w:eastAsia="仿宋" w:cs="仿宋"/>
          <w:color w:val="auto"/>
          <w:kern w:val="0"/>
          <w:sz w:val="24"/>
          <w:szCs w:val="24"/>
          <w:highlight w:val="none"/>
        </w:rPr>
        <w:t>的委托，现对</w:t>
      </w:r>
      <w:r>
        <w:rPr>
          <w:rFonts w:hint="eastAsia" w:ascii="仿宋" w:hAnsi="仿宋" w:eastAsia="仿宋" w:cs="仿宋"/>
          <w:color w:val="auto"/>
          <w:sz w:val="24"/>
          <w:szCs w:val="24"/>
          <w:highlight w:val="none"/>
          <w:lang w:eastAsia="zh-CN"/>
        </w:rPr>
        <w:t>2025年第三十七幼儿园设施设备采购-二标段</w:t>
      </w:r>
      <w:r>
        <w:rPr>
          <w:rFonts w:hint="eastAsia" w:ascii="仿宋" w:hAnsi="仿宋" w:eastAsia="仿宋" w:cs="仿宋"/>
          <w:color w:val="auto"/>
          <w:kern w:val="0"/>
          <w:sz w:val="24"/>
          <w:szCs w:val="24"/>
          <w:highlight w:val="none"/>
        </w:rPr>
        <w:t>以公开招标方式组织采购，欢迎符合条件的供应商参加投标。</w:t>
      </w:r>
    </w:p>
    <w:p w14:paraId="69728B9C">
      <w:pPr>
        <w:spacing w:line="360" w:lineRule="auto"/>
        <w:ind w:firstLine="300" w:firstLineChars="1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一、项目基本情况</w:t>
      </w:r>
    </w:p>
    <w:p w14:paraId="704528E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XJYS(ZFCG)2025-002</w:t>
      </w:r>
    </w:p>
    <w:p w14:paraId="77317F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2025年第三十七幼儿园设施设备采购-二标段</w:t>
      </w:r>
      <w:r>
        <w:rPr>
          <w:rFonts w:hint="eastAsia" w:ascii="仿宋" w:hAnsi="仿宋" w:eastAsia="仿宋" w:cs="仿宋"/>
          <w:color w:val="auto"/>
          <w:sz w:val="24"/>
          <w:szCs w:val="24"/>
          <w:highlight w:val="none"/>
        </w:rPr>
        <w:t xml:space="preserve">  </w:t>
      </w:r>
    </w:p>
    <w:p w14:paraId="271853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highlight w:val="yellow"/>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100.00</w:t>
      </w:r>
      <w:r>
        <w:rPr>
          <w:rFonts w:hint="eastAsia" w:ascii="仿宋" w:hAnsi="仿宋" w:eastAsia="仿宋" w:cs="仿宋"/>
          <w:color w:val="auto"/>
          <w:sz w:val="24"/>
          <w:szCs w:val="24"/>
          <w:highlight w:val="none"/>
          <w:lang w:eastAsia="zh-CN"/>
        </w:rPr>
        <w:t>万元</w:t>
      </w:r>
    </w:p>
    <w:p w14:paraId="5683A89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w:t>
      </w:r>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lang w:val="en-US" w:eastAsia="zh-CN"/>
        </w:rPr>
        <w:t>采购第三十七幼儿园办公设备、教学设备等一批（具体内容详见采购清单）</w:t>
      </w:r>
    </w:p>
    <w:p w14:paraId="7943D4F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供货期：</w:t>
      </w:r>
      <w:r>
        <w:rPr>
          <w:rFonts w:hint="eastAsia" w:ascii="仿宋" w:hAnsi="仿宋" w:eastAsia="仿宋" w:cs="仿宋"/>
          <w:color w:val="auto"/>
          <w:sz w:val="24"/>
          <w:szCs w:val="24"/>
          <w:highlight w:val="none"/>
          <w:lang w:val="en-US" w:eastAsia="zh-CN"/>
        </w:rPr>
        <w:t>签订合同后15天完成供货及安装</w:t>
      </w:r>
      <w:r>
        <w:rPr>
          <w:rFonts w:hint="eastAsia" w:ascii="仿宋" w:hAnsi="仿宋" w:eastAsia="仿宋" w:cs="仿宋"/>
          <w:color w:val="auto"/>
          <w:sz w:val="24"/>
          <w:szCs w:val="24"/>
          <w:highlight w:val="none"/>
          <w:lang w:eastAsia="zh-CN"/>
        </w:rPr>
        <w:t>。</w:t>
      </w:r>
    </w:p>
    <w:p w14:paraId="180A356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本项目（否）接受联合体投标。</w:t>
      </w:r>
    </w:p>
    <w:p w14:paraId="7FC32079">
      <w:pPr>
        <w:pStyle w:val="8"/>
        <w:spacing w:line="360" w:lineRule="auto"/>
        <w:ind w:firstLine="480" w:firstLineChars="200"/>
        <w:outlineLvl w:val="9"/>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二、申请人的资格要求：</w:t>
      </w:r>
    </w:p>
    <w:p w14:paraId="38CFFE13">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1.满足《中华人民共和国政府采购法》第二十二条规定；</w:t>
      </w:r>
    </w:p>
    <w:p w14:paraId="46F17508">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2.本项目资格要求： </w:t>
      </w:r>
    </w:p>
    <w:p w14:paraId="45A97388">
      <w:pPr>
        <w:pStyle w:val="34"/>
        <w:tabs>
          <w:tab w:val="left" w:pos="636"/>
        </w:tabs>
        <w:spacing w:line="360" w:lineRule="auto"/>
        <w:ind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 xml:space="preserve">（1）具有独立承担民事责任能力的在中华人民共和国境内注册的法人，提供有效的营业执照； </w:t>
      </w:r>
    </w:p>
    <w:p w14:paraId="69818F17">
      <w:pPr>
        <w:pStyle w:val="34"/>
        <w:tabs>
          <w:tab w:val="left" w:pos="636"/>
        </w:tabs>
        <w:spacing w:line="360" w:lineRule="auto"/>
        <w:ind w:left="479" w:leftChars="228"/>
        <w:outlineLvl w:val="9"/>
        <w:rPr>
          <w:rFonts w:hint="eastAsia" w:ascii="仿宋" w:hAnsi="仿宋" w:eastAsia="仿宋" w:cs="仿宋"/>
          <w:color w:val="auto"/>
          <w:sz w:val="24"/>
          <w:szCs w:val="21"/>
          <w:highlight w:val="none"/>
          <w:lang w:val="en-US"/>
        </w:rPr>
      </w:pPr>
      <w:r>
        <w:rPr>
          <w:rFonts w:hint="eastAsia" w:ascii="仿宋" w:hAnsi="仿宋" w:eastAsia="仿宋" w:cs="仿宋"/>
          <w:color w:val="auto"/>
          <w:kern w:val="0"/>
          <w:sz w:val="24"/>
          <w:szCs w:val="24"/>
          <w:highlight w:val="none"/>
          <w:lang w:val="en-US" w:bidi="ar-SA"/>
        </w:rPr>
        <w:t>（2）法定代表人资格证明书及身份证或法人授权委托书及被授权人身份证；</w:t>
      </w:r>
    </w:p>
    <w:p w14:paraId="30897426">
      <w:pPr>
        <w:pStyle w:val="34"/>
        <w:tabs>
          <w:tab w:val="left" w:pos="636"/>
        </w:tabs>
        <w:spacing w:line="360" w:lineRule="auto"/>
        <w:ind w:left="479" w:leftChars="228"/>
        <w:outlineLvl w:val="9"/>
        <w:rPr>
          <w:rFonts w:hint="eastAsia" w:ascii="仿宋" w:hAnsi="仿宋" w:eastAsia="仿宋" w:cs="仿宋"/>
          <w:color w:val="auto"/>
          <w:sz w:val="24"/>
          <w:szCs w:val="21"/>
          <w:highlight w:val="none"/>
          <w:lang w:val="en-US"/>
        </w:rPr>
      </w:pPr>
      <w:r>
        <w:rPr>
          <w:rFonts w:hint="eastAsia" w:ascii="仿宋" w:hAnsi="仿宋" w:eastAsia="仿宋" w:cs="仿宋"/>
          <w:color w:val="auto"/>
          <w:sz w:val="24"/>
          <w:szCs w:val="21"/>
          <w:highlight w:val="none"/>
          <w:lang w:val="en-US"/>
        </w:rPr>
        <w:t>（</w:t>
      </w:r>
      <w:r>
        <w:rPr>
          <w:rFonts w:hint="eastAsia" w:ascii="仿宋" w:hAnsi="仿宋" w:eastAsia="仿宋" w:cs="仿宋"/>
          <w:color w:val="auto"/>
          <w:sz w:val="24"/>
          <w:szCs w:val="21"/>
          <w:highlight w:val="none"/>
          <w:lang w:val="en-US" w:eastAsia="zh-CN"/>
        </w:rPr>
        <w:t>3</w:t>
      </w:r>
      <w:r>
        <w:rPr>
          <w:rFonts w:hint="eastAsia" w:ascii="仿宋" w:hAnsi="仿宋" w:eastAsia="仿宋" w:cs="仿宋"/>
          <w:color w:val="auto"/>
          <w:sz w:val="24"/>
          <w:szCs w:val="21"/>
          <w:highlight w:val="none"/>
          <w:lang w:val="en-US"/>
        </w:rPr>
        <w:t>）具有履行合同所必需的机械设备和专业技术力量，并在人员、运输、资金等方面具有相应的能力；</w:t>
      </w:r>
    </w:p>
    <w:p w14:paraId="6BB5BAA7">
      <w:pPr>
        <w:pStyle w:val="34"/>
        <w:tabs>
          <w:tab w:val="left" w:pos="636"/>
        </w:tabs>
        <w:spacing w:line="360" w:lineRule="auto"/>
        <w:ind w:left="479" w:leftChars="228"/>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sz w:val="24"/>
          <w:szCs w:val="21"/>
          <w:highlight w:val="none"/>
          <w:lang w:val="en-US"/>
        </w:rPr>
        <w:t>（</w:t>
      </w:r>
      <w:r>
        <w:rPr>
          <w:rFonts w:hint="eastAsia" w:ascii="仿宋" w:hAnsi="仿宋" w:eastAsia="仿宋" w:cs="仿宋"/>
          <w:color w:val="auto"/>
          <w:sz w:val="24"/>
          <w:szCs w:val="21"/>
          <w:highlight w:val="none"/>
          <w:lang w:val="en-US" w:eastAsia="zh-CN"/>
        </w:rPr>
        <w:t>4</w:t>
      </w:r>
      <w:r>
        <w:rPr>
          <w:rFonts w:hint="eastAsia" w:ascii="仿宋" w:hAnsi="仿宋" w:eastAsia="仿宋" w:cs="仿宋"/>
          <w:color w:val="auto"/>
          <w:sz w:val="24"/>
          <w:szCs w:val="21"/>
          <w:highlight w:val="none"/>
          <w:lang w:val="en-US"/>
        </w:rPr>
        <w:t>）</w:t>
      </w:r>
      <w:r>
        <w:rPr>
          <w:rFonts w:hint="eastAsia" w:ascii="仿宋" w:hAnsi="仿宋" w:eastAsia="仿宋" w:cs="仿宋"/>
          <w:color w:val="auto"/>
          <w:kern w:val="0"/>
          <w:sz w:val="24"/>
          <w:szCs w:val="24"/>
          <w:highlight w:val="none"/>
          <w:lang w:val="en-US" w:bidi="ar-SA"/>
        </w:rPr>
        <w:t>未被“信用中国”（www.creditchina.gov.cn）、中国政府采购网（www.ccgp.gov.cn）列入失信被执行人、重大税收违法案件当事人名单、政府采购严重违法失信行为记录名单；</w:t>
      </w:r>
    </w:p>
    <w:p w14:paraId="765B1B28">
      <w:pPr>
        <w:pStyle w:val="34"/>
        <w:tabs>
          <w:tab w:val="left" w:pos="636"/>
        </w:tabs>
        <w:spacing w:line="360" w:lineRule="auto"/>
        <w:ind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w:t>
      </w:r>
      <w:r>
        <w:rPr>
          <w:rFonts w:hint="eastAsia" w:ascii="仿宋" w:hAnsi="仿宋" w:eastAsia="仿宋" w:cs="仿宋"/>
          <w:color w:val="auto"/>
          <w:kern w:val="0"/>
          <w:sz w:val="24"/>
          <w:szCs w:val="24"/>
          <w:highlight w:val="none"/>
          <w:lang w:val="en-US" w:eastAsia="zh-CN" w:bidi="ar-SA"/>
        </w:rPr>
        <w:t>5</w:t>
      </w:r>
      <w:r>
        <w:rPr>
          <w:rFonts w:hint="eastAsia" w:ascii="仿宋" w:hAnsi="仿宋" w:eastAsia="仿宋" w:cs="仿宋"/>
          <w:color w:val="auto"/>
          <w:kern w:val="0"/>
          <w:sz w:val="24"/>
          <w:szCs w:val="24"/>
          <w:highlight w:val="none"/>
          <w:lang w:val="en-US" w:bidi="ar-SA"/>
        </w:rPr>
        <w:t>）单位负责人为同一人或者存在直接控股、管理关系的不同供应商，不得参加同一合同项下的政府采购活动。</w:t>
      </w:r>
    </w:p>
    <w:p w14:paraId="3437E8D9">
      <w:pPr>
        <w:pStyle w:val="34"/>
        <w:tabs>
          <w:tab w:val="left" w:pos="636"/>
        </w:tabs>
        <w:spacing w:line="360" w:lineRule="auto"/>
        <w:ind w:firstLine="480" w:firstLineChars="200"/>
        <w:outlineLvl w:val="9"/>
        <w:rPr>
          <w:rFonts w:hint="eastAsia" w:ascii="仿宋" w:hAnsi="仿宋" w:eastAsia="仿宋" w:cs="仿宋"/>
          <w:color w:val="auto"/>
          <w:sz w:val="24"/>
          <w:szCs w:val="24"/>
          <w:highlight w:val="none"/>
          <w:lang w:val="en-US" w:bidi="ar-SA"/>
        </w:rPr>
      </w:pPr>
      <w:r>
        <w:rPr>
          <w:rFonts w:hint="eastAsia" w:ascii="仿宋" w:hAnsi="仿宋" w:eastAsia="仿宋" w:cs="仿宋"/>
          <w:color w:val="auto"/>
          <w:kern w:val="0"/>
          <w:sz w:val="24"/>
          <w:szCs w:val="24"/>
          <w:highlight w:val="none"/>
          <w:lang w:val="en-US" w:bidi="ar-SA"/>
        </w:rPr>
        <w:t>（</w:t>
      </w:r>
      <w:r>
        <w:rPr>
          <w:rFonts w:hint="eastAsia" w:ascii="仿宋" w:hAnsi="仿宋" w:eastAsia="仿宋" w:cs="仿宋"/>
          <w:color w:val="auto"/>
          <w:kern w:val="0"/>
          <w:sz w:val="24"/>
          <w:szCs w:val="24"/>
          <w:highlight w:val="none"/>
          <w:lang w:val="en-US" w:eastAsia="zh-CN" w:bidi="ar-SA"/>
        </w:rPr>
        <w:t>6</w:t>
      </w:r>
      <w:r>
        <w:rPr>
          <w:rFonts w:hint="eastAsia" w:ascii="仿宋" w:hAnsi="仿宋" w:eastAsia="仿宋" w:cs="仿宋"/>
          <w:color w:val="auto"/>
          <w:kern w:val="0"/>
          <w:sz w:val="24"/>
          <w:szCs w:val="24"/>
          <w:highlight w:val="none"/>
          <w:lang w:val="en-US" w:bidi="ar-SA"/>
        </w:rPr>
        <w:t>）</w:t>
      </w:r>
      <w:r>
        <w:rPr>
          <w:rFonts w:hint="eastAsia" w:ascii="仿宋" w:hAnsi="仿宋" w:eastAsia="仿宋" w:cs="仿宋"/>
          <w:color w:val="auto"/>
          <w:sz w:val="24"/>
          <w:szCs w:val="24"/>
          <w:highlight w:val="none"/>
          <w:lang w:val="en-US" w:bidi="ar-SA"/>
        </w:rPr>
        <w:t>本项目不接受联合体投标。</w:t>
      </w:r>
    </w:p>
    <w:p w14:paraId="267EA66E">
      <w:pPr>
        <w:pStyle w:val="8"/>
        <w:spacing w:line="360" w:lineRule="auto"/>
        <w:ind w:firstLine="480" w:firstLineChars="200"/>
        <w:outlineLvl w:val="9"/>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三、政府采购政策支持</w:t>
      </w:r>
    </w:p>
    <w:p w14:paraId="65FD2221">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1、财政部、国家发展改革委、生态环境部、市场监管总局《关于调整优化节能产品、环境标志产品政府采购执行机制的通知》（财库[2019]9 号文）；</w:t>
      </w:r>
    </w:p>
    <w:p w14:paraId="1F4A8FFE">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2、财政部、生态环境部《关于印发环境标志产品政府采购品目清单的通知》（财库[2019]18 号文）；</w:t>
      </w:r>
    </w:p>
    <w:p w14:paraId="43A7989E">
      <w:pPr>
        <w:pStyle w:val="34"/>
        <w:tabs>
          <w:tab w:val="left" w:pos="632"/>
        </w:tabs>
        <w:spacing w:before="43" w:line="360" w:lineRule="auto"/>
        <w:ind w:left="107" w:right="-15"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3、财政部、发展改革委《关于印发节能产品政府采购品目清单的通知》</w:t>
      </w:r>
    </w:p>
    <w:p w14:paraId="569DFBD5">
      <w:pPr>
        <w:pStyle w:val="34"/>
        <w:spacing w:before="43" w:line="360" w:lineRule="auto"/>
        <w:ind w:left="107"/>
        <w:jc w:val="left"/>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（财库[2019]19 号文）；</w:t>
      </w:r>
    </w:p>
    <w:p w14:paraId="3F7F5A58">
      <w:pPr>
        <w:pStyle w:val="34"/>
        <w:tabs>
          <w:tab w:val="left" w:pos="632"/>
        </w:tabs>
        <w:spacing w:before="43" w:line="360" w:lineRule="auto"/>
        <w:ind w:left="107" w:right="-15"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4、市场监管总局《市场监管总局关于发布参与实施政府采购节能产品、环境标志产品认证机构名录的公告》（2019 年第 16 号）；</w:t>
      </w:r>
    </w:p>
    <w:p w14:paraId="006269B3">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5、财政部、工业和信息化部《关于印发《政府采购促进中小企业展暂行办法》的通知》（财库[20</w:t>
      </w:r>
      <w:r>
        <w:rPr>
          <w:rFonts w:hint="eastAsia" w:ascii="仿宋" w:hAnsi="仿宋" w:eastAsia="仿宋" w:cs="仿宋"/>
          <w:color w:val="auto"/>
          <w:kern w:val="0"/>
          <w:sz w:val="24"/>
          <w:szCs w:val="24"/>
          <w:highlight w:val="none"/>
          <w:lang w:val="en-US" w:eastAsia="zh-CN" w:bidi="ar-SA"/>
        </w:rPr>
        <w:t>20</w:t>
      </w:r>
      <w:r>
        <w:rPr>
          <w:rFonts w:hint="eastAsia" w:ascii="仿宋" w:hAnsi="仿宋" w:eastAsia="仿宋" w:cs="仿宋"/>
          <w:color w:val="auto"/>
          <w:kern w:val="0"/>
          <w:sz w:val="24"/>
          <w:szCs w:val="24"/>
          <w:highlight w:val="none"/>
          <w:lang w:val="en-US" w:bidi="ar-SA"/>
        </w:rPr>
        <w:t>]</w:t>
      </w:r>
      <w:r>
        <w:rPr>
          <w:rFonts w:hint="eastAsia" w:ascii="仿宋" w:hAnsi="仿宋" w:eastAsia="仿宋" w:cs="仿宋"/>
          <w:color w:val="auto"/>
          <w:kern w:val="0"/>
          <w:sz w:val="24"/>
          <w:szCs w:val="24"/>
          <w:highlight w:val="none"/>
          <w:lang w:val="en-US" w:eastAsia="zh-CN" w:bidi="ar-SA"/>
        </w:rPr>
        <w:t>46</w:t>
      </w:r>
      <w:r>
        <w:rPr>
          <w:rFonts w:hint="eastAsia" w:ascii="仿宋" w:hAnsi="仿宋" w:eastAsia="仿宋" w:cs="仿宋"/>
          <w:color w:val="auto"/>
          <w:kern w:val="0"/>
          <w:sz w:val="24"/>
          <w:szCs w:val="24"/>
          <w:highlight w:val="none"/>
          <w:lang w:val="en-US" w:bidi="ar-SA"/>
        </w:rPr>
        <w:t>号文）；</w:t>
      </w:r>
    </w:p>
    <w:p w14:paraId="6C12A2F8">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6、财政部、民政部、中国残疾人联合会《关于促进残疾人就业政府采购政策的通知》（财库[2017]141 号）；</w:t>
      </w:r>
    </w:p>
    <w:p w14:paraId="6A06CA2F">
      <w:pPr>
        <w:pStyle w:val="34"/>
        <w:spacing w:line="360" w:lineRule="auto"/>
        <w:ind w:left="107" w:right="-15" w:firstLine="480" w:firstLineChars="200"/>
        <w:jc w:val="left"/>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7、财政部、司法部《关于政府采购支持监狱企业发展有关问题的通知》</w:t>
      </w:r>
    </w:p>
    <w:p w14:paraId="0553CD60">
      <w:pPr>
        <w:spacing w:line="360" w:lineRule="auto"/>
        <w:jc w:val="left"/>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（财库[2014]68 号文）。（中小企业优惠、监狱企业、节能产品、环境标志产品等）。</w:t>
      </w:r>
    </w:p>
    <w:p w14:paraId="3DFAE66A">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8、扶持中小企业政策：本项目为专门面向中小企业（含中型、小型、微型企业）采购项目。中小企业是工业和信息化部、国家统计局、发展改革委、财政部《中小企业划型标准规定》（工信部联企业〔2011〕300号）中划分的中、小、微型企业。 </w:t>
      </w:r>
    </w:p>
    <w:p w14:paraId="0EE17104">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9、《关于运用政府采购政策支持脱贫攻坚的通知》（财库【2019】27号文）。  </w:t>
      </w:r>
    </w:p>
    <w:p w14:paraId="6E617B9B">
      <w:pPr>
        <w:pStyle w:val="8"/>
        <w:spacing w:line="360" w:lineRule="auto"/>
        <w:ind w:firstLine="480" w:firstLineChars="200"/>
        <w:outlineLvl w:val="9"/>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四、获取（下载）采购文件</w:t>
      </w:r>
    </w:p>
    <w:p w14:paraId="02838689">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1、时间：</w:t>
      </w:r>
      <w:r>
        <w:rPr>
          <w:rFonts w:hint="eastAsia" w:ascii="仿宋" w:hAnsi="仿宋" w:eastAsia="仿宋" w:cs="仿宋"/>
          <w:color w:val="auto"/>
          <w:kern w:val="0"/>
          <w:sz w:val="24"/>
          <w:szCs w:val="24"/>
          <w:highlight w:val="none"/>
          <w:lang w:val="en-US" w:eastAsia="zh-CN" w:bidi="ar-SA"/>
        </w:rPr>
        <w:t>2025年3月14日</w:t>
      </w:r>
      <w:r>
        <w:rPr>
          <w:rFonts w:hint="eastAsia" w:ascii="仿宋" w:hAnsi="仿宋" w:eastAsia="仿宋" w:cs="仿宋"/>
          <w:color w:val="auto"/>
          <w:kern w:val="0"/>
          <w:sz w:val="24"/>
          <w:szCs w:val="24"/>
          <w:highlight w:val="none"/>
          <w:lang w:val="en-US" w:bidi="ar-SA"/>
        </w:rPr>
        <w:t>至</w:t>
      </w:r>
      <w:r>
        <w:rPr>
          <w:rFonts w:hint="eastAsia" w:ascii="仿宋" w:hAnsi="仿宋" w:eastAsia="仿宋" w:cs="仿宋"/>
          <w:color w:val="auto"/>
          <w:kern w:val="0"/>
          <w:sz w:val="24"/>
          <w:szCs w:val="24"/>
          <w:highlight w:val="none"/>
          <w:lang w:val="en-US" w:eastAsia="zh-CN" w:bidi="ar-SA"/>
        </w:rPr>
        <w:t>2025年3月21日</w:t>
      </w:r>
      <w:r>
        <w:rPr>
          <w:rFonts w:hint="eastAsia" w:ascii="仿宋" w:hAnsi="仿宋" w:eastAsia="仿宋" w:cs="仿宋"/>
          <w:color w:val="auto"/>
          <w:kern w:val="0"/>
          <w:sz w:val="24"/>
          <w:szCs w:val="24"/>
          <w:highlight w:val="none"/>
          <w:lang w:val="en-US" w:bidi="ar-SA"/>
        </w:rPr>
        <w:t>，每天上午10:00至13:30，下午16:00至19:30（北京时间，线上获取法定节假日除外）</w:t>
      </w:r>
    </w:p>
    <w:p w14:paraId="68E1BFB4">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2、地点（网址）：供应商登陆政采云平台http://www.zcygov.cn/，在线申请获取采购文件（登录政府采购云平台 → 项目采购 → 获取采购文件 → 申请，审核通过后可下载公开招标文件，如有操作性问题，可与政采云在线客服进行咨询，咨询电话：</w:t>
      </w:r>
      <w:r>
        <w:rPr>
          <w:rFonts w:hint="eastAsia" w:ascii="仿宋" w:hAnsi="仿宋" w:eastAsia="仿宋" w:cs="仿宋"/>
          <w:color w:val="auto"/>
          <w:kern w:val="0"/>
          <w:sz w:val="24"/>
          <w:szCs w:val="24"/>
          <w:highlight w:val="none"/>
          <w:lang w:val="en-US" w:eastAsia="zh-CN" w:bidi="ar-SA"/>
        </w:rPr>
        <w:t>95763</w:t>
      </w:r>
      <w:r>
        <w:rPr>
          <w:rFonts w:hint="eastAsia" w:ascii="仿宋" w:hAnsi="仿宋" w:eastAsia="仿宋" w:cs="仿宋"/>
          <w:color w:val="auto"/>
          <w:kern w:val="0"/>
          <w:sz w:val="24"/>
          <w:szCs w:val="24"/>
          <w:highlight w:val="none"/>
          <w:lang w:val="en-US" w:bidi="ar-SA"/>
        </w:rPr>
        <w:t>）  </w:t>
      </w:r>
    </w:p>
    <w:p w14:paraId="26D5F018">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3、方式：线上获取 </w:t>
      </w:r>
    </w:p>
    <w:p w14:paraId="66AA857D">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4、售价（元）：0元</w:t>
      </w:r>
    </w:p>
    <w:p w14:paraId="759CA78A">
      <w:pPr>
        <w:pStyle w:val="8"/>
        <w:spacing w:line="360" w:lineRule="auto"/>
        <w:ind w:firstLine="480" w:firstLineChars="200"/>
        <w:outlineLvl w:val="9"/>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五、</w:t>
      </w:r>
      <w:r>
        <w:rPr>
          <w:rFonts w:hint="eastAsia" w:ascii="仿宋" w:hAnsi="仿宋" w:eastAsia="仿宋" w:cs="仿宋"/>
          <w:color w:val="auto"/>
          <w:sz w:val="24"/>
          <w:szCs w:val="24"/>
          <w:highlight w:val="none"/>
          <w:lang w:val="en-US"/>
        </w:rPr>
        <w:t>提交响应文件截止时间、开标时间和地点</w:t>
      </w:r>
    </w:p>
    <w:p w14:paraId="5F386CFD">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提交响应文件截止时间：</w:t>
      </w:r>
      <w:r>
        <w:rPr>
          <w:rFonts w:hint="eastAsia" w:ascii="仿宋" w:hAnsi="仿宋" w:eastAsia="仿宋" w:cs="仿宋"/>
          <w:color w:val="auto"/>
          <w:sz w:val="24"/>
          <w:szCs w:val="24"/>
          <w:highlight w:val="yellow"/>
          <w:lang w:val="en-GB" w:eastAsia="zh-CN"/>
        </w:rPr>
        <w:t>202</w:t>
      </w:r>
      <w:r>
        <w:rPr>
          <w:rFonts w:hint="eastAsia" w:ascii="仿宋" w:hAnsi="仿宋" w:eastAsia="仿宋" w:cs="仿宋"/>
          <w:color w:val="auto"/>
          <w:sz w:val="24"/>
          <w:szCs w:val="24"/>
          <w:highlight w:val="yellow"/>
          <w:lang w:val="en-US" w:eastAsia="zh-CN"/>
        </w:rPr>
        <w:t>5</w:t>
      </w:r>
      <w:r>
        <w:rPr>
          <w:rFonts w:hint="eastAsia" w:ascii="仿宋" w:hAnsi="仿宋" w:eastAsia="仿宋" w:cs="仿宋"/>
          <w:color w:val="auto"/>
          <w:sz w:val="24"/>
          <w:szCs w:val="24"/>
          <w:highlight w:val="yellow"/>
          <w:lang w:val="en-GB" w:eastAsia="zh-CN"/>
        </w:rPr>
        <w:t>年</w:t>
      </w:r>
      <w:r>
        <w:rPr>
          <w:rFonts w:hint="eastAsia" w:ascii="仿宋" w:hAnsi="仿宋" w:eastAsia="仿宋" w:cs="仿宋"/>
          <w:color w:val="auto"/>
          <w:sz w:val="24"/>
          <w:szCs w:val="24"/>
          <w:highlight w:val="yellow"/>
          <w:lang w:val="en-US" w:eastAsia="zh-CN"/>
        </w:rPr>
        <w:t>4</w:t>
      </w:r>
      <w:r>
        <w:rPr>
          <w:rFonts w:hint="eastAsia" w:ascii="仿宋" w:hAnsi="仿宋" w:eastAsia="仿宋" w:cs="仿宋"/>
          <w:color w:val="auto"/>
          <w:sz w:val="24"/>
          <w:szCs w:val="24"/>
          <w:highlight w:val="yellow"/>
          <w:lang w:val="en-GB" w:eastAsia="zh-CN"/>
        </w:rPr>
        <w:t>月</w:t>
      </w:r>
      <w:r>
        <w:rPr>
          <w:rFonts w:hint="eastAsia" w:ascii="仿宋" w:hAnsi="仿宋" w:eastAsia="仿宋" w:cs="仿宋"/>
          <w:color w:val="auto"/>
          <w:sz w:val="24"/>
          <w:szCs w:val="24"/>
          <w:highlight w:val="yellow"/>
          <w:lang w:val="en-US" w:eastAsia="zh-CN"/>
        </w:rPr>
        <w:t>17</w:t>
      </w:r>
      <w:r>
        <w:rPr>
          <w:rFonts w:hint="eastAsia" w:ascii="仿宋" w:hAnsi="仿宋" w:eastAsia="仿宋" w:cs="仿宋"/>
          <w:color w:val="auto"/>
          <w:sz w:val="24"/>
          <w:szCs w:val="24"/>
          <w:highlight w:val="yellow"/>
          <w:lang w:val="en-GB" w:eastAsia="zh-CN"/>
        </w:rPr>
        <w:t>日</w:t>
      </w:r>
      <w:r>
        <w:rPr>
          <w:rFonts w:hint="eastAsia" w:ascii="仿宋" w:hAnsi="仿宋" w:eastAsia="仿宋" w:cs="仿宋"/>
          <w:color w:val="auto"/>
          <w:sz w:val="24"/>
          <w:szCs w:val="24"/>
          <w:highlight w:val="yellow"/>
          <w:lang w:val="en-GB"/>
        </w:rPr>
        <w:t xml:space="preserve"> </w:t>
      </w:r>
      <w:r>
        <w:rPr>
          <w:rFonts w:hint="eastAsia" w:ascii="仿宋" w:hAnsi="仿宋" w:eastAsia="仿宋" w:cs="仿宋"/>
          <w:color w:val="auto"/>
          <w:sz w:val="24"/>
          <w:szCs w:val="24"/>
          <w:highlight w:val="yellow"/>
          <w:lang w:val="en-US" w:eastAsia="zh-CN"/>
        </w:rPr>
        <w:t>10</w:t>
      </w:r>
      <w:r>
        <w:rPr>
          <w:rFonts w:hint="eastAsia" w:ascii="仿宋" w:hAnsi="仿宋" w:eastAsia="仿宋" w:cs="仿宋"/>
          <w:color w:val="auto"/>
          <w:sz w:val="24"/>
          <w:szCs w:val="24"/>
          <w:highlight w:val="yellow"/>
          <w:lang w:val="en-GB"/>
        </w:rPr>
        <w:t>:</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yellow"/>
          <w:lang w:val="en-GB"/>
        </w:rPr>
        <w:t>0</w:t>
      </w:r>
      <w:r>
        <w:rPr>
          <w:rFonts w:hint="eastAsia" w:ascii="仿宋" w:hAnsi="仿宋" w:eastAsia="仿宋" w:cs="仿宋"/>
          <w:color w:val="auto"/>
          <w:sz w:val="24"/>
          <w:szCs w:val="24"/>
          <w:highlight w:val="none"/>
          <w:lang w:val="en-GB"/>
        </w:rPr>
        <w:t>（北京时间）</w:t>
      </w:r>
    </w:p>
    <w:p w14:paraId="22D44B56">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投标地点：政采云开标大厅（</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"https://www.zcygov.xn--cn)-np6ej63c8vhfp5b/" </w:instrText>
      </w:r>
      <w:r>
        <w:rPr>
          <w:rFonts w:hint="eastAsia" w:ascii="仿宋" w:hAnsi="仿宋" w:eastAsia="仿宋" w:cs="仿宋"/>
          <w:color w:val="auto"/>
          <w:highlight w:val="none"/>
        </w:rPr>
        <w:fldChar w:fldCharType="separate"/>
      </w:r>
      <w:r>
        <w:rPr>
          <w:rFonts w:hint="eastAsia" w:ascii="仿宋" w:hAnsi="仿宋" w:eastAsia="仿宋" w:cs="仿宋"/>
          <w:color w:val="auto"/>
          <w:kern w:val="0"/>
          <w:sz w:val="24"/>
          <w:szCs w:val="24"/>
          <w:highlight w:val="none"/>
          <w:lang w:val="en-US" w:bidi="ar-SA"/>
        </w:rPr>
        <w:t>https://www.zcygov.cn在线投标）</w:t>
      </w:r>
      <w:r>
        <w:rPr>
          <w:rFonts w:hint="eastAsia" w:ascii="仿宋" w:hAnsi="仿宋" w:eastAsia="仿宋" w:cs="仿宋"/>
          <w:color w:val="auto"/>
          <w:kern w:val="0"/>
          <w:sz w:val="24"/>
          <w:szCs w:val="24"/>
          <w:highlight w:val="none"/>
          <w:lang w:val="en-US" w:bidi="ar-SA"/>
        </w:rPr>
        <w:fldChar w:fldCharType="end"/>
      </w:r>
    </w:p>
    <w:p w14:paraId="754FA316">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US" w:bidi="ar-SA"/>
        </w:rPr>
      </w:pPr>
      <w:r>
        <w:rPr>
          <w:rFonts w:hint="eastAsia" w:ascii="仿宋" w:hAnsi="仿宋" w:eastAsia="仿宋" w:cs="仿宋"/>
          <w:color w:val="auto"/>
          <w:kern w:val="0"/>
          <w:sz w:val="24"/>
          <w:szCs w:val="24"/>
          <w:highlight w:val="none"/>
          <w:lang w:val="en-US" w:bidi="ar-SA"/>
        </w:rPr>
        <w:t>开标时间：</w:t>
      </w:r>
      <w:r>
        <w:rPr>
          <w:rFonts w:hint="eastAsia" w:ascii="仿宋" w:hAnsi="仿宋" w:eastAsia="仿宋" w:cs="仿宋"/>
          <w:color w:val="auto"/>
          <w:sz w:val="24"/>
          <w:szCs w:val="24"/>
          <w:highlight w:val="yellow"/>
          <w:lang w:val="en-GB" w:eastAsia="zh-CN"/>
        </w:rPr>
        <w:t>202</w:t>
      </w:r>
      <w:r>
        <w:rPr>
          <w:rFonts w:hint="eastAsia" w:ascii="仿宋" w:hAnsi="仿宋" w:eastAsia="仿宋" w:cs="仿宋"/>
          <w:color w:val="auto"/>
          <w:sz w:val="24"/>
          <w:szCs w:val="24"/>
          <w:highlight w:val="yellow"/>
          <w:lang w:val="en-US" w:eastAsia="zh-CN"/>
        </w:rPr>
        <w:t>5</w:t>
      </w:r>
      <w:r>
        <w:rPr>
          <w:rFonts w:hint="eastAsia" w:ascii="仿宋" w:hAnsi="仿宋" w:eastAsia="仿宋" w:cs="仿宋"/>
          <w:color w:val="auto"/>
          <w:sz w:val="24"/>
          <w:szCs w:val="24"/>
          <w:highlight w:val="yellow"/>
          <w:lang w:val="en-GB" w:eastAsia="zh-CN"/>
        </w:rPr>
        <w:t>年</w:t>
      </w:r>
      <w:r>
        <w:rPr>
          <w:rFonts w:hint="eastAsia" w:ascii="仿宋" w:hAnsi="仿宋" w:eastAsia="仿宋" w:cs="仿宋"/>
          <w:color w:val="auto"/>
          <w:sz w:val="24"/>
          <w:szCs w:val="24"/>
          <w:highlight w:val="yellow"/>
          <w:lang w:val="en-US" w:eastAsia="zh-CN"/>
        </w:rPr>
        <w:t>4</w:t>
      </w:r>
      <w:r>
        <w:rPr>
          <w:rFonts w:hint="eastAsia" w:ascii="仿宋" w:hAnsi="仿宋" w:eastAsia="仿宋" w:cs="仿宋"/>
          <w:color w:val="auto"/>
          <w:sz w:val="24"/>
          <w:szCs w:val="24"/>
          <w:highlight w:val="yellow"/>
          <w:lang w:val="en-GB" w:eastAsia="zh-CN"/>
        </w:rPr>
        <w:t>月</w:t>
      </w:r>
      <w:r>
        <w:rPr>
          <w:rFonts w:hint="eastAsia" w:ascii="仿宋" w:hAnsi="仿宋" w:eastAsia="仿宋" w:cs="仿宋"/>
          <w:color w:val="auto"/>
          <w:sz w:val="24"/>
          <w:szCs w:val="24"/>
          <w:highlight w:val="yellow"/>
          <w:lang w:val="en-US" w:eastAsia="zh-CN"/>
        </w:rPr>
        <w:t>17</w:t>
      </w:r>
      <w:r>
        <w:rPr>
          <w:rFonts w:hint="eastAsia" w:ascii="仿宋" w:hAnsi="仿宋" w:eastAsia="仿宋" w:cs="仿宋"/>
          <w:color w:val="auto"/>
          <w:sz w:val="24"/>
          <w:szCs w:val="24"/>
          <w:highlight w:val="yellow"/>
          <w:lang w:val="en-GB" w:eastAsia="zh-CN"/>
        </w:rPr>
        <w:t>日</w:t>
      </w:r>
      <w:r>
        <w:rPr>
          <w:rFonts w:hint="eastAsia" w:ascii="仿宋" w:hAnsi="仿宋" w:eastAsia="仿宋" w:cs="仿宋"/>
          <w:color w:val="auto"/>
          <w:sz w:val="24"/>
          <w:szCs w:val="24"/>
          <w:highlight w:val="yellow"/>
          <w:lang w:val="en-GB"/>
        </w:rPr>
        <w:t xml:space="preserve"> </w:t>
      </w:r>
      <w:r>
        <w:rPr>
          <w:rFonts w:hint="eastAsia" w:ascii="仿宋" w:hAnsi="仿宋" w:eastAsia="仿宋" w:cs="仿宋"/>
          <w:color w:val="auto"/>
          <w:sz w:val="24"/>
          <w:szCs w:val="24"/>
          <w:highlight w:val="yellow"/>
          <w:lang w:val="en-US" w:eastAsia="zh-CN"/>
        </w:rPr>
        <w:t>10</w:t>
      </w:r>
      <w:r>
        <w:rPr>
          <w:rFonts w:hint="eastAsia" w:ascii="仿宋" w:hAnsi="仿宋" w:eastAsia="仿宋" w:cs="仿宋"/>
          <w:color w:val="auto"/>
          <w:sz w:val="24"/>
          <w:szCs w:val="24"/>
          <w:highlight w:val="yellow"/>
          <w:lang w:val="en-GB"/>
        </w:rPr>
        <w:t>:</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yellow"/>
          <w:lang w:val="en-GB"/>
        </w:rPr>
        <w:t>0</w:t>
      </w:r>
      <w:r>
        <w:rPr>
          <w:rFonts w:hint="eastAsia" w:ascii="仿宋" w:hAnsi="仿宋" w:eastAsia="仿宋" w:cs="仿宋"/>
          <w:color w:val="auto"/>
          <w:sz w:val="24"/>
          <w:szCs w:val="24"/>
          <w:highlight w:val="none"/>
          <w:lang w:val="en-GB"/>
        </w:rPr>
        <w:t>（北京时间）</w:t>
      </w:r>
    </w:p>
    <w:p w14:paraId="1A823267">
      <w:pPr>
        <w:pStyle w:val="34"/>
        <w:tabs>
          <w:tab w:val="left" w:pos="636"/>
        </w:tabs>
        <w:spacing w:line="360" w:lineRule="auto"/>
        <w:ind w:left="107" w:right="98" w:firstLine="480" w:firstLineChars="200"/>
        <w:outlineLvl w:val="9"/>
        <w:rPr>
          <w:rFonts w:hint="eastAsia" w:ascii="仿宋" w:hAnsi="仿宋" w:eastAsia="仿宋" w:cs="仿宋"/>
          <w:color w:val="auto"/>
          <w:sz w:val="24"/>
          <w:szCs w:val="24"/>
          <w:highlight w:val="none"/>
          <w:lang w:val="en-GB"/>
        </w:rPr>
      </w:pPr>
      <w:r>
        <w:rPr>
          <w:rFonts w:hint="eastAsia" w:ascii="仿宋" w:hAnsi="仿宋" w:eastAsia="仿宋" w:cs="仿宋"/>
          <w:color w:val="auto"/>
          <w:kern w:val="0"/>
          <w:sz w:val="24"/>
          <w:szCs w:val="24"/>
          <w:highlight w:val="none"/>
          <w:lang w:val="en-US" w:bidi="ar-SA"/>
        </w:rPr>
        <w:t>开标地点：政采云开标大厅（https://www.zcygov.cn在线投标）</w:t>
      </w:r>
    </w:p>
    <w:p w14:paraId="09F4F5BF">
      <w:pPr>
        <w:pStyle w:val="8"/>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六、公告期限</w:t>
      </w:r>
    </w:p>
    <w:p w14:paraId="546010F6">
      <w:pPr>
        <w:pStyle w:val="34"/>
        <w:tabs>
          <w:tab w:val="left" w:pos="636"/>
        </w:tabs>
        <w:spacing w:line="360" w:lineRule="auto"/>
        <w:ind w:left="107" w:right="98" w:firstLine="480" w:firstLineChars="200"/>
        <w:outlineLvl w:val="9"/>
        <w:rPr>
          <w:rFonts w:hint="eastAsia" w:ascii="仿宋" w:hAnsi="仿宋" w:eastAsia="仿宋" w:cs="仿宋"/>
          <w:color w:val="auto"/>
          <w:kern w:val="0"/>
          <w:sz w:val="24"/>
          <w:szCs w:val="24"/>
          <w:highlight w:val="none"/>
          <w:lang w:val="en-GB" w:bidi="ar-SA"/>
        </w:rPr>
      </w:pPr>
      <w:r>
        <w:rPr>
          <w:rFonts w:hint="eastAsia" w:ascii="仿宋" w:hAnsi="仿宋" w:eastAsia="仿宋" w:cs="仿宋"/>
          <w:color w:val="auto"/>
          <w:kern w:val="0"/>
          <w:sz w:val="24"/>
          <w:szCs w:val="24"/>
          <w:highlight w:val="none"/>
          <w:lang w:val="en-GB" w:bidi="ar-SA"/>
        </w:rPr>
        <w:t>自本公告发布之日起</w:t>
      </w:r>
      <w:r>
        <w:rPr>
          <w:rFonts w:hint="eastAsia" w:ascii="仿宋" w:hAnsi="仿宋" w:eastAsia="仿宋" w:cs="仿宋"/>
          <w:color w:val="auto"/>
          <w:kern w:val="0"/>
          <w:sz w:val="24"/>
          <w:szCs w:val="24"/>
          <w:highlight w:val="none"/>
          <w:lang w:val="en-US" w:bidi="ar-SA"/>
        </w:rPr>
        <w:t>5</w:t>
      </w:r>
      <w:r>
        <w:rPr>
          <w:rFonts w:hint="eastAsia" w:ascii="仿宋" w:hAnsi="仿宋" w:eastAsia="仿宋" w:cs="仿宋"/>
          <w:color w:val="auto"/>
          <w:kern w:val="0"/>
          <w:sz w:val="24"/>
          <w:szCs w:val="24"/>
          <w:highlight w:val="none"/>
          <w:lang w:val="en-GB" w:bidi="ar-SA"/>
        </w:rPr>
        <w:t>个工作日。</w:t>
      </w:r>
    </w:p>
    <w:p w14:paraId="2DC448A2">
      <w:pPr>
        <w:pStyle w:val="8"/>
        <w:spacing w:line="360" w:lineRule="auto"/>
        <w:ind w:firstLine="480" w:firstLineChars="200"/>
        <w:outlineLvl w:val="9"/>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七、其他补充事宜</w:t>
      </w:r>
    </w:p>
    <w:p w14:paraId="41ECC491">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1.本项目为电子招投标，供应商需要使用CA加密锁，凡参加本项目投标须自行申领CA加密锁。 </w:t>
      </w:r>
    </w:p>
    <w:p w14:paraId="4F5DC6ED">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2.本项目实行网上投标，采用电子投标文件(供应商须使用CA加密锁通过政采云电子投标客户端制作投标文件)。若供应商参与投标，自行承担投标一切费用。 </w:t>
      </w:r>
    </w:p>
    <w:p w14:paraId="1B2850C5">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3.各供应商应确保是新疆维吾尔自治区政府采购网正式注册入库供应商，并完成CA数字证书申领。因未注册入库、未办理CA数字证书等原因造成无法投标或投标失败等后果由供应商自行承担。 </w:t>
      </w:r>
    </w:p>
    <w:p w14:paraId="47943C43">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color w:val="auto"/>
          <w:kern w:val="0"/>
          <w:sz w:val="24"/>
          <w:szCs w:val="24"/>
          <w:highlight w:val="none"/>
          <w:lang w:eastAsia="zh-CN"/>
        </w:rPr>
        <w:t>95763</w:t>
      </w:r>
      <w:r>
        <w:rPr>
          <w:rFonts w:hint="eastAsia" w:ascii="仿宋" w:hAnsi="仿宋" w:eastAsia="仿宋" w:cs="仿宋"/>
          <w:color w:val="auto"/>
          <w:kern w:val="0"/>
          <w:sz w:val="24"/>
          <w:szCs w:val="24"/>
          <w:highlight w:val="none"/>
        </w:rPr>
        <w:t xml:space="preserve">进行咨询。 </w:t>
      </w:r>
    </w:p>
    <w:p w14:paraId="25613A12">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5.供应商在开标时须使用制作加密电子投标文件所使用的CA锁及电脑，电脑须提前配置好浏览器（建议使用360浏览器或谷歌浏览器），以便开标时解锁。  </w:t>
      </w:r>
    </w:p>
    <w:p w14:paraId="301EC1D8">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6.投标保证金缴纳及确认时间：凡拟参加本次招标项目的供应商，必须在开标前将投标保证金汇入指定账户。投标保证金汇款凭证上用途栏应注明:</w:t>
      </w:r>
      <w:r>
        <w:rPr>
          <w:rFonts w:hint="eastAsia" w:ascii="仿宋" w:hAnsi="仿宋" w:eastAsia="仿宋" w:cs="仿宋"/>
          <w:color w:val="auto"/>
          <w:kern w:val="0"/>
          <w:sz w:val="24"/>
          <w:szCs w:val="24"/>
          <w:highlight w:val="none"/>
          <w:lang w:val="en-US" w:eastAsia="zh-CN"/>
        </w:rPr>
        <w:t>投标保证金</w:t>
      </w:r>
      <w:r>
        <w:rPr>
          <w:rFonts w:hint="eastAsia" w:ascii="仿宋" w:hAnsi="仿宋" w:eastAsia="仿宋" w:cs="仿宋"/>
          <w:color w:val="auto"/>
          <w:kern w:val="0"/>
          <w:sz w:val="24"/>
          <w:szCs w:val="24"/>
          <w:highlight w:val="none"/>
        </w:rPr>
        <w:t>+项目编号。否则，届时其投标将被拒绝。</w:t>
      </w:r>
    </w:p>
    <w:p w14:paraId="3F5647EE">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w:t>
      </w:r>
    </w:p>
    <w:p w14:paraId="05978C83">
      <w:pPr>
        <w:spacing w:line="360" w:lineRule="auto"/>
        <w:ind w:left="38" w:leftChars="18" w:right="36" w:rightChars="17" w:firstLine="482" w:firstLineChars="200"/>
        <w:outlineLvl w:val="9"/>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特别提示：</w:t>
      </w:r>
    </w:p>
    <w:p w14:paraId="7F7CE369">
      <w:pPr>
        <w:spacing w:line="360" w:lineRule="auto"/>
        <w:ind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1、采购限额标准以上，200万元以下的货物和服务采购项目、400万元以下的工程采购项目，适宜由中小企业提供的，采购人应当专门面向中小企业采购。</w:t>
      </w:r>
    </w:p>
    <w:p w14:paraId="397F5C1C">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2、超过200万元的货物和服务采购项目，预留该部分采购项目预算总额的30%以上专门面向中小企业采购，其中预留给小微企业的比例不低于60%。</w:t>
      </w:r>
    </w:p>
    <w:p w14:paraId="12D4868E">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3、超过400万元的工程采购项目中适宜由中小企业提供的，预留该部分采购项目预算总额的40%以上专门面向中小企业采购，其中预留给小微企业的比例不低于60%。</w:t>
      </w:r>
    </w:p>
    <w:p w14:paraId="1CC258CD">
      <w:pPr>
        <w:spacing w:line="360" w:lineRule="auto"/>
        <w:ind w:left="38" w:leftChars="18" w:right="36" w:rightChars="17"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6429316">
      <w:pPr>
        <w:spacing w:line="360" w:lineRule="auto"/>
        <w:ind w:left="38" w:leftChars="18" w:right="36" w:rightChars="17" w:firstLine="480" w:firstLineChars="200"/>
        <w:outlineLvl w:val="9"/>
        <w:rPr>
          <w:rFonts w:hint="eastAsia"/>
        </w:rPr>
      </w:pPr>
      <w:r>
        <w:rPr>
          <w:rFonts w:hint="eastAsia" w:ascii="仿宋" w:hAnsi="仿宋" w:eastAsia="仿宋" w:cs="仿宋"/>
          <w:color w:val="auto"/>
          <w:kern w:val="0"/>
          <w:sz w:val="24"/>
          <w:szCs w:val="24"/>
          <w:highlight w:val="none"/>
        </w:rPr>
        <w:t> 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251CFBB9">
      <w:pPr>
        <w:spacing w:line="360" w:lineRule="auto"/>
        <w:ind w:firstLine="300" w:firstLineChars="1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八、对本次招标提出询问，请按以下方式联系。　　　　　　　　　　　　</w:t>
      </w:r>
    </w:p>
    <w:p w14:paraId="7BA7C024">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1.采购人信息</w:t>
      </w:r>
    </w:p>
    <w:p w14:paraId="44445B21">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名    称：</w:t>
      </w:r>
      <w:r>
        <w:rPr>
          <w:rFonts w:hint="eastAsia" w:ascii="仿宋" w:hAnsi="仿宋" w:eastAsia="仿宋" w:cs="仿宋"/>
          <w:bCs/>
          <w:color w:val="auto"/>
          <w:sz w:val="24"/>
          <w:szCs w:val="24"/>
          <w:highlight w:val="none"/>
          <w:lang w:eastAsia="zh-CN"/>
        </w:rPr>
        <w:t>库尔勒市第二幼儿园</w:t>
      </w:r>
      <w:r>
        <w:rPr>
          <w:rFonts w:hint="eastAsia" w:ascii="仿宋" w:hAnsi="仿宋" w:eastAsia="仿宋" w:cs="仿宋"/>
          <w:bCs/>
          <w:color w:val="auto"/>
          <w:sz w:val="24"/>
          <w:szCs w:val="24"/>
          <w:highlight w:val="none"/>
        </w:rPr>
        <w:t>　　　　　　　　　　　</w:t>
      </w:r>
    </w:p>
    <w:p w14:paraId="733358E4">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地    址： 库尔勒市     </w:t>
      </w:r>
    </w:p>
    <w:p w14:paraId="7B347CCF">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项目联系人（询问）：</w:t>
      </w:r>
      <w:r>
        <w:rPr>
          <w:rFonts w:hint="eastAsia" w:ascii="仿宋" w:hAnsi="仿宋" w:eastAsia="仿宋" w:cs="仿宋"/>
          <w:bCs/>
          <w:color w:val="auto"/>
          <w:sz w:val="24"/>
          <w:szCs w:val="24"/>
          <w:highlight w:val="none"/>
          <w:lang w:eastAsia="zh-CN"/>
        </w:rPr>
        <w:t>高慧慧 </w:t>
      </w:r>
      <w:r>
        <w:rPr>
          <w:rFonts w:hint="eastAsia" w:ascii="仿宋" w:hAnsi="仿宋" w:eastAsia="仿宋" w:cs="仿宋"/>
          <w:bCs/>
          <w:color w:val="auto"/>
          <w:sz w:val="24"/>
          <w:szCs w:val="24"/>
          <w:highlight w:val="none"/>
        </w:rPr>
        <w:t>  　　　　　　　　　　</w:t>
      </w:r>
    </w:p>
    <w:p w14:paraId="62A16603">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项目联系方式（询问）：</w:t>
      </w:r>
      <w:r>
        <w:rPr>
          <w:rFonts w:hint="eastAsia" w:ascii="仿宋" w:hAnsi="仿宋" w:eastAsia="仿宋" w:cs="仿宋"/>
          <w:bCs/>
          <w:color w:val="auto"/>
          <w:sz w:val="24"/>
          <w:szCs w:val="24"/>
          <w:highlight w:val="none"/>
          <w:lang w:eastAsia="zh-CN"/>
        </w:rPr>
        <w:t>19999197179</w:t>
      </w:r>
      <w:r>
        <w:rPr>
          <w:rFonts w:hint="eastAsia" w:ascii="仿宋" w:hAnsi="仿宋" w:eastAsia="仿宋" w:cs="仿宋"/>
          <w:bCs/>
          <w:color w:val="auto"/>
          <w:sz w:val="24"/>
          <w:szCs w:val="24"/>
          <w:highlight w:val="none"/>
        </w:rPr>
        <w:t>　　　　　　　</w:t>
      </w:r>
      <w:r>
        <w:rPr>
          <w:rFonts w:hint="eastAsia" w:ascii="仿宋" w:hAnsi="仿宋" w:eastAsia="仿宋" w:cs="仿宋"/>
          <w:bCs/>
          <w:color w:val="auto"/>
          <w:sz w:val="24"/>
          <w:szCs w:val="24"/>
          <w:highlight w:val="none"/>
        </w:rPr>
        <w:br w:type="textWrapping"/>
      </w:r>
      <w:r>
        <w:rPr>
          <w:rFonts w:hint="eastAsia" w:ascii="仿宋" w:hAnsi="仿宋" w:eastAsia="仿宋" w:cs="仿宋"/>
          <w:bCs/>
          <w:color w:val="auto"/>
          <w:sz w:val="24"/>
          <w:szCs w:val="24"/>
          <w:highlight w:val="none"/>
        </w:rPr>
        <w:t>   2.采购代理机构信息</w:t>
      </w:r>
    </w:p>
    <w:p w14:paraId="035FE252">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名    称：</w:t>
      </w:r>
      <w:r>
        <w:rPr>
          <w:rFonts w:hint="eastAsia" w:ascii="仿宋" w:hAnsi="仿宋" w:eastAsia="仿宋" w:cs="仿宋"/>
          <w:bCs/>
          <w:color w:val="auto"/>
          <w:sz w:val="24"/>
          <w:szCs w:val="24"/>
          <w:highlight w:val="none"/>
          <w:lang w:eastAsia="zh-CN"/>
        </w:rPr>
        <w:t>新疆益双工程管理有限公司</w:t>
      </w:r>
      <w:r>
        <w:rPr>
          <w:rFonts w:hint="eastAsia" w:ascii="仿宋" w:hAnsi="仿宋" w:eastAsia="仿宋" w:cs="仿宋"/>
          <w:bCs/>
          <w:color w:val="auto"/>
          <w:sz w:val="24"/>
          <w:szCs w:val="24"/>
          <w:highlight w:val="none"/>
        </w:rPr>
        <w:t> 　　　　　　　　　　　</w:t>
      </w:r>
    </w:p>
    <w:p w14:paraId="2C8C56C1">
      <w:pPr>
        <w:spacing w:line="360" w:lineRule="auto"/>
        <w:ind w:firstLine="480" w:firstLineChars="200"/>
        <w:outlineLvl w:val="9"/>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地    址：</w:t>
      </w:r>
      <w:r>
        <w:rPr>
          <w:rFonts w:hint="eastAsia" w:ascii="仿宋" w:hAnsi="仿宋" w:eastAsia="仿宋" w:cs="仿宋"/>
          <w:bCs/>
          <w:color w:val="auto"/>
          <w:sz w:val="24"/>
          <w:szCs w:val="24"/>
          <w:highlight w:val="none"/>
          <w:lang w:eastAsia="zh-CN"/>
        </w:rPr>
        <w:t>库尔勒市铁克其路冠农汇景台门面房3栋3层</w:t>
      </w:r>
    </w:p>
    <w:p w14:paraId="08153859">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项目联系人（询问）：</w:t>
      </w:r>
      <w:r>
        <w:rPr>
          <w:rFonts w:hint="eastAsia" w:ascii="仿宋" w:hAnsi="仿宋" w:eastAsia="仿宋" w:cs="仿宋"/>
          <w:bCs/>
          <w:color w:val="auto"/>
          <w:sz w:val="24"/>
          <w:szCs w:val="24"/>
          <w:highlight w:val="none"/>
          <w:lang w:eastAsia="zh-CN"/>
        </w:rPr>
        <w:t>周先生</w:t>
      </w:r>
      <w:r>
        <w:rPr>
          <w:rFonts w:hint="eastAsia" w:ascii="仿宋" w:hAnsi="仿宋" w:eastAsia="仿宋" w:cs="仿宋"/>
          <w:bCs/>
          <w:color w:val="auto"/>
          <w:sz w:val="24"/>
          <w:szCs w:val="24"/>
          <w:highlight w:val="none"/>
        </w:rPr>
        <w:t>　　　　　　　　　　　</w:t>
      </w:r>
    </w:p>
    <w:p w14:paraId="3E22774E">
      <w:pPr>
        <w:pStyle w:val="8"/>
        <w:spacing w:line="360" w:lineRule="auto"/>
        <w:ind w:firstLine="480" w:firstLineChars="200"/>
        <w:outlineLvl w:val="9"/>
        <w:rPr>
          <w:rFonts w:hint="eastAsia" w:ascii="仿宋" w:hAnsi="仿宋" w:eastAsia="仿宋" w:cs="仿宋"/>
          <w:b/>
          <w:color w:val="auto"/>
          <w:sz w:val="36"/>
          <w:highlight w:val="none"/>
        </w:rPr>
      </w:pPr>
      <w:r>
        <w:rPr>
          <w:rFonts w:hint="eastAsia" w:ascii="仿宋" w:hAnsi="仿宋" w:eastAsia="仿宋" w:cs="仿宋"/>
          <w:bCs/>
          <w:color w:val="auto"/>
          <w:sz w:val="24"/>
          <w:szCs w:val="24"/>
          <w:highlight w:val="none"/>
          <w:lang w:val="en-US"/>
        </w:rPr>
        <w:t>项目联系方式（询问）：</w:t>
      </w:r>
      <w:r>
        <w:rPr>
          <w:rFonts w:hint="eastAsia" w:ascii="仿宋" w:hAnsi="仿宋" w:eastAsia="仿宋" w:cs="仿宋"/>
          <w:bCs/>
          <w:color w:val="auto"/>
          <w:sz w:val="24"/>
          <w:szCs w:val="24"/>
          <w:highlight w:val="none"/>
          <w:lang w:val="en-US" w:eastAsia="zh-CN"/>
        </w:rPr>
        <w:t>18699639766</w:t>
      </w:r>
    </w:p>
    <w:p w14:paraId="3B6F9BE8">
      <w:pPr>
        <w:widowControl/>
        <w:spacing w:line="360" w:lineRule="auto"/>
        <w:jc w:val="center"/>
        <w:outlineLvl w:val="0"/>
        <w:rPr>
          <w:rFonts w:hint="eastAsia" w:ascii="仿宋" w:hAnsi="仿宋" w:eastAsia="仿宋" w:cs="仿宋"/>
          <w:b/>
          <w:color w:val="auto"/>
          <w:kern w:val="0"/>
          <w:sz w:val="36"/>
          <w:szCs w:val="36"/>
          <w:highlight w:val="none"/>
          <w:lang w:val="en-US" w:eastAsia="zh-CN" w:bidi="ar-SA"/>
        </w:rPr>
      </w:pPr>
      <w:r>
        <w:rPr>
          <w:rFonts w:hint="eastAsia" w:ascii="仿宋" w:hAnsi="仿宋" w:eastAsia="仿宋" w:cs="仿宋"/>
          <w:b/>
          <w:color w:val="auto"/>
          <w:kern w:val="0"/>
          <w:sz w:val="36"/>
          <w:szCs w:val="36"/>
          <w:highlight w:val="none"/>
          <w:lang w:val="en-US" w:eastAsia="zh-CN" w:bidi="ar-SA"/>
        </w:rPr>
        <w:t>第二部分 投标须知</w:t>
      </w:r>
    </w:p>
    <w:tbl>
      <w:tblPr>
        <w:tblStyle w:val="25"/>
        <w:tblW w:w="90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1269"/>
        <w:gridCol w:w="6915"/>
      </w:tblGrid>
      <w:tr w14:paraId="3F254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834" w:type="dxa"/>
            <w:vAlign w:val="center"/>
          </w:tcPr>
          <w:p w14:paraId="671566C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项号</w:t>
            </w:r>
          </w:p>
        </w:tc>
        <w:tc>
          <w:tcPr>
            <w:tcW w:w="1269" w:type="dxa"/>
            <w:vAlign w:val="center"/>
          </w:tcPr>
          <w:p w14:paraId="1531BF9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w:t>
            </w:r>
          </w:p>
        </w:tc>
        <w:tc>
          <w:tcPr>
            <w:tcW w:w="6915" w:type="dxa"/>
            <w:vAlign w:val="center"/>
          </w:tcPr>
          <w:p w14:paraId="33D407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容</w:t>
            </w:r>
          </w:p>
        </w:tc>
      </w:tr>
      <w:tr w14:paraId="784F6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834" w:type="dxa"/>
            <w:vAlign w:val="center"/>
          </w:tcPr>
          <w:p w14:paraId="523DA8F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269" w:type="dxa"/>
            <w:vAlign w:val="center"/>
          </w:tcPr>
          <w:p w14:paraId="3FFA8D5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6915" w:type="dxa"/>
            <w:vAlign w:val="center"/>
          </w:tcPr>
          <w:p w14:paraId="3645F21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2025年第三十七幼儿园设施设备采购-二标段</w:t>
            </w:r>
          </w:p>
        </w:tc>
      </w:tr>
      <w:tr w14:paraId="3337C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4" w:type="dxa"/>
            <w:vAlign w:val="center"/>
          </w:tcPr>
          <w:p w14:paraId="2E14B4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269" w:type="dxa"/>
            <w:vAlign w:val="center"/>
          </w:tcPr>
          <w:p w14:paraId="3AC6988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项目编号</w:t>
            </w:r>
          </w:p>
        </w:tc>
        <w:tc>
          <w:tcPr>
            <w:tcW w:w="6915" w:type="dxa"/>
            <w:vAlign w:val="center"/>
          </w:tcPr>
          <w:p w14:paraId="5E8F96D6">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XJYS(ZFCG)2025-002</w:t>
            </w:r>
          </w:p>
        </w:tc>
      </w:tr>
      <w:tr w14:paraId="28DEA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834" w:type="dxa"/>
            <w:vAlign w:val="center"/>
          </w:tcPr>
          <w:p w14:paraId="21E49D9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269" w:type="dxa"/>
            <w:vAlign w:val="center"/>
          </w:tcPr>
          <w:p w14:paraId="292C61B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供货期</w:t>
            </w:r>
          </w:p>
        </w:tc>
        <w:tc>
          <w:tcPr>
            <w:tcW w:w="6915" w:type="dxa"/>
            <w:vAlign w:val="center"/>
          </w:tcPr>
          <w:p w14:paraId="2383EB98">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签订合同后15天完成供货及安装</w:t>
            </w:r>
          </w:p>
        </w:tc>
      </w:tr>
      <w:tr w14:paraId="6559C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834" w:type="dxa"/>
            <w:vAlign w:val="center"/>
          </w:tcPr>
          <w:p w14:paraId="2293A03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269" w:type="dxa"/>
            <w:vAlign w:val="center"/>
          </w:tcPr>
          <w:p w14:paraId="7CAD061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供货地点</w:t>
            </w:r>
          </w:p>
        </w:tc>
        <w:tc>
          <w:tcPr>
            <w:tcW w:w="6915" w:type="dxa"/>
            <w:vAlign w:val="center"/>
          </w:tcPr>
          <w:p w14:paraId="0FA32669">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default" w:ascii="仿宋" w:hAnsi="仿宋" w:eastAsia="仿宋" w:cs="仿宋"/>
                <w:color w:val="auto"/>
                <w:sz w:val="24"/>
                <w:szCs w:val="24"/>
                <w:highlight w:val="none"/>
                <w:lang w:val="en-US" w:eastAsia="zh-CN"/>
              </w:rPr>
            </w:pPr>
            <w:r>
              <w:rPr>
                <w:rFonts w:hint="default" w:ascii="仿宋" w:hAnsi="仿宋" w:eastAsia="仿宋" w:cs="仿宋"/>
                <w:color w:val="auto"/>
                <w:sz w:val="24"/>
                <w:szCs w:val="24"/>
                <w:highlight w:val="none"/>
                <w:lang w:val="en-US" w:eastAsia="zh-CN"/>
              </w:rPr>
              <w:t>第三十七幼儿园</w:t>
            </w:r>
          </w:p>
        </w:tc>
      </w:tr>
      <w:tr w14:paraId="73F90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34" w:type="dxa"/>
            <w:vAlign w:val="center"/>
          </w:tcPr>
          <w:p w14:paraId="7FB4A7A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1269" w:type="dxa"/>
            <w:vAlign w:val="center"/>
          </w:tcPr>
          <w:p w14:paraId="34FBD4F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资金来源</w:t>
            </w:r>
          </w:p>
        </w:tc>
        <w:tc>
          <w:tcPr>
            <w:tcW w:w="6915" w:type="dxa"/>
            <w:vAlign w:val="center"/>
          </w:tcPr>
          <w:p w14:paraId="047DC0CD">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专项资金</w:t>
            </w:r>
          </w:p>
        </w:tc>
      </w:tr>
      <w:tr w14:paraId="6FA3F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834" w:type="dxa"/>
            <w:vAlign w:val="center"/>
          </w:tcPr>
          <w:p w14:paraId="369C2A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c>
          <w:tcPr>
            <w:tcW w:w="1269" w:type="dxa"/>
            <w:vAlign w:val="center"/>
          </w:tcPr>
          <w:p w14:paraId="02B1AC3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及本项目所属行业</w:t>
            </w:r>
          </w:p>
        </w:tc>
        <w:tc>
          <w:tcPr>
            <w:tcW w:w="6915" w:type="dxa"/>
            <w:vAlign w:val="center"/>
          </w:tcPr>
          <w:p w14:paraId="6BD9AF5F">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采购方式：</w:t>
            </w:r>
            <w:r>
              <w:rPr>
                <w:rFonts w:hint="eastAsia" w:ascii="仿宋" w:hAnsi="仿宋" w:eastAsia="仿宋" w:cs="仿宋"/>
                <w:color w:val="auto"/>
                <w:sz w:val="24"/>
                <w:szCs w:val="24"/>
                <w:highlight w:val="none"/>
              </w:rPr>
              <w:t>公开招标</w:t>
            </w:r>
          </w:p>
          <w:p w14:paraId="46144686">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本项目所属行业：零售业</w:t>
            </w:r>
          </w:p>
        </w:tc>
      </w:tr>
      <w:tr w14:paraId="214BE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jc w:val="center"/>
        </w:trPr>
        <w:tc>
          <w:tcPr>
            <w:tcW w:w="834" w:type="dxa"/>
            <w:vAlign w:val="center"/>
          </w:tcPr>
          <w:p w14:paraId="7A2AC5E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p>
        </w:tc>
        <w:tc>
          <w:tcPr>
            <w:tcW w:w="1269" w:type="dxa"/>
            <w:vAlign w:val="center"/>
          </w:tcPr>
          <w:p w14:paraId="1A5C0E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6915" w:type="dxa"/>
            <w:vAlign w:val="center"/>
          </w:tcPr>
          <w:p w14:paraId="6B236F7E">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库尔勒市第二幼儿园</w:t>
            </w:r>
            <w:r>
              <w:rPr>
                <w:rFonts w:hint="eastAsia" w:ascii="仿宋" w:hAnsi="仿宋" w:eastAsia="仿宋" w:cs="仿宋"/>
                <w:color w:val="auto"/>
                <w:sz w:val="24"/>
                <w:szCs w:val="24"/>
                <w:highlight w:val="none"/>
              </w:rPr>
              <w:t>　　　　　　　　　　　</w:t>
            </w:r>
          </w:p>
          <w:p w14:paraId="2EFB6A0E">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址：库尔勒市     </w:t>
            </w:r>
          </w:p>
          <w:p w14:paraId="21D7C702">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w:t>
            </w:r>
            <w:r>
              <w:rPr>
                <w:rFonts w:hint="eastAsia" w:ascii="仿宋" w:hAnsi="仿宋" w:eastAsia="仿宋" w:cs="仿宋"/>
                <w:color w:val="auto"/>
                <w:sz w:val="24"/>
                <w:szCs w:val="24"/>
                <w:highlight w:val="none"/>
                <w:lang w:eastAsia="zh-CN"/>
              </w:rPr>
              <w:t>高慧慧 </w:t>
            </w:r>
            <w:r>
              <w:rPr>
                <w:rFonts w:hint="eastAsia" w:ascii="仿宋" w:hAnsi="仿宋" w:eastAsia="仿宋" w:cs="仿宋"/>
                <w:color w:val="auto"/>
                <w:sz w:val="24"/>
                <w:szCs w:val="24"/>
                <w:highlight w:val="none"/>
              </w:rPr>
              <w:t> 　　　　　　　　　　</w:t>
            </w:r>
          </w:p>
          <w:p w14:paraId="75822557">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w:t>
            </w:r>
            <w:r>
              <w:rPr>
                <w:rFonts w:hint="eastAsia" w:ascii="仿宋" w:hAnsi="仿宋" w:eastAsia="仿宋" w:cs="仿宋"/>
                <w:bCs/>
                <w:color w:val="auto"/>
                <w:sz w:val="24"/>
                <w:szCs w:val="24"/>
                <w:highlight w:val="none"/>
                <w:lang w:eastAsia="zh-CN"/>
              </w:rPr>
              <w:t>19999197179</w:t>
            </w:r>
            <w:r>
              <w:rPr>
                <w:rFonts w:hint="eastAsia" w:ascii="仿宋" w:hAnsi="仿宋" w:eastAsia="仿宋" w:cs="仿宋"/>
                <w:bCs/>
                <w:color w:val="auto"/>
                <w:sz w:val="24"/>
                <w:szCs w:val="24"/>
                <w:highlight w:val="none"/>
              </w:rPr>
              <w:t>　</w:t>
            </w:r>
          </w:p>
        </w:tc>
      </w:tr>
      <w:tr w14:paraId="6202B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9" w:hRule="atLeast"/>
          <w:jc w:val="center"/>
        </w:trPr>
        <w:tc>
          <w:tcPr>
            <w:tcW w:w="834" w:type="dxa"/>
            <w:vAlign w:val="center"/>
          </w:tcPr>
          <w:p w14:paraId="4652FD3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1269" w:type="dxa"/>
            <w:vAlign w:val="center"/>
          </w:tcPr>
          <w:p w14:paraId="071AE8B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w:t>
            </w:r>
          </w:p>
        </w:tc>
        <w:tc>
          <w:tcPr>
            <w:tcW w:w="6915" w:type="dxa"/>
            <w:vAlign w:val="center"/>
          </w:tcPr>
          <w:p w14:paraId="6077399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lang w:eastAsia="zh-CN"/>
              </w:rPr>
              <w:t>新疆益双工程管理有限公司</w:t>
            </w:r>
            <w:r>
              <w:rPr>
                <w:rFonts w:hint="eastAsia" w:ascii="仿宋" w:hAnsi="仿宋" w:eastAsia="仿宋" w:cs="仿宋"/>
                <w:color w:val="auto"/>
                <w:sz w:val="24"/>
                <w:szCs w:val="24"/>
                <w:highlight w:val="none"/>
              </w:rPr>
              <w:t> 　　　　　　　　　　　</w:t>
            </w:r>
          </w:p>
          <w:p w14:paraId="78ADB463">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lang w:eastAsia="zh-CN"/>
              </w:rPr>
              <w:t>库尔勒市铁克其路冠农汇景台门面房3栋3层</w:t>
            </w:r>
          </w:p>
          <w:p w14:paraId="45AD1A05">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项目联系人：</w:t>
            </w:r>
            <w:r>
              <w:rPr>
                <w:rFonts w:hint="eastAsia" w:ascii="仿宋" w:hAnsi="仿宋" w:eastAsia="仿宋" w:cs="仿宋"/>
                <w:color w:val="auto"/>
                <w:sz w:val="24"/>
                <w:szCs w:val="24"/>
                <w:highlight w:val="none"/>
                <w:lang w:eastAsia="zh-CN"/>
              </w:rPr>
              <w:t>周先生</w:t>
            </w:r>
            <w:r>
              <w:rPr>
                <w:rFonts w:hint="eastAsia" w:ascii="仿宋" w:hAnsi="仿宋" w:eastAsia="仿宋" w:cs="仿宋"/>
                <w:color w:val="auto"/>
                <w:sz w:val="24"/>
                <w:szCs w:val="24"/>
                <w:highlight w:val="none"/>
              </w:rPr>
              <w:t>   　　　　　　　　　　　</w:t>
            </w:r>
          </w:p>
          <w:p w14:paraId="16847891">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项目联系方式：</w:t>
            </w:r>
            <w:r>
              <w:rPr>
                <w:rFonts w:hint="eastAsia" w:ascii="仿宋" w:hAnsi="仿宋" w:eastAsia="仿宋" w:cs="仿宋"/>
                <w:color w:val="auto"/>
                <w:sz w:val="24"/>
                <w:szCs w:val="24"/>
                <w:highlight w:val="none"/>
                <w:lang w:eastAsia="zh-CN"/>
              </w:rPr>
              <w:t>18699639766</w:t>
            </w:r>
          </w:p>
        </w:tc>
      </w:tr>
      <w:tr w14:paraId="3C790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1" w:hRule="atLeast"/>
          <w:jc w:val="center"/>
        </w:trPr>
        <w:tc>
          <w:tcPr>
            <w:tcW w:w="834" w:type="dxa"/>
            <w:vAlign w:val="center"/>
          </w:tcPr>
          <w:p w14:paraId="6BDA8EF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1269" w:type="dxa"/>
            <w:vAlign w:val="center"/>
          </w:tcPr>
          <w:p w14:paraId="2B39880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投标人必备资质</w:t>
            </w:r>
          </w:p>
        </w:tc>
        <w:tc>
          <w:tcPr>
            <w:tcW w:w="6915" w:type="dxa"/>
            <w:vAlign w:val="center"/>
          </w:tcPr>
          <w:p w14:paraId="3A45445F">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（1）具有独立承担民事责任能力的在中华人民共和国境内注册的法人，提供有效的营业执照； </w:t>
            </w:r>
          </w:p>
          <w:p w14:paraId="41DC1739">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（2）法定代表人资格证明书及身份证或法人授权委托书及被授权人身份证； </w:t>
            </w:r>
          </w:p>
          <w:p w14:paraId="267D9A75">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（3）具有履行合同所必需的机械设备和专业技术力量，并在人员、运输、资金等方面具有相应的能力；</w:t>
            </w:r>
          </w:p>
          <w:p w14:paraId="3216B292">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（4）未被“信用中国”（www.creditchina.gov.cn）、中国政府采购网（www.ccgp.gov.cn）列入失信被执行人、重大税收违法案件当事人名单、政府采购严重违法失信行为记录名单；</w:t>
            </w:r>
          </w:p>
          <w:p w14:paraId="5D711079">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（5）单位负责人为同一人或者存在直接控股、管理关系的不同供应商，不得参加同一合同项下的政府采购活动。</w:t>
            </w:r>
          </w:p>
          <w:p w14:paraId="33052DC6">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left"/>
              <w:textAlignment w:val="auto"/>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lang w:val="en-US" w:eastAsia="zh-CN"/>
              </w:rPr>
              <w:t>（6）本项目不接受联合体投标。</w:t>
            </w:r>
          </w:p>
        </w:tc>
      </w:tr>
      <w:tr w14:paraId="15C48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834" w:type="dxa"/>
            <w:vAlign w:val="center"/>
          </w:tcPr>
          <w:p w14:paraId="702AAD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1269" w:type="dxa"/>
            <w:vAlign w:val="center"/>
          </w:tcPr>
          <w:p w14:paraId="43AB10A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w:t>
            </w:r>
          </w:p>
        </w:tc>
        <w:tc>
          <w:tcPr>
            <w:tcW w:w="6915" w:type="dxa"/>
            <w:vAlign w:val="center"/>
          </w:tcPr>
          <w:p w14:paraId="26FA5A2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yellow"/>
                <w:lang w:val="en-GB" w:eastAsia="zh-CN"/>
              </w:rPr>
              <w:t>202</w:t>
            </w:r>
            <w:r>
              <w:rPr>
                <w:rFonts w:hint="eastAsia" w:ascii="仿宋" w:hAnsi="仿宋" w:eastAsia="仿宋" w:cs="仿宋"/>
                <w:color w:val="auto"/>
                <w:sz w:val="24"/>
                <w:szCs w:val="24"/>
                <w:highlight w:val="yellow"/>
                <w:lang w:val="en-US" w:eastAsia="zh-CN"/>
              </w:rPr>
              <w:t>5</w:t>
            </w:r>
            <w:r>
              <w:rPr>
                <w:rFonts w:hint="eastAsia" w:ascii="仿宋" w:hAnsi="仿宋" w:eastAsia="仿宋" w:cs="仿宋"/>
                <w:color w:val="auto"/>
                <w:sz w:val="24"/>
                <w:szCs w:val="24"/>
                <w:highlight w:val="yellow"/>
                <w:lang w:val="en-GB" w:eastAsia="zh-CN"/>
              </w:rPr>
              <w:t>年</w:t>
            </w:r>
            <w:r>
              <w:rPr>
                <w:rFonts w:hint="eastAsia" w:ascii="仿宋" w:hAnsi="仿宋" w:eastAsia="仿宋" w:cs="仿宋"/>
                <w:color w:val="auto"/>
                <w:sz w:val="24"/>
                <w:szCs w:val="24"/>
                <w:highlight w:val="yellow"/>
                <w:lang w:val="en-US" w:eastAsia="zh-CN"/>
              </w:rPr>
              <w:t>4</w:t>
            </w:r>
            <w:r>
              <w:rPr>
                <w:rFonts w:hint="eastAsia" w:ascii="仿宋" w:hAnsi="仿宋" w:eastAsia="仿宋" w:cs="仿宋"/>
                <w:color w:val="auto"/>
                <w:sz w:val="24"/>
                <w:szCs w:val="24"/>
                <w:highlight w:val="yellow"/>
                <w:lang w:val="en-GB" w:eastAsia="zh-CN"/>
              </w:rPr>
              <w:t>月</w:t>
            </w:r>
            <w:r>
              <w:rPr>
                <w:rFonts w:hint="eastAsia" w:ascii="仿宋" w:hAnsi="仿宋" w:eastAsia="仿宋" w:cs="仿宋"/>
                <w:color w:val="auto"/>
                <w:sz w:val="24"/>
                <w:szCs w:val="24"/>
                <w:highlight w:val="yellow"/>
                <w:lang w:val="en-US" w:eastAsia="zh-CN"/>
              </w:rPr>
              <w:t>17</w:t>
            </w:r>
            <w:r>
              <w:rPr>
                <w:rFonts w:hint="eastAsia" w:ascii="仿宋" w:hAnsi="仿宋" w:eastAsia="仿宋" w:cs="仿宋"/>
                <w:color w:val="auto"/>
                <w:sz w:val="24"/>
                <w:szCs w:val="24"/>
                <w:highlight w:val="yellow"/>
                <w:lang w:val="en-GB" w:eastAsia="zh-CN"/>
              </w:rPr>
              <w:t>日</w:t>
            </w:r>
            <w:r>
              <w:rPr>
                <w:rFonts w:hint="eastAsia" w:ascii="仿宋" w:hAnsi="仿宋" w:eastAsia="仿宋" w:cs="仿宋"/>
                <w:color w:val="auto"/>
                <w:sz w:val="24"/>
                <w:szCs w:val="24"/>
                <w:highlight w:val="yellow"/>
                <w:lang w:val="en-GB"/>
              </w:rPr>
              <w:t xml:space="preserve"> </w:t>
            </w:r>
            <w:r>
              <w:rPr>
                <w:rFonts w:hint="eastAsia" w:ascii="仿宋" w:hAnsi="仿宋" w:eastAsia="仿宋" w:cs="仿宋"/>
                <w:color w:val="auto"/>
                <w:sz w:val="24"/>
                <w:szCs w:val="24"/>
                <w:highlight w:val="yellow"/>
                <w:lang w:val="en-US" w:eastAsia="zh-CN"/>
              </w:rPr>
              <w:t>10</w:t>
            </w:r>
            <w:r>
              <w:rPr>
                <w:rFonts w:hint="eastAsia" w:ascii="仿宋" w:hAnsi="仿宋" w:eastAsia="仿宋" w:cs="仿宋"/>
                <w:color w:val="auto"/>
                <w:sz w:val="24"/>
                <w:szCs w:val="24"/>
                <w:highlight w:val="yellow"/>
                <w:lang w:val="en-GB"/>
              </w:rPr>
              <w:t>:</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yellow"/>
                <w:lang w:val="en-GB"/>
              </w:rPr>
              <w:t>0</w:t>
            </w:r>
            <w:r>
              <w:rPr>
                <w:rFonts w:hint="eastAsia" w:ascii="仿宋" w:hAnsi="仿宋" w:eastAsia="仿宋" w:cs="仿宋"/>
                <w:color w:val="auto"/>
                <w:sz w:val="24"/>
                <w:szCs w:val="24"/>
                <w:highlight w:val="none"/>
                <w:lang w:val="en-GB"/>
              </w:rPr>
              <w:t>（北京时间）</w:t>
            </w:r>
          </w:p>
        </w:tc>
      </w:tr>
      <w:tr w14:paraId="194E5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4" w:type="dxa"/>
            <w:vAlign w:val="center"/>
          </w:tcPr>
          <w:p w14:paraId="31F663D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1269" w:type="dxa"/>
            <w:vAlign w:val="center"/>
          </w:tcPr>
          <w:p w14:paraId="46EE620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w:t>
            </w:r>
          </w:p>
        </w:tc>
        <w:tc>
          <w:tcPr>
            <w:tcW w:w="6915" w:type="dxa"/>
            <w:vAlign w:val="center"/>
          </w:tcPr>
          <w:p w14:paraId="1776192E">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政采云开标大厅</w:t>
            </w:r>
            <w:r>
              <w:rPr>
                <w:rFonts w:hint="eastAsia" w:ascii="仿宋" w:hAnsi="仿宋" w:eastAsia="仿宋" w:cs="仿宋"/>
                <w:color w:val="auto"/>
                <w:sz w:val="24"/>
                <w:szCs w:val="24"/>
                <w:highlight w:val="none"/>
                <w:lang w:val="en-GB"/>
              </w:rPr>
              <w:t>（</w:t>
            </w:r>
            <w:r>
              <w:rPr>
                <w:rFonts w:hint="eastAsia" w:ascii="仿宋" w:hAnsi="仿宋" w:eastAsia="仿宋" w:cs="仿宋"/>
                <w:color w:val="auto"/>
                <w:sz w:val="24"/>
                <w:szCs w:val="24"/>
                <w:highlight w:val="none"/>
              </w:rPr>
              <w:t>https://www.zcygov.cn在线投标</w:t>
            </w:r>
            <w:r>
              <w:rPr>
                <w:rFonts w:hint="eastAsia" w:ascii="仿宋" w:hAnsi="仿宋" w:eastAsia="仿宋" w:cs="仿宋"/>
                <w:color w:val="auto"/>
                <w:sz w:val="24"/>
                <w:szCs w:val="24"/>
                <w:highlight w:val="none"/>
                <w:lang w:val="en-GB"/>
              </w:rPr>
              <w:t>）</w:t>
            </w:r>
          </w:p>
        </w:tc>
      </w:tr>
      <w:tr w14:paraId="305ED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834" w:type="dxa"/>
            <w:vAlign w:val="center"/>
          </w:tcPr>
          <w:p w14:paraId="08B6425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1269" w:type="dxa"/>
            <w:vAlign w:val="center"/>
          </w:tcPr>
          <w:p w14:paraId="66B50B1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联合体</w:t>
            </w:r>
          </w:p>
        </w:tc>
        <w:tc>
          <w:tcPr>
            <w:tcW w:w="6915" w:type="dxa"/>
            <w:vAlign w:val="center"/>
          </w:tcPr>
          <w:p w14:paraId="69CA6F0B">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不接受联合体</w:t>
            </w:r>
          </w:p>
        </w:tc>
      </w:tr>
      <w:tr w14:paraId="64B61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834" w:type="dxa"/>
            <w:vAlign w:val="center"/>
          </w:tcPr>
          <w:p w14:paraId="07D49E7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1269" w:type="dxa"/>
            <w:vAlign w:val="center"/>
          </w:tcPr>
          <w:p w14:paraId="5A2A3CE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投标文件解密时长</w:t>
            </w:r>
          </w:p>
        </w:tc>
        <w:tc>
          <w:tcPr>
            <w:tcW w:w="6915" w:type="dxa"/>
            <w:vAlign w:val="center"/>
          </w:tcPr>
          <w:p w14:paraId="1B990C5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30分钟（投标人若未在规定时间内完成，所造成的一切后果由投标人自行承担）</w:t>
            </w:r>
          </w:p>
        </w:tc>
      </w:tr>
      <w:tr w14:paraId="760BB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834" w:type="dxa"/>
            <w:vAlign w:val="center"/>
          </w:tcPr>
          <w:p w14:paraId="5861345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1269" w:type="dxa"/>
            <w:vAlign w:val="center"/>
          </w:tcPr>
          <w:p w14:paraId="559ECC9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投标人报价确认报价签字时长</w:t>
            </w:r>
          </w:p>
        </w:tc>
        <w:tc>
          <w:tcPr>
            <w:tcW w:w="6915" w:type="dxa"/>
            <w:vAlign w:val="center"/>
          </w:tcPr>
          <w:p w14:paraId="15AD3365">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30分钟（投标人若未在规定时间内完成，所造成的一切后果由投标人自行承担）</w:t>
            </w:r>
          </w:p>
        </w:tc>
      </w:tr>
      <w:tr w14:paraId="03A91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834" w:type="dxa"/>
            <w:vAlign w:val="center"/>
          </w:tcPr>
          <w:p w14:paraId="33AEE2A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1269" w:type="dxa"/>
            <w:vAlign w:val="center"/>
          </w:tcPr>
          <w:p w14:paraId="376DEA4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6915" w:type="dxa"/>
            <w:vAlign w:val="center"/>
          </w:tcPr>
          <w:p w14:paraId="629249AB">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90日（从递交响应文件截止日起计算）。</w:t>
            </w:r>
          </w:p>
        </w:tc>
      </w:tr>
      <w:tr w14:paraId="52FC6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4" w:hRule="atLeast"/>
          <w:jc w:val="center"/>
        </w:trPr>
        <w:tc>
          <w:tcPr>
            <w:tcW w:w="834" w:type="dxa"/>
            <w:vAlign w:val="center"/>
          </w:tcPr>
          <w:p w14:paraId="597D4DE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1269" w:type="dxa"/>
            <w:vAlign w:val="center"/>
          </w:tcPr>
          <w:p w14:paraId="3C3F765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投标保证金</w:t>
            </w:r>
          </w:p>
        </w:tc>
        <w:tc>
          <w:tcPr>
            <w:tcW w:w="6915" w:type="dxa"/>
            <w:vAlign w:val="center"/>
          </w:tcPr>
          <w:p w14:paraId="1171D1F9">
            <w:pPr>
              <w:pStyle w:val="33"/>
              <w:keepNext w:val="0"/>
              <w:keepLines w:val="0"/>
              <w:pageBreakBefore w:val="0"/>
              <w:widowControl w:val="0"/>
              <w:tabs>
                <w:tab w:val="left" w:pos="709"/>
                <w:tab w:val="left" w:pos="840"/>
              </w:tabs>
              <w:kinsoku/>
              <w:wordWrap/>
              <w:overflowPunct/>
              <w:topLinePunct w:val="0"/>
              <w:autoSpaceDE/>
              <w:autoSpaceDN/>
              <w:bidi w:val="0"/>
              <w:adjustRightInd w:val="0"/>
              <w:snapToGrid w:val="0"/>
              <w:spacing w:line="240" w:lineRule="auto"/>
              <w:ind w:left="960" w:hanging="960" w:hangingChars="400"/>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投标保证金金额：</w:t>
            </w:r>
            <w:r>
              <w:rPr>
                <w:rFonts w:hint="eastAsia" w:ascii="仿宋" w:hAnsi="仿宋" w:eastAsia="仿宋" w:cs="仿宋"/>
                <w:color w:val="auto"/>
                <w:sz w:val="24"/>
                <w:szCs w:val="24"/>
                <w:highlight w:val="none"/>
                <w:lang w:val="en-US" w:bidi="zh-CN"/>
              </w:rPr>
              <w:t>15000.00</w:t>
            </w:r>
            <w:r>
              <w:rPr>
                <w:rFonts w:hint="eastAsia" w:ascii="仿宋" w:hAnsi="仿宋" w:eastAsia="仿宋" w:cs="仿宋"/>
                <w:color w:val="auto"/>
                <w:sz w:val="24"/>
                <w:szCs w:val="24"/>
                <w:highlight w:val="none"/>
                <w:lang w:bidi="zh-CN"/>
              </w:rPr>
              <w:t>元</w:t>
            </w:r>
            <w:r>
              <w:rPr>
                <w:rFonts w:hint="eastAsia" w:ascii="仿宋" w:hAnsi="仿宋" w:eastAsia="仿宋" w:cs="仿宋"/>
                <w:color w:val="auto"/>
                <w:sz w:val="24"/>
                <w:szCs w:val="24"/>
                <w:highlight w:val="none"/>
                <w:lang w:val="en-US" w:bidi="zh-CN"/>
              </w:rPr>
              <w:t>（壹万伍仟元整）</w:t>
            </w:r>
          </w:p>
          <w:p w14:paraId="6A8D309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单位名称：新疆益双工程管理有限公司</w:t>
            </w:r>
          </w:p>
          <w:p w14:paraId="0B06EEB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开户行：新疆库尔勒富民村镇银行兰干路支行</w:t>
            </w:r>
          </w:p>
          <w:p w14:paraId="730AD66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账号：836050100100009527</w:t>
            </w:r>
          </w:p>
          <w:p w14:paraId="3616DB2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ind w:left="0" w:right="0"/>
              <w:jc w:val="left"/>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行号：320888000057</w:t>
            </w:r>
          </w:p>
          <w:p w14:paraId="338F16EA">
            <w:pPr>
              <w:pStyle w:val="33"/>
              <w:keepNext w:val="0"/>
              <w:keepLines w:val="0"/>
              <w:pageBreakBefore w:val="0"/>
              <w:widowControl w:val="0"/>
              <w:tabs>
                <w:tab w:val="left" w:pos="709"/>
                <w:tab w:val="left" w:pos="840"/>
              </w:tabs>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投标保证金缴纳截止时间：</w:t>
            </w:r>
            <w:r>
              <w:rPr>
                <w:rFonts w:hint="eastAsia" w:ascii="仿宋" w:hAnsi="仿宋" w:eastAsia="仿宋" w:cs="仿宋"/>
                <w:color w:val="auto"/>
                <w:sz w:val="24"/>
                <w:szCs w:val="24"/>
                <w:highlight w:val="yellow"/>
                <w:lang w:val="zh-CN" w:eastAsia="zh-CN" w:bidi="zh-CN"/>
              </w:rPr>
              <w:t>2025年4月17日</w:t>
            </w:r>
            <w:r>
              <w:rPr>
                <w:rFonts w:hint="eastAsia" w:ascii="仿宋" w:hAnsi="仿宋" w:eastAsia="仿宋" w:cs="仿宋"/>
                <w:color w:val="auto"/>
                <w:sz w:val="24"/>
                <w:szCs w:val="24"/>
                <w:highlight w:val="yellow"/>
                <w:lang w:val="zh-CN" w:bidi="zh-CN"/>
              </w:rPr>
              <w:t xml:space="preserve"> </w:t>
            </w:r>
            <w:r>
              <w:rPr>
                <w:rFonts w:hint="eastAsia" w:ascii="仿宋" w:hAnsi="仿宋" w:eastAsia="仿宋" w:cs="仿宋"/>
                <w:color w:val="auto"/>
                <w:sz w:val="24"/>
                <w:szCs w:val="24"/>
                <w:highlight w:val="yellow"/>
                <w:lang w:val="zh-CN" w:eastAsia="zh-CN" w:bidi="zh-CN"/>
              </w:rPr>
              <w:t>10</w:t>
            </w:r>
            <w:r>
              <w:rPr>
                <w:rFonts w:hint="eastAsia" w:ascii="仿宋" w:hAnsi="仿宋" w:eastAsia="仿宋" w:cs="仿宋"/>
                <w:color w:val="auto"/>
                <w:sz w:val="24"/>
                <w:szCs w:val="24"/>
                <w:highlight w:val="yellow"/>
                <w:lang w:val="zh-CN" w:bidi="zh-CN"/>
              </w:rPr>
              <w:t>:</w:t>
            </w:r>
            <w:r>
              <w:rPr>
                <w:rFonts w:hint="eastAsia" w:ascii="仿宋" w:hAnsi="仿宋" w:eastAsia="仿宋" w:cs="仿宋"/>
                <w:color w:val="auto"/>
                <w:sz w:val="24"/>
                <w:szCs w:val="24"/>
                <w:highlight w:val="yellow"/>
                <w:lang w:val="zh-CN" w:eastAsia="zh-CN" w:bidi="zh-CN"/>
              </w:rPr>
              <w:t>3</w:t>
            </w:r>
            <w:r>
              <w:rPr>
                <w:rFonts w:hint="eastAsia" w:ascii="仿宋" w:hAnsi="仿宋" w:eastAsia="仿宋" w:cs="仿宋"/>
                <w:color w:val="auto"/>
                <w:sz w:val="24"/>
                <w:szCs w:val="24"/>
                <w:highlight w:val="yellow"/>
                <w:lang w:val="zh-CN" w:bidi="zh-CN"/>
              </w:rPr>
              <w:t>0</w:t>
            </w:r>
            <w:r>
              <w:rPr>
                <w:rFonts w:hint="eastAsia" w:ascii="仿宋" w:hAnsi="仿宋" w:eastAsia="仿宋" w:cs="仿宋"/>
                <w:color w:val="auto"/>
                <w:sz w:val="24"/>
                <w:szCs w:val="24"/>
                <w:highlight w:val="none"/>
                <w:lang w:val="zh-CN" w:bidi="zh-CN"/>
              </w:rPr>
              <w:t>（北京时间）时之前（以银行记录确认到账为准）。未按以上要求递交投标保证金及办理确认手续的，其投标保证金视为无效，采购人将拒绝其投标。</w:t>
            </w:r>
          </w:p>
          <w:p w14:paraId="2D7829CE">
            <w:pPr>
              <w:pStyle w:val="33"/>
              <w:keepNext w:val="0"/>
              <w:keepLines w:val="0"/>
              <w:pageBreakBefore w:val="0"/>
              <w:widowControl w:val="0"/>
              <w:tabs>
                <w:tab w:val="left" w:pos="709"/>
                <w:tab w:val="left" w:pos="840"/>
              </w:tabs>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投标保证金的形式：从供应商基本账户公对公转账、支票、汇票、本票或者金融机构、担保机构出具的保函等非现金形式提交。</w:t>
            </w:r>
          </w:p>
          <w:p w14:paraId="7DF2CD36">
            <w:pPr>
              <w:pStyle w:val="33"/>
              <w:keepNext w:val="0"/>
              <w:keepLines w:val="0"/>
              <w:pageBreakBefore w:val="0"/>
              <w:widowControl w:val="0"/>
              <w:tabs>
                <w:tab w:val="left" w:pos="709"/>
                <w:tab w:val="left" w:pos="840"/>
              </w:tabs>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（汇款时用途栏应注明本项目招标编号[标准格式：投标保证金</w:t>
            </w:r>
            <w:r>
              <w:rPr>
                <w:rFonts w:hint="eastAsia" w:ascii="仿宋" w:hAnsi="仿宋" w:eastAsia="仿宋" w:cs="仿宋"/>
                <w:color w:val="auto"/>
                <w:sz w:val="24"/>
                <w:szCs w:val="24"/>
                <w:highlight w:val="none"/>
                <w:lang w:val="en-US" w:bidi="zh-CN"/>
              </w:rPr>
              <w:t>+项目编号</w:t>
            </w:r>
            <w:r>
              <w:rPr>
                <w:rFonts w:hint="eastAsia" w:ascii="仿宋" w:hAnsi="仿宋" w:eastAsia="仿宋" w:cs="仿宋"/>
                <w:color w:val="auto"/>
                <w:sz w:val="24"/>
                <w:szCs w:val="24"/>
                <w:highlight w:val="none"/>
                <w:lang w:val="zh-CN" w:bidi="zh-CN"/>
              </w:rPr>
              <w:t>]，提投标保证金不注明用途的届时其投标将被拒绝。)</w:t>
            </w:r>
          </w:p>
          <w:p w14:paraId="60FE569D">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b/>
                <w:bCs/>
                <w:color w:val="auto"/>
                <w:sz w:val="24"/>
                <w:szCs w:val="24"/>
                <w:highlight w:val="none"/>
                <w:lang w:val="zh-CN" w:eastAsia="zh-CN" w:bidi="zh-CN"/>
              </w:rPr>
              <w:t>注：投标</w:t>
            </w:r>
            <w:r>
              <w:rPr>
                <w:rFonts w:hint="eastAsia" w:ascii="仿宋" w:hAnsi="仿宋" w:eastAsia="仿宋" w:cs="仿宋"/>
                <w:b/>
                <w:bCs/>
                <w:color w:val="auto"/>
                <w:sz w:val="24"/>
                <w:szCs w:val="24"/>
                <w:highlight w:val="none"/>
                <w:lang w:val="zh-CN" w:bidi="zh-CN"/>
              </w:rPr>
              <w:t>保证金以到账信息为准，供应商应充分考虑在途时间，供应商未按照</w:t>
            </w:r>
            <w:r>
              <w:rPr>
                <w:rFonts w:hint="eastAsia" w:ascii="仿宋" w:hAnsi="仿宋" w:eastAsia="仿宋" w:cs="仿宋"/>
                <w:b/>
                <w:bCs/>
                <w:color w:val="auto"/>
                <w:sz w:val="24"/>
                <w:szCs w:val="24"/>
                <w:highlight w:val="none"/>
                <w:lang w:val="zh-CN" w:eastAsia="zh-CN" w:bidi="zh-CN"/>
              </w:rPr>
              <w:t>招标文件</w:t>
            </w:r>
            <w:r>
              <w:rPr>
                <w:rFonts w:hint="eastAsia" w:ascii="仿宋" w:hAnsi="仿宋" w:eastAsia="仿宋" w:cs="仿宋"/>
                <w:b/>
                <w:bCs/>
                <w:color w:val="auto"/>
                <w:sz w:val="24"/>
                <w:szCs w:val="24"/>
                <w:highlight w:val="none"/>
                <w:lang w:val="zh-CN" w:bidi="zh-CN"/>
              </w:rPr>
              <w:t>要求提交</w:t>
            </w:r>
            <w:r>
              <w:rPr>
                <w:rFonts w:hint="eastAsia" w:ascii="仿宋" w:hAnsi="仿宋" w:eastAsia="仿宋" w:cs="仿宋"/>
                <w:b/>
                <w:bCs/>
                <w:color w:val="auto"/>
                <w:sz w:val="24"/>
                <w:szCs w:val="24"/>
                <w:highlight w:val="none"/>
                <w:lang w:val="zh-CN" w:eastAsia="zh-CN" w:bidi="zh-CN"/>
              </w:rPr>
              <w:t>投标</w:t>
            </w:r>
            <w:r>
              <w:rPr>
                <w:rFonts w:hint="eastAsia" w:ascii="仿宋" w:hAnsi="仿宋" w:eastAsia="仿宋" w:cs="仿宋"/>
                <w:b/>
                <w:bCs/>
                <w:color w:val="auto"/>
                <w:sz w:val="24"/>
                <w:szCs w:val="24"/>
                <w:highlight w:val="none"/>
                <w:lang w:val="zh-CN" w:bidi="zh-CN"/>
              </w:rPr>
              <w:t>保证金的，</w:t>
            </w:r>
            <w:r>
              <w:rPr>
                <w:rFonts w:hint="eastAsia" w:ascii="仿宋" w:hAnsi="仿宋" w:eastAsia="仿宋" w:cs="仿宋"/>
                <w:b/>
                <w:bCs/>
                <w:color w:val="auto"/>
                <w:sz w:val="24"/>
                <w:szCs w:val="24"/>
                <w:highlight w:val="none"/>
                <w:lang w:val="zh-CN" w:eastAsia="zh-CN" w:bidi="zh-CN"/>
              </w:rPr>
              <w:t>投标</w:t>
            </w:r>
            <w:r>
              <w:rPr>
                <w:rFonts w:hint="eastAsia" w:ascii="仿宋" w:hAnsi="仿宋" w:eastAsia="仿宋" w:cs="仿宋"/>
                <w:b/>
                <w:bCs/>
                <w:color w:val="auto"/>
                <w:sz w:val="24"/>
                <w:szCs w:val="24"/>
                <w:highlight w:val="none"/>
                <w:lang w:val="zh-CN" w:bidi="zh-CN"/>
              </w:rPr>
              <w:t>无效。</w:t>
            </w:r>
          </w:p>
        </w:tc>
      </w:tr>
      <w:tr w14:paraId="34ECC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34" w:type="dxa"/>
            <w:vAlign w:val="center"/>
          </w:tcPr>
          <w:p w14:paraId="760F8FB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p>
        </w:tc>
        <w:tc>
          <w:tcPr>
            <w:tcW w:w="1269" w:type="dxa"/>
            <w:vAlign w:val="center"/>
          </w:tcPr>
          <w:p w14:paraId="384EC49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lang w:val="en-US" w:bidi="ar-SA"/>
              </w:rPr>
            </w:pPr>
            <w:r>
              <w:rPr>
                <w:rFonts w:hint="eastAsia" w:ascii="仿宋" w:hAnsi="仿宋" w:eastAsia="仿宋" w:cs="仿宋"/>
                <w:color w:val="auto"/>
                <w:sz w:val="24"/>
                <w:szCs w:val="24"/>
                <w:highlight w:val="none"/>
                <w:lang w:val="en-US" w:bidi="ar-SA"/>
              </w:rPr>
              <w:t>招标文件</w:t>
            </w:r>
          </w:p>
          <w:p w14:paraId="27325CA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发售时间</w:t>
            </w:r>
          </w:p>
        </w:tc>
        <w:tc>
          <w:tcPr>
            <w:tcW w:w="6915" w:type="dxa"/>
            <w:vAlign w:val="center"/>
          </w:tcPr>
          <w:p w14:paraId="4C83E69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发售时间：</w:t>
            </w:r>
            <w:r>
              <w:rPr>
                <w:rFonts w:hint="eastAsia" w:ascii="仿宋" w:hAnsi="仿宋" w:eastAsia="仿宋" w:cs="仿宋"/>
                <w:color w:val="auto"/>
                <w:sz w:val="24"/>
                <w:szCs w:val="24"/>
                <w:highlight w:val="none"/>
                <w:lang w:bidi="zh-CN"/>
              </w:rPr>
              <w:t>202</w:t>
            </w:r>
            <w:r>
              <w:rPr>
                <w:rFonts w:hint="eastAsia" w:ascii="仿宋" w:hAnsi="仿宋" w:eastAsia="仿宋" w:cs="仿宋"/>
                <w:color w:val="auto"/>
                <w:sz w:val="24"/>
                <w:szCs w:val="24"/>
                <w:highlight w:val="none"/>
                <w:lang w:val="en-US" w:bidi="zh-CN"/>
              </w:rPr>
              <w:t>5</w:t>
            </w:r>
            <w:r>
              <w:rPr>
                <w:rFonts w:hint="eastAsia" w:ascii="仿宋" w:hAnsi="仿宋" w:eastAsia="仿宋" w:cs="仿宋"/>
                <w:color w:val="auto"/>
                <w:sz w:val="24"/>
                <w:szCs w:val="24"/>
                <w:highlight w:val="none"/>
                <w:lang w:bidi="zh-CN"/>
              </w:rPr>
              <w:t>-</w:t>
            </w:r>
            <w:r>
              <w:rPr>
                <w:rFonts w:hint="eastAsia" w:ascii="仿宋" w:hAnsi="仿宋" w:eastAsia="仿宋" w:cs="仿宋"/>
                <w:color w:val="auto"/>
                <w:sz w:val="24"/>
                <w:szCs w:val="24"/>
                <w:highlight w:val="none"/>
                <w:lang w:val="en-US" w:bidi="zh-CN"/>
              </w:rPr>
              <w:t>3</w:t>
            </w:r>
            <w:r>
              <w:rPr>
                <w:rFonts w:hint="eastAsia" w:ascii="仿宋" w:hAnsi="仿宋" w:eastAsia="仿宋" w:cs="仿宋"/>
                <w:color w:val="auto"/>
                <w:sz w:val="24"/>
                <w:szCs w:val="24"/>
                <w:highlight w:val="none"/>
                <w:lang w:bidi="zh-CN"/>
              </w:rPr>
              <w:t>-</w:t>
            </w:r>
            <w:r>
              <w:rPr>
                <w:rFonts w:hint="eastAsia" w:ascii="仿宋" w:hAnsi="仿宋" w:eastAsia="仿宋" w:cs="仿宋"/>
                <w:color w:val="auto"/>
                <w:sz w:val="24"/>
                <w:szCs w:val="24"/>
                <w:highlight w:val="none"/>
                <w:lang w:val="en-US" w:bidi="zh-CN"/>
              </w:rPr>
              <w:t>14</w:t>
            </w:r>
            <w:r>
              <w:rPr>
                <w:rFonts w:hint="eastAsia" w:ascii="仿宋" w:hAnsi="仿宋" w:eastAsia="仿宋" w:cs="仿宋"/>
                <w:color w:val="auto"/>
                <w:sz w:val="24"/>
                <w:szCs w:val="24"/>
                <w:highlight w:val="none"/>
                <w:lang w:val="zh-CN" w:bidi="zh-CN"/>
              </w:rPr>
              <w:t>至</w:t>
            </w:r>
            <w:r>
              <w:rPr>
                <w:rFonts w:hint="eastAsia" w:ascii="仿宋" w:hAnsi="仿宋" w:eastAsia="仿宋" w:cs="仿宋"/>
                <w:color w:val="auto"/>
                <w:sz w:val="24"/>
                <w:szCs w:val="24"/>
                <w:highlight w:val="none"/>
                <w:lang w:bidi="zh-CN"/>
              </w:rPr>
              <w:t>202</w:t>
            </w:r>
            <w:r>
              <w:rPr>
                <w:rFonts w:hint="eastAsia" w:ascii="仿宋" w:hAnsi="仿宋" w:eastAsia="仿宋" w:cs="仿宋"/>
                <w:color w:val="auto"/>
                <w:sz w:val="24"/>
                <w:szCs w:val="24"/>
                <w:highlight w:val="none"/>
                <w:lang w:val="en-US" w:bidi="zh-CN"/>
              </w:rPr>
              <w:t>5</w:t>
            </w:r>
            <w:r>
              <w:rPr>
                <w:rFonts w:hint="eastAsia" w:ascii="仿宋" w:hAnsi="仿宋" w:eastAsia="仿宋" w:cs="仿宋"/>
                <w:color w:val="auto"/>
                <w:sz w:val="24"/>
                <w:szCs w:val="24"/>
                <w:highlight w:val="none"/>
                <w:lang w:bidi="zh-CN"/>
              </w:rPr>
              <w:t>-</w:t>
            </w:r>
            <w:r>
              <w:rPr>
                <w:rFonts w:hint="eastAsia" w:ascii="仿宋" w:hAnsi="仿宋" w:eastAsia="仿宋" w:cs="仿宋"/>
                <w:color w:val="auto"/>
                <w:sz w:val="24"/>
                <w:szCs w:val="24"/>
                <w:highlight w:val="none"/>
                <w:lang w:val="en-US" w:bidi="zh-CN"/>
              </w:rPr>
              <w:t>3</w:t>
            </w:r>
            <w:r>
              <w:rPr>
                <w:rFonts w:hint="eastAsia" w:ascii="仿宋" w:hAnsi="仿宋" w:eastAsia="仿宋" w:cs="仿宋"/>
                <w:color w:val="auto"/>
                <w:sz w:val="24"/>
                <w:szCs w:val="24"/>
                <w:highlight w:val="none"/>
                <w:lang w:bidi="zh-CN"/>
              </w:rPr>
              <w:t>-</w:t>
            </w:r>
            <w:r>
              <w:rPr>
                <w:rFonts w:hint="eastAsia" w:ascii="仿宋" w:hAnsi="仿宋" w:eastAsia="仿宋" w:cs="仿宋"/>
                <w:color w:val="auto"/>
                <w:sz w:val="24"/>
                <w:szCs w:val="24"/>
                <w:highlight w:val="none"/>
                <w:lang w:val="en-US" w:bidi="zh-CN"/>
              </w:rPr>
              <w:t>21</w:t>
            </w:r>
            <w:r>
              <w:rPr>
                <w:rFonts w:hint="eastAsia" w:ascii="仿宋" w:hAnsi="仿宋" w:eastAsia="仿宋" w:cs="仿宋"/>
                <w:color w:val="auto"/>
                <w:sz w:val="24"/>
                <w:szCs w:val="24"/>
                <w:highlight w:val="none"/>
                <w:lang w:val="zh-CN" w:bidi="zh-CN"/>
              </w:rPr>
              <w:t>，</w:t>
            </w:r>
          </w:p>
          <w:p w14:paraId="28FD6B44">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上午：</w:t>
            </w:r>
            <w:r>
              <w:rPr>
                <w:rFonts w:hint="eastAsia" w:ascii="仿宋" w:hAnsi="仿宋" w:eastAsia="仿宋" w:cs="仿宋"/>
                <w:color w:val="auto"/>
                <w:sz w:val="24"/>
                <w:szCs w:val="24"/>
                <w:highlight w:val="none"/>
                <w:lang w:bidi="zh-CN"/>
              </w:rPr>
              <w:t>10</w:t>
            </w:r>
            <w:r>
              <w:rPr>
                <w:rFonts w:hint="eastAsia" w:ascii="仿宋" w:hAnsi="仿宋" w:eastAsia="仿宋" w:cs="仿宋"/>
                <w:color w:val="auto"/>
                <w:sz w:val="24"/>
                <w:szCs w:val="24"/>
                <w:highlight w:val="none"/>
                <w:lang w:val="zh-CN" w:bidi="zh-CN"/>
              </w:rPr>
              <w:t>:</w:t>
            </w:r>
            <w:r>
              <w:rPr>
                <w:rFonts w:hint="eastAsia" w:ascii="仿宋" w:hAnsi="仿宋" w:eastAsia="仿宋" w:cs="仿宋"/>
                <w:color w:val="auto"/>
                <w:sz w:val="24"/>
                <w:szCs w:val="24"/>
                <w:highlight w:val="none"/>
                <w:lang w:bidi="zh-CN"/>
              </w:rPr>
              <w:t>0</w:t>
            </w:r>
            <w:r>
              <w:rPr>
                <w:rFonts w:hint="eastAsia" w:ascii="仿宋" w:hAnsi="仿宋" w:eastAsia="仿宋" w:cs="仿宋"/>
                <w:color w:val="auto"/>
                <w:sz w:val="24"/>
                <w:szCs w:val="24"/>
                <w:highlight w:val="none"/>
                <w:lang w:val="zh-CN" w:bidi="zh-CN"/>
              </w:rPr>
              <w:t>0至13:30</w:t>
            </w:r>
          </w:p>
          <w:p w14:paraId="07B9F131">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下午：16:00至19:30（北京时间，法定节假日除外）</w:t>
            </w:r>
          </w:p>
        </w:tc>
      </w:tr>
      <w:tr w14:paraId="0C62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4" w:hRule="atLeast"/>
          <w:jc w:val="center"/>
        </w:trPr>
        <w:tc>
          <w:tcPr>
            <w:tcW w:w="834" w:type="dxa"/>
            <w:vAlign w:val="center"/>
          </w:tcPr>
          <w:p w14:paraId="6AC3517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p>
        </w:tc>
        <w:tc>
          <w:tcPr>
            <w:tcW w:w="1269" w:type="dxa"/>
            <w:vAlign w:val="center"/>
          </w:tcPr>
          <w:p w14:paraId="64DB353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响应文件</w:t>
            </w:r>
          </w:p>
          <w:p w14:paraId="072CC41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rPr>
              <w:t>递交上传地址</w:t>
            </w:r>
          </w:p>
        </w:tc>
        <w:tc>
          <w:tcPr>
            <w:tcW w:w="6915" w:type="dxa"/>
            <w:vAlign w:val="center"/>
          </w:tcPr>
          <w:p w14:paraId="3A50EAD3">
            <w:pPr>
              <w:keepNext w:val="0"/>
              <w:keepLines w:val="0"/>
              <w:pageBreakBefore w:val="0"/>
              <w:widowControl w:val="0"/>
              <w:tabs>
                <w:tab w:val="left" w:pos="2448"/>
              </w:tabs>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投标人应于</w:t>
            </w:r>
            <w:r>
              <w:rPr>
                <w:rFonts w:hint="eastAsia" w:ascii="仿宋" w:hAnsi="仿宋" w:eastAsia="仿宋" w:cs="仿宋"/>
                <w:color w:val="auto"/>
                <w:sz w:val="24"/>
                <w:szCs w:val="24"/>
                <w:highlight w:val="yellow"/>
                <w:lang w:val="en-GB" w:eastAsia="zh-CN"/>
              </w:rPr>
              <w:t>202</w:t>
            </w:r>
            <w:r>
              <w:rPr>
                <w:rFonts w:hint="eastAsia" w:ascii="仿宋" w:hAnsi="仿宋" w:eastAsia="仿宋" w:cs="仿宋"/>
                <w:color w:val="auto"/>
                <w:sz w:val="24"/>
                <w:szCs w:val="24"/>
                <w:highlight w:val="yellow"/>
                <w:lang w:val="en-US" w:eastAsia="zh-CN"/>
              </w:rPr>
              <w:t>5</w:t>
            </w:r>
            <w:r>
              <w:rPr>
                <w:rFonts w:hint="eastAsia" w:ascii="仿宋" w:hAnsi="仿宋" w:eastAsia="仿宋" w:cs="仿宋"/>
                <w:color w:val="auto"/>
                <w:sz w:val="24"/>
                <w:szCs w:val="24"/>
                <w:highlight w:val="yellow"/>
                <w:lang w:val="en-GB" w:eastAsia="zh-CN"/>
              </w:rPr>
              <w:t>年</w:t>
            </w:r>
            <w:r>
              <w:rPr>
                <w:rFonts w:hint="eastAsia" w:ascii="仿宋" w:hAnsi="仿宋" w:eastAsia="仿宋" w:cs="仿宋"/>
                <w:color w:val="auto"/>
                <w:sz w:val="24"/>
                <w:szCs w:val="24"/>
                <w:highlight w:val="yellow"/>
                <w:lang w:val="en-US" w:eastAsia="zh-CN"/>
              </w:rPr>
              <w:t>4</w:t>
            </w:r>
            <w:r>
              <w:rPr>
                <w:rFonts w:hint="eastAsia" w:ascii="仿宋" w:hAnsi="仿宋" w:eastAsia="仿宋" w:cs="仿宋"/>
                <w:color w:val="auto"/>
                <w:sz w:val="24"/>
                <w:szCs w:val="24"/>
                <w:highlight w:val="yellow"/>
                <w:lang w:val="en-GB" w:eastAsia="zh-CN"/>
              </w:rPr>
              <w:t>月</w:t>
            </w:r>
            <w:r>
              <w:rPr>
                <w:rFonts w:hint="eastAsia" w:ascii="仿宋" w:hAnsi="仿宋" w:eastAsia="仿宋" w:cs="仿宋"/>
                <w:color w:val="auto"/>
                <w:sz w:val="24"/>
                <w:szCs w:val="24"/>
                <w:highlight w:val="yellow"/>
                <w:lang w:val="en-US" w:eastAsia="zh-CN"/>
              </w:rPr>
              <w:t>17</w:t>
            </w:r>
            <w:r>
              <w:rPr>
                <w:rFonts w:hint="eastAsia" w:ascii="仿宋" w:hAnsi="仿宋" w:eastAsia="仿宋" w:cs="仿宋"/>
                <w:color w:val="auto"/>
                <w:sz w:val="24"/>
                <w:szCs w:val="24"/>
                <w:highlight w:val="yellow"/>
                <w:lang w:val="en-GB" w:eastAsia="zh-CN"/>
              </w:rPr>
              <w:t>日</w:t>
            </w:r>
            <w:r>
              <w:rPr>
                <w:rFonts w:hint="eastAsia" w:ascii="仿宋" w:hAnsi="仿宋" w:eastAsia="仿宋" w:cs="仿宋"/>
                <w:color w:val="auto"/>
                <w:sz w:val="24"/>
                <w:szCs w:val="24"/>
                <w:highlight w:val="yellow"/>
                <w:lang w:val="en-GB"/>
              </w:rPr>
              <w:t xml:space="preserve"> </w:t>
            </w:r>
            <w:r>
              <w:rPr>
                <w:rFonts w:hint="eastAsia" w:ascii="仿宋" w:hAnsi="仿宋" w:eastAsia="仿宋" w:cs="仿宋"/>
                <w:color w:val="auto"/>
                <w:sz w:val="24"/>
                <w:szCs w:val="24"/>
                <w:highlight w:val="yellow"/>
                <w:lang w:val="en-US" w:eastAsia="zh-CN"/>
              </w:rPr>
              <w:t>10</w:t>
            </w:r>
            <w:r>
              <w:rPr>
                <w:rFonts w:hint="eastAsia" w:ascii="仿宋" w:hAnsi="仿宋" w:eastAsia="仿宋" w:cs="仿宋"/>
                <w:color w:val="auto"/>
                <w:sz w:val="24"/>
                <w:szCs w:val="24"/>
                <w:highlight w:val="yellow"/>
                <w:lang w:val="en-GB"/>
              </w:rPr>
              <w:t>:</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yellow"/>
                <w:lang w:val="en-GB"/>
              </w:rPr>
              <w:t>0</w:t>
            </w:r>
            <w:r>
              <w:rPr>
                <w:rFonts w:hint="eastAsia" w:ascii="仿宋" w:hAnsi="仿宋" w:eastAsia="仿宋" w:cs="仿宋"/>
                <w:color w:val="auto"/>
                <w:sz w:val="24"/>
                <w:szCs w:val="24"/>
                <w:highlight w:val="none"/>
                <w:lang w:val="en-GB"/>
              </w:rPr>
              <w:t>（北京时间）</w:t>
            </w:r>
            <w:r>
              <w:rPr>
                <w:rFonts w:hint="eastAsia" w:ascii="仿宋" w:hAnsi="仿宋" w:eastAsia="仿宋" w:cs="仿宋"/>
                <w:color w:val="auto"/>
                <w:sz w:val="24"/>
                <w:szCs w:val="24"/>
                <w:highlight w:val="none"/>
                <w:lang w:val="zh-CN"/>
              </w:rPr>
              <w:t>之前将电子投标文件上传到“政采云”平台。应按照本项目采购文件和政采云平台的要求编制、加密传输响应文件。供应商在使用系统进行投标的过程中遇到涉及平台使用的任何问题，可致电政采云平台技术支持热线咨询，联系方式：95763。</w:t>
            </w:r>
          </w:p>
          <w:p w14:paraId="402048F0">
            <w:pPr>
              <w:keepNext w:val="0"/>
              <w:keepLines w:val="0"/>
              <w:pageBreakBefore w:val="0"/>
              <w:widowControl w:val="0"/>
              <w:tabs>
                <w:tab w:val="left" w:pos="2448"/>
              </w:tabs>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政采云线上开标大厅（https://www.zcygov.cn在线投标）本次招标采取网上开标方式，所有投标人可准时进入政采云电子招标投标交易平台开标大厅参加在线开标仪式，不组织线下开标仪式。</w:t>
            </w:r>
          </w:p>
          <w:p w14:paraId="56598BB7">
            <w:pPr>
              <w:keepNext w:val="0"/>
              <w:keepLines w:val="0"/>
              <w:pageBreakBefore w:val="0"/>
              <w:widowControl w:val="0"/>
              <w:tabs>
                <w:tab w:val="left" w:pos="2448"/>
              </w:tabs>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（注：采用不见面方式开标的，开标结束后，所有投标人须将投标文件（须与上传政采云投标文件一致）电子版U盘一份及纸质版正本一份，副本贰分，盖章处按要求盖章或签字，递交至招标代理公司。</w:t>
            </w:r>
          </w:p>
          <w:p w14:paraId="46495BC3">
            <w:pPr>
              <w:keepNext w:val="0"/>
              <w:keepLines w:val="0"/>
              <w:pageBreakBefore w:val="0"/>
              <w:widowControl w:val="0"/>
              <w:tabs>
                <w:tab w:val="left" w:pos="2448"/>
              </w:tabs>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联系人：</w:t>
            </w:r>
            <w:r>
              <w:rPr>
                <w:rFonts w:hint="eastAsia" w:ascii="仿宋" w:hAnsi="仿宋" w:eastAsia="仿宋" w:cs="仿宋"/>
                <w:color w:val="auto"/>
                <w:sz w:val="24"/>
                <w:szCs w:val="24"/>
                <w:highlight w:val="none"/>
                <w:lang w:eastAsia="zh-CN"/>
              </w:rPr>
              <w:t>周先生</w:t>
            </w:r>
            <w:r>
              <w:rPr>
                <w:rFonts w:hint="eastAsia" w:ascii="仿宋" w:hAnsi="仿宋" w:eastAsia="仿宋" w:cs="仿宋"/>
                <w:color w:val="auto"/>
                <w:sz w:val="24"/>
                <w:szCs w:val="24"/>
                <w:highlight w:val="none"/>
                <w:lang w:val="zh-CN"/>
              </w:rPr>
              <w:t xml:space="preserve">  </w:t>
            </w:r>
          </w:p>
          <w:p w14:paraId="5A134FF6">
            <w:pPr>
              <w:keepNext w:val="0"/>
              <w:keepLines w:val="0"/>
              <w:pageBreakBefore w:val="0"/>
              <w:widowControl w:val="0"/>
              <w:tabs>
                <w:tab w:val="left" w:pos="2448"/>
              </w:tabs>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zh-CN"/>
              </w:rPr>
              <w:t>联系电话：</w:t>
            </w:r>
            <w:r>
              <w:rPr>
                <w:rFonts w:hint="eastAsia" w:ascii="仿宋" w:hAnsi="仿宋" w:eastAsia="仿宋" w:cs="仿宋"/>
                <w:color w:val="auto"/>
                <w:sz w:val="24"/>
                <w:szCs w:val="24"/>
                <w:highlight w:val="none"/>
                <w:lang w:eastAsia="zh-CN"/>
              </w:rPr>
              <w:t>18699639766</w:t>
            </w:r>
          </w:p>
          <w:p w14:paraId="3A65B491">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rPr>
              <w:t>地址：</w:t>
            </w:r>
            <w:r>
              <w:rPr>
                <w:rFonts w:hint="eastAsia" w:ascii="仿宋" w:hAnsi="仿宋" w:eastAsia="仿宋" w:cs="仿宋"/>
                <w:color w:val="auto"/>
                <w:sz w:val="24"/>
                <w:szCs w:val="24"/>
                <w:highlight w:val="none"/>
                <w:lang w:val="en-US" w:eastAsia="zh-CN"/>
              </w:rPr>
              <w:t>库尔勒市铁克其路冠农汇景台门面房3栋3层</w:t>
            </w:r>
          </w:p>
        </w:tc>
      </w:tr>
      <w:tr w14:paraId="54735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34" w:type="dxa"/>
            <w:vAlign w:val="center"/>
          </w:tcPr>
          <w:p w14:paraId="7DE59D6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1269" w:type="dxa"/>
            <w:vAlign w:val="center"/>
          </w:tcPr>
          <w:p w14:paraId="265AF12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tc>
        <w:tc>
          <w:tcPr>
            <w:tcW w:w="6915" w:type="dxa"/>
            <w:vAlign w:val="center"/>
          </w:tcPr>
          <w:p w14:paraId="755EA4E8">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bidi="zh-CN"/>
              </w:rPr>
            </w:pPr>
            <w:r>
              <w:rPr>
                <w:rFonts w:hint="eastAsia" w:ascii="仿宋" w:hAnsi="仿宋" w:eastAsia="仿宋" w:cs="仿宋"/>
                <w:color w:val="auto"/>
                <w:kern w:val="0"/>
                <w:sz w:val="24"/>
                <w:szCs w:val="24"/>
                <w:highlight w:val="none"/>
              </w:rPr>
              <w:t>签订合同时双方协商约定。</w:t>
            </w:r>
          </w:p>
        </w:tc>
      </w:tr>
      <w:tr w14:paraId="4D5AF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34" w:type="dxa"/>
            <w:vAlign w:val="center"/>
          </w:tcPr>
          <w:p w14:paraId="3DB6CD3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1269" w:type="dxa"/>
            <w:vAlign w:val="center"/>
          </w:tcPr>
          <w:p w14:paraId="0BA43B7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质保期</w:t>
            </w:r>
            <w:r>
              <w:rPr>
                <w:rFonts w:hint="eastAsia" w:ascii="仿宋" w:hAnsi="仿宋" w:eastAsia="仿宋" w:cs="仿宋"/>
                <w:color w:val="auto"/>
                <w:sz w:val="24"/>
                <w:szCs w:val="24"/>
                <w:highlight w:val="none"/>
                <w:lang w:val="en-US" w:eastAsia="zh-CN"/>
              </w:rPr>
              <w:t>及</w:t>
            </w:r>
            <w:r>
              <w:rPr>
                <w:rFonts w:hint="eastAsia" w:ascii="仿宋" w:hAnsi="仿宋" w:eastAsia="仿宋" w:cs="仿宋"/>
                <w:sz w:val="24"/>
                <w:szCs w:val="24"/>
                <w:highlight w:val="none"/>
              </w:rPr>
              <w:t>质量要求</w:t>
            </w:r>
          </w:p>
        </w:tc>
        <w:tc>
          <w:tcPr>
            <w:tcW w:w="6915" w:type="dxa"/>
            <w:vAlign w:val="center"/>
          </w:tcPr>
          <w:p w14:paraId="1265138C">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rPr>
              <w:t>质保期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bidi="zh-CN"/>
              </w:rPr>
              <w:t>2</w:t>
            </w:r>
            <w:r>
              <w:rPr>
                <w:rFonts w:hint="eastAsia" w:ascii="仿宋" w:hAnsi="仿宋" w:eastAsia="仿宋" w:cs="仿宋"/>
                <w:color w:val="auto"/>
                <w:sz w:val="24"/>
                <w:szCs w:val="24"/>
                <w:highlight w:val="none"/>
                <w:lang w:val="zh-CN" w:bidi="zh-CN"/>
              </w:rPr>
              <w:t>年</w:t>
            </w:r>
          </w:p>
          <w:p w14:paraId="339F5E18">
            <w:pPr>
              <w:pStyle w:val="30"/>
              <w:rPr>
                <w:rFonts w:hint="eastAsia" w:ascii="仿宋" w:hAnsi="仿宋" w:eastAsia="仿宋" w:cs="仿宋"/>
                <w:color w:val="auto"/>
                <w:sz w:val="24"/>
                <w:szCs w:val="24"/>
                <w:highlight w:val="none"/>
                <w:lang w:bidi="zh-CN"/>
              </w:rPr>
            </w:pPr>
            <w:r>
              <w:rPr>
                <w:rFonts w:hint="eastAsia" w:ascii="仿宋" w:hAnsi="仿宋" w:eastAsia="仿宋" w:cs="仿宋"/>
                <w:sz w:val="24"/>
                <w:szCs w:val="24"/>
                <w:highlight w:val="none"/>
              </w:rPr>
              <w:t>质量要求</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合格</w:t>
            </w:r>
          </w:p>
        </w:tc>
      </w:tr>
      <w:tr w14:paraId="7DBB7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834" w:type="dxa"/>
            <w:vAlign w:val="center"/>
          </w:tcPr>
          <w:p w14:paraId="04E31C1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w:t>
            </w:r>
          </w:p>
        </w:tc>
        <w:tc>
          <w:tcPr>
            <w:tcW w:w="1269" w:type="dxa"/>
            <w:vAlign w:val="center"/>
          </w:tcPr>
          <w:p w14:paraId="72DD66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履约保证金</w:t>
            </w:r>
          </w:p>
        </w:tc>
        <w:tc>
          <w:tcPr>
            <w:tcW w:w="6915" w:type="dxa"/>
            <w:vAlign w:val="center"/>
          </w:tcPr>
          <w:p w14:paraId="16715B79">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en-US" w:bidi="zh-CN"/>
              </w:rPr>
            </w:pPr>
            <w:r>
              <w:rPr>
                <w:rFonts w:hint="eastAsia" w:ascii="仿宋" w:hAnsi="仿宋" w:eastAsia="仿宋" w:cs="仿宋"/>
                <w:color w:val="auto"/>
                <w:sz w:val="24"/>
                <w:szCs w:val="24"/>
                <w:highlight w:val="none"/>
                <w:lang w:val="en-US" w:bidi="zh-CN"/>
              </w:rPr>
              <w:t>双方自行协商</w:t>
            </w:r>
          </w:p>
        </w:tc>
      </w:tr>
      <w:tr w14:paraId="5AC9A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834" w:type="dxa"/>
            <w:vAlign w:val="center"/>
          </w:tcPr>
          <w:p w14:paraId="0C5FCEE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w:t>
            </w:r>
          </w:p>
        </w:tc>
        <w:tc>
          <w:tcPr>
            <w:tcW w:w="1269" w:type="dxa"/>
            <w:vAlign w:val="center"/>
          </w:tcPr>
          <w:p w14:paraId="274F81F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投标单位CA申领</w:t>
            </w:r>
          </w:p>
        </w:tc>
        <w:tc>
          <w:tcPr>
            <w:tcW w:w="6915" w:type="dxa"/>
            <w:vAlign w:val="center"/>
          </w:tcPr>
          <w:p w14:paraId="0FE059C1">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rPr>
              <w:t>访问新疆数字证书认证中心官方网站（https://www.xjca.com.cn/）或下载“新疆政务通”APP自行进行申领。如需咨询，请联系新疆CA服务热线0991-2819290</w:t>
            </w:r>
          </w:p>
        </w:tc>
      </w:tr>
      <w:tr w14:paraId="541FB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7" w:hRule="atLeast"/>
          <w:jc w:val="center"/>
        </w:trPr>
        <w:tc>
          <w:tcPr>
            <w:tcW w:w="834" w:type="dxa"/>
            <w:vAlign w:val="center"/>
          </w:tcPr>
          <w:p w14:paraId="552EA4B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w:t>
            </w:r>
          </w:p>
        </w:tc>
        <w:tc>
          <w:tcPr>
            <w:tcW w:w="1269" w:type="dxa"/>
            <w:vAlign w:val="center"/>
          </w:tcPr>
          <w:p w14:paraId="4E305C7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最高限价</w:t>
            </w:r>
          </w:p>
        </w:tc>
        <w:tc>
          <w:tcPr>
            <w:tcW w:w="6915" w:type="dxa"/>
            <w:vAlign w:val="center"/>
          </w:tcPr>
          <w:p w14:paraId="6E023C3D">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人民币</w:t>
            </w:r>
            <w:r>
              <w:rPr>
                <w:rFonts w:hint="eastAsia" w:ascii="仿宋" w:hAnsi="仿宋" w:eastAsia="仿宋" w:cs="仿宋"/>
                <w:color w:val="auto"/>
                <w:sz w:val="24"/>
                <w:szCs w:val="24"/>
                <w:highlight w:val="none"/>
                <w:lang w:val="en-US" w:bidi="zh-CN"/>
              </w:rPr>
              <w:t>100.00万</w:t>
            </w:r>
            <w:r>
              <w:rPr>
                <w:rFonts w:hint="eastAsia" w:ascii="仿宋" w:hAnsi="仿宋" w:eastAsia="仿宋" w:cs="仿宋"/>
                <w:color w:val="auto"/>
                <w:sz w:val="24"/>
                <w:szCs w:val="24"/>
                <w:highlight w:val="none"/>
                <w:lang w:val="zh-CN" w:bidi="zh-CN"/>
              </w:rPr>
              <w:t>元，大写</w:t>
            </w:r>
            <w:r>
              <w:rPr>
                <w:rFonts w:hint="eastAsia" w:ascii="仿宋" w:hAnsi="仿宋" w:eastAsia="仿宋" w:cs="仿宋"/>
                <w:color w:val="auto"/>
                <w:sz w:val="24"/>
                <w:szCs w:val="24"/>
                <w:highlight w:val="none"/>
                <w:lang w:bidi="zh-CN"/>
              </w:rPr>
              <w:t>：</w:t>
            </w:r>
            <w:r>
              <w:rPr>
                <w:rFonts w:hint="eastAsia" w:ascii="仿宋" w:hAnsi="仿宋" w:eastAsia="仿宋" w:cs="仿宋"/>
                <w:color w:val="auto"/>
                <w:sz w:val="24"/>
                <w:szCs w:val="24"/>
                <w:highlight w:val="none"/>
                <w:lang w:val="en-US" w:bidi="zh-CN"/>
              </w:rPr>
              <w:t>壹佰万元整</w:t>
            </w:r>
            <w:r>
              <w:rPr>
                <w:rFonts w:hint="eastAsia" w:ascii="仿宋" w:hAnsi="仿宋" w:eastAsia="仿宋" w:cs="仿宋"/>
                <w:color w:val="auto"/>
                <w:sz w:val="24"/>
                <w:szCs w:val="24"/>
                <w:highlight w:val="none"/>
                <w:lang w:val="zh-CN" w:bidi="zh-CN"/>
              </w:rPr>
              <w:t>。</w:t>
            </w:r>
          </w:p>
          <w:p w14:paraId="00201E47">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sz w:val="24"/>
                <w:szCs w:val="24"/>
                <w:highlight w:val="none"/>
                <w:lang w:val="zh-CN" w:bidi="zh-CN"/>
              </w:rPr>
            </w:pPr>
            <w:r>
              <w:rPr>
                <w:rFonts w:hint="eastAsia" w:ascii="仿宋" w:hAnsi="仿宋" w:eastAsia="仿宋" w:cs="仿宋"/>
                <w:color w:val="auto"/>
                <w:sz w:val="24"/>
                <w:szCs w:val="24"/>
                <w:highlight w:val="none"/>
                <w:lang w:val="zh-CN" w:bidi="zh-CN"/>
              </w:rPr>
              <w:t>（投标报价高于最高限价的，作为废标处理）</w:t>
            </w:r>
          </w:p>
        </w:tc>
      </w:tr>
      <w:tr w14:paraId="4B61C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jc w:val="center"/>
        </w:trPr>
        <w:tc>
          <w:tcPr>
            <w:tcW w:w="834" w:type="dxa"/>
            <w:vAlign w:val="center"/>
          </w:tcPr>
          <w:p w14:paraId="03D46CA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w:t>
            </w:r>
          </w:p>
        </w:tc>
        <w:tc>
          <w:tcPr>
            <w:tcW w:w="1269" w:type="dxa"/>
            <w:shd w:val="clear" w:color="auto" w:fill="auto"/>
            <w:vAlign w:val="center"/>
          </w:tcPr>
          <w:p w14:paraId="799DE1B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政府采购政策支持</w:t>
            </w:r>
          </w:p>
        </w:tc>
        <w:tc>
          <w:tcPr>
            <w:tcW w:w="6915" w:type="dxa"/>
            <w:shd w:val="clear" w:color="auto" w:fill="auto"/>
            <w:vAlign w:val="center"/>
          </w:tcPr>
          <w:p w14:paraId="59B19411">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1、财政部、国家发展改革委、生态环境部、市场监管总局《关于调整优化节能产品、环境标志产品政府采购执行机制的通知》（财库[2019]9 号文）；</w:t>
            </w:r>
          </w:p>
          <w:p w14:paraId="3B3A7A25">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2、财政部、生态环境部《关于印发环境标志产品政府采购品目清单的通知》（财库[2019]18 号文）；</w:t>
            </w:r>
          </w:p>
          <w:p w14:paraId="454D018C">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3、财政部、发展改革委《关于印发节能产品政府采购品目清单的通知》</w:t>
            </w:r>
          </w:p>
          <w:p w14:paraId="1030A7DF">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（财库[2019]19 号文）；</w:t>
            </w:r>
          </w:p>
          <w:p w14:paraId="52898953">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4、市场监管总局《市场监管总局关于发布参与实施政府采购节能产品、环境标志产品认证机构名录的公告》（2019 年第 16 号）；</w:t>
            </w:r>
          </w:p>
          <w:p w14:paraId="6BC9DD19">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5、财政部、工业和信息化部《关于印发《政府采购促进中小企业展暂行办法》的通知》（财库[2020]46号文）；</w:t>
            </w:r>
          </w:p>
          <w:p w14:paraId="291543C3">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6、财政部、民政部、中国残疾人联合会《关于促进残疾人就业政府采购政策的通知》（财库[2017]141 号）；</w:t>
            </w:r>
          </w:p>
          <w:p w14:paraId="3CDCF1A2">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7、财政部、司法部《关于政府采购支持监狱企业发展有关问题的通知》</w:t>
            </w:r>
          </w:p>
          <w:p w14:paraId="23D9B6D9">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（财库[2014]68 号文）。（中小企业优惠、监狱企业、节能产品、环境标志产品等）。</w:t>
            </w:r>
          </w:p>
          <w:p w14:paraId="23020046">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8、扶持中小企业政策：本项目为专门面向中小企业（含中型、小型、微型企业）采购项目。中小企业是工业和信息化部、国家统计局、发展改革委、财政部《中小企业划型标准规定》（工信部联企业〔2011〕300号）中划分的中、小、微型企业。 </w:t>
            </w:r>
          </w:p>
          <w:p w14:paraId="52A21764">
            <w:pPr>
              <w:pStyle w:val="34"/>
              <w:tabs>
                <w:tab w:val="left" w:pos="636"/>
              </w:tabs>
              <w:spacing w:line="240" w:lineRule="auto"/>
              <w:ind w:right="98"/>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kern w:val="2"/>
                <w:sz w:val="24"/>
                <w:szCs w:val="24"/>
                <w:highlight w:val="none"/>
                <w:lang w:val="zh-CN" w:eastAsia="zh-CN" w:bidi="zh-CN"/>
              </w:rPr>
              <w:t>9、《关于运用政府采购政策支持脱贫攻坚的通知》（财库【2019】27号文）。  </w:t>
            </w:r>
          </w:p>
        </w:tc>
      </w:tr>
      <w:tr w14:paraId="4463F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34" w:type="dxa"/>
            <w:vAlign w:val="center"/>
          </w:tcPr>
          <w:p w14:paraId="1B83815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p>
        </w:tc>
        <w:tc>
          <w:tcPr>
            <w:tcW w:w="1269" w:type="dxa"/>
            <w:shd w:val="clear" w:color="auto" w:fill="auto"/>
            <w:vAlign w:val="center"/>
          </w:tcPr>
          <w:p w14:paraId="2818E26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评标方法</w:t>
            </w:r>
          </w:p>
        </w:tc>
        <w:tc>
          <w:tcPr>
            <w:tcW w:w="6915" w:type="dxa"/>
            <w:shd w:val="clear" w:color="auto" w:fill="auto"/>
            <w:vAlign w:val="center"/>
          </w:tcPr>
          <w:p w14:paraId="42BDD4FA">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综合评分法</w:t>
            </w:r>
          </w:p>
        </w:tc>
      </w:tr>
      <w:tr w14:paraId="323E1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34" w:type="dxa"/>
            <w:vAlign w:val="center"/>
          </w:tcPr>
          <w:p w14:paraId="3F5F1FF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w:t>
            </w:r>
          </w:p>
        </w:tc>
        <w:tc>
          <w:tcPr>
            <w:tcW w:w="1269" w:type="dxa"/>
            <w:shd w:val="clear" w:color="auto" w:fill="auto"/>
            <w:vAlign w:val="center"/>
          </w:tcPr>
          <w:p w14:paraId="4BF3CC6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分段质疑</w:t>
            </w:r>
          </w:p>
        </w:tc>
        <w:tc>
          <w:tcPr>
            <w:tcW w:w="6915" w:type="dxa"/>
            <w:shd w:val="clear" w:color="auto" w:fill="auto"/>
            <w:vAlign w:val="center"/>
          </w:tcPr>
          <w:p w14:paraId="4B5E7884">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（1）供应商对招标文件有异议的，应在收到采购文件之日或者采购文件公告期限届满之日内提出；</w:t>
            </w:r>
          </w:p>
          <w:p w14:paraId="04646A21">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（2）供应商对开标有异议的，应在开标现场提出；</w:t>
            </w:r>
          </w:p>
          <w:p w14:paraId="31DABC8E">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（3）供应商对评标结果有异议的，应在中标候选人公示期间提出。</w:t>
            </w:r>
          </w:p>
        </w:tc>
      </w:tr>
      <w:tr w14:paraId="10222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834" w:type="dxa"/>
            <w:vAlign w:val="center"/>
          </w:tcPr>
          <w:p w14:paraId="29250D9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29</w:t>
            </w:r>
          </w:p>
        </w:tc>
        <w:tc>
          <w:tcPr>
            <w:tcW w:w="1269" w:type="dxa"/>
            <w:shd w:val="clear" w:color="auto" w:fill="auto"/>
            <w:vAlign w:val="center"/>
          </w:tcPr>
          <w:p w14:paraId="6BCEE41B">
            <w:pPr>
              <w:pStyle w:val="34"/>
              <w:keepNext w:val="0"/>
              <w:keepLines w:val="0"/>
              <w:suppressLineNumbers w:val="0"/>
              <w:spacing w:before="21" w:beforeAutospacing="0" w:after="0" w:afterAutospacing="0"/>
              <w:ind w:left="0" w:right="0"/>
              <w:jc w:val="center"/>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评审小组</w:t>
            </w:r>
          </w:p>
          <w:p w14:paraId="29308AD4">
            <w:pPr>
              <w:pStyle w:val="34"/>
              <w:keepNext w:val="0"/>
              <w:keepLines w:val="0"/>
              <w:suppressLineNumbers w:val="0"/>
              <w:spacing w:before="21" w:beforeAutospacing="0" w:after="0" w:afterAutospacing="0"/>
              <w:ind w:left="0" w:leftChars="0" w:right="0" w:right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rPr>
              <w:t>的组建</w:t>
            </w:r>
          </w:p>
        </w:tc>
        <w:tc>
          <w:tcPr>
            <w:tcW w:w="6915" w:type="dxa"/>
            <w:shd w:val="clear" w:color="auto" w:fill="auto"/>
            <w:vAlign w:val="center"/>
          </w:tcPr>
          <w:p w14:paraId="0ABA01A1">
            <w:pPr>
              <w:keepNext w:val="0"/>
              <w:keepLines w:val="0"/>
              <w:suppressLineNumbers w:val="0"/>
              <w:spacing w:before="0" w:beforeAutospacing="0" w:after="0" w:afterAutospacing="0"/>
              <w:ind w:left="0" w:leftChars="0" w:right="0" w:right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rPr>
              <w:t>评审小组构成：共</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en-US"/>
              </w:rPr>
              <w:t>人，其中采购人代表</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lang w:val="en-US"/>
              </w:rPr>
              <w:t>人，政采云专家库中随机抽取</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val="en-US"/>
              </w:rPr>
              <w:t>人。</w:t>
            </w:r>
          </w:p>
        </w:tc>
      </w:tr>
      <w:tr w14:paraId="1000C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834" w:type="dxa"/>
            <w:vAlign w:val="center"/>
          </w:tcPr>
          <w:p w14:paraId="686872B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30</w:t>
            </w:r>
          </w:p>
        </w:tc>
        <w:tc>
          <w:tcPr>
            <w:tcW w:w="1269" w:type="dxa"/>
            <w:shd w:val="clear" w:color="auto" w:fill="auto"/>
            <w:vAlign w:val="center"/>
          </w:tcPr>
          <w:p w14:paraId="75117BE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其它</w:t>
            </w:r>
          </w:p>
        </w:tc>
        <w:tc>
          <w:tcPr>
            <w:tcW w:w="6915" w:type="dxa"/>
            <w:shd w:val="clear" w:color="auto" w:fill="auto"/>
            <w:vAlign w:val="center"/>
          </w:tcPr>
          <w:p w14:paraId="2690F7B8">
            <w:pPr>
              <w:pStyle w:val="34"/>
              <w:keepNext w:val="0"/>
              <w:keepLines w:val="0"/>
              <w:pageBreakBefore w:val="0"/>
              <w:widowControl w:val="0"/>
              <w:tabs>
                <w:tab w:val="left" w:pos="632"/>
              </w:tabs>
              <w:kinsoku/>
              <w:wordWrap/>
              <w:overflowPunct/>
              <w:topLinePunct w:val="0"/>
              <w:autoSpaceDE/>
              <w:autoSpaceDN/>
              <w:bidi w:val="0"/>
              <w:adjustRightInd w:val="0"/>
              <w:snapToGrid w:val="0"/>
              <w:spacing w:line="240" w:lineRule="auto"/>
              <w:ind w:left="107" w:right="-1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（1）投标供应商编制电子响应文件可参考《政府采购项目电子交易管理操作指南-供应商》，在政采云《帮助文档》下载；</w:t>
            </w:r>
          </w:p>
          <w:p w14:paraId="0BEC6336">
            <w:pPr>
              <w:pStyle w:val="34"/>
              <w:keepNext w:val="0"/>
              <w:keepLines w:val="0"/>
              <w:pageBreakBefore w:val="0"/>
              <w:widowControl w:val="0"/>
              <w:tabs>
                <w:tab w:val="left" w:pos="632"/>
              </w:tabs>
              <w:kinsoku/>
              <w:wordWrap/>
              <w:overflowPunct/>
              <w:topLinePunct w:val="0"/>
              <w:autoSpaceDE/>
              <w:autoSpaceDN/>
              <w:bidi w:val="0"/>
              <w:adjustRightInd w:val="0"/>
              <w:snapToGrid w:val="0"/>
              <w:spacing w:line="240" w:lineRule="auto"/>
              <w:ind w:left="107" w:right="-1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开标时间到达后，开标主持人进行响应文件的解密操作。因供应商原因造成响应文件未解密成功的，视为撤销其响应文件；因供应商之外的原因造成响应文件未解密成功的，视为撤回其响应文件。部分响应文件未解密成功的，其他响应文件的开标可以继续进行。</w:t>
            </w:r>
          </w:p>
          <w:p w14:paraId="6F75CDA7">
            <w:pPr>
              <w:pStyle w:val="34"/>
              <w:keepNext w:val="0"/>
              <w:keepLines w:val="0"/>
              <w:pageBreakBefore w:val="0"/>
              <w:widowControl w:val="0"/>
              <w:tabs>
                <w:tab w:val="left" w:pos="632"/>
              </w:tabs>
              <w:kinsoku/>
              <w:wordWrap/>
              <w:overflowPunct/>
              <w:topLinePunct w:val="0"/>
              <w:autoSpaceDE/>
              <w:autoSpaceDN/>
              <w:bidi w:val="0"/>
              <w:adjustRightInd w:val="0"/>
              <w:snapToGrid w:val="0"/>
              <w:spacing w:line="240" w:lineRule="auto"/>
              <w:ind w:left="107" w:right="-1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（3）若递交响应文件家数少于三家或者开标后成功解密的家数少于三家的，将终止该标段的开标。</w:t>
            </w:r>
          </w:p>
          <w:p w14:paraId="728DE1F4">
            <w:pPr>
              <w:pStyle w:val="34"/>
              <w:keepNext w:val="0"/>
              <w:keepLines w:val="0"/>
              <w:pageBreakBefore w:val="0"/>
              <w:widowControl w:val="0"/>
              <w:tabs>
                <w:tab w:val="left" w:pos="632"/>
              </w:tabs>
              <w:kinsoku/>
              <w:wordWrap/>
              <w:overflowPunct/>
              <w:topLinePunct w:val="0"/>
              <w:autoSpaceDE/>
              <w:autoSpaceDN/>
              <w:bidi w:val="0"/>
              <w:adjustRightInd w:val="0"/>
              <w:snapToGrid w:val="0"/>
              <w:spacing w:line="240" w:lineRule="auto"/>
              <w:ind w:left="107" w:right="-15"/>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请投标单位提前自学线上开标流程；投标截止时间当天，线上开标环节，响应文件解密时长30分钟，请各投标单位请自带笔记本电脑及CA锁网上进行文件解密以及操作投标事项，请供应商提前调试好在线参标电脑各项配置。</w:t>
            </w:r>
          </w:p>
          <w:p w14:paraId="691DA642">
            <w:pPr>
              <w:pStyle w:val="34"/>
              <w:keepNext w:val="0"/>
              <w:keepLines w:val="0"/>
              <w:pageBreakBefore w:val="0"/>
              <w:widowControl w:val="0"/>
              <w:tabs>
                <w:tab w:val="left" w:pos="632"/>
              </w:tabs>
              <w:kinsoku/>
              <w:wordWrap/>
              <w:overflowPunct/>
              <w:topLinePunct w:val="0"/>
              <w:autoSpaceDE/>
              <w:autoSpaceDN/>
              <w:bidi w:val="0"/>
              <w:adjustRightInd w:val="0"/>
              <w:snapToGrid w:val="0"/>
              <w:spacing w:line="240" w:lineRule="auto"/>
              <w:ind w:left="107" w:leftChars="0" w:right="-15" w:rightChars="0"/>
              <w:textAlignment w:val="auto"/>
              <w:outlineLvl w:val="9"/>
              <w:rPr>
                <w:rFonts w:hint="eastAsia" w:ascii="仿宋" w:hAnsi="仿宋" w:eastAsia="仿宋" w:cs="仿宋"/>
                <w:color w:val="auto"/>
                <w:kern w:val="2"/>
                <w:sz w:val="24"/>
                <w:szCs w:val="24"/>
                <w:highlight w:val="none"/>
                <w:lang w:val="zh-CN" w:eastAsia="zh-CN" w:bidi="zh-CN"/>
              </w:rPr>
            </w:pPr>
            <w:r>
              <w:rPr>
                <w:rFonts w:hint="eastAsia" w:ascii="仿宋" w:hAnsi="仿宋" w:eastAsia="仿宋" w:cs="仿宋"/>
                <w:color w:val="auto"/>
                <w:sz w:val="24"/>
                <w:szCs w:val="24"/>
                <w:highlight w:val="none"/>
              </w:rPr>
              <w:t>（5）本次采用政府采购云平台线上招标、投标，请各潜在供应商及时办理CA锁和学习政府采购云平台线上投标相关知识。请在政府采购云平台登录后，进行下载</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。请各供应商获取</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后及时关注云平台答疑文件获取栏目。具体相关事宜见政府采购云平台。本项目采用资格后审，请供应商仔细阅读</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和各项要求，制作文件及相关资料过程中，若因供应商资格条件不符、提供资料不全等原因导致响应文件予以退还，责任自负。</w:t>
            </w:r>
          </w:p>
        </w:tc>
      </w:tr>
      <w:tr w14:paraId="5B1E5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9" w:hRule="atLeast"/>
          <w:jc w:val="center"/>
        </w:trPr>
        <w:tc>
          <w:tcPr>
            <w:tcW w:w="834" w:type="dxa"/>
            <w:vAlign w:val="center"/>
          </w:tcPr>
          <w:p w14:paraId="4138D93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w:t>
            </w:r>
          </w:p>
        </w:tc>
        <w:tc>
          <w:tcPr>
            <w:tcW w:w="1269" w:type="dxa"/>
            <w:shd w:val="clear" w:color="auto" w:fill="auto"/>
            <w:vAlign w:val="center"/>
          </w:tcPr>
          <w:p w14:paraId="30E057C6">
            <w:pPr>
              <w:keepNext w:val="0"/>
              <w:keepLines w:val="0"/>
              <w:pageBreakBefore w:val="0"/>
              <w:widowControl w:val="0"/>
              <w:kinsoku/>
              <w:wordWrap/>
              <w:overflowPunct/>
              <w:topLinePunct w:val="0"/>
              <w:autoSpaceDE/>
              <w:autoSpaceDN/>
              <w:bidi w:val="0"/>
              <w:snapToGrid/>
              <w:spacing w:line="240" w:lineRule="auto"/>
              <w:jc w:val="center"/>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标前准备</w:t>
            </w:r>
          </w:p>
        </w:tc>
        <w:tc>
          <w:tcPr>
            <w:tcW w:w="6915" w:type="dxa"/>
            <w:shd w:val="clear" w:color="auto" w:fill="auto"/>
            <w:vAlign w:val="center"/>
          </w:tcPr>
          <w:p w14:paraId="13C6B0A4">
            <w:pPr>
              <w:keepNext w:val="0"/>
              <w:keepLines w:val="0"/>
              <w:pageBreakBefore w:val="0"/>
              <w:widowControl w:val="0"/>
              <w:kinsoku/>
              <w:wordWrap/>
              <w:overflowPunct/>
              <w:topLinePunct w:val="0"/>
              <w:autoSpaceDE/>
              <w:autoSpaceDN/>
              <w:bidi w:val="0"/>
              <w:snapToGrid/>
              <w:spacing w:line="240" w:lineRule="auto"/>
              <w:jc w:val="left"/>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1、本项目实行网上投标，采用电子响应文件。若供应商参与投标，自行承担投标一切费用。</w:t>
            </w:r>
          </w:p>
          <w:p w14:paraId="62C51C47">
            <w:pPr>
              <w:keepNext w:val="0"/>
              <w:keepLines w:val="0"/>
              <w:pageBreakBefore w:val="0"/>
              <w:widowControl w:val="0"/>
              <w:kinsoku/>
              <w:wordWrap/>
              <w:overflowPunct/>
              <w:topLinePunct w:val="0"/>
              <w:autoSpaceDE/>
              <w:autoSpaceDN/>
              <w:bidi w:val="0"/>
              <w:snapToGrid/>
              <w:spacing w:line="240" w:lineRule="auto"/>
              <w:jc w:val="left"/>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00617B4B">
            <w:pPr>
              <w:keepNext w:val="0"/>
              <w:keepLines w:val="0"/>
              <w:pageBreakBefore w:val="0"/>
              <w:widowControl w:val="0"/>
              <w:kinsoku/>
              <w:wordWrap/>
              <w:overflowPunct/>
              <w:topLinePunct w:val="0"/>
              <w:autoSpaceDE/>
              <w:autoSpaceDN/>
              <w:bidi w:val="0"/>
              <w:snapToGrid/>
              <w:spacing w:line="240" w:lineRule="auto"/>
              <w:jc w:val="left"/>
              <w:outlineLvl w:val="9"/>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3、供应商将政采云电子交易客户端下载、安装完成后，可通过账号密码或CA登录客户端进行响应文件制作。在使用政采云投标客户端时，建议使用WIN7及以上操作系统。客户端请至新疆政府采购网（</w:t>
            </w:r>
            <w:r>
              <w:rPr>
                <w:rFonts w:hint="eastAsia" w:ascii="仿宋" w:hAnsi="仿宋" w:eastAsia="仿宋" w:cs="仿宋"/>
                <w:color w:val="auto"/>
                <w:sz w:val="24"/>
                <w:szCs w:val="24"/>
                <w:highlight w:val="none"/>
                <w:lang w:eastAsia="zh-CN"/>
              </w:rPr>
              <w:fldChar w:fldCharType="begin"/>
            </w:r>
            <w:r>
              <w:rPr>
                <w:rFonts w:hint="eastAsia" w:ascii="仿宋" w:hAnsi="仿宋" w:eastAsia="仿宋" w:cs="仿宋"/>
                <w:color w:val="auto"/>
                <w:sz w:val="24"/>
                <w:szCs w:val="24"/>
                <w:highlight w:val="none"/>
                <w:lang w:eastAsia="zh-CN"/>
              </w:rPr>
              <w:instrText xml:space="preserve"> HYPERLINK "http://www.ccgp-xinjiang.gov.cn/" </w:instrText>
            </w:r>
            <w:r>
              <w:rPr>
                <w:rFonts w:hint="eastAsia" w:ascii="仿宋" w:hAnsi="仿宋" w:eastAsia="仿宋" w:cs="仿宋"/>
                <w:color w:val="auto"/>
                <w:sz w:val="24"/>
                <w:szCs w:val="24"/>
                <w:highlight w:val="none"/>
                <w:lang w:eastAsia="zh-CN"/>
              </w:rPr>
              <w:fldChar w:fldCharType="separate"/>
            </w:r>
            <w:r>
              <w:rPr>
                <w:rFonts w:hint="eastAsia" w:ascii="仿宋" w:hAnsi="仿宋" w:eastAsia="仿宋" w:cs="仿宋"/>
                <w:color w:val="auto"/>
                <w:sz w:val="24"/>
                <w:szCs w:val="24"/>
                <w:highlight w:val="none"/>
                <w:lang w:eastAsia="zh-CN"/>
              </w:rPr>
              <w:t>http://www.ccgp-xinjiang.gov.cn/</w:t>
            </w:r>
            <w:r>
              <w:rPr>
                <w:rFonts w:hint="eastAsia" w:ascii="仿宋" w:hAnsi="仿宋" w:eastAsia="仿宋" w:cs="仿宋"/>
                <w:color w:val="auto"/>
                <w:sz w:val="24"/>
                <w:szCs w:val="24"/>
                <w:highlight w:val="none"/>
                <w:lang w:eastAsia="zh-CN"/>
              </w:rPr>
              <w:fldChar w:fldCharType="end"/>
            </w:r>
            <w:r>
              <w:rPr>
                <w:rFonts w:hint="eastAsia" w:ascii="仿宋" w:hAnsi="仿宋" w:eastAsia="仿宋" w:cs="仿宋"/>
                <w:color w:val="auto"/>
                <w:sz w:val="24"/>
                <w:szCs w:val="24"/>
                <w:highlight w:val="none"/>
                <w:lang w:eastAsia="zh-CN"/>
              </w:rPr>
              <w:t>）下载专区查看，如有问题可拨打政采云客户服务热线95763进行咨询。</w:t>
            </w:r>
          </w:p>
        </w:tc>
      </w:tr>
      <w:tr w14:paraId="16910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834" w:type="dxa"/>
            <w:tcBorders>
              <w:bottom w:val="single" w:color="auto" w:sz="4" w:space="0"/>
            </w:tcBorders>
            <w:vAlign w:val="center"/>
          </w:tcPr>
          <w:p w14:paraId="2BC75132">
            <w:pPr>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c>
          <w:tcPr>
            <w:tcW w:w="8184" w:type="dxa"/>
            <w:gridSpan w:val="2"/>
            <w:tcBorders>
              <w:bottom w:val="single" w:color="auto" w:sz="4" w:space="0"/>
            </w:tcBorders>
            <w:vAlign w:val="center"/>
          </w:tcPr>
          <w:p w14:paraId="5F660FD4">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备注一：</w:t>
            </w:r>
          </w:p>
          <w:p w14:paraId="06A3BAF2">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中关于废标、无效标、投标被拒绝等字样的条款，为招标的实质性要求和条件，着重提醒各供应商注意，并认真查看</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中的每一个条款及要求，因误读</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而造成的后果，采购人概不负责。</w:t>
            </w:r>
          </w:p>
          <w:p w14:paraId="6E4B40F4">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响应文件中有弄虚作假的内容，其响应文件作废。（如假证书、假业绩、隐瞒不良行为记录、夸大荣誉、使用非本单位在职员工的相关证件及不符合采购文件规定的条款等）；在签订合同之前，采购人如发现竞标人的响应文件有弄虚作假内容，采购人可拒绝与其签订合同。并将其列入政府采购黑名单库。</w:t>
            </w:r>
          </w:p>
          <w:p w14:paraId="14935E62">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3、本项目所属行业为零售业。</w:t>
            </w:r>
          </w:p>
          <w:p w14:paraId="14BE8785">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备注二：</w:t>
            </w:r>
          </w:p>
          <w:p w14:paraId="5A12A5D4">
            <w:pPr>
              <w:pStyle w:val="34"/>
              <w:spacing w:before="21"/>
              <w:jc w:val="left"/>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1、中标单位在领取成交通知书前向招标代理机构支付本项目的中标服务费。收费标准按国计【2015】299号文计取；</w:t>
            </w:r>
          </w:p>
          <w:p w14:paraId="1AE6F78D">
            <w:pPr>
              <w:pStyle w:val="34"/>
              <w:spacing w:before="21"/>
              <w:jc w:val="left"/>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2.场地费、评审专家劳务报酬由中标人支付。评审专家劳务报酬计算方法及支付标准执行巴财购【2018】6号文《关于自治州政府采购专家评审费标准及支付方式的通知》</w:t>
            </w:r>
          </w:p>
          <w:p w14:paraId="1B22C744">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正常情况下，依据电子响应文件进行评标;当停电或系统故障及不可抗力情况，该项目可根据情况另择时间进行开、评标。</w:t>
            </w:r>
          </w:p>
          <w:p w14:paraId="0FA6D9DC">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有下列情况之一的，该供应商的响应文件将被拒绝：</w:t>
            </w:r>
          </w:p>
          <w:p w14:paraId="68AF75EA">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（1）使用非供应商自有的政采云电子投标客户端编制电子响应文件；</w:t>
            </w:r>
          </w:p>
          <w:p w14:paraId="094A426A">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（2）政采云上传响应文件在开标现场均无法正常解锁；</w:t>
            </w:r>
          </w:p>
          <w:p w14:paraId="11CE7363">
            <w:pPr>
              <w:pStyle w:val="43"/>
              <w:keepNext w:val="0"/>
              <w:keepLines w:val="0"/>
              <w:pageBreakBefore w:val="0"/>
              <w:widowControl w:val="0"/>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（3）因供应商自身原因导致电子响应文件无法正常进入电子评标环节的其他情况</w:t>
            </w:r>
          </w:p>
        </w:tc>
      </w:tr>
      <w:tr w14:paraId="6A402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trPr>
        <w:tc>
          <w:tcPr>
            <w:tcW w:w="9018" w:type="dxa"/>
            <w:gridSpan w:val="3"/>
            <w:tcBorders>
              <w:top w:val="single" w:color="auto" w:sz="4" w:space="0"/>
            </w:tcBorders>
            <w:vAlign w:val="center"/>
          </w:tcPr>
          <w:p w14:paraId="6CC8A3DE">
            <w:pPr>
              <w:keepNext w:val="0"/>
              <w:keepLines w:val="0"/>
              <w:pageBreakBefore w:val="0"/>
              <w:widowControl w:val="0"/>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bl>
    <w:p w14:paraId="65E2EA65">
      <w:pPr>
        <w:pStyle w:val="34"/>
        <w:spacing w:before="21"/>
        <w:jc w:val="left"/>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rPr>
        <w:t>注：1.本表内容与</w:t>
      </w:r>
      <w:r>
        <w:rPr>
          <w:rFonts w:hint="eastAsia" w:ascii="仿宋" w:hAnsi="仿宋" w:eastAsia="仿宋" w:cs="仿宋"/>
          <w:color w:val="auto"/>
          <w:sz w:val="24"/>
          <w:szCs w:val="24"/>
          <w:highlight w:val="none"/>
          <w:lang w:val="en-US" w:eastAsia="zh-CN"/>
        </w:rPr>
        <w:t>招标文件</w:t>
      </w:r>
      <w:r>
        <w:rPr>
          <w:rFonts w:hint="eastAsia" w:ascii="仿宋" w:hAnsi="仿宋" w:eastAsia="仿宋" w:cs="仿宋"/>
          <w:color w:val="auto"/>
          <w:sz w:val="24"/>
          <w:szCs w:val="24"/>
          <w:highlight w:val="none"/>
          <w:lang w:val="en-US"/>
        </w:rPr>
        <w:t>其它内容不一致的，应当以本表内容为准。</w:t>
      </w:r>
    </w:p>
    <w:p w14:paraId="26D97CB4">
      <w:pPr>
        <w:pStyle w:val="34"/>
        <w:spacing w:before="21"/>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en-US"/>
        </w:rPr>
        <w:t>2.本表中“</w:t>
      </w:r>
      <w:r>
        <w:rPr>
          <w:rFonts w:hint="eastAsia" w:ascii="仿宋" w:hAnsi="仿宋" w:eastAsia="仿宋" w:cs="仿宋"/>
          <w:color w:val="auto"/>
          <w:sz w:val="24"/>
          <w:szCs w:val="24"/>
          <w:highlight w:val="none"/>
          <w:lang w:val="en-US"/>
        </w:rPr>
        <w:sym w:font="Wingdings" w:char="00FE"/>
      </w:r>
      <w:r>
        <w:rPr>
          <w:rFonts w:hint="eastAsia" w:ascii="仿宋" w:hAnsi="仿宋" w:eastAsia="仿宋" w:cs="仿宋"/>
          <w:color w:val="auto"/>
          <w:sz w:val="24"/>
          <w:szCs w:val="24"/>
          <w:highlight w:val="none"/>
          <w:lang w:val="en-US"/>
        </w:rPr>
        <w:t>”标示选择使用该项，“□”标示不选择使用该项。</w:t>
      </w:r>
    </w:p>
    <w:p w14:paraId="6EA5FD3C">
      <w:pPr>
        <w:outlineLvl w:val="9"/>
        <w:rPr>
          <w:rFonts w:hint="eastAsia" w:ascii="仿宋" w:hAnsi="仿宋" w:eastAsia="仿宋" w:cs="仿宋"/>
          <w:b/>
          <w:color w:val="auto"/>
          <w:sz w:val="36"/>
          <w:highlight w:val="none"/>
        </w:rPr>
      </w:pPr>
    </w:p>
    <w:p w14:paraId="69608DEF">
      <w:pPr>
        <w:rPr>
          <w:rFonts w:hint="eastAsia" w:ascii="仿宋" w:hAnsi="仿宋" w:eastAsia="仿宋" w:cs="仿宋"/>
          <w:b/>
          <w:color w:val="auto"/>
          <w:sz w:val="36"/>
          <w:szCs w:val="36"/>
          <w:highlight w:val="none"/>
          <w:lang w:val="en-US" w:eastAsia="zh-CN" w:bidi="ar-SA"/>
        </w:rPr>
      </w:pPr>
      <w:r>
        <w:rPr>
          <w:rFonts w:hint="eastAsia" w:ascii="仿宋" w:hAnsi="仿宋" w:eastAsia="仿宋" w:cs="仿宋"/>
          <w:b/>
          <w:color w:val="auto"/>
          <w:sz w:val="36"/>
          <w:szCs w:val="36"/>
          <w:highlight w:val="none"/>
          <w:lang w:val="en-US" w:eastAsia="zh-CN" w:bidi="ar-SA"/>
        </w:rPr>
        <w:br w:type="page"/>
      </w:r>
    </w:p>
    <w:p w14:paraId="512664AD">
      <w:pPr>
        <w:pStyle w:val="14"/>
        <w:numPr>
          <w:ilvl w:val="0"/>
          <w:numId w:val="3"/>
        </w:numPr>
        <w:spacing w:line="360" w:lineRule="auto"/>
        <w:ind w:firstLine="0"/>
        <w:jc w:val="center"/>
        <w:outlineLvl w:val="0"/>
        <w:rPr>
          <w:rFonts w:hint="eastAsia" w:ascii="仿宋" w:hAnsi="仿宋" w:eastAsia="仿宋" w:cs="仿宋"/>
          <w:b/>
          <w:color w:val="auto"/>
          <w:sz w:val="36"/>
          <w:szCs w:val="36"/>
          <w:highlight w:val="none"/>
          <w:lang w:val="en-US" w:eastAsia="zh-CN" w:bidi="ar-SA"/>
        </w:rPr>
      </w:pPr>
      <w:r>
        <w:rPr>
          <w:rFonts w:hint="eastAsia" w:ascii="仿宋" w:hAnsi="仿宋" w:eastAsia="仿宋" w:cs="仿宋"/>
          <w:b/>
          <w:color w:val="auto"/>
          <w:sz w:val="36"/>
          <w:szCs w:val="36"/>
          <w:highlight w:val="none"/>
          <w:lang w:val="en-US" w:eastAsia="zh-CN" w:bidi="ar-SA"/>
        </w:rPr>
        <w:t>货物需求、技术规格说明</w:t>
      </w:r>
    </w:p>
    <w:p w14:paraId="13D7D942">
      <w:pPr>
        <w:pStyle w:val="3"/>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一、采购清单（详见清单附件）</w:t>
      </w:r>
    </w:p>
    <w:p w14:paraId="7674D616">
      <w:pPr>
        <w:pStyle w:val="3"/>
        <w:pageBreakBefore w:val="0"/>
        <w:widowControl w:val="0"/>
        <w:numPr>
          <w:ilvl w:val="0"/>
          <w:numId w:val="0"/>
        </w:numPr>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二、</w:t>
      </w:r>
      <w:r>
        <w:rPr>
          <w:rFonts w:hint="eastAsia" w:ascii="仿宋" w:hAnsi="仿宋" w:eastAsia="仿宋" w:cs="仿宋"/>
          <w:color w:val="auto"/>
          <w:sz w:val="24"/>
          <w:szCs w:val="24"/>
          <w:highlight w:val="none"/>
          <w:lang w:val="en-US" w:eastAsia="zh-CN"/>
        </w:rPr>
        <w:t>其他要求：</w:t>
      </w:r>
    </w:p>
    <w:p w14:paraId="67F3E5D3">
      <w:pPr>
        <w:pStyle w:val="3"/>
        <w:pageBreakBefore w:val="0"/>
        <w:widowControl w:val="0"/>
        <w:numPr>
          <w:ilvl w:val="0"/>
          <w:numId w:val="0"/>
        </w:numPr>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工期要求</w:t>
      </w:r>
    </w:p>
    <w:p w14:paraId="01CE4A21">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w:t>
      </w:r>
      <w:r>
        <w:rPr>
          <w:rFonts w:hint="eastAsia" w:ascii="仿宋" w:hAnsi="仿宋" w:eastAsia="仿宋" w:cs="仿宋"/>
          <w:bCs/>
          <w:color w:val="auto"/>
          <w:sz w:val="24"/>
          <w:szCs w:val="24"/>
          <w:highlight w:val="none"/>
          <w:lang w:val="en-US" w:eastAsia="zh-CN"/>
        </w:rPr>
        <w:t>签订合同后</w:t>
      </w:r>
      <w:r>
        <w:rPr>
          <w:rFonts w:hint="eastAsia" w:ascii="仿宋" w:hAnsi="仿宋" w:eastAsia="仿宋" w:cs="仿宋"/>
          <w:color w:val="auto"/>
          <w:sz w:val="24"/>
          <w:szCs w:val="24"/>
          <w:highlight w:val="none"/>
          <w:lang w:eastAsia="zh-CN"/>
        </w:rPr>
        <w:t>15天完成供货及安装</w:t>
      </w:r>
      <w:r>
        <w:rPr>
          <w:rFonts w:hint="eastAsia" w:ascii="仿宋" w:hAnsi="仿宋" w:eastAsia="仿宋" w:cs="仿宋"/>
          <w:bCs/>
          <w:color w:val="auto"/>
          <w:sz w:val="24"/>
          <w:szCs w:val="24"/>
          <w:highlight w:val="none"/>
        </w:rPr>
        <w:t>。</w:t>
      </w:r>
    </w:p>
    <w:p w14:paraId="6620CDFF">
      <w:pPr>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default" w:ascii="仿宋" w:hAnsi="仿宋" w:eastAsia="仿宋" w:cs="仿宋"/>
          <w:b/>
          <w:bCs w:val="0"/>
          <w:color w:val="FF0000"/>
          <w:sz w:val="24"/>
          <w:szCs w:val="24"/>
          <w:highlight w:val="none"/>
          <w:lang w:val="en-US" w:eastAsia="zh-CN"/>
        </w:rPr>
      </w:pPr>
      <w:bookmarkStart w:id="0" w:name="_Toc440790357"/>
      <w:r>
        <w:rPr>
          <w:rFonts w:hint="eastAsia" w:ascii="仿宋" w:hAnsi="仿宋" w:eastAsia="仿宋" w:cs="仿宋"/>
          <w:b/>
          <w:bCs w:val="0"/>
          <w:color w:val="FF0000"/>
          <w:sz w:val="24"/>
          <w:szCs w:val="24"/>
          <w:highlight w:val="none"/>
          <w:lang w:val="en-US" w:eastAsia="zh-CN"/>
        </w:rPr>
        <w:t>备注：以甲方签订合同为准，根据甲方要求，提前一个星期告知供应商准备供货，需在库尔勒市有库房可提前存放所需货物以备验货。</w:t>
      </w:r>
    </w:p>
    <w:p w14:paraId="13982480">
      <w:pPr>
        <w:pStyle w:val="3"/>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交货和安装地点</w:t>
      </w:r>
      <w:bookmarkEnd w:id="0"/>
    </w:p>
    <w:p w14:paraId="3B6241EE">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1、供应商负责材料供货从产地至现场，并负责卸货，完成施工、安装、改造、调试、验收。</w:t>
      </w:r>
    </w:p>
    <w:p w14:paraId="4489004E">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2、安装地点：</w:t>
      </w:r>
      <w:r>
        <w:rPr>
          <w:rFonts w:hint="eastAsia" w:ascii="仿宋" w:hAnsi="仿宋" w:eastAsia="仿宋" w:cs="仿宋"/>
          <w:color w:val="auto"/>
          <w:sz w:val="24"/>
          <w:szCs w:val="24"/>
          <w:highlight w:val="none"/>
          <w:lang w:val="en-US" w:eastAsia="zh-CN"/>
        </w:rPr>
        <w:t>库尔勒市第三十七幼儿园</w:t>
      </w:r>
      <w:r>
        <w:rPr>
          <w:rFonts w:hint="eastAsia" w:ascii="仿宋" w:hAnsi="仿宋" w:eastAsia="仿宋" w:cs="仿宋"/>
          <w:color w:val="auto"/>
          <w:sz w:val="24"/>
          <w:szCs w:val="24"/>
          <w:highlight w:val="none"/>
          <w:lang w:eastAsia="zh-CN"/>
        </w:rPr>
        <w:t>。</w:t>
      </w:r>
    </w:p>
    <w:p w14:paraId="362C526B">
      <w:pPr>
        <w:pStyle w:val="3"/>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rPr>
      </w:pPr>
      <w:bookmarkStart w:id="1" w:name="_Toc440790358"/>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到货验收</w:t>
      </w:r>
      <w:bookmarkEnd w:id="1"/>
    </w:p>
    <w:p w14:paraId="5D654038">
      <w:pPr>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szCs w:val="24"/>
          <w:highlight w:val="none"/>
        </w:rPr>
        <w:t>1、供应商应</w:t>
      </w:r>
      <w:r>
        <w:rPr>
          <w:rFonts w:hint="eastAsia" w:ascii="仿宋" w:hAnsi="仿宋" w:eastAsia="仿宋" w:cs="仿宋"/>
          <w:b/>
          <w:bCs/>
          <w:color w:val="FF0000"/>
          <w:sz w:val="24"/>
          <w:szCs w:val="24"/>
          <w:highlight w:val="none"/>
          <w:lang w:val="en-US" w:eastAsia="zh-CN"/>
        </w:rPr>
        <w:t>委派专家</w:t>
      </w:r>
      <w:r>
        <w:rPr>
          <w:rFonts w:hint="eastAsia" w:ascii="仿宋" w:hAnsi="仿宋" w:eastAsia="仿宋" w:cs="仿宋"/>
          <w:b/>
          <w:bCs/>
          <w:color w:val="FF0000"/>
          <w:sz w:val="24"/>
          <w:szCs w:val="24"/>
          <w:highlight w:val="none"/>
        </w:rPr>
        <w:t>在所供产品到现场时，进行到货验收。若发现任何损坏及质量问题，供应商应负责更换，并妥善处理直至采购人满意。</w:t>
      </w:r>
    </w:p>
    <w:p w14:paraId="54D2F063">
      <w:pPr>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szCs w:val="24"/>
          <w:highlight w:val="none"/>
          <w:lang w:val="en-US" w:eastAsia="zh-CN"/>
        </w:rPr>
        <w:t>2、</w:t>
      </w:r>
      <w:r>
        <w:rPr>
          <w:rFonts w:hint="eastAsia" w:ascii="仿宋" w:hAnsi="仿宋" w:eastAsia="仿宋" w:cs="仿宋"/>
          <w:b/>
          <w:bCs/>
          <w:color w:val="FF0000"/>
          <w:sz w:val="24"/>
          <w:szCs w:val="24"/>
          <w:highlight w:val="none"/>
        </w:rPr>
        <w:t>此工作所发生费用</w:t>
      </w:r>
      <w:r>
        <w:rPr>
          <w:rFonts w:hint="eastAsia" w:ascii="仿宋" w:hAnsi="仿宋" w:eastAsia="仿宋" w:cs="仿宋"/>
          <w:b/>
          <w:bCs/>
          <w:color w:val="FF0000"/>
          <w:sz w:val="24"/>
          <w:szCs w:val="24"/>
          <w:highlight w:val="none"/>
          <w:lang w:eastAsia="zh-CN"/>
        </w:rPr>
        <w:t>（</w:t>
      </w:r>
      <w:r>
        <w:rPr>
          <w:rFonts w:hint="eastAsia" w:ascii="仿宋" w:hAnsi="仿宋" w:eastAsia="仿宋" w:cs="仿宋"/>
          <w:b/>
          <w:bCs/>
          <w:color w:val="FF0000"/>
          <w:sz w:val="24"/>
          <w:szCs w:val="24"/>
          <w:highlight w:val="none"/>
          <w:lang w:val="en-US" w:eastAsia="zh-CN"/>
        </w:rPr>
        <w:t>委派专家验收费用</w:t>
      </w:r>
      <w:r>
        <w:rPr>
          <w:rFonts w:hint="eastAsia" w:ascii="仿宋" w:hAnsi="仿宋" w:eastAsia="仿宋" w:cs="仿宋"/>
          <w:b/>
          <w:bCs/>
          <w:color w:val="FF0000"/>
          <w:sz w:val="24"/>
          <w:szCs w:val="24"/>
          <w:highlight w:val="none"/>
          <w:lang w:eastAsia="zh-CN"/>
        </w:rPr>
        <w:t>）</w:t>
      </w:r>
      <w:r>
        <w:rPr>
          <w:rFonts w:hint="eastAsia" w:ascii="仿宋" w:hAnsi="仿宋" w:eastAsia="仿宋" w:cs="仿宋"/>
          <w:b/>
          <w:bCs/>
          <w:color w:val="FF0000"/>
          <w:sz w:val="24"/>
          <w:szCs w:val="24"/>
          <w:highlight w:val="none"/>
        </w:rPr>
        <w:t>应由供应商自行承担。</w:t>
      </w:r>
    </w:p>
    <w:p w14:paraId="691529EA">
      <w:pPr>
        <w:pStyle w:val="3"/>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rPr>
      </w:pPr>
      <w:bookmarkStart w:id="2" w:name="_Toc440790359"/>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rPr>
        <w:t>安装调试工作</w:t>
      </w:r>
      <w:bookmarkEnd w:id="2"/>
    </w:p>
    <w:p w14:paraId="212B5214">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1、产品安装调试由供应商负责，应使用训练有素的安装人员，安装结束且工作情况良好，在采购人同意后，将执行调试工作。</w:t>
      </w:r>
    </w:p>
    <w:p w14:paraId="6F325CD1">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2、供应商应派遣</w:t>
      </w:r>
      <w:r>
        <w:rPr>
          <w:rFonts w:hint="eastAsia" w:ascii="仿宋" w:hAnsi="仿宋" w:eastAsia="仿宋" w:cs="仿宋"/>
          <w:color w:val="auto"/>
          <w:sz w:val="24"/>
          <w:szCs w:val="24"/>
          <w:highlight w:val="none"/>
          <w:lang w:val="en-US" w:eastAsia="zh-CN"/>
        </w:rPr>
        <w:t>具有相关</w:t>
      </w:r>
      <w:r>
        <w:rPr>
          <w:rFonts w:hint="eastAsia" w:ascii="仿宋" w:hAnsi="仿宋" w:eastAsia="仿宋" w:cs="仿宋"/>
          <w:color w:val="auto"/>
          <w:sz w:val="24"/>
          <w:szCs w:val="24"/>
          <w:highlight w:val="none"/>
        </w:rPr>
        <w:t>实践经验的工程师或技术人员与采购人一起进行设备的调试工作。</w:t>
      </w:r>
    </w:p>
    <w:p w14:paraId="727F66FE">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3、在调试期间供应商应在现场负责测试和调试，并提供所有测试和调试所需的工具、材料、仪器和劳务人员，一切费用由供应商负责。</w:t>
      </w:r>
    </w:p>
    <w:p w14:paraId="22C1B982">
      <w:pPr>
        <w:pStyle w:val="3"/>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rPr>
      </w:pPr>
      <w:bookmarkStart w:id="3" w:name="_Toc440790360"/>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验收</w:t>
      </w:r>
      <w:bookmarkEnd w:id="3"/>
    </w:p>
    <w:p w14:paraId="4566B4C3">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1、产品保护：供应商在验收合格并正常运行两周内有责任对材料设备的成品保护、维护负责。</w:t>
      </w:r>
    </w:p>
    <w:p w14:paraId="1588CC53">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2、验收合格条件</w:t>
      </w:r>
    </w:p>
    <w:p w14:paraId="54DAEF1E">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（1）在进行测试、试运行及竣工验收运行过程中发生的故障和发现的隐患已被排除并得到采购人认可。</w:t>
      </w:r>
    </w:p>
    <w:p w14:paraId="61E00C53">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p>
    <w:p w14:paraId="5AC00E97">
      <w:pPr>
        <w:pageBreakBefore w:val="0"/>
        <w:widowControl w:val="0"/>
        <w:numPr>
          <w:ilvl w:val="0"/>
          <w:numId w:val="4"/>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所有合同中规定的货物和资料都已提交</w:t>
      </w:r>
      <w:r>
        <w:rPr>
          <w:rFonts w:hint="eastAsia" w:ascii="仿宋" w:hAnsi="仿宋" w:eastAsia="仿宋" w:cs="仿宋"/>
          <w:color w:val="auto"/>
          <w:sz w:val="24"/>
          <w:szCs w:val="24"/>
          <w:highlight w:val="none"/>
          <w:lang w:eastAsia="zh-CN"/>
        </w:rPr>
        <w:t>。</w:t>
      </w:r>
    </w:p>
    <w:p w14:paraId="273D5F19">
      <w:pPr>
        <w:pageBreakBefore w:val="0"/>
        <w:widowControl w:val="0"/>
        <w:numPr>
          <w:ilvl w:val="0"/>
          <w:numId w:val="4"/>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双方共同签署验收合格证书。</w:t>
      </w:r>
    </w:p>
    <w:p w14:paraId="7C2AE93A">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（4）供应商应对采购人工作人员提供操作及维修培训，直到培训合格。培训的费用由供应商承担。</w:t>
      </w:r>
    </w:p>
    <w:p w14:paraId="65A4A413">
      <w:pPr>
        <w:pStyle w:val="3"/>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color w:val="auto"/>
          <w:sz w:val="24"/>
          <w:szCs w:val="24"/>
          <w:highlight w:val="none"/>
          <w:lang w:val="en-US" w:eastAsia="zh-CN"/>
        </w:rPr>
      </w:pPr>
      <w:bookmarkStart w:id="4" w:name="_Toc440790362"/>
      <w:r>
        <w:rPr>
          <w:rFonts w:hint="eastAsia" w:ascii="仿宋" w:hAnsi="仿宋" w:eastAsia="仿宋" w:cs="仿宋"/>
          <w:color w:val="auto"/>
          <w:sz w:val="24"/>
          <w:szCs w:val="24"/>
          <w:highlight w:val="none"/>
          <w:lang w:val="en-US" w:eastAsia="zh-CN"/>
        </w:rPr>
        <w:t>（六）商务条款</w:t>
      </w:r>
    </w:p>
    <w:p w14:paraId="3F080FD1">
      <w:pPr>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rPr>
        <w:t>售后服务要求</w:t>
      </w:r>
      <w:bookmarkEnd w:id="4"/>
    </w:p>
    <w:p w14:paraId="6623A0CA">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1、设有售后服务机构，以处理所有的维修服务，并提供24小时服务。维修人员接到维修电话后须在2小时内赶到现场。维修点需提供足够的备件以适应维修需求。</w:t>
      </w:r>
    </w:p>
    <w:p w14:paraId="319FCF55">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2、供应商须对合同中规定的产品，提供经调试、验收合格后至</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年的质保期，在此期间，因产品制造质量不良及安装造成的损坏（包括由此造成的甲方其它财物损失）而产生损坏或不能正常工作，供应商应免费维修和正常保养。</w:t>
      </w:r>
    </w:p>
    <w:p w14:paraId="62595513">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3、在保质期满时，供应商和采购人代表将对设备进行再次测试，任何故障须由供应商自费解决并取得采购人的认可。</w:t>
      </w:r>
    </w:p>
    <w:p w14:paraId="2DDD74E2">
      <w:pPr>
        <w:pageBreakBefore w:val="0"/>
        <w:widowControl w:val="0"/>
        <w:kinsoku/>
        <w:wordWrap/>
        <w:overflowPunct/>
        <w:topLinePunct w:val="0"/>
        <w:autoSpaceDE/>
        <w:autoSpaceDN/>
        <w:bidi w:val="0"/>
        <w:adjustRightInd w:val="0"/>
        <w:snapToGrid w:val="0"/>
        <w:spacing w:before="0" w:after="0" w:line="360" w:lineRule="auto"/>
        <w:ind w:left="0" w:leftChars="0" w:firstLine="482" w:firstLineChars="200"/>
        <w:jc w:val="left"/>
        <w:textAlignment w:val="auto"/>
        <w:outlineLvl w:val="9"/>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2.付款方式</w:t>
      </w:r>
    </w:p>
    <w:p w14:paraId="0B5F3589">
      <w:pPr>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outlineLvl w:val="9"/>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kern w:val="2"/>
          <w:sz w:val="24"/>
          <w:szCs w:val="24"/>
          <w:highlight w:val="none"/>
          <w:lang w:val="en-US" w:eastAsia="zh-CN" w:bidi="ar-SA"/>
        </w:rPr>
        <w:t>甲乙双方签订合同为准。</w:t>
      </w:r>
    </w:p>
    <w:p w14:paraId="762710EC">
      <w:pPr>
        <w:pStyle w:val="3"/>
        <w:pageBreakBefore w:val="0"/>
        <w:widowControl w:val="0"/>
        <w:numPr>
          <w:ilvl w:val="0"/>
          <w:numId w:val="0"/>
        </w:numPr>
        <w:kinsoku/>
        <w:wordWrap/>
        <w:overflowPunct/>
        <w:topLinePunct w:val="0"/>
        <w:autoSpaceDE/>
        <w:autoSpaceDN/>
        <w:bidi w:val="0"/>
        <w:adjustRightInd w:val="0"/>
        <w:snapToGrid w:val="0"/>
        <w:spacing w:before="0" w:after="0" w:line="360" w:lineRule="auto"/>
        <w:ind w:left="0" w:leftChars="0" w:firstLine="482" w:firstLineChars="200"/>
        <w:jc w:val="left"/>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三、本项目所属行业：零售业</w:t>
      </w:r>
    </w:p>
    <w:p w14:paraId="581BBE58">
      <w:pPr>
        <w:keepNext w:val="0"/>
        <w:keepLines w:val="0"/>
        <w:pageBreakBefore w:val="0"/>
        <w:widowControl w:val="0"/>
        <w:kinsoku/>
        <w:wordWrap/>
        <w:overflowPunct/>
        <w:topLinePunct w:val="0"/>
        <w:autoSpaceDE/>
        <w:autoSpaceDN/>
        <w:bidi w:val="0"/>
        <w:adjustRightInd w:val="0"/>
        <w:snapToGrid w:val="0"/>
        <w:spacing w:before="0" w:beforeLines="50" w:after="0" w:afterLines="50" w:line="360" w:lineRule="auto"/>
        <w:ind w:left="0"/>
        <w:jc w:val="center"/>
        <w:textAlignment w:val="auto"/>
        <w:rPr>
          <w:rStyle w:val="49"/>
          <w:rFonts w:hint="eastAsia" w:ascii="仿宋" w:hAnsi="仿宋" w:eastAsia="仿宋" w:cs="仿宋"/>
          <w:b/>
          <w:bCs/>
          <w:kern w:val="2"/>
          <w:sz w:val="28"/>
          <w:szCs w:val="28"/>
          <w:highlight w:val="none"/>
          <w:lang w:val="en-US" w:eastAsia="zh-CN"/>
        </w:rPr>
      </w:pPr>
      <w:r>
        <w:rPr>
          <w:rFonts w:hint="eastAsia" w:ascii="仿宋" w:hAnsi="仿宋" w:eastAsia="仿宋" w:cs="仿宋"/>
          <w:b/>
          <w:bCs/>
          <w:color w:val="auto"/>
          <w:sz w:val="28"/>
          <w:szCs w:val="28"/>
          <w:highlight w:val="none"/>
          <w:lang w:val="en-US" w:eastAsia="zh-CN"/>
        </w:rPr>
        <w:t>附件：</w:t>
      </w:r>
      <w:r>
        <w:rPr>
          <w:rFonts w:hint="eastAsia" w:ascii="仿宋" w:hAnsi="仿宋" w:eastAsia="仿宋" w:cs="仿宋"/>
          <w:b/>
          <w:bCs/>
          <w:spacing w:val="-4"/>
          <w:sz w:val="28"/>
          <w:szCs w:val="28"/>
          <w:highlight w:val="none"/>
        </w:rPr>
        <w:t>中小微企业划型标准</w:t>
      </w:r>
    </w:p>
    <w:tbl>
      <w:tblPr>
        <w:tblStyle w:val="53"/>
        <w:tblW w:w="969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33"/>
        <w:gridCol w:w="1851"/>
        <w:gridCol w:w="874"/>
        <w:gridCol w:w="1922"/>
        <w:gridCol w:w="1708"/>
        <w:gridCol w:w="1102"/>
      </w:tblGrid>
      <w:tr w14:paraId="358E0F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jc w:val="center"/>
        </w:trPr>
        <w:tc>
          <w:tcPr>
            <w:tcW w:w="2233" w:type="dxa"/>
            <w:noWrap w:val="0"/>
            <w:vAlign w:val="center"/>
          </w:tcPr>
          <w:p w14:paraId="69ED765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行业名称</w:t>
            </w:r>
          </w:p>
        </w:tc>
        <w:tc>
          <w:tcPr>
            <w:tcW w:w="1851" w:type="dxa"/>
            <w:noWrap w:val="0"/>
            <w:vAlign w:val="center"/>
          </w:tcPr>
          <w:p w14:paraId="75FF83A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指标名称</w:t>
            </w:r>
          </w:p>
        </w:tc>
        <w:tc>
          <w:tcPr>
            <w:tcW w:w="874" w:type="dxa"/>
            <w:noWrap w:val="0"/>
            <w:vAlign w:val="center"/>
          </w:tcPr>
          <w:p w14:paraId="7F782F6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2"/>
                <w:position w:val="7"/>
                <w:sz w:val="24"/>
                <w:szCs w:val="24"/>
                <w:highlight w:val="none"/>
              </w:rPr>
              <w:t>计量</w:t>
            </w:r>
          </w:p>
          <w:p w14:paraId="1C2D051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2"/>
                <w:sz w:val="24"/>
                <w:szCs w:val="24"/>
                <w:highlight w:val="none"/>
              </w:rPr>
              <w:t>单位</w:t>
            </w:r>
          </w:p>
        </w:tc>
        <w:tc>
          <w:tcPr>
            <w:tcW w:w="1922" w:type="dxa"/>
            <w:noWrap w:val="0"/>
            <w:vAlign w:val="center"/>
          </w:tcPr>
          <w:p w14:paraId="0E3A117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中型</w:t>
            </w:r>
          </w:p>
        </w:tc>
        <w:tc>
          <w:tcPr>
            <w:tcW w:w="1708" w:type="dxa"/>
            <w:noWrap w:val="0"/>
            <w:vAlign w:val="center"/>
          </w:tcPr>
          <w:p w14:paraId="4C1C2A8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小型</w:t>
            </w:r>
          </w:p>
        </w:tc>
        <w:tc>
          <w:tcPr>
            <w:tcW w:w="1102" w:type="dxa"/>
            <w:noWrap w:val="0"/>
            <w:vAlign w:val="center"/>
          </w:tcPr>
          <w:p w14:paraId="7A5CC7C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微型</w:t>
            </w:r>
          </w:p>
        </w:tc>
      </w:tr>
      <w:tr w14:paraId="3E4D70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noWrap w:val="0"/>
            <w:vAlign w:val="center"/>
          </w:tcPr>
          <w:p w14:paraId="0AE8FE3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农、林、牧、渔</w:t>
            </w:r>
          </w:p>
        </w:tc>
        <w:tc>
          <w:tcPr>
            <w:tcW w:w="1851" w:type="dxa"/>
            <w:noWrap w:val="0"/>
            <w:vAlign w:val="center"/>
          </w:tcPr>
          <w:p w14:paraId="7F213BA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6C90A49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3E1F421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500≤Y＜20000</w:t>
            </w:r>
          </w:p>
        </w:tc>
        <w:tc>
          <w:tcPr>
            <w:tcW w:w="1708" w:type="dxa"/>
            <w:noWrap w:val="0"/>
            <w:vAlign w:val="center"/>
          </w:tcPr>
          <w:p w14:paraId="299A28D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50≤Y＜500</w:t>
            </w:r>
          </w:p>
        </w:tc>
        <w:tc>
          <w:tcPr>
            <w:tcW w:w="1102" w:type="dxa"/>
            <w:noWrap w:val="0"/>
            <w:vAlign w:val="center"/>
          </w:tcPr>
          <w:p w14:paraId="320FDBA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Y＜50</w:t>
            </w:r>
          </w:p>
        </w:tc>
      </w:tr>
      <w:tr w14:paraId="74FD5D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5E129F0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sz w:val="24"/>
                <w:szCs w:val="24"/>
                <w:highlight w:val="none"/>
              </w:rPr>
              <w:t>工业</w:t>
            </w:r>
          </w:p>
        </w:tc>
        <w:tc>
          <w:tcPr>
            <w:tcW w:w="1851" w:type="dxa"/>
            <w:noWrap w:val="0"/>
            <w:vAlign w:val="center"/>
          </w:tcPr>
          <w:p w14:paraId="7A7C8D2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2613160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737821A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300≤X＜1000</w:t>
            </w:r>
          </w:p>
        </w:tc>
        <w:tc>
          <w:tcPr>
            <w:tcW w:w="1708" w:type="dxa"/>
            <w:noWrap w:val="0"/>
            <w:vAlign w:val="center"/>
          </w:tcPr>
          <w:p w14:paraId="5B46A72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20≤X＜300</w:t>
            </w:r>
          </w:p>
        </w:tc>
        <w:tc>
          <w:tcPr>
            <w:tcW w:w="1102" w:type="dxa"/>
            <w:noWrap w:val="0"/>
            <w:vAlign w:val="center"/>
          </w:tcPr>
          <w:p w14:paraId="6123D90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X＜20</w:t>
            </w:r>
          </w:p>
        </w:tc>
      </w:tr>
      <w:tr w14:paraId="0C8EC7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2233" w:type="dxa"/>
            <w:vMerge w:val="continue"/>
            <w:tcBorders>
              <w:top w:val="nil"/>
            </w:tcBorders>
            <w:noWrap w:val="0"/>
            <w:vAlign w:val="center"/>
          </w:tcPr>
          <w:p w14:paraId="0D7B35B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1B17758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1198387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45FCBF1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2000≤Y＜40000</w:t>
            </w:r>
          </w:p>
        </w:tc>
        <w:tc>
          <w:tcPr>
            <w:tcW w:w="1708" w:type="dxa"/>
            <w:noWrap w:val="0"/>
            <w:vAlign w:val="center"/>
          </w:tcPr>
          <w:p w14:paraId="24FE5AA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300≤Y＜2000</w:t>
            </w:r>
          </w:p>
        </w:tc>
        <w:tc>
          <w:tcPr>
            <w:tcW w:w="1102" w:type="dxa"/>
            <w:noWrap w:val="0"/>
            <w:vAlign w:val="center"/>
          </w:tcPr>
          <w:p w14:paraId="2710673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Y＜300</w:t>
            </w:r>
          </w:p>
        </w:tc>
      </w:tr>
      <w:tr w14:paraId="535491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79260E6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建筑业</w:t>
            </w:r>
          </w:p>
        </w:tc>
        <w:tc>
          <w:tcPr>
            <w:tcW w:w="1851" w:type="dxa"/>
            <w:noWrap w:val="0"/>
            <w:vAlign w:val="center"/>
          </w:tcPr>
          <w:p w14:paraId="35BE226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2865EC1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1647299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6000≤Y＜80000</w:t>
            </w:r>
          </w:p>
        </w:tc>
        <w:tc>
          <w:tcPr>
            <w:tcW w:w="1708" w:type="dxa"/>
            <w:noWrap w:val="0"/>
            <w:vAlign w:val="center"/>
          </w:tcPr>
          <w:p w14:paraId="25063BD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300≤Y＜6000</w:t>
            </w:r>
          </w:p>
        </w:tc>
        <w:tc>
          <w:tcPr>
            <w:tcW w:w="1102" w:type="dxa"/>
            <w:noWrap w:val="0"/>
            <w:vAlign w:val="center"/>
          </w:tcPr>
          <w:p w14:paraId="119B109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Y＜300</w:t>
            </w:r>
          </w:p>
        </w:tc>
      </w:tr>
      <w:tr w14:paraId="39574F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5EA84AD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08EF925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资产总额（Z）</w:t>
            </w:r>
          </w:p>
        </w:tc>
        <w:tc>
          <w:tcPr>
            <w:tcW w:w="874" w:type="dxa"/>
            <w:noWrap w:val="0"/>
            <w:vAlign w:val="center"/>
          </w:tcPr>
          <w:p w14:paraId="37C030E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7E33246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5000≤Z＜80000</w:t>
            </w:r>
          </w:p>
        </w:tc>
        <w:tc>
          <w:tcPr>
            <w:tcW w:w="1708" w:type="dxa"/>
            <w:noWrap w:val="0"/>
            <w:vAlign w:val="center"/>
          </w:tcPr>
          <w:p w14:paraId="4B1E414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300≤Z＜5000</w:t>
            </w:r>
          </w:p>
        </w:tc>
        <w:tc>
          <w:tcPr>
            <w:tcW w:w="1102" w:type="dxa"/>
            <w:noWrap w:val="0"/>
            <w:vAlign w:val="center"/>
          </w:tcPr>
          <w:p w14:paraId="6FF514D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Z＜300</w:t>
            </w:r>
          </w:p>
        </w:tc>
      </w:tr>
      <w:tr w14:paraId="6B6D3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1E2496A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批发业</w:t>
            </w:r>
          </w:p>
        </w:tc>
        <w:tc>
          <w:tcPr>
            <w:tcW w:w="1851" w:type="dxa"/>
            <w:noWrap w:val="0"/>
            <w:vAlign w:val="center"/>
          </w:tcPr>
          <w:p w14:paraId="69C8C6D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6A6879F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0219B9C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20≤X＜200</w:t>
            </w:r>
          </w:p>
        </w:tc>
        <w:tc>
          <w:tcPr>
            <w:tcW w:w="1708" w:type="dxa"/>
            <w:noWrap w:val="0"/>
            <w:vAlign w:val="center"/>
          </w:tcPr>
          <w:p w14:paraId="2798EA7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5≤X＜20</w:t>
            </w:r>
          </w:p>
        </w:tc>
        <w:tc>
          <w:tcPr>
            <w:tcW w:w="1102" w:type="dxa"/>
            <w:noWrap w:val="0"/>
            <w:vAlign w:val="center"/>
          </w:tcPr>
          <w:p w14:paraId="5B0D2D5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X＜5</w:t>
            </w:r>
          </w:p>
        </w:tc>
      </w:tr>
      <w:tr w14:paraId="4C5A29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jc w:val="center"/>
        </w:trPr>
        <w:tc>
          <w:tcPr>
            <w:tcW w:w="2233" w:type="dxa"/>
            <w:vMerge w:val="continue"/>
            <w:tcBorders>
              <w:top w:val="nil"/>
            </w:tcBorders>
            <w:noWrap w:val="0"/>
            <w:vAlign w:val="center"/>
          </w:tcPr>
          <w:p w14:paraId="49A701A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5D3F01A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110ACF6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4E0E397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5000≤Y＜40000</w:t>
            </w:r>
          </w:p>
        </w:tc>
        <w:tc>
          <w:tcPr>
            <w:tcW w:w="1708" w:type="dxa"/>
            <w:noWrap w:val="0"/>
            <w:vAlign w:val="center"/>
          </w:tcPr>
          <w:p w14:paraId="14EE8D9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1000≤Y＜5000</w:t>
            </w:r>
          </w:p>
        </w:tc>
        <w:tc>
          <w:tcPr>
            <w:tcW w:w="1102" w:type="dxa"/>
            <w:noWrap w:val="0"/>
            <w:vAlign w:val="center"/>
          </w:tcPr>
          <w:p w14:paraId="2CCEE36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Y＜1000</w:t>
            </w:r>
          </w:p>
        </w:tc>
      </w:tr>
      <w:tr w14:paraId="7EAE3B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6FC00AA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零售业</w:t>
            </w:r>
          </w:p>
        </w:tc>
        <w:tc>
          <w:tcPr>
            <w:tcW w:w="1851" w:type="dxa"/>
            <w:noWrap w:val="0"/>
            <w:vAlign w:val="center"/>
          </w:tcPr>
          <w:p w14:paraId="1B81286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43E6CFC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2AC0063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50≤X＜300</w:t>
            </w:r>
          </w:p>
        </w:tc>
        <w:tc>
          <w:tcPr>
            <w:tcW w:w="1708" w:type="dxa"/>
            <w:noWrap w:val="0"/>
            <w:vAlign w:val="center"/>
          </w:tcPr>
          <w:p w14:paraId="5EFDE62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10≤X＜50</w:t>
            </w:r>
          </w:p>
        </w:tc>
        <w:tc>
          <w:tcPr>
            <w:tcW w:w="1102" w:type="dxa"/>
            <w:noWrap w:val="0"/>
            <w:vAlign w:val="center"/>
          </w:tcPr>
          <w:p w14:paraId="1E29EC7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r w14:paraId="2FEC1F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53B81C1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3E4F04B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393015D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5A5B083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500≤Y＜20000</w:t>
            </w:r>
          </w:p>
        </w:tc>
        <w:tc>
          <w:tcPr>
            <w:tcW w:w="1708" w:type="dxa"/>
            <w:noWrap w:val="0"/>
            <w:vAlign w:val="center"/>
          </w:tcPr>
          <w:p w14:paraId="767DA8A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100≤Y＜500</w:t>
            </w:r>
          </w:p>
        </w:tc>
        <w:tc>
          <w:tcPr>
            <w:tcW w:w="1102" w:type="dxa"/>
            <w:noWrap w:val="0"/>
            <w:vAlign w:val="center"/>
          </w:tcPr>
          <w:p w14:paraId="79F9951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15F70B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7AD23D1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交通运输业</w:t>
            </w:r>
          </w:p>
        </w:tc>
        <w:tc>
          <w:tcPr>
            <w:tcW w:w="1851" w:type="dxa"/>
            <w:noWrap w:val="0"/>
            <w:vAlign w:val="center"/>
          </w:tcPr>
          <w:p w14:paraId="07D281A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4334772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7A45859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300≤X＜1000</w:t>
            </w:r>
          </w:p>
        </w:tc>
        <w:tc>
          <w:tcPr>
            <w:tcW w:w="1708" w:type="dxa"/>
            <w:noWrap w:val="0"/>
            <w:vAlign w:val="center"/>
          </w:tcPr>
          <w:p w14:paraId="0BC20DC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20≤X＜300</w:t>
            </w:r>
          </w:p>
        </w:tc>
        <w:tc>
          <w:tcPr>
            <w:tcW w:w="1102" w:type="dxa"/>
            <w:noWrap w:val="0"/>
            <w:vAlign w:val="center"/>
          </w:tcPr>
          <w:p w14:paraId="0E4D2B2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X＜20</w:t>
            </w:r>
          </w:p>
        </w:tc>
      </w:tr>
      <w:tr w14:paraId="1ED92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533C73C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3EA2029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52D604D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4864319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3000≤Y＜30000</w:t>
            </w:r>
          </w:p>
        </w:tc>
        <w:tc>
          <w:tcPr>
            <w:tcW w:w="1708" w:type="dxa"/>
            <w:noWrap w:val="0"/>
            <w:vAlign w:val="center"/>
          </w:tcPr>
          <w:p w14:paraId="0D29AB5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200≤Y＜3000</w:t>
            </w:r>
          </w:p>
        </w:tc>
        <w:tc>
          <w:tcPr>
            <w:tcW w:w="1102" w:type="dxa"/>
            <w:noWrap w:val="0"/>
            <w:vAlign w:val="center"/>
          </w:tcPr>
          <w:p w14:paraId="7EDD7EC5">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Y＜200</w:t>
            </w:r>
          </w:p>
        </w:tc>
      </w:tr>
      <w:tr w14:paraId="6E6C2C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39024BE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仓储业</w:t>
            </w:r>
          </w:p>
        </w:tc>
        <w:tc>
          <w:tcPr>
            <w:tcW w:w="1851" w:type="dxa"/>
            <w:noWrap w:val="0"/>
            <w:vAlign w:val="center"/>
          </w:tcPr>
          <w:p w14:paraId="221C9A55">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461A59A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6671541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100≤X＜200</w:t>
            </w:r>
          </w:p>
        </w:tc>
        <w:tc>
          <w:tcPr>
            <w:tcW w:w="1708" w:type="dxa"/>
            <w:noWrap w:val="0"/>
            <w:vAlign w:val="center"/>
          </w:tcPr>
          <w:p w14:paraId="7D37966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20≤X＜100</w:t>
            </w:r>
          </w:p>
        </w:tc>
        <w:tc>
          <w:tcPr>
            <w:tcW w:w="1102" w:type="dxa"/>
            <w:noWrap w:val="0"/>
            <w:vAlign w:val="center"/>
          </w:tcPr>
          <w:p w14:paraId="6A91BA2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X＜20</w:t>
            </w:r>
          </w:p>
        </w:tc>
      </w:tr>
      <w:tr w14:paraId="29C877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660F6D8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2DB8F5B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7BD3AC9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1A23163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1000≤Y＜30000</w:t>
            </w:r>
          </w:p>
        </w:tc>
        <w:tc>
          <w:tcPr>
            <w:tcW w:w="1708" w:type="dxa"/>
            <w:noWrap w:val="0"/>
            <w:vAlign w:val="center"/>
          </w:tcPr>
          <w:p w14:paraId="56A9090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100≤Y＜1000</w:t>
            </w:r>
          </w:p>
        </w:tc>
        <w:tc>
          <w:tcPr>
            <w:tcW w:w="1102" w:type="dxa"/>
            <w:noWrap w:val="0"/>
            <w:vAlign w:val="center"/>
          </w:tcPr>
          <w:p w14:paraId="1D773BA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0A28E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5722813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5"/>
                <w:sz w:val="24"/>
                <w:szCs w:val="24"/>
                <w:highlight w:val="none"/>
              </w:rPr>
              <w:t>邮政业</w:t>
            </w:r>
          </w:p>
        </w:tc>
        <w:tc>
          <w:tcPr>
            <w:tcW w:w="1851" w:type="dxa"/>
            <w:noWrap w:val="0"/>
            <w:vAlign w:val="center"/>
          </w:tcPr>
          <w:p w14:paraId="365FCC1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7FB20CB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01CD835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300≤X＜1000</w:t>
            </w:r>
          </w:p>
        </w:tc>
        <w:tc>
          <w:tcPr>
            <w:tcW w:w="1708" w:type="dxa"/>
            <w:noWrap w:val="0"/>
            <w:vAlign w:val="center"/>
          </w:tcPr>
          <w:p w14:paraId="4A95566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20≤X＜300</w:t>
            </w:r>
          </w:p>
        </w:tc>
        <w:tc>
          <w:tcPr>
            <w:tcW w:w="1102" w:type="dxa"/>
            <w:noWrap w:val="0"/>
            <w:vAlign w:val="center"/>
          </w:tcPr>
          <w:p w14:paraId="7094004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X＜20</w:t>
            </w:r>
          </w:p>
        </w:tc>
      </w:tr>
      <w:tr w14:paraId="7B99C7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1CFA6BD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141DE975">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31E869D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6B235EF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2000≤Y＜30000</w:t>
            </w:r>
          </w:p>
        </w:tc>
        <w:tc>
          <w:tcPr>
            <w:tcW w:w="1708" w:type="dxa"/>
            <w:noWrap w:val="0"/>
            <w:vAlign w:val="center"/>
          </w:tcPr>
          <w:p w14:paraId="3DC3376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100≤Y＜2000</w:t>
            </w:r>
          </w:p>
        </w:tc>
        <w:tc>
          <w:tcPr>
            <w:tcW w:w="1102" w:type="dxa"/>
            <w:noWrap w:val="0"/>
            <w:vAlign w:val="center"/>
          </w:tcPr>
          <w:p w14:paraId="692439A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62CF43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2EC3ABC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住宿业</w:t>
            </w:r>
          </w:p>
        </w:tc>
        <w:tc>
          <w:tcPr>
            <w:tcW w:w="1851" w:type="dxa"/>
            <w:noWrap w:val="0"/>
            <w:vAlign w:val="center"/>
          </w:tcPr>
          <w:p w14:paraId="408F739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026C618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40223F7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100≤X＜300</w:t>
            </w:r>
          </w:p>
        </w:tc>
        <w:tc>
          <w:tcPr>
            <w:tcW w:w="1708" w:type="dxa"/>
            <w:noWrap w:val="0"/>
            <w:vAlign w:val="center"/>
          </w:tcPr>
          <w:p w14:paraId="376FDED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10≤X＜100</w:t>
            </w:r>
          </w:p>
        </w:tc>
        <w:tc>
          <w:tcPr>
            <w:tcW w:w="1102" w:type="dxa"/>
            <w:noWrap w:val="0"/>
            <w:vAlign w:val="center"/>
          </w:tcPr>
          <w:p w14:paraId="41C954D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r w14:paraId="3C3B6B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4BE7EF3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51339FA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2BCECC1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5B22175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2000≤Y＜10000</w:t>
            </w:r>
          </w:p>
        </w:tc>
        <w:tc>
          <w:tcPr>
            <w:tcW w:w="1708" w:type="dxa"/>
            <w:noWrap w:val="0"/>
            <w:vAlign w:val="center"/>
          </w:tcPr>
          <w:p w14:paraId="3783221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100≤Y＜2000</w:t>
            </w:r>
          </w:p>
        </w:tc>
        <w:tc>
          <w:tcPr>
            <w:tcW w:w="1102" w:type="dxa"/>
            <w:noWrap w:val="0"/>
            <w:vAlign w:val="center"/>
          </w:tcPr>
          <w:p w14:paraId="769FEE5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0E8CB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jc w:val="center"/>
        </w:trPr>
        <w:tc>
          <w:tcPr>
            <w:tcW w:w="2233" w:type="dxa"/>
            <w:vMerge w:val="restart"/>
            <w:tcBorders>
              <w:bottom w:val="nil"/>
            </w:tcBorders>
            <w:noWrap w:val="0"/>
            <w:vAlign w:val="center"/>
          </w:tcPr>
          <w:p w14:paraId="0694A0C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8"/>
                <w:sz w:val="24"/>
                <w:szCs w:val="24"/>
                <w:highlight w:val="none"/>
              </w:rPr>
              <w:t>餐饮业</w:t>
            </w:r>
          </w:p>
        </w:tc>
        <w:tc>
          <w:tcPr>
            <w:tcW w:w="1851" w:type="dxa"/>
            <w:noWrap w:val="0"/>
            <w:vAlign w:val="center"/>
          </w:tcPr>
          <w:p w14:paraId="14B7B69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0C63E6F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32B6468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100≤X＜300</w:t>
            </w:r>
          </w:p>
        </w:tc>
        <w:tc>
          <w:tcPr>
            <w:tcW w:w="1708" w:type="dxa"/>
            <w:noWrap w:val="0"/>
            <w:vAlign w:val="center"/>
          </w:tcPr>
          <w:p w14:paraId="20D90DC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10≤X＜100</w:t>
            </w:r>
          </w:p>
        </w:tc>
        <w:tc>
          <w:tcPr>
            <w:tcW w:w="1102" w:type="dxa"/>
            <w:noWrap w:val="0"/>
            <w:vAlign w:val="center"/>
          </w:tcPr>
          <w:p w14:paraId="52160B2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r w14:paraId="3BC026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28A1F4A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4A94429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7B7AB0E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6A4FFBE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2000≤Y＜10000</w:t>
            </w:r>
          </w:p>
        </w:tc>
        <w:tc>
          <w:tcPr>
            <w:tcW w:w="1708" w:type="dxa"/>
            <w:noWrap w:val="0"/>
            <w:vAlign w:val="center"/>
          </w:tcPr>
          <w:p w14:paraId="3C5A058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100≤Y＜2000</w:t>
            </w:r>
          </w:p>
        </w:tc>
        <w:tc>
          <w:tcPr>
            <w:tcW w:w="1102" w:type="dxa"/>
            <w:noWrap w:val="0"/>
            <w:vAlign w:val="center"/>
          </w:tcPr>
          <w:p w14:paraId="268F20B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228244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jc w:val="center"/>
        </w:trPr>
        <w:tc>
          <w:tcPr>
            <w:tcW w:w="2233" w:type="dxa"/>
            <w:vMerge w:val="restart"/>
            <w:tcBorders>
              <w:bottom w:val="nil"/>
            </w:tcBorders>
            <w:noWrap w:val="0"/>
            <w:vAlign w:val="center"/>
          </w:tcPr>
          <w:p w14:paraId="4B9032D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0"/>
                <w:sz w:val="24"/>
                <w:szCs w:val="24"/>
                <w:highlight w:val="none"/>
              </w:rPr>
              <w:t>信息传输业</w:t>
            </w:r>
          </w:p>
        </w:tc>
        <w:tc>
          <w:tcPr>
            <w:tcW w:w="1851" w:type="dxa"/>
            <w:noWrap w:val="0"/>
            <w:vAlign w:val="center"/>
          </w:tcPr>
          <w:p w14:paraId="59EE304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2B4645F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42369EF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100≤X＜2000</w:t>
            </w:r>
          </w:p>
        </w:tc>
        <w:tc>
          <w:tcPr>
            <w:tcW w:w="1708" w:type="dxa"/>
            <w:noWrap w:val="0"/>
            <w:vAlign w:val="center"/>
          </w:tcPr>
          <w:p w14:paraId="0313B1A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10≤X＜100</w:t>
            </w:r>
          </w:p>
        </w:tc>
        <w:tc>
          <w:tcPr>
            <w:tcW w:w="1102" w:type="dxa"/>
            <w:noWrap w:val="0"/>
            <w:vAlign w:val="center"/>
          </w:tcPr>
          <w:p w14:paraId="489053C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r w14:paraId="4657F0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1A4F3DD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2069162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4E0DF54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0DD1DF9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1000≤Y＜100000</w:t>
            </w:r>
          </w:p>
        </w:tc>
        <w:tc>
          <w:tcPr>
            <w:tcW w:w="1708" w:type="dxa"/>
            <w:noWrap w:val="0"/>
            <w:vAlign w:val="center"/>
          </w:tcPr>
          <w:p w14:paraId="125476D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100≤Y＜1000</w:t>
            </w:r>
          </w:p>
        </w:tc>
        <w:tc>
          <w:tcPr>
            <w:tcW w:w="1102" w:type="dxa"/>
            <w:noWrap w:val="0"/>
            <w:vAlign w:val="center"/>
          </w:tcPr>
          <w:p w14:paraId="6B9E228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0963CD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35F60BA6">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jc w:val="center"/>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软件和信息技术服务</w:t>
            </w:r>
            <w:r>
              <w:rPr>
                <w:rFonts w:hint="eastAsia" w:ascii="仿宋" w:hAnsi="仿宋" w:eastAsia="仿宋" w:cs="仿宋"/>
                <w:sz w:val="24"/>
                <w:szCs w:val="24"/>
                <w:highlight w:val="none"/>
              </w:rPr>
              <w:t>业</w:t>
            </w:r>
          </w:p>
        </w:tc>
        <w:tc>
          <w:tcPr>
            <w:tcW w:w="1851" w:type="dxa"/>
            <w:noWrap w:val="0"/>
            <w:vAlign w:val="center"/>
          </w:tcPr>
          <w:p w14:paraId="78C4740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2CC2922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23CE8D7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100≤X＜300</w:t>
            </w:r>
          </w:p>
        </w:tc>
        <w:tc>
          <w:tcPr>
            <w:tcW w:w="1708" w:type="dxa"/>
            <w:noWrap w:val="0"/>
            <w:vAlign w:val="center"/>
          </w:tcPr>
          <w:p w14:paraId="593229E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10≤X＜100</w:t>
            </w:r>
          </w:p>
        </w:tc>
        <w:tc>
          <w:tcPr>
            <w:tcW w:w="1102" w:type="dxa"/>
            <w:noWrap w:val="0"/>
            <w:vAlign w:val="center"/>
          </w:tcPr>
          <w:p w14:paraId="7606695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r w14:paraId="4AD01B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7161861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0FE3E2C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0E6819E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1B930E9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1000≤Y＜10000</w:t>
            </w:r>
          </w:p>
        </w:tc>
        <w:tc>
          <w:tcPr>
            <w:tcW w:w="1708" w:type="dxa"/>
            <w:noWrap w:val="0"/>
            <w:vAlign w:val="center"/>
          </w:tcPr>
          <w:p w14:paraId="48AC589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50≤Y＜1000</w:t>
            </w:r>
          </w:p>
        </w:tc>
        <w:tc>
          <w:tcPr>
            <w:tcW w:w="1102" w:type="dxa"/>
            <w:noWrap w:val="0"/>
            <w:vAlign w:val="center"/>
          </w:tcPr>
          <w:p w14:paraId="41816D3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Y＜50</w:t>
            </w:r>
          </w:p>
        </w:tc>
      </w:tr>
      <w:tr w14:paraId="14A5FD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797D133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房地产开发经营</w:t>
            </w:r>
          </w:p>
        </w:tc>
        <w:tc>
          <w:tcPr>
            <w:tcW w:w="1851" w:type="dxa"/>
            <w:noWrap w:val="0"/>
            <w:vAlign w:val="center"/>
          </w:tcPr>
          <w:p w14:paraId="01AF8A4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71E6161F">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3C8139D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1000≤Y＜200000</w:t>
            </w:r>
          </w:p>
        </w:tc>
        <w:tc>
          <w:tcPr>
            <w:tcW w:w="1708" w:type="dxa"/>
            <w:noWrap w:val="0"/>
            <w:vAlign w:val="center"/>
          </w:tcPr>
          <w:p w14:paraId="446A44A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100≤X＜1000</w:t>
            </w:r>
          </w:p>
        </w:tc>
        <w:tc>
          <w:tcPr>
            <w:tcW w:w="1102" w:type="dxa"/>
            <w:noWrap w:val="0"/>
            <w:vAlign w:val="center"/>
          </w:tcPr>
          <w:p w14:paraId="308C708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X＜100</w:t>
            </w:r>
          </w:p>
        </w:tc>
      </w:tr>
      <w:tr w14:paraId="67E610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531FC3C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1B5681C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资产总额（Z）</w:t>
            </w:r>
          </w:p>
        </w:tc>
        <w:tc>
          <w:tcPr>
            <w:tcW w:w="874" w:type="dxa"/>
            <w:noWrap w:val="0"/>
            <w:vAlign w:val="center"/>
          </w:tcPr>
          <w:p w14:paraId="7D9FF92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49D8323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5000≤Z＜10000</w:t>
            </w:r>
          </w:p>
        </w:tc>
        <w:tc>
          <w:tcPr>
            <w:tcW w:w="1708" w:type="dxa"/>
            <w:noWrap w:val="0"/>
            <w:vAlign w:val="center"/>
          </w:tcPr>
          <w:p w14:paraId="381793E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2000≤Y＜5000</w:t>
            </w:r>
          </w:p>
        </w:tc>
        <w:tc>
          <w:tcPr>
            <w:tcW w:w="1102" w:type="dxa"/>
            <w:noWrap w:val="0"/>
            <w:vAlign w:val="center"/>
          </w:tcPr>
          <w:p w14:paraId="3008775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Y＜2000</w:t>
            </w:r>
          </w:p>
        </w:tc>
      </w:tr>
      <w:tr w14:paraId="4FC95F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restart"/>
            <w:tcBorders>
              <w:bottom w:val="nil"/>
            </w:tcBorders>
            <w:noWrap w:val="0"/>
            <w:vAlign w:val="center"/>
          </w:tcPr>
          <w:p w14:paraId="02E3FC9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物业管理</w:t>
            </w:r>
          </w:p>
        </w:tc>
        <w:tc>
          <w:tcPr>
            <w:tcW w:w="1851" w:type="dxa"/>
            <w:noWrap w:val="0"/>
            <w:vAlign w:val="center"/>
          </w:tcPr>
          <w:p w14:paraId="72EFFB9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1E3B6872">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34747BB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300≤X＜1000</w:t>
            </w:r>
          </w:p>
        </w:tc>
        <w:tc>
          <w:tcPr>
            <w:tcW w:w="1708" w:type="dxa"/>
            <w:noWrap w:val="0"/>
            <w:vAlign w:val="center"/>
          </w:tcPr>
          <w:p w14:paraId="23F22D5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100≤X＜300</w:t>
            </w:r>
          </w:p>
        </w:tc>
        <w:tc>
          <w:tcPr>
            <w:tcW w:w="1102" w:type="dxa"/>
            <w:noWrap w:val="0"/>
            <w:vAlign w:val="center"/>
          </w:tcPr>
          <w:p w14:paraId="6313992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X＜100</w:t>
            </w:r>
          </w:p>
        </w:tc>
      </w:tr>
      <w:tr w14:paraId="5A52BA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545A7A0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51295F1D">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营业收入（Y）</w:t>
            </w:r>
          </w:p>
        </w:tc>
        <w:tc>
          <w:tcPr>
            <w:tcW w:w="874" w:type="dxa"/>
            <w:noWrap w:val="0"/>
            <w:vAlign w:val="center"/>
          </w:tcPr>
          <w:p w14:paraId="4F2442CC">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5CD747C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1000≤Y＜5000</w:t>
            </w:r>
          </w:p>
        </w:tc>
        <w:tc>
          <w:tcPr>
            <w:tcW w:w="1708" w:type="dxa"/>
            <w:noWrap w:val="0"/>
            <w:vAlign w:val="center"/>
          </w:tcPr>
          <w:p w14:paraId="424D41B9">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500≤Y＜1000</w:t>
            </w:r>
          </w:p>
        </w:tc>
        <w:tc>
          <w:tcPr>
            <w:tcW w:w="1102" w:type="dxa"/>
            <w:noWrap w:val="0"/>
            <w:vAlign w:val="center"/>
          </w:tcPr>
          <w:p w14:paraId="36377E1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Y＜500</w:t>
            </w:r>
          </w:p>
        </w:tc>
      </w:tr>
      <w:tr w14:paraId="04A198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jc w:val="center"/>
        </w:trPr>
        <w:tc>
          <w:tcPr>
            <w:tcW w:w="2233" w:type="dxa"/>
            <w:vMerge w:val="restart"/>
            <w:tcBorders>
              <w:bottom w:val="nil"/>
            </w:tcBorders>
            <w:noWrap w:val="0"/>
            <w:vAlign w:val="center"/>
          </w:tcPr>
          <w:p w14:paraId="2FFDA0D5">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租赁和商务服务业</w:t>
            </w:r>
          </w:p>
        </w:tc>
        <w:tc>
          <w:tcPr>
            <w:tcW w:w="1851" w:type="dxa"/>
            <w:noWrap w:val="0"/>
            <w:vAlign w:val="center"/>
          </w:tcPr>
          <w:p w14:paraId="4B93628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3C43FD04">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1406ACBE">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100≤X＜300</w:t>
            </w:r>
          </w:p>
        </w:tc>
        <w:tc>
          <w:tcPr>
            <w:tcW w:w="1708" w:type="dxa"/>
            <w:noWrap w:val="0"/>
            <w:vAlign w:val="center"/>
          </w:tcPr>
          <w:p w14:paraId="41A3564A">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10≤X＜100</w:t>
            </w:r>
          </w:p>
        </w:tc>
        <w:tc>
          <w:tcPr>
            <w:tcW w:w="1102" w:type="dxa"/>
            <w:noWrap w:val="0"/>
            <w:vAlign w:val="center"/>
          </w:tcPr>
          <w:p w14:paraId="700D55B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r w14:paraId="667143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6" w:hRule="atLeast"/>
          <w:jc w:val="center"/>
        </w:trPr>
        <w:tc>
          <w:tcPr>
            <w:tcW w:w="2233" w:type="dxa"/>
            <w:vMerge w:val="continue"/>
            <w:tcBorders>
              <w:top w:val="nil"/>
            </w:tcBorders>
            <w:noWrap w:val="0"/>
            <w:vAlign w:val="center"/>
          </w:tcPr>
          <w:p w14:paraId="737C82D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p>
        </w:tc>
        <w:tc>
          <w:tcPr>
            <w:tcW w:w="1851" w:type="dxa"/>
            <w:noWrap w:val="0"/>
            <w:vAlign w:val="center"/>
          </w:tcPr>
          <w:p w14:paraId="7A18E7B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6"/>
                <w:sz w:val="24"/>
                <w:szCs w:val="24"/>
                <w:highlight w:val="none"/>
              </w:rPr>
              <w:t>资产总额（Z）</w:t>
            </w:r>
          </w:p>
        </w:tc>
        <w:tc>
          <w:tcPr>
            <w:tcW w:w="874" w:type="dxa"/>
            <w:noWrap w:val="0"/>
            <w:vAlign w:val="center"/>
          </w:tcPr>
          <w:p w14:paraId="2EDEE1F1">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万元</w:t>
            </w:r>
          </w:p>
        </w:tc>
        <w:tc>
          <w:tcPr>
            <w:tcW w:w="1922" w:type="dxa"/>
            <w:noWrap w:val="0"/>
            <w:vAlign w:val="center"/>
          </w:tcPr>
          <w:p w14:paraId="1FA78EE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8000≤Z＜120000</w:t>
            </w:r>
          </w:p>
        </w:tc>
        <w:tc>
          <w:tcPr>
            <w:tcW w:w="1708" w:type="dxa"/>
            <w:noWrap w:val="0"/>
            <w:vAlign w:val="center"/>
          </w:tcPr>
          <w:p w14:paraId="0F743220">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4"/>
                <w:position w:val="1"/>
                <w:sz w:val="24"/>
                <w:szCs w:val="24"/>
                <w:highlight w:val="none"/>
              </w:rPr>
              <w:t>100≤Z＜8000</w:t>
            </w:r>
          </w:p>
        </w:tc>
        <w:tc>
          <w:tcPr>
            <w:tcW w:w="1102" w:type="dxa"/>
            <w:noWrap w:val="0"/>
            <w:vAlign w:val="center"/>
          </w:tcPr>
          <w:p w14:paraId="11B81626">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Y＜100</w:t>
            </w:r>
          </w:p>
        </w:tc>
      </w:tr>
      <w:tr w14:paraId="1786DD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0" w:hRule="atLeast"/>
          <w:jc w:val="center"/>
        </w:trPr>
        <w:tc>
          <w:tcPr>
            <w:tcW w:w="2233" w:type="dxa"/>
            <w:noWrap w:val="0"/>
            <w:vAlign w:val="center"/>
          </w:tcPr>
          <w:p w14:paraId="23EEA77B">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9"/>
                <w:sz w:val="24"/>
                <w:szCs w:val="24"/>
                <w:highlight w:val="none"/>
              </w:rPr>
              <w:t>其他未列明行业</w:t>
            </w:r>
          </w:p>
        </w:tc>
        <w:tc>
          <w:tcPr>
            <w:tcW w:w="1851" w:type="dxa"/>
            <w:noWrap w:val="0"/>
            <w:vAlign w:val="center"/>
          </w:tcPr>
          <w:p w14:paraId="24C56CB8">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7"/>
                <w:sz w:val="24"/>
                <w:szCs w:val="24"/>
                <w:highlight w:val="none"/>
              </w:rPr>
              <w:t>从业人员（X）</w:t>
            </w:r>
          </w:p>
        </w:tc>
        <w:tc>
          <w:tcPr>
            <w:tcW w:w="874" w:type="dxa"/>
            <w:noWrap w:val="0"/>
            <w:vAlign w:val="center"/>
          </w:tcPr>
          <w:p w14:paraId="617519F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1"/>
                <w:sz w:val="24"/>
                <w:szCs w:val="24"/>
                <w:highlight w:val="none"/>
              </w:rPr>
              <w:t>人</w:t>
            </w:r>
          </w:p>
        </w:tc>
        <w:tc>
          <w:tcPr>
            <w:tcW w:w="1922" w:type="dxa"/>
            <w:noWrap w:val="0"/>
            <w:vAlign w:val="center"/>
          </w:tcPr>
          <w:p w14:paraId="0C3C8053">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100≤X＜300</w:t>
            </w:r>
          </w:p>
        </w:tc>
        <w:tc>
          <w:tcPr>
            <w:tcW w:w="1708" w:type="dxa"/>
            <w:noWrap w:val="0"/>
            <w:vAlign w:val="center"/>
          </w:tcPr>
          <w:p w14:paraId="798C11D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10≤X＜100</w:t>
            </w:r>
          </w:p>
        </w:tc>
        <w:tc>
          <w:tcPr>
            <w:tcW w:w="1102" w:type="dxa"/>
            <w:noWrap w:val="0"/>
            <w:vAlign w:val="center"/>
          </w:tcPr>
          <w:p w14:paraId="57390487">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hint="eastAsia" w:ascii="仿宋" w:hAnsi="仿宋" w:eastAsia="仿宋" w:cs="仿宋"/>
                <w:sz w:val="24"/>
                <w:szCs w:val="24"/>
                <w:highlight w:val="none"/>
              </w:rPr>
            </w:pPr>
            <w:r>
              <w:rPr>
                <w:rFonts w:hint="eastAsia" w:ascii="仿宋" w:hAnsi="仿宋" w:eastAsia="仿宋" w:cs="仿宋"/>
                <w:spacing w:val="3"/>
                <w:position w:val="1"/>
                <w:sz w:val="24"/>
                <w:szCs w:val="24"/>
                <w:highlight w:val="none"/>
              </w:rPr>
              <w:t>X＜10</w:t>
            </w:r>
          </w:p>
        </w:tc>
      </w:tr>
    </w:tbl>
    <w:p w14:paraId="68F1E82E">
      <w:pPr>
        <w:keepNext w:val="0"/>
        <w:keepLines w:val="0"/>
        <w:pageBreakBefore w:val="0"/>
        <w:widowControl w:val="0"/>
        <w:kinsoku/>
        <w:wordWrap/>
        <w:overflowPunct/>
        <w:topLinePunct w:val="0"/>
        <w:autoSpaceDE/>
        <w:autoSpaceDN/>
        <w:bidi w:val="0"/>
        <w:adjustRightInd/>
        <w:snapToGrid w:val="0"/>
        <w:spacing w:line="360" w:lineRule="auto"/>
        <w:ind w:firstLine="516"/>
        <w:jc w:val="left"/>
        <w:textAlignment w:val="auto"/>
        <w:rPr>
          <w:rFonts w:hint="eastAsia" w:ascii="仿宋" w:hAnsi="仿宋" w:eastAsia="仿宋" w:cs="仿宋"/>
          <w:spacing w:val="7"/>
          <w:sz w:val="24"/>
          <w:szCs w:val="24"/>
          <w:highlight w:val="none"/>
        </w:rPr>
      </w:pPr>
    </w:p>
    <w:p w14:paraId="51AC780C">
      <w:pPr>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outlineLvl w:val="9"/>
        <w:rPr>
          <w:rFonts w:hint="default" w:ascii="仿宋" w:hAnsi="仿宋" w:eastAsia="仿宋" w:cs="仿宋"/>
          <w:bCs/>
          <w:color w:val="auto"/>
          <w:kern w:val="2"/>
          <w:sz w:val="24"/>
          <w:szCs w:val="24"/>
          <w:highlight w:val="yellow"/>
          <w:lang w:val="en-US" w:eastAsia="zh-CN" w:bidi="ar-SA"/>
        </w:rPr>
      </w:pPr>
      <w:r>
        <w:rPr>
          <w:rFonts w:hint="eastAsia" w:ascii="仿宋" w:hAnsi="仿宋" w:eastAsia="仿宋" w:cs="仿宋"/>
          <w:spacing w:val="7"/>
          <w:sz w:val="24"/>
          <w:szCs w:val="24"/>
          <w:highlight w:val="none"/>
        </w:rPr>
        <w:t>说明：上述标准参照《关于印发中小企业划型标准规定的通知》（工信部联企业[2011]300</w:t>
      </w:r>
      <w:r>
        <w:rPr>
          <w:rFonts w:hint="eastAsia" w:ascii="仿宋" w:hAnsi="仿宋" w:eastAsia="仿宋" w:cs="仿宋"/>
          <w:spacing w:val="-26"/>
          <w:sz w:val="24"/>
          <w:szCs w:val="24"/>
          <w:highlight w:val="none"/>
        </w:rPr>
        <w:t xml:space="preserve"> </w:t>
      </w:r>
      <w:r>
        <w:rPr>
          <w:rFonts w:hint="eastAsia" w:ascii="仿宋" w:hAnsi="仿宋" w:eastAsia="仿宋" w:cs="仿宋"/>
          <w:spacing w:val="6"/>
          <w:sz w:val="24"/>
          <w:szCs w:val="24"/>
          <w:highlight w:val="none"/>
        </w:rPr>
        <w:t>号），大</w:t>
      </w:r>
      <w:r>
        <w:rPr>
          <w:rFonts w:hint="eastAsia" w:ascii="仿宋" w:hAnsi="仿宋" w:eastAsia="仿宋" w:cs="仿宋"/>
          <w:spacing w:val="9"/>
          <w:sz w:val="24"/>
          <w:szCs w:val="24"/>
          <w:highlight w:val="none"/>
        </w:rPr>
        <w:t>型、中型和小型企业须同时满足所列指标的下限，否则下划一档；微型企业只须满足所列指标中的一项即</w:t>
      </w:r>
      <w:r>
        <w:rPr>
          <w:rFonts w:hint="eastAsia" w:ascii="仿宋" w:hAnsi="仿宋" w:eastAsia="仿宋" w:cs="仿宋"/>
          <w:spacing w:val="-12"/>
          <w:sz w:val="24"/>
          <w:szCs w:val="24"/>
          <w:highlight w:val="none"/>
        </w:rPr>
        <w:t>可。</w:t>
      </w:r>
      <w:r>
        <w:rPr>
          <w:rFonts w:hint="eastAsia" w:ascii="仿宋" w:hAnsi="仿宋" w:eastAsia="仿宋" w:cs="仿宋"/>
          <w:bCs/>
          <w:color w:val="auto"/>
          <w:kern w:val="2"/>
          <w:sz w:val="21"/>
          <w:szCs w:val="21"/>
          <w:highlight w:val="none"/>
          <w:lang w:val="en-US" w:eastAsia="zh-CN" w:bidi="ar-SA"/>
        </w:rPr>
        <w:br w:type="page"/>
      </w:r>
    </w:p>
    <w:p w14:paraId="23C483BA">
      <w:pPr>
        <w:jc w:val="center"/>
        <w:outlineLvl w:val="9"/>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招标说明</w:t>
      </w:r>
    </w:p>
    <w:p w14:paraId="4F268A48">
      <w:pPr>
        <w:spacing w:line="360" w:lineRule="auto"/>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29D94410">
      <w:pPr>
        <w:spacing w:line="360" w:lineRule="auto"/>
        <w:ind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bCs/>
          <w:color w:val="auto"/>
          <w:sz w:val="24"/>
          <w:highlight w:val="none"/>
        </w:rPr>
        <w:t>1.1 本招标文件仅适用于在招标文件中所叙述的本采购项目的合格投标人。</w:t>
      </w:r>
    </w:p>
    <w:p w14:paraId="33748169">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 投标资格</w:t>
      </w:r>
    </w:p>
    <w:p w14:paraId="47273208">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 凡在中华人民共和国境内注册的合法的法人且有承担本项目的能力以及能够提供资格必备条件和审查项目条件且均应合格的投标人（制造商、代理商）。</w:t>
      </w:r>
    </w:p>
    <w:p w14:paraId="44BFAA01">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2.2　投标人应遵守中华人民共和国法律、法规和行政规章。</w:t>
      </w:r>
    </w:p>
    <w:p w14:paraId="54D7E28B">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2.3  本项目不接受联合体投标。</w:t>
      </w:r>
    </w:p>
    <w:p w14:paraId="59C6CBB6">
      <w:pPr>
        <w:tabs>
          <w:tab w:val="left" w:pos="1185"/>
        </w:tabs>
        <w:spacing w:line="360" w:lineRule="auto"/>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 定义</w:t>
      </w:r>
    </w:p>
    <w:p w14:paraId="625974EF">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下列术语和缩写的定义为：</w:t>
      </w:r>
    </w:p>
    <w:p w14:paraId="006A108A">
      <w:pPr>
        <w:spacing w:line="360" w:lineRule="auto"/>
        <w:ind w:firstLine="480" w:firstLineChars="200"/>
        <w:outlineLvl w:val="9"/>
        <w:rPr>
          <w:rFonts w:hint="eastAsia" w:ascii="仿宋" w:hAnsi="仿宋" w:eastAsia="仿宋" w:cs="仿宋"/>
          <w:bCs/>
          <w:color w:val="auto"/>
          <w:sz w:val="24"/>
          <w:szCs w:val="22"/>
          <w:highlight w:val="none"/>
        </w:rPr>
      </w:pPr>
      <w:r>
        <w:rPr>
          <w:rFonts w:hint="eastAsia" w:ascii="仿宋" w:hAnsi="仿宋" w:eastAsia="仿宋" w:cs="仿宋"/>
          <w:bCs/>
          <w:color w:val="auto"/>
          <w:sz w:val="24"/>
          <w:highlight w:val="none"/>
        </w:rPr>
        <w:t>3.1 “采购人”系指</w:t>
      </w:r>
      <w:r>
        <w:rPr>
          <w:rFonts w:hint="eastAsia" w:ascii="仿宋" w:hAnsi="仿宋" w:eastAsia="仿宋" w:cs="仿宋"/>
          <w:bCs/>
          <w:color w:val="auto"/>
          <w:sz w:val="24"/>
          <w:szCs w:val="22"/>
          <w:highlight w:val="none"/>
          <w:lang w:eastAsia="zh-CN"/>
        </w:rPr>
        <w:t>库尔勒市第二幼儿园</w:t>
      </w:r>
      <w:r>
        <w:rPr>
          <w:rFonts w:hint="eastAsia" w:ascii="仿宋" w:hAnsi="仿宋" w:eastAsia="仿宋" w:cs="仿宋"/>
          <w:bCs/>
          <w:color w:val="auto"/>
          <w:sz w:val="24"/>
          <w:szCs w:val="22"/>
          <w:highlight w:val="none"/>
        </w:rPr>
        <w:t>。</w:t>
      </w:r>
    </w:p>
    <w:p w14:paraId="4B526B6D">
      <w:pPr>
        <w:spacing w:line="360" w:lineRule="auto"/>
        <w:ind w:firstLine="480" w:firstLineChars="200"/>
        <w:outlineLvl w:val="9"/>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3.2 “采购代理机构”系</w:t>
      </w:r>
      <w:r>
        <w:rPr>
          <w:rFonts w:hint="eastAsia" w:ascii="仿宋" w:hAnsi="仿宋" w:eastAsia="仿宋" w:cs="仿宋"/>
          <w:bCs/>
          <w:color w:val="auto"/>
          <w:sz w:val="24"/>
          <w:highlight w:val="none"/>
          <w:lang w:eastAsia="zh-CN"/>
        </w:rPr>
        <w:t>新疆益双工程管理有限公司</w:t>
      </w:r>
    </w:p>
    <w:p w14:paraId="34A2A9D8">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3.3 “投标方”、“投标人”系指有资格的投标人及投标表现人。</w:t>
      </w:r>
    </w:p>
    <w:p w14:paraId="792D1207">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3.4 “货物”系指招标文件规定的，投标方须向采购人提供的一切设备、附件、备品备件、工具、手册及其它有关资料和材料。</w:t>
      </w:r>
    </w:p>
    <w:p w14:paraId="3B5C6A1C">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3.5 “服务”系指招标文件规定投标方须承担的保修、技术协助、培训及其他类似的责任。</w:t>
      </w:r>
    </w:p>
    <w:p w14:paraId="6A1FF713">
      <w:pPr>
        <w:spacing w:line="360" w:lineRule="auto"/>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 投标费用</w:t>
      </w:r>
    </w:p>
    <w:p w14:paraId="199EF514">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4.1无论投标结果如何，凡参与招标、投标活动有关的所有费用将由投标方自行承担。</w:t>
      </w:r>
    </w:p>
    <w:p w14:paraId="74E7C08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4.2 投标人被视为熟悉本招标项目的各种情况以及与履行合同有关的一切情况。</w:t>
      </w:r>
    </w:p>
    <w:p w14:paraId="70BE8789">
      <w:pPr>
        <w:tabs>
          <w:tab w:val="left" w:pos="1185"/>
        </w:tabs>
        <w:spacing w:line="360" w:lineRule="auto"/>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highlight w:val="none"/>
        </w:rPr>
        <w:t>5. 招标文件的构成</w:t>
      </w:r>
    </w:p>
    <w:p w14:paraId="6E311C3E">
      <w:pPr>
        <w:pStyle w:val="32"/>
        <w:spacing w:line="360" w:lineRule="auto"/>
        <w:ind w:firstLine="268" w:firstLineChars="112"/>
        <w:outlineLvl w:val="9"/>
        <w:rPr>
          <w:rFonts w:hint="eastAsia" w:ascii="仿宋" w:hAnsi="仿宋" w:eastAsia="仿宋" w:cs="仿宋"/>
          <w:bCs/>
          <w:color w:val="auto"/>
          <w:highlight w:val="none"/>
        </w:rPr>
      </w:pPr>
      <w:r>
        <w:rPr>
          <w:rFonts w:hint="eastAsia" w:ascii="仿宋" w:hAnsi="仿宋" w:eastAsia="仿宋" w:cs="仿宋"/>
          <w:bCs/>
          <w:color w:val="auto"/>
          <w:highlight w:val="none"/>
        </w:rPr>
        <w:t>5.1 招标文件由</w:t>
      </w:r>
      <w:r>
        <w:rPr>
          <w:rFonts w:hint="eastAsia" w:ascii="仿宋" w:hAnsi="仿宋" w:eastAsia="仿宋" w:cs="仿宋"/>
          <w:color w:val="auto"/>
          <w:highlight w:val="none"/>
        </w:rPr>
        <w:t>招标公告、 投标须知、</w:t>
      </w:r>
      <w:r>
        <w:rPr>
          <w:rFonts w:hint="eastAsia" w:ascii="仿宋" w:hAnsi="仿宋" w:eastAsia="仿宋" w:cs="仿宋"/>
          <w:color w:val="auto"/>
          <w:kern w:val="2"/>
          <w:highlight w:val="none"/>
        </w:rPr>
        <w:t>货物需求、技术规格说明、</w:t>
      </w:r>
      <w:r>
        <w:rPr>
          <w:rFonts w:hint="eastAsia" w:ascii="仿宋" w:hAnsi="仿宋" w:eastAsia="仿宋" w:cs="仿宋"/>
          <w:color w:val="auto"/>
          <w:highlight w:val="none"/>
        </w:rPr>
        <w:t>招标说明、投标说明、开标、评标、定标说明、商务部分、投标文件的编制装订</w:t>
      </w:r>
      <w:r>
        <w:rPr>
          <w:rFonts w:hint="eastAsia" w:ascii="仿宋" w:hAnsi="仿宋" w:eastAsia="仿宋" w:cs="仿宋"/>
          <w:bCs/>
          <w:color w:val="auto"/>
          <w:highlight w:val="none"/>
        </w:rPr>
        <w:t>。</w:t>
      </w:r>
    </w:p>
    <w:p w14:paraId="53A819AB">
      <w:pPr>
        <w:spacing w:line="360" w:lineRule="auto"/>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 招标文件的澄清</w:t>
      </w:r>
    </w:p>
    <w:p w14:paraId="6A5F7EEA">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6.1投标人对招标文件如有疑点，可在投标截止日的10日前按招标书中载明的地址以书面形式通知采购代理机构要求澄清。采购代理机构将视情况确定采用适当方式予以澄清或以书面形式予以答复。采购代理机构认为有必要时，可将答复内容（包括原提出问题，但不包括问题的来源）分发给所有拟投标人。</w:t>
      </w:r>
    </w:p>
    <w:p w14:paraId="452F0F82">
      <w:pPr>
        <w:spacing w:line="360" w:lineRule="exact"/>
        <w:ind w:left="178" w:leftChars="85" w:firstLine="241" w:firstLineChars="100"/>
        <w:jc w:val="left"/>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7. 招标文件的修改或补充、修改</w:t>
      </w:r>
    </w:p>
    <w:p w14:paraId="4C49CAA0">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7.1 采购人或者采购代理机构可以对已发出的招标文件进行必要的澄清或者修改。澄清或者修改的内容可能影响投标文件编制的，采购人或者采购代理机构应当在投标截止时间至少10日前，以书面形式通知所有获取招标文件的潜在投标人;不足10日的，采购人或者采购代理机构应当顺延提交投标文件的截止时间。</w:t>
      </w:r>
    </w:p>
    <w:p w14:paraId="448E0D58">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7.2 为使投标人在准备投标时有适当的时间考虑投标文件的修改，采购代理机构有权决定推迟投标截止日期和开标日期，并将此变更以书面或公告等形式通知所有投标人。</w:t>
      </w:r>
    </w:p>
    <w:p w14:paraId="52E79138">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7.3 招标文件的修改和补充文件将构成招标文件的一部分，并且对投标人具有优先约束力。</w:t>
      </w:r>
    </w:p>
    <w:p w14:paraId="062C7960">
      <w:pPr>
        <w:pStyle w:val="6"/>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 廉洁自律承诺要求</w:t>
      </w:r>
    </w:p>
    <w:p w14:paraId="5E4D179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8.1 在本次招标活动中，</w:t>
      </w:r>
      <w:r>
        <w:rPr>
          <w:rFonts w:hint="eastAsia" w:ascii="仿宋" w:hAnsi="仿宋" w:eastAsia="仿宋" w:cs="仿宋"/>
          <w:bCs/>
          <w:color w:val="auto"/>
          <w:sz w:val="24"/>
          <w:highlight w:val="none"/>
          <w:lang w:val="en-US" w:eastAsia="zh-CN"/>
        </w:rPr>
        <w:t>我单位</w:t>
      </w:r>
      <w:r>
        <w:rPr>
          <w:rFonts w:hint="eastAsia" w:ascii="仿宋" w:hAnsi="仿宋" w:eastAsia="仿宋" w:cs="仿宋"/>
          <w:bCs/>
          <w:color w:val="auto"/>
          <w:sz w:val="24"/>
          <w:highlight w:val="none"/>
        </w:rPr>
        <w:t>保证不接受任何投标单位送的礼金礼品、有价证券、购物券、回扣、佣金；不与投标单位及其工作人员私下接触、参与宴请和娱乐活动；不向投标单位及其工作人员索要好处费、赞助费和宣传费；不在投标单位支付旅游费用、报销各种消费凭证；同时，采购人要求参加本次项目的采购单位、评标专家要填写和提交《廉洁自律承诺书》。</w:t>
      </w:r>
    </w:p>
    <w:p w14:paraId="420910C9">
      <w:pPr>
        <w:pStyle w:val="6"/>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9．设备、材料性能要求</w:t>
      </w:r>
    </w:p>
    <w:p w14:paraId="5CD6AFA8">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9.1 为贯彻落实《国务院办公厅关于建立政府强制采购节能产品制度的通知》，扩大节能产品范围，发挥政府机构节能的表率作用，降低政府机构能源费用开支，促进节能技术进步，扩大节能产品市场，根据《中华人民共和国节约能源法》、《中华人民共和国法》等相关政策法规规定，属于环境标志产品、节能产品和计算机、打印机、空调、照明产品（包括双端荧光灯、自镇流荧光灯、单端荧光灯、管型荧光灯镇流器）、电视机、电热水器、显示器、便器、水嘴等九大类强制采购产品的采购，必须优先选择国家财政部、国家环保部、国家发展和改革委员会等有关部门最新发布的《节能产品清单》和《环境标志产品清单》中的产品。</w:t>
      </w:r>
    </w:p>
    <w:p w14:paraId="43F2F064">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9.2 按照上述国家政策规定，凡本次招标产品涉及国家强制采购节能、环保产品，生产制造商必须使用节能环保材料，并要将纳入节能产品清单的产品作为投标产品，要以 “</w:t>
      </w: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INCLUDEPICTURE "http://zzjg.ccgp.gov.cn/cpgp/file/file.files/image002.jpg" \* MERGEFORMATINET </w:instrText>
      </w:r>
      <w:r>
        <w:rPr>
          <w:rFonts w:hint="eastAsia" w:ascii="仿宋" w:hAnsi="仿宋" w:eastAsia="仿宋" w:cs="仿宋"/>
          <w:bCs/>
          <w:color w:val="auto"/>
          <w:sz w:val="24"/>
          <w:highlight w:val="none"/>
        </w:rPr>
        <w:fldChar w:fldCharType="separate"/>
      </w:r>
      <w:r>
        <w:rPr>
          <w:rFonts w:hint="eastAsia" w:ascii="仿宋" w:hAnsi="仿宋" w:eastAsia="仿宋" w:cs="仿宋"/>
          <w:bCs/>
          <w:color w:val="auto"/>
          <w:sz w:val="24"/>
          <w:highlight w:val="none"/>
        </w:rPr>
        <w:drawing>
          <wp:inline distT="0" distB="0" distL="114300" distR="114300">
            <wp:extent cx="159385" cy="159385"/>
            <wp:effectExtent l="0" t="0" r="12065" b="12065"/>
            <wp:docPr id="7" name="图片 2" descr="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image002"/>
                    <pic:cNvPicPr>
                      <a:picLocks noChangeAspect="1"/>
                    </pic:cNvPicPr>
                  </pic:nvPicPr>
                  <pic:blipFill>
                    <a:blip r:embed="rId13"/>
                    <a:stretch>
                      <a:fillRect/>
                    </a:stretch>
                  </pic:blipFill>
                  <pic:spPr>
                    <a:xfrm>
                      <a:off x="0" y="0"/>
                      <a:ext cx="159385" cy="159385"/>
                    </a:xfrm>
                    <a:prstGeom prst="rect">
                      <a:avLst/>
                    </a:prstGeom>
                    <a:noFill/>
                    <a:ln>
                      <a:noFill/>
                    </a:ln>
                  </pic:spPr>
                </pic:pic>
              </a:graphicData>
            </a:graphic>
          </wp:inline>
        </w:drawing>
      </w:r>
      <w:r>
        <w:rPr>
          <w:rFonts w:hint="eastAsia" w:ascii="仿宋" w:hAnsi="仿宋" w:eastAsia="仿宋" w:cs="仿宋"/>
          <w:bCs/>
          <w:color w:val="auto"/>
          <w:sz w:val="24"/>
          <w:highlight w:val="none"/>
        </w:rPr>
        <w:fldChar w:fldCharType="end"/>
      </w:r>
      <w:r>
        <w:rPr>
          <w:rFonts w:hint="eastAsia" w:ascii="仿宋" w:hAnsi="仿宋" w:eastAsia="仿宋" w:cs="仿宋"/>
          <w:bCs/>
          <w:color w:val="auto"/>
          <w:sz w:val="24"/>
          <w:highlight w:val="none"/>
        </w:rPr>
        <w:t>”作标注，对于获得中国环境标志认证证书的产品要以 “</w:t>
      </w:r>
      <w:r>
        <w:rPr>
          <w:rFonts w:hint="eastAsia" w:ascii="仿宋" w:hAnsi="仿宋" w:eastAsia="仿宋" w:cs="仿宋"/>
          <w:bCs/>
          <w:color w:val="auto"/>
          <w:sz w:val="24"/>
          <w:highlight w:val="none"/>
        </w:rPr>
        <w:fldChar w:fldCharType="begin"/>
      </w:r>
      <w:r>
        <w:rPr>
          <w:rFonts w:hint="eastAsia" w:ascii="仿宋" w:hAnsi="仿宋" w:eastAsia="仿宋" w:cs="仿宋"/>
          <w:bCs/>
          <w:color w:val="auto"/>
          <w:sz w:val="24"/>
          <w:highlight w:val="none"/>
        </w:rPr>
        <w:instrText xml:space="preserve"> INCLUDEPICTURE "http://zzjg.ccgp.gov.cn/cpgp/file/file.files/image003.gif" \* MERGEFORMATINET </w:instrText>
      </w:r>
      <w:r>
        <w:rPr>
          <w:rFonts w:hint="eastAsia" w:ascii="仿宋" w:hAnsi="仿宋" w:eastAsia="仿宋" w:cs="仿宋"/>
          <w:bCs/>
          <w:color w:val="auto"/>
          <w:sz w:val="24"/>
          <w:highlight w:val="none"/>
        </w:rPr>
        <w:fldChar w:fldCharType="separate"/>
      </w:r>
      <w:r>
        <w:rPr>
          <w:rFonts w:hint="eastAsia" w:ascii="仿宋" w:hAnsi="仿宋" w:eastAsia="仿宋" w:cs="仿宋"/>
          <w:bCs/>
          <w:color w:val="auto"/>
          <w:sz w:val="24"/>
          <w:highlight w:val="none"/>
        </w:rPr>
        <w:drawing>
          <wp:inline distT="0" distB="0" distL="114300" distR="114300">
            <wp:extent cx="131445" cy="118110"/>
            <wp:effectExtent l="0" t="0" r="1905" b="15240"/>
            <wp:docPr id="8" name="图片 3" descr="image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descr="image003"/>
                    <pic:cNvPicPr>
                      <a:picLocks noChangeAspect="1"/>
                    </pic:cNvPicPr>
                  </pic:nvPicPr>
                  <pic:blipFill>
                    <a:blip r:embed="rId14"/>
                    <a:stretch>
                      <a:fillRect/>
                    </a:stretch>
                  </pic:blipFill>
                  <pic:spPr>
                    <a:xfrm>
                      <a:off x="0" y="0"/>
                      <a:ext cx="131445" cy="118110"/>
                    </a:xfrm>
                    <a:prstGeom prst="rect">
                      <a:avLst/>
                    </a:prstGeom>
                    <a:noFill/>
                    <a:ln>
                      <a:noFill/>
                    </a:ln>
                  </pic:spPr>
                </pic:pic>
              </a:graphicData>
            </a:graphic>
          </wp:inline>
        </w:drawing>
      </w:r>
      <w:r>
        <w:rPr>
          <w:rFonts w:hint="eastAsia" w:ascii="仿宋" w:hAnsi="仿宋" w:eastAsia="仿宋" w:cs="仿宋"/>
          <w:bCs/>
          <w:color w:val="auto"/>
          <w:sz w:val="24"/>
          <w:highlight w:val="none"/>
        </w:rPr>
        <w:fldChar w:fldCharType="end"/>
      </w:r>
      <w:r>
        <w:rPr>
          <w:rFonts w:hint="eastAsia" w:ascii="仿宋" w:hAnsi="仿宋" w:eastAsia="仿宋" w:cs="仿宋"/>
          <w:bCs/>
          <w:color w:val="auto"/>
          <w:sz w:val="24"/>
          <w:highlight w:val="none"/>
        </w:rPr>
        <w:t>”作标注。否则，届时经核实情况后，其投标将可能被拒绝。</w:t>
      </w:r>
    </w:p>
    <w:p w14:paraId="2DF5C083">
      <w:pPr>
        <w:pStyle w:val="6"/>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10. 招标会场纪律及要求</w:t>
      </w:r>
    </w:p>
    <w:p w14:paraId="6B812B89">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10.1 会议按照“公开、公平、公正、诚信”的原则，招标采取全封闭方式主持进行。</w:t>
      </w:r>
    </w:p>
    <w:p w14:paraId="2F73170C">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10.2 凡没有按投标报价截止时间准时参加会议的投标人、评审专家、与招标活动有关的工作人员（即监标人、采购人代表、特邀代表、工作人员等），一律不允许进场。</w:t>
      </w:r>
    </w:p>
    <w:p w14:paraId="01CCE7F7">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10.3 与会人员要关闭手机等一切通讯工具，严禁在会场大声喧哗。否则，将请你离开会场。</w:t>
      </w:r>
    </w:p>
    <w:p w14:paraId="3212362A">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10.4 严禁投标方会议期间与评委单独接触和交往。</w:t>
      </w:r>
    </w:p>
    <w:p w14:paraId="59B465DE">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10.5 评标活动结束前，评标委员会各成员务必自觉做到不与外界及</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人有任何形式的联系，确有特殊原因需要外出或其他方面的，必须由监标人提交采购代理机构后，方可外出，外出时须有监标人员陪同。</w:t>
      </w:r>
    </w:p>
    <w:p w14:paraId="687EA78B">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10.6</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人如果认为参加本次评标的专家成员及其他与会人员与其他</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人有利害关系的，可以现场申请其回避。如不申请其回避的，则视同无利害关系。</w:t>
      </w:r>
    </w:p>
    <w:p w14:paraId="2113D83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10.7对各</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人的资格审查、开标、报价、评标、询标（答疑）、澄清、定标等工作，采取逐一方式进行，评标此期间</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务必保持通讯工具的畅通，不要远离招标现场，以便及时联络和不延误工作。若发生通讯工具不通或备案通讯工具号码有误，无法实现联络的，或无理拒绝或不执行采购人工作安排的，将视同自愿放弃本次投标权利。</w:t>
      </w:r>
    </w:p>
    <w:p w14:paraId="7311047E">
      <w:pPr>
        <w:spacing w:line="360" w:lineRule="auto"/>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10.8 凡是须要经过会议通过的事宜事项，采购人对投标人在招标事后发生的已通过事宜事项的质疑或投诉，将不予采信。</w:t>
      </w:r>
    </w:p>
    <w:p w14:paraId="38E2CACC">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11. 招标评标须在监标人的监督下由采购代理机构组织进行。评标委员会各成员、采购人代表、投标人、特邀代表、工作人员等与会人员如有违纪、违规行为，监标人有权予以纠正或制止。</w:t>
      </w:r>
    </w:p>
    <w:p w14:paraId="77C5FF3D">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12．与评标活动有关的工作人员。是指评标委员会成员以外的、因参与评标监督工作或者事务性工作而知悉有关评标情况的所有人员。</w:t>
      </w:r>
    </w:p>
    <w:p w14:paraId="2735D865">
      <w:pPr>
        <w:pStyle w:val="6"/>
        <w:ind w:firstLine="0"/>
        <w:jc w:val="center"/>
        <w:outlineLvl w:val="0"/>
        <w:rPr>
          <w:rFonts w:hint="eastAsia" w:ascii="仿宋" w:hAnsi="仿宋" w:eastAsia="仿宋" w:cs="仿宋"/>
          <w:b/>
          <w:color w:val="auto"/>
          <w:kern w:val="0"/>
          <w:sz w:val="36"/>
          <w:szCs w:val="36"/>
          <w:highlight w:val="none"/>
          <w:lang w:val="en-US" w:eastAsia="zh-CN" w:bidi="ar-SA"/>
        </w:rPr>
      </w:pPr>
      <w:r>
        <w:rPr>
          <w:rFonts w:hint="eastAsia" w:ascii="仿宋" w:hAnsi="仿宋" w:eastAsia="仿宋" w:cs="仿宋"/>
          <w:b/>
          <w:color w:val="auto"/>
          <w:kern w:val="2"/>
          <w:sz w:val="36"/>
          <w:szCs w:val="36"/>
          <w:highlight w:val="none"/>
        </w:rPr>
        <w:br w:type="page"/>
      </w:r>
      <w:r>
        <w:rPr>
          <w:rFonts w:hint="eastAsia" w:ascii="仿宋" w:hAnsi="仿宋" w:eastAsia="仿宋" w:cs="仿宋"/>
          <w:b/>
          <w:color w:val="auto"/>
          <w:kern w:val="0"/>
          <w:sz w:val="36"/>
          <w:szCs w:val="36"/>
          <w:highlight w:val="none"/>
          <w:lang w:val="en-US" w:eastAsia="zh-CN" w:bidi="ar-SA"/>
        </w:rPr>
        <w:t>第五部分 投标说明</w:t>
      </w:r>
    </w:p>
    <w:p w14:paraId="306E6F6D">
      <w:pPr>
        <w:rPr>
          <w:rFonts w:hint="eastAsia" w:ascii="仿宋" w:hAnsi="仿宋" w:eastAsia="仿宋" w:cs="仿宋"/>
          <w:color w:val="auto"/>
          <w:highlight w:val="none"/>
        </w:rPr>
      </w:pPr>
    </w:p>
    <w:p w14:paraId="701262AC">
      <w:pPr>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第一章 对投标方的资质要求</w:t>
      </w:r>
    </w:p>
    <w:p w14:paraId="6D45C0F9">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1.1 投标人必须提交能够证明其具有履行本招标项目合同能力的资质证明文件，作为投标文件的一部分。</w:t>
      </w:r>
    </w:p>
    <w:p w14:paraId="634547BF">
      <w:pPr>
        <w:pStyle w:val="8"/>
        <w:ind w:firstLine="480" w:firstLineChars="200"/>
        <w:outlineLvl w:val="9"/>
        <w:rPr>
          <w:rFonts w:hint="eastAsia" w:ascii="仿宋" w:hAnsi="仿宋" w:eastAsia="仿宋" w:cs="仿宋"/>
          <w:color w:val="auto"/>
          <w:sz w:val="24"/>
          <w:szCs w:val="24"/>
          <w:highlight w:val="none"/>
          <w:lang w:val="zh-CN"/>
        </w:rPr>
      </w:pPr>
      <w:r>
        <w:rPr>
          <w:rFonts w:hint="eastAsia" w:ascii="仿宋" w:hAnsi="仿宋" w:eastAsia="仿宋" w:cs="仿宋"/>
          <w:bCs/>
          <w:color w:val="auto"/>
          <w:sz w:val="24"/>
          <w:highlight w:val="none"/>
        </w:rPr>
        <w:t xml:space="preserve">1.2 </w:t>
      </w:r>
      <w:r>
        <w:rPr>
          <w:rFonts w:hint="eastAsia" w:ascii="仿宋" w:hAnsi="仿宋" w:eastAsia="仿宋" w:cs="仿宋"/>
          <w:b/>
          <w:color w:val="auto"/>
          <w:sz w:val="24"/>
          <w:highlight w:val="none"/>
        </w:rPr>
        <w:t>投标时资格审查的必要条件。如果不能提供或有缺项则视为对招标文件资格审查内容的不响应，其投标将被拒绝。</w:t>
      </w:r>
    </w:p>
    <w:p w14:paraId="0649A49D">
      <w:pPr>
        <w:spacing w:line="360" w:lineRule="auto"/>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bCs/>
          <w:color w:val="auto"/>
          <w:sz w:val="24"/>
          <w:highlight w:val="none"/>
        </w:rPr>
        <w:t>1.3</w:t>
      </w:r>
      <w:r>
        <w:rPr>
          <w:rFonts w:hint="eastAsia" w:ascii="仿宋" w:hAnsi="仿宋" w:eastAsia="仿宋" w:cs="仿宋"/>
          <w:b/>
          <w:bCs/>
          <w:color w:val="auto"/>
          <w:sz w:val="24"/>
          <w:highlight w:val="none"/>
        </w:rPr>
        <w:t>开标现场对投标方投标资质中的所有投标资质及评标所需的资料证明等，严格遵循“第四部分”中</w:t>
      </w:r>
      <w:r>
        <w:rPr>
          <w:rFonts w:hint="eastAsia" w:ascii="仿宋" w:hAnsi="仿宋" w:eastAsia="仿宋" w:cs="仿宋"/>
          <w:b/>
          <w:color w:val="auto"/>
          <w:sz w:val="24"/>
          <w:szCs w:val="24"/>
          <w:highlight w:val="none"/>
        </w:rPr>
        <w:t>条款之规定。</w:t>
      </w:r>
    </w:p>
    <w:p w14:paraId="4ABD7609">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1.4投标方保证和承诺所投产品报价不存在恶意或有意压价、恶意或有意虚报报价，也不存在恶意或有意抬高报价等行为。 </w:t>
      </w:r>
    </w:p>
    <w:p w14:paraId="1E4138CD">
      <w:pPr>
        <w:spacing w:line="360" w:lineRule="auto"/>
        <w:ind w:firstLine="480" w:firstLineChars="200"/>
        <w:outlineLvl w:val="9"/>
        <w:rPr>
          <w:rFonts w:hint="eastAsia" w:ascii="仿宋" w:hAnsi="仿宋" w:eastAsia="仿宋" w:cs="仿宋"/>
          <w:b/>
          <w:color w:val="auto"/>
          <w:sz w:val="32"/>
          <w:szCs w:val="32"/>
          <w:highlight w:val="none"/>
        </w:rPr>
      </w:pPr>
      <w:r>
        <w:rPr>
          <w:rFonts w:hint="eastAsia" w:ascii="仿宋" w:hAnsi="仿宋" w:eastAsia="仿宋" w:cs="仿宋"/>
          <w:bCs/>
          <w:color w:val="auto"/>
          <w:sz w:val="24"/>
          <w:szCs w:val="24"/>
          <w:highlight w:val="none"/>
        </w:rPr>
        <w:t xml:space="preserve">1.5投标方保证和承诺不存在与其它投标人有串标、陪标等行为。 </w:t>
      </w:r>
    </w:p>
    <w:p w14:paraId="7BF3CAA9">
      <w:pPr>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第二章 投标文件的编写</w:t>
      </w:r>
    </w:p>
    <w:p w14:paraId="1DD1CA09">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．要求</w:t>
      </w:r>
    </w:p>
    <w:p w14:paraId="5ED5F40D">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2.1 投标人应详细阅读</w:t>
      </w:r>
      <w:r>
        <w:rPr>
          <w:rFonts w:hint="eastAsia" w:ascii="仿宋" w:hAnsi="仿宋" w:eastAsia="仿宋" w:cs="仿宋"/>
          <w:bCs/>
          <w:color w:val="auto"/>
          <w:sz w:val="24"/>
          <w:highlight w:val="none"/>
        </w:rPr>
        <w:t>采购代理机构</w:t>
      </w:r>
      <w:r>
        <w:rPr>
          <w:rFonts w:hint="eastAsia" w:ascii="仿宋" w:hAnsi="仿宋" w:eastAsia="仿宋" w:cs="仿宋"/>
          <w:color w:val="auto"/>
          <w:sz w:val="24"/>
          <w:highlight w:val="none"/>
          <w:lang w:val="zh-CN"/>
        </w:rPr>
        <w:t>的招标文件中的条款、规范、表示、条件和格式等所有内容，按招标文件的要求编制投标文件和提供要求份数的投标文件，并保证所提供全部材料的真实性；投标文件必须对招标文件提出的要求和条件做出实质性响应。否则，其投标可能将被拒绝。</w:t>
      </w:r>
    </w:p>
    <w:p w14:paraId="63B0E497">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2.2 允许投标人对招标文件中的所有包投标，也可根据本企业生产或代理产品的情况对部分包进行投标，但不允许投标人对某一包中的一项或部分项进行投标。采购人可选择一家投标人为所有包的成交人，也可选择若干个分别中标。</w:t>
      </w:r>
    </w:p>
    <w:p w14:paraId="178C3381">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val="zh-CN"/>
        </w:rPr>
        <w:t>．投标文件语言和度量单位</w:t>
      </w:r>
    </w:p>
    <w:p w14:paraId="37F60774">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3.1 招标文件及投标人和</w:t>
      </w:r>
      <w:r>
        <w:rPr>
          <w:rFonts w:hint="eastAsia" w:ascii="仿宋" w:hAnsi="仿宋" w:eastAsia="仿宋" w:cs="仿宋"/>
          <w:bCs/>
          <w:color w:val="auto"/>
          <w:sz w:val="24"/>
          <w:highlight w:val="none"/>
        </w:rPr>
        <w:t>采购代理机构</w:t>
      </w:r>
      <w:r>
        <w:rPr>
          <w:rFonts w:hint="eastAsia" w:ascii="仿宋" w:hAnsi="仿宋" w:eastAsia="仿宋" w:cs="仿宋"/>
          <w:color w:val="auto"/>
          <w:sz w:val="24"/>
          <w:highlight w:val="none"/>
          <w:lang w:val="zh-CN"/>
        </w:rPr>
        <w:t>就招标、投标交换的文件和往来信件，须以中文书写。</w:t>
      </w:r>
    </w:p>
    <w:p w14:paraId="583B4F4A">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3.2 除在招标文件的技术规格中另有规定外，计量单位应使用中华人民共和国法定计量单位。</w:t>
      </w:r>
    </w:p>
    <w:p w14:paraId="6942E8DF">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4</w:t>
      </w:r>
      <w:r>
        <w:rPr>
          <w:rFonts w:hint="eastAsia" w:ascii="仿宋" w:hAnsi="仿宋" w:eastAsia="仿宋" w:cs="仿宋"/>
          <w:b/>
          <w:bCs/>
          <w:color w:val="auto"/>
          <w:sz w:val="24"/>
          <w:highlight w:val="none"/>
          <w:lang w:val="zh-CN"/>
        </w:rPr>
        <w:t>．投标文件的组成</w:t>
      </w:r>
    </w:p>
    <w:p w14:paraId="39CD9EF1">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4.1 投标人编写的投标文件应包括下列内容：</w:t>
      </w:r>
    </w:p>
    <w:p w14:paraId="6760C58E">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1、投标函</w:t>
      </w:r>
    </w:p>
    <w:p w14:paraId="642D7734">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2、法定代表人资格证明书、法定代表人的授权委托书</w:t>
      </w:r>
    </w:p>
    <w:p w14:paraId="6F5E4E45">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3、报价一览表</w:t>
      </w:r>
    </w:p>
    <w:p w14:paraId="70BE33C2">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4、供应商资质证明文件，包括：</w:t>
      </w:r>
    </w:p>
    <w:p w14:paraId="464C9304">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1、营业执照；</w:t>
      </w:r>
    </w:p>
    <w:p w14:paraId="680C2491">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4.2、</w:t>
      </w:r>
      <w:r>
        <w:rPr>
          <w:rFonts w:hint="eastAsia" w:ascii="仿宋" w:hAnsi="仿宋" w:eastAsia="仿宋" w:cs="仿宋"/>
          <w:color w:val="auto"/>
          <w:sz w:val="24"/>
          <w:highlight w:val="none"/>
          <w:lang w:val="zh-CN"/>
        </w:rPr>
        <w:t xml:space="preserve">未被“信用中国”（www.creditchina.gov.cn）、中国政府采购网（www.ccgp.gov.cn）列入失信被执行人、重大税收违法案件当事人名单、政府采购严重违法失信行为记录名单的网页截图并加盖公章；  </w:t>
      </w:r>
    </w:p>
    <w:p w14:paraId="17205BFA">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4.3、</w:t>
      </w:r>
      <w:r>
        <w:rPr>
          <w:rFonts w:hint="eastAsia" w:ascii="仿宋" w:hAnsi="仿宋" w:eastAsia="仿宋" w:cs="仿宋"/>
          <w:color w:val="auto"/>
          <w:sz w:val="24"/>
          <w:szCs w:val="24"/>
          <w:highlight w:val="none"/>
          <w:lang w:val="zh-CN" w:eastAsia="zh-CN"/>
        </w:rPr>
        <w:t>投标保证金缴纳凭证或保函</w:t>
      </w:r>
      <w:r>
        <w:rPr>
          <w:rFonts w:hint="eastAsia" w:ascii="仿宋" w:hAnsi="仿宋" w:eastAsia="仿宋" w:cs="仿宋"/>
          <w:color w:val="auto"/>
          <w:sz w:val="24"/>
          <w:highlight w:val="none"/>
        </w:rPr>
        <w:t>。</w:t>
      </w:r>
    </w:p>
    <w:p w14:paraId="2A92DB4F">
      <w:pPr>
        <w:pStyle w:val="19"/>
        <w:ind w:left="0" w:leftChars="0" w:firstLine="0" w:firstLineChars="0"/>
        <w:jc w:val="both"/>
        <w:rPr>
          <w:rFonts w:hint="eastAsia" w:ascii="仿宋" w:hAnsi="仿宋" w:eastAsia="仿宋" w:cs="仿宋"/>
          <w:color w:val="auto"/>
          <w:highlight w:val="none"/>
          <w:lang w:val="en-US" w:eastAsia="zh-CN"/>
        </w:rPr>
      </w:pPr>
      <w:r>
        <w:rPr>
          <w:rFonts w:hint="eastAsia" w:ascii="仿宋" w:hAnsi="仿宋" w:eastAsia="仿宋" w:cs="仿宋"/>
          <w:color w:val="auto"/>
          <w:sz w:val="24"/>
          <w:highlight w:val="none"/>
          <w:lang w:val="en-US" w:eastAsia="zh-CN"/>
        </w:rPr>
        <w:t xml:space="preserve">    4.4本项目要求的资质证书</w:t>
      </w:r>
    </w:p>
    <w:p w14:paraId="7495F1B7">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5、关于资格的声明函</w:t>
      </w:r>
    </w:p>
    <w:p w14:paraId="186B044F">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zh-CN"/>
        </w:rPr>
        <w:t>、商务条款偏离表</w:t>
      </w:r>
    </w:p>
    <w:p w14:paraId="636BE6D0">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7、技术参数、功能偏离表</w:t>
      </w:r>
    </w:p>
    <w:p w14:paraId="7B2B7504">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近三年</w:t>
      </w:r>
      <w:r>
        <w:rPr>
          <w:rFonts w:hint="eastAsia" w:ascii="仿宋" w:hAnsi="仿宋" w:eastAsia="仿宋" w:cs="仿宋"/>
          <w:color w:val="auto"/>
          <w:sz w:val="24"/>
          <w:highlight w:val="none"/>
          <w:lang w:val="zh-CN"/>
        </w:rPr>
        <w:t>类似项目业绩情况</w:t>
      </w:r>
    </w:p>
    <w:p w14:paraId="252E4EAD">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9</w:t>
      </w:r>
      <w:r>
        <w:rPr>
          <w:rFonts w:hint="eastAsia" w:ascii="仿宋" w:hAnsi="仿宋" w:eastAsia="仿宋" w:cs="仿宋"/>
          <w:color w:val="auto"/>
          <w:sz w:val="24"/>
          <w:highlight w:val="none"/>
          <w:lang w:val="zh-CN"/>
        </w:rPr>
        <w:t>、投标单位（供应商）反商业贿赂承诺书</w:t>
      </w:r>
    </w:p>
    <w:p w14:paraId="248721BA">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zh-CN"/>
        </w:rPr>
        <w:t>、投标承诺书</w:t>
      </w:r>
    </w:p>
    <w:p w14:paraId="053CEDDC">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11、</w:t>
      </w:r>
      <w:r>
        <w:rPr>
          <w:rFonts w:hint="eastAsia" w:ascii="仿宋" w:hAnsi="仿宋" w:eastAsia="仿宋" w:cs="仿宋"/>
          <w:color w:val="auto"/>
          <w:sz w:val="24"/>
          <w:highlight w:val="none"/>
          <w:lang w:val="zh-CN"/>
        </w:rPr>
        <w:t>投标单位（供应商）《遵守政府采购相关法律法规承诺书》</w:t>
      </w:r>
    </w:p>
    <w:p w14:paraId="2761FC3E">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12</w:t>
      </w:r>
      <w:r>
        <w:rPr>
          <w:rFonts w:hint="eastAsia" w:ascii="仿宋" w:hAnsi="仿宋" w:eastAsia="仿宋" w:cs="仿宋"/>
          <w:color w:val="auto"/>
          <w:sz w:val="24"/>
          <w:highlight w:val="none"/>
          <w:lang w:val="zh-CN"/>
        </w:rPr>
        <w:t>、中小企业声明函（如有）</w:t>
      </w:r>
    </w:p>
    <w:p w14:paraId="174977B5">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13、主要股东或出资人信息</w:t>
      </w:r>
    </w:p>
    <w:p w14:paraId="3E90A4CB">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14、非联合体投标声明</w:t>
      </w:r>
    </w:p>
    <w:p w14:paraId="3045D16A">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15、</w:t>
      </w:r>
      <w:r>
        <w:rPr>
          <w:rFonts w:hint="eastAsia" w:ascii="仿宋" w:hAnsi="仿宋" w:eastAsia="仿宋" w:cs="仿宋"/>
          <w:color w:val="auto"/>
          <w:sz w:val="24"/>
          <w:highlight w:val="none"/>
          <w:lang w:val="zh-CN"/>
        </w:rPr>
        <w:t>无重大违法记录声明函</w:t>
      </w:r>
    </w:p>
    <w:p w14:paraId="31B2F130">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16、产品简要说明一览表</w:t>
      </w:r>
    </w:p>
    <w:p w14:paraId="48C1D1E5">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17、投标产品技术规格及要求详述</w:t>
      </w:r>
    </w:p>
    <w:p w14:paraId="1CA8471F">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18、备品、备件清单</w:t>
      </w:r>
    </w:p>
    <w:p w14:paraId="43184DF5">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19、产品规格报价明细表</w:t>
      </w:r>
    </w:p>
    <w:p w14:paraId="3E59E720">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20、售后服务承诺详述、维修、培训等计划详述</w:t>
      </w:r>
    </w:p>
    <w:p w14:paraId="071488F1">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21、拟派本项目人员配置情况表</w:t>
      </w:r>
    </w:p>
    <w:p w14:paraId="1976F37D">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其它有利于投标的资料</w:t>
      </w:r>
    </w:p>
    <w:p w14:paraId="6F6D660C">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5</w:t>
      </w:r>
      <w:r>
        <w:rPr>
          <w:rFonts w:hint="eastAsia" w:ascii="仿宋" w:hAnsi="仿宋" w:eastAsia="仿宋" w:cs="仿宋"/>
          <w:b/>
          <w:bCs/>
          <w:color w:val="auto"/>
          <w:sz w:val="24"/>
          <w:highlight w:val="none"/>
          <w:lang w:val="zh-CN"/>
        </w:rPr>
        <w:t>．投标文件格式</w:t>
      </w:r>
    </w:p>
    <w:p w14:paraId="6FA27568">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color w:val="auto"/>
          <w:sz w:val="24"/>
          <w:highlight w:val="none"/>
          <w:lang w:val="zh-CN"/>
        </w:rPr>
        <w:t>5.1 投标方应按招标文件范本格式中提供的投标文件格式认真填写投标书、开标一览表、投标表等，并注明投标货物的名称、货物简介、</w:t>
      </w:r>
      <w:r>
        <w:rPr>
          <w:rFonts w:hint="eastAsia" w:ascii="仿宋" w:hAnsi="仿宋" w:eastAsia="仿宋" w:cs="仿宋"/>
          <w:bCs/>
          <w:color w:val="auto"/>
          <w:sz w:val="24"/>
          <w:highlight w:val="none"/>
        </w:rPr>
        <w:t>原产地、数量和价格等。</w:t>
      </w:r>
    </w:p>
    <w:p w14:paraId="5477DFFE">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6．投标报价</w:t>
      </w:r>
    </w:p>
    <w:p w14:paraId="7C6366E9">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6.1 投标方须在投标报价表上标明单价</w:t>
      </w:r>
      <w:r>
        <w:rPr>
          <w:rFonts w:hint="eastAsia" w:ascii="仿宋" w:hAnsi="仿宋" w:eastAsia="仿宋" w:cs="仿宋"/>
          <w:bCs/>
          <w:color w:val="auto"/>
          <w:sz w:val="24"/>
          <w:szCs w:val="24"/>
          <w:highlight w:val="none"/>
        </w:rPr>
        <w:t>（</w:t>
      </w:r>
      <w:r>
        <w:rPr>
          <w:rFonts w:hint="eastAsia" w:ascii="仿宋" w:hAnsi="仿宋" w:eastAsia="仿宋" w:cs="仿宋"/>
          <w:b/>
          <w:color w:val="auto"/>
          <w:sz w:val="24"/>
          <w:szCs w:val="24"/>
          <w:highlight w:val="none"/>
        </w:rPr>
        <w:t>单价为综合单价，包括人工费、材料和设备费和企业管理费、利润，以及一定范围内的风险的费用）</w:t>
      </w:r>
      <w:r>
        <w:rPr>
          <w:rFonts w:hint="eastAsia" w:ascii="仿宋" w:hAnsi="仿宋" w:eastAsia="仿宋" w:cs="仿宋"/>
          <w:bCs/>
          <w:color w:val="auto"/>
          <w:sz w:val="24"/>
          <w:highlight w:val="none"/>
        </w:rPr>
        <w:t>和总价。如单价和总价不符，以单价累计为准。小写和大写不符，以大写为准。投标方如果不同意上述修改原则，其投标将被拒绝。投标方应标明其提供的所有货物及其相关工作范围内所有费用的总价，采购人不接受有任何选择性的报价。</w:t>
      </w:r>
    </w:p>
    <w:p w14:paraId="07F87745">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6.2. 投标时应注意下列几点：</w:t>
      </w:r>
    </w:p>
    <w:p w14:paraId="63DE6966">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6.2.1 招标文件中特别要求的备品备件、易损件和专用工具的费用；</w:t>
      </w:r>
    </w:p>
    <w:p w14:paraId="2E6EF1BE">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6.2.2 招标文件中特别要求的安装、调试、培训、运输、保险及其它附带服务的全部费用；</w:t>
      </w:r>
    </w:p>
    <w:p w14:paraId="7892B094">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7．投标报价的货币单位</w:t>
      </w:r>
    </w:p>
    <w:p w14:paraId="36F4F012">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7.1 投标报价单位为人民币。</w:t>
      </w:r>
    </w:p>
    <w:p w14:paraId="20738CBC">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8．投标文件规定的技术响应文件</w:t>
      </w:r>
    </w:p>
    <w:p w14:paraId="1B3A68BD">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8.1 投标方须提交证明拟供货物和服务符合招标文件规定的技术响应文件，作为投标文件的一部分。</w:t>
      </w:r>
    </w:p>
    <w:p w14:paraId="208FD681">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8.2 上述文件可以是文字资料、图纸和数据，并提供：</w:t>
      </w:r>
    </w:p>
    <w:p w14:paraId="750DA09D">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（1）货物主要技术及性能特点的详细描述；</w:t>
      </w:r>
    </w:p>
    <w:p w14:paraId="52096862">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（2）货物主要部件的详细资料，包括检验报告等；</w:t>
      </w:r>
    </w:p>
    <w:p w14:paraId="1F19A67A">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（3）规格、技术参数偏离表（见附件）</w:t>
      </w:r>
    </w:p>
    <w:p w14:paraId="207839EA">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没有按要求提供资料或提供资料不完全的，将视为对招标文件没有做出实质性响应，其风险由投标人自行承担。</w:t>
      </w:r>
    </w:p>
    <w:p w14:paraId="135BE7F5">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9．投标有效期</w:t>
      </w:r>
    </w:p>
    <w:p w14:paraId="6B869281">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9.1 投标文件从开标之日起，投标有效期为90天（如不满足将导致废标）。</w:t>
      </w:r>
    </w:p>
    <w:p w14:paraId="7DFF31D2">
      <w:pPr>
        <w:autoSpaceDE w:val="0"/>
        <w:autoSpaceDN w:val="0"/>
        <w:adjustRightInd w:val="0"/>
        <w:spacing w:line="360" w:lineRule="auto"/>
        <w:ind w:firstLine="482"/>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9.2 在特殊情况下，采购代理机构可与投标人协商延长投标文件的有效期。</w:t>
      </w:r>
    </w:p>
    <w:p w14:paraId="7E39349D">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10．投标保证金</w:t>
      </w:r>
    </w:p>
    <w:p w14:paraId="52F6253A">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.1 投标保证金是为了弥补采购人因投标人的违规行为而蒙受的损失。采购人在因投标人的违规行为而受到损害时将没收其投标保证金，作为所受损害的补偿。</w:t>
      </w:r>
    </w:p>
    <w:p w14:paraId="21B5AFD8">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.2 投标人在提交投标文件时应交纳投标保证金，其有效期应不低于投标有效期。</w:t>
      </w:r>
    </w:p>
    <w:p w14:paraId="4F20ED89">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.3 投标保证金不接受现金。按招标文件要求，在投标截止时间前将本项目投标保证金从供应商的基本帐户汇到</w:t>
      </w:r>
      <w:r>
        <w:rPr>
          <w:rFonts w:hint="eastAsia" w:ascii="仿宋" w:hAnsi="仿宋" w:eastAsia="仿宋" w:cs="仿宋"/>
          <w:bCs/>
          <w:color w:val="auto"/>
          <w:sz w:val="24"/>
          <w:highlight w:val="none"/>
        </w:rPr>
        <w:t>采购代理机构</w:t>
      </w:r>
      <w:r>
        <w:rPr>
          <w:rFonts w:hint="eastAsia" w:ascii="仿宋" w:hAnsi="仿宋" w:eastAsia="仿宋" w:cs="仿宋"/>
          <w:color w:val="auto"/>
          <w:sz w:val="24"/>
          <w:highlight w:val="none"/>
          <w:lang w:val="zh-CN"/>
        </w:rPr>
        <w:t>指定帐户。</w:t>
      </w:r>
    </w:p>
    <w:p w14:paraId="414E2891">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zh-CN"/>
        </w:rPr>
        <w:t xml:space="preserve">4 </w:t>
      </w:r>
      <w:r>
        <w:rPr>
          <w:rFonts w:hint="eastAsia" w:ascii="仿宋" w:hAnsi="仿宋" w:eastAsia="仿宋" w:cs="仿宋"/>
          <w:bCs/>
          <w:color w:val="auto"/>
          <w:sz w:val="24"/>
          <w:highlight w:val="none"/>
        </w:rPr>
        <w:t>采购代理机构</w:t>
      </w:r>
      <w:r>
        <w:rPr>
          <w:rFonts w:hint="eastAsia" w:ascii="仿宋" w:hAnsi="仿宋" w:eastAsia="仿宋" w:cs="仿宋"/>
          <w:color w:val="auto"/>
          <w:sz w:val="24"/>
          <w:highlight w:val="none"/>
          <w:lang w:val="zh-CN"/>
        </w:rPr>
        <w:t>应当在《中标通知书》发出后5个工作日内无息退还未成交投标人的投标保证金，在采购合同签订5个工作日内无息退还中标投标人的投标保证金。</w:t>
      </w:r>
    </w:p>
    <w:p w14:paraId="51294ECF">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.5 未按招标文件规定提交投标保证金的，</w:t>
      </w:r>
      <w:r>
        <w:rPr>
          <w:rFonts w:hint="eastAsia" w:ascii="仿宋" w:hAnsi="仿宋" w:eastAsia="仿宋" w:cs="仿宋"/>
          <w:bCs/>
          <w:color w:val="auto"/>
          <w:sz w:val="24"/>
          <w:highlight w:val="none"/>
        </w:rPr>
        <w:t>采购代理机构</w:t>
      </w:r>
      <w:r>
        <w:rPr>
          <w:rFonts w:hint="eastAsia" w:ascii="仿宋" w:hAnsi="仿宋" w:eastAsia="仿宋" w:cs="仿宋"/>
          <w:color w:val="auto"/>
          <w:sz w:val="24"/>
          <w:highlight w:val="none"/>
          <w:lang w:val="zh-CN"/>
        </w:rPr>
        <w:t>应当拒绝接受投标方的投标文件，视为无效投标。</w:t>
      </w:r>
    </w:p>
    <w:p w14:paraId="38A74957">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.6 下列任何情况发生时，投标报价保证金将被没收。</w:t>
      </w:r>
    </w:p>
    <w:p w14:paraId="113D8250">
      <w:pPr>
        <w:autoSpaceDE w:val="0"/>
        <w:autoSpaceDN w:val="0"/>
        <w:adjustRightInd w:val="0"/>
        <w:spacing w:line="360" w:lineRule="auto"/>
        <w:ind w:firstLine="482"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有下列情形之一的，投标保证金不予退还：</w:t>
      </w:r>
    </w:p>
    <w:p w14:paraId="04907CC1">
      <w:pPr>
        <w:autoSpaceDE w:val="0"/>
        <w:autoSpaceDN w:val="0"/>
        <w:adjustRightInd w:val="0"/>
        <w:spacing w:line="360" w:lineRule="auto"/>
        <w:ind w:firstLine="482"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10.6.1 投标人在提交响应文件截止时间后撤回响应文件的；</w:t>
      </w:r>
    </w:p>
    <w:p w14:paraId="610A7C00">
      <w:pPr>
        <w:autoSpaceDE w:val="0"/>
        <w:autoSpaceDN w:val="0"/>
        <w:adjustRightInd w:val="0"/>
        <w:spacing w:line="360" w:lineRule="auto"/>
        <w:ind w:firstLine="482"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10.6.2投标人在响应文件中提供虚假材料的；</w:t>
      </w:r>
    </w:p>
    <w:p w14:paraId="5A0BA839">
      <w:pPr>
        <w:autoSpaceDE w:val="0"/>
        <w:autoSpaceDN w:val="0"/>
        <w:adjustRightInd w:val="0"/>
        <w:spacing w:line="360" w:lineRule="auto"/>
        <w:ind w:firstLine="482"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10.6.3除因不可抗力或招标文件认可的情形以外，成交投标人不与采购人签订合同的；</w:t>
      </w:r>
    </w:p>
    <w:p w14:paraId="3A7CDA81">
      <w:pPr>
        <w:autoSpaceDE w:val="0"/>
        <w:autoSpaceDN w:val="0"/>
        <w:adjustRightInd w:val="0"/>
        <w:spacing w:line="360" w:lineRule="auto"/>
        <w:ind w:firstLine="482"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10.6.4投标人与采购人、其他投标人或者采购代理机构恶意串通的；</w:t>
      </w:r>
    </w:p>
    <w:p w14:paraId="2C38BA89">
      <w:pPr>
        <w:autoSpaceDE w:val="0"/>
        <w:autoSpaceDN w:val="0"/>
        <w:adjustRightInd w:val="0"/>
        <w:spacing w:line="360" w:lineRule="auto"/>
        <w:ind w:firstLine="482" w:firstLineChars="200"/>
        <w:jc w:val="left"/>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10.6.5招标文件规定的其他情形。</w:t>
      </w:r>
    </w:p>
    <w:p w14:paraId="424B077B">
      <w:pPr>
        <w:spacing w:line="360" w:lineRule="auto"/>
        <w:outlineLvl w:val="9"/>
        <w:rPr>
          <w:rFonts w:hint="eastAsia" w:ascii="仿宋" w:hAnsi="仿宋" w:eastAsia="仿宋" w:cs="仿宋"/>
          <w:b/>
          <w:bCs/>
          <w:color w:val="auto"/>
          <w:sz w:val="24"/>
          <w:szCs w:val="28"/>
          <w:highlight w:val="none"/>
          <w:lang w:val="zh-CN"/>
        </w:rPr>
      </w:pPr>
      <w:r>
        <w:rPr>
          <w:rFonts w:hint="eastAsia" w:ascii="仿宋" w:hAnsi="仿宋" w:eastAsia="仿宋" w:cs="仿宋"/>
          <w:b/>
          <w:bCs/>
          <w:color w:val="auto"/>
          <w:sz w:val="24"/>
          <w:szCs w:val="28"/>
          <w:highlight w:val="none"/>
        </w:rPr>
        <w:t>10.7</w:t>
      </w:r>
      <w:r>
        <w:rPr>
          <w:rFonts w:hint="eastAsia" w:ascii="仿宋" w:hAnsi="仿宋" w:eastAsia="仿宋" w:cs="仿宋"/>
          <w:b/>
          <w:bCs/>
          <w:color w:val="auto"/>
          <w:sz w:val="24"/>
          <w:szCs w:val="28"/>
          <w:highlight w:val="none"/>
          <w:lang w:val="zh-CN"/>
        </w:rPr>
        <w:t>办理投标保证金退付手续须携带的资料：</w:t>
      </w:r>
    </w:p>
    <w:p w14:paraId="74CD8E42">
      <w:pPr>
        <w:spacing w:line="360" w:lineRule="auto"/>
        <w:ind w:firstLine="482" w:firstLineChars="200"/>
        <w:outlineLvl w:val="9"/>
        <w:rPr>
          <w:rFonts w:hint="eastAsia" w:ascii="仿宋" w:hAnsi="仿宋" w:eastAsia="仿宋" w:cs="仿宋"/>
          <w:b/>
          <w:bCs/>
          <w:color w:val="auto"/>
          <w:sz w:val="24"/>
          <w:szCs w:val="28"/>
          <w:highlight w:val="none"/>
          <w:lang w:val="zh-CN"/>
        </w:rPr>
      </w:pPr>
      <w:r>
        <w:rPr>
          <w:rFonts w:hint="eastAsia" w:ascii="仿宋" w:hAnsi="仿宋" w:eastAsia="仿宋" w:cs="仿宋"/>
          <w:b/>
          <w:bCs/>
          <w:color w:val="auto"/>
          <w:sz w:val="24"/>
          <w:szCs w:val="28"/>
          <w:highlight w:val="none"/>
          <w:lang w:val="zh-CN"/>
        </w:rPr>
        <w:t>请未中标人携带加盖单位公章的收据一张，写明：今收到新疆益双工程管理有限公司退还的xxxxxx（项目名称）保证金xxxxxx（金额）及单位账户详细信息；另需提交纸质版投标文件三份及电子版u盘一份。</w:t>
      </w:r>
    </w:p>
    <w:p w14:paraId="45934857">
      <w:pPr>
        <w:spacing w:line="360" w:lineRule="auto"/>
        <w:ind w:firstLine="482" w:firstLineChars="200"/>
        <w:outlineLvl w:val="9"/>
        <w:rPr>
          <w:rFonts w:hint="eastAsia" w:ascii="仿宋" w:hAnsi="仿宋" w:eastAsia="仿宋" w:cs="仿宋"/>
          <w:color w:val="auto"/>
          <w:sz w:val="24"/>
          <w:szCs w:val="22"/>
          <w:highlight w:val="none"/>
          <w:lang w:val="zh-CN"/>
        </w:rPr>
      </w:pPr>
      <w:r>
        <w:rPr>
          <w:rFonts w:hint="eastAsia" w:ascii="仿宋" w:hAnsi="仿宋" w:eastAsia="仿宋" w:cs="仿宋"/>
          <w:b/>
          <w:bCs/>
          <w:color w:val="auto"/>
          <w:sz w:val="24"/>
          <w:szCs w:val="28"/>
          <w:highlight w:val="none"/>
          <w:lang w:val="zh-CN"/>
        </w:rPr>
        <w:t>中标人除携带退还保证金收据及单位账户详细信息以外，另需提供甲乙双方签订的合同复印件加盖公章一份、纸质版投标文件三份及及电子版u盘一份。</w:t>
      </w:r>
    </w:p>
    <w:p w14:paraId="37F9474E">
      <w:pPr>
        <w:pStyle w:val="8"/>
        <w:outlineLvl w:val="9"/>
        <w:rPr>
          <w:rFonts w:hint="eastAsia" w:ascii="仿宋" w:hAnsi="仿宋" w:eastAsia="仿宋" w:cs="仿宋"/>
          <w:color w:val="auto"/>
          <w:highlight w:val="none"/>
        </w:rPr>
      </w:pPr>
    </w:p>
    <w:p w14:paraId="1ECEEAA1">
      <w:pPr>
        <w:pStyle w:val="13"/>
        <w:ind w:left="0"/>
        <w:outlineLvl w:val="9"/>
        <w:rPr>
          <w:rFonts w:hint="eastAsia" w:ascii="仿宋" w:hAnsi="仿宋" w:eastAsia="仿宋" w:cs="仿宋"/>
          <w:color w:val="auto"/>
          <w:highlight w:val="none"/>
        </w:rPr>
      </w:pPr>
    </w:p>
    <w:p w14:paraId="6B36B81A">
      <w:pPr>
        <w:autoSpaceDE w:val="0"/>
        <w:autoSpaceDN w:val="0"/>
        <w:adjustRightInd w:val="0"/>
        <w:spacing w:line="360" w:lineRule="auto"/>
        <w:jc w:val="center"/>
        <w:outlineLvl w:val="1"/>
        <w:rPr>
          <w:rFonts w:hint="eastAsia" w:ascii="仿宋" w:hAnsi="仿宋" w:eastAsia="仿宋" w:cs="仿宋"/>
          <w:color w:val="auto"/>
          <w:sz w:val="24"/>
          <w:highlight w:val="none"/>
        </w:rPr>
      </w:pPr>
      <w:r>
        <w:rPr>
          <w:rFonts w:hint="eastAsia" w:ascii="仿宋" w:hAnsi="仿宋" w:eastAsia="仿宋" w:cs="仿宋"/>
          <w:b/>
          <w:bCs/>
          <w:color w:val="auto"/>
          <w:sz w:val="32"/>
          <w:szCs w:val="32"/>
          <w:highlight w:val="none"/>
        </w:rPr>
        <w:t>第三章 投标文件的递交</w:t>
      </w:r>
    </w:p>
    <w:p w14:paraId="1D5380FD">
      <w:pPr>
        <w:autoSpaceDE w:val="0"/>
        <w:autoSpaceDN w:val="0"/>
        <w:adjustRightInd w:val="0"/>
        <w:spacing w:line="360" w:lineRule="auto"/>
        <w:ind w:firstLine="482"/>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11</w:t>
      </w:r>
      <w:r>
        <w:rPr>
          <w:rFonts w:hint="eastAsia" w:ascii="仿宋" w:hAnsi="仿宋" w:eastAsia="仿宋" w:cs="仿宋"/>
          <w:b/>
          <w:bCs/>
          <w:color w:val="auto"/>
          <w:sz w:val="24"/>
          <w:szCs w:val="24"/>
          <w:highlight w:val="none"/>
          <w:lang w:val="zh-CN"/>
        </w:rPr>
        <w:t>、投标报价截止时间</w:t>
      </w:r>
    </w:p>
    <w:p w14:paraId="4E45748E">
      <w:pPr>
        <w:autoSpaceDE w:val="0"/>
        <w:autoSpaceDN w:val="0"/>
        <w:adjustRightInd w:val="0"/>
        <w:spacing w:line="360" w:lineRule="auto"/>
        <w:ind w:firstLine="480"/>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.1 投标文件的</w:t>
      </w:r>
      <w:r>
        <w:rPr>
          <w:rFonts w:hint="eastAsia" w:ascii="仿宋" w:hAnsi="仿宋" w:eastAsia="仿宋" w:cs="仿宋"/>
          <w:color w:val="auto"/>
          <w:sz w:val="24"/>
          <w:szCs w:val="24"/>
          <w:highlight w:val="none"/>
        </w:rPr>
        <w:t>上传</w:t>
      </w:r>
      <w:r>
        <w:rPr>
          <w:rFonts w:hint="eastAsia" w:ascii="仿宋" w:hAnsi="仿宋" w:eastAsia="仿宋" w:cs="仿宋"/>
          <w:color w:val="auto"/>
          <w:sz w:val="24"/>
          <w:szCs w:val="24"/>
          <w:highlight w:val="none"/>
          <w:lang w:val="zh-CN"/>
        </w:rPr>
        <w:t>不得迟于</w:t>
      </w:r>
      <w:r>
        <w:rPr>
          <w:rFonts w:hint="eastAsia" w:ascii="仿宋" w:hAnsi="仿宋" w:eastAsia="仿宋" w:cs="仿宋"/>
          <w:bCs/>
          <w:color w:val="auto"/>
          <w:sz w:val="24"/>
          <w:szCs w:val="24"/>
          <w:highlight w:val="none"/>
          <w:lang w:val="zh-CN"/>
        </w:rPr>
        <w:t>规定时间</w:t>
      </w:r>
      <w:r>
        <w:rPr>
          <w:rFonts w:hint="eastAsia" w:ascii="仿宋" w:hAnsi="仿宋" w:eastAsia="仿宋" w:cs="仿宋"/>
          <w:color w:val="auto"/>
          <w:sz w:val="24"/>
          <w:szCs w:val="24"/>
          <w:highlight w:val="none"/>
          <w:lang w:val="zh-CN"/>
        </w:rPr>
        <w:t>。</w:t>
      </w:r>
    </w:p>
    <w:p w14:paraId="365CFC3E">
      <w:pPr>
        <w:autoSpaceDE w:val="0"/>
        <w:autoSpaceDN w:val="0"/>
        <w:adjustRightInd w:val="0"/>
        <w:spacing w:line="360" w:lineRule="auto"/>
        <w:ind w:firstLine="480"/>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.2 参加招标的投标人的所有投标文件都必须在招标文件规定的地点投标截止时间之前，将投标文件送达规定的指定地点。截止时间之后送达的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上传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zh-CN"/>
        </w:rPr>
        <w:t>，将为无效投标，其投标将一律被拒绝。</w:t>
      </w:r>
    </w:p>
    <w:p w14:paraId="07DCF4E4">
      <w:pPr>
        <w:autoSpaceDE w:val="0"/>
        <w:autoSpaceDN w:val="0"/>
        <w:adjustRightInd w:val="0"/>
        <w:spacing w:line="360" w:lineRule="auto"/>
        <w:ind w:firstLine="480"/>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zh-CN"/>
        </w:rPr>
        <w:t>.3 出现因招标文件的修改而推迟投标截止时间的情况时，投标方则须按采购代理机构的修改通知重新规定的投标时间递交。</w:t>
      </w:r>
    </w:p>
    <w:p w14:paraId="68288DA3">
      <w:pPr>
        <w:autoSpaceDE w:val="0"/>
        <w:autoSpaceDN w:val="0"/>
        <w:adjustRightInd w:val="0"/>
        <w:spacing w:line="360" w:lineRule="auto"/>
        <w:ind w:firstLine="482"/>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12</w:t>
      </w:r>
      <w:r>
        <w:rPr>
          <w:rFonts w:hint="eastAsia" w:ascii="仿宋" w:hAnsi="仿宋" w:eastAsia="仿宋" w:cs="仿宋"/>
          <w:b/>
          <w:bCs/>
          <w:color w:val="auto"/>
          <w:sz w:val="24"/>
          <w:szCs w:val="24"/>
          <w:highlight w:val="none"/>
          <w:lang w:val="zh-CN"/>
        </w:rPr>
        <w:t>．投标文件的补充、修改或者撤回</w:t>
      </w:r>
    </w:p>
    <w:p w14:paraId="045EDC69">
      <w:pPr>
        <w:autoSpaceDE w:val="0"/>
        <w:autoSpaceDN w:val="0"/>
        <w:adjustRightInd w:val="0"/>
        <w:spacing w:line="360" w:lineRule="auto"/>
        <w:ind w:firstLine="480"/>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1</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.1 投标方在</w:t>
      </w:r>
      <w:r>
        <w:rPr>
          <w:rFonts w:hint="eastAsia" w:ascii="仿宋" w:hAnsi="仿宋" w:eastAsia="仿宋" w:cs="仿宋"/>
          <w:color w:val="auto"/>
          <w:sz w:val="24"/>
          <w:szCs w:val="24"/>
          <w:highlight w:val="none"/>
        </w:rPr>
        <w:t>上传</w:t>
      </w:r>
      <w:r>
        <w:rPr>
          <w:rFonts w:hint="eastAsia" w:ascii="仿宋" w:hAnsi="仿宋" w:eastAsia="仿宋" w:cs="仿宋"/>
          <w:color w:val="auto"/>
          <w:sz w:val="24"/>
          <w:szCs w:val="24"/>
          <w:highlight w:val="none"/>
          <w:lang w:val="zh-CN"/>
        </w:rPr>
        <w:t>投标文件后，可在规定的投标截止时间之前，对其投标文件进行补充、修改或者撤回。</w:t>
      </w:r>
    </w:p>
    <w:p w14:paraId="68153FEB">
      <w:pPr>
        <w:autoSpaceDE w:val="0"/>
        <w:autoSpaceDN w:val="0"/>
        <w:adjustRightInd w:val="0"/>
        <w:spacing w:line="360" w:lineRule="auto"/>
        <w:ind w:firstLine="480"/>
        <w:outlineLvl w:val="9"/>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zh-CN"/>
        </w:rPr>
        <w:t>1</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 xml:space="preserve"> 投标方不得在开标后至投标有效期期满前撤回投标文件。否则，采购人将没收其投标保证金。</w:t>
      </w:r>
    </w:p>
    <w:p w14:paraId="71979B3E">
      <w:pPr>
        <w:tabs>
          <w:tab w:val="left" w:pos="2448"/>
        </w:tabs>
        <w:spacing w:line="360" w:lineRule="auto"/>
        <w:outlineLvl w:val="9"/>
        <w:rPr>
          <w:rFonts w:hint="eastAsia" w:ascii="仿宋" w:hAnsi="仿宋" w:eastAsia="仿宋" w:cs="仿宋"/>
          <w:b/>
          <w:color w:val="auto"/>
          <w:sz w:val="24"/>
          <w:szCs w:val="24"/>
          <w:highlight w:val="none"/>
          <w:lang w:val="zh-CN"/>
        </w:rPr>
      </w:pPr>
      <w:r>
        <w:rPr>
          <w:rFonts w:hint="eastAsia" w:ascii="仿宋" w:hAnsi="仿宋" w:eastAsia="仿宋" w:cs="仿宋"/>
          <w:b/>
          <w:color w:val="auto"/>
          <w:sz w:val="24"/>
          <w:szCs w:val="24"/>
          <w:highlight w:val="none"/>
          <w:lang w:val="zh-CN"/>
        </w:rPr>
        <w:t>（注：本项目采用不见面方式开标，开标结束后，所有投标人须将投标文件（须与上传政采云投标文件一致）电子版U盘一份及纸质版正本一份，副本贰分，盖章处按要求盖章或签字，递交至招标代理公司。</w:t>
      </w:r>
    </w:p>
    <w:p w14:paraId="1AC7072C">
      <w:pPr>
        <w:pStyle w:val="8"/>
        <w:outlineLvl w:val="9"/>
        <w:rPr>
          <w:rFonts w:hint="eastAsia" w:ascii="仿宋" w:hAnsi="仿宋" w:eastAsia="仿宋" w:cs="仿宋"/>
          <w:color w:val="auto"/>
          <w:highlight w:val="none"/>
        </w:rPr>
      </w:pPr>
    </w:p>
    <w:p w14:paraId="30B1C486">
      <w:pPr>
        <w:spacing w:line="360" w:lineRule="auto"/>
        <w:ind w:left="480" w:hanging="480"/>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第四章 评标委员会</w:t>
      </w:r>
    </w:p>
    <w:p w14:paraId="2F95C41D">
      <w:pPr>
        <w:tabs>
          <w:tab w:val="left" w:pos="1620"/>
        </w:tabs>
        <w:spacing w:line="360" w:lineRule="auto"/>
        <w:ind w:left="481" w:leftChars="229"/>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13、评标委员会组成</w:t>
      </w:r>
    </w:p>
    <w:p w14:paraId="56952D59">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13.1 由采购代理机构将根据《中华人民共和国政府采购法》规定，依法组建本次招标的评标委员会，负责组织本次招标的评标活动。评标委员会负责向采购人推荐拟中标人或者根据采购人的授权直接确定中标人。</w:t>
      </w:r>
    </w:p>
    <w:p w14:paraId="29528C07">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本招标文件中所指的评标委员会及其成员，适用于公开招标和邀请招标的采购方式。本招标文件中对评标委员会及其成员的要求，同时适用于采取邀请招标、竞争性谈判、询价或单一来源采购方式时依法组成的评审小组及其成员。</w:t>
      </w:r>
    </w:p>
    <w:p w14:paraId="659E5C10">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13.2 评标委员会人选于开标前确定。评标委员会成员名单在中标结果确定前保密。</w:t>
      </w:r>
    </w:p>
    <w:p w14:paraId="0F930BF0">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13.3评标委员会由有关技术、经济等方面的专家和采购人熟悉相关业务的代表人员组成，成员为五人及以上的单数，其中技术、经济等方面的成员人数不少于成员总数的三分之二。</w:t>
      </w:r>
    </w:p>
    <w:p w14:paraId="29C205C7">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13.4 按前款规定，评标委员会的成员，从专家库中采取随机抽取的方式确定。对于技术复杂、专业性要求较高或者国家有特殊要求的招标项目，抽取的专家不能满足评标工作需要时，将采取直接确定的方式选定评标委员会的人选。</w:t>
      </w:r>
    </w:p>
    <w:p w14:paraId="55E259D0">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14.评标委员会专家的条件和回避规定</w:t>
      </w:r>
    </w:p>
    <w:p w14:paraId="4B84AE99">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 评标委员会专家应符合下列条件：</w:t>
      </w:r>
    </w:p>
    <w:p w14:paraId="08C8254D">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14.1.1 熟悉有关和招标投标的法律法规；</w:t>
      </w:r>
    </w:p>
    <w:p w14:paraId="698199CB">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14.1.2 </w:t>
      </w:r>
      <w:r>
        <w:rPr>
          <w:rFonts w:hint="eastAsia" w:ascii="仿宋" w:hAnsi="仿宋" w:eastAsia="仿宋" w:cs="仿宋"/>
          <w:bCs/>
          <w:color w:val="auto"/>
          <w:sz w:val="24"/>
          <w:szCs w:val="22"/>
          <w:highlight w:val="none"/>
        </w:rPr>
        <w:t>具有中级专业技术职称或同等专业水平且从事相关领域工作满8年,或者具有高级专业技术职称或同等专业水平；</w:t>
      </w:r>
    </w:p>
    <w:p w14:paraId="7DC25A5B">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14.1.3熟悉有关招标投标的法律法规，并具有与招标项目相关的实践经验；</w:t>
      </w:r>
    </w:p>
    <w:p w14:paraId="77C7F75F">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14.1.4 能够认真、公正、诚实、廉洁的履行职责。</w:t>
      </w:r>
    </w:p>
    <w:p w14:paraId="71F121AC">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  有下列情形之一的，不得担任评标委员会成员：</w:t>
      </w:r>
    </w:p>
    <w:p w14:paraId="4CB2A80A">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14.2.1 与投标方或者投标方主要负责人有近亲关系的或有利害关系的；</w:t>
      </w:r>
    </w:p>
    <w:p w14:paraId="7A61B74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14.2.2 与项目主管部门或者行政监督部门的人员有近亲关系的或有利害关系的；</w:t>
      </w:r>
    </w:p>
    <w:p w14:paraId="0C451039">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14.2.3 与投标方有经济利益关系，可能影响对投标公正评标的；</w:t>
      </w:r>
    </w:p>
    <w:p w14:paraId="21246412">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14.2.4 曾因在招标、评标以及其他与招标、投标有关活动中从事违法行为而受过行政处罚或刑事处罚的。</w:t>
      </w:r>
    </w:p>
    <w:p w14:paraId="7E6228AB">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15. 评标委员会成员应当熟悉并认真研究招标文件，至少应了解和熟悉以下内容：</w:t>
      </w:r>
    </w:p>
    <w:p w14:paraId="2B0F15F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15.1 招标目的。</w:t>
      </w:r>
    </w:p>
    <w:p w14:paraId="739C9A02">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15.2 招标项目的范围、性质。</w:t>
      </w:r>
    </w:p>
    <w:p w14:paraId="4EDCDBE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15.3 招标文件中规定的主要技术要求、标准和商务条款。</w:t>
      </w:r>
    </w:p>
    <w:p w14:paraId="5EC25BA1">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15.4 招标文件规定的评标原则、评标标准、评标方法和在评标过程中应考虑的相关因素。</w:t>
      </w:r>
    </w:p>
    <w:p w14:paraId="6E103643">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16. 采购人应当向评标委员会提供评标所需的重要信息和数据。</w:t>
      </w:r>
    </w:p>
    <w:p w14:paraId="26144BD0">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17. 评标委员会成员有前款规定情形之一的，应当主动提出回避。</w:t>
      </w:r>
    </w:p>
    <w:p w14:paraId="4FD7545E">
      <w:pPr>
        <w:spacing w:line="360" w:lineRule="auto"/>
        <w:ind w:firstLine="472" w:firstLineChars="196"/>
        <w:outlineLvl w:val="9"/>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 xml:space="preserve">18. </w:t>
      </w:r>
      <w:r>
        <w:rPr>
          <w:rFonts w:hint="eastAsia" w:ascii="仿宋" w:hAnsi="仿宋" w:eastAsia="仿宋" w:cs="仿宋"/>
          <w:b/>
          <w:bCs/>
          <w:color w:val="auto"/>
          <w:sz w:val="24"/>
          <w:highlight w:val="none"/>
        </w:rPr>
        <w:t>评标委员会</w:t>
      </w:r>
      <w:r>
        <w:rPr>
          <w:rFonts w:hint="eastAsia" w:ascii="仿宋" w:hAnsi="仿宋" w:eastAsia="仿宋" w:cs="仿宋"/>
          <w:b/>
          <w:color w:val="auto"/>
          <w:sz w:val="24"/>
          <w:szCs w:val="24"/>
          <w:highlight w:val="none"/>
        </w:rPr>
        <w:t xml:space="preserve">及其成员应当履行的义务： </w:t>
      </w:r>
    </w:p>
    <w:p w14:paraId="4C989F6A">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18.1 遵纪守法，客观、公正、廉洁地履行职责；</w:t>
      </w:r>
    </w:p>
    <w:p w14:paraId="17E485A8">
      <w:pPr>
        <w:spacing w:line="360" w:lineRule="auto"/>
        <w:ind w:firstLine="470" w:firstLineChars="196"/>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18.2 按照招标文件规定的评标方法和标准进行评标，严格履行签字确认手续，对评标意见承担个人责任；</w:t>
      </w:r>
    </w:p>
    <w:p w14:paraId="05787465">
      <w:pPr>
        <w:spacing w:line="360" w:lineRule="auto"/>
        <w:ind w:firstLine="470" w:firstLineChars="196"/>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18.3 对评标过程和结果，以及投标人的商业秘密保密；</w:t>
      </w:r>
    </w:p>
    <w:p w14:paraId="22FBD182">
      <w:pPr>
        <w:spacing w:line="360" w:lineRule="auto"/>
        <w:ind w:firstLine="470" w:firstLineChars="196"/>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18.4 参与评标报告的起草；</w:t>
      </w:r>
    </w:p>
    <w:p w14:paraId="012CF03B">
      <w:pPr>
        <w:spacing w:line="360" w:lineRule="auto"/>
        <w:ind w:firstLine="470" w:firstLineChars="196"/>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18.5 配合财政部门的投诉处理工作；</w:t>
      </w:r>
    </w:p>
    <w:p w14:paraId="32D768D0">
      <w:pPr>
        <w:spacing w:line="360" w:lineRule="auto"/>
        <w:ind w:firstLine="470" w:firstLineChars="196"/>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18.6 配合采购人答复</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人提出的质疑。</w:t>
      </w:r>
    </w:p>
    <w:p w14:paraId="0EB32E86">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19. 评标委员会及其成员应注意事项：</w:t>
      </w:r>
    </w:p>
    <w:p w14:paraId="511C5939">
      <w:pPr>
        <w:spacing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bCs/>
          <w:color w:val="auto"/>
          <w:sz w:val="24"/>
          <w:highlight w:val="none"/>
        </w:rPr>
        <w:t>19.1 评标委员会应当客观、公正地履行职责，遵守职业道德，不得与任何投标人或者与招标结果有利害关系的人员进行私下接触，须响应前款</w:t>
      </w:r>
      <w:r>
        <w:rPr>
          <w:rFonts w:hint="eastAsia" w:ascii="仿宋" w:hAnsi="仿宋" w:eastAsia="仿宋" w:cs="仿宋"/>
          <w:color w:val="auto"/>
          <w:sz w:val="24"/>
          <w:highlight w:val="none"/>
        </w:rPr>
        <w:t>“第三部分”中8.1条款之规定要求。</w:t>
      </w:r>
    </w:p>
    <w:p w14:paraId="5FC94424">
      <w:pPr>
        <w:tabs>
          <w:tab w:val="left" w:pos="8280"/>
        </w:tabs>
        <w:spacing w:line="360" w:lineRule="auto"/>
        <w:ind w:right="-1" w:firstLine="540" w:firstLineChars="225"/>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19.2 评标委员会应当</w:t>
      </w:r>
      <w:r>
        <w:rPr>
          <w:rFonts w:hint="eastAsia" w:ascii="仿宋" w:hAnsi="仿宋" w:eastAsia="仿宋" w:cs="仿宋"/>
          <w:color w:val="auto"/>
          <w:sz w:val="24"/>
          <w:highlight w:val="none"/>
        </w:rPr>
        <w:t>遵循独立评标的原则</w:t>
      </w:r>
      <w:r>
        <w:rPr>
          <w:rFonts w:hint="eastAsia" w:ascii="仿宋" w:hAnsi="仿宋" w:eastAsia="仿宋" w:cs="仿宋"/>
          <w:bCs/>
          <w:color w:val="auto"/>
          <w:sz w:val="24"/>
          <w:highlight w:val="none"/>
        </w:rPr>
        <w:t>，按照《中华人民共和国政府采购法》，要以招标文件为评标的唯一依据，不做标书以外无关问题讨论和将招标文件中没有规定的标准和方法不得作为评标的依据。应本着“实事求是、公正诚信”的原则，根据招标文件规定的评标标准和方法，对投标方的投标文件进行系统地评标和比较。并按要求</w:t>
      </w:r>
      <w:r>
        <w:rPr>
          <w:rFonts w:hint="eastAsia" w:ascii="仿宋" w:hAnsi="仿宋" w:eastAsia="仿宋" w:cs="仿宋"/>
          <w:color w:val="auto"/>
          <w:sz w:val="24"/>
          <w:highlight w:val="none"/>
          <w:lang w:val="zh-CN"/>
        </w:rPr>
        <w:t>做好相关书面原始署名记录。</w:t>
      </w:r>
    </w:p>
    <w:p w14:paraId="7DCC86ED">
      <w:pPr>
        <w:tabs>
          <w:tab w:val="left" w:pos="8280"/>
        </w:tabs>
        <w:spacing w:line="360" w:lineRule="auto"/>
        <w:ind w:right="-1" w:firstLine="540" w:firstLineChars="225"/>
        <w:outlineLvl w:val="9"/>
        <w:rPr>
          <w:rFonts w:hint="eastAsia" w:ascii="仿宋" w:hAnsi="仿宋" w:eastAsia="仿宋" w:cs="仿宋"/>
          <w:color w:val="auto"/>
          <w:sz w:val="24"/>
          <w:highlight w:val="none"/>
          <w:lang w:val="zh-CN"/>
        </w:rPr>
      </w:pPr>
      <w:r>
        <w:rPr>
          <w:rFonts w:hint="eastAsia" w:ascii="仿宋" w:hAnsi="仿宋" w:eastAsia="仿宋" w:cs="仿宋"/>
          <w:bCs/>
          <w:color w:val="auto"/>
          <w:sz w:val="24"/>
          <w:highlight w:val="none"/>
        </w:rPr>
        <w:t>19.3 评标委员会应当客观、公正地履行职责。评标时，严禁存在</w:t>
      </w:r>
      <w:r>
        <w:rPr>
          <w:rFonts w:hint="eastAsia" w:ascii="仿宋" w:hAnsi="仿宋" w:eastAsia="仿宋" w:cs="仿宋"/>
          <w:color w:val="auto"/>
          <w:sz w:val="24"/>
          <w:highlight w:val="none"/>
          <w:lang w:val="zh-CN"/>
        </w:rPr>
        <w:t>个人印象、个人关系或带有明显倾向性的行为发生。</w:t>
      </w:r>
      <w:r>
        <w:rPr>
          <w:rFonts w:hint="eastAsia" w:ascii="仿宋" w:hAnsi="仿宋" w:eastAsia="仿宋" w:cs="仿宋"/>
          <w:bCs/>
          <w:color w:val="auto"/>
          <w:sz w:val="24"/>
          <w:highlight w:val="none"/>
        </w:rPr>
        <w:t>否则，经核实后，采购人将有权予以制止此类行为的发生，</w:t>
      </w:r>
      <w:r>
        <w:rPr>
          <w:rFonts w:hint="eastAsia" w:ascii="仿宋" w:hAnsi="仿宋" w:eastAsia="仿宋" w:cs="仿宋"/>
          <w:color w:val="auto"/>
          <w:sz w:val="24"/>
          <w:highlight w:val="none"/>
          <w:lang w:val="zh-CN"/>
        </w:rPr>
        <w:t>责成其修正不果的，将做为不良记录记录在案，并按相关政策法规的规定和程序，向财政监管部门提出处罚建议意见。</w:t>
      </w:r>
    </w:p>
    <w:p w14:paraId="224ECC3B">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19.4评标委员会成员和与本次评标活动有关的工作人员，不得透露对投标文件的评标和比较、中标候选人的推荐情况以及与评标有关的其他情况。</w:t>
      </w:r>
    </w:p>
    <w:p w14:paraId="7355A7B3">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19.5 除法律需要外，自开标直至宣布中标及签订合同为止，有关投标文件的审查、澄清、评定及关于评标的建议等情况，评标委员会及其成员任何人均不得以任何形式泄露，评标过程中如有不明事宜，需要投标方进行解释的，只能由评标委员会各成员进行询标（答疑）。</w:t>
      </w:r>
    </w:p>
    <w:p w14:paraId="4F1505CB">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20. 与评标活动有关的工作人员，自开标之日期起至定标日止，在此期间任何监标人、采购人代表、特邀代表、工作人员及投标人不得干扰评标委员会正常及其它评标工作，否则，采购人将有权取消其权利资格。</w:t>
      </w:r>
      <w:r>
        <w:rPr>
          <w:rFonts w:hint="eastAsia" w:ascii="仿宋" w:hAnsi="仿宋" w:eastAsia="仿宋" w:cs="仿宋"/>
          <w:bCs/>
          <w:color w:val="auto"/>
          <w:sz w:val="24"/>
          <w:highlight w:val="none"/>
        </w:rPr>
        <w:tab/>
      </w:r>
    </w:p>
    <w:p w14:paraId="7D134B95">
      <w:pPr>
        <w:spacing w:line="360" w:lineRule="auto"/>
        <w:jc w:val="center"/>
        <w:outlineLvl w:val="9"/>
        <w:rPr>
          <w:rFonts w:hint="eastAsia" w:ascii="仿宋" w:hAnsi="仿宋" w:eastAsia="仿宋" w:cs="仿宋"/>
          <w:b/>
          <w:bCs/>
          <w:color w:val="auto"/>
          <w:sz w:val="36"/>
          <w:szCs w:val="36"/>
          <w:highlight w:val="none"/>
        </w:rPr>
      </w:pPr>
    </w:p>
    <w:p w14:paraId="773B51D1">
      <w:pPr>
        <w:outlineLvl w:val="9"/>
        <w:rPr>
          <w:rFonts w:hint="eastAsia" w:ascii="仿宋" w:hAnsi="仿宋" w:eastAsia="仿宋" w:cs="仿宋"/>
          <w:b/>
          <w:bCs/>
          <w:color w:val="auto"/>
          <w:sz w:val="36"/>
          <w:szCs w:val="36"/>
          <w:highlight w:val="none"/>
        </w:rPr>
      </w:pPr>
    </w:p>
    <w:p w14:paraId="49B22585">
      <w:pPr>
        <w:outlineLvl w:val="9"/>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br w:type="page"/>
      </w:r>
    </w:p>
    <w:p w14:paraId="2ED6C5E3">
      <w:pPr>
        <w:spacing w:line="360" w:lineRule="auto"/>
        <w:jc w:val="center"/>
        <w:outlineLvl w:val="0"/>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第六部分 开标 评标 定标说明</w:t>
      </w:r>
    </w:p>
    <w:p w14:paraId="2FF89049">
      <w:pPr>
        <w:spacing w:line="360" w:lineRule="auto"/>
        <w:jc w:val="center"/>
        <w:outlineLvl w:val="1"/>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第一章 开　标</w:t>
      </w:r>
    </w:p>
    <w:p w14:paraId="4F50FC9D">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21．开标</w:t>
      </w:r>
    </w:p>
    <w:p w14:paraId="7FE09881">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21.1 本次招标按招标文件的规定的时间和地点进行公开开标，允许投标人的法定代表人或其授权人参政采云线上开标会。</w:t>
      </w:r>
    </w:p>
    <w:p w14:paraId="26135C40">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.2 为了体现投标人的合法权益，和确保评标工作的公平、公正，投标人如果认为参加评标的评标委员会成员及其他与会人员与其他投标人有利害关系的，有权在开标现场向采购人申请其回避。如现场不提请采购人申请其回避的，则视同无利害关系。</w:t>
      </w:r>
    </w:p>
    <w:p w14:paraId="57ACA9E3">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.3 按照上述会议通过事项，所有参加投标的投标人如事后发生上述原因的质疑或投诉事项，新疆益双工程管理有限公司将不予采信。</w:t>
      </w:r>
    </w:p>
    <w:p w14:paraId="7ADA4140">
      <w:pPr>
        <w:spacing w:line="360" w:lineRule="auto"/>
        <w:ind w:firstLine="482"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highlight w:val="none"/>
        </w:rPr>
        <w:t xml:space="preserve">21.4 </w:t>
      </w:r>
      <w:r>
        <w:rPr>
          <w:rFonts w:hint="eastAsia" w:ascii="仿宋" w:hAnsi="仿宋" w:eastAsia="仿宋" w:cs="仿宋"/>
          <w:b/>
          <w:bCs/>
          <w:color w:val="auto"/>
          <w:sz w:val="24"/>
          <w:szCs w:val="24"/>
          <w:highlight w:val="none"/>
        </w:rPr>
        <w:t>投标文件响应性审查</w:t>
      </w:r>
    </w:p>
    <w:p w14:paraId="31FEEBF1">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.4.1</w:t>
      </w:r>
      <w:r>
        <w:rPr>
          <w:rFonts w:hint="eastAsia" w:ascii="仿宋" w:hAnsi="仿宋" w:eastAsia="仿宋" w:cs="仿宋"/>
          <w:bCs/>
          <w:color w:val="auto"/>
          <w:sz w:val="24"/>
          <w:szCs w:val="24"/>
          <w:highlight w:val="none"/>
        </w:rPr>
        <w:t>开标后，采购人将组织对投标文件进行审查，应检查其是否完整，是否出现计算性错误，是否满足招标文件的格式要求，是否提供投标保证金等。</w:t>
      </w:r>
    </w:p>
    <w:p w14:paraId="3C34298E">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.4.2</w:t>
      </w:r>
      <w:r>
        <w:rPr>
          <w:rFonts w:hint="eastAsia" w:ascii="仿宋" w:hAnsi="仿宋" w:eastAsia="仿宋" w:cs="仿宋"/>
          <w:bCs/>
          <w:color w:val="auto"/>
          <w:sz w:val="24"/>
          <w:szCs w:val="24"/>
          <w:highlight w:val="none"/>
        </w:rPr>
        <w:t>在对投标文件进行综合评估之前，采购人将依据投标人提供的资格证明文件，审查投标人的财务和技术能力。如果确定投标人无能力履行合同，其投标将被拒绝。</w:t>
      </w:r>
    </w:p>
    <w:p w14:paraId="14C9CD82">
      <w:pPr>
        <w:spacing w:line="360" w:lineRule="auto"/>
        <w:ind w:firstLine="480" w:firstLineChars="20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.4.3评标委员会将确定每一投标人是否对投标文件的要求做出了实质性响应，而没有重大偏离。实质性响应的投标是指符合招标文件的所有条款、条件和规定且没有重大偏离和保留的投标。</w:t>
      </w:r>
    </w:p>
    <w:p w14:paraId="58B313AD">
      <w:pPr>
        <w:spacing w:line="360" w:lineRule="auto"/>
        <w:ind w:firstLine="480" w:firstLineChars="20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.4.4评标委员会判断投标文件的响应性仅基于投标文件本身而不靠外部证据。</w:t>
      </w:r>
    </w:p>
    <w:p w14:paraId="1F73BA07">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zh-CN"/>
        </w:rPr>
        <w:t>.4.5</w:t>
      </w:r>
      <w:r>
        <w:rPr>
          <w:rFonts w:hint="eastAsia" w:ascii="仿宋" w:hAnsi="仿宋" w:eastAsia="仿宋" w:cs="仿宋"/>
          <w:bCs/>
          <w:color w:val="auto"/>
          <w:sz w:val="24"/>
          <w:highlight w:val="none"/>
        </w:rPr>
        <w:t>评标委员会</w:t>
      </w:r>
      <w:r>
        <w:rPr>
          <w:rFonts w:hint="eastAsia" w:ascii="仿宋" w:hAnsi="仿宋" w:eastAsia="仿宋" w:cs="仿宋"/>
          <w:bCs/>
          <w:color w:val="auto"/>
          <w:sz w:val="24"/>
          <w:szCs w:val="24"/>
          <w:highlight w:val="none"/>
        </w:rPr>
        <w:t>将拒绝被确定为非实质性响应的投标。投标方不能通过修正或撤回不符合之处而使其投标成为实质性响应的投标。</w:t>
      </w:r>
    </w:p>
    <w:p w14:paraId="1BDD9F90">
      <w:pPr>
        <w:spacing w:line="360" w:lineRule="auto"/>
        <w:ind w:firstLine="472" w:firstLineChars="196"/>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21.5 投标登记确认的审查</w:t>
      </w:r>
    </w:p>
    <w:p w14:paraId="5AD5FBC4">
      <w:pPr>
        <w:spacing w:line="360" w:lineRule="auto"/>
        <w:ind w:firstLine="470" w:firstLineChars="196"/>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21.5.1</w:t>
      </w:r>
      <w:r>
        <w:rPr>
          <w:rFonts w:hint="eastAsia" w:ascii="仿宋" w:hAnsi="仿宋" w:eastAsia="仿宋" w:cs="仿宋"/>
          <w:color w:val="auto"/>
          <w:sz w:val="24"/>
          <w:szCs w:val="24"/>
          <w:highlight w:val="none"/>
        </w:rPr>
        <w:t>由投标单位在政采云平台线上签到（解密）方式，对按招标文件规定的开标时间准时参加的投标人的投标确认情况，进行现场审查。凡按规定时间前进行了投标签到（解密）确认的，其投标被接受。否则，其投标将直接被拒绝。</w:t>
      </w:r>
    </w:p>
    <w:p w14:paraId="0FBFC186">
      <w:pPr>
        <w:spacing w:line="360" w:lineRule="auto"/>
        <w:ind w:firstLine="470" w:firstLineChars="19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21.5.2 在招标文件及程序符合法律规定的前提下，对招标文件做出实质性响应的投标人只有两家时，且是第一次开标，采购人应中止谈判，重新组织采购；如果是第二次开标，按照公开、公平和竞争的原则，采购人可以书面提出转竞争性谈判方式进行且提交批准后，按批准后的采购方式继续开标。反之，则应直接作废标处理，并依法重新组织采购。</w:t>
      </w:r>
    </w:p>
    <w:p w14:paraId="251B8ECF">
      <w:pPr>
        <w:spacing w:line="360" w:lineRule="auto"/>
        <w:ind w:firstLine="470" w:firstLineChars="196"/>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21.5.3 如果合格投标人只有一家时，且是第一次开标，采购人应中止谈判，重新组织采购；如果是第二次开标，采购人和投标商既没有过不良行为记录，也不存在明显或恶意的投标倾向性行为，采购人可以书面申请</w:t>
      </w:r>
      <w:r>
        <w:rPr>
          <w:rFonts w:hint="eastAsia" w:ascii="仿宋" w:hAnsi="仿宋" w:eastAsia="仿宋" w:cs="仿宋"/>
          <w:bCs/>
          <w:color w:val="auto"/>
          <w:sz w:val="24"/>
          <w:szCs w:val="24"/>
          <w:highlight w:val="none"/>
        </w:rPr>
        <w:t>单一来源方式</w:t>
      </w:r>
      <w:r>
        <w:rPr>
          <w:rFonts w:hint="eastAsia" w:ascii="仿宋" w:hAnsi="仿宋" w:eastAsia="仿宋" w:cs="仿宋"/>
          <w:color w:val="auto"/>
          <w:sz w:val="24"/>
          <w:szCs w:val="24"/>
          <w:highlight w:val="none"/>
        </w:rPr>
        <w:t>采购，经批准后，按批准后的采购方式依法按程序组织采购。反之，则应直接作废标处理，并依法重新组织采购。</w:t>
      </w:r>
    </w:p>
    <w:p w14:paraId="0CFF2635">
      <w:pPr>
        <w:spacing w:line="360" w:lineRule="auto"/>
        <w:ind w:firstLine="472" w:firstLineChars="196"/>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21.6 评标前的意见征求</w:t>
      </w:r>
    </w:p>
    <w:p w14:paraId="5E4DDF6B">
      <w:pPr>
        <w:spacing w:line="360" w:lineRule="auto"/>
        <w:ind w:firstLine="470" w:firstLineChars="196"/>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21.6.1</w:t>
      </w:r>
      <w:r>
        <w:rPr>
          <w:rFonts w:hint="eastAsia" w:ascii="仿宋" w:hAnsi="仿宋" w:eastAsia="仿宋" w:cs="仿宋"/>
          <w:color w:val="auto"/>
          <w:sz w:val="24"/>
          <w:szCs w:val="24"/>
          <w:highlight w:val="none"/>
        </w:rPr>
        <w:t>严格在招标文件的规定范围内，由采购代理机构现场以书面的方式，征求采购单位代表对本次评标委员会评标时应注意的事项及意见建议，并签字确认。</w:t>
      </w:r>
    </w:p>
    <w:p w14:paraId="1D608CC8">
      <w:pPr>
        <w:spacing w:line="360" w:lineRule="auto"/>
        <w:ind w:firstLine="470" w:firstLineChars="196"/>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21.6.2</w:t>
      </w:r>
      <w:r>
        <w:rPr>
          <w:rFonts w:hint="eastAsia" w:ascii="仿宋" w:hAnsi="仿宋" w:eastAsia="仿宋" w:cs="仿宋"/>
          <w:color w:val="auto"/>
          <w:sz w:val="24"/>
          <w:szCs w:val="24"/>
          <w:highlight w:val="none"/>
        </w:rPr>
        <w:t xml:space="preserve"> 由采购人本次项目承办责任人严格按照招标文件的规定范围，核实并提出是否采信的意见并签字确认。</w:t>
      </w:r>
    </w:p>
    <w:p w14:paraId="00A04696">
      <w:pPr>
        <w:spacing w:line="360" w:lineRule="auto"/>
        <w:ind w:firstLine="470" w:firstLineChars="196"/>
        <w:outlineLvl w:val="9"/>
        <w:rPr>
          <w:rFonts w:hint="eastAsia" w:ascii="仿宋" w:hAnsi="仿宋" w:eastAsia="仿宋" w:cs="仿宋"/>
          <w:bCs/>
          <w:color w:val="auto"/>
          <w:sz w:val="24"/>
          <w:highlight w:val="none"/>
        </w:rPr>
      </w:pPr>
      <w:r>
        <w:rPr>
          <w:rFonts w:hint="eastAsia" w:ascii="仿宋" w:hAnsi="仿宋" w:eastAsia="仿宋" w:cs="仿宋"/>
          <w:bCs/>
          <w:color w:val="auto"/>
          <w:sz w:val="24"/>
          <w:szCs w:val="24"/>
          <w:highlight w:val="none"/>
        </w:rPr>
        <w:t>21.6.3</w:t>
      </w:r>
      <w:r>
        <w:rPr>
          <w:rFonts w:hint="eastAsia" w:ascii="仿宋" w:hAnsi="仿宋" w:eastAsia="仿宋" w:cs="仿宋"/>
          <w:color w:val="auto"/>
          <w:sz w:val="24"/>
          <w:szCs w:val="24"/>
          <w:highlight w:val="none"/>
        </w:rPr>
        <w:t>由采购人将可采信的上述意见建议，现场向评标委员会及成员提出可以予以采纳的决定。反之，则不予采纳。</w:t>
      </w:r>
    </w:p>
    <w:p w14:paraId="1626EE0E">
      <w:pPr>
        <w:spacing w:line="360" w:lineRule="auto"/>
        <w:jc w:val="center"/>
        <w:outlineLvl w:val="1"/>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第二章 评  标</w:t>
      </w:r>
    </w:p>
    <w:p w14:paraId="12B4F6C0">
      <w:pPr>
        <w:spacing w:line="360" w:lineRule="auto"/>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22．开标报价</w:t>
      </w:r>
    </w:p>
    <w:p w14:paraId="6DA51927">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b/>
          <w:bCs/>
          <w:color w:val="auto"/>
          <w:sz w:val="24"/>
          <w:highlight w:val="none"/>
          <w:lang w:val="zh-CN"/>
        </w:rPr>
        <w:t>2</w:t>
      </w: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 xml:space="preserve">.1 评标依据 </w:t>
      </w:r>
    </w:p>
    <w:p w14:paraId="32252FC8">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.1.1 </w:t>
      </w:r>
      <w:r>
        <w:rPr>
          <w:rFonts w:hint="eastAsia" w:ascii="仿宋" w:hAnsi="仿宋" w:eastAsia="仿宋" w:cs="仿宋"/>
          <w:bCs/>
          <w:color w:val="auto"/>
          <w:sz w:val="24"/>
          <w:szCs w:val="24"/>
          <w:highlight w:val="none"/>
        </w:rPr>
        <w:t>招标文件是评标的唯一依据。</w:t>
      </w:r>
      <w:r>
        <w:rPr>
          <w:rFonts w:hint="eastAsia" w:ascii="仿宋" w:hAnsi="仿宋" w:eastAsia="仿宋" w:cs="仿宋"/>
          <w:color w:val="auto"/>
          <w:sz w:val="24"/>
          <w:szCs w:val="24"/>
          <w:highlight w:val="none"/>
        </w:rPr>
        <w:t>评标委员会</w:t>
      </w:r>
      <w:r>
        <w:rPr>
          <w:rFonts w:hint="eastAsia" w:ascii="仿宋" w:hAnsi="仿宋" w:eastAsia="仿宋" w:cs="仿宋"/>
          <w:color w:val="auto"/>
          <w:sz w:val="24"/>
          <w:highlight w:val="none"/>
          <w:lang w:val="zh-CN"/>
        </w:rPr>
        <w:t>评标要依据采购代理机构的公开招标文件和投标方的投标文件进行比较与评标。</w:t>
      </w:r>
    </w:p>
    <w:p w14:paraId="14D8B650">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.1.2 招标文件中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6A5ED4C2">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.1.3 当发现投标人的投标文件有以下情形时，将认定为有串标嫌疑而对其予以废标：总报价相近，但其中分项报价不合理，且没有合理解释的；总报价相近，且其中款项报价雷同，又提不出计算依据的；总报价相近，数项子目单价完全相同，且提不出合理的单价组成的；总报价相近，主要材料设备价格极其相近的；总价相同，没有</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"http://www.shenmeshi.com/Education/Education_20070429223431.html" \t "_blank"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lang w:val="zh-CN"/>
        </w:rPr>
        <w:t>成本分析</w:t>
      </w:r>
      <w:r>
        <w:rPr>
          <w:rFonts w:hint="eastAsia" w:ascii="仿宋" w:hAnsi="仿宋" w:eastAsia="仿宋" w:cs="仿宋"/>
          <w:color w:val="auto"/>
          <w:sz w:val="24"/>
          <w:highlight w:val="none"/>
          <w:lang w:val="zh-CN"/>
        </w:rPr>
        <w:fldChar w:fldCharType="end"/>
      </w:r>
      <w:r>
        <w:rPr>
          <w:rFonts w:hint="eastAsia" w:ascii="仿宋" w:hAnsi="仿宋" w:eastAsia="仿宋" w:cs="仿宋"/>
          <w:color w:val="auto"/>
          <w:sz w:val="24"/>
          <w:highlight w:val="none"/>
          <w:lang w:val="zh-CN"/>
        </w:rPr>
        <w:t>，分项乱调的；几个投标人的</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"http://www.shenmeshi.com/Science/Index.html" \t "_blank" </w:instrText>
      </w:r>
      <w:r>
        <w:rPr>
          <w:rFonts w:hint="eastAsia" w:ascii="仿宋" w:hAnsi="仿宋" w:eastAsia="仿宋" w:cs="仿宋"/>
          <w:color w:val="auto"/>
          <w:highlight w:val="none"/>
        </w:rPr>
        <w:fldChar w:fldCharType="separate"/>
      </w:r>
      <w:r>
        <w:rPr>
          <w:rFonts w:hint="eastAsia" w:ascii="仿宋" w:hAnsi="仿宋" w:eastAsia="仿宋" w:cs="仿宋"/>
          <w:color w:val="auto"/>
          <w:sz w:val="24"/>
          <w:highlight w:val="none"/>
          <w:lang w:val="zh-CN"/>
        </w:rPr>
        <w:t>技术</w:t>
      </w:r>
      <w:r>
        <w:rPr>
          <w:rFonts w:hint="eastAsia" w:ascii="仿宋" w:hAnsi="仿宋" w:eastAsia="仿宋" w:cs="仿宋"/>
          <w:color w:val="auto"/>
          <w:sz w:val="24"/>
          <w:highlight w:val="none"/>
          <w:lang w:val="zh-CN"/>
        </w:rPr>
        <w:fldChar w:fldCharType="end"/>
      </w:r>
      <w:r>
        <w:rPr>
          <w:rFonts w:hint="eastAsia" w:ascii="仿宋" w:hAnsi="仿宋" w:eastAsia="仿宋" w:cs="仿宋"/>
          <w:color w:val="auto"/>
          <w:sz w:val="24"/>
          <w:highlight w:val="none"/>
          <w:lang w:val="zh-CN"/>
        </w:rPr>
        <w:t>标都雷同的。</w:t>
      </w:r>
    </w:p>
    <w:p w14:paraId="1FBC2077">
      <w:pPr>
        <w:autoSpaceDE w:val="0"/>
        <w:autoSpaceDN w:val="0"/>
        <w:adjustRightInd w:val="0"/>
        <w:spacing w:line="360" w:lineRule="auto"/>
        <w:ind w:firstLine="48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.1.4 本次评标采取</w:t>
      </w:r>
      <w:r>
        <w:rPr>
          <w:rFonts w:hint="eastAsia" w:ascii="仿宋" w:hAnsi="仿宋" w:eastAsia="仿宋" w:cs="仿宋"/>
          <w:b/>
          <w:color w:val="auto"/>
          <w:sz w:val="24"/>
          <w:highlight w:val="none"/>
          <w:u w:val="single"/>
          <w:lang w:val="zh-CN"/>
        </w:rPr>
        <w:t>综合评分法</w:t>
      </w:r>
      <w:r>
        <w:rPr>
          <w:rFonts w:hint="eastAsia" w:ascii="仿宋" w:hAnsi="仿宋" w:eastAsia="仿宋" w:cs="仿宋"/>
          <w:color w:val="auto"/>
          <w:sz w:val="24"/>
          <w:highlight w:val="none"/>
          <w:lang w:val="zh-CN"/>
        </w:rPr>
        <w:t>。</w:t>
      </w:r>
    </w:p>
    <w:p w14:paraId="0E8D6181">
      <w:pPr>
        <w:autoSpaceDE w:val="0"/>
        <w:autoSpaceDN w:val="0"/>
        <w:adjustRightInd w:val="0"/>
        <w:spacing w:line="360" w:lineRule="auto"/>
        <w:ind w:firstLine="482"/>
        <w:outlineLvl w:val="9"/>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lang w:val="zh-CN"/>
        </w:rPr>
        <w:t>2</w:t>
      </w:r>
      <w:r>
        <w:rPr>
          <w:rFonts w:hint="eastAsia" w:ascii="仿宋" w:hAnsi="仿宋" w:eastAsia="仿宋" w:cs="仿宋"/>
          <w:b/>
          <w:bCs/>
          <w:color w:val="auto"/>
          <w:sz w:val="24"/>
          <w:highlight w:val="none"/>
        </w:rPr>
        <w:t>2</w:t>
      </w:r>
      <w:r>
        <w:rPr>
          <w:rFonts w:hint="eastAsia" w:ascii="仿宋" w:hAnsi="仿宋" w:eastAsia="仿宋" w:cs="仿宋"/>
          <w:b/>
          <w:bCs/>
          <w:color w:val="auto"/>
          <w:sz w:val="24"/>
          <w:highlight w:val="none"/>
          <w:lang w:val="zh-CN"/>
        </w:rPr>
        <w:t>.2 评标过程的保密性</w:t>
      </w:r>
    </w:p>
    <w:p w14:paraId="20DD70FA">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.2.1 所有与本次招标及评标有关的人员，均不得向投标人及与招标项目无关的其他人员，透露与评标有关的资料以及授予合同的意见等。</w:t>
      </w:r>
    </w:p>
    <w:p w14:paraId="23BD1CA6">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.2.2 在评标过程中，投标人试图在投标文件审查、报价、询标（答疑）、澄清、比较及授予合同方面向采购人员施加影响的任何行为，都可能导致其投标文件被拒绝。</w:t>
      </w:r>
    </w:p>
    <w:p w14:paraId="12B9D3E5">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.2.3 </w:t>
      </w:r>
      <w:r>
        <w:rPr>
          <w:rFonts w:hint="eastAsia" w:ascii="仿宋" w:hAnsi="仿宋" w:eastAsia="仿宋" w:cs="仿宋"/>
          <w:bCs/>
          <w:color w:val="auto"/>
          <w:sz w:val="24"/>
          <w:szCs w:val="24"/>
          <w:highlight w:val="none"/>
        </w:rPr>
        <w:t>开标后直到授予投标人合同为止，凡是属于审查、报价、</w:t>
      </w:r>
      <w:r>
        <w:rPr>
          <w:rFonts w:hint="eastAsia" w:ascii="仿宋" w:hAnsi="仿宋" w:eastAsia="仿宋" w:cs="仿宋"/>
          <w:color w:val="auto"/>
          <w:sz w:val="24"/>
          <w:highlight w:val="none"/>
          <w:lang w:val="zh-CN"/>
        </w:rPr>
        <w:t>询标（答疑）、</w:t>
      </w:r>
      <w:r>
        <w:rPr>
          <w:rFonts w:hint="eastAsia" w:ascii="仿宋" w:hAnsi="仿宋" w:eastAsia="仿宋" w:cs="仿宋"/>
          <w:bCs/>
          <w:color w:val="auto"/>
          <w:sz w:val="24"/>
          <w:szCs w:val="24"/>
          <w:highlight w:val="none"/>
        </w:rPr>
        <w:t>澄清、评价和比较的有关资料以及授标建议等，评标委员会成员或参与评标的有关工作人员均不得向投标人或其他无关的人员透露，违者给予警告、取消担任评标委员会成员的资格，不得再参加任何投标项目的评标。</w:t>
      </w:r>
    </w:p>
    <w:p w14:paraId="52D825D4">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.2.4 </w:t>
      </w:r>
      <w:r>
        <w:rPr>
          <w:rFonts w:hint="eastAsia" w:ascii="仿宋" w:hAnsi="仿宋" w:eastAsia="仿宋" w:cs="仿宋"/>
          <w:bCs/>
          <w:color w:val="auto"/>
          <w:sz w:val="24"/>
          <w:szCs w:val="24"/>
          <w:highlight w:val="none"/>
        </w:rPr>
        <w:t>投标人在评标过程中，所进行的力图影响评标结果的不符合《政府采购法》及本次招标有关规定的活动，将被取消中标资格。</w:t>
      </w:r>
    </w:p>
    <w:p w14:paraId="6455EDDA">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 xml:space="preserve">.3 评标有关规定要求 </w:t>
      </w:r>
    </w:p>
    <w:p w14:paraId="0FBF5CC8">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.3.1 各投标人严格遵守前款</w:t>
      </w:r>
      <w:r>
        <w:rPr>
          <w:rFonts w:hint="eastAsia" w:ascii="仿宋" w:hAnsi="仿宋" w:eastAsia="仿宋" w:cs="仿宋"/>
          <w:bCs/>
          <w:color w:val="auto"/>
          <w:sz w:val="24"/>
          <w:highlight w:val="none"/>
          <w:lang w:val="zh-CN"/>
        </w:rPr>
        <w:t>“第四部分”中10.7条款</w:t>
      </w:r>
      <w:r>
        <w:rPr>
          <w:rFonts w:hint="eastAsia" w:ascii="仿宋" w:hAnsi="仿宋" w:eastAsia="仿宋" w:cs="仿宋"/>
          <w:color w:val="auto"/>
          <w:sz w:val="24"/>
          <w:highlight w:val="none"/>
          <w:lang w:val="zh-CN"/>
        </w:rPr>
        <w:t>之规定，在采购代理机构规定时间进行评标。</w:t>
      </w:r>
    </w:p>
    <w:p w14:paraId="3F05E250">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.3.2 评标、报价、询标（答疑）、澄清应按照投标人递交投标文件的正顺序进行。</w:t>
      </w:r>
    </w:p>
    <w:p w14:paraId="2A7276F0">
      <w:pPr>
        <w:spacing w:line="360" w:lineRule="auto"/>
        <w:ind w:firstLine="480" w:firstLineChars="200"/>
        <w:outlineLvl w:val="9"/>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rPr>
        <w:t xml:space="preserve">22.3.3 评标委员会成员和与本次评标活动有关的工作人员，应遵循前款“第五部分”“第四章”中的规定。 </w:t>
      </w:r>
    </w:p>
    <w:p w14:paraId="2BC2F51D">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22.3.4评标现场凡投标人提供所涉及的投标资料，严格按照前款“第三部分”执行。</w:t>
      </w:r>
    </w:p>
    <w:p w14:paraId="1B4B67F0">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22.3.5 </w:t>
      </w:r>
      <w:r>
        <w:rPr>
          <w:rFonts w:hint="eastAsia" w:ascii="仿宋" w:hAnsi="仿宋" w:eastAsia="仿宋" w:cs="仿宋"/>
          <w:color w:val="auto"/>
          <w:sz w:val="24"/>
          <w:szCs w:val="24"/>
          <w:highlight w:val="none"/>
        </w:rPr>
        <w:t>采购代理机构</w:t>
      </w:r>
      <w:r>
        <w:rPr>
          <w:rFonts w:hint="eastAsia" w:ascii="仿宋" w:hAnsi="仿宋" w:eastAsia="仿宋" w:cs="仿宋"/>
          <w:bCs/>
          <w:color w:val="auto"/>
          <w:sz w:val="24"/>
          <w:highlight w:val="none"/>
        </w:rPr>
        <w:t>要对当事双方的评标、报价、询标（答疑）、澄清等，做好书面记录，经评标委员会、</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人签字确认的记录与招标文件、</w:t>
      </w:r>
      <w:r>
        <w:rPr>
          <w:rFonts w:hint="eastAsia" w:ascii="仿宋" w:hAnsi="仿宋" w:eastAsia="仿宋" w:cs="仿宋"/>
          <w:bCs/>
          <w:color w:val="auto"/>
          <w:sz w:val="24"/>
          <w:highlight w:val="none"/>
          <w:lang w:eastAsia="zh-CN"/>
        </w:rPr>
        <w:t>投标</w:t>
      </w:r>
      <w:r>
        <w:rPr>
          <w:rFonts w:hint="eastAsia" w:ascii="仿宋" w:hAnsi="仿宋" w:eastAsia="仿宋" w:cs="仿宋"/>
          <w:bCs/>
          <w:color w:val="auto"/>
          <w:sz w:val="24"/>
          <w:highlight w:val="none"/>
        </w:rPr>
        <w:t>人投标文件具有同等法律地位；也是投标人一旦中标后，与采购人签订中标合同和发生质疑或投诉事项时的重要法律依据。</w:t>
      </w:r>
    </w:p>
    <w:p w14:paraId="66E2DFDC">
      <w:pPr>
        <w:spacing w:line="360" w:lineRule="auto"/>
        <w:ind w:firstLine="480" w:firstLineChars="200"/>
        <w:outlineLvl w:val="9"/>
        <w:rPr>
          <w:rFonts w:hint="eastAsia" w:ascii="仿宋" w:hAnsi="仿宋" w:eastAsia="仿宋" w:cs="仿宋"/>
          <w:bCs/>
          <w:color w:val="auto"/>
          <w:sz w:val="24"/>
          <w:highlight w:val="none"/>
          <w:lang w:val="zh-CN"/>
        </w:rPr>
      </w:pPr>
      <w:r>
        <w:rPr>
          <w:rFonts w:hint="eastAsia" w:ascii="仿宋" w:hAnsi="仿宋" w:eastAsia="仿宋" w:cs="仿宋"/>
          <w:bCs/>
          <w:color w:val="auto"/>
          <w:sz w:val="24"/>
          <w:highlight w:val="none"/>
          <w:lang w:val="zh-CN"/>
        </w:rPr>
        <w:t>2</w:t>
      </w: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val="zh-CN"/>
        </w:rPr>
        <w:t xml:space="preserve">.3.6 </w:t>
      </w:r>
      <w:r>
        <w:rPr>
          <w:rFonts w:hint="eastAsia" w:ascii="仿宋" w:hAnsi="仿宋" w:eastAsia="仿宋" w:cs="仿宋"/>
          <w:bCs/>
          <w:color w:val="auto"/>
          <w:sz w:val="24"/>
          <w:highlight w:val="none"/>
        </w:rPr>
        <w:t>评标委员会各成员应在采购人规定时间内阅读和熟悉招标文件，当要提出招标文件疑问事项时，应由采购人、采购代理机构本次招标项目的责任人作为主体解答者，解答不清的，由会议主持进行补充解答。</w:t>
      </w:r>
    </w:p>
    <w:p w14:paraId="738D31A5">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22.4 报价</w:t>
      </w:r>
    </w:p>
    <w:p w14:paraId="3D15F857">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 xml:space="preserve">.4.1 投标报价的审查和原则要求 </w:t>
      </w:r>
    </w:p>
    <w:p w14:paraId="42BA00F9">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.4.1.1 采购人应须对评标委员会确定为实质上响应招标文件要求的投标文件中的价格进行审核，检查看其是否有计算和累加上的错误。</w:t>
      </w:r>
    </w:p>
    <w:p w14:paraId="72AF9BAF">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4.1.2修正错误的原则。如大写金额与小写金额不一致的，以大写金额为准；总价金额与按单价汇总金额不一致的，以单价金额计算结果为准；单价金额小数点有明显错位的，以总价为准，并修改单价；对不同文字文本投标文件的解释发生异议的，以中文文本为准。按上述原则调整后的价格为评标价，对投标人具有约束力。如果投标人不接受修正后的价格，则其报价将被拒绝，其投标报价保证金将被没收。</w:t>
      </w:r>
    </w:p>
    <w:p w14:paraId="18A93888">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.4.1.3 采购人按照规定时间，应检查所有投标文件的密封情况，确认无误后，</w:t>
      </w:r>
      <w:r>
        <w:rPr>
          <w:rFonts w:hint="eastAsia" w:ascii="仿宋" w:hAnsi="仿宋" w:eastAsia="仿宋" w:cs="仿宋"/>
          <w:color w:val="auto"/>
          <w:sz w:val="24"/>
          <w:szCs w:val="24"/>
          <w:highlight w:val="none"/>
        </w:rPr>
        <w:t>采购代理机构</w:t>
      </w:r>
      <w:r>
        <w:rPr>
          <w:rFonts w:hint="eastAsia" w:ascii="仿宋" w:hAnsi="仿宋" w:eastAsia="仿宋" w:cs="仿宋"/>
          <w:color w:val="auto"/>
          <w:sz w:val="24"/>
          <w:highlight w:val="none"/>
          <w:lang w:val="zh-CN"/>
        </w:rPr>
        <w:t>以书面记录分别对投标人的报价单统一启封后，进行公开唱标、记标。</w:t>
      </w:r>
    </w:p>
    <w:p w14:paraId="79262FB6">
      <w:pPr>
        <w:autoSpaceDE w:val="0"/>
        <w:autoSpaceDN w:val="0"/>
        <w:adjustRightInd w:val="0"/>
        <w:spacing w:line="360" w:lineRule="auto"/>
        <w:ind w:firstLine="48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.4.1.4 </w:t>
      </w:r>
      <w:r>
        <w:rPr>
          <w:rFonts w:hint="eastAsia" w:ascii="仿宋" w:hAnsi="仿宋" w:eastAsia="仿宋" w:cs="仿宋"/>
          <w:bCs/>
          <w:color w:val="auto"/>
          <w:sz w:val="24"/>
          <w:highlight w:val="none"/>
          <w:lang w:val="zh-CN"/>
        </w:rPr>
        <w:t>报价</w:t>
      </w:r>
      <w:r>
        <w:rPr>
          <w:rFonts w:hint="eastAsia" w:ascii="仿宋" w:hAnsi="仿宋" w:eastAsia="仿宋" w:cs="仿宋"/>
          <w:color w:val="auto"/>
          <w:sz w:val="24"/>
          <w:highlight w:val="none"/>
          <w:lang w:val="zh-CN"/>
        </w:rPr>
        <w:t>采取密封的形式提交</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采用一次性报价方式，且为最终报价。</w:t>
      </w:r>
    </w:p>
    <w:p w14:paraId="419ECB7F">
      <w:pPr>
        <w:autoSpaceDE w:val="0"/>
        <w:autoSpaceDN w:val="0"/>
        <w:adjustRightInd w:val="0"/>
        <w:spacing w:line="360" w:lineRule="auto"/>
        <w:ind w:firstLine="48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.4.1.5 投标人的报价均应报出拟提供货物的单价和总价。</w:t>
      </w:r>
    </w:p>
    <w:p w14:paraId="30607EE8">
      <w:pPr>
        <w:spacing w:line="360" w:lineRule="auto"/>
        <w:ind w:firstLine="480" w:firstLineChars="200"/>
        <w:outlineLvl w:val="9"/>
        <w:rPr>
          <w:rFonts w:hint="eastAsia" w:ascii="仿宋" w:hAnsi="仿宋" w:eastAsia="仿宋" w:cs="仿宋"/>
          <w:b/>
          <w:color w:val="auto"/>
          <w:sz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.4.1.6 投标人的报价采取现场公开的方式进行唱标记标，报价时现场不接受涂改、不合规更正的报价单，不允许投标人与外界有任何方式的联系和沟通，且现场</w:t>
      </w:r>
      <w:r>
        <w:rPr>
          <w:rFonts w:hint="eastAsia" w:ascii="仿宋" w:hAnsi="仿宋" w:eastAsia="仿宋" w:cs="仿宋"/>
          <w:color w:val="auto"/>
          <w:sz w:val="24"/>
          <w:highlight w:val="none"/>
        </w:rPr>
        <w:t>均不接受二次提供。否则，将直接取消其投标报价资格。</w:t>
      </w:r>
    </w:p>
    <w:p w14:paraId="4BAAE08E">
      <w:pPr>
        <w:autoSpaceDE w:val="0"/>
        <w:autoSpaceDN w:val="0"/>
        <w:adjustRightInd w:val="0"/>
        <w:spacing w:line="360" w:lineRule="auto"/>
        <w:ind w:firstLine="48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.4.1.7 各投标人须按照采购人规定的时间进行报价，严格遵守前款“第四部分”中</w:t>
      </w:r>
      <w:r>
        <w:rPr>
          <w:rFonts w:hint="eastAsia" w:ascii="仿宋" w:hAnsi="仿宋" w:eastAsia="仿宋" w:cs="仿宋"/>
          <w:bCs/>
          <w:color w:val="auto"/>
          <w:sz w:val="24"/>
          <w:highlight w:val="none"/>
          <w:lang w:val="zh-CN"/>
        </w:rPr>
        <w:t>10.7条款、10.8条款之</w:t>
      </w:r>
      <w:r>
        <w:rPr>
          <w:rFonts w:hint="eastAsia" w:ascii="仿宋" w:hAnsi="仿宋" w:eastAsia="仿宋" w:cs="仿宋"/>
          <w:color w:val="auto"/>
          <w:sz w:val="24"/>
          <w:highlight w:val="none"/>
          <w:lang w:val="zh-CN"/>
        </w:rPr>
        <w:t xml:space="preserve">规定。 </w:t>
      </w:r>
    </w:p>
    <w:p w14:paraId="698363FD">
      <w:pPr>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23.4.2 唱标、记标</w:t>
      </w:r>
    </w:p>
    <w:p w14:paraId="5E1B8FB8">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采购代理机构对投标报价登记确认、资格资格审查合格，及对招标文件做出实质性响应的投标人的报价，要给予每个正在参加评标的投标人相同的机会，并对报价采取公开的方式，招标代理机构在开启报价后，投标人须在规定的报价确认签字时段内进行CA签章，否则视为无效报价。该报价只允许有一个报价，投标人任何有选择性的报价将不予接受。</w:t>
      </w:r>
    </w:p>
    <w:p w14:paraId="5FE92030">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zh-CN"/>
        </w:rPr>
        <w:t>.4.3 最终报价是否均超过采购预算的审查确认</w:t>
      </w:r>
    </w:p>
    <w:p w14:paraId="1181300F">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 xml:space="preserve">.4.3.1 报价唱标结束后，采购人须根据《中华人民共和国政府采购法》及招标文件的规定，按照最终报价不接受超过采购预算的原则，对最终报价是否均超过采购预算进行审查确认，并现场公布结果。 </w:t>
      </w:r>
    </w:p>
    <w:p w14:paraId="095FEA22">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.4.3.2 唱标结束后，如所有报价均超过采购预算，且采购人不能支付时，采购人现场应宣布本次招标废标。出现此种情况时，评标委员会有权决定拒绝所有的投标文件。</w:t>
      </w:r>
    </w:p>
    <w:p w14:paraId="38D5E1E6">
      <w:pPr>
        <w:autoSpaceDE w:val="0"/>
        <w:autoSpaceDN w:val="0"/>
        <w:adjustRightInd w:val="0"/>
        <w:spacing w:line="360" w:lineRule="auto"/>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.4.3.3 唱标结束后，如果没有超过采购预算的投标人只有二家时，且是第一次开标，采购人应中止谈判，重新组织采购；如果是第二次开标，</w:t>
      </w:r>
      <w:r>
        <w:rPr>
          <w:rFonts w:hint="eastAsia" w:ascii="仿宋" w:hAnsi="仿宋" w:eastAsia="仿宋" w:cs="仿宋"/>
          <w:color w:val="auto"/>
          <w:sz w:val="24"/>
          <w:szCs w:val="24"/>
          <w:highlight w:val="none"/>
        </w:rPr>
        <w:t>按照公开、公平和竞争的原则，采购人可以书面提出转竞争性谈判方式采购，经批准后，按批准后的采购方式继续开标。</w:t>
      </w:r>
    </w:p>
    <w:p w14:paraId="1F63B1E8">
      <w:pPr>
        <w:autoSpaceDE w:val="0"/>
        <w:autoSpaceDN w:val="0"/>
        <w:adjustRightInd w:val="0"/>
        <w:spacing w:line="360" w:lineRule="auto"/>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.4.3.4唱标结束后，如果没有超过采购预算的投标人只有一家时，</w:t>
      </w:r>
      <w:r>
        <w:rPr>
          <w:rFonts w:hint="eastAsia" w:ascii="仿宋" w:hAnsi="仿宋" w:eastAsia="仿宋" w:cs="仿宋"/>
          <w:color w:val="auto"/>
          <w:sz w:val="24"/>
          <w:szCs w:val="24"/>
          <w:highlight w:val="none"/>
        </w:rPr>
        <w:t>且是第一次开标，采购人应中止谈判，重新组织采购；如果是第二次开标，采购人和投标商既没有过不良行为记录，也不存在明显或恶意的投标倾向性行为，由评标委员会对其递交的投标文件和招标文件做出实质性响应进行审查确认后，采购人可以书面申请</w:t>
      </w:r>
      <w:r>
        <w:rPr>
          <w:rFonts w:hint="eastAsia" w:ascii="仿宋" w:hAnsi="仿宋" w:eastAsia="仿宋" w:cs="仿宋"/>
          <w:bCs/>
          <w:color w:val="auto"/>
          <w:sz w:val="24"/>
          <w:szCs w:val="24"/>
          <w:highlight w:val="none"/>
        </w:rPr>
        <w:t>单一来源方式</w:t>
      </w:r>
      <w:r>
        <w:rPr>
          <w:rFonts w:hint="eastAsia" w:ascii="仿宋" w:hAnsi="仿宋" w:eastAsia="仿宋" w:cs="仿宋"/>
          <w:color w:val="auto"/>
          <w:sz w:val="24"/>
          <w:szCs w:val="24"/>
          <w:highlight w:val="none"/>
        </w:rPr>
        <w:t>采购，经批准同意后，按批准后的采购方式依法按程序组织采购。反之，则应直接作废标处理，并依法重新组织采购。</w:t>
      </w:r>
    </w:p>
    <w:p w14:paraId="321D5060">
      <w:pPr>
        <w:autoSpaceDE w:val="0"/>
        <w:autoSpaceDN w:val="0"/>
        <w:adjustRightInd w:val="0"/>
        <w:spacing w:line="360" w:lineRule="auto"/>
        <w:ind w:firstLine="480"/>
        <w:outlineLvl w:val="9"/>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rPr>
        <w:t xml:space="preserve">23.5 </w:t>
      </w:r>
      <w:r>
        <w:rPr>
          <w:rFonts w:hint="eastAsia" w:ascii="仿宋" w:hAnsi="仿宋" w:eastAsia="仿宋" w:cs="仿宋"/>
          <w:b/>
          <w:bCs/>
          <w:color w:val="auto"/>
          <w:sz w:val="24"/>
          <w:highlight w:val="none"/>
          <w:lang w:val="zh-CN"/>
        </w:rPr>
        <w:t>评标程序</w:t>
      </w:r>
    </w:p>
    <w:p w14:paraId="193AF7BA">
      <w:pPr>
        <w:autoSpaceDE w:val="0"/>
        <w:autoSpaceDN w:val="0"/>
        <w:adjustRightIn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23.5.1 评标委员会及其成员应当遵循独立评标的原则，按照独立初审、单独（或集中）询标（答疑）、独立综合评审、独立推荐拟中标人、集体定标、出具评标报告的工作程序进行。</w:t>
      </w:r>
    </w:p>
    <w:p w14:paraId="23D43BEF">
      <w:pPr>
        <w:autoSpaceDE w:val="0"/>
        <w:autoSpaceDN w:val="0"/>
        <w:adjustRightInd w:val="0"/>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.5.2 投标人按采购人规定时间要求，向本次评标委员会进行投标方案的简要介绍。</w:t>
      </w:r>
    </w:p>
    <w:p w14:paraId="153A8661">
      <w:pPr>
        <w:autoSpaceDE w:val="0"/>
        <w:autoSpaceDN w:val="0"/>
        <w:adjustRightInd w:val="0"/>
        <w:spacing w:line="360" w:lineRule="auto"/>
        <w:ind w:firstLine="480"/>
        <w:outlineLvl w:val="9"/>
        <w:rPr>
          <w:rFonts w:hint="eastAsia" w:ascii="仿宋" w:hAnsi="仿宋" w:eastAsia="仿宋" w:cs="仿宋"/>
          <w:b/>
          <w:bCs/>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.5.3 评标委员会应单独（或集中）与资格资格审查合格的投标人分别进行技术和商务评审与比较。</w:t>
      </w:r>
    </w:p>
    <w:p w14:paraId="16B1E17F">
      <w:pPr>
        <w:spacing w:line="360" w:lineRule="auto"/>
        <w:ind w:firstLine="480" w:firstLineChars="200"/>
        <w:outlineLvl w:val="9"/>
        <w:rPr>
          <w:rFonts w:hint="eastAsia" w:ascii="仿宋" w:hAnsi="仿宋" w:eastAsia="仿宋" w:cs="仿宋"/>
          <w:color w:val="auto"/>
          <w:sz w:val="24"/>
          <w:highlight w:val="none"/>
          <w:lang w:val="zh-CN"/>
        </w:rPr>
      </w:pPr>
      <w:r>
        <w:rPr>
          <w:rFonts w:hint="eastAsia" w:ascii="仿宋" w:hAnsi="仿宋" w:eastAsia="仿宋" w:cs="仿宋"/>
          <w:bCs/>
          <w:color w:val="auto"/>
          <w:sz w:val="24"/>
          <w:highlight w:val="none"/>
        </w:rPr>
        <w:t>23.5.4 按照采购人规定程序，评标当事双方应本着“实事求是、公正诚信”的原则，要以</w:t>
      </w:r>
      <w:r>
        <w:rPr>
          <w:rFonts w:hint="eastAsia" w:ascii="仿宋" w:hAnsi="仿宋" w:eastAsia="仿宋" w:cs="仿宋"/>
          <w:color w:val="auto"/>
          <w:sz w:val="24"/>
          <w:szCs w:val="24"/>
          <w:highlight w:val="none"/>
        </w:rPr>
        <w:t>采购代理机构</w:t>
      </w:r>
      <w:r>
        <w:rPr>
          <w:rFonts w:hint="eastAsia" w:ascii="仿宋" w:hAnsi="仿宋" w:eastAsia="仿宋" w:cs="仿宋"/>
          <w:bCs/>
          <w:color w:val="auto"/>
          <w:sz w:val="24"/>
          <w:highlight w:val="none"/>
        </w:rPr>
        <w:t>的招标文件为评标的唯一依据，不允许做招标文件以外无关问题讨论；评标委员会成员可以采取单独（或集中）的方式与投标人分别逐一进行评标、询标（</w:t>
      </w:r>
      <w:r>
        <w:rPr>
          <w:rFonts w:hint="eastAsia" w:ascii="仿宋" w:hAnsi="仿宋" w:eastAsia="仿宋" w:cs="仿宋"/>
          <w:color w:val="auto"/>
          <w:sz w:val="24"/>
          <w:highlight w:val="none"/>
          <w:lang w:val="zh-CN"/>
        </w:rPr>
        <w:t>答疑）、澄清。</w:t>
      </w:r>
    </w:p>
    <w:p w14:paraId="5391E56B">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b/>
          <w:bCs/>
          <w:color w:val="auto"/>
          <w:sz w:val="24"/>
          <w:highlight w:val="none"/>
        </w:rPr>
        <w:t>23.5.5 询标（答疑）、</w:t>
      </w:r>
      <w:r>
        <w:rPr>
          <w:rFonts w:hint="eastAsia" w:ascii="仿宋" w:hAnsi="仿宋" w:eastAsia="仿宋" w:cs="仿宋"/>
          <w:b/>
          <w:bCs/>
          <w:color w:val="auto"/>
          <w:sz w:val="24"/>
          <w:highlight w:val="none"/>
          <w:lang w:val="zh-CN"/>
        </w:rPr>
        <w:t>澄清</w:t>
      </w:r>
    </w:p>
    <w:p w14:paraId="1ABB4E8F">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23.5.5.1在评标过程中，</w:t>
      </w:r>
      <w:r>
        <w:rPr>
          <w:rFonts w:hint="eastAsia" w:ascii="仿宋" w:hAnsi="仿宋" w:eastAsia="仿宋" w:cs="仿宋"/>
          <w:color w:val="auto"/>
          <w:sz w:val="24"/>
          <w:highlight w:val="none"/>
          <w:lang w:val="zh-CN"/>
        </w:rPr>
        <w:t>评标委员会</w:t>
      </w:r>
      <w:r>
        <w:rPr>
          <w:rFonts w:hint="eastAsia" w:ascii="仿宋" w:hAnsi="仿宋" w:eastAsia="仿宋" w:cs="仿宋"/>
          <w:bCs/>
          <w:color w:val="auto"/>
          <w:sz w:val="24"/>
          <w:highlight w:val="none"/>
        </w:rPr>
        <w:t>各成员如对投标文件中含义不明确、同类问题表述不一致或者有明显文字和计算错误的内容，需要投标人进行必要澄清、说明或者纠正，</w:t>
      </w:r>
      <w:r>
        <w:rPr>
          <w:rFonts w:hint="eastAsia" w:ascii="仿宋" w:hAnsi="仿宋" w:eastAsia="仿宋" w:cs="仿宋"/>
          <w:color w:val="auto"/>
          <w:sz w:val="24"/>
          <w:highlight w:val="none"/>
          <w:lang w:val="zh-CN"/>
        </w:rPr>
        <w:t>应以书面形式要求投标人在</w:t>
      </w:r>
      <w:r>
        <w:rPr>
          <w:rFonts w:hint="eastAsia" w:ascii="仿宋" w:hAnsi="仿宋" w:eastAsia="仿宋" w:cs="仿宋"/>
          <w:color w:val="auto"/>
          <w:sz w:val="24"/>
          <w:szCs w:val="24"/>
          <w:highlight w:val="none"/>
        </w:rPr>
        <w:t>采购代理机构</w:t>
      </w:r>
      <w:r>
        <w:rPr>
          <w:rFonts w:hint="eastAsia" w:ascii="仿宋" w:hAnsi="仿宋" w:eastAsia="仿宋" w:cs="仿宋"/>
          <w:color w:val="auto"/>
          <w:sz w:val="24"/>
          <w:highlight w:val="none"/>
          <w:lang w:val="zh-CN"/>
        </w:rPr>
        <w:t>规定的时间内作出必要的澄清、说明或者补正，</w:t>
      </w:r>
      <w:r>
        <w:rPr>
          <w:rFonts w:hint="eastAsia" w:ascii="仿宋" w:hAnsi="仿宋" w:eastAsia="仿宋" w:cs="仿宋"/>
          <w:bCs/>
          <w:color w:val="auto"/>
          <w:sz w:val="24"/>
          <w:highlight w:val="none"/>
        </w:rPr>
        <w:t>和分别单独</w:t>
      </w:r>
      <w:r>
        <w:rPr>
          <w:rFonts w:hint="eastAsia" w:ascii="仿宋" w:hAnsi="仿宋" w:eastAsia="仿宋" w:cs="仿宋"/>
          <w:color w:val="auto"/>
          <w:sz w:val="24"/>
          <w:highlight w:val="none"/>
          <w:lang w:val="zh-CN"/>
        </w:rPr>
        <w:t>（或集中）</w:t>
      </w:r>
      <w:r>
        <w:rPr>
          <w:rFonts w:hint="eastAsia" w:ascii="仿宋" w:hAnsi="仿宋" w:eastAsia="仿宋" w:cs="仿宋"/>
          <w:bCs/>
          <w:color w:val="auto"/>
          <w:sz w:val="24"/>
          <w:highlight w:val="none"/>
        </w:rPr>
        <w:t>进行询标（答疑）。</w:t>
      </w:r>
    </w:p>
    <w:p w14:paraId="37D1E479">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highlight w:val="none"/>
        </w:rPr>
        <w:t xml:space="preserve">23.5.5.2 </w:t>
      </w:r>
      <w:r>
        <w:rPr>
          <w:rFonts w:hint="eastAsia" w:ascii="仿宋" w:hAnsi="仿宋" w:eastAsia="仿宋" w:cs="仿宋"/>
          <w:bCs/>
          <w:color w:val="auto"/>
          <w:sz w:val="24"/>
          <w:szCs w:val="24"/>
          <w:highlight w:val="none"/>
        </w:rPr>
        <w:t>为有助于对投标文件进行审查、评估和比较，评标委员会及其成员将对认为需要投标人进行询标（答疑）、澄清等时，投标方有责任按照采购人通知的时间进行询标（答疑）和澄清。询标（答疑）和澄清时，投标方代表须做出书面答复并在规定时间内上传澄清文件。</w:t>
      </w:r>
    </w:p>
    <w:p w14:paraId="46CF59E5">
      <w:pPr>
        <w:autoSpaceDE w:val="0"/>
        <w:autoSpaceDN w:val="0"/>
        <w:adjustRightInd w:val="0"/>
        <w:spacing w:line="360" w:lineRule="auto"/>
        <w:ind w:firstLine="480"/>
        <w:outlineLvl w:val="9"/>
        <w:rPr>
          <w:rFonts w:hint="eastAsia" w:ascii="仿宋" w:hAnsi="仿宋" w:eastAsia="仿宋" w:cs="仿宋"/>
          <w:b/>
          <w:bCs/>
          <w:color w:val="auto"/>
          <w:sz w:val="32"/>
          <w:szCs w:val="32"/>
          <w:highlight w:val="none"/>
          <w:lang w:val="zh-CN"/>
        </w:rPr>
      </w:pPr>
      <w:r>
        <w:rPr>
          <w:rFonts w:hint="eastAsia" w:ascii="仿宋" w:hAnsi="仿宋" w:eastAsia="仿宋" w:cs="仿宋"/>
          <w:bCs/>
          <w:color w:val="auto"/>
          <w:sz w:val="24"/>
          <w:highlight w:val="none"/>
        </w:rPr>
        <w:t>23.5.5.3</w:t>
      </w:r>
      <w:r>
        <w:rPr>
          <w:rFonts w:hint="eastAsia" w:ascii="仿宋" w:hAnsi="仿宋" w:eastAsia="仿宋" w:cs="仿宋"/>
          <w:color w:val="auto"/>
          <w:sz w:val="24"/>
          <w:highlight w:val="none"/>
          <w:lang w:val="zh-CN"/>
        </w:rPr>
        <w:t xml:space="preserve"> 评标委员会在初步评审的基础上，单独（或集体）讨论、分析、综合各种因素后，可决定是否与各投标人再次进行询标（答疑）。</w:t>
      </w:r>
    </w:p>
    <w:p w14:paraId="68ECA175">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23.5.5.4 </w:t>
      </w:r>
      <w:r>
        <w:rPr>
          <w:rFonts w:hint="eastAsia" w:ascii="仿宋" w:hAnsi="仿宋" w:eastAsia="仿宋" w:cs="仿宋"/>
          <w:color w:val="auto"/>
          <w:sz w:val="24"/>
          <w:szCs w:val="24"/>
          <w:highlight w:val="none"/>
        </w:rPr>
        <w:t>采购代理机构</w:t>
      </w:r>
      <w:r>
        <w:rPr>
          <w:rFonts w:hint="eastAsia" w:ascii="仿宋" w:hAnsi="仿宋" w:eastAsia="仿宋" w:cs="仿宋"/>
          <w:bCs/>
          <w:color w:val="auto"/>
          <w:sz w:val="24"/>
          <w:highlight w:val="none"/>
        </w:rPr>
        <w:t>要对投标人的澄清、说明或者补正，</w:t>
      </w:r>
      <w:r>
        <w:rPr>
          <w:rFonts w:hint="eastAsia" w:ascii="仿宋" w:hAnsi="仿宋" w:eastAsia="仿宋" w:cs="仿宋"/>
          <w:color w:val="auto"/>
          <w:sz w:val="24"/>
          <w:highlight w:val="none"/>
          <w:lang w:val="zh-CN"/>
        </w:rPr>
        <w:t>采用书面形式，</w:t>
      </w:r>
      <w:r>
        <w:rPr>
          <w:rFonts w:hint="eastAsia" w:ascii="仿宋" w:hAnsi="仿宋" w:eastAsia="仿宋" w:cs="仿宋"/>
          <w:bCs/>
          <w:color w:val="auto"/>
          <w:sz w:val="24"/>
          <w:highlight w:val="none"/>
        </w:rPr>
        <w:t>由</w:t>
      </w:r>
      <w:r>
        <w:rPr>
          <w:rFonts w:hint="eastAsia" w:ascii="仿宋" w:hAnsi="仿宋" w:eastAsia="仿宋" w:cs="仿宋"/>
          <w:color w:val="auto"/>
          <w:sz w:val="24"/>
          <w:szCs w:val="24"/>
          <w:highlight w:val="none"/>
        </w:rPr>
        <w:t>采购代理机构</w:t>
      </w:r>
      <w:r>
        <w:rPr>
          <w:rFonts w:hint="eastAsia" w:ascii="仿宋" w:hAnsi="仿宋" w:eastAsia="仿宋" w:cs="仿宋"/>
          <w:bCs/>
          <w:color w:val="auto"/>
          <w:sz w:val="24"/>
          <w:highlight w:val="none"/>
        </w:rPr>
        <w:t>做好书面记录，并由其</w:t>
      </w:r>
      <w:r>
        <w:rPr>
          <w:rFonts w:hint="eastAsia" w:ascii="仿宋" w:hAnsi="仿宋" w:eastAsia="仿宋" w:cs="仿宋"/>
          <w:color w:val="auto"/>
          <w:sz w:val="24"/>
          <w:highlight w:val="none"/>
          <w:lang w:val="zh-CN"/>
        </w:rPr>
        <w:t>法定代表人或</w:t>
      </w:r>
      <w:r>
        <w:rPr>
          <w:rFonts w:hint="eastAsia" w:ascii="仿宋" w:hAnsi="仿宋" w:eastAsia="仿宋" w:cs="仿宋"/>
          <w:bCs/>
          <w:color w:val="auto"/>
          <w:sz w:val="24"/>
          <w:highlight w:val="none"/>
        </w:rPr>
        <w:t>授权的代表签字</w:t>
      </w:r>
      <w:r>
        <w:rPr>
          <w:rFonts w:hint="eastAsia" w:ascii="仿宋" w:hAnsi="仿宋" w:eastAsia="仿宋" w:cs="仿宋"/>
          <w:bCs/>
          <w:color w:val="auto"/>
          <w:sz w:val="24"/>
          <w:szCs w:val="24"/>
          <w:highlight w:val="none"/>
        </w:rPr>
        <w:t>或加盖单位公章</w:t>
      </w:r>
      <w:r>
        <w:rPr>
          <w:rFonts w:hint="eastAsia" w:ascii="仿宋" w:hAnsi="仿宋" w:eastAsia="仿宋" w:cs="仿宋"/>
          <w:bCs/>
          <w:color w:val="auto"/>
          <w:sz w:val="24"/>
          <w:highlight w:val="none"/>
        </w:rPr>
        <w:t>，其澄清、说明或者补正不得超出投标报价文件的范围或者改变其实质性内容，</w:t>
      </w:r>
      <w:r>
        <w:rPr>
          <w:rFonts w:hint="eastAsia" w:ascii="仿宋" w:hAnsi="仿宋" w:eastAsia="仿宋" w:cs="仿宋"/>
          <w:bCs/>
          <w:color w:val="auto"/>
          <w:sz w:val="24"/>
          <w:szCs w:val="24"/>
          <w:highlight w:val="none"/>
        </w:rPr>
        <w:t>并作为投标文件的组成部分。</w:t>
      </w:r>
    </w:p>
    <w:p w14:paraId="6D01D623">
      <w:pPr>
        <w:autoSpaceDE w:val="0"/>
        <w:autoSpaceDN w:val="0"/>
        <w:adjustRightInd w:val="0"/>
        <w:spacing w:line="360" w:lineRule="auto"/>
        <w:ind w:firstLine="480"/>
        <w:outlineLvl w:val="9"/>
        <w:rPr>
          <w:rFonts w:hint="eastAsia" w:ascii="仿宋" w:hAnsi="仿宋" w:eastAsia="仿宋" w:cs="仿宋"/>
          <w:b/>
          <w:bCs/>
          <w:color w:val="auto"/>
          <w:sz w:val="32"/>
          <w:szCs w:val="32"/>
          <w:highlight w:val="none"/>
          <w:lang w:val="zh-CN"/>
        </w:rPr>
      </w:pPr>
      <w:r>
        <w:rPr>
          <w:rFonts w:hint="eastAsia" w:ascii="仿宋" w:hAnsi="仿宋" w:eastAsia="仿宋" w:cs="仿宋"/>
          <w:bCs/>
          <w:color w:val="auto"/>
          <w:sz w:val="24"/>
          <w:highlight w:val="none"/>
        </w:rPr>
        <w:t>23.5.5.5</w:t>
      </w:r>
      <w:r>
        <w:rPr>
          <w:rFonts w:hint="eastAsia" w:ascii="仿宋" w:hAnsi="仿宋" w:eastAsia="仿宋" w:cs="仿宋"/>
          <w:color w:val="auto"/>
          <w:sz w:val="24"/>
          <w:highlight w:val="none"/>
          <w:lang w:val="zh-CN"/>
        </w:rPr>
        <w:t xml:space="preserve"> 投标人拒不进行澄清、说明或者补正的，或者不能在</w:t>
      </w:r>
      <w:r>
        <w:rPr>
          <w:rFonts w:hint="eastAsia" w:ascii="仿宋" w:hAnsi="仿宋" w:eastAsia="仿宋" w:cs="仿宋"/>
          <w:color w:val="auto"/>
          <w:sz w:val="24"/>
          <w:szCs w:val="24"/>
          <w:highlight w:val="none"/>
        </w:rPr>
        <w:t>采购代理机构</w:t>
      </w:r>
      <w:r>
        <w:rPr>
          <w:rFonts w:hint="eastAsia" w:ascii="仿宋" w:hAnsi="仿宋" w:eastAsia="仿宋" w:cs="仿宋"/>
          <w:color w:val="auto"/>
          <w:sz w:val="24"/>
          <w:highlight w:val="none"/>
          <w:lang w:val="zh-CN"/>
        </w:rPr>
        <w:t>规定时间内做出书面澄清、说明或者补正的，评标委员会将取消其继续参加评标的资格。</w:t>
      </w:r>
    </w:p>
    <w:p w14:paraId="2CEB5A5B">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bCs/>
          <w:color w:val="auto"/>
          <w:sz w:val="24"/>
          <w:highlight w:val="none"/>
        </w:rPr>
        <w:t>23.5.5.6</w:t>
      </w:r>
      <w:r>
        <w:rPr>
          <w:rFonts w:hint="eastAsia" w:ascii="仿宋" w:hAnsi="仿宋" w:eastAsia="仿宋" w:cs="仿宋"/>
          <w:color w:val="auto"/>
          <w:sz w:val="24"/>
          <w:highlight w:val="none"/>
          <w:lang w:val="zh-CN"/>
        </w:rPr>
        <w:t xml:space="preserve"> 参加投标的投标人应当对评标（审）的承诺和最终报价以书面形式确认，并由其法定代表人或其授权人签署或加盖公章。</w:t>
      </w:r>
    </w:p>
    <w:p w14:paraId="0152773F">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zh-CN"/>
        </w:rPr>
        <w:t>.5.6 符合性审查</w:t>
      </w:r>
    </w:p>
    <w:p w14:paraId="531513DA">
      <w:pPr>
        <w:autoSpaceDE w:val="0"/>
        <w:autoSpaceDN w:val="0"/>
        <w:adjustRightInd w:val="0"/>
        <w:spacing w:line="360" w:lineRule="auto"/>
        <w:ind w:firstLine="480"/>
        <w:outlineLvl w:val="9"/>
        <w:rPr>
          <w:rFonts w:hint="eastAsia" w:ascii="仿宋" w:hAnsi="仿宋" w:eastAsia="仿宋" w:cs="仿宋"/>
          <w:b/>
          <w:color w:val="auto"/>
          <w:sz w:val="24"/>
          <w:highlight w:val="none"/>
          <w:lang w:val="zh-CN"/>
        </w:rPr>
      </w:pPr>
      <w:r>
        <w:rPr>
          <w:rFonts w:hint="eastAsia" w:ascii="仿宋" w:hAnsi="仿宋" w:eastAsia="仿宋" w:cs="仿宋"/>
          <w:bCs/>
          <w:color w:val="auto"/>
          <w:sz w:val="24"/>
          <w:highlight w:val="none"/>
        </w:rPr>
        <w:t>23.5.6.1 评标委员会</w:t>
      </w:r>
      <w:r>
        <w:rPr>
          <w:rFonts w:hint="eastAsia" w:ascii="仿宋" w:hAnsi="仿宋" w:eastAsia="仿宋" w:cs="仿宋"/>
          <w:color w:val="auto"/>
          <w:sz w:val="24"/>
          <w:highlight w:val="none"/>
          <w:lang w:val="zh-CN"/>
        </w:rPr>
        <w:t>应依据招标文件的规定，对投标人的报价文件的有效性、完整性和对招标文件的响应程度进行审查，以确定是否对招标文件的要求做出实质性响应，对招标文件的要求未做出实质性响应的投标人，不得进入具体评标程序。</w:t>
      </w:r>
    </w:p>
    <w:p w14:paraId="30C29410">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highlight w:val="none"/>
        </w:rPr>
        <w:t>23.5.6.2 评标委员会</w:t>
      </w:r>
      <w:r>
        <w:rPr>
          <w:rFonts w:hint="eastAsia" w:ascii="仿宋" w:hAnsi="仿宋" w:eastAsia="仿宋" w:cs="仿宋"/>
          <w:bCs/>
          <w:color w:val="auto"/>
          <w:sz w:val="24"/>
          <w:szCs w:val="24"/>
          <w:highlight w:val="none"/>
        </w:rPr>
        <w:t>应当根据招标文件，审查并逐项列出每一个投标文件的全部投标偏差。投标偏差分为重大偏差和细微偏差。</w:t>
      </w:r>
    </w:p>
    <w:p w14:paraId="0AF5F8A0">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细微偏差是指投标实质上响应了招标文件要求，但在个别地方存在漏项或者提供了不完整的技术信息和数据等情况，并且补正这些遗漏或不完整不会对其他投标人造成不公平的结果。细微偏差不影响投标文件的有效性。</w:t>
      </w:r>
    </w:p>
    <w:p w14:paraId="07788EC5">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2、应当要求存在细小偏差的投标人在评标结束前以书面形式予以补正。拒绝补正的，在综合评审时可以对细微偏差作不利于该投标人的量化。</w:t>
      </w:r>
    </w:p>
    <w:p w14:paraId="3BE07FC9">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highlight w:val="none"/>
        </w:rPr>
        <w:t>3、</w:t>
      </w:r>
      <w:r>
        <w:rPr>
          <w:rFonts w:hint="eastAsia" w:ascii="仿宋" w:hAnsi="仿宋" w:eastAsia="仿宋" w:cs="仿宋"/>
          <w:bCs/>
          <w:color w:val="auto"/>
          <w:sz w:val="24"/>
          <w:szCs w:val="24"/>
          <w:highlight w:val="none"/>
        </w:rPr>
        <w:t>重大偏离或保留系指影响到招标文件规定的服务范围和质量，或限制了采购人的权力和义务的规定，而纠正这些偏离将影响到其他提交实质性响应的投标方的公平竞争地位。主要表现有投标文件没有按照招标文件要求提供投标保证金的，投标文件没有投标人授权代表签字和加盖公章的，投标文件中附有采购人不能接受的条件的，和不符合招标文件中规定的其他实质性要求的等。</w:t>
      </w:r>
    </w:p>
    <w:p w14:paraId="0465224B">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highlight w:val="none"/>
        </w:rPr>
        <w:t>4、发现有重大偏差时，评标委员会及其成员应按招标文件中的规定，可以取消其投标的权利。</w:t>
      </w:r>
    </w:p>
    <w:p w14:paraId="4D1B0015">
      <w:pPr>
        <w:spacing w:line="360" w:lineRule="auto"/>
        <w:ind w:firstLine="480" w:firstLineChars="200"/>
        <w:outlineLvl w:val="9"/>
        <w:rPr>
          <w:rFonts w:hint="eastAsia" w:ascii="仿宋" w:hAnsi="仿宋" w:eastAsia="仿宋" w:cs="仿宋"/>
          <w:b/>
          <w:color w:val="auto"/>
          <w:sz w:val="24"/>
          <w:highlight w:val="none"/>
          <w:lang w:val="zh-CN"/>
        </w:rPr>
      </w:pPr>
      <w:r>
        <w:rPr>
          <w:rFonts w:hint="eastAsia" w:ascii="仿宋" w:hAnsi="仿宋" w:eastAsia="仿宋" w:cs="仿宋"/>
          <w:bCs/>
          <w:color w:val="auto"/>
          <w:sz w:val="24"/>
          <w:highlight w:val="none"/>
        </w:rPr>
        <w:t xml:space="preserve">23.5.6.3 </w:t>
      </w:r>
      <w:r>
        <w:rPr>
          <w:rFonts w:hint="eastAsia" w:ascii="仿宋" w:hAnsi="仿宋" w:eastAsia="仿宋" w:cs="仿宋"/>
          <w:bCs/>
          <w:color w:val="auto"/>
          <w:sz w:val="24"/>
          <w:highlight w:val="none"/>
          <w:lang w:val="zh-CN"/>
        </w:rPr>
        <w:t>进行符合性审查时，评标委员会</w:t>
      </w:r>
      <w:r>
        <w:rPr>
          <w:rFonts w:hint="eastAsia" w:ascii="仿宋" w:hAnsi="仿宋" w:eastAsia="仿宋" w:cs="仿宋"/>
          <w:bCs/>
          <w:color w:val="auto"/>
          <w:sz w:val="24"/>
          <w:szCs w:val="24"/>
          <w:highlight w:val="none"/>
        </w:rPr>
        <w:t>应当审查每一个投标文件是否对招标文件提出的所有实质性要求和条件作出响应。未能实质上响应的，视情况按照招标文件的规定，应不得进入综合评审程序。</w:t>
      </w:r>
      <w:r>
        <w:rPr>
          <w:rFonts w:hint="eastAsia" w:ascii="仿宋" w:hAnsi="仿宋" w:eastAsia="仿宋" w:cs="仿宋"/>
          <w:bCs/>
          <w:color w:val="auto"/>
          <w:sz w:val="24"/>
          <w:highlight w:val="none"/>
        </w:rPr>
        <w:t>主要情况详见符合性审查一览表。</w:t>
      </w:r>
    </w:p>
    <w:p w14:paraId="74F7E9A5">
      <w:pPr>
        <w:adjustRightInd w:val="0"/>
        <w:snapToGrid w:val="0"/>
        <w:spacing w:line="360" w:lineRule="auto"/>
        <w:ind w:firstLine="482" w:firstLineChars="200"/>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23.5.6.4有下列情形之一的，视为投标人串通投标，其投标无效,并对投标人依照《政府采购法》第七十七条的规定追究法律责任：</w:t>
      </w:r>
    </w:p>
    <w:p w14:paraId="39B424DE">
      <w:pPr>
        <w:adjustRightInd w:val="0"/>
        <w:snapToGrid w:val="0"/>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1、不同投标人的投标文件由同一单位或者个人编制；</w:t>
      </w:r>
    </w:p>
    <w:p w14:paraId="2FA8C71E">
      <w:pPr>
        <w:adjustRightInd w:val="0"/>
        <w:snapToGrid w:val="0"/>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2、不同投标人委托同一单位或者个人办理投标事宜；</w:t>
      </w:r>
    </w:p>
    <w:p w14:paraId="54C0533A">
      <w:pPr>
        <w:adjustRightInd w:val="0"/>
        <w:snapToGrid w:val="0"/>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3、不同投标人的投标文件载明的项目管理成员或者联系人员为同一人；</w:t>
      </w:r>
    </w:p>
    <w:p w14:paraId="7ABFA8C0">
      <w:pPr>
        <w:adjustRightInd w:val="0"/>
        <w:snapToGrid w:val="0"/>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4、不同投标人的投标文件异常一致或者投标报价呈规律性差异；</w:t>
      </w:r>
    </w:p>
    <w:p w14:paraId="4EF793D8">
      <w:pPr>
        <w:adjustRightInd w:val="0"/>
        <w:snapToGrid w:val="0"/>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5、不同投标人的投标文件相互混装；</w:t>
      </w:r>
    </w:p>
    <w:p w14:paraId="4007F5BE">
      <w:pPr>
        <w:adjustRightInd w:val="0"/>
        <w:snapToGrid w:val="0"/>
        <w:spacing w:line="360" w:lineRule="auto"/>
        <w:ind w:firstLine="480" w:firstLineChars="200"/>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6、不同投标人的投标保证金从同一单位或者个人的账户转出。</w:t>
      </w:r>
    </w:p>
    <w:p w14:paraId="58A38058">
      <w:pPr>
        <w:pStyle w:val="8"/>
        <w:jc w:val="center"/>
        <w:outlineLvl w:val="9"/>
        <w:rPr>
          <w:rFonts w:hint="eastAsia" w:ascii="仿宋" w:hAnsi="仿宋" w:eastAsia="仿宋" w:cs="仿宋"/>
          <w:b/>
          <w:bCs/>
          <w:color w:val="auto"/>
          <w:sz w:val="28"/>
          <w:szCs w:val="28"/>
          <w:highlight w:val="none"/>
        </w:rPr>
      </w:pPr>
    </w:p>
    <w:p w14:paraId="4864CAF7">
      <w:pPr>
        <w:pStyle w:val="8"/>
        <w:jc w:val="center"/>
        <w:outlineLvl w:val="9"/>
        <w:rPr>
          <w:rFonts w:hint="eastAsia" w:ascii="仿宋" w:hAnsi="仿宋" w:eastAsia="仿宋" w:cs="仿宋"/>
          <w:b/>
          <w:bCs/>
          <w:color w:val="auto"/>
          <w:sz w:val="28"/>
          <w:szCs w:val="28"/>
          <w:highlight w:val="none"/>
        </w:rPr>
      </w:pPr>
    </w:p>
    <w:p w14:paraId="3D305CB1">
      <w:pPr>
        <w:pStyle w:val="8"/>
        <w:jc w:val="center"/>
        <w:outlineLvl w:val="9"/>
        <w:rPr>
          <w:rFonts w:hint="eastAsia" w:ascii="仿宋" w:hAnsi="仿宋" w:eastAsia="仿宋" w:cs="仿宋"/>
          <w:b/>
          <w:bCs/>
          <w:color w:val="auto"/>
          <w:sz w:val="28"/>
          <w:szCs w:val="28"/>
          <w:highlight w:val="none"/>
        </w:rPr>
      </w:pPr>
    </w:p>
    <w:p w14:paraId="68FC2A49">
      <w:pPr>
        <w:pStyle w:val="8"/>
        <w:jc w:val="center"/>
        <w:outlineLvl w:val="9"/>
        <w:rPr>
          <w:rFonts w:hint="eastAsia" w:ascii="仿宋" w:hAnsi="仿宋" w:eastAsia="仿宋" w:cs="仿宋"/>
          <w:b/>
          <w:bCs/>
          <w:color w:val="auto"/>
          <w:sz w:val="28"/>
          <w:szCs w:val="28"/>
          <w:highlight w:val="none"/>
        </w:rPr>
      </w:pPr>
    </w:p>
    <w:p w14:paraId="716CE6E7">
      <w:pPr>
        <w:pStyle w:val="8"/>
        <w:jc w:val="center"/>
        <w:outlineLvl w:val="9"/>
        <w:rPr>
          <w:rFonts w:hint="eastAsia" w:ascii="仿宋" w:hAnsi="仿宋" w:eastAsia="仿宋" w:cs="仿宋"/>
          <w:b/>
          <w:bCs/>
          <w:color w:val="auto"/>
          <w:sz w:val="28"/>
          <w:szCs w:val="28"/>
          <w:highlight w:val="none"/>
        </w:rPr>
      </w:pPr>
    </w:p>
    <w:p w14:paraId="6585DC02">
      <w:pPr>
        <w:pStyle w:val="8"/>
        <w:jc w:val="center"/>
        <w:outlineLvl w:val="9"/>
        <w:rPr>
          <w:rFonts w:hint="eastAsia" w:ascii="仿宋" w:hAnsi="仿宋" w:eastAsia="仿宋" w:cs="仿宋"/>
          <w:b/>
          <w:bCs/>
          <w:color w:val="auto"/>
          <w:sz w:val="28"/>
          <w:szCs w:val="28"/>
          <w:highlight w:val="none"/>
        </w:rPr>
      </w:pPr>
    </w:p>
    <w:p w14:paraId="46C945B7">
      <w:pPr>
        <w:pStyle w:val="8"/>
        <w:jc w:val="center"/>
        <w:outlineLvl w:val="9"/>
        <w:rPr>
          <w:rFonts w:hint="eastAsia" w:ascii="仿宋" w:hAnsi="仿宋" w:eastAsia="仿宋" w:cs="仿宋"/>
          <w:b/>
          <w:bCs/>
          <w:color w:val="auto"/>
          <w:sz w:val="28"/>
          <w:szCs w:val="28"/>
          <w:highlight w:val="none"/>
        </w:rPr>
      </w:pPr>
    </w:p>
    <w:p w14:paraId="73628A9C">
      <w:pPr>
        <w:pStyle w:val="8"/>
        <w:jc w:val="center"/>
        <w:outlineLvl w:val="9"/>
        <w:rPr>
          <w:rFonts w:hint="eastAsia" w:ascii="仿宋" w:hAnsi="仿宋" w:eastAsia="仿宋" w:cs="仿宋"/>
          <w:b/>
          <w:bCs/>
          <w:color w:val="auto"/>
          <w:sz w:val="28"/>
          <w:szCs w:val="28"/>
          <w:highlight w:val="none"/>
        </w:rPr>
      </w:pPr>
    </w:p>
    <w:p w14:paraId="5DAFEC20">
      <w:pPr>
        <w:pStyle w:val="8"/>
        <w:jc w:val="center"/>
        <w:outlineLvl w:val="9"/>
        <w:rPr>
          <w:rFonts w:hint="eastAsia" w:ascii="仿宋" w:hAnsi="仿宋" w:eastAsia="仿宋" w:cs="仿宋"/>
          <w:b/>
          <w:bCs/>
          <w:color w:val="auto"/>
          <w:sz w:val="28"/>
          <w:szCs w:val="28"/>
          <w:highlight w:val="none"/>
        </w:rPr>
      </w:pPr>
    </w:p>
    <w:p w14:paraId="5A4B47E3">
      <w:pPr>
        <w:pStyle w:val="8"/>
        <w:jc w:val="center"/>
        <w:outlineLvl w:val="9"/>
        <w:rPr>
          <w:rFonts w:hint="eastAsia" w:ascii="仿宋" w:hAnsi="仿宋" w:eastAsia="仿宋" w:cs="仿宋"/>
          <w:b/>
          <w:bCs/>
          <w:color w:val="auto"/>
          <w:sz w:val="28"/>
          <w:szCs w:val="28"/>
          <w:highlight w:val="none"/>
        </w:rPr>
      </w:pPr>
    </w:p>
    <w:p w14:paraId="166ED1F2">
      <w:pPr>
        <w:pStyle w:val="8"/>
        <w:jc w:val="center"/>
        <w:outlineLvl w:val="9"/>
        <w:rPr>
          <w:rFonts w:hint="eastAsia" w:ascii="仿宋" w:hAnsi="仿宋" w:eastAsia="仿宋" w:cs="仿宋"/>
          <w:b/>
          <w:bCs/>
          <w:color w:val="auto"/>
          <w:sz w:val="28"/>
          <w:szCs w:val="28"/>
          <w:highlight w:val="none"/>
        </w:rPr>
      </w:pPr>
    </w:p>
    <w:p w14:paraId="6AF48B83">
      <w:pPr>
        <w:pStyle w:val="9"/>
        <w:rPr>
          <w:rFonts w:hint="eastAsia" w:ascii="仿宋" w:hAnsi="仿宋" w:eastAsia="仿宋" w:cs="仿宋"/>
          <w:b/>
          <w:bCs/>
          <w:color w:val="auto"/>
          <w:sz w:val="28"/>
          <w:szCs w:val="28"/>
          <w:highlight w:val="none"/>
        </w:rPr>
      </w:pPr>
    </w:p>
    <w:p w14:paraId="3F09B097">
      <w:pPr>
        <w:pStyle w:val="9"/>
        <w:rPr>
          <w:rFonts w:hint="eastAsia" w:ascii="仿宋" w:hAnsi="仿宋" w:eastAsia="仿宋" w:cs="仿宋"/>
          <w:b/>
          <w:bCs/>
          <w:color w:val="auto"/>
          <w:sz w:val="28"/>
          <w:szCs w:val="28"/>
          <w:highlight w:val="none"/>
        </w:rPr>
      </w:pPr>
    </w:p>
    <w:p w14:paraId="5A4B2340">
      <w:pPr>
        <w:pStyle w:val="9"/>
        <w:rPr>
          <w:rFonts w:hint="eastAsia" w:ascii="仿宋" w:hAnsi="仿宋" w:eastAsia="仿宋" w:cs="仿宋"/>
          <w:b/>
          <w:bCs/>
          <w:color w:val="auto"/>
          <w:sz w:val="28"/>
          <w:szCs w:val="28"/>
          <w:highlight w:val="none"/>
        </w:rPr>
      </w:pPr>
    </w:p>
    <w:p w14:paraId="2D824C77">
      <w:pPr>
        <w:pStyle w:val="9"/>
        <w:rPr>
          <w:rFonts w:hint="eastAsia" w:ascii="仿宋" w:hAnsi="仿宋" w:eastAsia="仿宋" w:cs="仿宋"/>
          <w:b/>
          <w:bCs/>
          <w:color w:val="auto"/>
          <w:sz w:val="28"/>
          <w:szCs w:val="28"/>
          <w:highlight w:val="none"/>
        </w:rPr>
      </w:pPr>
    </w:p>
    <w:p w14:paraId="1FF09956">
      <w:pPr>
        <w:pStyle w:val="9"/>
        <w:rPr>
          <w:rFonts w:hint="eastAsia" w:ascii="仿宋" w:hAnsi="仿宋" w:eastAsia="仿宋" w:cs="仿宋"/>
          <w:b/>
          <w:bCs/>
          <w:color w:val="auto"/>
          <w:sz w:val="28"/>
          <w:szCs w:val="28"/>
          <w:highlight w:val="none"/>
        </w:rPr>
      </w:pPr>
    </w:p>
    <w:p w14:paraId="684486C2">
      <w:pPr>
        <w:pStyle w:val="9"/>
        <w:rPr>
          <w:rFonts w:hint="eastAsia" w:ascii="仿宋" w:hAnsi="仿宋" w:eastAsia="仿宋" w:cs="仿宋"/>
          <w:b/>
          <w:bCs/>
          <w:color w:val="auto"/>
          <w:sz w:val="28"/>
          <w:szCs w:val="28"/>
          <w:highlight w:val="none"/>
        </w:rPr>
      </w:pPr>
    </w:p>
    <w:p w14:paraId="6A20596D">
      <w:pPr>
        <w:pStyle w:val="9"/>
        <w:rPr>
          <w:rFonts w:hint="eastAsia" w:ascii="仿宋" w:hAnsi="仿宋" w:eastAsia="仿宋" w:cs="仿宋"/>
          <w:b/>
          <w:bCs/>
          <w:color w:val="auto"/>
          <w:sz w:val="28"/>
          <w:szCs w:val="28"/>
          <w:highlight w:val="none"/>
        </w:rPr>
      </w:pPr>
    </w:p>
    <w:p w14:paraId="39264848">
      <w:pPr>
        <w:pStyle w:val="9"/>
        <w:rPr>
          <w:rFonts w:hint="eastAsia" w:ascii="仿宋" w:hAnsi="仿宋" w:eastAsia="仿宋" w:cs="仿宋"/>
          <w:b/>
          <w:bCs/>
          <w:color w:val="auto"/>
          <w:sz w:val="28"/>
          <w:szCs w:val="28"/>
          <w:highlight w:val="none"/>
        </w:rPr>
      </w:pPr>
    </w:p>
    <w:p w14:paraId="0BCD80C5">
      <w:pPr>
        <w:pStyle w:val="8"/>
        <w:jc w:val="center"/>
        <w:outlineLvl w:val="9"/>
        <w:rPr>
          <w:rFonts w:hint="eastAsia" w:ascii="仿宋" w:hAnsi="仿宋" w:eastAsia="仿宋" w:cs="仿宋"/>
          <w:b/>
          <w:bCs/>
          <w:color w:val="auto"/>
          <w:sz w:val="28"/>
          <w:szCs w:val="28"/>
          <w:highlight w:val="none"/>
        </w:rPr>
      </w:pPr>
    </w:p>
    <w:p w14:paraId="53DABFD0">
      <w:pPr>
        <w:pStyle w:val="8"/>
        <w:jc w:val="center"/>
        <w:outlineLvl w:val="9"/>
        <w:rPr>
          <w:rFonts w:hint="eastAsia" w:ascii="仿宋" w:hAnsi="仿宋" w:eastAsia="仿宋" w:cs="仿宋"/>
          <w:b/>
          <w:bCs/>
          <w:color w:val="auto"/>
          <w:sz w:val="28"/>
          <w:szCs w:val="28"/>
          <w:highlight w:val="none"/>
        </w:rPr>
      </w:pPr>
    </w:p>
    <w:p w14:paraId="7FB06D90">
      <w:pPr>
        <w:pStyle w:val="8"/>
        <w:jc w:val="center"/>
        <w:outlineLvl w:val="9"/>
        <w:rPr>
          <w:rFonts w:hint="eastAsia" w:ascii="仿宋" w:hAnsi="仿宋" w:eastAsia="仿宋" w:cs="仿宋"/>
          <w:b/>
          <w:bCs/>
          <w:color w:val="auto"/>
          <w:sz w:val="28"/>
          <w:szCs w:val="28"/>
          <w:highlight w:val="none"/>
        </w:rPr>
      </w:pPr>
    </w:p>
    <w:p w14:paraId="4E75920E">
      <w:pPr>
        <w:pStyle w:val="8"/>
        <w:jc w:val="center"/>
        <w:outlineLvl w:val="9"/>
        <w:rPr>
          <w:rFonts w:hint="eastAsia" w:ascii="仿宋" w:hAnsi="仿宋" w:eastAsia="仿宋" w:cs="仿宋"/>
          <w:b/>
          <w:bCs/>
          <w:color w:val="auto"/>
          <w:sz w:val="28"/>
          <w:szCs w:val="28"/>
          <w:highlight w:val="none"/>
        </w:rPr>
      </w:pPr>
    </w:p>
    <w:p w14:paraId="16CC1B17">
      <w:pPr>
        <w:pStyle w:val="8"/>
        <w:jc w:val="center"/>
        <w:outlineLvl w:val="9"/>
        <w:rPr>
          <w:rFonts w:hint="eastAsia" w:ascii="仿宋" w:hAnsi="仿宋" w:eastAsia="仿宋" w:cs="仿宋"/>
          <w:b/>
          <w:bCs/>
          <w:color w:val="auto"/>
          <w:sz w:val="28"/>
          <w:szCs w:val="28"/>
          <w:highlight w:val="none"/>
        </w:rPr>
      </w:pPr>
    </w:p>
    <w:p w14:paraId="1B22DC55">
      <w:pPr>
        <w:pStyle w:val="8"/>
        <w:jc w:val="center"/>
        <w:outlineLvl w:val="2"/>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资格审查一览表</w:t>
      </w:r>
    </w:p>
    <w:tbl>
      <w:tblPr>
        <w:tblStyle w:val="25"/>
        <w:tblW w:w="8939"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54"/>
        <w:gridCol w:w="6702"/>
        <w:gridCol w:w="1483"/>
      </w:tblGrid>
      <w:tr w14:paraId="2FD8B07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8"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46D657D1">
            <w:pPr>
              <w:pStyle w:val="34"/>
              <w:spacing w:before="107"/>
              <w:ind w:left="82" w:right="68"/>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58886BF7">
            <w:pPr>
              <w:pStyle w:val="34"/>
              <w:spacing w:before="107"/>
              <w:ind w:left="1957" w:right="1925"/>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招标</w:t>
            </w:r>
            <w:r>
              <w:rPr>
                <w:rFonts w:hint="eastAsia" w:ascii="仿宋" w:hAnsi="仿宋" w:eastAsia="仿宋" w:cs="仿宋"/>
                <w:b/>
                <w:color w:val="auto"/>
                <w:sz w:val="24"/>
                <w:szCs w:val="24"/>
                <w:highlight w:val="none"/>
              </w:rPr>
              <w:t>文件要求</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715F3E83">
            <w:pPr>
              <w:pStyle w:val="34"/>
              <w:spacing w:before="107"/>
              <w:ind w:left="192"/>
              <w:outlineLvl w:val="9"/>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结论</w:t>
            </w:r>
          </w:p>
        </w:tc>
      </w:tr>
      <w:tr w14:paraId="41E311B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46"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C5A9E69">
            <w:pPr>
              <w:pStyle w:val="34"/>
              <w:keepNext w:val="0"/>
              <w:keepLines w:val="0"/>
              <w:pageBreakBefore w:val="0"/>
              <w:widowControl w:val="0"/>
              <w:kinsoku/>
              <w:wordWrap/>
              <w:overflowPunct/>
              <w:topLinePunct w:val="0"/>
              <w:autoSpaceDE/>
              <w:autoSpaceDN/>
              <w:bidi w:val="0"/>
              <w:adjustRightInd w:val="0"/>
              <w:snapToGrid w:val="0"/>
              <w:ind w:left="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9AB0993">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val="0"/>
                <w:color w:val="auto"/>
                <w:sz w:val="24"/>
                <w:szCs w:val="24"/>
                <w:highlight w:val="none"/>
                <w:lang w:eastAsia="zh-CN"/>
              </w:rPr>
              <w:t>具有独立承担民事责任能力的在中华人民共和国境内注册的法人，提供有效的营业执照</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2D44E06C">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42B91C73">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5B132C4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47"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920E11E">
            <w:pPr>
              <w:pStyle w:val="34"/>
              <w:keepNext w:val="0"/>
              <w:keepLines w:val="0"/>
              <w:pageBreakBefore w:val="0"/>
              <w:widowControl w:val="0"/>
              <w:kinsoku/>
              <w:wordWrap/>
              <w:overflowPunct/>
              <w:topLinePunct w:val="0"/>
              <w:autoSpaceDE/>
              <w:autoSpaceDN/>
              <w:bidi w:val="0"/>
              <w:adjustRightInd w:val="0"/>
              <w:snapToGrid w:val="0"/>
              <w:ind w:left="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32B397F">
            <w:pPr>
              <w:pStyle w:val="34"/>
              <w:spacing w:before="171" w:line="268" w:lineRule="auto"/>
              <w:ind w:left="113" w:right="83"/>
              <w:jc w:val="left"/>
              <w:outlineLvl w:val="9"/>
              <w:rPr>
                <w:rFonts w:hint="eastAsia" w:ascii="仿宋" w:hAnsi="仿宋" w:eastAsia="仿宋" w:cs="仿宋"/>
                <w:color w:val="auto"/>
                <w:sz w:val="24"/>
                <w:szCs w:val="24"/>
                <w:highlight w:val="none"/>
              </w:rPr>
            </w:pPr>
            <w:r>
              <w:rPr>
                <w:rFonts w:hint="eastAsia" w:ascii="仿宋" w:hAnsi="仿宋" w:eastAsia="仿宋" w:cs="仿宋"/>
                <w:b w:val="0"/>
                <w:color w:val="auto"/>
                <w:sz w:val="24"/>
                <w:szCs w:val="24"/>
                <w:highlight w:val="none"/>
              </w:rPr>
              <w:t>法定代表人资格证明书及身份证原件或法人授权委托书及被授权人身份证原件</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7C7C6908">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3252F0A0">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17698F2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56"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642ADA5">
            <w:pPr>
              <w:pStyle w:val="34"/>
              <w:keepNext w:val="0"/>
              <w:keepLines w:val="0"/>
              <w:pageBreakBefore w:val="0"/>
              <w:widowControl w:val="0"/>
              <w:kinsoku/>
              <w:wordWrap/>
              <w:overflowPunct/>
              <w:topLinePunct w:val="0"/>
              <w:autoSpaceDE/>
              <w:autoSpaceDN/>
              <w:bidi w:val="0"/>
              <w:adjustRightInd w:val="0"/>
              <w:snapToGrid w:val="0"/>
              <w:ind w:left="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30EE5F3B">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jc w:val="left"/>
              <w:textAlignment w:val="auto"/>
              <w:outlineLvl w:val="9"/>
              <w:rPr>
                <w:rFonts w:hint="eastAsia" w:ascii="仿宋" w:hAnsi="仿宋" w:eastAsia="仿宋" w:cs="仿宋"/>
                <w:color w:val="auto"/>
                <w:sz w:val="24"/>
                <w:szCs w:val="24"/>
                <w:highlight w:val="none"/>
              </w:rPr>
            </w:pPr>
            <w:r>
              <w:rPr>
                <w:rFonts w:hint="eastAsia" w:ascii="仿宋" w:hAnsi="仿宋" w:eastAsia="仿宋" w:cs="仿宋"/>
                <w:b w:val="0"/>
                <w:color w:val="auto"/>
                <w:sz w:val="24"/>
                <w:szCs w:val="24"/>
                <w:highlight w:val="none"/>
              </w:rPr>
              <w:t>未被“信用中国”（www.creditchina.gov.cn）、中国政府采购网（www.ccgp.gov.cn）列入失信被执行人、重大税收违法案件当事人名单、政府采购严重违法失信行为记录名单</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8E6CEBD">
            <w:pPr>
              <w:pStyle w:val="34"/>
              <w:keepNext w:val="0"/>
              <w:keepLines w:val="0"/>
              <w:pageBreakBefore w:val="0"/>
              <w:widowControl w:val="0"/>
              <w:kinsoku/>
              <w:wordWrap/>
              <w:overflowPunct/>
              <w:topLinePunct w:val="0"/>
              <w:autoSpaceDE/>
              <w:autoSpaceDN/>
              <w:bidi w:val="0"/>
              <w:adjustRightInd/>
              <w:snapToGrid/>
              <w:ind w:lef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22CEC53D">
            <w:pPr>
              <w:pStyle w:val="34"/>
              <w:keepNext w:val="0"/>
              <w:keepLines w:val="0"/>
              <w:pageBreakBefore w:val="0"/>
              <w:widowControl w:val="0"/>
              <w:kinsoku/>
              <w:wordWrap/>
              <w:overflowPunct/>
              <w:topLinePunct w:val="0"/>
              <w:autoSpaceDE/>
              <w:autoSpaceDN/>
              <w:bidi w:val="0"/>
              <w:adjustRightInd/>
              <w:snapToGrid/>
              <w:ind w:lef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240240EA">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5"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5ABAC82">
            <w:pPr>
              <w:pStyle w:val="34"/>
              <w:keepNext w:val="0"/>
              <w:keepLines w:val="0"/>
              <w:pageBreakBefore w:val="0"/>
              <w:widowControl w:val="0"/>
              <w:kinsoku/>
              <w:wordWrap/>
              <w:overflowPunct/>
              <w:topLinePunct w:val="0"/>
              <w:autoSpaceDE/>
              <w:autoSpaceDN/>
              <w:bidi w:val="0"/>
              <w:adjustRightInd w:val="0"/>
              <w:snapToGrid w:val="0"/>
              <w:ind w:left="0" w:leftChars="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3A18BB8C">
            <w:pPr>
              <w:pStyle w:val="34"/>
              <w:spacing w:before="170"/>
              <w:ind w:left="113"/>
              <w:jc w:val="left"/>
              <w:outlineLvl w:val="9"/>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zh-CN" w:eastAsia="zh-CN"/>
              </w:rPr>
              <w:t>投标保证金缴纳凭证</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4"/>
                <w:highlight w:val="none"/>
                <w:lang w:val="zh-CN" w:eastAsia="zh-CN"/>
              </w:rPr>
              <w:t>保函</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3C974013">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26E01E90">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7ACD95C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5"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6F9E5C0">
            <w:pPr>
              <w:pStyle w:val="34"/>
              <w:keepNext w:val="0"/>
              <w:keepLines w:val="0"/>
              <w:pageBreakBefore w:val="0"/>
              <w:widowControl w:val="0"/>
              <w:kinsoku/>
              <w:wordWrap/>
              <w:overflowPunct/>
              <w:topLinePunct w:val="0"/>
              <w:autoSpaceDE/>
              <w:autoSpaceDN/>
              <w:bidi w:val="0"/>
              <w:adjustRightInd w:val="0"/>
              <w:snapToGrid w:val="0"/>
              <w:ind w:left="0"/>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EB42479">
            <w:pPr>
              <w:pStyle w:val="34"/>
              <w:spacing w:before="33"/>
              <w:ind w:left="113"/>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eastAsia="zh-CN"/>
              </w:rPr>
              <w:t>投标单位（投标人）《遵守政府采购相关法律法规承诺书》</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2002C820">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3C813A4B">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026AE5E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5"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B14337B">
            <w:pPr>
              <w:pStyle w:val="34"/>
              <w:keepNext w:val="0"/>
              <w:keepLines w:val="0"/>
              <w:pageBreakBefore w:val="0"/>
              <w:widowControl w:val="0"/>
              <w:kinsoku/>
              <w:wordWrap/>
              <w:overflowPunct/>
              <w:topLinePunct w:val="0"/>
              <w:autoSpaceDE/>
              <w:autoSpaceDN/>
              <w:bidi w:val="0"/>
              <w:adjustRightInd w:val="0"/>
              <w:snapToGrid w:val="0"/>
              <w:ind w:left="0"/>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702"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09CEBAF">
            <w:pPr>
              <w:pStyle w:val="34"/>
              <w:spacing w:before="33"/>
              <w:ind w:left="113"/>
              <w:jc w:val="left"/>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《中小企业声明函》</w:t>
            </w:r>
          </w:p>
        </w:tc>
        <w:tc>
          <w:tcPr>
            <w:tcW w:w="1483"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560865B8">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5052D989">
            <w:pPr>
              <w:pStyle w:val="34"/>
              <w:keepNext w:val="0"/>
              <w:keepLines w:val="0"/>
              <w:pageBreakBefore w:val="0"/>
              <w:widowControl w:val="0"/>
              <w:kinsoku/>
              <w:wordWrap/>
              <w:overflowPunct/>
              <w:topLinePunct w:val="0"/>
              <w:autoSpaceDE/>
              <w:autoSpaceDN/>
              <w:bidi w:val="0"/>
              <w:adjustRightInd/>
              <w:snapToGrid/>
              <w:ind w:left="0" w:firstLine="240" w:firstLineChars="1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bl>
    <w:p w14:paraId="53332D43">
      <w:pPr>
        <w:pStyle w:val="8"/>
        <w:jc w:val="center"/>
        <w:outlineLvl w:val="9"/>
        <w:rPr>
          <w:rFonts w:hint="eastAsia" w:ascii="仿宋" w:hAnsi="仿宋" w:eastAsia="仿宋" w:cs="仿宋"/>
          <w:b/>
          <w:bCs/>
          <w:color w:val="auto"/>
          <w:sz w:val="28"/>
          <w:szCs w:val="28"/>
          <w:highlight w:val="none"/>
        </w:rPr>
      </w:pPr>
    </w:p>
    <w:p w14:paraId="78C02EAA">
      <w:pPr>
        <w:pStyle w:val="8"/>
        <w:jc w:val="center"/>
        <w:outlineLvl w:val="2"/>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符合性审查一览表</w:t>
      </w:r>
    </w:p>
    <w:p w14:paraId="173AC77D">
      <w:pPr>
        <w:outlineLvl w:val="9"/>
        <w:rPr>
          <w:rFonts w:hint="eastAsia" w:ascii="仿宋" w:hAnsi="仿宋" w:eastAsia="仿宋" w:cs="仿宋"/>
          <w:b/>
          <w:color w:val="auto"/>
          <w:sz w:val="24"/>
          <w:highlight w:val="none"/>
          <w:lang w:val="zh-CN"/>
        </w:rPr>
      </w:pPr>
    </w:p>
    <w:tbl>
      <w:tblPr>
        <w:tblStyle w:val="25"/>
        <w:tblW w:w="8939"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54"/>
        <w:gridCol w:w="6504"/>
        <w:gridCol w:w="1681"/>
      </w:tblGrid>
      <w:tr w14:paraId="5BF169B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8"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4D818E27">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02F624B7">
            <w:pPr>
              <w:pStyle w:val="34"/>
              <w:keepNext w:val="0"/>
              <w:keepLines w:val="0"/>
              <w:pageBreakBefore w:val="0"/>
              <w:widowControl w:val="0"/>
              <w:kinsoku/>
              <w:wordWrap/>
              <w:overflowPunct/>
              <w:topLinePunct w:val="0"/>
              <w:bidi w:val="0"/>
              <w:adjustRightInd w:val="0"/>
              <w:snapToGrid w:val="0"/>
              <w:spacing w:line="400" w:lineRule="exact"/>
              <w:ind w:left="0" w:right="0" w:firstLine="0" w:firstLineChars="0"/>
              <w:jc w:val="center"/>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招标</w:t>
            </w:r>
            <w:r>
              <w:rPr>
                <w:rFonts w:hint="eastAsia" w:ascii="仿宋" w:hAnsi="仿宋" w:eastAsia="仿宋" w:cs="仿宋"/>
                <w:b/>
                <w:color w:val="auto"/>
                <w:sz w:val="24"/>
                <w:szCs w:val="24"/>
                <w:highlight w:val="none"/>
              </w:rPr>
              <w:t>文件要求</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78E38B3">
            <w:pPr>
              <w:pStyle w:val="34"/>
              <w:keepNext w:val="0"/>
              <w:keepLines w:val="0"/>
              <w:pageBreakBefore w:val="0"/>
              <w:widowControl w:val="0"/>
              <w:kinsoku/>
              <w:wordWrap/>
              <w:overflowPunct/>
              <w:topLinePunct w:val="0"/>
              <w:bidi w:val="0"/>
              <w:adjustRightInd w:val="0"/>
              <w:snapToGrid w:val="0"/>
              <w:spacing w:line="400" w:lineRule="exact"/>
              <w:ind w:left="0" w:right="0" w:firstLine="0" w:firstLineChars="0"/>
              <w:jc w:val="center"/>
              <w:textAlignment w:val="auto"/>
              <w:outlineLvl w:val="9"/>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结论</w:t>
            </w:r>
          </w:p>
        </w:tc>
      </w:tr>
      <w:tr w14:paraId="20CC2F6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873"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20CDE99">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B278EE5">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00" w:lineRule="exact"/>
              <w:ind w:left="0" w:right="0" w:rightChars="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i w:val="0"/>
                <w:iCs w:val="0"/>
                <w:color w:val="auto"/>
                <w:sz w:val="24"/>
                <w:szCs w:val="24"/>
                <w:highlight w:val="none"/>
                <w:lang w:val="zh-CN"/>
              </w:rPr>
              <w:t>不符合法律、法规和招标文件中规定的其它实质性要求的；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4877299">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2DA28858">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042CE95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80"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9827F2D">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1A3322C">
            <w:pPr>
              <w:keepNext w:val="0"/>
              <w:keepLines w:val="0"/>
              <w:pageBreakBefore w:val="0"/>
              <w:widowControl w:val="0"/>
              <w:numPr>
                <w:ilvl w:val="0"/>
                <w:numId w:val="0"/>
              </w:numPr>
              <w:kinsoku/>
              <w:wordWrap/>
              <w:overflowPunct/>
              <w:topLinePunct w:val="0"/>
              <w:autoSpaceDE w:val="0"/>
              <w:autoSpaceDN w:val="0"/>
              <w:bidi w:val="0"/>
              <w:adjustRightInd w:val="0"/>
              <w:snapToGrid w:val="0"/>
              <w:spacing w:line="400" w:lineRule="exact"/>
              <w:ind w:left="0" w:right="0" w:rightChars="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响应内容与采购内容及要求有重大偏离或保留的，或附有采购人不能接受的条件的；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8ECF0E5">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7DF73961">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6CF571D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BEFDDE8">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2D0278F">
            <w:pPr>
              <w:keepNext w:val="0"/>
              <w:keepLines w:val="0"/>
              <w:pageBreakBefore w:val="0"/>
              <w:widowControl w:val="0"/>
              <w:kinsoku/>
              <w:wordWrap/>
              <w:overflowPunct/>
              <w:topLinePunct w:val="0"/>
              <w:autoSpaceDE w:val="0"/>
              <w:autoSpaceDN w:val="0"/>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响应文件未按招标文件规定格式填写、盖章的；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93F8104">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1F7D46A1">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31E0FEC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026"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C3631ED">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1D0C11D">
            <w:pPr>
              <w:keepNext w:val="0"/>
              <w:keepLines w:val="0"/>
              <w:pageBreakBefore w:val="0"/>
              <w:widowControl w:val="0"/>
              <w:kinsoku/>
              <w:wordWrap/>
              <w:overflowPunct/>
              <w:topLinePunct w:val="0"/>
              <w:autoSpaceDE w:val="0"/>
              <w:autoSpaceDN w:val="0"/>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响应文件编制是否按照招标文件要求编写、不符合招标文件要求的；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1CD8284">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4F3C1661">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4A194D35">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93"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3CB20797">
            <w:pPr>
              <w:pStyle w:val="34"/>
              <w:keepNext w:val="0"/>
              <w:keepLines w:val="0"/>
              <w:pageBreakBefore w:val="0"/>
              <w:widowControl w:val="0"/>
              <w:kinsoku/>
              <w:wordWrap/>
              <w:overflowPunct/>
              <w:topLinePunct w:val="0"/>
              <w:autoSpaceDE/>
              <w:autoSpaceDN/>
              <w:bidi w:val="0"/>
              <w:adjustRightInd w:val="0"/>
              <w:snapToGrid w:val="0"/>
              <w:spacing w:line="400" w:lineRule="exact"/>
              <w:ind w:left="0" w:leftChars="0" w:right="0" w:firstLine="0" w:firstLineChars="0"/>
              <w:jc w:val="center"/>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CC68D00">
            <w:pPr>
              <w:keepNext w:val="0"/>
              <w:keepLines w:val="0"/>
              <w:pageBreakBefore w:val="0"/>
              <w:widowControl w:val="0"/>
              <w:kinsoku/>
              <w:wordWrap/>
              <w:overflowPunct/>
              <w:topLinePunct w:val="0"/>
              <w:autoSpaceDE w:val="0"/>
              <w:autoSpaceDN w:val="0"/>
              <w:bidi w:val="0"/>
              <w:adjustRightInd w:val="0"/>
              <w:snapToGrid w:val="0"/>
              <w:spacing w:line="400" w:lineRule="exact"/>
              <w:ind w:left="0" w:right="0" w:firstLine="480" w:firstLineChars="2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投标有效期不满足招标文件要求的；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812C70F">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0C88EC24">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37D3D46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5"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5258FD7">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DDC0421">
            <w:pPr>
              <w:keepNext w:val="0"/>
              <w:keepLines w:val="0"/>
              <w:pageBreakBefore w:val="0"/>
              <w:widowControl w:val="0"/>
              <w:kinsoku/>
              <w:wordWrap/>
              <w:overflowPunct/>
              <w:topLinePunct w:val="0"/>
              <w:autoSpaceDE w:val="0"/>
              <w:autoSpaceDN w:val="0"/>
              <w:bidi w:val="0"/>
              <w:adjustRightInd w:val="0"/>
              <w:snapToGrid w:val="0"/>
              <w:spacing w:line="400" w:lineRule="exact"/>
              <w:ind w:left="0" w:right="0" w:firstLine="480" w:firstLineChars="2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响应文件中提供虚假或失实资料的；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908ABD9">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118FCB75">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r w14:paraId="39B9601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5" w:hRule="atLeast"/>
          <w:jc w:val="center"/>
        </w:trPr>
        <w:tc>
          <w:tcPr>
            <w:tcW w:w="75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F4F8B74">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0" w:firstLineChars="0"/>
              <w:jc w:val="center"/>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504"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767E03A">
            <w:pPr>
              <w:keepNext w:val="0"/>
              <w:keepLines w:val="0"/>
              <w:pageBreakBefore w:val="0"/>
              <w:widowControl w:val="0"/>
              <w:kinsoku/>
              <w:wordWrap/>
              <w:overflowPunct/>
              <w:topLinePunct w:val="0"/>
              <w:bidi w:val="0"/>
              <w:adjustRightInd w:val="0"/>
              <w:snapToGrid w:val="0"/>
              <w:spacing w:line="400" w:lineRule="exact"/>
              <w:ind w:right="0" w:firstLine="480" w:firstLineChars="200"/>
              <w:jc w:val="both"/>
              <w:textAlignment w:val="auto"/>
              <w:outlineLvl w:val="9"/>
              <w:rPr>
                <w:rFonts w:hint="eastAsia" w:ascii="仿宋" w:hAnsi="仿宋" w:eastAsia="仿宋" w:cs="仿宋"/>
                <w:b w:val="0"/>
                <w:color w:val="auto"/>
                <w:sz w:val="24"/>
                <w:szCs w:val="24"/>
                <w:highlight w:val="none"/>
              </w:rPr>
            </w:pPr>
            <w:r>
              <w:rPr>
                <w:rFonts w:hint="eastAsia" w:ascii="仿宋" w:hAnsi="仿宋" w:eastAsia="仿宋" w:cs="仿宋"/>
                <w:bCs/>
                <w:color w:val="auto"/>
                <w:sz w:val="24"/>
                <w:szCs w:val="24"/>
                <w:highlight w:val="none"/>
                <w:lang w:eastAsia="zh-CN"/>
              </w:rPr>
              <w:t>不同供应商的响应文件的内容（或其单价等）异常一致或者报价呈规律性差异的；</w:t>
            </w:r>
          </w:p>
        </w:tc>
        <w:tc>
          <w:tcPr>
            <w:tcW w:w="1681"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F7E39C6">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□通过</w:t>
            </w:r>
          </w:p>
          <w:p w14:paraId="505147D3">
            <w:pPr>
              <w:pStyle w:val="34"/>
              <w:keepNext w:val="0"/>
              <w:keepLines w:val="0"/>
              <w:pageBreakBefore w:val="0"/>
              <w:widowControl w:val="0"/>
              <w:kinsoku/>
              <w:wordWrap/>
              <w:overflowPunct/>
              <w:topLinePunct w:val="0"/>
              <w:autoSpaceDE/>
              <w:autoSpaceDN/>
              <w:bidi w:val="0"/>
              <w:adjustRightInd w:val="0"/>
              <w:snapToGrid w:val="0"/>
              <w:spacing w:line="400" w:lineRule="exact"/>
              <w:ind w:left="0" w:right="0" w:firstLine="240" w:firstLineChars="100"/>
              <w:jc w:val="both"/>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□不通过</w:t>
            </w:r>
          </w:p>
        </w:tc>
      </w:tr>
    </w:tbl>
    <w:p w14:paraId="2AB930E8">
      <w:pPr>
        <w:outlineLvl w:val="9"/>
        <w:rPr>
          <w:rFonts w:hint="eastAsia" w:ascii="仿宋" w:hAnsi="仿宋" w:eastAsia="仿宋" w:cs="仿宋"/>
          <w:b/>
          <w:color w:val="auto"/>
          <w:sz w:val="24"/>
          <w:highlight w:val="none"/>
          <w:lang w:val="zh-CN"/>
        </w:rPr>
      </w:pPr>
    </w:p>
    <w:p w14:paraId="490DF531">
      <w:pPr>
        <w:autoSpaceDE w:val="0"/>
        <w:autoSpaceDN w:val="0"/>
        <w:adjustRightInd w:val="0"/>
        <w:spacing w:line="360" w:lineRule="auto"/>
        <w:outlineLvl w:val="9"/>
        <w:rPr>
          <w:rFonts w:hint="eastAsia" w:ascii="仿宋" w:hAnsi="仿宋" w:eastAsia="仿宋" w:cs="仿宋"/>
          <w:color w:val="auto"/>
          <w:sz w:val="24"/>
          <w:highlight w:val="none"/>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zh-CN"/>
        </w:rPr>
        <w:t>.5.8</w:t>
      </w:r>
      <w:r>
        <w:rPr>
          <w:rFonts w:hint="eastAsia" w:ascii="仿宋" w:hAnsi="仿宋" w:eastAsia="仿宋" w:cs="仿宋"/>
          <w:b/>
          <w:color w:val="auto"/>
          <w:sz w:val="24"/>
          <w:highlight w:val="none"/>
        </w:rPr>
        <w:t xml:space="preserve"> 综合评审 </w:t>
      </w:r>
    </w:p>
    <w:p w14:paraId="1DD67A03">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val="zh-CN"/>
        </w:rPr>
        <w:t>.5.8.1</w:t>
      </w:r>
      <w:r>
        <w:rPr>
          <w:rFonts w:hint="eastAsia" w:ascii="仿宋" w:hAnsi="仿宋" w:eastAsia="仿宋" w:cs="仿宋"/>
          <w:bCs/>
          <w:color w:val="auto"/>
          <w:sz w:val="24"/>
          <w:highlight w:val="none"/>
        </w:rPr>
        <w:t>评标委员会各成员</w:t>
      </w:r>
      <w:r>
        <w:rPr>
          <w:rFonts w:hint="eastAsia" w:ascii="仿宋" w:hAnsi="仿宋" w:eastAsia="仿宋" w:cs="仿宋"/>
          <w:color w:val="auto"/>
          <w:sz w:val="24"/>
          <w:highlight w:val="none"/>
        </w:rPr>
        <w:t>应当</w:t>
      </w:r>
      <w:r>
        <w:rPr>
          <w:rFonts w:hint="eastAsia" w:ascii="仿宋" w:hAnsi="仿宋" w:eastAsia="仿宋" w:cs="仿宋"/>
          <w:bCs/>
          <w:color w:val="auto"/>
          <w:sz w:val="24"/>
          <w:highlight w:val="none"/>
        </w:rPr>
        <w:t>遵循独立评审原则，</w:t>
      </w:r>
      <w:r>
        <w:rPr>
          <w:rFonts w:hint="eastAsia" w:ascii="仿宋" w:hAnsi="仿宋" w:eastAsia="仿宋" w:cs="仿宋"/>
          <w:color w:val="auto"/>
          <w:sz w:val="24"/>
          <w:highlight w:val="none"/>
          <w:lang w:val="zh-CN"/>
        </w:rPr>
        <w:t>按照招标文件的评标方法和标准，对资质资格资质检查和复合性检查合格的投标文件的商务和技术进行评估，综合比较与评价。并应当以书面方式发表各自（或集体）的具体综合评审意见。</w:t>
      </w:r>
    </w:p>
    <w:p w14:paraId="0FAC79D1">
      <w:pPr>
        <w:autoSpaceDE w:val="0"/>
        <w:autoSpaceDN w:val="0"/>
        <w:adjustRightInd w:val="0"/>
        <w:spacing w:line="360" w:lineRule="auto"/>
        <w:ind w:firstLine="48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.5.8.2 评估和综合比较与评价，应当</w:t>
      </w:r>
      <w:r>
        <w:rPr>
          <w:rFonts w:hint="eastAsia" w:ascii="仿宋" w:hAnsi="仿宋" w:eastAsia="仿宋" w:cs="仿宋"/>
          <w:bCs/>
          <w:color w:val="auto"/>
          <w:sz w:val="24"/>
          <w:highlight w:val="none"/>
        </w:rPr>
        <w:t>严格</w:t>
      </w:r>
      <w:r>
        <w:rPr>
          <w:rFonts w:hint="eastAsia" w:ascii="仿宋" w:hAnsi="仿宋" w:eastAsia="仿宋" w:cs="仿宋"/>
          <w:color w:val="auto"/>
          <w:sz w:val="24"/>
          <w:highlight w:val="none"/>
          <w:lang w:val="zh-CN"/>
        </w:rPr>
        <w:t>按照采购人设计格式要求，做好书面原始署名记录，</w:t>
      </w:r>
      <w:r>
        <w:rPr>
          <w:rFonts w:hint="eastAsia" w:ascii="仿宋" w:hAnsi="仿宋" w:eastAsia="仿宋" w:cs="仿宋"/>
          <w:bCs/>
          <w:color w:val="auto"/>
          <w:sz w:val="24"/>
          <w:szCs w:val="24"/>
          <w:highlight w:val="none"/>
        </w:rPr>
        <w:t>连同书面评标报告提交采购人。</w:t>
      </w:r>
    </w:p>
    <w:p w14:paraId="5C7F865A">
      <w:pPr>
        <w:autoSpaceDE w:val="0"/>
        <w:autoSpaceDN w:val="0"/>
        <w:adjustRightInd w:val="0"/>
        <w:spacing w:line="360" w:lineRule="auto"/>
        <w:ind w:firstLine="48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.5.8.3</w:t>
      </w:r>
      <w:r>
        <w:rPr>
          <w:rFonts w:hint="eastAsia" w:ascii="仿宋" w:hAnsi="仿宋" w:eastAsia="仿宋" w:cs="仿宋"/>
          <w:bCs/>
          <w:color w:val="auto"/>
          <w:sz w:val="24"/>
          <w:szCs w:val="24"/>
          <w:highlight w:val="none"/>
        </w:rPr>
        <w:t xml:space="preserve"> “综合评分法”应当载明投标人的投标项目、所作的任何修正、对商业偏差的调整、对技术偏差的调整、对各评审因素的评估，以及对每一投标的最终评标结果。</w:t>
      </w:r>
    </w:p>
    <w:p w14:paraId="3C6FD9A1">
      <w:pPr>
        <w:autoSpaceDE w:val="0"/>
        <w:autoSpaceDN w:val="0"/>
        <w:adjustRightInd w:val="0"/>
        <w:spacing w:line="360" w:lineRule="auto"/>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.5.8.4综合评审记录要突出重点、抓住关键（核</w:t>
      </w:r>
      <w:r>
        <w:rPr>
          <w:rFonts w:hint="eastAsia" w:ascii="仿宋" w:hAnsi="仿宋" w:eastAsia="仿宋" w:cs="仿宋"/>
          <w:bCs/>
          <w:color w:val="auto"/>
          <w:sz w:val="24"/>
          <w:szCs w:val="24"/>
          <w:highlight w:val="none"/>
        </w:rPr>
        <w:t>心）、真实准确、简明扼要，体现公平、公正、合理。否则，经核实后，将按前款</w:t>
      </w:r>
      <w:r>
        <w:rPr>
          <w:rFonts w:hint="eastAsia" w:ascii="仿宋" w:hAnsi="仿宋" w:eastAsia="仿宋" w:cs="仿宋"/>
          <w:color w:val="auto"/>
          <w:sz w:val="24"/>
          <w:szCs w:val="24"/>
          <w:highlight w:val="none"/>
        </w:rPr>
        <w:t>“第五部分”中“第四章”的21.3条款之规定执行。</w:t>
      </w:r>
    </w:p>
    <w:p w14:paraId="569695B6">
      <w:pPr>
        <w:autoSpaceDE w:val="0"/>
        <w:autoSpaceDN w:val="0"/>
        <w:adjustRightInd w:val="0"/>
        <w:spacing w:line="360" w:lineRule="auto"/>
        <w:ind w:firstLine="480"/>
        <w:outlineLvl w:val="9"/>
        <w:rPr>
          <w:rFonts w:hint="eastAsia" w:ascii="仿宋" w:hAnsi="仿宋" w:eastAsia="仿宋" w:cs="仿宋"/>
          <w:bCs/>
          <w:color w:val="auto"/>
          <w:sz w:val="24"/>
          <w:highlight w:val="none"/>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zh-CN"/>
        </w:rPr>
        <w:t>.5.8.9 比较与评价</w:t>
      </w:r>
    </w:p>
    <w:p w14:paraId="1876898A">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bCs/>
          <w:color w:val="auto"/>
          <w:sz w:val="24"/>
          <w:highlight w:val="none"/>
        </w:rPr>
        <w:t>综合评标时，评标委员会各成员应当对每一个有效投标人的投标文件，</w:t>
      </w:r>
      <w:r>
        <w:rPr>
          <w:rFonts w:hint="eastAsia" w:ascii="仿宋" w:hAnsi="仿宋" w:eastAsia="仿宋" w:cs="仿宋"/>
          <w:color w:val="auto"/>
          <w:sz w:val="24"/>
          <w:highlight w:val="none"/>
          <w:lang w:val="zh-CN"/>
        </w:rPr>
        <w:t>根据招标文件中要求的产品价格、技术、性能、质量及质检认证、环保节能、财务状况、信誉、业绩、服务、培训、货物供应及对招标文件的响应程度等指标，进行具体评估。</w:t>
      </w:r>
    </w:p>
    <w:p w14:paraId="3C554098">
      <w:pPr>
        <w:autoSpaceDE w:val="0"/>
        <w:autoSpaceDN w:val="0"/>
        <w:adjustRightInd w:val="0"/>
        <w:spacing w:line="360" w:lineRule="auto"/>
        <w:ind w:firstLine="480"/>
        <w:outlineLvl w:val="9"/>
        <w:rPr>
          <w:rFonts w:hint="eastAsia" w:ascii="仿宋" w:hAnsi="仿宋" w:eastAsia="仿宋" w:cs="仿宋"/>
          <w:bCs/>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评标委员会成员应独立按照对每一个投标人所投产品的最终报价、设备选型、配置及性能指标、质检认证报告、环保节能、售后服务体系、培训计划、货物供应、财务能力和状况、类似业绩等因素的具体综合评估，进行比较与评价。</w:t>
      </w:r>
    </w:p>
    <w:p w14:paraId="378CA349">
      <w:pPr>
        <w:autoSpaceDE w:val="0"/>
        <w:autoSpaceDN w:val="0"/>
        <w:adjustRightInd w:val="0"/>
        <w:spacing w:line="360" w:lineRule="auto"/>
        <w:ind w:firstLine="480"/>
        <w:outlineLvl w:val="9"/>
        <w:rPr>
          <w:rFonts w:hint="eastAsia" w:ascii="仿宋" w:hAnsi="仿宋" w:eastAsia="仿宋" w:cs="仿宋"/>
          <w:bCs/>
          <w:color w:val="auto"/>
          <w:sz w:val="24"/>
          <w:highlight w:val="none"/>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val="zh-CN"/>
        </w:rPr>
        <w:t>.5.9 综合评分法的原则、方法和标准</w:t>
      </w:r>
    </w:p>
    <w:p w14:paraId="58C6095E">
      <w:pPr>
        <w:spacing w:line="360"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.5.9.1</w:t>
      </w:r>
      <w:r>
        <w:rPr>
          <w:rFonts w:hint="eastAsia" w:ascii="仿宋" w:hAnsi="仿宋" w:eastAsia="仿宋" w:cs="仿宋"/>
          <w:bCs/>
          <w:color w:val="auto"/>
          <w:sz w:val="24"/>
          <w:szCs w:val="24"/>
          <w:highlight w:val="none"/>
        </w:rPr>
        <w:t>采用综合评分法，是指在最大限度地满足招标文件实质性要求前提下，按照招标文件中规定的各项因素进行综合评审后，以评分得分最高的投标人作为中标候选投标人或者中标投标人的评标方法。</w:t>
      </w:r>
    </w:p>
    <w:p w14:paraId="4ECDAEE6">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.5.9.2综合评分方法：评标委员会成员</w:t>
      </w:r>
      <w:r>
        <w:rPr>
          <w:rFonts w:hint="eastAsia" w:ascii="仿宋" w:hAnsi="仿宋" w:eastAsia="仿宋" w:cs="仿宋"/>
          <w:color w:val="auto"/>
          <w:sz w:val="24"/>
          <w:szCs w:val="24"/>
          <w:highlight w:val="none"/>
        </w:rPr>
        <w:t>应按照独立综合评审原则，根据对招标</w:t>
      </w:r>
      <w:r>
        <w:rPr>
          <w:rFonts w:hint="eastAsia" w:ascii="仿宋" w:hAnsi="仿宋" w:eastAsia="仿宋" w:cs="仿宋"/>
          <w:color w:val="auto"/>
          <w:sz w:val="24"/>
          <w:highlight w:val="none"/>
          <w:lang w:val="zh-CN"/>
        </w:rPr>
        <w:t>文件的响应程度和具体评标</w:t>
      </w:r>
      <w:r>
        <w:rPr>
          <w:rFonts w:hint="eastAsia" w:ascii="仿宋" w:hAnsi="仿宋" w:eastAsia="仿宋" w:cs="仿宋"/>
          <w:color w:val="auto"/>
          <w:sz w:val="24"/>
          <w:szCs w:val="24"/>
          <w:highlight w:val="none"/>
        </w:rPr>
        <w:t>情况，</w:t>
      </w:r>
      <w:r>
        <w:rPr>
          <w:rFonts w:hint="eastAsia" w:ascii="仿宋" w:hAnsi="仿宋" w:eastAsia="仿宋" w:cs="仿宋"/>
          <w:color w:val="auto"/>
          <w:sz w:val="24"/>
          <w:highlight w:val="none"/>
          <w:lang w:val="zh-CN"/>
        </w:rPr>
        <w:t>独立对具体投标文件的商务和技术指标进行评估和综合比较与评价后，独立（或集体）发表综合评审（议）意见，对每一个投标人做出打分决定；经</w:t>
      </w:r>
      <w:r>
        <w:rPr>
          <w:rFonts w:hint="eastAsia" w:ascii="仿宋" w:hAnsi="仿宋" w:eastAsia="仿宋" w:cs="仿宋"/>
          <w:color w:val="auto"/>
          <w:sz w:val="24"/>
          <w:szCs w:val="24"/>
          <w:highlight w:val="none"/>
        </w:rPr>
        <w:t>采购代理机构</w:t>
      </w:r>
      <w:r>
        <w:rPr>
          <w:rFonts w:hint="eastAsia" w:ascii="仿宋" w:hAnsi="仿宋" w:eastAsia="仿宋" w:cs="仿宋"/>
          <w:color w:val="auto"/>
          <w:sz w:val="24"/>
          <w:highlight w:val="none"/>
          <w:lang w:val="zh-CN"/>
        </w:rPr>
        <w:t>核对和汇总后，按得高分原则，由高到低进行排序后，</w:t>
      </w:r>
      <w:r>
        <w:rPr>
          <w:rFonts w:hint="eastAsia" w:ascii="仿宋" w:hAnsi="仿宋" w:eastAsia="仿宋" w:cs="仿宋"/>
          <w:color w:val="auto"/>
          <w:sz w:val="24"/>
          <w:highlight w:val="none"/>
        </w:rPr>
        <w:t>最后根据评标委员会各成员签署的打分结果，得出评标结论。</w:t>
      </w:r>
    </w:p>
    <w:p w14:paraId="534B6B87">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.5.9.3 评标时，评标委员会各成员应当独立对每个有效投标人的投标文件进行评价、打分，然后由</w:t>
      </w:r>
      <w:r>
        <w:rPr>
          <w:rFonts w:hint="eastAsia" w:ascii="仿宋" w:hAnsi="仿宋" w:eastAsia="仿宋" w:cs="仿宋"/>
          <w:color w:val="auto"/>
          <w:sz w:val="24"/>
          <w:szCs w:val="24"/>
          <w:highlight w:val="none"/>
        </w:rPr>
        <w:t>采购代理机构</w:t>
      </w:r>
      <w:r>
        <w:rPr>
          <w:rFonts w:hint="eastAsia" w:ascii="仿宋" w:hAnsi="仿宋" w:eastAsia="仿宋" w:cs="仿宋"/>
          <w:color w:val="auto"/>
          <w:sz w:val="24"/>
          <w:highlight w:val="none"/>
          <w:lang w:val="zh-CN"/>
        </w:rPr>
        <w:t>核对汇总出每个投标人每项评分因素的得分。</w:t>
      </w:r>
    </w:p>
    <w:p w14:paraId="49CBE02C">
      <w:pPr>
        <w:autoSpaceDE w:val="0"/>
        <w:autoSpaceDN w:val="0"/>
        <w:adjustRightInd w:val="0"/>
        <w:spacing w:line="360" w:lineRule="auto"/>
        <w:ind w:firstLine="480"/>
        <w:outlineLvl w:val="9"/>
        <w:rPr>
          <w:rFonts w:hint="eastAsia" w:ascii="仿宋" w:hAnsi="仿宋" w:eastAsia="仿宋" w:cs="仿宋"/>
          <w:bCs/>
          <w:color w:val="auto"/>
          <w:sz w:val="24"/>
          <w:szCs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zh-CN"/>
        </w:rPr>
        <w:t>.5.9.4 综合评分，应严格遵守前款“</w:t>
      </w:r>
      <w:r>
        <w:rPr>
          <w:rFonts w:hint="eastAsia" w:ascii="仿宋" w:hAnsi="仿宋" w:eastAsia="仿宋" w:cs="仿宋"/>
          <w:bCs/>
          <w:color w:val="auto"/>
          <w:sz w:val="24"/>
          <w:highlight w:val="none"/>
          <w:lang w:val="zh-CN"/>
        </w:rPr>
        <w:t>24.5.8</w:t>
      </w:r>
      <w:r>
        <w:rPr>
          <w:rFonts w:hint="eastAsia" w:ascii="仿宋" w:hAnsi="仿宋" w:eastAsia="仿宋" w:cs="仿宋"/>
          <w:bCs/>
          <w:color w:val="auto"/>
          <w:sz w:val="24"/>
          <w:highlight w:val="none"/>
        </w:rPr>
        <w:t xml:space="preserve"> 综合评审”条款之规定。</w:t>
      </w:r>
      <w:r>
        <w:rPr>
          <w:rFonts w:hint="eastAsia" w:ascii="仿宋" w:hAnsi="仿宋" w:eastAsia="仿宋" w:cs="仿宋"/>
          <w:bCs/>
          <w:color w:val="auto"/>
          <w:sz w:val="24"/>
          <w:highlight w:val="none"/>
          <w:lang w:val="zh-CN"/>
        </w:rPr>
        <w:t>否则，经核实后，</w:t>
      </w:r>
      <w:r>
        <w:rPr>
          <w:rFonts w:hint="eastAsia" w:ascii="仿宋" w:hAnsi="仿宋" w:eastAsia="仿宋" w:cs="仿宋"/>
          <w:bCs/>
          <w:color w:val="auto"/>
          <w:sz w:val="24"/>
          <w:szCs w:val="24"/>
          <w:highlight w:val="none"/>
        </w:rPr>
        <w:t>将按前款“第五部分”中“第四章”的21.3条款之规定执行。</w:t>
      </w:r>
    </w:p>
    <w:p w14:paraId="51BAAA69">
      <w:pPr>
        <w:tabs>
          <w:tab w:val="left" w:pos="8280"/>
        </w:tabs>
        <w:spacing w:line="360" w:lineRule="auto"/>
        <w:ind w:right="-1" w:firstLine="540" w:firstLineChars="225"/>
        <w:outlineLvl w:val="9"/>
        <w:rPr>
          <w:rFonts w:hint="eastAsia" w:ascii="仿宋" w:hAnsi="仿宋" w:eastAsia="仿宋" w:cs="仿宋"/>
          <w:color w:val="auto"/>
          <w:sz w:val="24"/>
          <w:highlight w:val="none"/>
          <w:lang w:val="zh-CN"/>
        </w:rPr>
      </w:pPr>
      <w:r>
        <w:rPr>
          <w:rFonts w:hint="eastAsia" w:ascii="仿宋" w:hAnsi="仿宋" w:eastAsia="仿宋" w:cs="仿宋"/>
          <w:bCs/>
          <w:color w:val="auto"/>
          <w:sz w:val="24"/>
          <w:highlight w:val="none"/>
          <w:lang w:val="zh-CN"/>
        </w:rPr>
        <w:t>2</w:t>
      </w:r>
      <w:r>
        <w:rPr>
          <w:rFonts w:hint="eastAsia" w:ascii="仿宋" w:hAnsi="仿宋" w:eastAsia="仿宋" w:cs="仿宋"/>
          <w:bCs/>
          <w:color w:val="auto"/>
          <w:sz w:val="24"/>
          <w:highlight w:val="none"/>
        </w:rPr>
        <w:t>3</w:t>
      </w:r>
      <w:r>
        <w:rPr>
          <w:rFonts w:hint="eastAsia" w:ascii="仿宋" w:hAnsi="仿宋" w:eastAsia="仿宋" w:cs="仿宋"/>
          <w:bCs/>
          <w:color w:val="auto"/>
          <w:sz w:val="24"/>
          <w:highlight w:val="none"/>
          <w:lang w:val="zh-CN"/>
        </w:rPr>
        <w:t>.5.9.5 评标委员会</w:t>
      </w:r>
      <w:r>
        <w:rPr>
          <w:rFonts w:hint="eastAsia" w:ascii="仿宋" w:hAnsi="仿宋" w:eastAsia="仿宋" w:cs="仿宋"/>
          <w:bCs/>
          <w:color w:val="auto"/>
          <w:sz w:val="24"/>
          <w:szCs w:val="24"/>
          <w:highlight w:val="none"/>
        </w:rPr>
        <w:t>各成员</w:t>
      </w:r>
      <w:r>
        <w:rPr>
          <w:rFonts w:hint="eastAsia" w:ascii="仿宋" w:hAnsi="仿宋" w:eastAsia="仿宋" w:cs="仿宋"/>
          <w:bCs/>
          <w:color w:val="auto"/>
          <w:sz w:val="24"/>
          <w:highlight w:val="none"/>
          <w:lang w:val="zh-CN"/>
        </w:rPr>
        <w:t>要按照采购人规定格式，将每一个投</w:t>
      </w:r>
      <w:r>
        <w:rPr>
          <w:rFonts w:hint="eastAsia" w:ascii="仿宋" w:hAnsi="仿宋" w:eastAsia="仿宋" w:cs="仿宋"/>
          <w:color w:val="auto"/>
          <w:sz w:val="24"/>
          <w:highlight w:val="none"/>
          <w:lang w:val="zh-CN"/>
        </w:rPr>
        <w:t>标人的综合评审意见、打分结果、推荐理由等进行署名原始记录。</w:t>
      </w:r>
    </w:p>
    <w:p w14:paraId="395E343C">
      <w:pPr>
        <w:spacing w:line="360" w:lineRule="auto"/>
        <w:ind w:firstLine="482" w:firstLineChars="200"/>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24"/>
          <w:szCs w:val="24"/>
          <w:highlight w:val="none"/>
          <w:lang w:val="zh-CN"/>
        </w:rPr>
        <w:t>2</w:t>
      </w:r>
      <w:r>
        <w:rPr>
          <w:rFonts w:hint="eastAsia" w:ascii="仿宋" w:hAnsi="仿宋" w:eastAsia="仿宋" w:cs="仿宋"/>
          <w:b/>
          <w:color w:val="auto"/>
          <w:sz w:val="24"/>
          <w:szCs w:val="24"/>
          <w:highlight w:val="none"/>
        </w:rPr>
        <w:t>3</w:t>
      </w:r>
      <w:r>
        <w:rPr>
          <w:rFonts w:hint="eastAsia" w:ascii="仿宋" w:hAnsi="仿宋" w:eastAsia="仿宋" w:cs="仿宋"/>
          <w:b/>
          <w:color w:val="auto"/>
          <w:sz w:val="24"/>
          <w:szCs w:val="24"/>
          <w:highlight w:val="none"/>
          <w:lang w:val="zh-CN"/>
        </w:rPr>
        <w:t>.5.9.</w:t>
      </w:r>
      <w:r>
        <w:rPr>
          <w:rFonts w:hint="eastAsia" w:ascii="仿宋" w:hAnsi="仿宋" w:eastAsia="仿宋" w:cs="仿宋"/>
          <w:b/>
          <w:color w:val="auto"/>
          <w:sz w:val="24"/>
          <w:szCs w:val="24"/>
          <w:highlight w:val="none"/>
        </w:rPr>
        <w:t>6</w:t>
      </w:r>
      <w:r>
        <w:rPr>
          <w:rFonts w:hint="eastAsia" w:ascii="仿宋" w:hAnsi="仿宋" w:eastAsia="仿宋" w:cs="仿宋"/>
          <w:b/>
          <w:color w:val="auto"/>
          <w:sz w:val="24"/>
          <w:highlight w:val="none"/>
        </w:rPr>
        <w:t xml:space="preserve"> 综合评分原则</w:t>
      </w:r>
    </w:p>
    <w:p w14:paraId="44C832D0">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bCs/>
          <w:color w:val="auto"/>
          <w:sz w:val="32"/>
          <w:szCs w:val="32"/>
          <w:highlight w:val="none"/>
        </w:rPr>
      </w:pPr>
      <w:r>
        <w:rPr>
          <w:rFonts w:hint="eastAsia" w:ascii="仿宋" w:hAnsi="仿宋" w:eastAsia="仿宋" w:cs="仿宋"/>
          <w:color w:val="auto"/>
          <w:sz w:val="24"/>
          <w:highlight w:val="none"/>
        </w:rPr>
        <w:t>1、评标委员会依据《评标（分）记录明细表》对投标文件进行比较与评价，并进行打分和汇总。</w:t>
      </w:r>
    </w:p>
    <w:p w14:paraId="2C1821E9">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2、评标委员会小组成员评标、打分时不得协商，应独立完成。</w:t>
      </w:r>
    </w:p>
    <w:p w14:paraId="7AF5223E">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3、未满足招标文件要求的投标方，不予评分。</w:t>
      </w:r>
    </w:p>
    <w:p w14:paraId="38B56FD5">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4、评标打分应当按照技术部分、商务部分、报价部分的顺序进行，打分可保留两位小数。</w:t>
      </w:r>
    </w:p>
    <w:p w14:paraId="05ED07BE">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5、技术、商务部分应按各小项分档打分，投标文件中各小项指标相近的，打分应属同一档次。在采购人同意的情况下，允许评标委员会小组各成员根据招标书文件部分要求的技术、功能和</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评标（分）记录明细表》表格部分的性能指标要求，可以按各投标文件（投标书和产品技术说明书）实际情况在档次打分范围内调整分值。</w:t>
      </w:r>
    </w:p>
    <w:p w14:paraId="35AD0322">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6、打分采取百分制。</w:t>
      </w:r>
    </w:p>
    <w:p w14:paraId="25C8CBB0">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val="zh-CN"/>
        </w:rPr>
        <w:t>由采购代理机构核对录入和汇总计算出每一个投标人的所得分数值，</w:t>
      </w:r>
      <w:r>
        <w:rPr>
          <w:rFonts w:hint="eastAsia" w:ascii="仿宋" w:hAnsi="仿宋" w:eastAsia="仿宋" w:cs="仿宋"/>
          <w:color w:val="auto"/>
          <w:sz w:val="24"/>
          <w:szCs w:val="24"/>
          <w:highlight w:val="none"/>
        </w:rPr>
        <w:t>并由高到底排序后，须有评标委员会小组各成员署名确认。如出现得分相同的，</w:t>
      </w:r>
      <w:r>
        <w:rPr>
          <w:rFonts w:hint="eastAsia" w:ascii="仿宋" w:hAnsi="仿宋" w:eastAsia="仿宋" w:cs="仿宋"/>
          <w:color w:val="auto"/>
          <w:sz w:val="24"/>
          <w:szCs w:val="24"/>
          <w:highlight w:val="none"/>
          <w:lang w:val="zh-CN"/>
        </w:rPr>
        <w:t>应按投标人的报价由低到高顺序排列；得分且其报价相等的，则按核心技术指标优劣顺序排列。价格、技术指标的高</w:t>
      </w:r>
      <w:r>
        <w:rPr>
          <w:rFonts w:hint="eastAsia" w:ascii="仿宋" w:hAnsi="仿宋" w:eastAsia="仿宋" w:cs="仿宋"/>
          <w:color w:val="auto"/>
          <w:sz w:val="24"/>
          <w:szCs w:val="24"/>
          <w:highlight w:val="none"/>
        </w:rPr>
        <w:t>低或优劣由评标委员各成员确认评定。</w:t>
      </w:r>
    </w:p>
    <w:p w14:paraId="50FE5DA6">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8、若发现打分有误或者有差错的，或发现存在个人印象或带有明显倾向性时，将按前款“第五部分”中“第四章”的21.3条款之规定执行。</w:t>
      </w:r>
    </w:p>
    <w:p w14:paraId="0639F672">
      <w:pPr>
        <w:keepNext w:val="0"/>
        <w:keepLines w:val="0"/>
        <w:pageBreakBefore w:val="0"/>
        <w:widowControl w:val="0"/>
        <w:kinsoku/>
        <w:wordWrap/>
        <w:overflowPunct/>
        <w:topLinePunct w:val="0"/>
        <w:autoSpaceDE/>
        <w:autoSpaceDN/>
        <w:bidi w:val="0"/>
        <w:adjustRightInd/>
        <w:snapToGrid/>
        <w:spacing w:line="288" w:lineRule="auto"/>
        <w:ind w:firstLine="482" w:firstLineChars="200"/>
        <w:textAlignment w:val="auto"/>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zh-CN"/>
        </w:rPr>
        <w:t>2</w:t>
      </w:r>
      <w:r>
        <w:rPr>
          <w:rFonts w:hint="eastAsia" w:ascii="仿宋" w:hAnsi="仿宋" w:eastAsia="仿宋" w:cs="仿宋"/>
          <w:b/>
          <w:color w:val="auto"/>
          <w:sz w:val="24"/>
          <w:szCs w:val="24"/>
          <w:highlight w:val="none"/>
        </w:rPr>
        <w:t>3</w:t>
      </w:r>
      <w:r>
        <w:rPr>
          <w:rFonts w:hint="eastAsia" w:ascii="仿宋" w:hAnsi="仿宋" w:eastAsia="仿宋" w:cs="仿宋"/>
          <w:b/>
          <w:color w:val="auto"/>
          <w:sz w:val="24"/>
          <w:szCs w:val="24"/>
          <w:highlight w:val="none"/>
          <w:lang w:val="zh-CN"/>
        </w:rPr>
        <w:t>.5.9.8</w:t>
      </w:r>
      <w:r>
        <w:rPr>
          <w:rFonts w:hint="eastAsia" w:ascii="仿宋" w:hAnsi="仿宋" w:eastAsia="仿宋" w:cs="仿宋"/>
          <w:b/>
          <w:color w:val="auto"/>
          <w:sz w:val="24"/>
          <w:szCs w:val="24"/>
          <w:highlight w:val="none"/>
        </w:rPr>
        <w:t xml:space="preserve"> 《评标（分）记录明细表》</w:t>
      </w:r>
    </w:p>
    <w:p w14:paraId="1B3CAB91">
      <w:pPr>
        <w:keepNext w:val="0"/>
        <w:keepLines w:val="0"/>
        <w:pageBreakBefore w:val="0"/>
        <w:widowControl w:val="0"/>
        <w:kinsoku/>
        <w:wordWrap/>
        <w:overflowPunct/>
        <w:topLinePunct w:val="0"/>
        <w:autoSpaceDE/>
        <w:autoSpaceDN/>
        <w:bidi w:val="0"/>
        <w:adjustRightInd/>
        <w:snapToGrid/>
        <w:spacing w:line="288" w:lineRule="auto"/>
        <w:ind w:firstLine="480" w:firstLineChars="200"/>
        <w:jc w:val="left"/>
        <w:textAlignment w:val="auto"/>
        <w:outlineLvl w:val="9"/>
        <w:rPr>
          <w:rFonts w:hint="eastAsia" w:ascii="仿宋" w:hAnsi="仿宋" w:eastAsia="仿宋" w:cs="仿宋"/>
          <w:b/>
          <w:color w:val="auto"/>
          <w:sz w:val="32"/>
          <w:szCs w:val="32"/>
          <w:highlight w:val="none"/>
        </w:rPr>
      </w:pPr>
      <w:r>
        <w:rPr>
          <w:rFonts w:hint="eastAsia" w:ascii="仿宋" w:hAnsi="仿宋" w:eastAsia="仿宋" w:cs="仿宋"/>
          <w:color w:val="auto"/>
          <w:sz w:val="24"/>
          <w:szCs w:val="24"/>
          <w:highlight w:val="none"/>
        </w:rPr>
        <w:t>评标委员会各成员记录原则上不允许有涂改、划擦等，如有应按合规方式修正。不允许在采购代理机构核对汇总且确认之后，在未经许可时，不能再要回重新记录。</w:t>
      </w:r>
    </w:p>
    <w:p w14:paraId="227FAA3F">
      <w:pPr>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448A4B44">
      <w:pPr>
        <w:pStyle w:val="35"/>
        <w:spacing w:before="0" w:after="0" w:line="360" w:lineRule="auto"/>
        <w:ind w:firstLine="0"/>
        <w:jc w:val="center"/>
        <w:outlineLvl w:val="2"/>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技术商务部分评标（分）记录明细表</w:t>
      </w:r>
    </w:p>
    <w:tbl>
      <w:tblPr>
        <w:tblStyle w:val="25"/>
        <w:tblW w:w="1043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4"/>
        <w:gridCol w:w="1683"/>
        <w:gridCol w:w="634"/>
        <w:gridCol w:w="7556"/>
      </w:tblGrid>
      <w:tr w14:paraId="5A0B49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34" w:hRule="atLeast"/>
          <w:jc w:val="center"/>
        </w:trPr>
        <w:tc>
          <w:tcPr>
            <w:tcW w:w="564" w:type="dxa"/>
            <w:noWrap w:val="0"/>
            <w:vAlign w:val="center"/>
          </w:tcPr>
          <w:p w14:paraId="3440ED9D">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lang w:val="en-US" w:eastAsia="zh-CN"/>
              </w:rPr>
            </w:pPr>
            <w:r>
              <w:rPr>
                <w:rFonts w:hint="eastAsia" w:ascii="宋体" w:hAnsi="宋体" w:eastAsia="宋体" w:cs="宋体"/>
                <w:b/>
                <w:color w:val="auto"/>
                <w:sz w:val="24"/>
                <w:szCs w:val="24"/>
                <w:highlight w:val="none"/>
                <w:shd w:val="clear" w:color="auto" w:fill="auto"/>
                <w:lang w:val="en-US" w:eastAsia="zh-CN"/>
              </w:rPr>
              <w:t>序号</w:t>
            </w:r>
          </w:p>
        </w:tc>
        <w:tc>
          <w:tcPr>
            <w:tcW w:w="1683" w:type="dxa"/>
            <w:noWrap w:val="0"/>
            <w:vAlign w:val="center"/>
          </w:tcPr>
          <w:p w14:paraId="1CAF51C7">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考核项目</w:t>
            </w:r>
          </w:p>
        </w:tc>
        <w:tc>
          <w:tcPr>
            <w:tcW w:w="634" w:type="dxa"/>
            <w:noWrap w:val="0"/>
            <w:vAlign w:val="center"/>
          </w:tcPr>
          <w:p w14:paraId="36DC9F93">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分数标准</w:t>
            </w:r>
          </w:p>
        </w:tc>
        <w:tc>
          <w:tcPr>
            <w:tcW w:w="7556" w:type="dxa"/>
            <w:noWrap w:val="0"/>
            <w:vAlign w:val="center"/>
          </w:tcPr>
          <w:p w14:paraId="3181C5FC">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评分标准</w:t>
            </w:r>
          </w:p>
        </w:tc>
      </w:tr>
      <w:tr w14:paraId="3572C7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361" w:hRule="atLeast"/>
          <w:jc w:val="center"/>
        </w:trPr>
        <w:tc>
          <w:tcPr>
            <w:tcW w:w="564" w:type="dxa"/>
            <w:noWrap w:val="0"/>
            <w:vAlign w:val="center"/>
          </w:tcPr>
          <w:p w14:paraId="39D57EE3">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一</w:t>
            </w:r>
          </w:p>
        </w:tc>
        <w:tc>
          <w:tcPr>
            <w:tcW w:w="1683" w:type="dxa"/>
            <w:noWrap w:val="0"/>
            <w:vAlign w:val="center"/>
          </w:tcPr>
          <w:p w14:paraId="0EF26C12">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技术部分</w:t>
            </w:r>
          </w:p>
        </w:tc>
        <w:tc>
          <w:tcPr>
            <w:tcW w:w="634" w:type="dxa"/>
            <w:noWrap w:val="0"/>
            <w:vAlign w:val="center"/>
          </w:tcPr>
          <w:p w14:paraId="0B8B74A1">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default" w:ascii="宋体" w:hAnsi="宋体" w:eastAsia="宋体" w:cs="宋体"/>
                <w:b/>
                <w:color w:val="auto"/>
                <w:sz w:val="24"/>
                <w:szCs w:val="24"/>
                <w:highlight w:val="none"/>
                <w:shd w:val="clear" w:color="auto" w:fill="auto"/>
                <w:lang w:val="en-US" w:eastAsia="zh-CN"/>
              </w:rPr>
            </w:pPr>
            <w:r>
              <w:rPr>
                <w:rFonts w:hint="eastAsia" w:ascii="宋体" w:hAnsi="宋体" w:eastAsia="宋体" w:cs="宋体"/>
                <w:b/>
                <w:color w:val="auto"/>
                <w:sz w:val="24"/>
                <w:szCs w:val="24"/>
                <w:highlight w:val="none"/>
                <w:shd w:val="clear" w:color="auto" w:fill="auto"/>
                <w:lang w:val="en-US" w:eastAsia="zh-CN"/>
              </w:rPr>
              <w:t>55</w:t>
            </w:r>
          </w:p>
        </w:tc>
        <w:tc>
          <w:tcPr>
            <w:tcW w:w="7556" w:type="dxa"/>
            <w:noWrap w:val="0"/>
            <w:vAlign w:val="center"/>
          </w:tcPr>
          <w:p w14:paraId="518E3085">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color w:val="auto"/>
                <w:sz w:val="24"/>
                <w:szCs w:val="24"/>
                <w:highlight w:val="none"/>
                <w:shd w:val="clear" w:color="auto" w:fill="auto"/>
              </w:rPr>
            </w:pPr>
            <w:r>
              <w:rPr>
                <w:rFonts w:hint="eastAsia" w:ascii="宋体" w:hAnsi="宋体" w:eastAsia="宋体" w:cs="宋体"/>
                <w:b/>
                <w:color w:val="auto"/>
                <w:sz w:val="24"/>
                <w:szCs w:val="24"/>
                <w:highlight w:val="none"/>
                <w:shd w:val="clear" w:color="auto" w:fill="auto"/>
              </w:rPr>
              <w:t>具体按下列标准要求进行评审</w:t>
            </w:r>
          </w:p>
        </w:tc>
      </w:tr>
      <w:tr w14:paraId="2EDABB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545" w:hRule="atLeast"/>
          <w:jc w:val="center"/>
        </w:trPr>
        <w:tc>
          <w:tcPr>
            <w:tcW w:w="564" w:type="dxa"/>
            <w:noWrap w:val="0"/>
            <w:vAlign w:val="center"/>
          </w:tcPr>
          <w:p w14:paraId="6F6F596C">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1</w:t>
            </w:r>
          </w:p>
        </w:tc>
        <w:tc>
          <w:tcPr>
            <w:tcW w:w="1683" w:type="dxa"/>
            <w:noWrap w:val="0"/>
            <w:vAlign w:val="center"/>
          </w:tcPr>
          <w:p w14:paraId="7B187E33">
            <w:pPr>
              <w:pStyle w:val="35"/>
              <w:keepNext w:val="0"/>
              <w:keepLines w:val="0"/>
              <w:pageBreakBefore w:val="0"/>
              <w:kinsoku/>
              <w:wordWrap/>
              <w:overflowPunct/>
              <w:topLinePunct w:val="0"/>
              <w:autoSpaceDE/>
              <w:autoSpaceDN/>
              <w:bidi w:val="0"/>
              <w:adjustRightInd w:val="0"/>
              <w:snapToGrid w:val="0"/>
              <w:spacing w:before="0" w:after="0" w:line="240" w:lineRule="auto"/>
              <w:ind w:firstLine="0"/>
              <w:jc w:val="center"/>
              <w:outlineLvl w:val="9"/>
              <w:rPr>
                <w:rFonts w:hint="eastAsia" w:ascii="宋体" w:hAnsi="宋体" w:eastAsia="宋体" w:cs="宋体"/>
                <w:color w:val="auto"/>
                <w:spacing w:val="-17"/>
                <w:sz w:val="22"/>
                <w:szCs w:val="22"/>
                <w:highlight w:val="none"/>
              </w:rPr>
            </w:pPr>
            <w:r>
              <w:rPr>
                <w:rFonts w:hint="eastAsia" w:ascii="宋体" w:hAnsi="宋体" w:eastAsia="宋体" w:cs="宋体"/>
                <w:color w:val="auto"/>
                <w:spacing w:val="-17"/>
                <w:sz w:val="22"/>
                <w:szCs w:val="22"/>
                <w:highlight w:val="none"/>
              </w:rPr>
              <w:t>（设备选型）</w:t>
            </w:r>
          </w:p>
          <w:p w14:paraId="3971C1D6">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综合评价</w:t>
            </w:r>
          </w:p>
        </w:tc>
        <w:tc>
          <w:tcPr>
            <w:tcW w:w="634" w:type="dxa"/>
            <w:noWrap w:val="0"/>
            <w:vAlign w:val="center"/>
          </w:tcPr>
          <w:p w14:paraId="2F2ED1F9">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分</w:t>
            </w:r>
          </w:p>
        </w:tc>
        <w:tc>
          <w:tcPr>
            <w:tcW w:w="7556" w:type="dxa"/>
            <w:tcBorders>
              <w:top w:val="single" w:color="auto" w:sz="4" w:space="0"/>
            </w:tcBorders>
            <w:noWrap w:val="0"/>
            <w:vAlign w:val="center"/>
          </w:tcPr>
          <w:p w14:paraId="335D9AD8">
            <w:pPr>
              <w:pStyle w:val="35"/>
              <w:keepNext w:val="0"/>
              <w:keepLines w:val="0"/>
              <w:pageBreakBefore w:val="0"/>
              <w:numPr>
                <w:ilvl w:val="0"/>
                <w:numId w:val="0"/>
              </w:numPr>
              <w:kinsoku/>
              <w:wordWrap/>
              <w:overflowPunct/>
              <w:topLinePunct w:val="0"/>
              <w:autoSpaceDE/>
              <w:autoSpaceDN/>
              <w:bidi w:val="0"/>
              <w:adjustRightInd w:val="0"/>
              <w:snapToGrid w:val="0"/>
              <w:spacing w:before="0" w:after="0" w:line="240" w:lineRule="auto"/>
              <w:ind w:left="0" w:leftChars="0" w:firstLine="440" w:firstLineChars="20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根据所投产品（设备选型）综合评价打分，优于招标文件要求得8-10分；符合招标文件要求的得4-7分；部分符合得1-3分，不符</w:t>
            </w:r>
            <w:r>
              <w:rPr>
                <w:rFonts w:hint="eastAsia" w:ascii="宋体" w:hAnsi="宋体" w:eastAsia="宋体" w:cs="宋体"/>
                <w:color w:val="auto"/>
                <w:sz w:val="22"/>
                <w:szCs w:val="22"/>
                <w:highlight w:val="none"/>
                <w:lang w:val="en-US" w:eastAsia="zh-CN"/>
              </w:rPr>
              <w:t>合</w:t>
            </w:r>
            <w:r>
              <w:rPr>
                <w:rFonts w:hint="eastAsia" w:ascii="宋体" w:hAnsi="宋体" w:eastAsia="宋体" w:cs="宋体"/>
                <w:color w:val="auto"/>
                <w:sz w:val="22"/>
                <w:szCs w:val="22"/>
                <w:highlight w:val="none"/>
              </w:rPr>
              <w:t>不得分</w:t>
            </w:r>
            <w:r>
              <w:rPr>
                <w:rFonts w:hint="eastAsia" w:ascii="宋体" w:hAnsi="宋体" w:eastAsia="宋体" w:cs="宋体"/>
                <w:color w:val="auto"/>
                <w:sz w:val="22"/>
                <w:szCs w:val="22"/>
                <w:highlight w:val="none"/>
                <w:lang w:eastAsia="zh-CN"/>
              </w:rPr>
              <w:t>。</w:t>
            </w:r>
          </w:p>
        </w:tc>
      </w:tr>
      <w:tr w14:paraId="3657A4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81" w:hRule="atLeast"/>
          <w:jc w:val="center"/>
        </w:trPr>
        <w:tc>
          <w:tcPr>
            <w:tcW w:w="564" w:type="dxa"/>
            <w:noWrap w:val="0"/>
            <w:vAlign w:val="center"/>
          </w:tcPr>
          <w:p w14:paraId="63756CAE">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2</w:t>
            </w:r>
          </w:p>
        </w:tc>
        <w:tc>
          <w:tcPr>
            <w:tcW w:w="1683" w:type="dxa"/>
            <w:noWrap w:val="0"/>
            <w:vAlign w:val="center"/>
          </w:tcPr>
          <w:p w14:paraId="1AE67256">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zh-CN" w:eastAsia="zh-CN" w:bidi="ar-SA"/>
              </w:rPr>
            </w:pPr>
            <w:r>
              <w:rPr>
                <w:rFonts w:hint="eastAsia" w:ascii="宋体" w:hAnsi="宋体" w:eastAsia="宋体" w:cs="宋体"/>
                <w:color w:val="auto"/>
                <w:sz w:val="22"/>
                <w:szCs w:val="22"/>
                <w:highlight w:val="none"/>
              </w:rPr>
              <w:t>配置及性能指标响应</w:t>
            </w:r>
          </w:p>
        </w:tc>
        <w:tc>
          <w:tcPr>
            <w:tcW w:w="634" w:type="dxa"/>
            <w:noWrap w:val="0"/>
            <w:vAlign w:val="center"/>
          </w:tcPr>
          <w:p w14:paraId="55FD84C4">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分</w:t>
            </w:r>
          </w:p>
        </w:tc>
        <w:tc>
          <w:tcPr>
            <w:tcW w:w="7556" w:type="dxa"/>
            <w:tcBorders>
              <w:top w:val="single" w:color="auto" w:sz="4" w:space="0"/>
            </w:tcBorders>
            <w:noWrap w:val="0"/>
            <w:vAlign w:val="center"/>
          </w:tcPr>
          <w:p w14:paraId="40801B4A">
            <w:pPr>
              <w:pStyle w:val="35"/>
              <w:keepNext w:val="0"/>
              <w:keepLines w:val="0"/>
              <w:pageBreakBefore w:val="0"/>
              <w:numPr>
                <w:ilvl w:val="0"/>
                <w:numId w:val="0"/>
              </w:numPr>
              <w:kinsoku/>
              <w:wordWrap/>
              <w:overflowPunct/>
              <w:topLinePunct w:val="0"/>
              <w:autoSpaceDE/>
              <w:autoSpaceDN/>
              <w:bidi w:val="0"/>
              <w:adjustRightInd w:val="0"/>
              <w:snapToGrid w:val="0"/>
              <w:spacing w:before="0" w:after="0" w:line="240" w:lineRule="auto"/>
              <w:ind w:firstLine="440" w:firstLineChars="20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根据所投产品的配置与性能指标的响应程度打分，全部响应招标文件的得</w:t>
            </w: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分。每有一项指标高于要求的加0.5分，每有一项关键指标低于要求的扣2分，此项最高得</w:t>
            </w:r>
            <w:r>
              <w:rPr>
                <w:rFonts w:hint="eastAsia" w:ascii="宋体" w:hAnsi="宋体" w:eastAsia="宋体" w:cs="宋体"/>
                <w:color w:val="auto"/>
                <w:sz w:val="22"/>
                <w:szCs w:val="22"/>
                <w:highlight w:val="none"/>
                <w:lang w:val="en-US" w:eastAsia="zh-CN"/>
              </w:rPr>
              <w:t>10</w:t>
            </w:r>
            <w:r>
              <w:rPr>
                <w:rFonts w:hint="eastAsia" w:ascii="宋体" w:hAnsi="宋体" w:eastAsia="宋体" w:cs="宋体"/>
                <w:color w:val="auto"/>
                <w:sz w:val="22"/>
                <w:szCs w:val="22"/>
                <w:highlight w:val="none"/>
              </w:rPr>
              <w:t>分，最低得0分。</w:t>
            </w:r>
          </w:p>
        </w:tc>
      </w:tr>
      <w:tr w14:paraId="4DA478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81" w:hRule="atLeast"/>
          <w:jc w:val="center"/>
        </w:trPr>
        <w:tc>
          <w:tcPr>
            <w:tcW w:w="564" w:type="dxa"/>
            <w:noWrap w:val="0"/>
            <w:vAlign w:val="center"/>
          </w:tcPr>
          <w:p w14:paraId="1B8B4556">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3</w:t>
            </w:r>
          </w:p>
        </w:tc>
        <w:tc>
          <w:tcPr>
            <w:tcW w:w="1683" w:type="dxa"/>
            <w:noWrap w:val="0"/>
            <w:vAlign w:val="center"/>
          </w:tcPr>
          <w:p w14:paraId="1363DE92">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货物供应</w:t>
            </w:r>
          </w:p>
        </w:tc>
        <w:tc>
          <w:tcPr>
            <w:tcW w:w="634" w:type="dxa"/>
            <w:noWrap w:val="0"/>
            <w:vAlign w:val="center"/>
          </w:tcPr>
          <w:p w14:paraId="0FA1D8D7">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12</w:t>
            </w:r>
            <w:r>
              <w:rPr>
                <w:rFonts w:hint="eastAsia" w:ascii="宋体" w:hAnsi="宋体" w:eastAsia="宋体" w:cs="宋体"/>
                <w:color w:val="auto"/>
                <w:sz w:val="22"/>
                <w:szCs w:val="22"/>
                <w:highlight w:val="none"/>
              </w:rPr>
              <w:t>分</w:t>
            </w:r>
          </w:p>
        </w:tc>
        <w:tc>
          <w:tcPr>
            <w:tcW w:w="7556" w:type="dxa"/>
            <w:tcBorders>
              <w:top w:val="single" w:color="auto" w:sz="4" w:space="0"/>
            </w:tcBorders>
            <w:noWrap w:val="0"/>
            <w:vAlign w:val="center"/>
          </w:tcPr>
          <w:p w14:paraId="3E72FF85">
            <w:pPr>
              <w:pStyle w:val="35"/>
              <w:keepNext w:val="0"/>
              <w:keepLines w:val="0"/>
              <w:pageBreakBefore w:val="0"/>
              <w:widowControl/>
              <w:kinsoku/>
              <w:wordWrap/>
              <w:overflowPunct/>
              <w:topLinePunct w:val="0"/>
              <w:autoSpaceDE/>
              <w:autoSpaceDN/>
              <w:bidi w:val="0"/>
              <w:adjustRightInd w:val="0"/>
              <w:snapToGrid w:val="0"/>
              <w:spacing w:before="0" w:after="0" w:line="240" w:lineRule="auto"/>
              <w:ind w:firstLine="0" w:firstLineChars="0"/>
              <w:jc w:val="left"/>
              <w:textAlignment w:val="baseline"/>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货物供应方案完整可行且优良、交货期承诺少于规定的得</w:t>
            </w:r>
            <w:r>
              <w:rPr>
                <w:rFonts w:hint="eastAsia" w:ascii="宋体" w:hAnsi="宋体" w:eastAsia="宋体" w:cs="宋体"/>
                <w:color w:val="auto"/>
                <w:sz w:val="22"/>
                <w:szCs w:val="22"/>
                <w:highlight w:val="none"/>
                <w:lang w:val="en-US" w:eastAsia="zh-CN"/>
              </w:rPr>
              <w:t>7-12</w:t>
            </w:r>
            <w:r>
              <w:rPr>
                <w:rFonts w:hint="eastAsia" w:ascii="宋体" w:hAnsi="宋体" w:eastAsia="宋体" w:cs="宋体"/>
                <w:color w:val="auto"/>
                <w:sz w:val="22"/>
                <w:szCs w:val="22"/>
                <w:highlight w:val="none"/>
              </w:rPr>
              <w:t>分；货物供应方案一般、交货期基本符合</w:t>
            </w:r>
            <w:r>
              <w:rPr>
                <w:rFonts w:hint="eastAsia" w:ascii="宋体" w:hAnsi="宋体" w:eastAsia="宋体" w:cs="宋体"/>
                <w:color w:val="auto"/>
                <w:sz w:val="22"/>
                <w:szCs w:val="22"/>
                <w:highlight w:val="none"/>
                <w:lang w:val="en-US" w:eastAsia="zh-CN"/>
              </w:rPr>
              <w:t>招标文件</w:t>
            </w:r>
            <w:r>
              <w:rPr>
                <w:rFonts w:hint="eastAsia" w:ascii="宋体" w:hAnsi="宋体" w:eastAsia="宋体" w:cs="宋体"/>
                <w:color w:val="auto"/>
                <w:sz w:val="22"/>
                <w:szCs w:val="22"/>
                <w:highlight w:val="none"/>
              </w:rPr>
              <w:t>要求的得</w:t>
            </w:r>
            <w:r>
              <w:rPr>
                <w:rFonts w:hint="eastAsia" w:ascii="宋体" w:hAnsi="宋体" w:eastAsia="宋体" w:cs="宋体"/>
                <w:color w:val="auto"/>
                <w:sz w:val="22"/>
                <w:szCs w:val="22"/>
                <w:highlight w:val="none"/>
                <w:lang w:val="en-US" w:eastAsia="zh-CN"/>
              </w:rPr>
              <w:t>1-6</w:t>
            </w:r>
            <w:r>
              <w:rPr>
                <w:rFonts w:hint="eastAsia" w:ascii="宋体" w:hAnsi="宋体" w:eastAsia="宋体" w:cs="宋体"/>
                <w:color w:val="auto"/>
                <w:sz w:val="22"/>
                <w:szCs w:val="22"/>
                <w:highlight w:val="none"/>
              </w:rPr>
              <w:t>分；货物供应方案不完整不可行、交货期长于要求的不得分。</w:t>
            </w:r>
          </w:p>
          <w:p w14:paraId="2E73F2B8">
            <w:pPr>
              <w:pStyle w:val="35"/>
              <w:keepNext w:val="0"/>
              <w:keepLines w:val="0"/>
              <w:pageBreakBefore w:val="0"/>
              <w:widowControl/>
              <w:kinsoku/>
              <w:wordWrap/>
              <w:overflowPunct/>
              <w:topLinePunct w:val="0"/>
              <w:autoSpaceDE/>
              <w:autoSpaceDN/>
              <w:bidi w:val="0"/>
              <w:adjustRightInd w:val="0"/>
              <w:snapToGrid w:val="0"/>
              <w:spacing w:before="0" w:after="0" w:line="240" w:lineRule="auto"/>
              <w:ind w:firstLine="0" w:firstLineChars="0"/>
              <w:jc w:val="left"/>
              <w:textAlignment w:val="baseline"/>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评审依据：生产组织能力，管理流程、货物供应方案、交货期等因素。</w:t>
            </w:r>
          </w:p>
        </w:tc>
      </w:tr>
      <w:tr w14:paraId="5AA59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1716" w:hRule="atLeast"/>
          <w:jc w:val="center"/>
        </w:trPr>
        <w:tc>
          <w:tcPr>
            <w:tcW w:w="564" w:type="dxa"/>
            <w:noWrap w:val="0"/>
            <w:vAlign w:val="center"/>
          </w:tcPr>
          <w:p w14:paraId="4096E4FB">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4</w:t>
            </w:r>
          </w:p>
        </w:tc>
        <w:tc>
          <w:tcPr>
            <w:tcW w:w="1683" w:type="dxa"/>
            <w:noWrap w:val="0"/>
            <w:vAlign w:val="center"/>
          </w:tcPr>
          <w:p w14:paraId="18EDCC17">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售后服务体系及服务情况</w:t>
            </w:r>
          </w:p>
        </w:tc>
        <w:tc>
          <w:tcPr>
            <w:tcW w:w="634" w:type="dxa"/>
            <w:noWrap w:val="0"/>
            <w:vAlign w:val="center"/>
          </w:tcPr>
          <w:p w14:paraId="5A62C1EE">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分</w:t>
            </w:r>
          </w:p>
        </w:tc>
        <w:tc>
          <w:tcPr>
            <w:tcW w:w="7556" w:type="dxa"/>
            <w:tcBorders>
              <w:top w:val="single" w:color="auto" w:sz="4" w:space="0"/>
            </w:tcBorders>
            <w:noWrap w:val="0"/>
            <w:vAlign w:val="center"/>
          </w:tcPr>
          <w:p w14:paraId="175E176B">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left"/>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承诺满足用户要求且优于其他投标方的，售后服务体系完备有</w:t>
            </w:r>
            <w:r>
              <w:rPr>
                <w:rFonts w:hint="eastAsia" w:ascii="宋体" w:hAnsi="宋体" w:eastAsia="宋体" w:cs="宋体"/>
                <w:color w:val="auto"/>
                <w:sz w:val="22"/>
                <w:szCs w:val="22"/>
                <w:highlight w:val="none"/>
                <w:lang w:val="en-US" w:eastAsia="zh-CN"/>
              </w:rPr>
              <w:t>售后服务机构</w:t>
            </w:r>
            <w:r>
              <w:rPr>
                <w:rFonts w:hint="eastAsia" w:ascii="宋体" w:hAnsi="宋体" w:eastAsia="宋体" w:cs="宋体"/>
                <w:color w:val="auto"/>
                <w:sz w:val="22"/>
                <w:szCs w:val="22"/>
                <w:highlight w:val="none"/>
              </w:rPr>
              <w:t>、有备品备件、承诺安排人员进行售后服务及巡检的得</w:t>
            </w: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分；售后服务承诺周到得</w:t>
            </w:r>
            <w:r>
              <w:rPr>
                <w:rFonts w:hint="eastAsia" w:ascii="宋体" w:hAnsi="宋体" w:eastAsia="宋体" w:cs="宋体"/>
                <w:color w:val="auto"/>
                <w:sz w:val="22"/>
                <w:szCs w:val="22"/>
                <w:highlight w:val="none"/>
                <w:lang w:val="en-US" w:eastAsia="zh-CN"/>
              </w:rPr>
              <w:t>4-6</w:t>
            </w:r>
            <w:r>
              <w:rPr>
                <w:rFonts w:hint="eastAsia" w:ascii="宋体" w:hAnsi="宋体" w:eastAsia="宋体" w:cs="宋体"/>
                <w:color w:val="auto"/>
                <w:sz w:val="22"/>
                <w:szCs w:val="22"/>
                <w:highlight w:val="none"/>
              </w:rPr>
              <w:t>分；售后服务承诺一般得</w:t>
            </w:r>
            <w:r>
              <w:rPr>
                <w:rFonts w:hint="eastAsia" w:ascii="宋体" w:hAnsi="宋体" w:eastAsia="宋体" w:cs="宋体"/>
                <w:color w:val="auto"/>
                <w:sz w:val="22"/>
                <w:szCs w:val="22"/>
                <w:highlight w:val="none"/>
                <w:lang w:val="en-US" w:eastAsia="zh-CN"/>
              </w:rPr>
              <w:t>1-3</w:t>
            </w:r>
            <w:r>
              <w:rPr>
                <w:rFonts w:hint="eastAsia" w:ascii="宋体" w:hAnsi="宋体" w:eastAsia="宋体" w:cs="宋体"/>
                <w:color w:val="auto"/>
                <w:sz w:val="22"/>
                <w:szCs w:val="22"/>
                <w:highlight w:val="none"/>
              </w:rPr>
              <w:t>分；售后服务体系不完备的不得分。</w:t>
            </w:r>
          </w:p>
          <w:p w14:paraId="5458DB55">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评审依据：依据各投标人或所投产品制造商提供的售后服务方案，视服务的及时性和有效性，由评标委员会进行对比打分，需提供</w:t>
            </w:r>
            <w:r>
              <w:rPr>
                <w:rFonts w:hint="eastAsia" w:ascii="宋体" w:hAnsi="宋体" w:eastAsia="宋体" w:cs="宋体"/>
                <w:color w:val="auto"/>
                <w:sz w:val="22"/>
                <w:szCs w:val="22"/>
                <w:highlight w:val="none"/>
                <w:lang w:val="en-US" w:eastAsia="zh-CN"/>
              </w:rPr>
              <w:t>售后服务机构的</w:t>
            </w:r>
            <w:r>
              <w:rPr>
                <w:rFonts w:hint="eastAsia" w:ascii="宋体" w:hAnsi="宋体" w:eastAsia="宋体" w:cs="宋体"/>
                <w:color w:val="auto"/>
                <w:sz w:val="22"/>
                <w:szCs w:val="22"/>
                <w:highlight w:val="none"/>
              </w:rPr>
              <w:t>营业执照、房屋租赁合同或房屋购买合同、办公场所照片等证明材料</w:t>
            </w:r>
            <w:r>
              <w:rPr>
                <w:rFonts w:hint="eastAsia" w:ascii="宋体" w:hAnsi="宋体" w:eastAsia="宋体" w:cs="宋体"/>
                <w:color w:val="auto"/>
                <w:sz w:val="22"/>
                <w:szCs w:val="22"/>
                <w:highlight w:val="none"/>
                <w:lang w:val="en-US" w:eastAsia="zh-CN"/>
              </w:rPr>
              <w:t>照</w:t>
            </w:r>
            <w:r>
              <w:rPr>
                <w:rFonts w:hint="eastAsia" w:ascii="宋体" w:hAnsi="宋体" w:eastAsia="宋体" w:cs="宋体"/>
                <w:color w:val="auto"/>
                <w:sz w:val="22"/>
                <w:szCs w:val="22"/>
                <w:highlight w:val="none"/>
              </w:rPr>
              <w:t>片等。</w:t>
            </w:r>
          </w:p>
        </w:tc>
      </w:tr>
      <w:tr w14:paraId="5EAF4C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81" w:hRule="atLeast"/>
          <w:jc w:val="center"/>
        </w:trPr>
        <w:tc>
          <w:tcPr>
            <w:tcW w:w="564" w:type="dxa"/>
            <w:noWrap w:val="0"/>
            <w:vAlign w:val="center"/>
          </w:tcPr>
          <w:p w14:paraId="5FFC1111">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5</w:t>
            </w:r>
          </w:p>
        </w:tc>
        <w:tc>
          <w:tcPr>
            <w:tcW w:w="1683" w:type="dxa"/>
            <w:noWrap w:val="0"/>
            <w:vAlign w:val="center"/>
          </w:tcPr>
          <w:p w14:paraId="16E71969">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培训计划</w:t>
            </w:r>
          </w:p>
        </w:tc>
        <w:tc>
          <w:tcPr>
            <w:tcW w:w="634" w:type="dxa"/>
            <w:noWrap w:val="0"/>
            <w:vAlign w:val="center"/>
          </w:tcPr>
          <w:p w14:paraId="565AAEF1">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rPr>
              <w:t>分</w:t>
            </w:r>
          </w:p>
        </w:tc>
        <w:tc>
          <w:tcPr>
            <w:tcW w:w="7556" w:type="dxa"/>
            <w:tcBorders>
              <w:top w:val="single" w:color="auto" w:sz="4" w:space="0"/>
            </w:tcBorders>
            <w:noWrap w:val="0"/>
            <w:vAlign w:val="center"/>
          </w:tcPr>
          <w:p w14:paraId="73EBB8BC">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①根据供应商提供的培训方案针对性、可行性、有效性；</w:t>
            </w:r>
          </w:p>
          <w:p w14:paraId="0EEF2B0E">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②考虑培训内容、方式和对象等；</w:t>
            </w:r>
          </w:p>
          <w:p w14:paraId="5D358A4C">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③能否保证培训的质量；</w:t>
            </w:r>
          </w:p>
          <w:p w14:paraId="0CD7C07D">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④有详细培训计划且培训计划合理等方面；</w:t>
            </w:r>
          </w:p>
          <w:p w14:paraId="03003968">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2"/>
                <w:sz w:val="22"/>
                <w:szCs w:val="22"/>
                <w:highlight w:val="none"/>
                <w:lang w:val="en-US" w:eastAsia="zh-CN" w:bidi="ar-SA"/>
              </w:rPr>
              <w:t>以上内容完善性进行评分，每项1分，合计4分。方案表述完整，全面每项可加0.25分。本项最高得5分，本项未提供相关内容的，本项不得分。</w:t>
            </w:r>
          </w:p>
        </w:tc>
      </w:tr>
      <w:tr w14:paraId="2A869F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481" w:hRule="atLeast"/>
          <w:jc w:val="center"/>
        </w:trPr>
        <w:tc>
          <w:tcPr>
            <w:tcW w:w="564" w:type="dxa"/>
            <w:noWrap w:val="0"/>
            <w:vAlign w:val="center"/>
          </w:tcPr>
          <w:p w14:paraId="04C668A7">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center"/>
              <w:outlineLvl w:val="9"/>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6</w:t>
            </w:r>
          </w:p>
        </w:tc>
        <w:tc>
          <w:tcPr>
            <w:tcW w:w="1683" w:type="dxa"/>
            <w:noWrap w:val="0"/>
            <w:vAlign w:val="center"/>
          </w:tcPr>
          <w:p w14:paraId="20FF88E6">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供货保证措施</w:t>
            </w:r>
          </w:p>
        </w:tc>
        <w:tc>
          <w:tcPr>
            <w:tcW w:w="634" w:type="dxa"/>
            <w:noWrap w:val="0"/>
            <w:vAlign w:val="center"/>
          </w:tcPr>
          <w:p w14:paraId="5D42891F">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center"/>
              <w:outlineLvl w:val="9"/>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10分</w:t>
            </w:r>
          </w:p>
        </w:tc>
        <w:tc>
          <w:tcPr>
            <w:tcW w:w="7556" w:type="dxa"/>
            <w:tcBorders>
              <w:top w:val="single" w:color="auto" w:sz="4" w:space="0"/>
            </w:tcBorders>
            <w:noWrap w:val="0"/>
            <w:vAlign w:val="center"/>
          </w:tcPr>
          <w:p w14:paraId="06430EB3">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sz w:val="22"/>
                <w:szCs w:val="22"/>
                <w:highlight w:val="none"/>
                <w:shd w:val="clear" w:color="auto" w:fill="auto"/>
                <w:lang w:val="en-US" w:eastAsia="zh-CN"/>
              </w:rPr>
            </w:pPr>
            <w:r>
              <w:rPr>
                <w:rFonts w:hint="eastAsia" w:ascii="宋体" w:hAnsi="宋体" w:eastAsia="宋体" w:cs="宋体"/>
                <w:color w:val="auto"/>
                <w:sz w:val="22"/>
                <w:szCs w:val="22"/>
                <w:highlight w:val="none"/>
                <w:shd w:val="clear" w:color="auto" w:fill="auto"/>
                <w:lang w:val="en-US" w:eastAsia="zh-CN"/>
              </w:rPr>
              <w:t>①安装、测试、调试方案明确、合理，有切实可行的保证措施，对本项目施工具有较强的指导性；②对软、硬件设备全程提供技术支持，产品安装和应用提供技术指导；二部分要素。所有要素齐全且完全满足项目要求得 10分，每缺一个要素扣5分，每个要素里</w:t>
            </w:r>
            <w:bookmarkStart w:id="19" w:name="_GoBack"/>
            <w:bookmarkEnd w:id="19"/>
            <w:r>
              <w:rPr>
                <w:rFonts w:hint="eastAsia" w:ascii="宋体" w:hAnsi="宋体" w:eastAsia="宋体" w:cs="宋体"/>
                <w:color w:val="auto"/>
                <w:sz w:val="22"/>
                <w:szCs w:val="22"/>
                <w:highlight w:val="none"/>
                <w:shd w:val="clear" w:color="auto" w:fill="auto"/>
                <w:lang w:val="en-US" w:eastAsia="zh-CN"/>
              </w:rPr>
              <w:t>每有一处内容缺陷扣 2分（扣完为止）。</w:t>
            </w:r>
          </w:p>
          <w:p w14:paraId="3C83078E">
            <w:pPr>
              <w:pStyle w:val="35"/>
              <w:keepNext w:val="0"/>
              <w:keepLines w:val="0"/>
              <w:pageBreakBefore w:val="0"/>
              <w:kinsoku/>
              <w:wordWrap/>
              <w:overflowPunct/>
              <w:topLinePunct w:val="0"/>
              <w:autoSpaceDE/>
              <w:autoSpaceDN/>
              <w:bidi w:val="0"/>
              <w:adjustRightInd w:val="0"/>
              <w:snapToGrid w:val="0"/>
              <w:spacing w:line="240" w:lineRule="auto"/>
              <w:ind w:firstLine="0" w:firstLineChars="0"/>
              <w:jc w:val="left"/>
              <w:outlineLvl w:val="9"/>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shd w:val="clear" w:color="auto" w:fill="auto"/>
                <w:lang w:val="en-US" w:eastAsia="zh-CN"/>
              </w:rPr>
              <w:t>注：1.内容存在缺陷是指：①该项内容描述前后不一致；②该项内容所阐述的项目信息与本项目实际信息不一致；③该项内容阐述的各类措施明显不符合本项目实际情况；④该项内容描述与本项目实际情况不符；⑤该项内容套用其他项目内容。</w:t>
            </w:r>
          </w:p>
        </w:tc>
      </w:tr>
      <w:tr w14:paraId="62B112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639" w:hRule="atLeast"/>
          <w:jc w:val="center"/>
        </w:trPr>
        <w:tc>
          <w:tcPr>
            <w:tcW w:w="564" w:type="dxa"/>
            <w:noWrap w:val="0"/>
            <w:vAlign w:val="center"/>
          </w:tcPr>
          <w:p w14:paraId="2538599C">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Cs/>
                <w:color w:val="auto"/>
                <w:kern w:val="2"/>
                <w:sz w:val="24"/>
                <w:szCs w:val="24"/>
                <w:highlight w:val="none"/>
                <w:shd w:val="clear" w:color="auto" w:fill="auto"/>
                <w:lang w:val="en-US" w:eastAsia="zh-CN" w:bidi="ar-SA"/>
              </w:rPr>
            </w:pPr>
            <w:r>
              <w:rPr>
                <w:rFonts w:hint="eastAsia" w:ascii="宋体" w:hAnsi="宋体" w:eastAsia="宋体" w:cs="宋体"/>
                <w:b/>
                <w:color w:val="auto"/>
                <w:sz w:val="24"/>
                <w:szCs w:val="24"/>
                <w:highlight w:val="none"/>
                <w:shd w:val="clear" w:color="auto" w:fill="auto"/>
              </w:rPr>
              <w:t>二</w:t>
            </w:r>
          </w:p>
        </w:tc>
        <w:tc>
          <w:tcPr>
            <w:tcW w:w="1683" w:type="dxa"/>
            <w:noWrap w:val="0"/>
            <w:vAlign w:val="center"/>
          </w:tcPr>
          <w:p w14:paraId="13964A8D">
            <w:pPr>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Cs/>
                <w:color w:val="auto"/>
                <w:kern w:val="2"/>
                <w:sz w:val="24"/>
                <w:szCs w:val="24"/>
                <w:highlight w:val="none"/>
                <w:shd w:val="clear" w:color="auto" w:fill="auto"/>
                <w:lang w:val="en-US" w:eastAsia="zh-CN" w:bidi="ar-SA"/>
              </w:rPr>
            </w:pPr>
            <w:r>
              <w:rPr>
                <w:rFonts w:hint="eastAsia" w:ascii="宋体" w:hAnsi="宋体" w:eastAsia="宋体" w:cs="宋体"/>
                <w:b/>
                <w:color w:val="auto"/>
                <w:sz w:val="24"/>
                <w:szCs w:val="24"/>
                <w:highlight w:val="none"/>
                <w:shd w:val="clear" w:color="auto" w:fill="auto"/>
              </w:rPr>
              <w:t>商务部分</w:t>
            </w:r>
          </w:p>
        </w:tc>
        <w:tc>
          <w:tcPr>
            <w:tcW w:w="634" w:type="dxa"/>
            <w:noWrap w:val="0"/>
            <w:vAlign w:val="center"/>
          </w:tcPr>
          <w:p w14:paraId="5EC58B6B">
            <w:pPr>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default"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b/>
                <w:color w:val="auto"/>
                <w:sz w:val="24"/>
                <w:szCs w:val="24"/>
                <w:highlight w:val="none"/>
                <w:shd w:val="clear" w:color="auto" w:fill="auto"/>
                <w:lang w:val="en-US" w:eastAsia="zh-CN"/>
              </w:rPr>
              <w:t>15</w:t>
            </w:r>
          </w:p>
        </w:tc>
        <w:tc>
          <w:tcPr>
            <w:tcW w:w="7556" w:type="dxa"/>
            <w:noWrap w:val="0"/>
            <w:vAlign w:val="center"/>
          </w:tcPr>
          <w:p w14:paraId="0FA44FD6">
            <w:pPr>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color w:val="auto"/>
                <w:kern w:val="2"/>
                <w:sz w:val="24"/>
                <w:szCs w:val="24"/>
                <w:highlight w:val="none"/>
                <w:shd w:val="clear" w:color="auto" w:fill="auto"/>
                <w:lang w:val="en-US" w:eastAsia="zh-CN" w:bidi="ar-SA"/>
              </w:rPr>
            </w:pPr>
            <w:r>
              <w:rPr>
                <w:rFonts w:hint="eastAsia" w:ascii="宋体" w:hAnsi="宋体" w:eastAsia="宋体" w:cs="宋体"/>
                <w:b/>
                <w:color w:val="auto"/>
                <w:sz w:val="24"/>
                <w:szCs w:val="24"/>
                <w:highlight w:val="none"/>
                <w:shd w:val="clear" w:color="auto" w:fill="auto"/>
              </w:rPr>
              <w:t>具体按下列标准要求进行评审</w:t>
            </w:r>
          </w:p>
        </w:tc>
      </w:tr>
      <w:tr w14:paraId="7819C7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69" w:hRule="atLeast"/>
          <w:jc w:val="center"/>
        </w:trPr>
        <w:tc>
          <w:tcPr>
            <w:tcW w:w="564" w:type="dxa"/>
            <w:noWrap w:val="0"/>
            <w:vAlign w:val="center"/>
          </w:tcPr>
          <w:p w14:paraId="01EE02A3">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0" w:beforeAutospacing="0" w:after="0" w:afterAutospacing="0" w:line="320" w:lineRule="exact"/>
              <w:ind w:left="0" w:leftChars="0" w:right="0" w:rightChars="0" w:firstLine="0" w:firstLineChars="0"/>
              <w:jc w:val="center"/>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2</w:t>
            </w:r>
          </w:p>
        </w:tc>
        <w:tc>
          <w:tcPr>
            <w:tcW w:w="1683" w:type="dxa"/>
            <w:shd w:val="clear" w:color="auto" w:fill="auto"/>
            <w:noWrap w:val="0"/>
            <w:vAlign w:val="center"/>
          </w:tcPr>
          <w:p w14:paraId="606F5973">
            <w:pPr>
              <w:pStyle w:val="12"/>
              <w:keepNext w:val="0"/>
              <w:keepLines w:val="0"/>
              <w:pageBreakBefore w:val="0"/>
              <w:widowControl w:val="0"/>
              <w:kinsoku/>
              <w:wordWrap/>
              <w:overflowPunct/>
              <w:topLinePunct w:val="0"/>
              <w:bidi w:val="0"/>
              <w:adjustRightInd w:val="0"/>
              <w:snapToGrid w:val="0"/>
              <w:spacing w:beforeAutospacing="0" w:afterAutospacing="0" w:line="300" w:lineRule="auto"/>
              <w:ind w:left="0" w:leftChars="0" w:right="0" w:rightChars="0" w:firstLine="0" w:firstLineChars="0"/>
              <w:jc w:val="center"/>
              <w:textAlignment w:val="auto"/>
              <w:outlineLvl w:val="9"/>
              <w:rPr>
                <w:rFonts w:hint="eastAsia" w:ascii="宋体" w:hAnsi="宋体" w:eastAsia="宋体" w:cs="宋体"/>
                <w:color w:val="000000" w:themeColor="text1"/>
                <w:kern w:val="2"/>
                <w:sz w:val="24"/>
                <w:szCs w:val="24"/>
                <w:highlight w:val="none"/>
                <w:lang w:val="en-US" w:eastAsia="zh-CN" w:bidi="ar-SA"/>
              </w:rPr>
            </w:pPr>
            <w:r>
              <w:rPr>
                <w:rFonts w:hint="eastAsia" w:ascii="宋体" w:hAnsi="宋体" w:eastAsia="宋体" w:cs="宋体"/>
                <w:color w:val="000000" w:themeColor="text1"/>
                <w:sz w:val="24"/>
                <w:szCs w:val="24"/>
                <w:highlight w:val="none"/>
                <w:lang w:val="en-US" w:eastAsia="zh-CN"/>
              </w:rPr>
              <w:t>拟投入本项目人员的情况</w:t>
            </w:r>
          </w:p>
        </w:tc>
        <w:tc>
          <w:tcPr>
            <w:tcW w:w="634" w:type="dxa"/>
            <w:shd w:val="clear" w:color="auto" w:fill="auto"/>
            <w:noWrap w:val="0"/>
            <w:vAlign w:val="center"/>
          </w:tcPr>
          <w:p w14:paraId="1C0A5D9B">
            <w:pPr>
              <w:pStyle w:val="12"/>
              <w:keepNext w:val="0"/>
              <w:keepLines w:val="0"/>
              <w:pageBreakBefore w:val="0"/>
              <w:widowControl w:val="0"/>
              <w:kinsoku/>
              <w:wordWrap/>
              <w:overflowPunct/>
              <w:topLinePunct w:val="0"/>
              <w:bidi w:val="0"/>
              <w:adjustRightInd w:val="0"/>
              <w:snapToGrid w:val="0"/>
              <w:spacing w:beforeAutospacing="0" w:afterAutospacing="0" w:line="300" w:lineRule="auto"/>
              <w:ind w:left="0" w:leftChars="0" w:right="0" w:rightChars="0" w:firstLine="0" w:firstLineChars="0"/>
              <w:jc w:val="center"/>
              <w:textAlignment w:val="auto"/>
              <w:outlineLvl w:val="9"/>
              <w:rPr>
                <w:rFonts w:hint="eastAsia" w:ascii="宋体" w:hAnsi="宋体" w:eastAsia="宋体" w:cs="宋体"/>
                <w:color w:val="000000" w:themeColor="text1"/>
                <w:kern w:val="2"/>
                <w:sz w:val="24"/>
                <w:szCs w:val="24"/>
                <w:highlight w:val="none"/>
                <w:lang w:val="en-US" w:eastAsia="zh-CN" w:bidi="ar-SA"/>
              </w:rPr>
            </w:pPr>
            <w:r>
              <w:rPr>
                <w:rFonts w:hint="eastAsia" w:ascii="宋体" w:hAnsi="宋体" w:eastAsia="宋体" w:cs="宋体"/>
                <w:color w:val="000000" w:themeColor="text1"/>
                <w:sz w:val="24"/>
                <w:szCs w:val="24"/>
                <w:highlight w:val="none"/>
                <w:lang w:val="en-US" w:eastAsia="zh-CN"/>
              </w:rPr>
              <w:t>8分</w:t>
            </w:r>
          </w:p>
        </w:tc>
        <w:tc>
          <w:tcPr>
            <w:tcW w:w="7556" w:type="dxa"/>
            <w:shd w:val="clear" w:color="auto" w:fill="auto"/>
            <w:noWrap w:val="0"/>
            <w:vAlign w:val="top"/>
          </w:tcPr>
          <w:p w14:paraId="47F86B9D">
            <w:pPr>
              <w:pStyle w:val="35"/>
              <w:keepNext w:val="0"/>
              <w:keepLines w:val="0"/>
              <w:pageBreakBefore w:val="0"/>
              <w:kinsoku/>
              <w:wordWrap/>
              <w:overflowPunct/>
              <w:topLinePunct w:val="0"/>
              <w:autoSpaceDE/>
              <w:autoSpaceDN/>
              <w:bidi w:val="0"/>
              <w:adjustRightInd w:val="0"/>
              <w:snapToGrid w:val="0"/>
              <w:spacing w:before="0" w:after="0" w:line="240" w:lineRule="auto"/>
              <w:ind w:firstLine="0" w:firstLineChars="0"/>
              <w:jc w:val="left"/>
              <w:outlineLvl w:val="9"/>
              <w:rPr>
                <w:rFonts w:hint="eastAsia" w:ascii="宋体" w:hAnsi="宋体" w:eastAsia="宋体" w:cs="宋体"/>
                <w:color w:val="000000" w:themeColor="text1"/>
                <w:kern w:val="2"/>
                <w:sz w:val="24"/>
                <w:szCs w:val="24"/>
                <w:highlight w:val="none"/>
                <w:lang w:val="en-US" w:eastAsia="zh-CN" w:bidi="ar-SA"/>
              </w:rPr>
            </w:pPr>
            <w:r>
              <w:rPr>
                <w:rFonts w:hint="eastAsia" w:ascii="宋体" w:hAnsi="宋体" w:eastAsia="宋体" w:cs="宋体"/>
                <w:color w:val="auto"/>
                <w:sz w:val="22"/>
                <w:szCs w:val="22"/>
                <w:highlight w:val="none"/>
              </w:rPr>
              <w:t>人员配备齐全，得</w:t>
            </w:r>
            <w:r>
              <w:rPr>
                <w:rFonts w:hint="eastAsia" w:ascii="宋体" w:hAnsi="宋体" w:eastAsia="宋体" w:cs="宋体"/>
                <w:color w:val="auto"/>
                <w:sz w:val="22"/>
                <w:szCs w:val="22"/>
                <w:highlight w:val="none"/>
                <w:lang w:val="en-US" w:eastAsia="zh-CN"/>
              </w:rPr>
              <w:t>8</w:t>
            </w:r>
            <w:r>
              <w:rPr>
                <w:rFonts w:hint="eastAsia" w:ascii="宋体" w:hAnsi="宋体" w:eastAsia="宋体" w:cs="宋体"/>
                <w:color w:val="auto"/>
                <w:sz w:val="22"/>
                <w:szCs w:val="22"/>
                <w:highlight w:val="none"/>
              </w:rPr>
              <w:t>分；人员配备</w:t>
            </w:r>
            <w:r>
              <w:rPr>
                <w:rFonts w:hint="eastAsia" w:ascii="宋体" w:hAnsi="宋体" w:eastAsia="宋体" w:cs="宋体"/>
                <w:color w:val="auto"/>
                <w:sz w:val="22"/>
                <w:szCs w:val="22"/>
                <w:highlight w:val="none"/>
                <w:lang w:val="en-US" w:eastAsia="zh-CN"/>
              </w:rPr>
              <w:t>少1人扣2分，扣完为止</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人员配备齐全是指项目负责人、配送人员、安装调试人员、售后人员</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需提供相关人员证明资料（如身份证件等）。</w:t>
            </w:r>
          </w:p>
        </w:tc>
      </w:tr>
      <w:tr w14:paraId="35E759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990" w:hRule="atLeast"/>
          <w:jc w:val="center"/>
        </w:trPr>
        <w:tc>
          <w:tcPr>
            <w:tcW w:w="564" w:type="dxa"/>
            <w:tcBorders>
              <w:top w:val="single" w:color="auto" w:sz="4" w:space="0"/>
              <w:bottom w:val="single" w:color="auto" w:sz="4" w:space="0"/>
            </w:tcBorders>
            <w:noWrap w:val="0"/>
            <w:vAlign w:val="center"/>
          </w:tcPr>
          <w:p w14:paraId="4C4419A1">
            <w:pPr>
              <w:pStyle w:val="35"/>
              <w:keepNext w:val="0"/>
              <w:keepLines w:val="0"/>
              <w:pageBreakBefore w:val="0"/>
              <w:suppressLineNumbers w:val="0"/>
              <w:shd w:val="clear" w:color="auto" w:fill="auto"/>
              <w:kinsoku/>
              <w:wordWrap/>
              <w:overflowPunct/>
              <w:topLinePunct w:val="0"/>
              <w:autoSpaceDE/>
              <w:autoSpaceDN/>
              <w:bidi w:val="0"/>
              <w:adjustRightInd w:val="0"/>
              <w:snapToGrid w:val="0"/>
              <w:spacing w:beforeAutospacing="0" w:afterAutospacing="0" w:line="320" w:lineRule="exact"/>
              <w:ind w:left="0" w:leftChars="0" w:right="0" w:rightChars="0" w:firstLine="0" w:firstLineChars="0"/>
              <w:jc w:val="center"/>
              <w:rPr>
                <w:rFonts w:hint="eastAsia" w:ascii="宋体" w:hAnsi="宋体" w:eastAsia="宋体" w:cs="宋体"/>
                <w:b w:val="0"/>
                <w:bCs w:val="0"/>
                <w:color w:val="auto"/>
                <w:sz w:val="24"/>
                <w:szCs w:val="24"/>
                <w:highlight w:val="none"/>
                <w:shd w:val="clear" w:color="auto" w:fill="auto"/>
                <w:lang w:val="en-US" w:eastAsia="zh-CN"/>
              </w:rPr>
            </w:pPr>
            <w:r>
              <w:rPr>
                <w:rFonts w:hint="eastAsia" w:ascii="宋体" w:hAnsi="宋体" w:eastAsia="宋体" w:cs="宋体"/>
                <w:b w:val="0"/>
                <w:bCs w:val="0"/>
                <w:color w:val="auto"/>
                <w:sz w:val="24"/>
                <w:szCs w:val="24"/>
                <w:highlight w:val="none"/>
                <w:shd w:val="clear" w:color="auto" w:fill="auto"/>
                <w:lang w:val="en-US" w:eastAsia="zh-CN"/>
              </w:rPr>
              <w:t>3</w:t>
            </w:r>
          </w:p>
        </w:tc>
        <w:tc>
          <w:tcPr>
            <w:tcW w:w="1683" w:type="dxa"/>
            <w:tcBorders>
              <w:top w:val="single" w:color="auto" w:sz="4" w:space="0"/>
              <w:bottom w:val="single" w:color="auto" w:sz="4" w:space="0"/>
            </w:tcBorders>
            <w:shd w:val="clear" w:color="auto" w:fill="auto"/>
            <w:noWrap w:val="0"/>
            <w:vAlign w:val="center"/>
          </w:tcPr>
          <w:p w14:paraId="4034B1E3">
            <w:pPr>
              <w:keepNext w:val="0"/>
              <w:keepLines w:val="0"/>
              <w:pageBreakBefore w:val="0"/>
              <w:widowControl/>
              <w:suppressLineNumbers w:val="0"/>
              <w:shd w:val="clear" w:color="auto" w:fill="auto"/>
              <w:kinsoku/>
              <w:wordWrap/>
              <w:overflowPunct/>
              <w:topLinePunct w:val="0"/>
              <w:autoSpaceDE/>
              <w:autoSpaceDN/>
              <w:bidi w:val="0"/>
              <w:adjustRightInd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000000"/>
                <w:kern w:val="0"/>
                <w:sz w:val="24"/>
                <w:szCs w:val="24"/>
                <w:highlight w:val="none"/>
                <w:lang w:val="en-US" w:eastAsia="zh-CN" w:bidi="ar"/>
              </w:rPr>
              <w:t>质保年限及相关承诺</w:t>
            </w:r>
          </w:p>
        </w:tc>
        <w:tc>
          <w:tcPr>
            <w:tcW w:w="634" w:type="dxa"/>
            <w:tcBorders>
              <w:top w:val="single" w:color="auto" w:sz="4" w:space="0"/>
              <w:bottom w:val="single" w:color="auto" w:sz="4" w:space="0"/>
            </w:tcBorders>
            <w:shd w:val="clear" w:color="auto" w:fill="auto"/>
            <w:noWrap w:val="0"/>
            <w:vAlign w:val="center"/>
          </w:tcPr>
          <w:p w14:paraId="4A146B84">
            <w:pPr>
              <w:keepNext w:val="0"/>
              <w:keepLines w:val="0"/>
              <w:pageBreakBefore w:val="0"/>
              <w:widowControl/>
              <w:suppressLineNumbers w:val="0"/>
              <w:shd w:val="clear" w:color="auto" w:fill="auto"/>
              <w:kinsoku/>
              <w:wordWrap/>
              <w:overflowPunct/>
              <w:topLinePunct w:val="0"/>
              <w:autoSpaceDE/>
              <w:autoSpaceDN/>
              <w:bidi w:val="0"/>
              <w:adjustRightInd w:val="0"/>
              <w:snapToGrid w:val="0"/>
              <w:spacing w:before="0" w:beforeAutospacing="0" w:after="0" w:afterAutospacing="0" w:line="360" w:lineRule="exact"/>
              <w:ind w:left="0" w:leftChars="0" w:right="0" w:rightChars="0" w:firstLine="0" w:firstLineChars="0"/>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kern w:val="0"/>
                <w:sz w:val="24"/>
                <w:szCs w:val="24"/>
                <w:highlight w:val="none"/>
                <w:lang w:val="en-US" w:eastAsia="zh-CN" w:bidi="ar"/>
              </w:rPr>
              <w:t>7分</w:t>
            </w:r>
          </w:p>
        </w:tc>
        <w:tc>
          <w:tcPr>
            <w:tcW w:w="7556" w:type="dxa"/>
            <w:tcBorders>
              <w:top w:val="single" w:color="auto" w:sz="4" w:space="0"/>
              <w:bottom w:val="single" w:color="auto" w:sz="4" w:space="0"/>
            </w:tcBorders>
            <w:shd w:val="clear" w:color="auto" w:fill="auto"/>
            <w:noWrap w:val="0"/>
            <w:vAlign w:val="center"/>
          </w:tcPr>
          <w:p w14:paraId="07EB3E08">
            <w:pPr>
              <w:pStyle w:val="12"/>
              <w:keepNext w:val="0"/>
              <w:keepLines w:val="0"/>
              <w:pageBreakBefore w:val="0"/>
              <w:widowControl w:val="0"/>
              <w:kinsoku/>
              <w:wordWrap/>
              <w:overflowPunct/>
              <w:topLinePunct w:val="0"/>
              <w:bidi w:val="0"/>
              <w:adjustRightInd w:val="0"/>
              <w:snapToGrid w:val="0"/>
              <w:spacing w:beforeAutospacing="0" w:afterAutospacing="0" w:line="300" w:lineRule="auto"/>
              <w:ind w:left="0" w:leftChars="0" w:right="0" w:rightChars="0" w:firstLine="0" w:firstLineChars="0"/>
              <w:textAlignment w:val="auto"/>
              <w:outlineLvl w:val="9"/>
              <w:rPr>
                <w:rFonts w:hint="eastAsia" w:ascii="宋体" w:hAnsi="宋体" w:eastAsia="宋体" w:cs="宋体"/>
                <w:color w:val="000000" w:themeColor="text1"/>
                <w:sz w:val="24"/>
                <w:szCs w:val="24"/>
                <w:highlight w:val="none"/>
                <w:lang w:val="en-US" w:eastAsia="zh-CN"/>
              </w:rPr>
            </w:pPr>
            <w:r>
              <w:rPr>
                <w:rFonts w:hint="eastAsia" w:ascii="宋体" w:hAnsi="宋体" w:eastAsia="宋体" w:cs="宋体"/>
                <w:color w:val="000000" w:themeColor="text1"/>
                <w:sz w:val="24"/>
                <w:szCs w:val="24"/>
                <w:highlight w:val="none"/>
                <w:lang w:val="en-US" w:eastAsia="zh-CN"/>
              </w:rPr>
              <w:t>①在满足招标文件要求的基础上，增加1年，得1分，最多得3分。</w:t>
            </w:r>
          </w:p>
          <w:p w14:paraId="7FBC676C">
            <w:pPr>
              <w:pStyle w:val="12"/>
              <w:keepNext w:val="0"/>
              <w:keepLines w:val="0"/>
              <w:pageBreakBefore w:val="0"/>
              <w:widowControl w:val="0"/>
              <w:kinsoku/>
              <w:wordWrap/>
              <w:overflowPunct/>
              <w:topLinePunct w:val="0"/>
              <w:bidi w:val="0"/>
              <w:adjustRightInd w:val="0"/>
              <w:snapToGrid w:val="0"/>
              <w:spacing w:beforeAutospacing="0" w:afterAutospacing="0" w:line="300" w:lineRule="auto"/>
              <w:ind w:left="0" w:leftChars="0" w:right="0" w:rightChars="0" w:firstLine="0" w:firstLineChars="0"/>
              <w:textAlignment w:val="auto"/>
              <w:outlineLvl w:val="9"/>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000000" w:themeColor="text1"/>
                <w:sz w:val="24"/>
                <w:szCs w:val="24"/>
                <w:highlight w:val="none"/>
                <w:lang w:val="en-US" w:eastAsia="zh-CN"/>
              </w:rPr>
              <w:t>②提供免费包换承诺详细方案每提供一项承诺得2分，最高得4分。不提供不得分。</w:t>
            </w:r>
          </w:p>
        </w:tc>
      </w:tr>
    </w:tbl>
    <w:p w14:paraId="5A074CDE">
      <w:pPr>
        <w:pStyle w:val="21"/>
        <w:outlineLvl w:val="9"/>
        <w:rPr>
          <w:rFonts w:hint="eastAsia" w:ascii="仿宋" w:hAnsi="仿宋" w:eastAsia="仿宋" w:cs="仿宋"/>
          <w:color w:val="auto"/>
          <w:highlight w:val="none"/>
        </w:rPr>
      </w:pPr>
    </w:p>
    <w:p w14:paraId="4FA778A2">
      <w:pPr>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4DBDCD49">
      <w:pPr>
        <w:tabs>
          <w:tab w:val="left" w:pos="8280"/>
        </w:tabs>
        <w:spacing w:line="360" w:lineRule="auto"/>
        <w:ind w:right="-1"/>
        <w:jc w:val="center"/>
        <w:outlineLvl w:val="2"/>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价格评标（分）记录明细表</w:t>
      </w:r>
    </w:p>
    <w:tbl>
      <w:tblPr>
        <w:tblStyle w:val="25"/>
        <w:tblW w:w="9564" w:type="dxa"/>
        <w:tblInd w:w="-38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5"/>
        <w:gridCol w:w="6521"/>
        <w:gridCol w:w="958"/>
      </w:tblGrid>
      <w:tr w14:paraId="46CC3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blHeader/>
        </w:trPr>
        <w:tc>
          <w:tcPr>
            <w:tcW w:w="2085" w:type="dxa"/>
            <w:vAlign w:val="center"/>
          </w:tcPr>
          <w:p w14:paraId="15411457">
            <w:pPr>
              <w:pStyle w:val="36"/>
              <w:jc w:val="center"/>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项目</w:t>
            </w:r>
          </w:p>
        </w:tc>
        <w:tc>
          <w:tcPr>
            <w:tcW w:w="6521" w:type="dxa"/>
            <w:vAlign w:val="center"/>
          </w:tcPr>
          <w:p w14:paraId="65782E45">
            <w:pPr>
              <w:pStyle w:val="36"/>
              <w:jc w:val="center"/>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评标内容</w:t>
            </w:r>
          </w:p>
        </w:tc>
        <w:tc>
          <w:tcPr>
            <w:tcW w:w="958" w:type="dxa"/>
            <w:vAlign w:val="center"/>
          </w:tcPr>
          <w:p w14:paraId="138209C9">
            <w:pPr>
              <w:pStyle w:val="36"/>
              <w:jc w:val="center"/>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分值</w:t>
            </w:r>
          </w:p>
        </w:tc>
      </w:tr>
      <w:tr w14:paraId="4A1C5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9564" w:type="dxa"/>
            <w:gridSpan w:val="3"/>
            <w:vAlign w:val="center"/>
          </w:tcPr>
          <w:p w14:paraId="00F8D398">
            <w:pPr>
              <w:pStyle w:val="36"/>
              <w:jc w:val="both"/>
              <w:outlineLvl w:val="9"/>
              <w:rPr>
                <w:rFonts w:hint="eastAsia" w:ascii="仿宋" w:hAnsi="仿宋" w:eastAsia="仿宋" w:cs="仿宋"/>
                <w:color w:val="auto"/>
                <w:kern w:val="2"/>
                <w:sz w:val="24"/>
                <w:szCs w:val="24"/>
                <w:highlight w:val="none"/>
              </w:rPr>
            </w:pPr>
            <w:r>
              <w:rPr>
                <w:rFonts w:hint="eastAsia" w:ascii="仿宋" w:hAnsi="仿宋" w:eastAsia="仿宋" w:cs="仿宋"/>
                <w:b/>
                <w:bCs/>
                <w:color w:val="auto"/>
                <w:kern w:val="2"/>
                <w:sz w:val="24"/>
                <w:szCs w:val="24"/>
                <w:highlight w:val="none"/>
              </w:rPr>
              <w:t>A．投标价格评分30分</w:t>
            </w:r>
          </w:p>
        </w:tc>
      </w:tr>
      <w:tr w14:paraId="32843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6" w:hRule="atLeast"/>
        </w:trPr>
        <w:tc>
          <w:tcPr>
            <w:tcW w:w="2085" w:type="dxa"/>
            <w:vMerge w:val="restart"/>
            <w:vAlign w:val="center"/>
          </w:tcPr>
          <w:p w14:paraId="3B8FC854">
            <w:pPr>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价格评审</w:t>
            </w:r>
          </w:p>
          <w:p w14:paraId="653824A9">
            <w:pPr>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30分</w:t>
            </w:r>
          </w:p>
        </w:tc>
        <w:tc>
          <w:tcPr>
            <w:tcW w:w="6521" w:type="dxa"/>
            <w:vAlign w:val="center"/>
          </w:tcPr>
          <w:p w14:paraId="71B52DE9">
            <w:pPr>
              <w:pStyle w:val="39"/>
              <w:widowControl w:val="0"/>
              <w:spacing w:line="28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评标基准价 =有效投标报价的最低值，有效投标报价等于基准值的得满分，投标报价得分= （评标基准价/投标报价）×30。有效投标报价为通过初步审查的投标人报价；</w:t>
            </w:r>
          </w:p>
        </w:tc>
        <w:tc>
          <w:tcPr>
            <w:tcW w:w="958" w:type="dxa"/>
            <w:vMerge w:val="restart"/>
            <w:vAlign w:val="center"/>
          </w:tcPr>
          <w:p w14:paraId="1741F99D">
            <w:pPr>
              <w:pStyle w:val="36"/>
              <w:jc w:val="center"/>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30分</w:t>
            </w:r>
          </w:p>
        </w:tc>
      </w:tr>
      <w:tr w14:paraId="579B8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2085" w:type="dxa"/>
            <w:vMerge w:val="continue"/>
            <w:vAlign w:val="center"/>
          </w:tcPr>
          <w:p w14:paraId="42F076A8">
            <w:pPr>
              <w:pStyle w:val="36"/>
              <w:jc w:val="center"/>
              <w:outlineLvl w:val="9"/>
              <w:rPr>
                <w:rFonts w:hint="eastAsia" w:ascii="仿宋" w:hAnsi="仿宋" w:eastAsia="仿宋" w:cs="仿宋"/>
                <w:color w:val="auto"/>
                <w:kern w:val="2"/>
                <w:sz w:val="24"/>
                <w:szCs w:val="24"/>
                <w:highlight w:val="none"/>
              </w:rPr>
            </w:pPr>
          </w:p>
        </w:tc>
        <w:tc>
          <w:tcPr>
            <w:tcW w:w="6521" w:type="dxa"/>
            <w:vAlign w:val="center"/>
          </w:tcPr>
          <w:p w14:paraId="6C93FFB2">
            <w:pPr>
              <w:pStyle w:val="39"/>
              <w:widowControl w:val="0"/>
              <w:spacing w:line="28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按上述公式计算得分为负值时，其投标报价得分为零分。计算公式的计算结果值在小数点后均保留两位小数，后余位数四舍五入计。当计算结果为负数时，计为零分。</w:t>
            </w:r>
          </w:p>
        </w:tc>
        <w:tc>
          <w:tcPr>
            <w:tcW w:w="958" w:type="dxa"/>
            <w:vMerge w:val="continue"/>
            <w:vAlign w:val="center"/>
          </w:tcPr>
          <w:p w14:paraId="222E6A9D">
            <w:pPr>
              <w:pStyle w:val="36"/>
              <w:jc w:val="center"/>
              <w:outlineLvl w:val="9"/>
              <w:rPr>
                <w:rFonts w:hint="eastAsia" w:ascii="仿宋" w:hAnsi="仿宋" w:eastAsia="仿宋" w:cs="仿宋"/>
                <w:color w:val="auto"/>
                <w:kern w:val="2"/>
                <w:sz w:val="24"/>
                <w:szCs w:val="24"/>
                <w:highlight w:val="none"/>
              </w:rPr>
            </w:pPr>
          </w:p>
        </w:tc>
      </w:tr>
      <w:tr w14:paraId="5ACB0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9564" w:type="dxa"/>
            <w:gridSpan w:val="3"/>
            <w:vAlign w:val="center"/>
          </w:tcPr>
          <w:p w14:paraId="6A393888">
            <w:pPr>
              <w:pStyle w:val="36"/>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注：1、计算过程中，算术平均值保留2位小数（百分比亦取2位小数），第三位小数四舍五入。</w:t>
            </w:r>
          </w:p>
          <w:p w14:paraId="7A0825C7">
            <w:pPr>
              <w:pStyle w:val="36"/>
              <w:ind w:firstLine="480" w:firstLineChars="200"/>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2、投标人的最终得分为：所有评委对其评分的算术平均值。</w:t>
            </w:r>
          </w:p>
        </w:tc>
      </w:tr>
      <w:tr w14:paraId="41A57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9564" w:type="dxa"/>
            <w:gridSpan w:val="3"/>
            <w:vAlign w:val="center"/>
          </w:tcPr>
          <w:p w14:paraId="092B57E6">
            <w:pPr>
              <w:pStyle w:val="36"/>
              <w:jc w:val="both"/>
              <w:outlineLvl w:val="9"/>
              <w:rPr>
                <w:rFonts w:hint="eastAsia" w:ascii="仿宋" w:hAnsi="仿宋" w:eastAsia="仿宋" w:cs="仿宋"/>
                <w:color w:val="auto"/>
                <w:kern w:val="2"/>
                <w:sz w:val="24"/>
                <w:szCs w:val="24"/>
                <w:highlight w:val="none"/>
              </w:rPr>
            </w:pPr>
            <w:r>
              <w:rPr>
                <w:rFonts w:hint="eastAsia" w:ascii="仿宋" w:hAnsi="仿宋" w:eastAsia="仿宋" w:cs="仿宋"/>
                <w:b/>
                <w:bCs/>
                <w:color w:val="auto"/>
                <w:kern w:val="2"/>
                <w:sz w:val="24"/>
                <w:szCs w:val="24"/>
                <w:highlight w:val="none"/>
              </w:rPr>
              <w:t>B．属于中小企业评标优惠内容及价格扣除幅度，本项目的价格扣除为</w:t>
            </w:r>
            <w:r>
              <w:rPr>
                <w:rFonts w:hint="eastAsia" w:ascii="仿宋" w:hAnsi="仿宋" w:eastAsia="仿宋" w:cs="仿宋"/>
                <w:b/>
                <w:bCs/>
                <w:color w:val="auto"/>
                <w:kern w:val="2"/>
                <w:sz w:val="24"/>
                <w:szCs w:val="24"/>
                <w:highlight w:val="none"/>
                <w:lang w:eastAsia="zh-CN"/>
              </w:rPr>
              <w:t>10%</w:t>
            </w:r>
            <w:r>
              <w:rPr>
                <w:rFonts w:hint="eastAsia" w:ascii="仿宋" w:hAnsi="仿宋" w:eastAsia="仿宋" w:cs="仿宋"/>
                <w:b/>
                <w:bCs/>
                <w:color w:val="auto"/>
                <w:kern w:val="2"/>
                <w:sz w:val="24"/>
                <w:szCs w:val="24"/>
                <w:highlight w:val="none"/>
              </w:rPr>
              <w:t>。</w:t>
            </w:r>
          </w:p>
        </w:tc>
      </w:tr>
      <w:tr w14:paraId="18AE28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9564" w:type="dxa"/>
            <w:gridSpan w:val="3"/>
            <w:tcBorders>
              <w:bottom w:val="single" w:color="auto" w:sz="4" w:space="0"/>
            </w:tcBorders>
            <w:vAlign w:val="center"/>
          </w:tcPr>
          <w:p w14:paraId="0390EAE5">
            <w:pPr>
              <w:pStyle w:val="36"/>
              <w:spacing w:line="30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根据中华人民共和国财政部、中华人民共和国工业和信息化部《政府采购促进中小企业发展暂行办法》（</w:t>
            </w:r>
            <w:r>
              <w:rPr>
                <w:rFonts w:hint="eastAsia" w:ascii="仿宋" w:hAnsi="仿宋" w:eastAsia="仿宋" w:cs="仿宋"/>
                <w:color w:val="auto"/>
                <w:kern w:val="0"/>
                <w:sz w:val="24"/>
                <w:szCs w:val="24"/>
                <w:highlight w:val="none"/>
                <w:lang w:val="en-US" w:bidi="ar-SA"/>
              </w:rPr>
              <w:t>财库[20</w:t>
            </w:r>
            <w:r>
              <w:rPr>
                <w:rFonts w:hint="eastAsia" w:ascii="仿宋" w:hAnsi="仿宋" w:eastAsia="仿宋" w:cs="仿宋"/>
                <w:color w:val="auto"/>
                <w:kern w:val="0"/>
                <w:sz w:val="24"/>
                <w:szCs w:val="24"/>
                <w:highlight w:val="none"/>
                <w:lang w:val="en-US" w:eastAsia="zh-CN" w:bidi="ar-SA"/>
              </w:rPr>
              <w:t>20</w:t>
            </w:r>
            <w:r>
              <w:rPr>
                <w:rFonts w:hint="eastAsia" w:ascii="仿宋" w:hAnsi="仿宋" w:eastAsia="仿宋" w:cs="仿宋"/>
                <w:color w:val="auto"/>
                <w:kern w:val="0"/>
                <w:sz w:val="24"/>
                <w:szCs w:val="24"/>
                <w:highlight w:val="none"/>
                <w:lang w:val="en-US" w:bidi="ar-SA"/>
              </w:rPr>
              <w:t>]</w:t>
            </w:r>
            <w:r>
              <w:rPr>
                <w:rFonts w:hint="eastAsia" w:ascii="仿宋" w:hAnsi="仿宋" w:eastAsia="仿宋" w:cs="仿宋"/>
                <w:color w:val="auto"/>
                <w:kern w:val="0"/>
                <w:sz w:val="24"/>
                <w:szCs w:val="24"/>
                <w:highlight w:val="none"/>
                <w:lang w:val="en-US" w:eastAsia="zh-CN" w:bidi="ar-SA"/>
              </w:rPr>
              <w:t>46</w:t>
            </w:r>
            <w:r>
              <w:rPr>
                <w:rFonts w:hint="eastAsia" w:ascii="仿宋" w:hAnsi="仿宋" w:eastAsia="仿宋" w:cs="仿宋"/>
                <w:color w:val="auto"/>
                <w:kern w:val="0"/>
                <w:sz w:val="24"/>
                <w:szCs w:val="24"/>
                <w:highlight w:val="none"/>
                <w:lang w:val="en-US" w:bidi="ar-SA"/>
              </w:rPr>
              <w:t>号</w:t>
            </w:r>
            <w:r>
              <w:rPr>
                <w:rFonts w:hint="eastAsia" w:ascii="仿宋" w:hAnsi="仿宋" w:eastAsia="仿宋" w:cs="仿宋"/>
                <w:color w:val="auto"/>
                <w:kern w:val="2"/>
                <w:sz w:val="24"/>
                <w:szCs w:val="24"/>
                <w:highlight w:val="none"/>
              </w:rPr>
              <w:t>）文件的规定，属于中小企业评标优惠内容及幅度如下：</w:t>
            </w:r>
          </w:p>
          <w:p w14:paraId="64E0711A">
            <w:pPr>
              <w:pStyle w:val="36"/>
              <w:spacing w:line="30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b/>
                <w:bCs/>
                <w:color w:val="auto"/>
                <w:kern w:val="2"/>
                <w:sz w:val="24"/>
                <w:szCs w:val="24"/>
                <w:highlight w:val="none"/>
              </w:rPr>
              <w:t>（一）中小企业（含中型、小型、微型企业）应当同时符合以下条件：</w:t>
            </w:r>
          </w:p>
          <w:p w14:paraId="7803AA18">
            <w:pPr>
              <w:pStyle w:val="36"/>
              <w:spacing w:line="30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 xml:space="preserve">    ①符合中小企业划分标准(按《关于印发中小企业划型标准规定的通知》(工信部联企业( 2011)300号）执行）；</w:t>
            </w:r>
          </w:p>
          <w:p w14:paraId="76BD8F09">
            <w:pPr>
              <w:pStyle w:val="36"/>
              <w:spacing w:line="30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 xml:space="preserve">    ②提供本企业制造的货物、承担的项目或者服务，或者提供其他中小企业制造的货物。本项所称货物不包括使用大型企业注册商标的货物；</w:t>
            </w:r>
          </w:p>
          <w:p w14:paraId="6809EB1B">
            <w:pPr>
              <w:pStyle w:val="36"/>
              <w:spacing w:line="30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 xml:space="preserve">    ③小型、微型企业提供中型企业制造的货物的，视同为中型企业。</w:t>
            </w:r>
          </w:p>
          <w:p w14:paraId="2F44A9BB">
            <w:pPr>
              <w:pStyle w:val="36"/>
              <w:spacing w:line="300" w:lineRule="exact"/>
              <w:jc w:val="both"/>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（二）价格扣除办法：</w:t>
            </w:r>
          </w:p>
          <w:p w14:paraId="0553A80A">
            <w:pPr>
              <w:pStyle w:val="36"/>
              <w:spacing w:line="300" w:lineRule="exact"/>
              <w:ind w:firstLine="480"/>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①对于非专门面向中小企业的项目，对小型和微型企业（或联合体各方均为小型、微型企业的）产品的价格给予</w:t>
            </w:r>
            <w:r>
              <w:rPr>
                <w:rFonts w:hint="eastAsia" w:ascii="仿宋" w:hAnsi="仿宋" w:eastAsia="仿宋" w:cs="仿宋"/>
                <w:color w:val="auto"/>
                <w:kern w:val="2"/>
                <w:sz w:val="24"/>
                <w:szCs w:val="24"/>
                <w:highlight w:val="none"/>
                <w:lang w:eastAsia="zh-CN"/>
              </w:rPr>
              <w:t>10%</w:t>
            </w:r>
            <w:r>
              <w:rPr>
                <w:rFonts w:hint="eastAsia" w:ascii="仿宋" w:hAnsi="仿宋" w:eastAsia="仿宋" w:cs="仿宋"/>
                <w:color w:val="auto"/>
                <w:kern w:val="2"/>
                <w:sz w:val="24"/>
                <w:szCs w:val="24"/>
                <w:highlight w:val="none"/>
              </w:rPr>
              <w:t>的扣除，用扣除后的评标价格参与价格分的评标。</w:t>
            </w:r>
          </w:p>
          <w:p w14:paraId="5D71AF2F">
            <w:pPr>
              <w:pStyle w:val="36"/>
              <w:spacing w:line="300" w:lineRule="exact"/>
              <w:ind w:firstLine="480"/>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 xml:space="preserve">②大中型企业和其他自然人、法人或者其他组织与小型、微型企业组成联合体，联合体协议中约定，小型、微型企业的协议合同金额占到联合体协议合同总金额30%以上的，可给予联合体2%的价格扣除。联合体各方均为小型、微型企业的，联合体视同为小型、微型企业享受扶持政策。组成联合体的大中型企业和其他自然人、法人或者其他组织，与小型、微型企业之间不得存在投资关系，并附协议书。  </w:t>
            </w:r>
          </w:p>
          <w:p w14:paraId="49604D85">
            <w:pPr>
              <w:pStyle w:val="36"/>
              <w:spacing w:line="300" w:lineRule="exact"/>
              <w:jc w:val="both"/>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（三）小型和微型企业适用价格扣除办法时应提供的相关资料：</w:t>
            </w:r>
          </w:p>
          <w:p w14:paraId="4317FA72">
            <w:pPr>
              <w:pStyle w:val="36"/>
              <w:spacing w:line="30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 xml:space="preserve">    ①《中小企业声明函》；</w:t>
            </w:r>
          </w:p>
        </w:tc>
      </w:tr>
      <w:tr w14:paraId="178ED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9564" w:type="dxa"/>
            <w:gridSpan w:val="3"/>
            <w:vAlign w:val="center"/>
          </w:tcPr>
          <w:p w14:paraId="6828D6AB">
            <w:pPr>
              <w:pStyle w:val="36"/>
              <w:spacing w:line="340" w:lineRule="exact"/>
              <w:jc w:val="both"/>
              <w:outlineLvl w:val="9"/>
              <w:rPr>
                <w:rFonts w:hint="eastAsia" w:ascii="仿宋" w:hAnsi="仿宋" w:eastAsia="仿宋" w:cs="仿宋"/>
                <w:color w:val="auto"/>
                <w:kern w:val="2"/>
                <w:sz w:val="24"/>
                <w:szCs w:val="24"/>
                <w:highlight w:val="none"/>
              </w:rPr>
            </w:pPr>
            <w:r>
              <w:rPr>
                <w:rFonts w:hint="eastAsia" w:ascii="仿宋" w:hAnsi="仿宋" w:eastAsia="仿宋" w:cs="仿宋"/>
                <w:b/>
                <w:bCs/>
                <w:color w:val="auto"/>
                <w:kern w:val="2"/>
                <w:sz w:val="24"/>
                <w:szCs w:val="24"/>
                <w:highlight w:val="none"/>
              </w:rPr>
              <w:t>C.属于享受政府采购支持政策的残疾人福利性单位评标优惠内容及价格扣除幅度按小型、微型企业评标中价格扣除,残疾人福利性单位属于小型、微型企业的，不重复享受政策。本项目的价格扣除为</w:t>
            </w:r>
            <w:r>
              <w:rPr>
                <w:rFonts w:hint="eastAsia" w:ascii="仿宋" w:hAnsi="仿宋" w:eastAsia="仿宋" w:cs="仿宋"/>
                <w:b/>
                <w:bCs/>
                <w:color w:val="auto"/>
                <w:kern w:val="2"/>
                <w:sz w:val="24"/>
                <w:szCs w:val="24"/>
                <w:highlight w:val="none"/>
                <w:lang w:eastAsia="zh-CN"/>
              </w:rPr>
              <w:t>10%</w:t>
            </w:r>
            <w:r>
              <w:rPr>
                <w:rFonts w:hint="eastAsia" w:ascii="仿宋" w:hAnsi="仿宋" w:eastAsia="仿宋" w:cs="仿宋"/>
                <w:b/>
                <w:bCs/>
                <w:color w:val="auto"/>
                <w:kern w:val="2"/>
                <w:sz w:val="24"/>
                <w:szCs w:val="24"/>
                <w:highlight w:val="none"/>
              </w:rPr>
              <w:t>。</w:t>
            </w:r>
          </w:p>
        </w:tc>
      </w:tr>
      <w:tr w14:paraId="2CE3B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9564" w:type="dxa"/>
            <w:gridSpan w:val="3"/>
            <w:vAlign w:val="center"/>
          </w:tcPr>
          <w:p w14:paraId="5A8B596A">
            <w:pPr>
              <w:pStyle w:val="36"/>
              <w:spacing w:line="340" w:lineRule="exact"/>
              <w:jc w:val="both"/>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D. 属于享受政府采购支持政策的监狱企业评标优惠内容及价格扣除幅度按小型、微型企业评标中价格评审优惠,残疾人福利性单位属于小型、微型企业的，不重复享受政策（须提供由省级以上监狱管理局、戒毒管理局（含新疆生产建设兵团）出具的属于监狱企业的证明文件）。本项目的价格扣除为</w:t>
            </w:r>
            <w:r>
              <w:rPr>
                <w:rFonts w:hint="eastAsia" w:ascii="仿宋" w:hAnsi="仿宋" w:eastAsia="仿宋" w:cs="仿宋"/>
                <w:b/>
                <w:bCs/>
                <w:color w:val="auto"/>
                <w:kern w:val="2"/>
                <w:sz w:val="24"/>
                <w:szCs w:val="24"/>
                <w:highlight w:val="none"/>
                <w:lang w:eastAsia="zh-CN"/>
              </w:rPr>
              <w:t>10%</w:t>
            </w:r>
            <w:r>
              <w:rPr>
                <w:rFonts w:hint="eastAsia" w:ascii="仿宋" w:hAnsi="仿宋" w:eastAsia="仿宋" w:cs="仿宋"/>
                <w:b/>
                <w:bCs/>
                <w:color w:val="auto"/>
                <w:kern w:val="2"/>
                <w:sz w:val="24"/>
                <w:szCs w:val="24"/>
                <w:highlight w:val="none"/>
              </w:rPr>
              <w:t>。</w:t>
            </w:r>
          </w:p>
        </w:tc>
      </w:tr>
      <w:tr w14:paraId="08B6F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564" w:type="dxa"/>
            <w:gridSpan w:val="3"/>
            <w:vAlign w:val="center"/>
          </w:tcPr>
          <w:p w14:paraId="6E0DC838">
            <w:pPr>
              <w:pStyle w:val="36"/>
              <w:spacing w:line="340" w:lineRule="exact"/>
              <w:jc w:val="both"/>
              <w:outlineLvl w:val="9"/>
              <w:rPr>
                <w:rFonts w:hint="eastAsia" w:ascii="仿宋" w:hAnsi="仿宋" w:eastAsia="仿宋" w:cs="仿宋"/>
                <w:b/>
                <w:bCs/>
                <w:color w:val="auto"/>
                <w:kern w:val="2"/>
                <w:sz w:val="24"/>
                <w:szCs w:val="24"/>
                <w:highlight w:val="none"/>
              </w:rPr>
            </w:pPr>
            <w:r>
              <w:rPr>
                <w:rFonts w:hint="eastAsia" w:ascii="仿宋" w:hAnsi="仿宋" w:eastAsia="仿宋" w:cs="仿宋"/>
                <w:b/>
                <w:bCs/>
                <w:color w:val="auto"/>
                <w:kern w:val="2"/>
                <w:sz w:val="24"/>
                <w:szCs w:val="24"/>
                <w:highlight w:val="none"/>
              </w:rPr>
              <w:t>E.节能、环境标志产品评审优惠内容及办法</w:t>
            </w:r>
          </w:p>
        </w:tc>
      </w:tr>
      <w:tr w14:paraId="458A2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9564" w:type="dxa"/>
            <w:gridSpan w:val="3"/>
            <w:vAlign w:val="center"/>
          </w:tcPr>
          <w:p w14:paraId="578F2CD6">
            <w:pPr>
              <w:pStyle w:val="36"/>
              <w:spacing w:line="340" w:lineRule="exact"/>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根据《国务院办公厅关于建立政府强制采购节能产品制度的通知》（国办发[2007]51号）和财政部、发展改革委发布的《节能产品政府采购实施意见》（财库[2004]185号）以及《财政部、发展改革委关于调整节能产品政府采购清单的通知》最新的规定，投标人所投产品如是《节能产品政府采购清单》内产品，并提供清单内证明材料。其他产品若属于“节能产品政府采购清单”内产品，在同等条件下，优先采购清单中的产品。</w:t>
            </w:r>
          </w:p>
          <w:p w14:paraId="34C97A6F">
            <w:pPr>
              <w:pStyle w:val="36"/>
              <w:spacing w:line="340" w:lineRule="exact"/>
              <w:jc w:val="both"/>
              <w:outlineLvl w:val="9"/>
              <w:rPr>
                <w:rFonts w:hint="eastAsia" w:ascii="仿宋" w:hAnsi="仿宋" w:eastAsia="仿宋" w:cs="仿宋"/>
                <w:b/>
                <w:bCs/>
                <w:color w:val="auto"/>
                <w:kern w:val="2"/>
                <w:sz w:val="24"/>
                <w:szCs w:val="24"/>
                <w:highlight w:val="none"/>
              </w:rPr>
            </w:pPr>
            <w:r>
              <w:rPr>
                <w:rFonts w:hint="eastAsia" w:ascii="仿宋" w:hAnsi="仿宋" w:eastAsia="仿宋" w:cs="仿宋"/>
                <w:color w:val="auto"/>
                <w:kern w:val="2"/>
                <w:sz w:val="24"/>
                <w:szCs w:val="24"/>
                <w:highlight w:val="none"/>
              </w:rPr>
              <w:t>“节能产品”系指列入财政部、国家发改委最新公布《节能产品政府采购清单》的产品；“环境标志产品”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或评审优惠。</w:t>
            </w:r>
          </w:p>
        </w:tc>
      </w:tr>
      <w:tr w14:paraId="5EAE5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trPr>
        <w:tc>
          <w:tcPr>
            <w:tcW w:w="9564" w:type="dxa"/>
            <w:gridSpan w:val="3"/>
            <w:vAlign w:val="center"/>
          </w:tcPr>
          <w:p w14:paraId="7300E783">
            <w:pPr>
              <w:pStyle w:val="36"/>
              <w:spacing w:line="340" w:lineRule="exact"/>
              <w:jc w:val="center"/>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优惠办法</w:t>
            </w:r>
          </w:p>
        </w:tc>
      </w:tr>
      <w:tr w14:paraId="19923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9564" w:type="dxa"/>
            <w:gridSpan w:val="3"/>
          </w:tcPr>
          <w:p w14:paraId="5AB54561">
            <w:pPr>
              <w:pStyle w:val="36"/>
              <w:spacing w:line="340" w:lineRule="exact"/>
              <w:outlineLvl w:val="9"/>
              <w:rPr>
                <w:rFonts w:hint="eastAsia" w:ascii="仿宋" w:hAnsi="仿宋" w:eastAsia="仿宋" w:cs="仿宋"/>
                <w:b/>
                <w:bCs/>
                <w:color w:val="auto"/>
                <w:kern w:val="2"/>
                <w:sz w:val="24"/>
                <w:szCs w:val="24"/>
                <w:highlight w:val="none"/>
              </w:rPr>
            </w:pPr>
            <w:r>
              <w:rPr>
                <w:rFonts w:hint="eastAsia" w:ascii="仿宋" w:hAnsi="仿宋" w:eastAsia="仿宋" w:cs="仿宋"/>
                <w:color w:val="auto"/>
                <w:kern w:val="2"/>
                <w:sz w:val="24"/>
                <w:szCs w:val="24"/>
                <w:highlight w:val="none"/>
              </w:rPr>
              <w:t>1.产品的价格给予扣除，用扣除后的价格参与价格分的评标。</w:t>
            </w:r>
            <w:r>
              <w:rPr>
                <w:rFonts w:hint="eastAsia" w:ascii="仿宋" w:hAnsi="仿宋" w:eastAsia="仿宋" w:cs="仿宋"/>
                <w:b/>
                <w:bCs/>
                <w:color w:val="auto"/>
                <w:kern w:val="2"/>
                <w:sz w:val="24"/>
                <w:szCs w:val="24"/>
                <w:highlight w:val="none"/>
              </w:rPr>
              <w:t>本项目的价格扣除为</w:t>
            </w:r>
            <w:r>
              <w:rPr>
                <w:rFonts w:hint="eastAsia" w:ascii="仿宋" w:hAnsi="仿宋" w:eastAsia="仿宋" w:cs="仿宋"/>
                <w:b/>
                <w:bCs/>
                <w:color w:val="auto"/>
                <w:kern w:val="2"/>
                <w:sz w:val="24"/>
                <w:szCs w:val="24"/>
                <w:highlight w:val="none"/>
                <w:lang w:val="en-US" w:eastAsia="zh-CN"/>
              </w:rPr>
              <w:t>10</w:t>
            </w:r>
            <w:r>
              <w:rPr>
                <w:rFonts w:hint="eastAsia" w:ascii="仿宋" w:hAnsi="仿宋" w:eastAsia="仿宋" w:cs="仿宋"/>
                <w:b/>
                <w:bCs/>
                <w:color w:val="auto"/>
                <w:kern w:val="2"/>
                <w:sz w:val="24"/>
                <w:szCs w:val="24"/>
                <w:highlight w:val="none"/>
              </w:rPr>
              <w:t>%。</w:t>
            </w:r>
          </w:p>
          <w:p w14:paraId="52C6D1FB">
            <w:pPr>
              <w:pStyle w:val="36"/>
              <w:spacing w:line="340" w:lineRule="exact"/>
              <w:outlineLvl w:val="9"/>
              <w:rPr>
                <w:rFonts w:hint="eastAsia" w:ascii="仿宋" w:hAnsi="仿宋" w:eastAsia="仿宋" w:cs="仿宋"/>
                <w:color w:val="auto"/>
                <w:kern w:val="2"/>
                <w:sz w:val="24"/>
                <w:szCs w:val="24"/>
                <w:highlight w:val="none"/>
              </w:rPr>
            </w:pPr>
            <w:r>
              <w:rPr>
                <w:rFonts w:hint="eastAsia" w:ascii="仿宋" w:hAnsi="仿宋" w:eastAsia="仿宋" w:cs="仿宋"/>
                <w:color w:val="auto"/>
                <w:sz w:val="24"/>
                <w:szCs w:val="24"/>
                <w:highlight w:val="none"/>
              </w:rPr>
              <w:t>2.投标人须提供国家财政部、发改委公布的最新公布的《节能产品政府采购清单》关于投标产品当前页的打印件或国家财政部、生态环境部最新公布的《环境标志产品政府采购清单》关于供应产品当前页的打印件（加盖投标人单位章），</w:t>
            </w:r>
            <w:r>
              <w:rPr>
                <w:rFonts w:hint="eastAsia" w:ascii="仿宋" w:hAnsi="仿宋" w:eastAsia="仿宋" w:cs="仿宋"/>
                <w:color w:val="auto"/>
                <w:kern w:val="2"/>
                <w:sz w:val="24"/>
                <w:szCs w:val="24"/>
                <w:highlight w:val="none"/>
                <w:lang w:val="zh-CN" w:bidi="zh-CN"/>
              </w:rPr>
              <w:t>提供国家确定的认证机构出具的、处于有效期之内的节能产品或环境标志产品认证证书复印件，并加盖</w:t>
            </w:r>
            <w:r>
              <w:rPr>
                <w:rFonts w:hint="eastAsia" w:ascii="仿宋" w:hAnsi="仿宋" w:eastAsia="仿宋" w:cs="仿宋"/>
                <w:color w:val="auto"/>
                <w:sz w:val="24"/>
                <w:szCs w:val="24"/>
                <w:highlight w:val="none"/>
              </w:rPr>
              <w:t>投标人</w:t>
            </w:r>
            <w:r>
              <w:rPr>
                <w:rFonts w:hint="eastAsia" w:ascii="仿宋" w:hAnsi="仿宋" w:eastAsia="仿宋" w:cs="仿宋"/>
                <w:color w:val="auto"/>
                <w:kern w:val="2"/>
                <w:sz w:val="24"/>
                <w:szCs w:val="24"/>
                <w:highlight w:val="none"/>
                <w:lang w:val="zh-CN" w:bidi="zh-CN"/>
              </w:rPr>
              <w:t>单位的公章。</w:t>
            </w:r>
          </w:p>
        </w:tc>
      </w:tr>
    </w:tbl>
    <w:p w14:paraId="2FE5E7FC">
      <w:pPr>
        <w:outlineLvl w:val="9"/>
        <w:rPr>
          <w:rFonts w:hint="eastAsia" w:ascii="仿宋" w:hAnsi="仿宋" w:eastAsia="仿宋" w:cs="仿宋"/>
          <w:color w:val="auto"/>
          <w:highlight w:val="none"/>
          <w:lang w:val="zh-CN"/>
        </w:rPr>
      </w:pPr>
    </w:p>
    <w:p w14:paraId="51BD8B24">
      <w:pPr>
        <w:tabs>
          <w:tab w:val="left" w:pos="8280"/>
        </w:tabs>
        <w:spacing w:line="360" w:lineRule="auto"/>
        <w:ind w:right="-1" w:firstLine="542" w:firstLineChars="225"/>
        <w:outlineLvl w:val="9"/>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val="zh-CN"/>
        </w:rPr>
        <w:t>. 推荐拟中标候选人</w:t>
      </w:r>
    </w:p>
    <w:p w14:paraId="6AB4E743">
      <w:pPr>
        <w:tabs>
          <w:tab w:val="left" w:pos="8280"/>
        </w:tabs>
        <w:spacing w:line="360" w:lineRule="auto"/>
        <w:ind w:right="-1" w:firstLine="540" w:firstLineChars="225"/>
        <w:outlineLvl w:val="9"/>
        <w:rPr>
          <w:rFonts w:hint="eastAsia" w:ascii="仿宋" w:hAnsi="仿宋" w:eastAsia="仿宋" w:cs="仿宋"/>
          <w:bCs/>
          <w:color w:val="auto"/>
          <w:sz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.1由评标委员会集体按照经署名确认的汇总得分排序顺序，</w:t>
      </w:r>
      <w:r>
        <w:rPr>
          <w:rFonts w:hint="eastAsia" w:ascii="仿宋" w:hAnsi="仿宋" w:eastAsia="仿宋" w:cs="仿宋"/>
          <w:bCs/>
          <w:color w:val="auto"/>
          <w:sz w:val="24"/>
          <w:highlight w:val="none"/>
        </w:rPr>
        <w:t>推荐拟中标候选人。</w:t>
      </w:r>
    </w:p>
    <w:p w14:paraId="31B63611">
      <w:pPr>
        <w:tabs>
          <w:tab w:val="left" w:pos="8280"/>
        </w:tabs>
        <w:spacing w:line="360" w:lineRule="auto"/>
        <w:ind w:right="-1" w:firstLine="540" w:firstLineChars="225"/>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24.2 推荐拟中标候选投标人数量应当根据采购需要确定，应当限定在一至三人，并标明排列顺序。排序第一位的为推荐的</w:t>
      </w:r>
      <w:r>
        <w:rPr>
          <w:rFonts w:hint="eastAsia" w:ascii="仿宋" w:hAnsi="仿宋" w:eastAsia="仿宋" w:cs="仿宋"/>
          <w:color w:val="auto"/>
          <w:sz w:val="24"/>
          <w:szCs w:val="24"/>
          <w:highlight w:val="none"/>
        </w:rPr>
        <w:t>第一拟成交投标人。</w:t>
      </w:r>
    </w:p>
    <w:p w14:paraId="4D56CDB0">
      <w:pPr>
        <w:tabs>
          <w:tab w:val="left" w:pos="8280"/>
        </w:tabs>
        <w:spacing w:line="360" w:lineRule="auto"/>
        <w:ind w:right="-1" w:firstLine="540" w:firstLineChars="225"/>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.3 投标方</w:t>
      </w:r>
      <w:r>
        <w:rPr>
          <w:rFonts w:hint="eastAsia" w:ascii="仿宋" w:hAnsi="仿宋" w:eastAsia="仿宋" w:cs="仿宋"/>
          <w:bCs/>
          <w:color w:val="auto"/>
          <w:sz w:val="24"/>
          <w:highlight w:val="none"/>
        </w:rPr>
        <w:t>最低投标报价不是唯一中标条件</w:t>
      </w:r>
      <w:r>
        <w:rPr>
          <w:rFonts w:hint="eastAsia" w:ascii="仿宋" w:hAnsi="仿宋" w:eastAsia="仿宋" w:cs="仿宋"/>
          <w:color w:val="auto"/>
          <w:sz w:val="24"/>
          <w:highlight w:val="none"/>
          <w:lang w:val="zh-CN"/>
        </w:rPr>
        <w:t>。对资格资格审查和符合性审查合格的投标报价文件完整无缺、最大限度的满足招标文件需求的投标方，中标机会均等。</w:t>
      </w:r>
    </w:p>
    <w:p w14:paraId="6A3B7AD5">
      <w:pPr>
        <w:tabs>
          <w:tab w:val="left" w:pos="8280"/>
        </w:tabs>
        <w:spacing w:line="360" w:lineRule="auto"/>
        <w:ind w:right="-1" w:firstLine="540" w:firstLineChars="2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24.4 如汇总得分排序后出现</w:t>
      </w:r>
      <w:r>
        <w:rPr>
          <w:rFonts w:hint="eastAsia" w:ascii="仿宋" w:hAnsi="仿宋" w:eastAsia="仿宋" w:cs="仿宋"/>
          <w:bCs/>
          <w:color w:val="auto"/>
          <w:sz w:val="24"/>
          <w:highlight w:val="none"/>
        </w:rPr>
        <w:t>推荐拟中标候选人</w:t>
      </w:r>
      <w:r>
        <w:rPr>
          <w:rFonts w:hint="eastAsia" w:ascii="仿宋" w:hAnsi="仿宋" w:eastAsia="仿宋" w:cs="仿宋"/>
          <w:color w:val="auto"/>
          <w:sz w:val="24"/>
          <w:szCs w:val="24"/>
          <w:highlight w:val="none"/>
        </w:rPr>
        <w:t>得分相同的，评标委员会只对取得得分前三位投标人，按照</w:t>
      </w:r>
      <w:r>
        <w:rPr>
          <w:rFonts w:hint="eastAsia" w:ascii="仿宋" w:hAnsi="仿宋" w:eastAsia="仿宋" w:cs="仿宋"/>
          <w:color w:val="auto"/>
          <w:sz w:val="24"/>
          <w:highlight w:val="none"/>
          <w:lang w:val="zh-CN"/>
        </w:rPr>
        <w:t>其报价由低到高顺序排列；得分且其报价相等的，则按核心技术指标优劣顺序排列。价格、技术指标的高</w:t>
      </w:r>
      <w:r>
        <w:rPr>
          <w:rFonts w:hint="eastAsia" w:ascii="仿宋" w:hAnsi="仿宋" w:eastAsia="仿宋" w:cs="仿宋"/>
          <w:color w:val="auto"/>
          <w:sz w:val="24"/>
          <w:szCs w:val="24"/>
          <w:highlight w:val="none"/>
        </w:rPr>
        <w:t>低或优劣由评标委员会集体进行综合确认评定。排序在前三位之后的，按原排序不变，允许排序并列。</w:t>
      </w:r>
    </w:p>
    <w:p w14:paraId="17311716">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color w:val="auto"/>
          <w:sz w:val="24"/>
          <w:highlight w:val="none"/>
          <w:lang w:val="zh-CN"/>
        </w:rPr>
        <w:t>2</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.5 由采购代理机构对未推荐拟成交候选人、确认废标的，进行核对汇总后，由评标委员会各成员签署确认。</w:t>
      </w:r>
    </w:p>
    <w:p w14:paraId="299DF290">
      <w:pPr>
        <w:tabs>
          <w:tab w:val="left" w:pos="8280"/>
        </w:tabs>
        <w:spacing w:line="360" w:lineRule="auto"/>
        <w:ind w:right="-1" w:firstLine="542" w:firstLineChars="225"/>
        <w:outlineLvl w:val="9"/>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val="zh-CN"/>
        </w:rPr>
        <w:t>. 编写评标报告</w:t>
      </w:r>
    </w:p>
    <w:p w14:paraId="085A2BBF">
      <w:pPr>
        <w:tabs>
          <w:tab w:val="left" w:pos="8280"/>
        </w:tabs>
        <w:spacing w:line="360" w:lineRule="auto"/>
        <w:ind w:right="-1" w:firstLine="540" w:firstLineChars="2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25.1</w:t>
      </w:r>
      <w:r>
        <w:rPr>
          <w:rFonts w:hint="eastAsia" w:ascii="仿宋" w:hAnsi="仿宋" w:eastAsia="仿宋" w:cs="仿宋"/>
          <w:color w:val="auto"/>
          <w:sz w:val="24"/>
          <w:highlight w:val="none"/>
          <w:lang w:val="zh-CN"/>
        </w:rPr>
        <w:t>评标委员会</w:t>
      </w:r>
      <w:r>
        <w:rPr>
          <w:rFonts w:hint="eastAsia" w:ascii="仿宋" w:hAnsi="仿宋" w:eastAsia="仿宋" w:cs="仿宋"/>
          <w:color w:val="auto"/>
          <w:sz w:val="24"/>
          <w:szCs w:val="24"/>
          <w:highlight w:val="none"/>
        </w:rPr>
        <w:t>根据全体成员签字的评标（评审）原始记录和结果，编写评标报告，并现场提交给采购代理机构。编写的评标报告要符合招标文件的要求。</w:t>
      </w:r>
    </w:p>
    <w:p w14:paraId="2ADD90EF">
      <w:pPr>
        <w:tabs>
          <w:tab w:val="left" w:pos="8280"/>
        </w:tabs>
        <w:spacing w:line="360" w:lineRule="auto"/>
        <w:ind w:right="-1" w:firstLine="542" w:firstLineChars="225"/>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 评标结束</w:t>
      </w:r>
    </w:p>
    <w:p w14:paraId="6345E608">
      <w:pPr>
        <w:tabs>
          <w:tab w:val="left" w:pos="8280"/>
        </w:tabs>
        <w:spacing w:line="360" w:lineRule="auto"/>
        <w:ind w:right="-1" w:firstLine="540" w:firstLineChars="225"/>
        <w:outlineLvl w:val="9"/>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26.1采购代理机构应按规定时间，通知全部参与本次招标投标有效的投标人入场，进行会议总结，宣布本次</w:t>
      </w:r>
      <w:r>
        <w:rPr>
          <w:rFonts w:hint="eastAsia" w:ascii="仿宋" w:hAnsi="仿宋" w:eastAsia="仿宋" w:cs="仿宋"/>
          <w:color w:val="auto"/>
          <w:sz w:val="24"/>
          <w:highlight w:val="none"/>
          <w:lang w:val="zh-CN"/>
        </w:rPr>
        <w:t>评标委员会</w:t>
      </w:r>
      <w:r>
        <w:rPr>
          <w:rFonts w:hint="eastAsia" w:ascii="仿宋" w:hAnsi="仿宋" w:eastAsia="仿宋" w:cs="仿宋"/>
          <w:color w:val="auto"/>
          <w:sz w:val="24"/>
          <w:szCs w:val="24"/>
          <w:highlight w:val="none"/>
        </w:rPr>
        <w:t>推荐的第一拟成交投标人名单。</w:t>
      </w:r>
    </w:p>
    <w:p w14:paraId="667E4587">
      <w:pPr>
        <w:tabs>
          <w:tab w:val="left" w:pos="8280"/>
        </w:tabs>
        <w:spacing w:line="360" w:lineRule="auto"/>
        <w:ind w:right="-1" w:firstLine="540" w:firstLineChars="225"/>
        <w:outlineLvl w:val="9"/>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26.2 评审小组各成员名单不公开。</w:t>
      </w:r>
    </w:p>
    <w:p w14:paraId="52C61194">
      <w:pPr>
        <w:tabs>
          <w:tab w:val="left" w:pos="8280"/>
        </w:tabs>
        <w:spacing w:line="360" w:lineRule="auto"/>
        <w:ind w:right="-1" w:firstLine="540" w:firstLineChars="2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由采购代理机构宣读有关招标信息公告、中标确认原则及质疑（投诉）事项等说明。</w:t>
      </w:r>
    </w:p>
    <w:p w14:paraId="4031C726">
      <w:pPr>
        <w:tabs>
          <w:tab w:val="left" w:pos="8280"/>
        </w:tabs>
        <w:spacing w:line="360" w:lineRule="auto"/>
        <w:ind w:right="-1" w:firstLine="540" w:firstLineChars="2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在宣布会议结束后，采购代理机构均有义务告知所有投标人办理投标保证金的退付手续。</w:t>
      </w:r>
    </w:p>
    <w:p w14:paraId="22DBAC17">
      <w:pPr>
        <w:tabs>
          <w:tab w:val="left" w:pos="8280"/>
        </w:tabs>
        <w:spacing w:line="360" w:lineRule="auto"/>
        <w:ind w:right="-1" w:firstLine="540" w:firstLineChars="225"/>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2</w:t>
      </w:r>
      <w:r>
        <w:rPr>
          <w:rFonts w:hint="eastAsia" w:ascii="仿宋" w:hAnsi="仿宋" w:eastAsia="仿宋" w:cs="仿宋"/>
          <w:color w:val="auto"/>
          <w:sz w:val="24"/>
          <w:szCs w:val="24"/>
          <w:highlight w:val="none"/>
        </w:rPr>
        <w:t>6</w:t>
      </w:r>
      <w:r>
        <w:rPr>
          <w:rFonts w:hint="eastAsia" w:ascii="仿宋" w:hAnsi="仿宋" w:eastAsia="仿宋" w:cs="仿宋"/>
          <w:color w:val="auto"/>
          <w:sz w:val="24"/>
          <w:szCs w:val="24"/>
          <w:highlight w:val="none"/>
          <w:lang w:val="zh-CN"/>
        </w:rPr>
        <w:t xml:space="preserve">.5 </w:t>
      </w:r>
      <w:r>
        <w:rPr>
          <w:rFonts w:hint="eastAsia" w:ascii="仿宋" w:hAnsi="仿宋" w:eastAsia="仿宋" w:cs="仿宋"/>
          <w:color w:val="auto"/>
          <w:sz w:val="24"/>
          <w:szCs w:val="24"/>
          <w:highlight w:val="none"/>
        </w:rPr>
        <w:t>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其投标保证金的有效期，但不得修改其投标文件的实质性内容。</w:t>
      </w:r>
    </w:p>
    <w:p w14:paraId="29848A73">
      <w:pPr>
        <w:outlineLvl w:val="9"/>
        <w:rPr>
          <w:rFonts w:hint="eastAsia" w:ascii="仿宋" w:hAnsi="仿宋" w:eastAsia="仿宋" w:cs="仿宋"/>
          <w:color w:val="auto"/>
          <w:highlight w:val="none"/>
        </w:rPr>
      </w:pPr>
    </w:p>
    <w:p w14:paraId="4743C0E0">
      <w:pPr>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第三章 定　标</w:t>
      </w:r>
    </w:p>
    <w:p w14:paraId="33802F14">
      <w:pPr>
        <w:autoSpaceDE w:val="0"/>
        <w:autoSpaceDN w:val="0"/>
        <w:adjustRightInd w:val="0"/>
        <w:spacing w:line="360" w:lineRule="auto"/>
        <w:ind w:firstLine="482" w:firstLineChars="200"/>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27</w:t>
      </w:r>
      <w:r>
        <w:rPr>
          <w:rFonts w:hint="eastAsia" w:ascii="仿宋" w:hAnsi="仿宋" w:eastAsia="仿宋" w:cs="仿宋"/>
          <w:b/>
          <w:bCs/>
          <w:color w:val="auto"/>
          <w:sz w:val="24"/>
          <w:highlight w:val="none"/>
          <w:lang w:val="zh-CN"/>
        </w:rPr>
        <w:t>．定标标准</w:t>
      </w:r>
    </w:p>
    <w:p w14:paraId="2490F68A">
      <w:pPr>
        <w:autoSpaceDE w:val="0"/>
        <w:autoSpaceDN w:val="0"/>
        <w:adjustRightIn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招标代理机构</w:t>
      </w:r>
      <w:r>
        <w:rPr>
          <w:rFonts w:hint="eastAsia" w:ascii="仿宋" w:hAnsi="仿宋" w:eastAsia="仿宋" w:cs="仿宋"/>
          <w:color w:val="auto"/>
          <w:sz w:val="24"/>
          <w:highlight w:val="none"/>
          <w:lang w:val="zh-CN"/>
        </w:rPr>
        <w:t>应在评标结束后</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个工作日内，以书面形式向采购人发出《关于给予评审结果的确认函》，采购人在收到后5个工作日内，应按照评标报告确定的中标候选投标人名单中的顺序确认中标投标人</w:t>
      </w:r>
      <w:r>
        <w:rPr>
          <w:rFonts w:hint="eastAsia" w:ascii="仿宋" w:hAnsi="仿宋" w:eastAsia="仿宋" w:cs="仿宋"/>
          <w:color w:val="auto"/>
          <w:sz w:val="24"/>
          <w:szCs w:val="24"/>
          <w:highlight w:val="none"/>
        </w:rPr>
        <w:t>。</w:t>
      </w:r>
    </w:p>
    <w:p w14:paraId="489DAB8B">
      <w:pPr>
        <w:autoSpaceDE w:val="0"/>
        <w:autoSpaceDN w:val="0"/>
        <w:adjustRightIn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27.2 中标投标人因不可抗力或者自身原因不能履行合同的，采购人可以与排位在中标投标人之后第一位的中标候选投标人签订合同，以此类推。</w:t>
      </w:r>
    </w:p>
    <w:p w14:paraId="63652A98">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27.2.1 最低投标价不一定是被授予合同的保证。</w:t>
      </w:r>
    </w:p>
    <w:p w14:paraId="1A887927">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27.2.2 合同将授予被确定为实质上响应招标文件要求，经评定认为具备履行合同义务能力、报价合理、技术和商务条件都符合招标文件要求的、对买方最为有利的投标人。</w:t>
      </w:r>
    </w:p>
    <w:p w14:paraId="0103692E">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27.2.3 如果采购人确定该中标投标人无条件圆满履行合同，应由采购人将对下一个可能成交的投标人资格做出类似的审查。</w:t>
      </w:r>
    </w:p>
    <w:p w14:paraId="359934A2">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28</w:t>
      </w:r>
      <w:r>
        <w:rPr>
          <w:rFonts w:hint="eastAsia" w:ascii="仿宋" w:hAnsi="仿宋" w:eastAsia="仿宋" w:cs="仿宋"/>
          <w:b/>
          <w:bCs/>
          <w:color w:val="auto"/>
          <w:sz w:val="24"/>
          <w:highlight w:val="none"/>
          <w:lang w:val="zh-CN"/>
        </w:rPr>
        <w:t>．接受和拒绝任何或所有投标的权力</w:t>
      </w:r>
    </w:p>
    <w:p w14:paraId="27B919E0">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28</w:t>
      </w:r>
      <w:r>
        <w:rPr>
          <w:rFonts w:hint="eastAsia" w:ascii="仿宋" w:hAnsi="仿宋" w:eastAsia="仿宋" w:cs="仿宋"/>
          <w:color w:val="auto"/>
          <w:sz w:val="24"/>
          <w:highlight w:val="none"/>
          <w:lang w:val="zh-CN"/>
        </w:rPr>
        <w:t>.1 为维护国家利益，评标委员会在授予合同之前仍有选择或拒绝任何投标的权力。</w:t>
      </w:r>
    </w:p>
    <w:p w14:paraId="23DC137F">
      <w:pPr>
        <w:autoSpaceDE w:val="0"/>
        <w:autoSpaceDN w:val="0"/>
        <w:adjustRightInd w:val="0"/>
        <w:spacing w:line="360" w:lineRule="auto"/>
        <w:ind w:firstLine="482"/>
        <w:outlineLvl w:val="9"/>
        <w:rPr>
          <w:rFonts w:hint="eastAsia" w:ascii="仿宋" w:hAnsi="仿宋" w:eastAsia="仿宋" w:cs="仿宋"/>
          <w:b/>
          <w:bCs/>
          <w:color w:val="auto"/>
          <w:sz w:val="24"/>
          <w:highlight w:val="none"/>
          <w:lang w:val="zh-CN"/>
        </w:rPr>
      </w:pPr>
      <w:r>
        <w:rPr>
          <w:rFonts w:hint="eastAsia" w:ascii="仿宋" w:hAnsi="仿宋" w:eastAsia="仿宋" w:cs="仿宋"/>
          <w:b/>
          <w:bCs/>
          <w:color w:val="auto"/>
          <w:sz w:val="24"/>
          <w:highlight w:val="none"/>
        </w:rPr>
        <w:t>29</w:t>
      </w:r>
      <w:r>
        <w:rPr>
          <w:rFonts w:hint="eastAsia" w:ascii="仿宋" w:hAnsi="仿宋" w:eastAsia="仿宋" w:cs="仿宋"/>
          <w:b/>
          <w:bCs/>
          <w:color w:val="auto"/>
          <w:sz w:val="24"/>
          <w:highlight w:val="none"/>
          <w:lang w:val="zh-CN"/>
        </w:rPr>
        <w:t>．中标通知书</w:t>
      </w:r>
    </w:p>
    <w:p w14:paraId="50880610">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szCs w:val="24"/>
          <w:highlight w:val="none"/>
        </w:rPr>
        <w:t>29.1 中标投标人确定后，采购代理机构应当将中标结果在省级以上财政部门指定的信息发布媒体上公告1个工作日，在公告中标结果的同时，采购代理机构向中标投标人发出</w:t>
      </w:r>
      <w:r>
        <w:rPr>
          <w:rFonts w:hint="eastAsia" w:ascii="仿宋" w:hAnsi="仿宋" w:eastAsia="仿宋" w:cs="仿宋"/>
          <w:bCs/>
          <w:color w:val="auto"/>
          <w:sz w:val="24"/>
          <w:highlight w:val="none"/>
        </w:rPr>
        <w:t>《中标通知书》。</w:t>
      </w:r>
    </w:p>
    <w:p w14:paraId="423D9E65">
      <w:pPr>
        <w:autoSpaceDE w:val="0"/>
        <w:autoSpaceDN w:val="0"/>
        <w:adjustRightIn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29.1.1 投标人对中标公告有异议的，应当在中标公告发布之日起七个工作日内，以书面形式向采购代理机构提出质疑。采购代理机构应当在收到</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人书面质疑后七个工作日内，对质疑内容做出答复。质疑投标人对答复不满意或者采购代理机构未在规定时间内答复的，可以在答复期满后十五个工作日内按有关规定，向同级人民政府财政部门投诉。</w:t>
      </w:r>
    </w:p>
    <w:p w14:paraId="46F831E4">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29</w:t>
      </w:r>
      <w:r>
        <w:rPr>
          <w:rFonts w:hint="eastAsia" w:ascii="仿宋" w:hAnsi="仿宋" w:eastAsia="仿宋" w:cs="仿宋"/>
          <w:color w:val="auto"/>
          <w:sz w:val="24"/>
          <w:highlight w:val="none"/>
          <w:lang w:val="zh-CN"/>
        </w:rPr>
        <w:t>.1.2 采购人在收到《关于给予评审结果的确认函》5个工作日内，如不按规定确认中标投标人，应在规定的5个工作日期限内，以书面方式回函提出异议，经过财政监管部门同意后，由采购代理机构直接向中标首选投标人发出《中标通知书》。如逾期既不确认也不回函提出异议的，采购代理机构则视同采购人认可评标委员会推荐的中标首选结果，由采购代理机构直接向拟中标首选投标人发出《中标通知书》。一经发出即发生法律效力。</w:t>
      </w:r>
    </w:p>
    <w:p w14:paraId="1020AAB5">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29</w:t>
      </w:r>
      <w:r>
        <w:rPr>
          <w:rFonts w:hint="eastAsia" w:ascii="仿宋" w:hAnsi="仿宋" w:eastAsia="仿宋" w:cs="仿宋"/>
          <w:color w:val="auto"/>
          <w:sz w:val="24"/>
          <w:highlight w:val="none"/>
          <w:lang w:val="zh-CN"/>
        </w:rPr>
        <w:t>.1.3 中标投标人领取《中标通知书》时，须向采购人提交合同履约保证金，拒绝提交的，视为放弃成交项目。</w:t>
      </w:r>
    </w:p>
    <w:p w14:paraId="5B32F4D5">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29</w:t>
      </w:r>
      <w:r>
        <w:rPr>
          <w:rFonts w:hint="eastAsia" w:ascii="仿宋" w:hAnsi="仿宋" w:eastAsia="仿宋" w:cs="仿宋"/>
          <w:color w:val="auto"/>
          <w:sz w:val="24"/>
          <w:highlight w:val="none"/>
          <w:lang w:val="zh-CN"/>
        </w:rPr>
        <w:t>.1.3.1 合同履约保证金待合同执行期满、货物验收合格及办理货款结算时，由采购人无息退还。</w:t>
      </w:r>
    </w:p>
    <w:p w14:paraId="0EB5FA78">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29</w:t>
      </w:r>
      <w:r>
        <w:rPr>
          <w:rFonts w:hint="eastAsia" w:ascii="仿宋" w:hAnsi="仿宋" w:eastAsia="仿宋" w:cs="仿宋"/>
          <w:color w:val="auto"/>
          <w:sz w:val="24"/>
          <w:highlight w:val="none"/>
          <w:lang w:val="zh-CN"/>
        </w:rPr>
        <w:t>.1.3.2 合同履约保证金可采用银行汇票、银行保函等形式交纳，成交投标人须将履约保证金交到采购人指定帐户。指定账户与投标报价保证金同账户。</w:t>
      </w:r>
    </w:p>
    <w:p w14:paraId="642AF842">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29</w:t>
      </w:r>
      <w:r>
        <w:rPr>
          <w:rFonts w:hint="eastAsia" w:ascii="仿宋" w:hAnsi="仿宋" w:eastAsia="仿宋" w:cs="仿宋"/>
          <w:color w:val="auto"/>
          <w:sz w:val="24"/>
          <w:highlight w:val="none"/>
          <w:lang w:val="zh-CN"/>
        </w:rPr>
        <w:t>.1.3.3 中标投标人提交的合同履约保证金，其有效期限应不低于合同有效期。</w:t>
      </w:r>
    </w:p>
    <w:p w14:paraId="28EB3B06">
      <w:pPr>
        <w:autoSpaceDE w:val="0"/>
        <w:autoSpaceDN w:val="0"/>
        <w:adjustRightInd w:val="0"/>
        <w:spacing w:line="360"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29.2  </w:t>
      </w:r>
      <w:r>
        <w:rPr>
          <w:rFonts w:hint="eastAsia" w:ascii="仿宋" w:hAnsi="仿宋" w:eastAsia="仿宋" w:cs="仿宋"/>
          <w:color w:val="auto"/>
          <w:sz w:val="24"/>
          <w:highlight w:val="none"/>
          <w:lang w:val="zh-CN"/>
        </w:rPr>
        <w:t>在发布中标公告后，招标采购单位应当向中标投标人发出中标通知书，中标通知书对采购人和中标投标人具有同等法律效力。《中标通知书》</w:t>
      </w:r>
      <w:r>
        <w:rPr>
          <w:rFonts w:hint="eastAsia" w:ascii="仿宋" w:hAnsi="仿宋" w:eastAsia="仿宋" w:cs="仿宋"/>
          <w:color w:val="auto"/>
          <w:sz w:val="24"/>
          <w:szCs w:val="24"/>
          <w:highlight w:val="none"/>
        </w:rPr>
        <w:t>发出后，采购人改变中标结果，或者中标投标人放弃成交，应当承担相应的法律责任。</w:t>
      </w:r>
    </w:p>
    <w:p w14:paraId="4E0C5FDF">
      <w:pPr>
        <w:autoSpaceDE w:val="0"/>
        <w:autoSpaceDN w:val="0"/>
        <w:adjustRightInd w:val="0"/>
        <w:spacing w:line="360" w:lineRule="auto"/>
        <w:ind w:firstLine="480" w:firstLineChars="200"/>
        <w:outlineLvl w:val="9"/>
        <w:rPr>
          <w:rFonts w:hint="eastAsia" w:ascii="仿宋" w:hAnsi="仿宋" w:eastAsia="仿宋" w:cs="仿宋"/>
          <w:b/>
          <w:color w:val="auto"/>
          <w:sz w:val="32"/>
          <w:szCs w:val="32"/>
          <w:highlight w:val="none"/>
        </w:rPr>
      </w:pPr>
      <w:r>
        <w:rPr>
          <w:rFonts w:hint="eastAsia" w:ascii="仿宋" w:hAnsi="仿宋" w:eastAsia="仿宋" w:cs="仿宋"/>
          <w:color w:val="auto"/>
          <w:sz w:val="24"/>
          <w:highlight w:val="none"/>
        </w:rPr>
        <w:t>29</w:t>
      </w:r>
      <w:r>
        <w:rPr>
          <w:rFonts w:hint="eastAsia" w:ascii="仿宋" w:hAnsi="仿宋" w:eastAsia="仿宋" w:cs="仿宋"/>
          <w:color w:val="auto"/>
          <w:sz w:val="24"/>
          <w:highlight w:val="none"/>
          <w:lang w:val="zh-CN"/>
        </w:rPr>
        <w:t>.3 《中标通知书》要作为</w:t>
      </w:r>
      <w:r>
        <w:rPr>
          <w:rFonts w:hint="eastAsia" w:ascii="仿宋" w:hAnsi="仿宋" w:eastAsia="仿宋" w:cs="仿宋"/>
          <w:color w:val="auto"/>
          <w:sz w:val="24"/>
          <w:szCs w:val="24"/>
          <w:highlight w:val="none"/>
        </w:rPr>
        <w:t>采购人、中标投标人</w:t>
      </w:r>
      <w:r>
        <w:rPr>
          <w:rFonts w:hint="eastAsia" w:ascii="仿宋" w:hAnsi="仿宋" w:eastAsia="仿宋" w:cs="仿宋"/>
          <w:color w:val="auto"/>
          <w:sz w:val="24"/>
          <w:highlight w:val="none"/>
          <w:lang w:val="zh-CN"/>
        </w:rPr>
        <w:t>签订的由采购人监章的合同的依据。</w:t>
      </w:r>
    </w:p>
    <w:p w14:paraId="2B9E5703">
      <w:pPr>
        <w:spacing w:line="360" w:lineRule="auto"/>
        <w:jc w:val="center"/>
        <w:outlineLvl w:val="1"/>
        <w:rPr>
          <w:rFonts w:hint="eastAsia" w:ascii="仿宋" w:hAnsi="仿宋" w:eastAsia="仿宋" w:cs="仿宋"/>
          <w:b/>
          <w:color w:val="auto"/>
          <w:sz w:val="32"/>
          <w:szCs w:val="32"/>
          <w:highlight w:val="none"/>
        </w:rPr>
      </w:pPr>
    </w:p>
    <w:p w14:paraId="7646B5F0">
      <w:pPr>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第四章 授予合同</w:t>
      </w:r>
    </w:p>
    <w:p w14:paraId="63F8A749">
      <w:pPr>
        <w:autoSpaceDE w:val="0"/>
        <w:autoSpaceDN w:val="0"/>
        <w:adjustRightInd w:val="0"/>
        <w:spacing w:line="360" w:lineRule="auto"/>
        <w:ind w:firstLine="482"/>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 xml:space="preserve">30. </w:t>
      </w:r>
      <w:r>
        <w:rPr>
          <w:rFonts w:hint="eastAsia" w:ascii="仿宋" w:hAnsi="仿宋" w:eastAsia="仿宋" w:cs="仿宋"/>
          <w:b/>
          <w:bCs/>
          <w:color w:val="auto"/>
          <w:sz w:val="24"/>
          <w:highlight w:val="none"/>
          <w:lang w:val="zh-CN"/>
        </w:rPr>
        <w:t>签订合同</w:t>
      </w:r>
    </w:p>
    <w:p w14:paraId="4CE6F06A">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.1</w:t>
      </w:r>
      <w:r>
        <w:rPr>
          <w:rFonts w:hint="eastAsia" w:ascii="仿宋" w:hAnsi="仿宋" w:eastAsia="仿宋" w:cs="仿宋"/>
          <w:color w:val="auto"/>
          <w:sz w:val="24"/>
          <w:szCs w:val="24"/>
          <w:highlight w:val="none"/>
        </w:rPr>
        <w:t xml:space="preserve"> 中标投标人应当自《中标通知书》发出之日起30日内，</w:t>
      </w:r>
      <w:r>
        <w:rPr>
          <w:rFonts w:hint="eastAsia" w:ascii="仿宋" w:hAnsi="仿宋" w:eastAsia="仿宋" w:cs="仿宋"/>
          <w:color w:val="auto"/>
          <w:sz w:val="24"/>
          <w:highlight w:val="none"/>
          <w:lang w:val="zh-CN"/>
        </w:rPr>
        <w:t>按照采购代理机构招标文件的约定和中标方投标文件中的承诺与采购单位签订书面合同，所签订的合同不得对采购代理机构招标文件和中标方的投标文件作实质性修改。</w:t>
      </w:r>
    </w:p>
    <w:p w14:paraId="0E42A4EC">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.2 采购单位不得向中标投标人提出任何不合理要求作为签订合同的条件，不得与中标投标人私下订立背离合同实质性内容的协议。</w:t>
      </w:r>
    </w:p>
    <w:p w14:paraId="230146A6">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.3 合同的双方当事人不得擅自变更、中止或者终止合同。</w:t>
      </w:r>
    </w:p>
    <w:p w14:paraId="66EFE917">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.4 合同继续履行将损害国家利益和社会公共利益的，双方当事人应当变更、中止或者终止合同。有过错的一方承担赔偿责任，双方都有过错的，各自承担相应责任。</w:t>
      </w:r>
    </w:p>
    <w:p w14:paraId="7A22048E">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.5 合同履行中，采购人需追加与合同标的相同的货物、工程或者服务的，在不改变其他条款的前提下，经采购人审查后，可以与投标人签订补充合同，补充合同须有采购人监章，但所有补充合同的采购金额不得超过原合同金额的10%。</w:t>
      </w:r>
    </w:p>
    <w:p w14:paraId="2FE3C3BC">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.5.1 采购人在授予中标人合同时，经审查采购人的书面申请后，有权对招标文件中规定的货物和服务的数量在10%的幅度内予以增加或减少，并要在合同中增加条款进行说明。</w:t>
      </w:r>
    </w:p>
    <w:p w14:paraId="1FDE47A7">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.6 如中标投标人拒签合同，则按违约处理。采购人将没收其合同履约保证金。</w:t>
      </w:r>
    </w:p>
    <w:p w14:paraId="7CEAC8E6">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30.</w:t>
      </w:r>
      <w:r>
        <w:rPr>
          <w:rFonts w:hint="eastAsia" w:ascii="仿宋" w:hAnsi="仿宋" w:eastAsia="仿宋" w:cs="仿宋"/>
          <w:color w:val="auto"/>
          <w:sz w:val="24"/>
          <w:highlight w:val="none"/>
          <w:lang w:val="zh-CN"/>
        </w:rPr>
        <w:t>7 采购代理机构的招标文件、中标方的投标文件及其澄清、询标（答疑）文件等，均做为签订合同的法律依据。</w:t>
      </w:r>
    </w:p>
    <w:p w14:paraId="680F6E40">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.8 在未经采购人允许的情况下，不允许中标人将成交项目分包或转交他人承担。而且，采购人也不得直接指定分包人。</w:t>
      </w:r>
    </w:p>
    <w:p w14:paraId="7793AC6D">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.8.1 经采购人同意，中标投标人可以依法采取分包方式履行合同。合同分包履行的，中标投标人就采购项目和分包项目向采购人负责，分包投标人向分包项目承担责任。</w:t>
      </w:r>
    </w:p>
    <w:p w14:paraId="02F49802">
      <w:pPr>
        <w:autoSpaceDE w:val="0"/>
        <w:autoSpaceDN w:val="0"/>
        <w:adjustRightInd w:val="0"/>
        <w:spacing w:line="360" w:lineRule="auto"/>
        <w:ind w:firstLine="472"/>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.8.2 对于不具备分包条件或者不符合分包规定的，采购人有权在签订合同或中标投标人提出分包要求时予以拒绝。如发现中标投标人转包或违法分包时，有权要求其改正；拒不改正的，有权要求终止合同，并报请有关行政监督部门查处。</w:t>
      </w:r>
    </w:p>
    <w:p w14:paraId="21A7E9CC">
      <w:pPr>
        <w:autoSpaceDE w:val="0"/>
        <w:autoSpaceDN w:val="0"/>
        <w:adjustRightInd w:val="0"/>
        <w:spacing w:line="360" w:lineRule="auto"/>
        <w:ind w:firstLine="472"/>
        <w:outlineLvl w:val="9"/>
        <w:rPr>
          <w:rFonts w:hint="eastAsia" w:ascii="仿宋" w:hAnsi="仿宋" w:eastAsia="仿宋" w:cs="仿宋"/>
          <w:b/>
          <w:color w:val="auto"/>
          <w:sz w:val="36"/>
          <w:highlight w:val="none"/>
        </w:rPr>
      </w:pPr>
      <w:r>
        <w:rPr>
          <w:rFonts w:hint="eastAsia" w:ascii="仿宋" w:hAnsi="仿宋" w:eastAsia="仿宋" w:cs="仿宋"/>
          <w:color w:val="auto"/>
          <w:sz w:val="24"/>
          <w:highlight w:val="none"/>
          <w:lang w:val="zh-CN"/>
        </w:rPr>
        <w:t>3</w:t>
      </w:r>
      <w:r>
        <w:rPr>
          <w:rFonts w:hint="eastAsia" w:ascii="仿宋" w:hAnsi="仿宋" w:eastAsia="仿宋" w:cs="仿宋"/>
          <w:color w:val="auto"/>
          <w:sz w:val="24"/>
          <w:highlight w:val="none"/>
        </w:rPr>
        <w:t>0</w:t>
      </w:r>
      <w:r>
        <w:rPr>
          <w:rFonts w:hint="eastAsia" w:ascii="仿宋" w:hAnsi="仿宋" w:eastAsia="仿宋" w:cs="仿宋"/>
          <w:color w:val="auto"/>
          <w:sz w:val="24"/>
          <w:highlight w:val="none"/>
          <w:lang w:val="zh-CN"/>
        </w:rPr>
        <w:t>.8.2.1 中标投标人必须与采购人协商后，共同决定将合同标的中的部分由第三方承担供货和服务责任，但中标投标人必须对合同标的的全部内容向采购人负责，并保证第三方提供的供货和服务符合采购代理机构招标文件的约定和其投标文件的承诺及相关约定。</w:t>
      </w:r>
    </w:p>
    <w:p w14:paraId="3F78C03E">
      <w:pPr>
        <w:outlineLvl w:val="9"/>
        <w:rPr>
          <w:rFonts w:hint="eastAsia" w:ascii="仿宋" w:hAnsi="仿宋" w:eastAsia="仿宋" w:cs="仿宋"/>
          <w:b/>
          <w:color w:val="auto"/>
          <w:sz w:val="36"/>
          <w:highlight w:val="none"/>
        </w:rPr>
      </w:pPr>
      <w:r>
        <w:rPr>
          <w:rFonts w:hint="eastAsia" w:ascii="仿宋" w:hAnsi="仿宋" w:eastAsia="仿宋" w:cs="仿宋"/>
          <w:b/>
          <w:color w:val="auto"/>
          <w:sz w:val="36"/>
          <w:highlight w:val="none"/>
        </w:rPr>
        <w:br w:type="page"/>
      </w:r>
    </w:p>
    <w:p w14:paraId="5D00BC98">
      <w:pPr>
        <w:spacing w:line="360" w:lineRule="auto"/>
        <w:jc w:val="center"/>
        <w:outlineLvl w:val="0"/>
        <w:rPr>
          <w:rFonts w:hint="eastAsia" w:ascii="仿宋" w:hAnsi="仿宋" w:eastAsia="仿宋" w:cs="仿宋"/>
          <w:b/>
          <w:color w:val="auto"/>
          <w:sz w:val="36"/>
          <w:highlight w:val="none"/>
        </w:rPr>
      </w:pPr>
      <w:r>
        <w:rPr>
          <w:rFonts w:hint="eastAsia" w:ascii="仿宋" w:hAnsi="仿宋" w:eastAsia="仿宋" w:cs="仿宋"/>
          <w:b/>
          <w:color w:val="auto"/>
          <w:sz w:val="36"/>
          <w:highlight w:val="none"/>
        </w:rPr>
        <w:t>第七部分 商务部分</w:t>
      </w:r>
    </w:p>
    <w:p w14:paraId="4CB32C5D">
      <w:pPr>
        <w:pStyle w:val="13"/>
        <w:numPr>
          <w:ilvl w:val="0"/>
          <w:numId w:val="0"/>
        </w:numPr>
        <w:jc w:val="center"/>
        <w:outlineLvl w:val="9"/>
        <w:rPr>
          <w:rFonts w:hint="eastAsia" w:ascii="仿宋" w:hAnsi="仿宋" w:eastAsia="仿宋" w:cs="仿宋"/>
          <w:b/>
          <w:bCs w:val="0"/>
          <w:i w:val="0"/>
          <w:iCs/>
          <w:color w:val="auto"/>
          <w:kern w:val="2"/>
          <w:sz w:val="28"/>
          <w:szCs w:val="28"/>
          <w:highlight w:val="none"/>
          <w:lang w:val="en-US" w:eastAsia="zh-CN" w:bidi="ar-SA"/>
        </w:rPr>
      </w:pPr>
      <w:r>
        <w:rPr>
          <w:rFonts w:hint="eastAsia" w:ascii="仿宋" w:hAnsi="仿宋" w:eastAsia="仿宋" w:cs="仿宋"/>
          <w:b/>
          <w:bCs w:val="0"/>
          <w:i w:val="0"/>
          <w:iCs/>
          <w:color w:val="auto"/>
          <w:kern w:val="2"/>
          <w:sz w:val="28"/>
          <w:szCs w:val="28"/>
          <w:highlight w:val="none"/>
          <w:lang w:val="en-US" w:eastAsia="zh-CN" w:bidi="ar-SA"/>
        </w:rPr>
        <w:t>（注：具体以双方签订合同为准）</w:t>
      </w:r>
    </w:p>
    <w:p w14:paraId="638AAA83">
      <w:pPr>
        <w:pStyle w:val="52"/>
        <w:numPr>
          <w:ilvl w:val="0"/>
          <w:numId w:val="5"/>
        </w:numPr>
        <w:jc w:val="center"/>
        <w:outlineLvl w:val="1"/>
        <w:rPr>
          <w:rFonts w:hint="eastAsia" w:ascii="仿宋" w:hAnsi="仿宋" w:eastAsia="仿宋" w:cs="仿宋"/>
          <w:b/>
          <w:bCs w:val="0"/>
          <w:color w:val="auto"/>
          <w:kern w:val="2"/>
          <w:sz w:val="28"/>
          <w:szCs w:val="18"/>
          <w:highlight w:val="none"/>
          <w:lang w:val="en" w:eastAsia="zh-CN" w:bidi="ar-SA"/>
        </w:rPr>
      </w:pPr>
      <w:r>
        <w:rPr>
          <w:rFonts w:hint="eastAsia" w:ascii="仿宋" w:hAnsi="仿宋" w:eastAsia="仿宋" w:cs="仿宋"/>
          <w:b/>
          <w:bCs w:val="0"/>
          <w:color w:val="auto"/>
          <w:sz w:val="28"/>
          <w:szCs w:val="18"/>
          <w:highlight w:val="none"/>
          <w:lang w:val="en-US" w:eastAsia="zh-CN"/>
        </w:rPr>
        <w:t xml:space="preserve"> </w:t>
      </w:r>
      <w:r>
        <w:rPr>
          <w:rFonts w:hint="eastAsia" w:ascii="仿宋" w:hAnsi="仿宋" w:eastAsia="仿宋" w:cs="仿宋"/>
          <w:b/>
          <w:bCs w:val="0"/>
          <w:color w:val="auto"/>
          <w:kern w:val="2"/>
          <w:sz w:val="28"/>
          <w:szCs w:val="18"/>
          <w:highlight w:val="none"/>
          <w:lang w:val="en" w:eastAsia="zh-CN" w:bidi="ar-SA"/>
        </w:rPr>
        <w:t>合同一般条款</w:t>
      </w:r>
    </w:p>
    <w:p w14:paraId="4E98DCA2">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1．定义</w:t>
      </w:r>
    </w:p>
    <w:p w14:paraId="57C737B1">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 “合同”系指买方和卖方(以下简称合同双方)已达成的协议，即由双方签订的合同格式文件，包括所有的</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、响应文件、招标答疑纪录、澄清说明、附件、附录和组成合同的所有其他文件。</w:t>
      </w:r>
    </w:p>
    <w:p w14:paraId="50184F7A">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 “合同价格”系指根据合同规定，在卖方全面正确地履行合同义务时，买方应支付给卖方的款项。</w:t>
      </w:r>
    </w:p>
    <w:p w14:paraId="386D7212">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 “货物”系指卖方按合同要求，须向买方提供的一切产品。</w:t>
      </w:r>
    </w:p>
    <w:p w14:paraId="0373007D">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 “服务”系指合同规定卖方必须承担的安装、调试、技术协助、校准、培训以及其他类似义务。</w:t>
      </w:r>
    </w:p>
    <w:p w14:paraId="737FEFA3">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 “甲方”、“买方”、“采购人”均系指通过招标采购，接受合同货物及服务的采购单位。</w:t>
      </w:r>
    </w:p>
    <w:p w14:paraId="405061DB">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 “乙方”、“卖方”系指成交后提供合同货物和服务的经济实体。</w:t>
      </w:r>
    </w:p>
    <w:p w14:paraId="4DDF7964">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 “现场”系指将要进行货物安装和运转的地点。</w:t>
      </w:r>
    </w:p>
    <w:p w14:paraId="6274FD05">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 “验收”系指买方依据技术参数规格规定接受合同货物所依据的程序和条件。</w:t>
      </w:r>
    </w:p>
    <w:p w14:paraId="6E5A8A31">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2．适用范围</w:t>
      </w:r>
    </w:p>
    <w:p w14:paraId="6ECED90E">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本合同条款仅适用于本次采购活动。</w:t>
      </w:r>
    </w:p>
    <w:p w14:paraId="260DB9EF">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3．原产地</w:t>
      </w:r>
    </w:p>
    <w:p w14:paraId="3549793A">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原产地系指货物的生产地，或提供辅助服务的来源地。</w:t>
      </w:r>
    </w:p>
    <w:p w14:paraId="7E0F0090">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4．技术规格和标准</w:t>
      </w:r>
    </w:p>
    <w:p w14:paraId="7CBD399B">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本合同项下所供货物的技术规格应与本</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技术规格规定的标准相一致。若技术规格中无相应规定，货物则应符合相应的国家标准或有关权威部门最新颁布的相应的正式标准。</w:t>
      </w:r>
    </w:p>
    <w:p w14:paraId="5CE20FB7">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5．专利权</w:t>
      </w:r>
    </w:p>
    <w:p w14:paraId="6DB1C225">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卖方须保障买方在使用其提供的货物、服务及其任何部分时不受到第三方关于侵犯专利权、商标权或工业设计权的指控。任何第三方如果提出侵权指控，卖方须与第三方交涉并承担由此而引起的一切法律责任和费用。</w:t>
      </w:r>
    </w:p>
    <w:p w14:paraId="03770A05">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6．包装</w:t>
      </w:r>
    </w:p>
    <w:p w14:paraId="2F73264B">
      <w:pPr>
        <w:spacing w:line="460" w:lineRule="exact"/>
        <w:ind w:firstLine="480" w:firstLineChars="200"/>
        <w:outlineLvl w:val="9"/>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6.1除本合同另有规定之外，提供的全部货物须采用相应标准的保护措施进行包装。这种包装应适于空运和内陆运输，并有良好的防潮、防震、防锈和防野蛮装卸等保护措施，以确保货物安全运抵现场。卖方应承担由于其包装或其防护措施不妥而引起货物锈蚀、损坏和丢失造成的任何损失或费用。</w:t>
      </w:r>
    </w:p>
    <w:p w14:paraId="41E5A53C">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 每件包装应附有详细装箱单和质量证书各两套，一套在包装箱里，一套在包装箱外。</w:t>
      </w:r>
    </w:p>
    <w:p w14:paraId="7FB0314A">
      <w:pPr>
        <w:spacing w:line="46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rPr>
        <w:t>7．运输标记</w:t>
      </w:r>
      <w:r>
        <w:rPr>
          <w:rFonts w:hint="eastAsia" w:ascii="仿宋" w:hAnsi="仿宋" w:eastAsia="仿宋" w:cs="仿宋"/>
          <w:b/>
          <w:color w:val="auto"/>
          <w:sz w:val="24"/>
          <w:szCs w:val="24"/>
          <w:highlight w:val="none"/>
        </w:rPr>
        <w:cr/>
      </w:r>
      <w:r>
        <w:rPr>
          <w:rFonts w:hint="eastAsia" w:ascii="仿宋" w:hAnsi="仿宋" w:eastAsia="仿宋" w:cs="仿宋"/>
          <w:color w:val="auto"/>
          <w:sz w:val="24"/>
          <w:szCs w:val="24"/>
          <w:highlight w:val="none"/>
        </w:rPr>
        <w:t xml:space="preserve">    7.1卖方应在每一包装箱邻接的四个侧面用不易褪色的油漆以醒目的中文印刷字体标明以下各项：</w:t>
      </w:r>
      <w:r>
        <w:rPr>
          <w:rFonts w:hint="eastAsia" w:ascii="仿宋" w:hAnsi="仿宋" w:eastAsia="仿宋" w:cs="仿宋"/>
          <w:color w:val="auto"/>
          <w:sz w:val="24"/>
          <w:szCs w:val="24"/>
          <w:highlight w:val="none"/>
        </w:rPr>
        <w:cr/>
      </w:r>
      <w:r>
        <w:rPr>
          <w:rFonts w:hint="eastAsia" w:ascii="仿宋" w:hAnsi="仿宋" w:eastAsia="仿宋" w:cs="仿宋"/>
          <w:color w:val="auto"/>
          <w:sz w:val="24"/>
          <w:szCs w:val="24"/>
          <w:highlight w:val="none"/>
        </w:rPr>
        <w:t xml:space="preserve">  　(1)收货人</w:t>
      </w:r>
    </w:p>
    <w:p w14:paraId="31DA4430">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(2)合同号</w:t>
      </w:r>
      <w:r>
        <w:rPr>
          <w:rFonts w:hint="eastAsia" w:ascii="仿宋" w:hAnsi="仿宋" w:eastAsia="仿宋" w:cs="仿宋"/>
          <w:color w:val="auto"/>
          <w:sz w:val="24"/>
          <w:szCs w:val="24"/>
          <w:highlight w:val="none"/>
        </w:rPr>
        <w:cr/>
      </w:r>
      <w:r>
        <w:rPr>
          <w:rFonts w:hint="eastAsia" w:ascii="仿宋" w:hAnsi="仿宋" w:eastAsia="仿宋" w:cs="仿宋"/>
          <w:color w:val="auto"/>
          <w:sz w:val="24"/>
          <w:szCs w:val="24"/>
          <w:highlight w:val="none"/>
        </w:rPr>
        <w:t xml:space="preserve">  　(3)收货人代号</w:t>
      </w:r>
      <w:r>
        <w:rPr>
          <w:rFonts w:hint="eastAsia" w:ascii="仿宋" w:hAnsi="仿宋" w:eastAsia="仿宋" w:cs="仿宋"/>
          <w:color w:val="auto"/>
          <w:sz w:val="24"/>
          <w:szCs w:val="24"/>
          <w:highlight w:val="none"/>
        </w:rPr>
        <w:cr/>
      </w:r>
      <w:r>
        <w:rPr>
          <w:rFonts w:hint="eastAsia" w:ascii="仿宋" w:hAnsi="仿宋" w:eastAsia="仿宋" w:cs="仿宋"/>
          <w:color w:val="auto"/>
          <w:sz w:val="24"/>
          <w:szCs w:val="24"/>
          <w:highlight w:val="none"/>
        </w:rPr>
        <w:t xml:space="preserve">  　(4)目的地</w:t>
      </w:r>
    </w:p>
    <w:p w14:paraId="3B48B7DD">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(5)货物的名称、品目号、箱号</w:t>
      </w:r>
    </w:p>
    <w:p w14:paraId="16D0DD58">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(6)毛重／净重(公斤)</w:t>
      </w:r>
    </w:p>
    <w:p w14:paraId="72F559A4">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(7)尺寸(长x宽x高，以厘米计)</w:t>
      </w:r>
    </w:p>
    <w:p w14:paraId="50E88F1E">
      <w:pPr>
        <w:spacing w:line="460" w:lineRule="exact"/>
        <w:ind w:firstLine="48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8．卖方的交货价</w:t>
      </w:r>
    </w:p>
    <w:p w14:paraId="28384473">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8.1 卖方应在合同规定的交货期前10天以电报、传真或电传等方式通知买方合同号、货物名称、数量、包装件数、总毛重、总体积(立方米)和备妥待运日期。同时，卖方应以挂号信寄给买方详细交货清单一式五份，包括合同号、货物名称、规格、数量、总重、总体积(立方米)和每一包装箱的尺寸(长x宽x  高)、单价和总价、备妥待运日期，以及货物在运输和仓储中的特殊要求和注意事项。</w:t>
      </w:r>
    </w:p>
    <w:p w14:paraId="3272D03C">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8.2 卖方负责安排自发运地至买方现场的运输，费用包含在合同总价中。</w:t>
      </w:r>
    </w:p>
    <w:p w14:paraId="4E724C0F">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8.3 交货日期以货物到达买方现场为准。</w:t>
      </w:r>
    </w:p>
    <w:p w14:paraId="4F967B60">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8.4 卖方装运的货物必须符合合同规定的货物名称、型号规格、数量或重量，  否则，一切后果均由卖方承担。</w:t>
      </w:r>
    </w:p>
    <w:p w14:paraId="014941CF">
      <w:pPr>
        <w:spacing w:line="460" w:lineRule="exact"/>
        <w:ind w:firstLine="48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9．装运通知</w:t>
      </w:r>
    </w:p>
    <w:p w14:paraId="379D32D2">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卖方应在货物装运完成24小时内以电报、传真或电传通知买方合同号、货物名称、数量、毛重、体积(立方米)、发票金额、载运车次名称和启运日期。如果包装件重量超过20吨或尺寸达到或超过12米长、2.7米宽和3米高，卖方应将其重量或尺寸通知买方。若货物中有易燃品或危险品，卖方也须将详细情况通知买方。</w:t>
      </w:r>
    </w:p>
    <w:p w14:paraId="7A0148FD">
      <w:pPr>
        <w:spacing w:line="460" w:lineRule="exact"/>
        <w:ind w:firstLine="48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10．保险</w:t>
      </w:r>
    </w:p>
    <w:p w14:paraId="1F8CC87C">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10.1在合同价条件下，由卖方负责办理保险。</w:t>
      </w:r>
    </w:p>
    <w:p w14:paraId="1F36D49E">
      <w:pPr>
        <w:spacing w:line="460" w:lineRule="exact"/>
        <w:ind w:firstLine="48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11．合同价款的支付方式</w:t>
      </w:r>
    </w:p>
    <w:p w14:paraId="3A23FDDC">
      <w:pPr>
        <w:spacing w:line="460" w:lineRule="exact"/>
        <w:ind w:firstLine="48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除另有规定者外，本合同价款将由财政部门直接向卖方支付。</w:t>
      </w:r>
    </w:p>
    <w:p w14:paraId="1012273C">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12．技术资料</w:t>
      </w:r>
    </w:p>
    <w:p w14:paraId="051BD0DB">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12.1除</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的技术规范书中另有规定的外，卖方应准备与合同设备或仪器相符的中文技术资料，并于合同生效后15天内寄送到买方，如样本、图纸、操作手册、使用说明、维修指南或服务手册等。如本条款所述资料寄送不完整或丢失，卖方应在收到买方通知后立即免费另寄。</w:t>
      </w:r>
    </w:p>
    <w:p w14:paraId="7B6D497E">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12.2 上述一套完整的资料应包装好随每批货物一起发运并保证40天之内安装完毕。</w:t>
      </w:r>
    </w:p>
    <w:p w14:paraId="7CD58C2A">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13．价格</w:t>
      </w:r>
    </w:p>
    <w:p w14:paraId="0D352317">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13.1除合同中另有规定者外，卖方为其所供货物和服务而要求买方支付的金额应与其投标报价一致。　</w:t>
      </w:r>
    </w:p>
    <w:p w14:paraId="4592D94B">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14．质量保证</w:t>
      </w:r>
    </w:p>
    <w:p w14:paraId="543D660E">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卖方应保证其提供的货物是全新的、未使用过的，采用的是最佳材料和一流工艺，并在各个方面符合合同规定的质量、规格和性能要求。卖方应保证其货物经过正确安装、合理操作和维护保养，在货物寿命期内运转良好。在规定的质量保证期内，卖方应对由于设计、工艺或材料的缺陷而造成的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何缺陷或故障负责。除合同中另有规定者外，出现上述情况，卖方应在收到买方通知后30天内，免费负责修理或更换有缺陷的零部件或整机。对造成的损失买方保留索赔的权利。</w:t>
      </w:r>
    </w:p>
    <w:p w14:paraId="7B26EEFA">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除合同中另有规定者外，合同项下货物的质量保证期为货物正式验收合格后</w:t>
      </w:r>
      <w:r>
        <w:rPr>
          <w:rFonts w:hint="eastAsia" w:ascii="仿宋" w:hAnsi="仿宋" w:eastAsia="仿宋" w:cs="仿宋"/>
          <w:color w:val="auto"/>
          <w:sz w:val="24"/>
          <w:szCs w:val="24"/>
          <w:highlight w:val="none"/>
          <w:lang w:val="en-US" w:eastAsia="zh-CN"/>
        </w:rPr>
        <w:t>36</w:t>
      </w:r>
      <w:r>
        <w:rPr>
          <w:rFonts w:hint="eastAsia" w:ascii="仿宋" w:hAnsi="仿宋" w:eastAsia="仿宋" w:cs="仿宋"/>
          <w:color w:val="auto"/>
          <w:sz w:val="24"/>
          <w:szCs w:val="24"/>
          <w:highlight w:val="none"/>
        </w:rPr>
        <w:t>个月。</w:t>
      </w:r>
    </w:p>
    <w:p w14:paraId="0826E0C0">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15．履约保证金</w:t>
      </w:r>
    </w:p>
    <w:p w14:paraId="6D44CAB3">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15.1合同签订后，卖方须向采购人提供</w:t>
      </w:r>
      <w:r>
        <w:rPr>
          <w:rFonts w:hint="eastAsia" w:ascii="仿宋" w:hAnsi="仿宋" w:eastAsia="仿宋" w:cs="仿宋"/>
          <w:color w:val="auto"/>
          <w:sz w:val="24"/>
          <w:szCs w:val="24"/>
          <w:highlight w:val="none"/>
          <w:lang w:eastAsia="zh-CN"/>
        </w:rPr>
        <w:t>招标文件</w:t>
      </w:r>
      <w:r>
        <w:rPr>
          <w:rFonts w:hint="eastAsia" w:ascii="仿宋" w:hAnsi="仿宋" w:eastAsia="仿宋" w:cs="仿宋"/>
          <w:color w:val="auto"/>
          <w:sz w:val="24"/>
          <w:szCs w:val="24"/>
          <w:highlight w:val="none"/>
        </w:rPr>
        <w:t>中规定金额的履约保证金。</w:t>
      </w:r>
    </w:p>
    <w:p w14:paraId="1FF82339">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 采购人在收到买方的货物验收合格的报告后，采购人在七个工作日无息退还履约保证金。</w:t>
      </w:r>
    </w:p>
    <w:p w14:paraId="145A3C47">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16．检验</w:t>
      </w:r>
    </w:p>
    <w:p w14:paraId="5B0D57A2">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卖方应在发货之前，对货物的有关内在和外观质量、规格、性能、数量和重量进行准确和全面的检验，并出具其货物符合合同规定的质量证书。该证书将作为提交付款单据的组成部分，但不应视为是对质量、规格、性能、数量或重量的最终定论。质量证书应附有写明制造商检验的细节和结果的说明。</w:t>
      </w:r>
    </w:p>
    <w:p w14:paraId="0AE6D088">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在合同规定的质量保证期内，如果发现货物的质量或规格与合同规定不符，或证明货物有缺陷，包括潜在的缺陷或使用不合适的原材料等，买方应申请质检部门进行检验，并有权根据检验证书及质量保证条款立即向卖方提出索赔。</w:t>
      </w:r>
    </w:p>
    <w:p w14:paraId="0E8D446F">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17．索赔</w:t>
      </w:r>
    </w:p>
    <w:p w14:paraId="025FB950">
      <w:pPr>
        <w:spacing w:line="460" w:lineRule="exact"/>
        <w:ind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17.1卖方对所供货物与合同约定相一致负完全责任。在买方已于规定的检验、安装、调试和验收测试期限内和质量保证期内提出索赔时，卖方应按买方同意的下述一种或多种方法解决索赔事宜。</w:t>
      </w:r>
    </w:p>
    <w:p w14:paraId="7BA629F7">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卖方同意买方拒收货物并把被拒收货物的金额以合同规定的同类货币还付给买方，卖方负担发生的一切损失和费用，包括利息、银行费用、运输和保险费、检验费、仓储和装卸费以及为保管和保护被拒绝货物所需的其它必要费用。</w:t>
      </w:r>
    </w:p>
    <w:p w14:paraId="49A3C6BE">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pacing w:val="-6"/>
          <w:sz w:val="24"/>
          <w:szCs w:val="24"/>
          <w:highlight w:val="none"/>
        </w:rPr>
        <w:t xml:space="preserve"> 根据货物的疵劣和受损程度以及买方遭受损失的金额，经双方同意降低货价。</w:t>
      </w:r>
    </w:p>
    <w:p w14:paraId="6277C57E">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 更换有缺陷的零件、部件和设备，或修理缺陷部分，以达到合同规定的规格、质量和性能，卖方承担一切费用和风险并负担买方遭受的一切直接费用。同时卖方应相应延长被更换货物的质量保证期。</w:t>
      </w:r>
    </w:p>
    <w:p w14:paraId="1EBFC5B3">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　如果买方提出索赔通知后30天内卖方未能予以答复，该索赔应视为已被卖方接受。若卖方未能在买方提出索赔通知的30天内或买方同意的更长时间内，按买方同意的上述任何一种方式处理索赔事宜，买方将从未付款或卖方提供的履约保证金中扣回索赔金额，同时保留进一步要求赔偿的权利。</w:t>
      </w:r>
    </w:p>
    <w:p w14:paraId="31F10C63">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18．延期交货与核定损失额</w:t>
      </w:r>
    </w:p>
    <w:p w14:paraId="7D901CA9">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如果卖方未能按合同规定的时间按期交货(不可抗力除外)，在卖方同意支付核定损失额的条件下，买方将同意延长交货期。核定损失额的支付将从未付款或从履约保证金中扣除。核定损失额比率为每迟交7天，按迟交货物金额的0.5%，不满7天按7天计算，但是，核定损失额的支付不得超过迟交货物部分合同金额的5%。如果卖方在达到核定损失额的最高限额后仍不能交货，买方有权因卖方违约终止合同，而卖方仍有义务支付上述迟交核定损失金额。</w:t>
      </w:r>
    </w:p>
    <w:p w14:paraId="664CD140">
      <w:pPr>
        <w:spacing w:line="460" w:lineRule="exact"/>
        <w:ind w:firstLine="482" w:firstLineChars="200"/>
        <w:outlineLvl w:val="9"/>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19．不可抗力</w:t>
      </w:r>
    </w:p>
    <w:p w14:paraId="468FF3B1">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签约任何一方由于受诸如战争、严重火灾、洪水、台风、地震等不可抗力事故的影响而不能执行合同时，履行合同的期限应予以延长，则延长的期限应相当于事故所影响的时间。不可抗力事故系指买卖双方在缔结合同时所不能预见的，并且它的发生及其后果是无法避免和无法克服的事故。</w:t>
      </w:r>
    </w:p>
    <w:p w14:paraId="7ABF4B16">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 受阻一方应在不可抗力事故发生后尽快用电报、传真或电传通知对方，并于事故发生后15天内将有关部门出具的证明文件用特快专递或挂号信等形式寄给对方审阅确认。一旦不可抗力事故的影响持续120天以上，双方应通过友好协商在合理的时间内达成进一步履行合同的协议。</w:t>
      </w:r>
    </w:p>
    <w:p w14:paraId="15B9E5B3">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20．仲裁</w:t>
      </w:r>
    </w:p>
    <w:p w14:paraId="59AD5114">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20.1在执行本合同中发生的或与本合同有关的争端，双方应通过友好协商解决，经协商在30天内不能达成协议时，应提交仲裁。</w:t>
      </w:r>
    </w:p>
    <w:p w14:paraId="08558E67">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 仲裁应由买方所在地仲裁机构，根据其仲裁程序和规则进行。</w:t>
      </w:r>
    </w:p>
    <w:p w14:paraId="61F99F72">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20.3 仲裁裁决为最终决定，并对双方具有约束力。</w:t>
      </w:r>
    </w:p>
    <w:p w14:paraId="5D9C9D84">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20.4 除另有裁决外，仲裁费应由败诉方负担。</w:t>
      </w:r>
    </w:p>
    <w:p w14:paraId="1636A3BF">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20.5 在仲裁期间，除正在进行的仲裁部分外，合同其它部分继续执行。</w:t>
      </w:r>
    </w:p>
    <w:p w14:paraId="3C2BA8E7">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21．违约终止合同</w:t>
      </w:r>
    </w:p>
    <w:p w14:paraId="29C00FF2">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在补救违约而采取的任何其他措施未能实现的情况下，即在卖方收到买方发出的违约通知后30天内(或经买方书面确认的更长时间内)仍未纠正其下述任何一种违约行为，买方可向卖方发出书面违约通知，终止全部或部分合同：</w:t>
      </w:r>
    </w:p>
    <w:p w14:paraId="4D094978">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(1)如果卖方未能在合同规定的期限内或买方准许的任何延期内交付部分或全部货物。</w:t>
      </w:r>
    </w:p>
    <w:p w14:paraId="05B80E3B">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(2)卖方未能履行合同项下的其它义务。</w:t>
      </w:r>
    </w:p>
    <w:p w14:paraId="097352B2">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一旦买方根据第21.1款终止部分或全部合同，买方可以按其认为适当的条件和方式采购类似未交付部分的货物。卖方应承担买方购买类似货物的额外费用。但是，卖方应继续履行合同中未终止的部分。</w:t>
      </w:r>
    </w:p>
    <w:p w14:paraId="07F38910">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22．变更指示</w:t>
      </w:r>
    </w:p>
    <w:p w14:paraId="3592EBF9">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22.1买方可以随时向卖方发出书面指示，在合同总体范围内对如下一点或几点提出变更：</w:t>
      </w:r>
    </w:p>
    <w:p w14:paraId="4717309F">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(1)合同项下需为买方特殊制造货物的图纸、设计或规格；</w:t>
      </w:r>
    </w:p>
    <w:p w14:paraId="2541B76E">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(2)装运方式和包装方式；</w:t>
      </w:r>
    </w:p>
    <w:p w14:paraId="5869EF0E">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(3)交货地点；</w:t>
      </w:r>
    </w:p>
    <w:p w14:paraId="1ED6C28B">
      <w:pPr>
        <w:spacing w:line="460" w:lineRule="exac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(4)卖方须提供的服务。</w:t>
      </w:r>
    </w:p>
    <w:p w14:paraId="3721BCA2">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若上述变更导致了卖方履行合同项下任何部分义务的费用或所需时间的增减，应对合同价格或交货进度进行合理的调整，同时相应地修改合同。卖方必须在接到买方的变更指示后30天内根据本款提出调整的实施意见。</w:t>
      </w:r>
    </w:p>
    <w:p w14:paraId="31892D46">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23．合同修改</w:t>
      </w:r>
    </w:p>
    <w:p w14:paraId="18CAAF05">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23.1欲对合同条款做出任何改动或偏离，均须由买卖双方签署书面的合同修改书。</w:t>
      </w:r>
    </w:p>
    <w:p w14:paraId="78BF9956">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24．转让与分包</w:t>
      </w:r>
    </w:p>
    <w:p w14:paraId="3E21C847">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24.1除买方事先同意外，卖方不得部分转让或全部转让其应履行的合同项下的义务。</w:t>
      </w:r>
    </w:p>
    <w:p w14:paraId="6A2E520D">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24.2卖方应书面通知买方本合同项下所授予的所有分包合同。但该通知不解除卖方承担的本合同项下的任何责任或义务。</w:t>
      </w:r>
    </w:p>
    <w:p w14:paraId="20F58D8A">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25．适用法律</w:t>
      </w:r>
    </w:p>
    <w:p w14:paraId="5B1BC86C">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25.1本合同应按中华人民共和国的相关法律解释。</w:t>
      </w:r>
    </w:p>
    <w:p w14:paraId="3CF40D43">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26．通知</w:t>
      </w:r>
    </w:p>
    <w:p w14:paraId="57886BFE">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26.1本合同任何一方给另一方的通知都应以书面或电传、电报、传真的形式发送，而另一方应以书面形式确认并发送到对方明确的地址。</w:t>
      </w:r>
    </w:p>
    <w:p w14:paraId="7035802F">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27．合同文件及资料的使用</w:t>
      </w:r>
    </w:p>
    <w:p w14:paraId="6E5B1C89">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除了卖方为执行合同所雇人员外，在未经买方同意的情况下，卖方不得将合同、合同中的规定、有关规格、计划、图纸、式样、样本或买方为上述内容向卖方提供的资料透露给任何人。卖方须在对外保密的前提下，对其雇用人员提供有关情况，所提供的情况仅限于执行本合同必不可少的范围内。</w:t>
      </w:r>
    </w:p>
    <w:p w14:paraId="1748D42B">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27.2 除非执行合同需要，在事先末得到买方同意的情况下，卖方不得将与本合同有关的任何文件和资料给第三方使用。</w:t>
      </w:r>
    </w:p>
    <w:p w14:paraId="0AF988AC">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27.3 除合同本身以外，若买方要求，卖方应于其合同义务履行完毕以后将这些资料(包括所有副本)退还买方。</w:t>
      </w:r>
    </w:p>
    <w:p w14:paraId="69F04C1E">
      <w:pPr>
        <w:spacing w:line="46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28．合同生效及其他</w:t>
      </w:r>
    </w:p>
    <w:p w14:paraId="2FE052E0">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28.1本合同应在买方（采购单位）和卖方签字后，买方收到卖方的履约保证金并加盖鉴证章后生效。</w:t>
      </w:r>
    </w:p>
    <w:p w14:paraId="59ADF46C">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卖方须按技术规格中的规定，向买方提供与合同项下货物有关的现场安装调试、技术服务、培训等其他相关服务。</w:t>
      </w:r>
    </w:p>
    <w:p w14:paraId="65CB6394">
      <w:pPr>
        <w:spacing w:line="4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28.3 商务合同应包括买方最后确认的价格条款和付款方式。</w:t>
      </w:r>
    </w:p>
    <w:p w14:paraId="2A6BC924">
      <w:pPr>
        <w:spacing w:line="460" w:lineRule="exact"/>
        <w:ind w:firstLine="480" w:firstLineChars="200"/>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28.4 </w:t>
      </w:r>
      <w:r>
        <w:rPr>
          <w:rFonts w:hint="eastAsia" w:ascii="仿宋" w:hAnsi="仿宋" w:eastAsia="仿宋" w:cs="仿宋"/>
          <w:color w:val="auto"/>
          <w:spacing w:val="-6"/>
          <w:sz w:val="24"/>
          <w:szCs w:val="24"/>
          <w:highlight w:val="none"/>
        </w:rPr>
        <w:t>下述文件将作为合同附件，为本合同不可分割的组成部分，并与本合具有同等效力；</w:t>
      </w:r>
    </w:p>
    <w:p w14:paraId="7C970584">
      <w:pPr>
        <w:spacing w:line="3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招标文件</w:t>
      </w:r>
    </w:p>
    <w:p w14:paraId="49E7DC3F">
      <w:pPr>
        <w:spacing w:line="3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（2）中标（成交）通知书</w:t>
      </w:r>
    </w:p>
    <w:p w14:paraId="09ACEEEA">
      <w:pPr>
        <w:spacing w:line="36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（3）成交方的响应文件及询标过程中的书面答疑记录</w:t>
      </w:r>
    </w:p>
    <w:p w14:paraId="070BA10D">
      <w:pPr>
        <w:spacing w:line="240" w:lineRule="exact"/>
        <w:outlineLvl w:val="9"/>
        <w:rPr>
          <w:rFonts w:hint="eastAsia" w:ascii="仿宋" w:hAnsi="仿宋" w:eastAsia="仿宋" w:cs="仿宋"/>
          <w:b/>
          <w:color w:val="auto"/>
          <w:sz w:val="24"/>
          <w:szCs w:val="24"/>
          <w:highlight w:val="none"/>
        </w:rPr>
      </w:pPr>
    </w:p>
    <w:p w14:paraId="74343A69">
      <w:pPr>
        <w:jc w:val="center"/>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第二</w:t>
      </w:r>
      <w:r>
        <w:rPr>
          <w:rFonts w:hint="eastAsia" w:ascii="仿宋" w:hAnsi="仿宋" w:eastAsia="仿宋" w:cs="仿宋"/>
          <w:b/>
          <w:color w:val="auto"/>
          <w:sz w:val="24"/>
          <w:szCs w:val="24"/>
          <w:highlight w:val="none"/>
          <w:lang w:val="en-US" w:eastAsia="zh-CN"/>
        </w:rPr>
        <w:t>节</w:t>
      </w:r>
      <w:r>
        <w:rPr>
          <w:rFonts w:hint="eastAsia" w:ascii="仿宋" w:hAnsi="仿宋" w:eastAsia="仿宋" w:cs="仿宋"/>
          <w:b/>
          <w:color w:val="auto"/>
          <w:sz w:val="24"/>
          <w:szCs w:val="24"/>
          <w:highlight w:val="none"/>
        </w:rPr>
        <w:t xml:space="preserve"> 合同特殊条款</w:t>
      </w:r>
    </w:p>
    <w:p w14:paraId="2335AFF3">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合同特殊条款是对合同一般条款的补充和修改，如果两者之间有不一致之处时，应以特殊条款为准。</w:t>
      </w:r>
    </w:p>
    <w:p w14:paraId="4F872FB4">
      <w:pPr>
        <w:spacing w:line="42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1．培训：</w:t>
      </w:r>
    </w:p>
    <w:p w14:paraId="4898CC09">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 卖方的安装调试人员有义务对买方的设备维修人员及使用人员进行培训，使维修人员能对设备进行日常维护和一般性故障的查找及故障的排除，使用人员能够熟练掌握设备的各项功能和操作；</w:t>
      </w:r>
    </w:p>
    <w:p w14:paraId="0A3E744E">
      <w:pPr>
        <w:spacing w:line="42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2．检验</w:t>
      </w:r>
    </w:p>
    <w:p w14:paraId="732778D9">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卖方提供的所有货物应符合国际及国内通行的标准，并应附有相应的测试报告和合同证书；</w:t>
      </w:r>
    </w:p>
    <w:p w14:paraId="44A98F05">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对于卖方提供的所有货物, 买方可按货物的一定比例委托自治区质量监督部门进行抽检，验收会格后，所产生的费用由买方承担，经检验不合格时，所产生的费用由卖方承担。</w:t>
      </w:r>
    </w:p>
    <w:p w14:paraId="0128CB8F">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具体的国际或国内检验标准按卖方在响应文件中承诺的并经买方确认的规定执行。</w:t>
      </w:r>
    </w:p>
    <w:p w14:paraId="1A3C440F">
      <w:pPr>
        <w:spacing w:line="42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3．安装调试</w:t>
      </w:r>
    </w:p>
    <w:p w14:paraId="2BEF2F88">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卖方必须在合同签订后将所有的安装调试条件、需买方配合的事项以书面方式通知用户；</w:t>
      </w:r>
    </w:p>
    <w:p w14:paraId="30498F56">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卖方免费负责设备在买方的安装、调试，买方协助开展工作；</w:t>
      </w:r>
    </w:p>
    <w:p w14:paraId="6CE4BDC4">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卖方安装调试专家人员应及时到达买方现场，直至安装调试结束、通过验收；</w:t>
      </w:r>
    </w:p>
    <w:p w14:paraId="022269FE">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卖方负责安装调试期间（包括错发或运输中）可能损坏的元器件、测试材料的准备，如因时间关系，买方可以考虑使用随机的易损件进行更换，但卖方应及时给买方补齐（中间产生的任何费用，均由卖方承担）；</w:t>
      </w:r>
    </w:p>
    <w:p w14:paraId="27E1AB8D">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上述安装调试完成后，买方按相应的卖方在响应文件中所提供的技术指标进行验收；</w:t>
      </w:r>
    </w:p>
    <w:p w14:paraId="045E99E4">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卖方如不能按时完成安装、调试工作，应赔偿由此买方造成的所有损失；</w:t>
      </w:r>
    </w:p>
    <w:p w14:paraId="3E83EEFB">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最终的测试验收报告由买卖双方代表签字认可后生效。</w:t>
      </w:r>
    </w:p>
    <w:p w14:paraId="25BFFC04">
      <w:pPr>
        <w:spacing w:line="42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4．质量保证</w:t>
      </w:r>
    </w:p>
    <w:p w14:paraId="05FE6ED5">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4.1因卖方原因造成买方不能按时使用（根据合同有关条款）所购买货物（设备）时，卖方应根据合同规定向买方做出赔偿；</w:t>
      </w:r>
    </w:p>
    <w:p w14:paraId="2554F8EE">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 卖方对合同项下设备提供为期一年的保修服务，保修期自验收合格双方签字时算起。在保修期内，卖方需提供免费的维修零配件。</w:t>
      </w:r>
    </w:p>
    <w:p w14:paraId="06D36C11">
      <w:pPr>
        <w:spacing w:line="42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5．售后服务</w:t>
      </w:r>
    </w:p>
    <w:p w14:paraId="2588FF03">
      <w:pPr>
        <w:spacing w:line="420" w:lineRule="exact"/>
        <w:ind w:firstLine="480" w:firstLineChars="200"/>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5.1</w:t>
      </w:r>
      <w:r>
        <w:rPr>
          <w:rFonts w:hint="eastAsia" w:ascii="仿宋" w:hAnsi="仿宋" w:eastAsia="仿宋" w:cs="仿宋"/>
          <w:color w:val="auto"/>
          <w:sz w:val="24"/>
          <w:szCs w:val="24"/>
          <w:highlight w:val="none"/>
          <w:lang w:val="en-US" w:eastAsia="zh-CN"/>
        </w:rPr>
        <w:t>产品出现系统故障，1小时响应，8小时到达现场维修，最晚48小时内到达现场维修。</w:t>
      </w:r>
    </w:p>
    <w:p w14:paraId="16C88A36">
      <w:pPr>
        <w:spacing w:line="420" w:lineRule="exact"/>
        <w:ind w:firstLine="482" w:firstLineChars="200"/>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6．其他  </w:t>
      </w:r>
    </w:p>
    <w:p w14:paraId="5F321320">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投标报价：设备使用地安装调试完成、且验收合格后的交货价</w:t>
      </w:r>
    </w:p>
    <w:p w14:paraId="2A233579">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 投标货币：人民币</w:t>
      </w:r>
    </w:p>
    <w:p w14:paraId="5E17A31A">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6.3 列出详细的易损件、专用工具的清单，并分项报价（应包括在总价内）。清单内容应包括：名称、数量、单价、总价</w:t>
      </w:r>
    </w:p>
    <w:p w14:paraId="3E3A8406">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6.4 若采购招标文件清单以外的材料，按当时市场价进行结算；若清单内价格有浮动，按协商价进行结算；</w:t>
      </w:r>
    </w:p>
    <w:p w14:paraId="0C8800AF">
      <w:pPr>
        <w:spacing w:line="42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6.5 交货地点：                             </w:t>
      </w:r>
    </w:p>
    <w:p w14:paraId="00B62C5B">
      <w:pPr>
        <w:spacing w:line="420" w:lineRule="exact"/>
        <w:ind w:firstLine="480" w:firstLineChars="20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szCs w:val="24"/>
          <w:highlight w:val="none"/>
        </w:rPr>
        <w:t>6.6 交货时间：</w:t>
      </w:r>
    </w:p>
    <w:p w14:paraId="7C69F764">
      <w:pPr>
        <w:outlineLvl w:val="9"/>
        <w:rPr>
          <w:rFonts w:hint="eastAsia" w:ascii="仿宋" w:hAnsi="仿宋" w:eastAsia="仿宋" w:cs="仿宋"/>
          <w:b/>
          <w:color w:val="auto"/>
          <w:sz w:val="36"/>
          <w:highlight w:val="none"/>
        </w:rPr>
      </w:pPr>
      <w:r>
        <w:rPr>
          <w:rFonts w:hint="eastAsia" w:ascii="仿宋" w:hAnsi="仿宋" w:eastAsia="仿宋" w:cs="仿宋"/>
          <w:b/>
          <w:color w:val="auto"/>
          <w:sz w:val="36"/>
          <w:highlight w:val="none"/>
        </w:rPr>
        <w:br w:type="page"/>
      </w:r>
    </w:p>
    <w:p w14:paraId="3F41BFA0">
      <w:pPr>
        <w:spacing w:line="360" w:lineRule="auto"/>
        <w:jc w:val="center"/>
        <w:outlineLvl w:val="0"/>
        <w:rPr>
          <w:rFonts w:hint="eastAsia" w:ascii="仿宋" w:hAnsi="仿宋" w:eastAsia="仿宋" w:cs="仿宋"/>
          <w:b/>
          <w:color w:val="auto"/>
          <w:sz w:val="36"/>
          <w:highlight w:val="none"/>
        </w:rPr>
      </w:pPr>
      <w:r>
        <w:rPr>
          <w:rFonts w:hint="eastAsia" w:ascii="仿宋" w:hAnsi="仿宋" w:eastAsia="仿宋" w:cs="仿宋"/>
          <w:b/>
          <w:color w:val="auto"/>
          <w:sz w:val="36"/>
          <w:highlight w:val="none"/>
        </w:rPr>
        <w:t>第八部分 投标文件的编制装订</w:t>
      </w:r>
    </w:p>
    <w:p w14:paraId="6D5CEDB3">
      <w:pPr>
        <w:spacing w:line="460" w:lineRule="exact"/>
        <w:ind w:firstLine="600" w:firstLineChars="249"/>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一、响应文件编制和装订顺序</w:t>
      </w:r>
    </w:p>
    <w:p w14:paraId="08C8FA69">
      <w:pPr>
        <w:spacing w:line="460" w:lineRule="exact"/>
        <w:ind w:firstLine="600" w:firstLineChars="249"/>
        <w:outlineLvl w:val="9"/>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（一）供应商的响应文件必须制作目录和页码。</w:t>
      </w:r>
    </w:p>
    <w:p w14:paraId="463263A3">
      <w:pPr>
        <w:spacing w:line="460" w:lineRule="exact"/>
        <w:ind w:firstLine="597" w:firstLineChars="249"/>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（二）供应商的响应文件编制顺序，必须按下列顺序排列和装订，编制排列和装订顺序严格如下：</w:t>
      </w:r>
    </w:p>
    <w:p w14:paraId="0B84E84F">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1、投标函</w:t>
      </w:r>
    </w:p>
    <w:p w14:paraId="1E67B276">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2、法定代表人资格证明书、法定代表人的授权委托书</w:t>
      </w:r>
    </w:p>
    <w:p w14:paraId="1DF581D7">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3、报价一览表</w:t>
      </w:r>
    </w:p>
    <w:p w14:paraId="6FF7E763">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4、供应商资质证明文件，包括：</w:t>
      </w:r>
    </w:p>
    <w:p w14:paraId="0B86235C">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zh-CN"/>
        </w:rPr>
        <w:t>1、营业执照；</w:t>
      </w:r>
    </w:p>
    <w:p w14:paraId="0C6B0CDD">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4.2、</w:t>
      </w:r>
      <w:r>
        <w:rPr>
          <w:rFonts w:hint="eastAsia" w:ascii="仿宋" w:hAnsi="仿宋" w:eastAsia="仿宋" w:cs="仿宋"/>
          <w:color w:val="auto"/>
          <w:sz w:val="24"/>
          <w:highlight w:val="none"/>
          <w:lang w:val="zh-CN"/>
        </w:rPr>
        <w:t xml:space="preserve">未被“信用中国”（www.creditchina.gov.cn）、中国政府采购网（www.ccgp.gov.cn）列入失信被执行人、重大税收违法案件当事人名单、政府采购严重违法失信行为记录名单的网页截图并加盖公章；  </w:t>
      </w:r>
    </w:p>
    <w:p w14:paraId="21F36215">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4.3、</w:t>
      </w:r>
      <w:r>
        <w:rPr>
          <w:rFonts w:hint="eastAsia" w:ascii="仿宋" w:hAnsi="仿宋" w:eastAsia="仿宋" w:cs="仿宋"/>
          <w:color w:val="auto"/>
          <w:sz w:val="24"/>
          <w:szCs w:val="24"/>
          <w:highlight w:val="none"/>
          <w:lang w:val="zh-CN" w:eastAsia="zh-CN"/>
        </w:rPr>
        <w:t>投标保证金缴纳凭证或保函</w:t>
      </w:r>
      <w:r>
        <w:rPr>
          <w:rFonts w:hint="eastAsia" w:ascii="仿宋" w:hAnsi="仿宋" w:eastAsia="仿宋" w:cs="仿宋"/>
          <w:color w:val="auto"/>
          <w:sz w:val="24"/>
          <w:highlight w:val="none"/>
        </w:rPr>
        <w:t>。</w:t>
      </w:r>
    </w:p>
    <w:p w14:paraId="60F324CE">
      <w:pPr>
        <w:pStyle w:val="19"/>
        <w:ind w:left="0" w:leftChars="0" w:firstLine="0" w:firstLineChars="0"/>
        <w:jc w:val="left"/>
        <w:rPr>
          <w:rFonts w:hint="eastAsia" w:ascii="仿宋" w:hAnsi="仿宋" w:eastAsia="仿宋" w:cs="仿宋"/>
          <w:color w:val="auto"/>
          <w:highlight w:val="none"/>
          <w:lang w:val="en-US" w:eastAsia="zh-CN"/>
        </w:rPr>
      </w:pPr>
      <w:r>
        <w:rPr>
          <w:rFonts w:hint="eastAsia" w:ascii="仿宋" w:hAnsi="仿宋" w:eastAsia="仿宋" w:cs="仿宋"/>
          <w:color w:val="auto"/>
          <w:sz w:val="24"/>
          <w:highlight w:val="none"/>
          <w:lang w:val="en-US" w:eastAsia="zh-CN"/>
        </w:rPr>
        <w:t xml:space="preserve">    4.4、本项目要求的资质证书</w:t>
      </w:r>
    </w:p>
    <w:p w14:paraId="3C0C278B">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5、关于资格的声明函</w:t>
      </w:r>
    </w:p>
    <w:p w14:paraId="3E5C9D45">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6</w:t>
      </w:r>
      <w:r>
        <w:rPr>
          <w:rFonts w:hint="eastAsia" w:ascii="仿宋" w:hAnsi="仿宋" w:eastAsia="仿宋" w:cs="仿宋"/>
          <w:color w:val="auto"/>
          <w:sz w:val="24"/>
          <w:highlight w:val="none"/>
          <w:lang w:val="zh-CN"/>
        </w:rPr>
        <w:t>、商务条款偏离表</w:t>
      </w:r>
    </w:p>
    <w:p w14:paraId="69D68E76">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7、技术参数、功能偏离表</w:t>
      </w:r>
    </w:p>
    <w:p w14:paraId="14661EFC">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近三年</w:t>
      </w:r>
      <w:r>
        <w:rPr>
          <w:rFonts w:hint="eastAsia" w:ascii="仿宋" w:hAnsi="仿宋" w:eastAsia="仿宋" w:cs="仿宋"/>
          <w:color w:val="auto"/>
          <w:sz w:val="24"/>
          <w:highlight w:val="none"/>
          <w:lang w:val="zh-CN"/>
        </w:rPr>
        <w:t>类似项目业绩情况</w:t>
      </w:r>
    </w:p>
    <w:p w14:paraId="6EA2E779">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9</w:t>
      </w:r>
      <w:r>
        <w:rPr>
          <w:rFonts w:hint="eastAsia" w:ascii="仿宋" w:hAnsi="仿宋" w:eastAsia="仿宋" w:cs="仿宋"/>
          <w:color w:val="auto"/>
          <w:sz w:val="24"/>
          <w:highlight w:val="none"/>
          <w:lang w:val="zh-CN"/>
        </w:rPr>
        <w:t>、投标单位（供应商）反商业贿赂承诺书</w:t>
      </w:r>
    </w:p>
    <w:p w14:paraId="16FA757D">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zh-CN"/>
        </w:rPr>
        <w:t>、投标承诺书</w:t>
      </w:r>
    </w:p>
    <w:p w14:paraId="42416BED">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11、</w:t>
      </w:r>
      <w:r>
        <w:rPr>
          <w:rFonts w:hint="eastAsia" w:ascii="仿宋" w:hAnsi="仿宋" w:eastAsia="仿宋" w:cs="仿宋"/>
          <w:color w:val="auto"/>
          <w:sz w:val="24"/>
          <w:highlight w:val="none"/>
          <w:lang w:val="zh-CN"/>
        </w:rPr>
        <w:t>投标单位（供应商）《遵守政府采购相关法律法规承诺书》</w:t>
      </w:r>
    </w:p>
    <w:p w14:paraId="58271F90">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12</w:t>
      </w:r>
      <w:r>
        <w:rPr>
          <w:rFonts w:hint="eastAsia" w:ascii="仿宋" w:hAnsi="仿宋" w:eastAsia="仿宋" w:cs="仿宋"/>
          <w:color w:val="auto"/>
          <w:sz w:val="24"/>
          <w:highlight w:val="none"/>
          <w:lang w:val="zh-CN"/>
        </w:rPr>
        <w:t>、中小企业声明函（如有）</w:t>
      </w:r>
    </w:p>
    <w:p w14:paraId="2AB33AEA">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13、主要股东或出资人信息</w:t>
      </w:r>
    </w:p>
    <w:p w14:paraId="630E79CA">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14、非联合体投标声明</w:t>
      </w:r>
    </w:p>
    <w:p w14:paraId="0CFBCE8D">
      <w:pPr>
        <w:autoSpaceDE w:val="0"/>
        <w:autoSpaceDN w:val="0"/>
        <w:adjustRightInd w:val="0"/>
        <w:spacing w:line="360" w:lineRule="auto"/>
        <w:ind w:firstLine="480"/>
        <w:outlineLvl w:val="9"/>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15、</w:t>
      </w:r>
      <w:r>
        <w:rPr>
          <w:rFonts w:hint="eastAsia" w:ascii="仿宋" w:hAnsi="仿宋" w:eastAsia="仿宋" w:cs="仿宋"/>
          <w:color w:val="auto"/>
          <w:sz w:val="24"/>
          <w:highlight w:val="none"/>
          <w:lang w:val="zh-CN"/>
        </w:rPr>
        <w:t>无重大违法记录声明函</w:t>
      </w:r>
    </w:p>
    <w:p w14:paraId="7CF25E07">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16、产品简要说明一览表</w:t>
      </w:r>
    </w:p>
    <w:p w14:paraId="30502F96">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17、投标产品技术规格及要求详述</w:t>
      </w:r>
    </w:p>
    <w:p w14:paraId="1EBE2AA3">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18、备品、备件清单</w:t>
      </w:r>
    </w:p>
    <w:p w14:paraId="0F0E234F">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19、产品规格报价明细表</w:t>
      </w:r>
    </w:p>
    <w:p w14:paraId="7DED692C">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20、售后服务承诺详述、维修、培训等计划详述</w:t>
      </w:r>
    </w:p>
    <w:p w14:paraId="32C29A2A">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21、拟派本项目人员配置情况表</w:t>
      </w:r>
    </w:p>
    <w:p w14:paraId="221D3339">
      <w:pPr>
        <w:autoSpaceDE w:val="0"/>
        <w:autoSpaceDN w:val="0"/>
        <w:adjustRightInd w:val="0"/>
        <w:spacing w:line="360" w:lineRule="auto"/>
        <w:ind w:firstLine="48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其它有利于投标的资料</w:t>
      </w:r>
    </w:p>
    <w:p w14:paraId="07D456B0">
      <w:pPr>
        <w:spacing w:line="480" w:lineRule="exact"/>
        <w:ind w:firstLine="602" w:firstLineChars="25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二、响应文件顺序及格式范本 </w:t>
      </w:r>
    </w:p>
    <w:p w14:paraId="55F2F132">
      <w:pPr>
        <w:spacing w:line="480" w:lineRule="exact"/>
        <w:ind w:firstLine="602" w:firstLineChars="25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（一）响应文件顺序及要求（纸质版投标文件按照以下要求制作）</w:t>
      </w:r>
    </w:p>
    <w:p w14:paraId="1D1C1CB1">
      <w:pPr>
        <w:spacing w:line="460" w:lineRule="exact"/>
        <w:ind w:firstLine="600" w:firstLineChars="2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1、各供应商应严格按格式范本提供，不允许擅自或随意改变和变动，标书范本应做到工整整齐和完整。</w:t>
      </w:r>
    </w:p>
    <w:p w14:paraId="59E2EA56">
      <w:pPr>
        <w:spacing w:line="460" w:lineRule="exact"/>
        <w:ind w:firstLine="600" w:firstLineChars="2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2、文书字体应选择不大于仿宋三号或宋体三号字体，表格内字体应选择不大于仿宋小四号或宋体小四号字体，</w:t>
      </w:r>
    </w:p>
    <w:p w14:paraId="7FB88182">
      <w:pPr>
        <w:spacing w:line="460" w:lineRule="exact"/>
        <w:ind w:firstLine="600" w:firstLineChars="2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3、凡须要签字盖章的，必须有符合公开招标文件规定要求的人员签字，公章必须是单位法人印章。</w:t>
      </w:r>
    </w:p>
    <w:p w14:paraId="0BF51E92">
      <w:pPr>
        <w:spacing w:line="460" w:lineRule="exact"/>
        <w:ind w:firstLine="600" w:firstLineChars="25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4、凡有备注说明的，必须符合说明的要求。</w:t>
      </w:r>
    </w:p>
    <w:p w14:paraId="68766CEB">
      <w:pPr>
        <w:spacing w:line="460" w:lineRule="exact"/>
        <w:ind w:firstLine="600" w:firstLineChars="250"/>
        <w:outlineLvl w:val="9"/>
        <w:rPr>
          <w:rFonts w:hint="eastAsia" w:ascii="仿宋" w:hAnsi="仿宋" w:eastAsia="仿宋" w:cs="仿宋"/>
          <w:b/>
          <w:color w:val="auto"/>
          <w:sz w:val="24"/>
          <w:highlight w:val="none"/>
        </w:rPr>
      </w:pPr>
      <w:r>
        <w:rPr>
          <w:rFonts w:hint="eastAsia" w:ascii="仿宋" w:hAnsi="仿宋" w:eastAsia="仿宋" w:cs="仿宋"/>
          <w:color w:val="auto"/>
          <w:sz w:val="24"/>
          <w:highlight w:val="none"/>
        </w:rPr>
        <w:t>5、凡公开招标文件要求提供的，必须提供。</w:t>
      </w:r>
    </w:p>
    <w:p w14:paraId="7C925408">
      <w:pPr>
        <w:spacing w:line="460" w:lineRule="exact"/>
        <w:ind w:firstLine="602" w:firstLineChars="250"/>
        <w:outlineLvl w:val="9"/>
        <w:rPr>
          <w:rFonts w:hint="eastAsia" w:ascii="仿宋" w:hAnsi="仿宋" w:eastAsia="仿宋" w:cs="仿宋"/>
          <w:b/>
          <w:color w:val="auto"/>
          <w:sz w:val="24"/>
          <w:highlight w:val="none"/>
        </w:rPr>
      </w:pPr>
    </w:p>
    <w:p w14:paraId="44F24BE1">
      <w:pPr>
        <w:spacing w:line="460" w:lineRule="exact"/>
        <w:ind w:firstLine="602" w:firstLineChars="250"/>
        <w:outlineLvl w:val="9"/>
        <w:rPr>
          <w:rFonts w:hint="eastAsia" w:ascii="仿宋" w:hAnsi="仿宋" w:eastAsia="仿宋" w:cs="仿宋"/>
          <w:b/>
          <w:color w:val="auto"/>
          <w:sz w:val="24"/>
          <w:highlight w:val="none"/>
        </w:rPr>
      </w:pPr>
    </w:p>
    <w:p w14:paraId="69EBE5F4">
      <w:pPr>
        <w:spacing w:line="460" w:lineRule="exact"/>
        <w:ind w:firstLine="602" w:firstLineChars="250"/>
        <w:outlineLvl w:val="9"/>
        <w:rPr>
          <w:rFonts w:hint="eastAsia" w:ascii="仿宋" w:hAnsi="仿宋" w:eastAsia="仿宋" w:cs="仿宋"/>
          <w:b/>
          <w:color w:val="auto"/>
          <w:sz w:val="24"/>
          <w:highlight w:val="none"/>
        </w:rPr>
      </w:pPr>
    </w:p>
    <w:p w14:paraId="19C9E24C">
      <w:pPr>
        <w:pStyle w:val="40"/>
        <w:outlineLvl w:val="9"/>
        <w:rPr>
          <w:rFonts w:hint="eastAsia" w:ascii="仿宋" w:hAnsi="仿宋" w:eastAsia="仿宋" w:cs="仿宋"/>
          <w:color w:val="auto"/>
          <w:highlight w:val="none"/>
        </w:rPr>
      </w:pPr>
    </w:p>
    <w:p w14:paraId="70ABDB8C">
      <w:pPr>
        <w:pStyle w:val="41"/>
        <w:outlineLvl w:val="9"/>
        <w:rPr>
          <w:rFonts w:hint="eastAsia" w:ascii="仿宋" w:hAnsi="仿宋" w:eastAsia="仿宋" w:cs="仿宋"/>
          <w:b/>
          <w:color w:val="auto"/>
          <w:sz w:val="24"/>
          <w:highlight w:val="none"/>
        </w:rPr>
      </w:pPr>
    </w:p>
    <w:p w14:paraId="69EBECF2">
      <w:pPr>
        <w:pStyle w:val="41"/>
        <w:outlineLvl w:val="9"/>
        <w:rPr>
          <w:rFonts w:hint="eastAsia" w:ascii="仿宋" w:hAnsi="仿宋" w:eastAsia="仿宋" w:cs="仿宋"/>
          <w:b/>
          <w:color w:val="auto"/>
          <w:sz w:val="24"/>
          <w:highlight w:val="none"/>
        </w:rPr>
      </w:pPr>
    </w:p>
    <w:p w14:paraId="65A9A59C">
      <w:pPr>
        <w:pStyle w:val="41"/>
        <w:outlineLvl w:val="9"/>
        <w:rPr>
          <w:rFonts w:hint="eastAsia" w:ascii="仿宋" w:hAnsi="仿宋" w:eastAsia="仿宋" w:cs="仿宋"/>
          <w:b/>
          <w:color w:val="auto"/>
          <w:sz w:val="24"/>
          <w:highlight w:val="none"/>
        </w:rPr>
      </w:pPr>
    </w:p>
    <w:p w14:paraId="61752C4F">
      <w:pPr>
        <w:pStyle w:val="41"/>
        <w:outlineLvl w:val="9"/>
        <w:rPr>
          <w:rFonts w:hint="eastAsia" w:ascii="仿宋" w:hAnsi="仿宋" w:eastAsia="仿宋" w:cs="仿宋"/>
          <w:b/>
          <w:color w:val="auto"/>
          <w:sz w:val="24"/>
          <w:highlight w:val="none"/>
        </w:rPr>
      </w:pPr>
    </w:p>
    <w:p w14:paraId="3A48F3A6">
      <w:pPr>
        <w:pStyle w:val="41"/>
        <w:outlineLvl w:val="9"/>
        <w:rPr>
          <w:rFonts w:hint="eastAsia" w:ascii="仿宋" w:hAnsi="仿宋" w:eastAsia="仿宋" w:cs="仿宋"/>
          <w:b/>
          <w:color w:val="auto"/>
          <w:sz w:val="24"/>
          <w:highlight w:val="none"/>
        </w:rPr>
      </w:pPr>
    </w:p>
    <w:p w14:paraId="65C1CFCA">
      <w:pPr>
        <w:pStyle w:val="41"/>
        <w:outlineLvl w:val="9"/>
        <w:rPr>
          <w:rFonts w:hint="eastAsia" w:ascii="仿宋" w:hAnsi="仿宋" w:eastAsia="仿宋" w:cs="仿宋"/>
          <w:b/>
          <w:color w:val="auto"/>
          <w:sz w:val="24"/>
          <w:highlight w:val="none"/>
        </w:rPr>
      </w:pPr>
    </w:p>
    <w:p w14:paraId="7FB78634">
      <w:pPr>
        <w:pStyle w:val="41"/>
        <w:outlineLvl w:val="9"/>
        <w:rPr>
          <w:rFonts w:hint="eastAsia" w:ascii="仿宋" w:hAnsi="仿宋" w:eastAsia="仿宋" w:cs="仿宋"/>
          <w:b/>
          <w:color w:val="auto"/>
          <w:sz w:val="24"/>
          <w:highlight w:val="none"/>
        </w:rPr>
      </w:pPr>
    </w:p>
    <w:p w14:paraId="40EB48DB">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1DE7CE7">
      <w:pPr>
        <w:keepNext w:val="0"/>
        <w:keepLines w:val="0"/>
        <w:pageBreakBefore w:val="0"/>
        <w:widowControl w:val="0"/>
        <w:kinsoku/>
        <w:wordWrap/>
        <w:overflowPunct/>
        <w:topLinePunct w:val="0"/>
        <w:autoSpaceDE/>
        <w:autoSpaceDN/>
        <w:bidi w:val="0"/>
        <w:adjustRightInd/>
        <w:snapToGrid/>
        <w:ind w:firstLine="0"/>
        <w:jc w:val="center"/>
        <w:textAlignment w:val="auto"/>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1、</w:t>
      </w:r>
      <w:r>
        <w:rPr>
          <w:rFonts w:hint="eastAsia" w:ascii="仿宋" w:hAnsi="仿宋" w:eastAsia="仿宋" w:cs="仿宋"/>
          <w:b/>
          <w:bCs/>
          <w:color w:val="auto"/>
          <w:sz w:val="28"/>
          <w:szCs w:val="28"/>
          <w:highlight w:val="none"/>
        </w:rPr>
        <w:t>投标函</w:t>
      </w:r>
    </w:p>
    <w:p w14:paraId="788AEB24">
      <w:pPr>
        <w:spacing w:line="40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致：（采购人）</w:t>
      </w:r>
    </w:p>
    <w:p w14:paraId="3D04E33C">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根据贵方为</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项目招标的投标邀请</w:t>
      </w:r>
      <w:r>
        <w:rPr>
          <w:rFonts w:hint="eastAsia" w:ascii="仿宋" w:hAnsi="仿宋" w:eastAsia="仿宋" w:cs="仿宋"/>
          <w:color w:val="auto"/>
          <w:sz w:val="24"/>
          <w:highlight w:val="none"/>
          <w:u w:val="single"/>
        </w:rPr>
        <w:t xml:space="preserve">（项目编号） </w:t>
      </w:r>
      <w:r>
        <w:rPr>
          <w:rFonts w:hint="eastAsia" w:ascii="仿宋" w:hAnsi="仿宋" w:eastAsia="仿宋" w:cs="仿宋"/>
          <w:color w:val="auto"/>
          <w:sz w:val="24"/>
          <w:highlight w:val="none"/>
        </w:rPr>
        <w:t>，签字代表</w:t>
      </w:r>
      <w:r>
        <w:rPr>
          <w:rFonts w:hint="eastAsia" w:ascii="仿宋" w:hAnsi="仿宋" w:eastAsia="仿宋" w:cs="仿宋"/>
          <w:color w:val="auto"/>
          <w:sz w:val="24"/>
          <w:highlight w:val="none"/>
          <w:u w:val="single"/>
        </w:rPr>
        <w:t>（姓名、职务）</w:t>
      </w:r>
      <w:r>
        <w:rPr>
          <w:rFonts w:hint="eastAsia" w:ascii="仿宋" w:hAnsi="仿宋" w:eastAsia="仿宋" w:cs="仿宋"/>
          <w:color w:val="auto"/>
          <w:sz w:val="24"/>
          <w:highlight w:val="none"/>
        </w:rPr>
        <w:t>经正式授权并代表供应商</w:t>
      </w:r>
      <w:r>
        <w:rPr>
          <w:rFonts w:hint="eastAsia" w:ascii="仿宋" w:hAnsi="仿宋" w:eastAsia="仿宋" w:cs="仿宋"/>
          <w:color w:val="auto"/>
          <w:sz w:val="24"/>
          <w:highlight w:val="none"/>
          <w:u w:val="single"/>
        </w:rPr>
        <w:t>（供应商名称、地址）</w:t>
      </w:r>
      <w:r>
        <w:rPr>
          <w:rFonts w:hint="eastAsia" w:ascii="仿宋" w:hAnsi="仿宋" w:eastAsia="仿宋" w:cs="仿宋"/>
          <w:color w:val="auto"/>
          <w:sz w:val="24"/>
          <w:highlight w:val="none"/>
        </w:rPr>
        <w:t>提交下述文件：</w:t>
      </w:r>
    </w:p>
    <w:p w14:paraId="38326C98">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据此函，签字代表宣布并同意如下：</w:t>
      </w:r>
    </w:p>
    <w:p w14:paraId="434CA4C5">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1、所附投标报价表中规定的应提交和交付的货物和服务投标总价为</w:t>
      </w:r>
      <w:r>
        <w:rPr>
          <w:rFonts w:hint="eastAsia" w:ascii="仿宋" w:hAnsi="仿宋" w:eastAsia="仿宋" w:cs="仿宋"/>
          <w:color w:val="auto"/>
          <w:sz w:val="24"/>
          <w:highlight w:val="none"/>
          <w:u w:val="single"/>
        </w:rPr>
        <w:t>（注明币种，并用文字和数字表示的投标总价</w:t>
      </w:r>
      <w:r>
        <w:rPr>
          <w:rFonts w:hint="eastAsia" w:ascii="仿宋" w:hAnsi="仿宋" w:eastAsia="仿宋" w:cs="仿宋"/>
          <w:color w:val="auto"/>
          <w:sz w:val="24"/>
          <w:highlight w:val="none"/>
        </w:rPr>
        <w:t>）。</w:t>
      </w:r>
    </w:p>
    <w:p w14:paraId="18E3255B">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2、供应商将按公开招标文件的规定履行合同责任和义务；</w:t>
      </w:r>
    </w:p>
    <w:p w14:paraId="67C60705">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3、供应商已详细阅读并理解了公开招标文件的全部，包括修改文件。我们完全理解并同意放弃对这方面有不明及误解的权利。</w:t>
      </w:r>
    </w:p>
    <w:p w14:paraId="3ACF5A10">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4、本投标有效期自开标之日起</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个日历日。</w:t>
      </w:r>
    </w:p>
    <w:p w14:paraId="640B873A">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5、在规定的开标时间后，如果在投标有效期内撤回投标，同意投标保证金将被贵方没收。</w:t>
      </w:r>
    </w:p>
    <w:p w14:paraId="51A05446">
      <w:pPr>
        <w:spacing w:line="400" w:lineRule="exact"/>
        <w:ind w:firstLine="55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6、供应商同意提供按照贵方可能要求的与其投标有关的一切数据或资料，完全理解贵方不一定接受最低价的投标或收到的任何投标的约定。</w:t>
      </w:r>
    </w:p>
    <w:p w14:paraId="5A6A8A8B">
      <w:pPr>
        <w:spacing w:line="400" w:lineRule="exact"/>
        <w:ind w:firstLine="57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7、与本投标有关的一切正式往来信函请寄：</w:t>
      </w:r>
    </w:p>
    <w:p w14:paraId="6A8B4125">
      <w:pPr>
        <w:spacing w:line="400" w:lineRule="exact"/>
        <w:ind w:firstLine="840" w:firstLineChars="35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供 应 商 名 称：</w:t>
      </w:r>
      <w:r>
        <w:rPr>
          <w:rFonts w:hint="eastAsia" w:ascii="仿宋" w:hAnsi="仿宋" w:eastAsia="仿宋" w:cs="仿宋"/>
          <w:color w:val="auto"/>
          <w:sz w:val="24"/>
          <w:highlight w:val="none"/>
          <w:u w:val="single"/>
        </w:rPr>
        <w:t xml:space="preserve">　      　　　　　　　　　          </w:t>
      </w:r>
    </w:p>
    <w:p w14:paraId="6E95735D">
      <w:pPr>
        <w:spacing w:line="400" w:lineRule="exact"/>
        <w:ind w:firstLine="840" w:firstLineChars="35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供应商代表签字：</w:t>
      </w:r>
      <w:r>
        <w:rPr>
          <w:rFonts w:hint="eastAsia" w:ascii="仿宋" w:hAnsi="仿宋" w:eastAsia="仿宋" w:cs="仿宋"/>
          <w:color w:val="auto"/>
          <w:sz w:val="24"/>
          <w:highlight w:val="none"/>
          <w:u w:val="single"/>
        </w:rPr>
        <w:t xml:space="preserve">　　　　　　　　　　　              </w:t>
      </w:r>
    </w:p>
    <w:p w14:paraId="042A75B9">
      <w:pPr>
        <w:spacing w:line="400" w:lineRule="exact"/>
        <w:ind w:firstLine="840" w:firstLineChars="35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公          章：</w:t>
      </w:r>
      <w:r>
        <w:rPr>
          <w:rFonts w:hint="eastAsia" w:ascii="仿宋" w:hAnsi="仿宋" w:eastAsia="仿宋" w:cs="仿宋"/>
          <w:color w:val="auto"/>
          <w:sz w:val="24"/>
          <w:highlight w:val="none"/>
          <w:u w:val="single"/>
        </w:rPr>
        <w:t xml:space="preserve">　　　　　　　　　　　　　          </w:t>
      </w:r>
    </w:p>
    <w:p w14:paraId="53A7DD34">
      <w:pPr>
        <w:spacing w:line="400" w:lineRule="exact"/>
        <w:ind w:firstLine="876" w:firstLineChars="365"/>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5E7C0F46">
      <w:pPr>
        <w:spacing w:line="40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电　　　　　话：</w:t>
      </w:r>
      <w:r>
        <w:rPr>
          <w:rFonts w:hint="eastAsia" w:ascii="仿宋" w:hAnsi="仿宋" w:eastAsia="仿宋" w:cs="仿宋"/>
          <w:color w:val="auto"/>
          <w:sz w:val="24"/>
          <w:highlight w:val="none"/>
          <w:u w:val="single"/>
        </w:rPr>
        <w:t xml:space="preserve">　　　　　　　　　　                </w:t>
      </w:r>
    </w:p>
    <w:p w14:paraId="61A6E925">
      <w:pPr>
        <w:spacing w:line="40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邮          编：</w:t>
      </w:r>
      <w:r>
        <w:rPr>
          <w:rFonts w:hint="eastAsia" w:ascii="仿宋" w:hAnsi="仿宋" w:eastAsia="仿宋" w:cs="仿宋"/>
          <w:color w:val="auto"/>
          <w:sz w:val="24"/>
          <w:highlight w:val="none"/>
          <w:u w:val="single"/>
        </w:rPr>
        <w:t xml:space="preserve">　　　　   　　　                   </w:t>
      </w:r>
    </w:p>
    <w:p w14:paraId="5B8F7399">
      <w:pPr>
        <w:spacing w:line="40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传          真：</w:t>
      </w:r>
      <w:r>
        <w:rPr>
          <w:rFonts w:hint="eastAsia" w:ascii="仿宋" w:hAnsi="仿宋" w:eastAsia="仿宋" w:cs="仿宋"/>
          <w:color w:val="auto"/>
          <w:sz w:val="24"/>
          <w:highlight w:val="none"/>
          <w:u w:val="single"/>
        </w:rPr>
        <w:t xml:space="preserve">　   　　　　　　                   </w:t>
      </w:r>
    </w:p>
    <w:p w14:paraId="436C207A">
      <w:pPr>
        <w:spacing w:line="400" w:lineRule="exact"/>
        <w:ind w:firstLine="240" w:firstLineChars="1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w:t>
      </w:r>
    </w:p>
    <w:p w14:paraId="74179737">
      <w:pPr>
        <w:spacing w:line="400" w:lineRule="exact"/>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20</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w:t>
      </w:r>
    </w:p>
    <w:p w14:paraId="3487DF13">
      <w:pPr>
        <w:spacing w:line="400" w:lineRule="exact"/>
        <w:outlineLvl w:val="9"/>
        <w:rPr>
          <w:rFonts w:hint="eastAsia" w:ascii="仿宋" w:hAnsi="仿宋" w:eastAsia="仿宋" w:cs="仿宋"/>
          <w:b/>
          <w:color w:val="auto"/>
          <w:sz w:val="24"/>
          <w:highlight w:val="none"/>
        </w:rPr>
      </w:pPr>
    </w:p>
    <w:p w14:paraId="35B4FDEB">
      <w:pPr>
        <w:pStyle w:val="8"/>
        <w:outlineLvl w:val="9"/>
        <w:rPr>
          <w:rFonts w:hint="eastAsia" w:ascii="仿宋" w:hAnsi="仿宋" w:eastAsia="仿宋" w:cs="仿宋"/>
          <w:b/>
          <w:color w:val="auto"/>
          <w:sz w:val="24"/>
          <w:highlight w:val="none"/>
        </w:rPr>
      </w:pPr>
    </w:p>
    <w:p w14:paraId="29AC238C">
      <w:pPr>
        <w:pStyle w:val="8"/>
        <w:outlineLvl w:val="9"/>
        <w:rPr>
          <w:rFonts w:hint="eastAsia" w:ascii="仿宋" w:hAnsi="仿宋" w:eastAsia="仿宋" w:cs="仿宋"/>
          <w:b/>
          <w:color w:val="auto"/>
          <w:sz w:val="24"/>
          <w:highlight w:val="none"/>
        </w:rPr>
      </w:pPr>
    </w:p>
    <w:p w14:paraId="7A296707">
      <w:pPr>
        <w:pStyle w:val="8"/>
        <w:outlineLvl w:val="9"/>
        <w:rPr>
          <w:rFonts w:hint="eastAsia" w:ascii="仿宋" w:hAnsi="仿宋" w:eastAsia="仿宋" w:cs="仿宋"/>
          <w:b/>
          <w:color w:val="auto"/>
          <w:sz w:val="24"/>
          <w:highlight w:val="none"/>
        </w:rPr>
      </w:pPr>
    </w:p>
    <w:p w14:paraId="72730CBD">
      <w:pPr>
        <w:pStyle w:val="8"/>
        <w:outlineLvl w:val="9"/>
        <w:rPr>
          <w:rFonts w:hint="eastAsia" w:ascii="仿宋" w:hAnsi="仿宋" w:eastAsia="仿宋" w:cs="仿宋"/>
          <w:b/>
          <w:color w:val="auto"/>
          <w:sz w:val="24"/>
          <w:highlight w:val="none"/>
        </w:rPr>
      </w:pPr>
    </w:p>
    <w:p w14:paraId="545FABAF">
      <w:pPr>
        <w:pStyle w:val="8"/>
        <w:outlineLvl w:val="9"/>
        <w:rPr>
          <w:rFonts w:hint="eastAsia" w:ascii="仿宋" w:hAnsi="仿宋" w:eastAsia="仿宋" w:cs="仿宋"/>
          <w:b/>
          <w:color w:val="auto"/>
          <w:sz w:val="24"/>
          <w:highlight w:val="none"/>
        </w:rPr>
      </w:pPr>
    </w:p>
    <w:p w14:paraId="58A5B182">
      <w:pPr>
        <w:pStyle w:val="8"/>
        <w:outlineLvl w:val="9"/>
        <w:rPr>
          <w:rFonts w:hint="eastAsia" w:ascii="仿宋" w:hAnsi="仿宋" w:eastAsia="仿宋" w:cs="仿宋"/>
          <w:b/>
          <w:color w:val="auto"/>
          <w:sz w:val="24"/>
          <w:highlight w:val="none"/>
        </w:rPr>
      </w:pPr>
    </w:p>
    <w:p w14:paraId="79352928">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061DFE4A">
      <w:pPr>
        <w:ind w:firstLine="562"/>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2、</w:t>
      </w:r>
      <w:r>
        <w:rPr>
          <w:rFonts w:hint="eastAsia" w:ascii="仿宋" w:hAnsi="仿宋" w:eastAsia="仿宋" w:cs="仿宋"/>
          <w:b/>
          <w:bCs/>
          <w:color w:val="auto"/>
          <w:sz w:val="28"/>
          <w:szCs w:val="28"/>
          <w:highlight w:val="none"/>
        </w:rPr>
        <w:t>法人代表授权书格式</w:t>
      </w:r>
    </w:p>
    <w:p w14:paraId="6526209C">
      <w:pPr>
        <w:jc w:val="center"/>
        <w:outlineLvl w:val="9"/>
        <w:rPr>
          <w:rFonts w:hint="eastAsia" w:ascii="仿宋" w:hAnsi="仿宋" w:eastAsia="仿宋" w:cs="仿宋"/>
          <w:b/>
          <w:bCs/>
          <w:color w:val="auto"/>
          <w:sz w:val="28"/>
          <w:szCs w:val="36"/>
          <w:highlight w:val="none"/>
        </w:rPr>
      </w:pPr>
      <w:r>
        <w:rPr>
          <w:rFonts w:hint="eastAsia" w:ascii="仿宋" w:hAnsi="仿宋" w:eastAsia="仿宋" w:cs="仿宋"/>
          <w:b/>
          <w:bCs/>
          <w:color w:val="auto"/>
          <w:sz w:val="28"/>
          <w:szCs w:val="36"/>
          <w:highlight w:val="none"/>
        </w:rPr>
        <w:t>法定代表人资格证明书</w:t>
      </w:r>
    </w:p>
    <w:p w14:paraId="70906B60">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单位名称：</w:t>
      </w:r>
    </w:p>
    <w:p w14:paraId="2F93896D">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单位性质：</w:t>
      </w:r>
    </w:p>
    <w:p w14:paraId="01C08B28">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地址：</w:t>
      </w:r>
    </w:p>
    <w:p w14:paraId="43C638FD">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成立时间：</w:t>
      </w:r>
    </w:p>
    <w:p w14:paraId="4C11030B">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经营期限：</w:t>
      </w:r>
    </w:p>
    <w:p w14:paraId="44F1FE5F">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姓名： 性别：</w:t>
      </w:r>
    </w:p>
    <w:p w14:paraId="1E015F4F">
      <w:pPr>
        <w:spacing w:beforeLines="50" w:afterLines="50" w:line="360" w:lineRule="auto"/>
        <w:ind w:left="546" w:leftChars="26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年龄：职务：</w:t>
      </w:r>
    </w:p>
    <w:p w14:paraId="7ADDFBCC">
      <w:pPr>
        <w:spacing w:beforeLines="50" w:afterLines="50"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（供应商）</w:t>
      </w:r>
      <w:r>
        <w:rPr>
          <w:rFonts w:hint="eastAsia" w:ascii="仿宋" w:hAnsi="仿宋" w:eastAsia="仿宋" w:cs="仿宋"/>
          <w:color w:val="auto"/>
          <w:sz w:val="24"/>
          <w:highlight w:val="none"/>
        </w:rPr>
        <w:t>的法定代表人。</w:t>
      </w:r>
      <w:r>
        <w:rPr>
          <w:rFonts w:hint="eastAsia" w:ascii="仿宋" w:hAnsi="仿宋" w:eastAsia="仿宋" w:cs="仿宋"/>
          <w:color w:val="auto"/>
          <w:sz w:val="24"/>
          <w:highlight w:val="none"/>
        </w:rPr>
        <w:cr/>
      </w:r>
    </w:p>
    <w:p w14:paraId="0DB5C4C6">
      <w:pPr>
        <w:spacing w:beforeLines="50" w:afterLines="50" w:line="36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773B6267">
      <w:pPr>
        <w:pStyle w:val="8"/>
        <w:outlineLvl w:val="9"/>
        <w:rPr>
          <w:rFonts w:hint="eastAsia" w:ascii="仿宋" w:hAnsi="仿宋" w:eastAsia="仿宋" w:cs="仿宋"/>
          <w:color w:val="auto"/>
          <w:sz w:val="24"/>
          <w:highlight w:val="none"/>
        </w:rPr>
      </w:pPr>
    </w:p>
    <w:p w14:paraId="03E66D6C">
      <w:pPr>
        <w:pStyle w:val="8"/>
        <w:spacing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（此处附法人身份证复印件）</w:t>
      </w:r>
    </w:p>
    <w:p w14:paraId="336A18B5">
      <w:pPr>
        <w:spacing w:beforeLines="50" w:afterLines="50"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供应商公章：[供应商盖章]</w:t>
      </w:r>
    </w:p>
    <w:p w14:paraId="38173F54">
      <w:pPr>
        <w:spacing w:beforeLines="50" w:afterLines="50" w:line="480" w:lineRule="auto"/>
        <w:ind w:firstLine="496" w:firstLineChars="200"/>
        <w:outlineLvl w:val="9"/>
        <w:rPr>
          <w:rFonts w:hint="eastAsia" w:ascii="仿宋" w:hAnsi="仿宋" w:eastAsia="仿宋" w:cs="仿宋"/>
          <w:color w:val="auto"/>
          <w:highlight w:val="none"/>
        </w:rPr>
      </w:pPr>
      <w:r>
        <w:rPr>
          <w:rFonts w:hint="eastAsia" w:ascii="仿宋" w:hAnsi="仿宋" w:eastAsia="仿宋" w:cs="仿宋"/>
          <w:color w:val="auto"/>
          <w:spacing w:val="4"/>
          <w:sz w:val="24"/>
          <w:highlight w:val="none"/>
        </w:rPr>
        <w:t>日期：</w:t>
      </w:r>
      <w:r>
        <w:rPr>
          <w:rFonts w:hint="eastAsia" w:ascii="仿宋" w:hAnsi="仿宋" w:eastAsia="仿宋" w:cs="仿宋"/>
          <w:color w:val="auto"/>
          <w:sz w:val="24"/>
          <w:highlight w:val="none"/>
        </w:rPr>
        <w:t>年   月   日</w:t>
      </w:r>
    </w:p>
    <w:p w14:paraId="3E507F76">
      <w:pPr>
        <w:pStyle w:val="13"/>
        <w:ind w:left="0"/>
        <w:outlineLvl w:val="9"/>
        <w:rPr>
          <w:rFonts w:hint="eastAsia" w:ascii="仿宋" w:hAnsi="仿宋" w:eastAsia="仿宋" w:cs="仿宋"/>
          <w:color w:val="auto"/>
          <w:highlight w:val="none"/>
        </w:rPr>
      </w:pPr>
    </w:p>
    <w:p w14:paraId="125DA892">
      <w:pPr>
        <w:jc w:val="center"/>
        <w:outlineLvl w:val="9"/>
        <w:rPr>
          <w:rFonts w:hint="eastAsia" w:ascii="仿宋" w:hAnsi="仿宋" w:eastAsia="仿宋" w:cs="仿宋"/>
          <w:b/>
          <w:bCs/>
          <w:color w:val="auto"/>
          <w:sz w:val="28"/>
          <w:szCs w:val="36"/>
          <w:highlight w:val="none"/>
        </w:rPr>
      </w:pPr>
    </w:p>
    <w:p w14:paraId="07DA20B6">
      <w:pPr>
        <w:jc w:val="center"/>
        <w:outlineLvl w:val="9"/>
        <w:rPr>
          <w:rFonts w:hint="eastAsia" w:ascii="仿宋" w:hAnsi="仿宋" w:eastAsia="仿宋" w:cs="仿宋"/>
          <w:b/>
          <w:bCs/>
          <w:color w:val="auto"/>
          <w:sz w:val="28"/>
          <w:szCs w:val="36"/>
          <w:highlight w:val="none"/>
        </w:rPr>
      </w:pPr>
    </w:p>
    <w:p w14:paraId="6972FBDC">
      <w:pPr>
        <w:jc w:val="center"/>
        <w:outlineLvl w:val="9"/>
        <w:rPr>
          <w:rFonts w:hint="eastAsia" w:ascii="仿宋" w:hAnsi="仿宋" w:eastAsia="仿宋" w:cs="仿宋"/>
          <w:b/>
          <w:bCs/>
          <w:color w:val="auto"/>
          <w:sz w:val="28"/>
          <w:szCs w:val="36"/>
          <w:highlight w:val="none"/>
        </w:rPr>
      </w:pPr>
    </w:p>
    <w:p w14:paraId="0EE534BB">
      <w:pPr>
        <w:jc w:val="center"/>
        <w:outlineLvl w:val="9"/>
        <w:rPr>
          <w:rFonts w:hint="eastAsia" w:ascii="仿宋" w:hAnsi="仿宋" w:eastAsia="仿宋" w:cs="仿宋"/>
          <w:b/>
          <w:bCs/>
          <w:color w:val="auto"/>
          <w:sz w:val="28"/>
          <w:szCs w:val="36"/>
          <w:highlight w:val="none"/>
        </w:rPr>
      </w:pPr>
    </w:p>
    <w:p w14:paraId="0C2564C9">
      <w:pPr>
        <w:jc w:val="center"/>
        <w:outlineLvl w:val="9"/>
        <w:rPr>
          <w:rFonts w:hint="eastAsia" w:ascii="仿宋" w:hAnsi="仿宋" w:eastAsia="仿宋" w:cs="仿宋"/>
          <w:b/>
          <w:bCs/>
          <w:color w:val="auto"/>
          <w:sz w:val="28"/>
          <w:szCs w:val="36"/>
          <w:highlight w:val="none"/>
        </w:rPr>
      </w:pPr>
    </w:p>
    <w:p w14:paraId="3C991A1D">
      <w:pPr>
        <w:jc w:val="center"/>
        <w:outlineLvl w:val="9"/>
        <w:rPr>
          <w:rFonts w:hint="eastAsia" w:ascii="仿宋" w:hAnsi="仿宋" w:eastAsia="仿宋" w:cs="仿宋"/>
          <w:b/>
          <w:bCs/>
          <w:color w:val="auto"/>
          <w:sz w:val="28"/>
          <w:szCs w:val="36"/>
          <w:highlight w:val="none"/>
        </w:rPr>
      </w:pPr>
    </w:p>
    <w:p w14:paraId="3E2EABFC">
      <w:pPr>
        <w:jc w:val="center"/>
        <w:outlineLvl w:val="9"/>
        <w:rPr>
          <w:rFonts w:hint="eastAsia" w:ascii="仿宋" w:hAnsi="仿宋" w:eastAsia="仿宋" w:cs="仿宋"/>
          <w:b/>
          <w:bCs/>
          <w:color w:val="auto"/>
          <w:sz w:val="28"/>
          <w:szCs w:val="36"/>
          <w:highlight w:val="none"/>
        </w:rPr>
      </w:pPr>
    </w:p>
    <w:p w14:paraId="642C8397">
      <w:pPr>
        <w:jc w:val="center"/>
        <w:outlineLvl w:val="9"/>
        <w:rPr>
          <w:rFonts w:hint="eastAsia" w:ascii="仿宋" w:hAnsi="仿宋" w:eastAsia="仿宋" w:cs="仿宋"/>
          <w:b/>
          <w:bCs/>
          <w:color w:val="auto"/>
          <w:sz w:val="28"/>
          <w:szCs w:val="36"/>
          <w:highlight w:val="none"/>
        </w:rPr>
      </w:pPr>
    </w:p>
    <w:p w14:paraId="56C0B374">
      <w:pPr>
        <w:jc w:val="center"/>
        <w:outlineLvl w:val="9"/>
        <w:rPr>
          <w:rFonts w:hint="eastAsia" w:ascii="仿宋" w:hAnsi="仿宋" w:eastAsia="仿宋" w:cs="仿宋"/>
          <w:b/>
          <w:bCs/>
          <w:color w:val="auto"/>
          <w:sz w:val="28"/>
          <w:szCs w:val="36"/>
          <w:highlight w:val="none"/>
        </w:rPr>
      </w:pPr>
    </w:p>
    <w:p w14:paraId="3FA8B220">
      <w:pPr>
        <w:jc w:val="center"/>
        <w:outlineLvl w:val="9"/>
        <w:rPr>
          <w:rFonts w:hint="eastAsia" w:ascii="仿宋" w:hAnsi="仿宋" w:eastAsia="仿宋" w:cs="仿宋"/>
          <w:b/>
          <w:bCs/>
          <w:color w:val="auto"/>
          <w:sz w:val="28"/>
          <w:szCs w:val="36"/>
          <w:highlight w:val="none"/>
        </w:rPr>
      </w:pPr>
    </w:p>
    <w:p w14:paraId="50692ED7">
      <w:pPr>
        <w:spacing w:beforeLines="50" w:afterLines="150"/>
        <w:jc w:val="center"/>
        <w:outlineLvl w:val="9"/>
        <w:rPr>
          <w:rFonts w:hint="eastAsia" w:ascii="仿宋" w:hAnsi="仿宋" w:eastAsia="仿宋" w:cs="仿宋"/>
          <w:b/>
          <w:bCs/>
          <w:color w:val="auto"/>
          <w:sz w:val="28"/>
          <w:szCs w:val="36"/>
          <w:highlight w:val="none"/>
        </w:rPr>
      </w:pPr>
      <w:r>
        <w:rPr>
          <w:rFonts w:hint="eastAsia" w:ascii="仿宋" w:hAnsi="仿宋" w:eastAsia="仿宋" w:cs="仿宋"/>
          <w:b/>
          <w:bCs/>
          <w:color w:val="auto"/>
          <w:sz w:val="28"/>
          <w:szCs w:val="36"/>
          <w:highlight w:val="none"/>
        </w:rPr>
        <w:br w:type="page"/>
      </w:r>
      <w:r>
        <w:rPr>
          <w:rFonts w:hint="eastAsia" w:ascii="仿宋" w:hAnsi="仿宋" w:eastAsia="仿宋" w:cs="仿宋"/>
          <w:b/>
          <w:bCs/>
          <w:color w:val="auto"/>
          <w:sz w:val="28"/>
          <w:szCs w:val="36"/>
          <w:highlight w:val="none"/>
        </w:rPr>
        <w:t>法人代表授权书</w:t>
      </w:r>
    </w:p>
    <w:p w14:paraId="3A78038C">
      <w:pPr>
        <w:spacing w:line="480" w:lineRule="auto"/>
        <w:ind w:firstLine="601"/>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本授权书声明：注册于</w:t>
      </w:r>
      <w:r>
        <w:rPr>
          <w:rFonts w:hint="eastAsia" w:ascii="仿宋" w:hAnsi="仿宋" w:eastAsia="仿宋" w:cs="仿宋"/>
          <w:color w:val="auto"/>
          <w:sz w:val="24"/>
          <w:highlight w:val="none"/>
          <w:u w:val="single"/>
        </w:rPr>
        <w:t>（地区的名称）</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（公司名称）</w:t>
      </w:r>
      <w:r>
        <w:rPr>
          <w:rFonts w:hint="eastAsia" w:ascii="仿宋" w:hAnsi="仿宋" w:eastAsia="仿宋" w:cs="仿宋"/>
          <w:color w:val="auto"/>
          <w:sz w:val="24"/>
          <w:highlight w:val="none"/>
        </w:rPr>
        <w:t>，在下面签字的法人代表</w:t>
      </w:r>
      <w:r>
        <w:rPr>
          <w:rFonts w:hint="eastAsia" w:ascii="仿宋" w:hAnsi="仿宋" w:eastAsia="仿宋" w:cs="仿宋"/>
          <w:color w:val="auto"/>
          <w:sz w:val="24"/>
          <w:highlight w:val="none"/>
          <w:u w:val="single"/>
        </w:rPr>
        <w:t>（姓名、职务）</w:t>
      </w:r>
      <w:r>
        <w:rPr>
          <w:rFonts w:hint="eastAsia" w:ascii="仿宋" w:hAnsi="仿宋" w:eastAsia="仿宋" w:cs="仿宋"/>
          <w:color w:val="auto"/>
          <w:sz w:val="24"/>
          <w:highlight w:val="none"/>
        </w:rPr>
        <w:t>，代表本公司授权在下面签字的</w:t>
      </w:r>
      <w:r>
        <w:rPr>
          <w:rFonts w:hint="eastAsia" w:ascii="仿宋" w:hAnsi="仿宋" w:eastAsia="仿宋" w:cs="仿宋"/>
          <w:color w:val="auto"/>
          <w:sz w:val="24"/>
          <w:highlight w:val="none"/>
          <w:u w:val="single"/>
        </w:rPr>
        <w:t>（被授权人的姓名、职务）</w:t>
      </w:r>
      <w:r>
        <w:rPr>
          <w:rFonts w:hint="eastAsia" w:ascii="仿宋" w:hAnsi="仿宋" w:eastAsia="仿宋" w:cs="仿宋"/>
          <w:color w:val="auto"/>
          <w:sz w:val="24"/>
          <w:highlight w:val="none"/>
        </w:rPr>
        <w:t>为本公司的合法代理人，就</w:t>
      </w:r>
      <w:r>
        <w:rPr>
          <w:rFonts w:hint="eastAsia" w:ascii="仿宋" w:hAnsi="仿宋" w:eastAsia="仿宋" w:cs="仿宋"/>
          <w:color w:val="auto"/>
          <w:sz w:val="24"/>
          <w:highlight w:val="none"/>
          <w:u w:val="single"/>
        </w:rPr>
        <w:t>　（项目名称）　</w:t>
      </w:r>
      <w:r>
        <w:rPr>
          <w:rFonts w:hint="eastAsia" w:ascii="仿宋" w:hAnsi="仿宋" w:eastAsia="仿宋" w:cs="仿宋"/>
          <w:color w:val="auto"/>
          <w:sz w:val="24"/>
          <w:highlight w:val="none"/>
        </w:rPr>
        <w:t>的投标，以本公司的名义处理一切与之有关的事务。本授权书于</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日签字生效，特此声明。</w:t>
      </w:r>
    </w:p>
    <w:p w14:paraId="20004F9A">
      <w:pPr>
        <w:pStyle w:val="8"/>
        <w:outlineLvl w:val="9"/>
        <w:rPr>
          <w:rFonts w:hint="eastAsia" w:ascii="仿宋" w:hAnsi="仿宋" w:eastAsia="仿宋" w:cs="仿宋"/>
          <w:color w:val="auto"/>
          <w:sz w:val="24"/>
          <w:highlight w:val="none"/>
        </w:rPr>
      </w:pPr>
    </w:p>
    <w:p w14:paraId="0D8E3A4D">
      <w:pPr>
        <w:pStyle w:val="8"/>
        <w:outlineLvl w:val="9"/>
        <w:rPr>
          <w:rFonts w:hint="eastAsia" w:ascii="仿宋" w:hAnsi="仿宋" w:eastAsia="仿宋" w:cs="仿宋"/>
          <w:color w:val="auto"/>
          <w:highlight w:val="none"/>
        </w:rPr>
      </w:pPr>
      <w:r>
        <w:rPr>
          <w:rFonts w:hint="eastAsia" w:ascii="仿宋" w:hAnsi="仿宋" w:eastAsia="仿宋" w:cs="仿宋"/>
          <w:color w:val="auto"/>
          <w:sz w:val="24"/>
          <w:highlight w:val="none"/>
        </w:rPr>
        <w:t>（此处附法人身份证复印件及被授权人身份证复印件）</w:t>
      </w:r>
    </w:p>
    <w:p w14:paraId="3E5F8154">
      <w:pPr>
        <w:spacing w:line="360" w:lineRule="auto"/>
        <w:ind w:firstLine="482"/>
        <w:outlineLvl w:val="9"/>
        <w:rPr>
          <w:rFonts w:hint="eastAsia" w:ascii="仿宋" w:hAnsi="仿宋" w:eastAsia="仿宋" w:cs="仿宋"/>
          <w:color w:val="auto"/>
          <w:sz w:val="24"/>
          <w:highlight w:val="none"/>
        </w:rPr>
      </w:pPr>
    </w:p>
    <w:p w14:paraId="48BE248F">
      <w:pPr>
        <w:spacing w:line="480" w:lineRule="auto"/>
        <w:ind w:firstLine="2400" w:firstLineChars="10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法人代表签字：</w:t>
      </w:r>
      <w:r>
        <w:rPr>
          <w:rFonts w:hint="eastAsia" w:ascii="仿宋" w:hAnsi="仿宋" w:eastAsia="仿宋" w:cs="仿宋"/>
          <w:color w:val="auto"/>
          <w:sz w:val="24"/>
          <w:highlight w:val="none"/>
          <w:u w:val="single"/>
        </w:rPr>
        <w:t>　　　　　　　　　　　　　　　</w:t>
      </w:r>
    </w:p>
    <w:p w14:paraId="58E05C12">
      <w:pPr>
        <w:spacing w:line="480" w:lineRule="auto"/>
        <w:ind w:firstLine="2400" w:firstLineChars="10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被授权人签字：</w:t>
      </w:r>
      <w:r>
        <w:rPr>
          <w:rFonts w:hint="eastAsia" w:ascii="仿宋" w:hAnsi="仿宋" w:eastAsia="仿宋" w:cs="仿宋"/>
          <w:color w:val="auto"/>
          <w:sz w:val="24"/>
          <w:highlight w:val="none"/>
          <w:u w:val="single"/>
        </w:rPr>
        <w:t>　　　　　　　　　　　　　　　</w:t>
      </w:r>
    </w:p>
    <w:p w14:paraId="31846A93">
      <w:pPr>
        <w:spacing w:line="480" w:lineRule="auto"/>
        <w:ind w:firstLine="2400" w:firstLineChars="10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公        章：</w:t>
      </w:r>
    </w:p>
    <w:p w14:paraId="0F6DF90F">
      <w:pPr>
        <w:spacing w:line="480" w:lineRule="auto"/>
        <w:ind w:firstLine="480"/>
        <w:outlineLvl w:val="9"/>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授  权 日 期：</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日</w:t>
      </w:r>
    </w:p>
    <w:p w14:paraId="62AC9F13">
      <w:pPr>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注：法人代表本人作为公司代理人前来参加投标的，供应商可以不提供此项证明文件。</w:t>
      </w:r>
    </w:p>
    <w:p w14:paraId="36181F5B">
      <w:pPr>
        <w:ind w:firstLine="482" w:firstLineChars="200"/>
        <w:outlineLvl w:val="9"/>
        <w:rPr>
          <w:rFonts w:hint="eastAsia" w:ascii="仿宋" w:hAnsi="仿宋" w:eastAsia="仿宋" w:cs="仿宋"/>
          <w:b/>
          <w:color w:val="auto"/>
          <w:sz w:val="24"/>
          <w:highlight w:val="none"/>
        </w:rPr>
      </w:pPr>
    </w:p>
    <w:p w14:paraId="6F051C0D">
      <w:pPr>
        <w:pStyle w:val="8"/>
        <w:outlineLvl w:val="9"/>
        <w:rPr>
          <w:rFonts w:hint="eastAsia" w:ascii="仿宋" w:hAnsi="仿宋" w:eastAsia="仿宋" w:cs="仿宋"/>
          <w:b/>
          <w:color w:val="auto"/>
          <w:sz w:val="24"/>
          <w:highlight w:val="none"/>
        </w:rPr>
      </w:pPr>
    </w:p>
    <w:p w14:paraId="08EB3B8C">
      <w:pPr>
        <w:pStyle w:val="8"/>
        <w:outlineLvl w:val="9"/>
        <w:rPr>
          <w:rFonts w:hint="eastAsia" w:ascii="仿宋" w:hAnsi="仿宋" w:eastAsia="仿宋" w:cs="仿宋"/>
          <w:b/>
          <w:color w:val="auto"/>
          <w:sz w:val="24"/>
          <w:highlight w:val="none"/>
        </w:rPr>
      </w:pPr>
    </w:p>
    <w:p w14:paraId="1D4B0A1C">
      <w:pPr>
        <w:ind w:firstLine="562"/>
        <w:jc w:val="center"/>
        <w:outlineLvl w:val="1"/>
        <w:rPr>
          <w:rFonts w:hint="eastAsia" w:ascii="仿宋" w:hAnsi="仿宋" w:eastAsia="仿宋" w:cs="仿宋"/>
          <w:b/>
          <w:color w:val="auto"/>
          <w:sz w:val="30"/>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3、</w:t>
      </w:r>
      <w:r>
        <w:rPr>
          <w:rFonts w:hint="eastAsia" w:ascii="仿宋" w:hAnsi="仿宋" w:eastAsia="仿宋" w:cs="仿宋"/>
          <w:b/>
          <w:bCs/>
          <w:color w:val="auto"/>
          <w:sz w:val="28"/>
          <w:szCs w:val="28"/>
          <w:highlight w:val="none"/>
        </w:rPr>
        <w:t>报价一览表</w:t>
      </w:r>
    </w:p>
    <w:p w14:paraId="25BC15DC">
      <w:pPr>
        <w:pStyle w:val="32"/>
        <w:spacing w:line="360" w:lineRule="auto"/>
        <w:ind w:left="212" w:leftChars="-86" w:hanging="393" w:hangingChars="163"/>
        <w:jc w:val="both"/>
        <w:outlineLvl w:val="9"/>
        <w:rPr>
          <w:rFonts w:hint="eastAsia" w:ascii="仿宋" w:hAnsi="仿宋" w:eastAsia="仿宋" w:cs="仿宋"/>
          <w:b/>
          <w:color w:val="auto"/>
          <w:highlight w:val="none"/>
        </w:rPr>
      </w:pPr>
      <w:r>
        <w:rPr>
          <w:rFonts w:hint="eastAsia" w:ascii="仿宋" w:hAnsi="仿宋" w:eastAsia="仿宋" w:cs="仿宋"/>
          <w:b/>
          <w:color w:val="auto"/>
          <w:highlight w:val="none"/>
        </w:rPr>
        <w:t xml:space="preserve">供应商名称：                      </w:t>
      </w:r>
    </w:p>
    <w:p w14:paraId="5416834E">
      <w:pPr>
        <w:pStyle w:val="32"/>
        <w:spacing w:line="360" w:lineRule="auto"/>
        <w:ind w:left="212" w:leftChars="-86" w:hanging="393" w:hangingChars="163"/>
        <w:jc w:val="both"/>
        <w:outlineLvl w:val="9"/>
        <w:rPr>
          <w:rFonts w:hint="eastAsia" w:ascii="仿宋" w:hAnsi="仿宋" w:eastAsia="仿宋" w:cs="仿宋"/>
          <w:b/>
          <w:color w:val="auto"/>
          <w:highlight w:val="none"/>
        </w:rPr>
      </w:pPr>
      <w:r>
        <w:rPr>
          <w:rFonts w:hint="eastAsia" w:ascii="仿宋" w:hAnsi="仿宋" w:eastAsia="仿宋" w:cs="仿宋"/>
          <w:b/>
          <w:color w:val="auto"/>
          <w:highlight w:val="none"/>
        </w:rPr>
        <w:t>项目编号：</w:t>
      </w:r>
      <w:r>
        <w:rPr>
          <w:rFonts w:hint="eastAsia" w:ascii="仿宋" w:hAnsi="仿宋" w:eastAsia="仿宋" w:cs="仿宋"/>
          <w:b/>
          <w:color w:val="auto"/>
          <w:highlight w:val="none"/>
          <w:lang w:val="en-US" w:eastAsia="zh-CN"/>
        </w:rPr>
        <w:t xml:space="preserve">                                </w:t>
      </w:r>
      <w:r>
        <w:rPr>
          <w:rFonts w:hint="eastAsia" w:ascii="仿宋" w:hAnsi="仿宋" w:eastAsia="仿宋" w:cs="仿宋"/>
          <w:b/>
          <w:color w:val="auto"/>
          <w:highlight w:val="none"/>
        </w:rPr>
        <w:t>项目名称：</w:t>
      </w:r>
    </w:p>
    <w:tbl>
      <w:tblPr>
        <w:tblStyle w:val="25"/>
        <w:tblW w:w="914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03"/>
        <w:gridCol w:w="1953"/>
        <w:gridCol w:w="3420"/>
        <w:gridCol w:w="867"/>
      </w:tblGrid>
      <w:tr w14:paraId="7C99F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2903" w:type="dxa"/>
            <w:noWrap/>
            <w:vAlign w:val="center"/>
          </w:tcPr>
          <w:p w14:paraId="142A7CC2">
            <w:pPr>
              <w:pStyle w:val="32"/>
              <w:ind w:left="-125" w:leftChars="-422" w:right="-743" w:rightChars="-354" w:hanging="761" w:hangingChars="316"/>
              <w:jc w:val="center"/>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项目名称</w:t>
            </w:r>
          </w:p>
        </w:tc>
        <w:tc>
          <w:tcPr>
            <w:tcW w:w="1953" w:type="dxa"/>
            <w:noWrap/>
            <w:vAlign w:val="center"/>
          </w:tcPr>
          <w:p w14:paraId="7B252D63">
            <w:pPr>
              <w:pStyle w:val="32"/>
              <w:ind w:left="-342" w:right="-354"/>
              <w:jc w:val="center"/>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投标报价（元）</w:t>
            </w:r>
          </w:p>
        </w:tc>
        <w:tc>
          <w:tcPr>
            <w:tcW w:w="3420" w:type="dxa"/>
            <w:noWrap/>
            <w:vAlign w:val="center"/>
          </w:tcPr>
          <w:p w14:paraId="1236E834">
            <w:pPr>
              <w:pStyle w:val="32"/>
              <w:ind w:left="-342" w:right="-354"/>
              <w:jc w:val="center"/>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合同履行期限</w:t>
            </w:r>
          </w:p>
        </w:tc>
        <w:tc>
          <w:tcPr>
            <w:tcW w:w="867" w:type="dxa"/>
            <w:noWrap/>
            <w:vAlign w:val="center"/>
          </w:tcPr>
          <w:p w14:paraId="64FE8942">
            <w:pPr>
              <w:pStyle w:val="32"/>
              <w:ind w:left="-342" w:right="-354"/>
              <w:jc w:val="center"/>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备 注</w:t>
            </w:r>
          </w:p>
        </w:tc>
      </w:tr>
      <w:tr w14:paraId="78352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2903" w:type="dxa"/>
            <w:noWrap/>
            <w:vAlign w:val="center"/>
          </w:tcPr>
          <w:p w14:paraId="4DD9C100">
            <w:pPr>
              <w:pStyle w:val="32"/>
              <w:ind w:left="-342" w:right="-354"/>
              <w:jc w:val="center"/>
              <w:outlineLvl w:val="9"/>
              <w:rPr>
                <w:rFonts w:hint="eastAsia" w:ascii="仿宋" w:hAnsi="仿宋" w:eastAsia="仿宋" w:cs="仿宋"/>
                <w:color w:val="auto"/>
                <w:kern w:val="2"/>
                <w:sz w:val="24"/>
                <w:szCs w:val="24"/>
                <w:highlight w:val="none"/>
              </w:rPr>
            </w:pPr>
          </w:p>
        </w:tc>
        <w:tc>
          <w:tcPr>
            <w:tcW w:w="1953" w:type="dxa"/>
            <w:noWrap/>
            <w:vAlign w:val="center"/>
          </w:tcPr>
          <w:p w14:paraId="3378DA07">
            <w:pPr>
              <w:pStyle w:val="32"/>
              <w:ind w:left="-342" w:right="-354"/>
              <w:jc w:val="center"/>
              <w:outlineLvl w:val="9"/>
              <w:rPr>
                <w:rFonts w:hint="eastAsia" w:ascii="仿宋" w:hAnsi="仿宋" w:eastAsia="仿宋" w:cs="仿宋"/>
                <w:color w:val="auto"/>
                <w:kern w:val="2"/>
                <w:sz w:val="24"/>
                <w:szCs w:val="24"/>
                <w:highlight w:val="none"/>
              </w:rPr>
            </w:pPr>
          </w:p>
        </w:tc>
        <w:tc>
          <w:tcPr>
            <w:tcW w:w="3420" w:type="dxa"/>
            <w:noWrap/>
            <w:vAlign w:val="center"/>
          </w:tcPr>
          <w:p w14:paraId="33EFDF20">
            <w:pPr>
              <w:pStyle w:val="32"/>
              <w:ind w:left="-342" w:right="-354"/>
              <w:jc w:val="center"/>
              <w:outlineLvl w:val="9"/>
              <w:rPr>
                <w:rFonts w:hint="eastAsia" w:ascii="仿宋" w:hAnsi="仿宋" w:eastAsia="仿宋" w:cs="仿宋"/>
                <w:color w:val="auto"/>
                <w:kern w:val="2"/>
                <w:sz w:val="24"/>
                <w:szCs w:val="24"/>
                <w:highlight w:val="none"/>
              </w:rPr>
            </w:pPr>
          </w:p>
        </w:tc>
        <w:tc>
          <w:tcPr>
            <w:tcW w:w="867" w:type="dxa"/>
            <w:noWrap/>
            <w:vAlign w:val="center"/>
          </w:tcPr>
          <w:p w14:paraId="21E780E3">
            <w:pPr>
              <w:pStyle w:val="32"/>
              <w:ind w:left="-342" w:right="-354"/>
              <w:jc w:val="center"/>
              <w:outlineLvl w:val="9"/>
              <w:rPr>
                <w:rFonts w:hint="eastAsia" w:ascii="仿宋" w:hAnsi="仿宋" w:eastAsia="仿宋" w:cs="仿宋"/>
                <w:color w:val="auto"/>
                <w:kern w:val="2"/>
                <w:sz w:val="24"/>
                <w:szCs w:val="24"/>
                <w:highlight w:val="none"/>
              </w:rPr>
            </w:pPr>
          </w:p>
        </w:tc>
      </w:tr>
      <w:tr w14:paraId="36821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2903" w:type="dxa"/>
            <w:noWrap/>
            <w:vAlign w:val="center"/>
          </w:tcPr>
          <w:p w14:paraId="6858EA3E">
            <w:pPr>
              <w:pStyle w:val="32"/>
              <w:ind w:left="-342" w:right="69" w:firstLine="266" w:firstLineChars="111"/>
              <w:jc w:val="center"/>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人民币大写：</w:t>
            </w:r>
          </w:p>
        </w:tc>
        <w:tc>
          <w:tcPr>
            <w:tcW w:w="6240" w:type="dxa"/>
            <w:gridSpan w:val="3"/>
            <w:noWrap/>
            <w:vAlign w:val="center"/>
          </w:tcPr>
          <w:p w14:paraId="1B2B3D8A">
            <w:pPr>
              <w:pStyle w:val="32"/>
              <w:ind w:left="-342" w:right="-354"/>
              <w:jc w:val="center"/>
              <w:outlineLvl w:val="9"/>
              <w:rPr>
                <w:rFonts w:hint="eastAsia" w:ascii="仿宋" w:hAnsi="仿宋" w:eastAsia="仿宋" w:cs="仿宋"/>
                <w:color w:val="auto"/>
                <w:kern w:val="2"/>
                <w:sz w:val="24"/>
                <w:szCs w:val="24"/>
                <w:highlight w:val="none"/>
              </w:rPr>
            </w:pPr>
          </w:p>
        </w:tc>
      </w:tr>
      <w:tr w14:paraId="5E337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903" w:type="dxa"/>
            <w:noWrap/>
            <w:vAlign w:val="center"/>
          </w:tcPr>
          <w:p w14:paraId="5A2CA642">
            <w:pPr>
              <w:pStyle w:val="32"/>
              <w:ind w:left="-342" w:right="-354"/>
              <w:jc w:val="center"/>
              <w:outlineLvl w:val="9"/>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备注</w:t>
            </w:r>
          </w:p>
        </w:tc>
        <w:tc>
          <w:tcPr>
            <w:tcW w:w="6240" w:type="dxa"/>
            <w:gridSpan w:val="3"/>
            <w:noWrap/>
            <w:vAlign w:val="center"/>
          </w:tcPr>
          <w:p w14:paraId="00BB3B09">
            <w:pPr>
              <w:pStyle w:val="32"/>
              <w:tabs>
                <w:tab w:val="left" w:pos="507"/>
              </w:tabs>
              <w:ind w:right="-354"/>
              <w:outlineLvl w:val="9"/>
              <w:rPr>
                <w:rFonts w:hint="eastAsia" w:ascii="仿宋" w:hAnsi="仿宋" w:eastAsia="仿宋" w:cs="仿宋"/>
                <w:color w:val="auto"/>
                <w:kern w:val="2"/>
                <w:sz w:val="24"/>
                <w:szCs w:val="24"/>
                <w:highlight w:val="none"/>
              </w:rPr>
            </w:pPr>
          </w:p>
        </w:tc>
      </w:tr>
    </w:tbl>
    <w:p w14:paraId="1F01BA04">
      <w:pPr>
        <w:pStyle w:val="32"/>
        <w:spacing w:line="360" w:lineRule="auto"/>
        <w:ind w:left="-340" w:right="-351" w:firstLine="240" w:firstLineChars="100"/>
        <w:outlineLvl w:val="9"/>
        <w:rPr>
          <w:rFonts w:hint="eastAsia" w:ascii="仿宋" w:hAnsi="仿宋" w:eastAsia="仿宋" w:cs="仿宋"/>
          <w:bCs/>
          <w:color w:val="auto"/>
          <w:highlight w:val="none"/>
          <w:lang w:val="en-US" w:eastAsia="zh-CN"/>
        </w:rPr>
      </w:pPr>
    </w:p>
    <w:p w14:paraId="1BB7F1E2">
      <w:pPr>
        <w:pStyle w:val="32"/>
        <w:spacing w:line="360" w:lineRule="auto"/>
        <w:ind w:left="-340" w:right="-351" w:firstLine="240" w:firstLineChars="100"/>
        <w:outlineLvl w:val="9"/>
        <w:rPr>
          <w:rFonts w:hint="eastAsia" w:ascii="仿宋" w:hAnsi="仿宋" w:eastAsia="仿宋" w:cs="仿宋"/>
          <w:b/>
          <w:color w:val="auto"/>
          <w:highlight w:val="none"/>
        </w:rPr>
      </w:pPr>
      <w:r>
        <w:rPr>
          <w:rFonts w:hint="eastAsia" w:ascii="仿宋" w:hAnsi="仿宋" w:eastAsia="仿宋" w:cs="仿宋"/>
          <w:bCs/>
          <w:color w:val="auto"/>
          <w:highlight w:val="none"/>
          <w:lang w:val="en-US" w:eastAsia="zh-CN"/>
        </w:rPr>
        <w:t>备</w:t>
      </w:r>
      <w:r>
        <w:rPr>
          <w:rFonts w:hint="eastAsia" w:ascii="仿宋" w:hAnsi="仿宋" w:eastAsia="仿宋" w:cs="仿宋"/>
          <w:bCs/>
          <w:color w:val="auto"/>
          <w:highlight w:val="none"/>
        </w:rPr>
        <w:t>注：投标报价包括货物及其相关工作范围内所有费用（包括但不限于运输费、装卸费、保险费、安装费、调试费、税费、培训费等）</w:t>
      </w:r>
    </w:p>
    <w:p w14:paraId="689AD9CB">
      <w:pPr>
        <w:pStyle w:val="32"/>
        <w:spacing w:line="480" w:lineRule="auto"/>
        <w:outlineLvl w:val="9"/>
        <w:rPr>
          <w:rFonts w:hint="eastAsia" w:ascii="仿宋" w:hAnsi="仿宋" w:eastAsia="仿宋" w:cs="仿宋"/>
          <w:b/>
          <w:color w:val="auto"/>
          <w:highlight w:val="none"/>
          <w:lang w:val="en-US" w:eastAsia="zh-CN"/>
        </w:rPr>
      </w:pPr>
    </w:p>
    <w:p w14:paraId="45F0A338">
      <w:pPr>
        <w:pStyle w:val="32"/>
        <w:spacing w:line="480" w:lineRule="auto"/>
        <w:outlineLvl w:val="9"/>
        <w:rPr>
          <w:rFonts w:hint="eastAsia" w:ascii="仿宋" w:hAnsi="仿宋" w:eastAsia="仿宋" w:cs="仿宋"/>
          <w:b/>
          <w:color w:val="auto"/>
          <w:highlight w:val="none"/>
          <w:lang w:val="en-US" w:eastAsia="zh-CN"/>
        </w:rPr>
      </w:pPr>
      <w:r>
        <w:rPr>
          <w:rFonts w:hint="eastAsia" w:ascii="仿宋" w:hAnsi="仿宋" w:eastAsia="仿宋" w:cs="仿宋"/>
          <w:b/>
          <w:color w:val="auto"/>
          <w:highlight w:val="none"/>
          <w:lang w:val="en-US" w:eastAsia="zh-CN"/>
        </w:rPr>
        <w:t>投标单位（加盖公章）：</w:t>
      </w:r>
    </w:p>
    <w:p w14:paraId="042C27CC">
      <w:pPr>
        <w:pStyle w:val="32"/>
        <w:spacing w:line="480" w:lineRule="auto"/>
        <w:outlineLvl w:val="9"/>
        <w:rPr>
          <w:rFonts w:hint="eastAsia" w:ascii="仿宋" w:hAnsi="仿宋" w:eastAsia="仿宋" w:cs="仿宋"/>
          <w:b/>
          <w:color w:val="auto"/>
          <w:highlight w:val="none"/>
        </w:rPr>
      </w:pPr>
      <w:r>
        <w:rPr>
          <w:rFonts w:hint="eastAsia" w:ascii="仿宋" w:hAnsi="仿宋" w:eastAsia="仿宋" w:cs="仿宋"/>
          <w:b/>
          <w:color w:val="auto"/>
          <w:highlight w:val="none"/>
        </w:rPr>
        <w:t>投标单位法人代表或授权代表签字（</w:t>
      </w:r>
      <w:r>
        <w:rPr>
          <w:rFonts w:hint="eastAsia" w:ascii="仿宋" w:hAnsi="仿宋" w:eastAsia="仿宋" w:cs="仿宋"/>
          <w:b/>
          <w:color w:val="auto"/>
          <w:highlight w:val="none"/>
          <w:lang w:val="en-US" w:eastAsia="zh-CN"/>
        </w:rPr>
        <w:t>或盖章</w:t>
      </w:r>
      <w:r>
        <w:rPr>
          <w:rFonts w:hint="eastAsia" w:ascii="仿宋" w:hAnsi="仿宋" w:eastAsia="仿宋" w:cs="仿宋"/>
          <w:b/>
          <w:color w:val="auto"/>
          <w:highlight w:val="none"/>
        </w:rPr>
        <w:t>）：</w:t>
      </w:r>
    </w:p>
    <w:p w14:paraId="23F96C2A">
      <w:pPr>
        <w:pStyle w:val="32"/>
        <w:spacing w:line="480" w:lineRule="auto"/>
        <w:outlineLvl w:val="9"/>
        <w:rPr>
          <w:rFonts w:hint="eastAsia" w:ascii="仿宋" w:hAnsi="仿宋" w:eastAsia="仿宋" w:cs="仿宋"/>
          <w:b/>
          <w:color w:val="auto"/>
          <w:highlight w:val="none"/>
          <w:lang w:val="en-US" w:eastAsia="zh-CN"/>
        </w:rPr>
      </w:pPr>
      <w:r>
        <w:rPr>
          <w:rFonts w:hint="eastAsia" w:ascii="仿宋" w:hAnsi="仿宋" w:eastAsia="仿宋" w:cs="仿宋"/>
          <w:b/>
          <w:color w:val="auto"/>
          <w:highlight w:val="none"/>
          <w:lang w:val="en-US" w:eastAsia="zh-CN"/>
        </w:rPr>
        <w:t>日期：</w:t>
      </w:r>
    </w:p>
    <w:p w14:paraId="4E5FA08D">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p w14:paraId="6FA6E1CC">
      <w:pPr>
        <w:ind w:firstLine="562"/>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4、供应商资质证明文件（包括但不限于）</w:t>
      </w:r>
    </w:p>
    <w:p w14:paraId="34742B43">
      <w:pPr>
        <w:ind w:firstLine="482" w:firstLineChars="200"/>
        <w:outlineLvl w:val="9"/>
        <w:rPr>
          <w:rFonts w:hint="eastAsia" w:ascii="仿宋" w:hAnsi="仿宋" w:eastAsia="仿宋" w:cs="仿宋"/>
          <w:b/>
          <w:color w:val="auto"/>
          <w:sz w:val="24"/>
          <w:highlight w:val="none"/>
        </w:rPr>
      </w:pPr>
    </w:p>
    <w:p w14:paraId="01FA8180">
      <w:pPr>
        <w:spacing w:line="480" w:lineRule="exact"/>
        <w:ind w:firstLine="600" w:firstLineChars="25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val="zh-CN"/>
        </w:rPr>
        <w:t>、营业执照</w:t>
      </w:r>
      <w:r>
        <w:rPr>
          <w:rFonts w:hint="eastAsia" w:ascii="仿宋" w:hAnsi="仿宋" w:eastAsia="仿宋" w:cs="仿宋"/>
          <w:bCs/>
          <w:color w:val="auto"/>
          <w:sz w:val="24"/>
          <w:highlight w:val="none"/>
        </w:rPr>
        <w:t>；</w:t>
      </w:r>
    </w:p>
    <w:p w14:paraId="17B26BEA">
      <w:pPr>
        <w:spacing w:line="480" w:lineRule="exact"/>
        <w:ind w:firstLine="600" w:firstLineChars="25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bCs/>
          <w:color w:val="auto"/>
          <w:sz w:val="24"/>
          <w:highlight w:val="none"/>
          <w:lang w:val="zh-CN"/>
        </w:rPr>
        <w:t>未被</w:t>
      </w:r>
      <w:r>
        <w:rPr>
          <w:rFonts w:hint="eastAsia" w:ascii="仿宋" w:hAnsi="仿宋" w:eastAsia="仿宋" w:cs="仿宋"/>
          <w:bCs/>
          <w:color w:val="auto"/>
          <w:sz w:val="24"/>
          <w:highlight w:val="none"/>
        </w:rPr>
        <w:t>“</w:t>
      </w:r>
      <w:r>
        <w:rPr>
          <w:rFonts w:hint="eastAsia" w:ascii="仿宋" w:hAnsi="仿宋" w:eastAsia="仿宋" w:cs="仿宋"/>
          <w:bCs/>
          <w:color w:val="auto"/>
          <w:sz w:val="24"/>
          <w:highlight w:val="none"/>
          <w:lang w:val="zh-CN"/>
        </w:rPr>
        <w:t>信用中国</w:t>
      </w:r>
      <w:r>
        <w:rPr>
          <w:rFonts w:hint="eastAsia" w:ascii="仿宋" w:hAnsi="仿宋" w:eastAsia="仿宋" w:cs="仿宋"/>
          <w:bCs/>
          <w:color w:val="auto"/>
          <w:sz w:val="24"/>
          <w:highlight w:val="none"/>
        </w:rPr>
        <w:t>”（www.creditchina.gov.cn）</w:t>
      </w:r>
      <w:r>
        <w:rPr>
          <w:rFonts w:hint="eastAsia" w:ascii="仿宋" w:hAnsi="仿宋" w:eastAsia="仿宋" w:cs="仿宋"/>
          <w:bCs/>
          <w:color w:val="auto"/>
          <w:sz w:val="24"/>
          <w:highlight w:val="none"/>
          <w:lang w:val="zh-CN"/>
        </w:rPr>
        <w:t>、中国政府采购网</w:t>
      </w:r>
      <w:r>
        <w:rPr>
          <w:rFonts w:hint="eastAsia" w:ascii="仿宋" w:hAnsi="仿宋" w:eastAsia="仿宋" w:cs="仿宋"/>
          <w:bCs/>
          <w:color w:val="auto"/>
          <w:sz w:val="24"/>
          <w:highlight w:val="none"/>
        </w:rPr>
        <w:t>（www.ccgp.gov.cn）</w:t>
      </w:r>
      <w:r>
        <w:rPr>
          <w:rFonts w:hint="eastAsia" w:ascii="仿宋" w:hAnsi="仿宋" w:eastAsia="仿宋" w:cs="仿宋"/>
          <w:bCs/>
          <w:color w:val="auto"/>
          <w:sz w:val="24"/>
          <w:highlight w:val="none"/>
          <w:lang w:val="zh-CN"/>
        </w:rPr>
        <w:t>列入失信被执行人、重大税收违法案件当事人名单、政府采购严重违法失信行为记录名单的网页截图并加盖公章</w:t>
      </w:r>
      <w:r>
        <w:rPr>
          <w:rFonts w:hint="eastAsia" w:ascii="仿宋" w:hAnsi="仿宋" w:eastAsia="仿宋" w:cs="仿宋"/>
          <w:bCs/>
          <w:color w:val="auto"/>
          <w:sz w:val="24"/>
          <w:highlight w:val="none"/>
        </w:rPr>
        <w:t xml:space="preserve">；  </w:t>
      </w:r>
    </w:p>
    <w:p w14:paraId="3BF43883">
      <w:pPr>
        <w:spacing w:line="480" w:lineRule="exact"/>
        <w:ind w:firstLine="600" w:firstLineChars="25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color w:val="auto"/>
          <w:sz w:val="24"/>
          <w:szCs w:val="24"/>
          <w:highlight w:val="none"/>
          <w:lang w:val="zh-CN" w:eastAsia="zh-CN"/>
        </w:rPr>
        <w:t>投标保证金缴纳凭证或保函</w:t>
      </w:r>
      <w:r>
        <w:rPr>
          <w:rFonts w:hint="eastAsia" w:ascii="仿宋" w:hAnsi="仿宋" w:eastAsia="仿宋" w:cs="仿宋"/>
          <w:bCs/>
          <w:color w:val="auto"/>
          <w:sz w:val="24"/>
          <w:highlight w:val="none"/>
        </w:rPr>
        <w:t>。</w:t>
      </w:r>
    </w:p>
    <w:p w14:paraId="71084B91">
      <w:pPr>
        <w:spacing w:line="480" w:lineRule="exact"/>
        <w:ind w:firstLine="600" w:firstLineChars="250"/>
        <w:outlineLvl w:val="9"/>
        <w:rPr>
          <w:rFonts w:hint="eastAsia" w:ascii="仿宋" w:hAnsi="仿宋" w:eastAsia="仿宋" w:cs="仿宋"/>
          <w:bCs/>
          <w:color w:val="auto"/>
          <w:sz w:val="24"/>
          <w:highlight w:val="none"/>
        </w:rPr>
      </w:pPr>
      <w:r>
        <w:rPr>
          <w:rFonts w:hint="eastAsia" w:ascii="仿宋" w:hAnsi="仿宋" w:eastAsia="仿宋" w:cs="仿宋"/>
          <w:color w:val="auto"/>
          <w:sz w:val="24"/>
          <w:highlight w:val="none"/>
          <w:lang w:val="en-US" w:eastAsia="zh-CN"/>
        </w:rPr>
        <w:t>4、本项目要求的资质证书</w:t>
      </w:r>
    </w:p>
    <w:p w14:paraId="7BA0AC60">
      <w:pPr>
        <w:spacing w:line="480" w:lineRule="exact"/>
        <w:ind w:firstLine="600" w:firstLineChars="250"/>
        <w:jc w:val="center"/>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（格式自拟）</w:t>
      </w:r>
    </w:p>
    <w:p w14:paraId="69893A6F">
      <w:pPr>
        <w:outlineLvl w:val="9"/>
        <w:rPr>
          <w:rFonts w:hint="eastAsia" w:ascii="仿宋" w:hAnsi="仿宋" w:eastAsia="仿宋" w:cs="仿宋"/>
          <w:b/>
          <w:bCs/>
          <w:color w:val="auto"/>
          <w:sz w:val="28"/>
          <w:szCs w:val="28"/>
          <w:highlight w:val="none"/>
        </w:rPr>
      </w:pPr>
    </w:p>
    <w:p w14:paraId="7E61A51E">
      <w:pPr>
        <w:ind w:firstLine="562"/>
        <w:jc w:val="center"/>
        <w:outlineLvl w:val="9"/>
        <w:rPr>
          <w:rFonts w:hint="eastAsia" w:ascii="仿宋" w:hAnsi="仿宋" w:eastAsia="仿宋" w:cs="仿宋"/>
          <w:b/>
          <w:bCs/>
          <w:color w:val="auto"/>
          <w:sz w:val="28"/>
          <w:szCs w:val="28"/>
          <w:highlight w:val="none"/>
        </w:rPr>
      </w:pPr>
    </w:p>
    <w:p w14:paraId="602A8358">
      <w:pPr>
        <w:ind w:firstLine="562"/>
        <w:jc w:val="center"/>
        <w:outlineLvl w:val="9"/>
        <w:rPr>
          <w:rFonts w:hint="eastAsia" w:ascii="仿宋" w:hAnsi="仿宋" w:eastAsia="仿宋" w:cs="仿宋"/>
          <w:b/>
          <w:bCs/>
          <w:color w:val="auto"/>
          <w:sz w:val="28"/>
          <w:szCs w:val="28"/>
          <w:highlight w:val="none"/>
        </w:rPr>
      </w:pPr>
    </w:p>
    <w:p w14:paraId="0E0F8CA3">
      <w:pPr>
        <w:ind w:firstLine="562"/>
        <w:jc w:val="center"/>
        <w:outlineLvl w:val="9"/>
        <w:rPr>
          <w:rFonts w:hint="eastAsia" w:ascii="仿宋" w:hAnsi="仿宋" w:eastAsia="仿宋" w:cs="仿宋"/>
          <w:b/>
          <w:bCs/>
          <w:color w:val="auto"/>
          <w:sz w:val="28"/>
          <w:szCs w:val="28"/>
          <w:highlight w:val="none"/>
        </w:rPr>
      </w:pPr>
    </w:p>
    <w:p w14:paraId="784C5B48">
      <w:pPr>
        <w:ind w:firstLine="562"/>
        <w:jc w:val="center"/>
        <w:outlineLvl w:val="9"/>
        <w:rPr>
          <w:rFonts w:hint="eastAsia" w:ascii="仿宋" w:hAnsi="仿宋" w:eastAsia="仿宋" w:cs="仿宋"/>
          <w:b/>
          <w:bCs/>
          <w:color w:val="auto"/>
          <w:sz w:val="28"/>
          <w:szCs w:val="28"/>
          <w:highlight w:val="none"/>
        </w:rPr>
      </w:pPr>
    </w:p>
    <w:p w14:paraId="7D4F792B">
      <w:pPr>
        <w:ind w:firstLine="562"/>
        <w:jc w:val="center"/>
        <w:outlineLvl w:val="9"/>
        <w:rPr>
          <w:rFonts w:hint="eastAsia" w:ascii="仿宋" w:hAnsi="仿宋" w:eastAsia="仿宋" w:cs="仿宋"/>
          <w:b/>
          <w:bCs/>
          <w:color w:val="auto"/>
          <w:sz w:val="28"/>
          <w:szCs w:val="28"/>
          <w:highlight w:val="none"/>
        </w:rPr>
      </w:pPr>
    </w:p>
    <w:p w14:paraId="2E24A459">
      <w:pPr>
        <w:ind w:firstLine="562"/>
        <w:jc w:val="center"/>
        <w:outlineLvl w:val="9"/>
        <w:rPr>
          <w:rFonts w:hint="eastAsia" w:ascii="仿宋" w:hAnsi="仿宋" w:eastAsia="仿宋" w:cs="仿宋"/>
          <w:b/>
          <w:bCs/>
          <w:color w:val="auto"/>
          <w:sz w:val="28"/>
          <w:szCs w:val="28"/>
          <w:highlight w:val="none"/>
        </w:rPr>
      </w:pPr>
    </w:p>
    <w:p w14:paraId="4C01151A">
      <w:pPr>
        <w:ind w:firstLine="562"/>
        <w:jc w:val="center"/>
        <w:outlineLvl w:val="9"/>
        <w:rPr>
          <w:rFonts w:hint="eastAsia" w:ascii="仿宋" w:hAnsi="仿宋" w:eastAsia="仿宋" w:cs="仿宋"/>
          <w:b/>
          <w:bCs/>
          <w:color w:val="auto"/>
          <w:sz w:val="28"/>
          <w:szCs w:val="28"/>
          <w:highlight w:val="none"/>
        </w:rPr>
      </w:pPr>
    </w:p>
    <w:p w14:paraId="2669D2DC">
      <w:pPr>
        <w:ind w:firstLine="562"/>
        <w:jc w:val="center"/>
        <w:outlineLvl w:val="9"/>
        <w:rPr>
          <w:rFonts w:hint="eastAsia" w:ascii="仿宋" w:hAnsi="仿宋" w:eastAsia="仿宋" w:cs="仿宋"/>
          <w:b/>
          <w:bCs/>
          <w:color w:val="auto"/>
          <w:sz w:val="28"/>
          <w:szCs w:val="28"/>
          <w:highlight w:val="none"/>
        </w:rPr>
      </w:pPr>
    </w:p>
    <w:p w14:paraId="25DF55C4">
      <w:pPr>
        <w:ind w:firstLine="562"/>
        <w:jc w:val="center"/>
        <w:outlineLvl w:val="9"/>
        <w:rPr>
          <w:rFonts w:hint="eastAsia" w:ascii="仿宋" w:hAnsi="仿宋" w:eastAsia="仿宋" w:cs="仿宋"/>
          <w:b/>
          <w:bCs/>
          <w:color w:val="auto"/>
          <w:sz w:val="28"/>
          <w:szCs w:val="28"/>
          <w:highlight w:val="none"/>
        </w:rPr>
      </w:pPr>
    </w:p>
    <w:p w14:paraId="4B524526">
      <w:pPr>
        <w:ind w:firstLine="562"/>
        <w:jc w:val="center"/>
        <w:outlineLvl w:val="9"/>
        <w:rPr>
          <w:rFonts w:hint="eastAsia" w:ascii="仿宋" w:hAnsi="仿宋" w:eastAsia="仿宋" w:cs="仿宋"/>
          <w:b/>
          <w:bCs/>
          <w:color w:val="auto"/>
          <w:sz w:val="28"/>
          <w:szCs w:val="28"/>
          <w:highlight w:val="none"/>
        </w:rPr>
      </w:pPr>
    </w:p>
    <w:p w14:paraId="43634E6D">
      <w:pPr>
        <w:ind w:firstLine="562"/>
        <w:jc w:val="center"/>
        <w:outlineLvl w:val="9"/>
        <w:rPr>
          <w:rFonts w:hint="eastAsia" w:ascii="仿宋" w:hAnsi="仿宋" w:eastAsia="仿宋" w:cs="仿宋"/>
          <w:b/>
          <w:bCs/>
          <w:color w:val="auto"/>
          <w:sz w:val="28"/>
          <w:szCs w:val="28"/>
          <w:highlight w:val="none"/>
        </w:rPr>
      </w:pPr>
    </w:p>
    <w:p w14:paraId="6AB62C3B">
      <w:pPr>
        <w:ind w:firstLine="562"/>
        <w:jc w:val="center"/>
        <w:outlineLvl w:val="9"/>
        <w:rPr>
          <w:rFonts w:hint="eastAsia" w:ascii="仿宋" w:hAnsi="仿宋" w:eastAsia="仿宋" w:cs="仿宋"/>
          <w:b/>
          <w:bCs/>
          <w:color w:val="auto"/>
          <w:sz w:val="28"/>
          <w:szCs w:val="28"/>
          <w:highlight w:val="none"/>
        </w:rPr>
      </w:pPr>
    </w:p>
    <w:p w14:paraId="123AEC8C">
      <w:pPr>
        <w:ind w:firstLine="562"/>
        <w:jc w:val="center"/>
        <w:outlineLvl w:val="9"/>
        <w:rPr>
          <w:rFonts w:hint="eastAsia" w:ascii="仿宋" w:hAnsi="仿宋" w:eastAsia="仿宋" w:cs="仿宋"/>
          <w:b/>
          <w:bCs/>
          <w:color w:val="auto"/>
          <w:sz w:val="28"/>
          <w:szCs w:val="28"/>
          <w:highlight w:val="none"/>
        </w:rPr>
      </w:pPr>
    </w:p>
    <w:p w14:paraId="234CF640">
      <w:pPr>
        <w:ind w:firstLine="562"/>
        <w:jc w:val="center"/>
        <w:outlineLvl w:val="9"/>
        <w:rPr>
          <w:rFonts w:hint="eastAsia" w:ascii="仿宋" w:hAnsi="仿宋" w:eastAsia="仿宋" w:cs="仿宋"/>
          <w:b/>
          <w:bCs/>
          <w:color w:val="auto"/>
          <w:sz w:val="28"/>
          <w:szCs w:val="28"/>
          <w:highlight w:val="none"/>
        </w:rPr>
      </w:pPr>
    </w:p>
    <w:p w14:paraId="535661BD">
      <w:pPr>
        <w:ind w:firstLine="562"/>
        <w:jc w:val="center"/>
        <w:outlineLvl w:val="9"/>
        <w:rPr>
          <w:rFonts w:hint="eastAsia" w:ascii="仿宋" w:hAnsi="仿宋" w:eastAsia="仿宋" w:cs="仿宋"/>
          <w:b/>
          <w:bCs/>
          <w:color w:val="auto"/>
          <w:sz w:val="28"/>
          <w:szCs w:val="28"/>
          <w:highlight w:val="none"/>
        </w:rPr>
      </w:pPr>
    </w:p>
    <w:p w14:paraId="32C9DAFF">
      <w:pPr>
        <w:outlineLvl w:val="9"/>
        <w:rPr>
          <w:rFonts w:hint="eastAsia" w:ascii="仿宋" w:hAnsi="仿宋" w:eastAsia="仿宋" w:cs="仿宋"/>
          <w:b/>
          <w:bCs/>
          <w:color w:val="auto"/>
          <w:sz w:val="28"/>
          <w:szCs w:val="28"/>
          <w:highlight w:val="none"/>
        </w:rPr>
      </w:pPr>
    </w:p>
    <w:p w14:paraId="4BED2CD6">
      <w:pPr>
        <w:pStyle w:val="8"/>
        <w:outlineLvl w:val="9"/>
        <w:rPr>
          <w:rFonts w:hint="eastAsia" w:ascii="仿宋" w:hAnsi="仿宋" w:eastAsia="仿宋" w:cs="仿宋"/>
          <w:color w:val="auto"/>
          <w:highlight w:val="none"/>
        </w:rPr>
      </w:pPr>
    </w:p>
    <w:p w14:paraId="3231C9D7">
      <w:pPr>
        <w:ind w:firstLine="562"/>
        <w:outlineLvl w:val="9"/>
        <w:rPr>
          <w:rFonts w:hint="eastAsia" w:ascii="仿宋" w:hAnsi="仿宋" w:eastAsia="仿宋" w:cs="仿宋"/>
          <w:b/>
          <w:bCs/>
          <w:color w:val="auto"/>
          <w:sz w:val="28"/>
          <w:szCs w:val="28"/>
          <w:highlight w:val="none"/>
        </w:rPr>
      </w:pPr>
    </w:p>
    <w:p w14:paraId="52202898">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211CEEE4">
      <w:pPr>
        <w:ind w:firstLine="562"/>
        <w:jc w:val="center"/>
        <w:outlineLvl w:val="1"/>
        <w:rPr>
          <w:rFonts w:hint="eastAsia" w:ascii="仿宋" w:hAnsi="仿宋" w:eastAsia="仿宋" w:cs="仿宋"/>
          <w:b/>
          <w:color w:val="auto"/>
          <w:sz w:val="30"/>
          <w:szCs w:val="30"/>
          <w:highlight w:val="none"/>
        </w:rPr>
      </w:pP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5、</w:t>
      </w:r>
      <w:r>
        <w:rPr>
          <w:rFonts w:hint="eastAsia" w:ascii="仿宋" w:hAnsi="仿宋" w:eastAsia="仿宋" w:cs="仿宋"/>
          <w:b/>
          <w:bCs/>
          <w:color w:val="auto"/>
          <w:sz w:val="28"/>
          <w:szCs w:val="28"/>
          <w:highlight w:val="none"/>
        </w:rPr>
        <w:t xml:space="preserve">关于资格的声明函 </w:t>
      </w:r>
    </w:p>
    <w:p w14:paraId="646E523C">
      <w:pPr>
        <w:spacing w:line="440" w:lineRule="exact"/>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致：（采购人）</w:t>
      </w:r>
    </w:p>
    <w:p w14:paraId="1CA195CA">
      <w:pPr>
        <w:spacing w:line="360" w:lineRule="auto"/>
        <w:ind w:firstLine="480" w:firstLineChars="200"/>
        <w:outlineLvl w:val="9"/>
        <w:rPr>
          <w:rFonts w:hint="eastAsia" w:ascii="仿宋" w:hAnsi="仿宋" w:eastAsia="仿宋" w:cs="仿宋"/>
          <w:b/>
          <w:color w:val="auto"/>
          <w:sz w:val="24"/>
          <w:highlight w:val="none"/>
        </w:rPr>
      </w:pPr>
      <w:r>
        <w:rPr>
          <w:rFonts w:hint="eastAsia" w:ascii="仿宋" w:hAnsi="仿宋" w:eastAsia="仿宋" w:cs="仿宋"/>
          <w:color w:val="auto"/>
          <w:sz w:val="24"/>
          <w:highlight w:val="none"/>
        </w:rPr>
        <w:t>关于贵方</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日第（项目编号）公开招标公告关于</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的招标项目，本签字人愿意参加投标，并有能力提供</w:t>
      </w:r>
      <w:r>
        <w:rPr>
          <w:rFonts w:hint="eastAsia" w:ascii="仿宋" w:hAnsi="仿宋" w:eastAsia="仿宋" w:cs="仿宋"/>
          <w:color w:val="auto"/>
          <w:sz w:val="24"/>
          <w:highlight w:val="none"/>
          <w:u w:val="single"/>
        </w:rPr>
        <w:t xml:space="preserve">  （项目名称）    </w:t>
      </w:r>
      <w:r>
        <w:rPr>
          <w:rFonts w:hint="eastAsia" w:ascii="仿宋" w:hAnsi="仿宋" w:eastAsia="仿宋" w:cs="仿宋"/>
          <w:color w:val="auto"/>
          <w:sz w:val="24"/>
          <w:highlight w:val="none"/>
        </w:rPr>
        <w:t>项目中的（</w:t>
      </w:r>
      <w:r>
        <w:rPr>
          <w:rFonts w:hint="eastAsia" w:ascii="仿宋" w:hAnsi="仿宋" w:eastAsia="仿宋" w:cs="仿宋"/>
          <w:color w:val="auto"/>
          <w:sz w:val="24"/>
          <w:highlight w:val="none"/>
          <w:u w:val="single"/>
        </w:rPr>
        <w:t>包号及货物名称）</w:t>
      </w:r>
      <w:r>
        <w:rPr>
          <w:rFonts w:hint="eastAsia" w:ascii="仿宋" w:hAnsi="仿宋" w:eastAsia="仿宋" w:cs="仿宋"/>
          <w:color w:val="auto"/>
          <w:sz w:val="24"/>
          <w:highlight w:val="none"/>
        </w:rPr>
        <w:t>招标货物及相关服务，并保证所提交的所有文件和说明是真实和准确的。</w:t>
      </w:r>
    </w:p>
    <w:p w14:paraId="345B4891">
      <w:pPr>
        <w:pStyle w:val="10"/>
        <w:spacing w:line="360" w:lineRule="auto"/>
        <w:ind w:firstLine="720" w:firstLineChars="3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供应商（盖章）：</w:t>
      </w:r>
      <w:r>
        <w:rPr>
          <w:rFonts w:hint="eastAsia" w:ascii="仿宋" w:hAnsi="仿宋" w:eastAsia="仿宋" w:cs="仿宋"/>
          <w:color w:val="auto"/>
          <w:sz w:val="24"/>
          <w:szCs w:val="24"/>
          <w:highlight w:val="none"/>
          <w:u w:val="single"/>
        </w:rPr>
        <w:t xml:space="preserve">　供应商名称　                         </w:t>
      </w:r>
      <w:r>
        <w:rPr>
          <w:rFonts w:hint="eastAsia" w:ascii="仿宋" w:hAnsi="仿宋" w:eastAsia="仿宋" w:cs="仿宋"/>
          <w:color w:val="auto"/>
          <w:sz w:val="24"/>
          <w:szCs w:val="24"/>
          <w:highlight w:val="none"/>
        </w:rPr>
        <w:t>　　　　</w:t>
      </w:r>
    </w:p>
    <w:p w14:paraId="21A3C300">
      <w:pPr>
        <w:pStyle w:val="10"/>
        <w:spacing w:line="360" w:lineRule="auto"/>
        <w:ind w:firstLine="720" w:firstLineChars="3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授权签署本资格文件人（签字）：</w:t>
      </w:r>
      <w:r>
        <w:rPr>
          <w:rFonts w:hint="eastAsia" w:ascii="仿宋" w:hAnsi="仿宋" w:eastAsia="仿宋" w:cs="仿宋"/>
          <w:color w:val="auto"/>
          <w:sz w:val="24"/>
          <w:szCs w:val="24"/>
          <w:highlight w:val="none"/>
          <w:u w:val="single"/>
        </w:rPr>
        <w:t xml:space="preserve">被授权人姓名             </w:t>
      </w:r>
    </w:p>
    <w:p w14:paraId="2AC83929">
      <w:pPr>
        <w:pStyle w:val="10"/>
        <w:spacing w:line="360" w:lineRule="auto"/>
        <w:ind w:firstLine="720" w:firstLineChars="300"/>
        <w:outlineLvl w:val="9"/>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签字人姓名、职务：</w:t>
      </w:r>
      <w:r>
        <w:rPr>
          <w:rFonts w:hint="eastAsia" w:ascii="仿宋" w:hAnsi="仿宋" w:eastAsia="仿宋" w:cs="仿宋"/>
          <w:color w:val="auto"/>
          <w:sz w:val="24"/>
          <w:szCs w:val="24"/>
          <w:highlight w:val="none"/>
          <w:u w:val="single"/>
        </w:rPr>
        <w:t xml:space="preserve">被授权人姓名、职务                  </w:t>
      </w:r>
    </w:p>
    <w:p w14:paraId="4CBF8457">
      <w:pPr>
        <w:pStyle w:val="10"/>
        <w:spacing w:line="360" w:lineRule="auto"/>
        <w:ind w:firstLine="720" w:firstLineChars="3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 xml:space="preserve">供应商地址                                      </w:t>
      </w:r>
      <w:r>
        <w:rPr>
          <w:rFonts w:hint="eastAsia" w:ascii="仿宋" w:hAnsi="仿宋" w:eastAsia="仿宋" w:cs="仿宋"/>
          <w:color w:val="auto"/>
          <w:sz w:val="24"/>
          <w:szCs w:val="24"/>
          <w:highlight w:val="none"/>
        </w:rPr>
        <w:t>　　　　　　　　　　　　　</w:t>
      </w:r>
    </w:p>
    <w:p w14:paraId="6CE62454">
      <w:pPr>
        <w:pStyle w:val="10"/>
        <w:spacing w:line="360" w:lineRule="auto"/>
        <w:ind w:firstLine="720" w:firstLineChars="3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　电话：　 邮编：　　　　　　　　　</w:t>
      </w:r>
    </w:p>
    <w:p w14:paraId="4862DC90">
      <w:pPr>
        <w:pStyle w:val="10"/>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w:t>
      </w:r>
    </w:p>
    <w:p w14:paraId="6B79FE82">
      <w:pPr>
        <w:pStyle w:val="12"/>
        <w:spacing w:line="360" w:lineRule="auto"/>
        <w:jc w:val="center"/>
        <w:outlineLvl w:val="9"/>
        <w:rPr>
          <w:rFonts w:hint="eastAsia" w:ascii="仿宋" w:hAnsi="仿宋" w:eastAsia="仿宋" w:cs="仿宋"/>
          <w:b/>
          <w:bCs/>
          <w:color w:val="auto"/>
          <w:sz w:val="28"/>
          <w:szCs w:val="28"/>
          <w:highlight w:val="none"/>
        </w:rPr>
      </w:pPr>
      <w:r>
        <w:rPr>
          <w:rFonts w:hint="eastAsia" w:ascii="仿宋" w:hAnsi="仿宋" w:eastAsia="仿宋" w:cs="仿宋"/>
          <w:color w:val="auto"/>
          <w:sz w:val="24"/>
          <w:szCs w:val="24"/>
          <w:highlight w:val="none"/>
        </w:rPr>
        <w:t>　　　　　　　　　　　　　　　　</w:t>
      </w:r>
      <w:r>
        <w:rPr>
          <w:rFonts w:hint="eastAsia" w:ascii="仿宋" w:hAnsi="仿宋" w:eastAsia="仿宋" w:cs="仿宋"/>
          <w:b/>
          <w:color w:val="auto"/>
          <w:sz w:val="24"/>
          <w:szCs w:val="24"/>
          <w:highlight w:val="none"/>
        </w:rPr>
        <w:t>　声明日期：</w:t>
      </w:r>
      <w:r>
        <w:rPr>
          <w:rFonts w:hint="eastAsia" w:ascii="仿宋" w:hAnsi="仿宋" w:eastAsia="仿宋" w:cs="仿宋"/>
          <w:b/>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w:t>
      </w:r>
      <w:r>
        <w:rPr>
          <w:rFonts w:hint="eastAsia" w:ascii="仿宋" w:hAnsi="仿宋" w:eastAsia="仿宋" w:cs="仿宋"/>
          <w:bCs/>
          <w:color w:val="auto"/>
          <w:sz w:val="24"/>
          <w:szCs w:val="24"/>
          <w:highlight w:val="none"/>
        </w:rPr>
        <w:t>年</w:t>
      </w:r>
      <w:r>
        <w:rPr>
          <w:rFonts w:hint="eastAsia" w:ascii="仿宋" w:hAnsi="仿宋" w:eastAsia="仿宋" w:cs="仿宋"/>
          <w:bCs/>
          <w:color w:val="auto"/>
          <w:sz w:val="24"/>
          <w:szCs w:val="24"/>
          <w:highlight w:val="none"/>
          <w:u w:val="single"/>
        </w:rPr>
        <w:t>　</w:t>
      </w:r>
      <w:r>
        <w:rPr>
          <w:rFonts w:hint="eastAsia" w:ascii="仿宋" w:hAnsi="仿宋" w:eastAsia="仿宋" w:cs="仿宋"/>
          <w:bCs/>
          <w:color w:val="auto"/>
          <w:sz w:val="24"/>
          <w:szCs w:val="24"/>
          <w:highlight w:val="none"/>
        </w:rPr>
        <w:t>月</w:t>
      </w:r>
      <w:r>
        <w:rPr>
          <w:rFonts w:hint="eastAsia" w:ascii="仿宋" w:hAnsi="仿宋" w:eastAsia="仿宋" w:cs="仿宋"/>
          <w:bCs/>
          <w:color w:val="auto"/>
          <w:sz w:val="24"/>
          <w:szCs w:val="24"/>
          <w:highlight w:val="none"/>
          <w:u w:val="single"/>
        </w:rPr>
        <w:t>　</w:t>
      </w:r>
      <w:r>
        <w:rPr>
          <w:rFonts w:hint="eastAsia" w:ascii="仿宋" w:hAnsi="仿宋" w:eastAsia="仿宋" w:cs="仿宋"/>
          <w:bCs/>
          <w:color w:val="auto"/>
          <w:sz w:val="24"/>
          <w:szCs w:val="24"/>
          <w:highlight w:val="none"/>
        </w:rPr>
        <w:t>日</w:t>
      </w:r>
    </w:p>
    <w:p w14:paraId="20934BA0">
      <w:pPr>
        <w:spacing w:line="480" w:lineRule="auto"/>
        <w:ind w:firstLine="562"/>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6、</w:t>
      </w:r>
      <w:r>
        <w:rPr>
          <w:rFonts w:hint="eastAsia" w:ascii="仿宋" w:hAnsi="仿宋" w:eastAsia="仿宋" w:cs="仿宋"/>
          <w:b/>
          <w:bCs/>
          <w:color w:val="auto"/>
          <w:sz w:val="28"/>
          <w:szCs w:val="28"/>
          <w:highlight w:val="none"/>
        </w:rPr>
        <w:t>商务条款偏离表</w:t>
      </w:r>
    </w:p>
    <w:p w14:paraId="0610EC36">
      <w:pPr>
        <w:spacing w:line="480" w:lineRule="auto"/>
        <w:outlineLvl w:val="9"/>
        <w:rPr>
          <w:rFonts w:hint="eastAsia" w:ascii="仿宋" w:hAnsi="仿宋" w:eastAsia="仿宋" w:cs="仿宋"/>
          <w:b/>
          <w:color w:val="auto"/>
          <w:szCs w:val="21"/>
          <w:highlight w:val="none"/>
        </w:rPr>
      </w:pPr>
      <w:r>
        <w:rPr>
          <w:rFonts w:hint="eastAsia" w:ascii="仿宋" w:hAnsi="仿宋" w:eastAsia="仿宋" w:cs="仿宋"/>
          <w:b/>
          <w:color w:val="auto"/>
          <w:sz w:val="24"/>
          <w:highlight w:val="none"/>
        </w:rPr>
        <w:t xml:space="preserve">供应商名称（公章）：         　　　　　         项目编号：　   </w:t>
      </w:r>
      <w:r>
        <w:rPr>
          <w:rFonts w:hint="eastAsia" w:ascii="仿宋" w:hAnsi="仿宋" w:eastAsia="仿宋" w:cs="仿宋"/>
          <w:b/>
          <w:color w:val="auto"/>
          <w:szCs w:val="21"/>
          <w:highlight w:val="none"/>
        </w:rPr>
        <w:t>　</w:t>
      </w:r>
    </w:p>
    <w:tbl>
      <w:tblPr>
        <w:tblStyle w:val="25"/>
        <w:tblW w:w="0" w:type="auto"/>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301"/>
        <w:gridCol w:w="2227"/>
        <w:gridCol w:w="1600"/>
        <w:gridCol w:w="1696"/>
      </w:tblGrid>
      <w:tr w14:paraId="7198A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28" w:type="dxa"/>
            <w:noWrap/>
            <w:vAlign w:val="center"/>
          </w:tcPr>
          <w:p w14:paraId="178AF67D">
            <w:pPr>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301" w:type="dxa"/>
            <w:noWrap/>
            <w:vAlign w:val="center"/>
          </w:tcPr>
          <w:p w14:paraId="74D2A707">
            <w:pPr>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招标条款</w:t>
            </w:r>
          </w:p>
        </w:tc>
        <w:tc>
          <w:tcPr>
            <w:tcW w:w="2227" w:type="dxa"/>
            <w:noWrap/>
            <w:vAlign w:val="center"/>
          </w:tcPr>
          <w:p w14:paraId="4DAF38D4">
            <w:pPr>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投标条款</w:t>
            </w:r>
          </w:p>
        </w:tc>
        <w:tc>
          <w:tcPr>
            <w:tcW w:w="1600" w:type="dxa"/>
            <w:noWrap/>
            <w:vAlign w:val="center"/>
          </w:tcPr>
          <w:p w14:paraId="6EA45BDE">
            <w:pPr>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偏离</w:t>
            </w:r>
          </w:p>
        </w:tc>
        <w:tc>
          <w:tcPr>
            <w:tcW w:w="1696" w:type="dxa"/>
            <w:noWrap/>
            <w:vAlign w:val="center"/>
          </w:tcPr>
          <w:p w14:paraId="44E07CC2">
            <w:pPr>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说明</w:t>
            </w:r>
          </w:p>
        </w:tc>
      </w:tr>
      <w:tr w14:paraId="76D51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28" w:type="dxa"/>
            <w:noWrap/>
          </w:tcPr>
          <w:p w14:paraId="3A8C2568">
            <w:pPr>
              <w:outlineLvl w:val="9"/>
              <w:rPr>
                <w:rFonts w:hint="eastAsia" w:ascii="仿宋" w:hAnsi="仿宋" w:eastAsia="仿宋" w:cs="仿宋"/>
                <w:color w:val="auto"/>
                <w:sz w:val="24"/>
                <w:szCs w:val="24"/>
                <w:highlight w:val="none"/>
              </w:rPr>
            </w:pPr>
          </w:p>
        </w:tc>
        <w:tc>
          <w:tcPr>
            <w:tcW w:w="2301" w:type="dxa"/>
            <w:noWrap/>
          </w:tcPr>
          <w:p w14:paraId="10BBEE55">
            <w:pPr>
              <w:outlineLvl w:val="9"/>
              <w:rPr>
                <w:rFonts w:hint="eastAsia" w:ascii="仿宋" w:hAnsi="仿宋" w:eastAsia="仿宋" w:cs="仿宋"/>
                <w:color w:val="auto"/>
                <w:sz w:val="24"/>
                <w:szCs w:val="24"/>
                <w:highlight w:val="none"/>
              </w:rPr>
            </w:pPr>
          </w:p>
        </w:tc>
        <w:tc>
          <w:tcPr>
            <w:tcW w:w="2227" w:type="dxa"/>
            <w:noWrap/>
          </w:tcPr>
          <w:p w14:paraId="36686D74">
            <w:pPr>
              <w:outlineLvl w:val="9"/>
              <w:rPr>
                <w:rFonts w:hint="eastAsia" w:ascii="仿宋" w:hAnsi="仿宋" w:eastAsia="仿宋" w:cs="仿宋"/>
                <w:color w:val="auto"/>
                <w:sz w:val="24"/>
                <w:szCs w:val="24"/>
                <w:highlight w:val="none"/>
              </w:rPr>
            </w:pPr>
          </w:p>
        </w:tc>
        <w:tc>
          <w:tcPr>
            <w:tcW w:w="1600" w:type="dxa"/>
            <w:noWrap/>
          </w:tcPr>
          <w:p w14:paraId="22A1E3DE">
            <w:pPr>
              <w:outlineLvl w:val="9"/>
              <w:rPr>
                <w:rFonts w:hint="eastAsia" w:ascii="仿宋" w:hAnsi="仿宋" w:eastAsia="仿宋" w:cs="仿宋"/>
                <w:color w:val="auto"/>
                <w:sz w:val="24"/>
                <w:szCs w:val="24"/>
                <w:highlight w:val="none"/>
              </w:rPr>
            </w:pPr>
          </w:p>
        </w:tc>
        <w:tc>
          <w:tcPr>
            <w:tcW w:w="1696" w:type="dxa"/>
            <w:noWrap/>
          </w:tcPr>
          <w:p w14:paraId="10425DF2">
            <w:pPr>
              <w:outlineLvl w:val="9"/>
              <w:rPr>
                <w:rFonts w:hint="eastAsia" w:ascii="仿宋" w:hAnsi="仿宋" w:eastAsia="仿宋" w:cs="仿宋"/>
                <w:color w:val="auto"/>
                <w:sz w:val="24"/>
                <w:szCs w:val="24"/>
                <w:highlight w:val="none"/>
              </w:rPr>
            </w:pPr>
          </w:p>
        </w:tc>
      </w:tr>
      <w:tr w14:paraId="285AA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28" w:type="dxa"/>
            <w:noWrap/>
          </w:tcPr>
          <w:p w14:paraId="7C154E5A">
            <w:pPr>
              <w:outlineLvl w:val="9"/>
              <w:rPr>
                <w:rFonts w:hint="eastAsia" w:ascii="仿宋" w:hAnsi="仿宋" w:eastAsia="仿宋" w:cs="仿宋"/>
                <w:color w:val="auto"/>
                <w:sz w:val="24"/>
                <w:szCs w:val="24"/>
                <w:highlight w:val="none"/>
              </w:rPr>
            </w:pPr>
          </w:p>
        </w:tc>
        <w:tc>
          <w:tcPr>
            <w:tcW w:w="2301" w:type="dxa"/>
            <w:noWrap/>
          </w:tcPr>
          <w:p w14:paraId="54E02EAC">
            <w:pPr>
              <w:outlineLvl w:val="9"/>
              <w:rPr>
                <w:rFonts w:hint="eastAsia" w:ascii="仿宋" w:hAnsi="仿宋" w:eastAsia="仿宋" w:cs="仿宋"/>
                <w:color w:val="auto"/>
                <w:sz w:val="24"/>
                <w:szCs w:val="24"/>
                <w:highlight w:val="none"/>
              </w:rPr>
            </w:pPr>
          </w:p>
        </w:tc>
        <w:tc>
          <w:tcPr>
            <w:tcW w:w="2227" w:type="dxa"/>
            <w:noWrap/>
          </w:tcPr>
          <w:p w14:paraId="31D6ACC7">
            <w:pPr>
              <w:outlineLvl w:val="9"/>
              <w:rPr>
                <w:rFonts w:hint="eastAsia" w:ascii="仿宋" w:hAnsi="仿宋" w:eastAsia="仿宋" w:cs="仿宋"/>
                <w:color w:val="auto"/>
                <w:sz w:val="24"/>
                <w:szCs w:val="24"/>
                <w:highlight w:val="none"/>
              </w:rPr>
            </w:pPr>
          </w:p>
        </w:tc>
        <w:tc>
          <w:tcPr>
            <w:tcW w:w="1600" w:type="dxa"/>
            <w:noWrap/>
          </w:tcPr>
          <w:p w14:paraId="6CF915BF">
            <w:pPr>
              <w:outlineLvl w:val="9"/>
              <w:rPr>
                <w:rFonts w:hint="eastAsia" w:ascii="仿宋" w:hAnsi="仿宋" w:eastAsia="仿宋" w:cs="仿宋"/>
                <w:color w:val="auto"/>
                <w:sz w:val="24"/>
                <w:szCs w:val="24"/>
                <w:highlight w:val="none"/>
              </w:rPr>
            </w:pPr>
          </w:p>
        </w:tc>
        <w:tc>
          <w:tcPr>
            <w:tcW w:w="1696" w:type="dxa"/>
            <w:noWrap/>
          </w:tcPr>
          <w:p w14:paraId="20769C26">
            <w:pPr>
              <w:outlineLvl w:val="9"/>
              <w:rPr>
                <w:rFonts w:hint="eastAsia" w:ascii="仿宋" w:hAnsi="仿宋" w:eastAsia="仿宋" w:cs="仿宋"/>
                <w:color w:val="auto"/>
                <w:sz w:val="24"/>
                <w:szCs w:val="24"/>
                <w:highlight w:val="none"/>
              </w:rPr>
            </w:pPr>
          </w:p>
        </w:tc>
      </w:tr>
      <w:tr w14:paraId="19A3C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28" w:type="dxa"/>
            <w:noWrap/>
          </w:tcPr>
          <w:p w14:paraId="07D3A4F0">
            <w:pPr>
              <w:outlineLvl w:val="9"/>
              <w:rPr>
                <w:rFonts w:hint="eastAsia" w:ascii="仿宋" w:hAnsi="仿宋" w:eastAsia="仿宋" w:cs="仿宋"/>
                <w:color w:val="auto"/>
                <w:sz w:val="24"/>
                <w:szCs w:val="24"/>
                <w:highlight w:val="none"/>
              </w:rPr>
            </w:pPr>
          </w:p>
        </w:tc>
        <w:tc>
          <w:tcPr>
            <w:tcW w:w="2301" w:type="dxa"/>
            <w:noWrap/>
          </w:tcPr>
          <w:p w14:paraId="07B7FF49">
            <w:pPr>
              <w:outlineLvl w:val="9"/>
              <w:rPr>
                <w:rFonts w:hint="eastAsia" w:ascii="仿宋" w:hAnsi="仿宋" w:eastAsia="仿宋" w:cs="仿宋"/>
                <w:color w:val="auto"/>
                <w:sz w:val="24"/>
                <w:szCs w:val="24"/>
                <w:highlight w:val="none"/>
              </w:rPr>
            </w:pPr>
          </w:p>
        </w:tc>
        <w:tc>
          <w:tcPr>
            <w:tcW w:w="2227" w:type="dxa"/>
            <w:noWrap/>
          </w:tcPr>
          <w:p w14:paraId="22D0A26B">
            <w:pPr>
              <w:outlineLvl w:val="9"/>
              <w:rPr>
                <w:rFonts w:hint="eastAsia" w:ascii="仿宋" w:hAnsi="仿宋" w:eastAsia="仿宋" w:cs="仿宋"/>
                <w:color w:val="auto"/>
                <w:sz w:val="24"/>
                <w:szCs w:val="24"/>
                <w:highlight w:val="none"/>
              </w:rPr>
            </w:pPr>
          </w:p>
        </w:tc>
        <w:tc>
          <w:tcPr>
            <w:tcW w:w="1600" w:type="dxa"/>
            <w:noWrap/>
          </w:tcPr>
          <w:p w14:paraId="15ADC43A">
            <w:pPr>
              <w:outlineLvl w:val="9"/>
              <w:rPr>
                <w:rFonts w:hint="eastAsia" w:ascii="仿宋" w:hAnsi="仿宋" w:eastAsia="仿宋" w:cs="仿宋"/>
                <w:color w:val="auto"/>
                <w:sz w:val="24"/>
                <w:szCs w:val="24"/>
                <w:highlight w:val="none"/>
              </w:rPr>
            </w:pPr>
          </w:p>
        </w:tc>
        <w:tc>
          <w:tcPr>
            <w:tcW w:w="1696" w:type="dxa"/>
            <w:noWrap/>
          </w:tcPr>
          <w:p w14:paraId="7DA5DF42">
            <w:pPr>
              <w:outlineLvl w:val="9"/>
              <w:rPr>
                <w:rFonts w:hint="eastAsia" w:ascii="仿宋" w:hAnsi="仿宋" w:eastAsia="仿宋" w:cs="仿宋"/>
                <w:color w:val="auto"/>
                <w:sz w:val="24"/>
                <w:szCs w:val="24"/>
                <w:highlight w:val="none"/>
              </w:rPr>
            </w:pPr>
          </w:p>
        </w:tc>
      </w:tr>
    </w:tbl>
    <w:p w14:paraId="7E03A30F">
      <w:pPr>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w:t>
      </w:r>
    </w:p>
    <w:p w14:paraId="74D4F2EE">
      <w:pPr>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供应商代表签字：</w:t>
      </w:r>
      <w:r>
        <w:rPr>
          <w:rFonts w:hint="eastAsia" w:ascii="仿宋" w:hAnsi="仿宋" w:eastAsia="仿宋" w:cs="仿宋"/>
          <w:b/>
          <w:color w:val="auto"/>
          <w:sz w:val="24"/>
          <w:highlight w:val="none"/>
          <w:u w:val="single"/>
        </w:rPr>
        <w:t>　　　　　　　　　　　　　　　</w:t>
      </w:r>
      <w:r>
        <w:rPr>
          <w:rFonts w:hint="eastAsia" w:ascii="仿宋" w:hAnsi="仿宋" w:eastAsia="仿宋" w:cs="仿宋"/>
          <w:b/>
          <w:color w:val="auto"/>
          <w:sz w:val="24"/>
          <w:highlight w:val="none"/>
        </w:rPr>
        <w:t>　</w:t>
      </w:r>
    </w:p>
    <w:p w14:paraId="5BAF97A1">
      <w:pPr>
        <w:outlineLvl w:val="9"/>
        <w:rPr>
          <w:rFonts w:hint="eastAsia" w:ascii="仿宋" w:hAnsi="仿宋" w:eastAsia="仿宋" w:cs="仿宋"/>
          <w:color w:val="auto"/>
          <w:sz w:val="24"/>
          <w:highlight w:val="none"/>
        </w:rPr>
      </w:pPr>
    </w:p>
    <w:p w14:paraId="327DFD4A">
      <w:pPr>
        <w:ind w:firstLine="482" w:firstLineChars="200"/>
        <w:outlineLvl w:val="9"/>
        <w:rPr>
          <w:rFonts w:hint="eastAsia" w:ascii="仿宋" w:hAnsi="仿宋" w:eastAsia="仿宋" w:cs="仿宋"/>
          <w:b/>
          <w:color w:val="auto"/>
          <w:sz w:val="24"/>
          <w:highlight w:val="none"/>
        </w:rPr>
      </w:pPr>
    </w:p>
    <w:p w14:paraId="660515B1">
      <w:pPr>
        <w:pStyle w:val="8"/>
        <w:outlineLvl w:val="9"/>
        <w:rPr>
          <w:rFonts w:hint="eastAsia" w:ascii="仿宋" w:hAnsi="仿宋" w:eastAsia="仿宋" w:cs="仿宋"/>
          <w:color w:val="auto"/>
          <w:highlight w:val="none"/>
        </w:rPr>
      </w:pPr>
    </w:p>
    <w:p w14:paraId="48DD53FA">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52FC0894">
      <w:pPr>
        <w:spacing w:line="480" w:lineRule="auto"/>
        <w:ind w:left="2880" w:hanging="2880"/>
        <w:jc w:val="center"/>
        <w:outlineLvl w:val="1"/>
        <w:rPr>
          <w:rFonts w:hint="eastAsia" w:ascii="仿宋" w:hAnsi="仿宋" w:eastAsia="仿宋" w:cs="仿宋"/>
          <w:b/>
          <w:color w:val="auto"/>
          <w:sz w:val="30"/>
          <w:highlight w:val="none"/>
        </w:rPr>
      </w:pPr>
      <w:r>
        <w:rPr>
          <w:rFonts w:hint="eastAsia" w:ascii="仿宋" w:hAnsi="仿宋" w:eastAsia="仿宋" w:cs="仿宋"/>
          <w:b/>
          <w:bCs/>
          <w:color w:val="auto"/>
          <w:sz w:val="28"/>
          <w:szCs w:val="28"/>
          <w:highlight w:val="none"/>
        </w:rPr>
        <w:t>附件7、</w:t>
      </w:r>
      <w:r>
        <w:rPr>
          <w:rFonts w:hint="eastAsia" w:ascii="仿宋" w:hAnsi="仿宋" w:eastAsia="仿宋" w:cs="仿宋"/>
          <w:b/>
          <w:color w:val="auto"/>
          <w:sz w:val="30"/>
          <w:highlight w:val="none"/>
        </w:rPr>
        <w:t>产品技术参数、功能偏离表</w:t>
      </w:r>
    </w:p>
    <w:p w14:paraId="55090B92">
      <w:pPr>
        <w:spacing w:line="480" w:lineRule="auto"/>
        <w:outlineLvl w:val="9"/>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 xml:space="preserve">供应商名称（公章）：                             招标编号：    </w:t>
      </w:r>
    </w:p>
    <w:tbl>
      <w:tblPr>
        <w:tblStyle w:val="25"/>
        <w:tblW w:w="9024"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
        <w:gridCol w:w="2496"/>
        <w:gridCol w:w="2220"/>
        <w:gridCol w:w="1884"/>
        <w:gridCol w:w="1428"/>
      </w:tblGrid>
      <w:tr w14:paraId="79BD1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996" w:type="dxa"/>
            <w:noWrap/>
            <w:vAlign w:val="center"/>
          </w:tcPr>
          <w:p w14:paraId="28C9D7B6">
            <w:pPr>
              <w:spacing w:line="360" w:lineRule="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496" w:type="dxa"/>
            <w:noWrap/>
            <w:vAlign w:val="center"/>
          </w:tcPr>
          <w:p w14:paraId="2A6F69D5">
            <w:pPr>
              <w:spacing w:line="360" w:lineRule="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招标规格</w:t>
            </w:r>
          </w:p>
        </w:tc>
        <w:tc>
          <w:tcPr>
            <w:tcW w:w="2220" w:type="dxa"/>
            <w:noWrap/>
            <w:vAlign w:val="center"/>
          </w:tcPr>
          <w:p w14:paraId="0D054713">
            <w:pPr>
              <w:spacing w:line="360" w:lineRule="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投标规格</w:t>
            </w:r>
          </w:p>
        </w:tc>
        <w:tc>
          <w:tcPr>
            <w:tcW w:w="1884" w:type="dxa"/>
            <w:noWrap/>
            <w:vAlign w:val="center"/>
          </w:tcPr>
          <w:p w14:paraId="1D8931C2">
            <w:pPr>
              <w:spacing w:line="360" w:lineRule="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偏离</w:t>
            </w:r>
          </w:p>
        </w:tc>
        <w:tc>
          <w:tcPr>
            <w:tcW w:w="1428" w:type="dxa"/>
            <w:noWrap/>
            <w:vAlign w:val="center"/>
          </w:tcPr>
          <w:p w14:paraId="112ECD22">
            <w:pPr>
              <w:spacing w:line="360" w:lineRule="auto"/>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说明</w:t>
            </w:r>
          </w:p>
        </w:tc>
      </w:tr>
      <w:tr w14:paraId="34504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96" w:type="dxa"/>
            <w:noWrap/>
          </w:tcPr>
          <w:p w14:paraId="5EA12292">
            <w:pPr>
              <w:spacing w:line="360" w:lineRule="auto"/>
              <w:outlineLvl w:val="9"/>
              <w:rPr>
                <w:rFonts w:hint="eastAsia" w:ascii="仿宋" w:hAnsi="仿宋" w:eastAsia="仿宋" w:cs="仿宋"/>
                <w:color w:val="auto"/>
                <w:sz w:val="24"/>
                <w:szCs w:val="24"/>
                <w:highlight w:val="none"/>
              </w:rPr>
            </w:pPr>
          </w:p>
        </w:tc>
        <w:tc>
          <w:tcPr>
            <w:tcW w:w="2496" w:type="dxa"/>
            <w:noWrap/>
          </w:tcPr>
          <w:p w14:paraId="2553A3CF">
            <w:pPr>
              <w:spacing w:line="360" w:lineRule="auto"/>
              <w:outlineLvl w:val="9"/>
              <w:rPr>
                <w:rFonts w:hint="eastAsia" w:ascii="仿宋" w:hAnsi="仿宋" w:eastAsia="仿宋" w:cs="仿宋"/>
                <w:color w:val="auto"/>
                <w:sz w:val="24"/>
                <w:szCs w:val="24"/>
                <w:highlight w:val="none"/>
              </w:rPr>
            </w:pPr>
          </w:p>
        </w:tc>
        <w:tc>
          <w:tcPr>
            <w:tcW w:w="2220" w:type="dxa"/>
            <w:noWrap/>
          </w:tcPr>
          <w:p w14:paraId="0A8CB27E">
            <w:pPr>
              <w:spacing w:line="360" w:lineRule="auto"/>
              <w:outlineLvl w:val="9"/>
              <w:rPr>
                <w:rFonts w:hint="eastAsia" w:ascii="仿宋" w:hAnsi="仿宋" w:eastAsia="仿宋" w:cs="仿宋"/>
                <w:color w:val="auto"/>
                <w:sz w:val="24"/>
                <w:szCs w:val="24"/>
                <w:highlight w:val="none"/>
              </w:rPr>
            </w:pPr>
          </w:p>
        </w:tc>
        <w:tc>
          <w:tcPr>
            <w:tcW w:w="1884" w:type="dxa"/>
            <w:noWrap/>
          </w:tcPr>
          <w:p w14:paraId="7ACED113">
            <w:pPr>
              <w:spacing w:line="360" w:lineRule="auto"/>
              <w:outlineLvl w:val="9"/>
              <w:rPr>
                <w:rFonts w:hint="eastAsia" w:ascii="仿宋" w:hAnsi="仿宋" w:eastAsia="仿宋" w:cs="仿宋"/>
                <w:color w:val="auto"/>
                <w:sz w:val="24"/>
                <w:szCs w:val="24"/>
                <w:highlight w:val="none"/>
              </w:rPr>
            </w:pPr>
          </w:p>
        </w:tc>
        <w:tc>
          <w:tcPr>
            <w:tcW w:w="1428" w:type="dxa"/>
            <w:noWrap/>
          </w:tcPr>
          <w:p w14:paraId="26160801">
            <w:pPr>
              <w:spacing w:line="360" w:lineRule="auto"/>
              <w:outlineLvl w:val="9"/>
              <w:rPr>
                <w:rFonts w:hint="eastAsia" w:ascii="仿宋" w:hAnsi="仿宋" w:eastAsia="仿宋" w:cs="仿宋"/>
                <w:color w:val="auto"/>
                <w:sz w:val="24"/>
                <w:szCs w:val="24"/>
                <w:highlight w:val="none"/>
              </w:rPr>
            </w:pPr>
          </w:p>
        </w:tc>
      </w:tr>
      <w:tr w14:paraId="0B0D3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96" w:type="dxa"/>
            <w:noWrap/>
          </w:tcPr>
          <w:p w14:paraId="456A9AA5">
            <w:pPr>
              <w:spacing w:line="360" w:lineRule="auto"/>
              <w:outlineLvl w:val="9"/>
              <w:rPr>
                <w:rFonts w:hint="eastAsia" w:ascii="仿宋" w:hAnsi="仿宋" w:eastAsia="仿宋" w:cs="仿宋"/>
                <w:color w:val="auto"/>
                <w:sz w:val="24"/>
                <w:szCs w:val="24"/>
                <w:highlight w:val="none"/>
              </w:rPr>
            </w:pPr>
          </w:p>
        </w:tc>
        <w:tc>
          <w:tcPr>
            <w:tcW w:w="2496" w:type="dxa"/>
            <w:noWrap/>
          </w:tcPr>
          <w:p w14:paraId="4CA8FEF4">
            <w:pPr>
              <w:spacing w:line="360" w:lineRule="auto"/>
              <w:outlineLvl w:val="9"/>
              <w:rPr>
                <w:rFonts w:hint="eastAsia" w:ascii="仿宋" w:hAnsi="仿宋" w:eastAsia="仿宋" w:cs="仿宋"/>
                <w:color w:val="auto"/>
                <w:sz w:val="24"/>
                <w:szCs w:val="24"/>
                <w:highlight w:val="none"/>
              </w:rPr>
            </w:pPr>
          </w:p>
        </w:tc>
        <w:tc>
          <w:tcPr>
            <w:tcW w:w="2220" w:type="dxa"/>
            <w:noWrap/>
          </w:tcPr>
          <w:p w14:paraId="631BD6DE">
            <w:pPr>
              <w:spacing w:line="360" w:lineRule="auto"/>
              <w:outlineLvl w:val="9"/>
              <w:rPr>
                <w:rFonts w:hint="eastAsia" w:ascii="仿宋" w:hAnsi="仿宋" w:eastAsia="仿宋" w:cs="仿宋"/>
                <w:color w:val="auto"/>
                <w:sz w:val="24"/>
                <w:szCs w:val="24"/>
                <w:highlight w:val="none"/>
              </w:rPr>
            </w:pPr>
          </w:p>
        </w:tc>
        <w:tc>
          <w:tcPr>
            <w:tcW w:w="1884" w:type="dxa"/>
            <w:noWrap/>
          </w:tcPr>
          <w:p w14:paraId="6CECCD5A">
            <w:pPr>
              <w:spacing w:line="360" w:lineRule="auto"/>
              <w:outlineLvl w:val="9"/>
              <w:rPr>
                <w:rFonts w:hint="eastAsia" w:ascii="仿宋" w:hAnsi="仿宋" w:eastAsia="仿宋" w:cs="仿宋"/>
                <w:color w:val="auto"/>
                <w:sz w:val="24"/>
                <w:szCs w:val="24"/>
                <w:highlight w:val="none"/>
              </w:rPr>
            </w:pPr>
          </w:p>
        </w:tc>
        <w:tc>
          <w:tcPr>
            <w:tcW w:w="1428" w:type="dxa"/>
            <w:noWrap/>
          </w:tcPr>
          <w:p w14:paraId="20A59D4C">
            <w:pPr>
              <w:spacing w:line="360" w:lineRule="auto"/>
              <w:outlineLvl w:val="9"/>
              <w:rPr>
                <w:rFonts w:hint="eastAsia" w:ascii="仿宋" w:hAnsi="仿宋" w:eastAsia="仿宋" w:cs="仿宋"/>
                <w:color w:val="auto"/>
                <w:sz w:val="24"/>
                <w:szCs w:val="24"/>
                <w:highlight w:val="none"/>
              </w:rPr>
            </w:pPr>
          </w:p>
        </w:tc>
      </w:tr>
      <w:tr w14:paraId="7B019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996" w:type="dxa"/>
            <w:noWrap/>
          </w:tcPr>
          <w:p w14:paraId="33899E3B">
            <w:pPr>
              <w:spacing w:line="360" w:lineRule="auto"/>
              <w:outlineLvl w:val="9"/>
              <w:rPr>
                <w:rFonts w:hint="eastAsia" w:ascii="仿宋" w:hAnsi="仿宋" w:eastAsia="仿宋" w:cs="仿宋"/>
                <w:color w:val="auto"/>
                <w:sz w:val="24"/>
                <w:szCs w:val="24"/>
                <w:highlight w:val="none"/>
              </w:rPr>
            </w:pPr>
          </w:p>
        </w:tc>
        <w:tc>
          <w:tcPr>
            <w:tcW w:w="2496" w:type="dxa"/>
            <w:noWrap/>
          </w:tcPr>
          <w:p w14:paraId="7C0CCB3E">
            <w:pPr>
              <w:spacing w:line="360" w:lineRule="auto"/>
              <w:outlineLvl w:val="9"/>
              <w:rPr>
                <w:rFonts w:hint="eastAsia" w:ascii="仿宋" w:hAnsi="仿宋" w:eastAsia="仿宋" w:cs="仿宋"/>
                <w:color w:val="auto"/>
                <w:sz w:val="24"/>
                <w:szCs w:val="24"/>
                <w:highlight w:val="none"/>
              </w:rPr>
            </w:pPr>
          </w:p>
        </w:tc>
        <w:tc>
          <w:tcPr>
            <w:tcW w:w="2220" w:type="dxa"/>
            <w:noWrap/>
          </w:tcPr>
          <w:p w14:paraId="3F85945A">
            <w:pPr>
              <w:spacing w:line="360" w:lineRule="auto"/>
              <w:outlineLvl w:val="9"/>
              <w:rPr>
                <w:rFonts w:hint="eastAsia" w:ascii="仿宋" w:hAnsi="仿宋" w:eastAsia="仿宋" w:cs="仿宋"/>
                <w:color w:val="auto"/>
                <w:sz w:val="24"/>
                <w:szCs w:val="24"/>
                <w:highlight w:val="none"/>
              </w:rPr>
            </w:pPr>
          </w:p>
        </w:tc>
        <w:tc>
          <w:tcPr>
            <w:tcW w:w="1884" w:type="dxa"/>
            <w:noWrap/>
          </w:tcPr>
          <w:p w14:paraId="16983D57">
            <w:pPr>
              <w:spacing w:line="360" w:lineRule="auto"/>
              <w:outlineLvl w:val="9"/>
              <w:rPr>
                <w:rFonts w:hint="eastAsia" w:ascii="仿宋" w:hAnsi="仿宋" w:eastAsia="仿宋" w:cs="仿宋"/>
                <w:color w:val="auto"/>
                <w:sz w:val="24"/>
                <w:szCs w:val="24"/>
                <w:highlight w:val="none"/>
              </w:rPr>
            </w:pPr>
          </w:p>
        </w:tc>
        <w:tc>
          <w:tcPr>
            <w:tcW w:w="1428" w:type="dxa"/>
            <w:noWrap/>
          </w:tcPr>
          <w:p w14:paraId="426FEA28">
            <w:pPr>
              <w:spacing w:line="360" w:lineRule="auto"/>
              <w:outlineLvl w:val="9"/>
              <w:rPr>
                <w:rFonts w:hint="eastAsia" w:ascii="仿宋" w:hAnsi="仿宋" w:eastAsia="仿宋" w:cs="仿宋"/>
                <w:color w:val="auto"/>
                <w:sz w:val="24"/>
                <w:szCs w:val="24"/>
                <w:highlight w:val="none"/>
              </w:rPr>
            </w:pPr>
          </w:p>
        </w:tc>
      </w:tr>
    </w:tbl>
    <w:p w14:paraId="2147AFC4">
      <w:pPr>
        <w:spacing w:beforeLines="50" w:line="360" w:lineRule="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注：与招标文件要求逐条对应填写。</w:t>
      </w:r>
    </w:p>
    <w:p w14:paraId="25B42399">
      <w:pPr>
        <w:spacing w:line="360" w:lineRule="auto"/>
        <w:outlineLvl w:val="9"/>
        <w:rPr>
          <w:rFonts w:hint="eastAsia" w:ascii="仿宋" w:hAnsi="仿宋" w:eastAsia="仿宋" w:cs="仿宋"/>
          <w:b/>
          <w:color w:val="auto"/>
          <w:sz w:val="24"/>
          <w:highlight w:val="none"/>
        </w:rPr>
      </w:pPr>
    </w:p>
    <w:p w14:paraId="4436515F">
      <w:pPr>
        <w:spacing w:line="360" w:lineRule="auto"/>
        <w:outlineLvl w:val="9"/>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供应商代表签字：</w:t>
      </w:r>
      <w:r>
        <w:rPr>
          <w:rFonts w:hint="eastAsia" w:ascii="仿宋" w:hAnsi="仿宋" w:eastAsia="仿宋" w:cs="仿宋"/>
          <w:b/>
          <w:color w:val="auto"/>
          <w:sz w:val="24"/>
          <w:highlight w:val="none"/>
          <w:u w:val="single"/>
        </w:rPr>
        <w:t>　　　　　　　　　　</w:t>
      </w:r>
    </w:p>
    <w:p w14:paraId="0C65597E">
      <w:pPr>
        <w:spacing w:afterLines="50" w:line="480" w:lineRule="auto"/>
        <w:ind w:firstLine="0" w:firstLineChars="0"/>
        <w:jc w:val="center"/>
        <w:outlineLvl w:val="1"/>
        <w:rPr>
          <w:rFonts w:hint="eastAsia" w:ascii="仿宋" w:hAnsi="仿宋" w:eastAsia="仿宋" w:cs="仿宋"/>
          <w:b/>
          <w:color w:val="auto"/>
          <w:sz w:val="30"/>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w:t>
      </w:r>
      <w:r>
        <w:rPr>
          <w:rFonts w:hint="eastAsia" w:ascii="仿宋" w:hAnsi="仿宋" w:eastAsia="仿宋" w:cs="仿宋"/>
          <w:b/>
          <w:bCs/>
          <w:color w:val="auto"/>
          <w:sz w:val="28"/>
          <w:szCs w:val="28"/>
          <w:highlight w:val="none"/>
          <w:lang w:val="en-US"/>
        </w:rPr>
        <w:t>8、近三年</w:t>
      </w:r>
      <w:r>
        <w:rPr>
          <w:rFonts w:hint="eastAsia" w:ascii="仿宋" w:hAnsi="仿宋" w:eastAsia="仿宋" w:cs="仿宋"/>
          <w:b/>
          <w:bCs/>
          <w:color w:val="auto"/>
          <w:sz w:val="28"/>
          <w:szCs w:val="28"/>
          <w:highlight w:val="none"/>
          <w:lang w:val="en-US" w:eastAsia="zh-CN"/>
        </w:rPr>
        <w:t>（2022年3月至今）</w:t>
      </w:r>
      <w:r>
        <w:rPr>
          <w:rFonts w:hint="eastAsia" w:ascii="仿宋" w:hAnsi="仿宋" w:eastAsia="仿宋" w:cs="仿宋"/>
          <w:b/>
          <w:bCs/>
          <w:color w:val="auto"/>
          <w:sz w:val="28"/>
          <w:szCs w:val="28"/>
          <w:highlight w:val="none"/>
        </w:rPr>
        <w:t>类似项目业绩情况</w:t>
      </w:r>
    </w:p>
    <w:p w14:paraId="5343A608">
      <w:pPr>
        <w:spacing w:line="480" w:lineRule="auto"/>
        <w:outlineLvl w:val="9"/>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供应商名称（公章）：         　　　　　           项目编号：　　　　　　</w:t>
      </w:r>
    </w:p>
    <w:tbl>
      <w:tblPr>
        <w:tblStyle w:val="2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1620"/>
        <w:gridCol w:w="3060"/>
        <w:gridCol w:w="900"/>
        <w:gridCol w:w="1800"/>
      </w:tblGrid>
      <w:tr w14:paraId="61416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620" w:type="dxa"/>
            <w:noWrap/>
          </w:tcPr>
          <w:p w14:paraId="4F985EE7">
            <w:pPr>
              <w:pStyle w:val="36"/>
              <w:keepNext w:val="0"/>
              <w:keepLines w:val="0"/>
              <w:pageBreakBefore w:val="0"/>
              <w:widowControl w:val="0"/>
              <w:kinsoku/>
              <w:wordWrap/>
              <w:overflowPunct/>
              <w:topLinePunct w:val="0"/>
              <w:bidi w:val="0"/>
              <w:adjustRightInd w:val="0"/>
              <w:snapToGrid w:val="0"/>
              <w:spacing w:line="360" w:lineRule="auto"/>
              <w:jc w:val="center"/>
              <w:textAlignment w:val="auto"/>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地　　区</w:t>
            </w:r>
          </w:p>
        </w:tc>
        <w:tc>
          <w:tcPr>
            <w:tcW w:w="1620" w:type="dxa"/>
            <w:noWrap/>
          </w:tcPr>
          <w:p w14:paraId="0DAB9D33">
            <w:pPr>
              <w:pStyle w:val="36"/>
              <w:keepNext w:val="0"/>
              <w:keepLines w:val="0"/>
              <w:pageBreakBefore w:val="0"/>
              <w:widowControl w:val="0"/>
              <w:kinsoku/>
              <w:wordWrap/>
              <w:overflowPunct/>
              <w:topLinePunct w:val="0"/>
              <w:bidi w:val="0"/>
              <w:adjustRightInd w:val="0"/>
              <w:snapToGrid w:val="0"/>
              <w:spacing w:line="360" w:lineRule="auto"/>
              <w:ind w:right="-107" w:rightChars="-51"/>
              <w:jc w:val="center"/>
              <w:textAlignment w:val="auto"/>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合同名称</w:t>
            </w:r>
          </w:p>
        </w:tc>
        <w:tc>
          <w:tcPr>
            <w:tcW w:w="3060" w:type="dxa"/>
            <w:noWrap/>
          </w:tcPr>
          <w:p w14:paraId="23B6C845">
            <w:pPr>
              <w:pStyle w:val="36"/>
              <w:keepNext w:val="0"/>
              <w:keepLines w:val="0"/>
              <w:pageBreakBefore w:val="0"/>
              <w:widowControl w:val="0"/>
              <w:kinsoku/>
              <w:wordWrap/>
              <w:overflowPunct/>
              <w:topLinePunct w:val="0"/>
              <w:bidi w:val="0"/>
              <w:adjustRightInd w:val="0"/>
              <w:snapToGrid w:val="0"/>
              <w:spacing w:line="360" w:lineRule="auto"/>
              <w:ind w:firstLine="482" w:firstLineChars="200"/>
              <w:textAlignment w:val="auto"/>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规格及型号</w:t>
            </w:r>
          </w:p>
        </w:tc>
        <w:tc>
          <w:tcPr>
            <w:tcW w:w="900" w:type="dxa"/>
            <w:noWrap/>
          </w:tcPr>
          <w:p w14:paraId="247A36EE">
            <w:pPr>
              <w:pStyle w:val="36"/>
              <w:keepNext w:val="0"/>
              <w:keepLines w:val="0"/>
              <w:pageBreakBefore w:val="0"/>
              <w:widowControl w:val="0"/>
              <w:kinsoku/>
              <w:wordWrap/>
              <w:overflowPunct/>
              <w:topLinePunct w:val="0"/>
              <w:bidi w:val="0"/>
              <w:adjustRightInd w:val="0"/>
              <w:snapToGrid w:val="0"/>
              <w:spacing w:line="360" w:lineRule="auto"/>
              <w:jc w:val="center"/>
              <w:textAlignment w:val="auto"/>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金额</w:t>
            </w:r>
          </w:p>
        </w:tc>
        <w:tc>
          <w:tcPr>
            <w:tcW w:w="1800" w:type="dxa"/>
            <w:noWrap/>
          </w:tcPr>
          <w:p w14:paraId="1AC48C89">
            <w:pPr>
              <w:pStyle w:val="36"/>
              <w:keepNext w:val="0"/>
              <w:keepLines w:val="0"/>
              <w:pageBreakBefore w:val="0"/>
              <w:widowControl w:val="0"/>
              <w:kinsoku/>
              <w:wordWrap/>
              <w:overflowPunct/>
              <w:topLinePunct w:val="0"/>
              <w:bidi w:val="0"/>
              <w:adjustRightInd w:val="0"/>
              <w:snapToGrid w:val="0"/>
              <w:spacing w:line="360" w:lineRule="auto"/>
              <w:ind w:firstLine="475" w:firstLineChars="197"/>
              <w:textAlignment w:val="auto"/>
              <w:outlineLvl w:val="9"/>
              <w:rPr>
                <w:rFonts w:hint="eastAsia" w:ascii="仿宋" w:hAnsi="仿宋" w:eastAsia="仿宋" w:cs="仿宋"/>
                <w:b/>
                <w:color w:val="auto"/>
                <w:kern w:val="2"/>
                <w:sz w:val="24"/>
                <w:szCs w:val="24"/>
                <w:highlight w:val="none"/>
              </w:rPr>
            </w:pPr>
            <w:r>
              <w:rPr>
                <w:rFonts w:hint="eastAsia" w:ascii="仿宋" w:hAnsi="仿宋" w:eastAsia="仿宋" w:cs="仿宋"/>
                <w:b/>
                <w:color w:val="auto"/>
                <w:kern w:val="2"/>
                <w:sz w:val="24"/>
                <w:szCs w:val="24"/>
                <w:highlight w:val="none"/>
              </w:rPr>
              <w:t>备 注</w:t>
            </w:r>
          </w:p>
        </w:tc>
      </w:tr>
      <w:tr w14:paraId="03B06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20" w:type="dxa"/>
            <w:noWrap/>
          </w:tcPr>
          <w:p w14:paraId="619CC026">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620" w:type="dxa"/>
            <w:noWrap/>
          </w:tcPr>
          <w:p w14:paraId="00C93085">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3060" w:type="dxa"/>
            <w:noWrap/>
          </w:tcPr>
          <w:p w14:paraId="28035A29">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900" w:type="dxa"/>
            <w:noWrap/>
          </w:tcPr>
          <w:p w14:paraId="6ECB7042">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800" w:type="dxa"/>
            <w:noWrap/>
          </w:tcPr>
          <w:p w14:paraId="4858BA64">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r>
      <w:tr w14:paraId="41FD4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620" w:type="dxa"/>
            <w:noWrap/>
          </w:tcPr>
          <w:p w14:paraId="0ADB0A59">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620" w:type="dxa"/>
            <w:noWrap/>
          </w:tcPr>
          <w:p w14:paraId="7F35E9D9">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3060" w:type="dxa"/>
            <w:noWrap/>
          </w:tcPr>
          <w:p w14:paraId="65DDF2FC">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900" w:type="dxa"/>
            <w:noWrap/>
          </w:tcPr>
          <w:p w14:paraId="65B265AD">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800" w:type="dxa"/>
            <w:noWrap/>
          </w:tcPr>
          <w:p w14:paraId="582CE88E">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r>
      <w:tr w14:paraId="2F854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620" w:type="dxa"/>
            <w:noWrap/>
          </w:tcPr>
          <w:p w14:paraId="0567A7D6">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620" w:type="dxa"/>
            <w:noWrap/>
          </w:tcPr>
          <w:p w14:paraId="6A0CBDED">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3060" w:type="dxa"/>
            <w:noWrap/>
          </w:tcPr>
          <w:p w14:paraId="4463BC2F">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900" w:type="dxa"/>
            <w:noWrap/>
          </w:tcPr>
          <w:p w14:paraId="2F7C6A0D">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800" w:type="dxa"/>
            <w:noWrap/>
          </w:tcPr>
          <w:p w14:paraId="71998612">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r>
      <w:tr w14:paraId="7A688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1620" w:type="dxa"/>
            <w:noWrap/>
          </w:tcPr>
          <w:p w14:paraId="0558A350">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620" w:type="dxa"/>
            <w:noWrap/>
          </w:tcPr>
          <w:p w14:paraId="226A912F">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3060" w:type="dxa"/>
            <w:noWrap/>
          </w:tcPr>
          <w:p w14:paraId="78537259">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900" w:type="dxa"/>
            <w:noWrap/>
          </w:tcPr>
          <w:p w14:paraId="20774081">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c>
          <w:tcPr>
            <w:tcW w:w="1800" w:type="dxa"/>
            <w:noWrap/>
          </w:tcPr>
          <w:p w14:paraId="323B3AD7">
            <w:pPr>
              <w:keepNext w:val="0"/>
              <w:keepLines w:val="0"/>
              <w:pageBreakBefore w:val="0"/>
              <w:widowControl w:val="0"/>
              <w:kinsoku/>
              <w:wordWrap/>
              <w:overflowPunct/>
              <w:topLinePunct w:val="0"/>
              <w:bidi w:val="0"/>
              <w:adjustRightInd w:val="0"/>
              <w:snapToGrid w:val="0"/>
              <w:spacing w:line="480" w:lineRule="exact"/>
              <w:textAlignment w:val="auto"/>
              <w:outlineLvl w:val="9"/>
              <w:rPr>
                <w:rFonts w:hint="eastAsia" w:ascii="仿宋" w:hAnsi="仿宋" w:eastAsia="仿宋" w:cs="仿宋"/>
                <w:color w:val="auto"/>
                <w:sz w:val="24"/>
                <w:szCs w:val="24"/>
                <w:highlight w:val="none"/>
              </w:rPr>
            </w:pPr>
          </w:p>
        </w:tc>
      </w:tr>
    </w:tbl>
    <w:p w14:paraId="082E3995">
      <w:pPr>
        <w:spacing w:line="360" w:lineRule="auto"/>
        <w:outlineLvl w:val="9"/>
        <w:rPr>
          <w:rFonts w:hint="eastAsia" w:ascii="仿宋" w:hAnsi="仿宋" w:eastAsia="仿宋" w:cs="仿宋"/>
          <w:color w:val="auto"/>
          <w:sz w:val="24"/>
          <w:highlight w:val="none"/>
        </w:rPr>
      </w:pPr>
      <w:r>
        <w:rPr>
          <w:rFonts w:hint="eastAsia" w:ascii="仿宋" w:hAnsi="仿宋" w:eastAsia="仿宋" w:cs="仿宋"/>
          <w:b/>
          <w:color w:val="auto"/>
          <w:sz w:val="24"/>
          <w:highlight w:val="none"/>
        </w:rPr>
        <w:t>注：业绩须附有</w:t>
      </w:r>
      <w:r>
        <w:rPr>
          <w:rFonts w:hint="eastAsia" w:ascii="仿宋" w:hAnsi="仿宋" w:eastAsia="仿宋" w:cs="仿宋"/>
          <w:b/>
          <w:color w:val="auto"/>
          <w:sz w:val="24"/>
          <w:highlight w:val="none"/>
          <w:lang w:val="en-US" w:eastAsia="zh-CN"/>
        </w:rPr>
        <w:t>中标通知书及</w:t>
      </w:r>
      <w:r>
        <w:rPr>
          <w:rFonts w:hint="eastAsia" w:ascii="仿宋" w:hAnsi="仿宋" w:eastAsia="仿宋" w:cs="仿宋"/>
          <w:b/>
          <w:color w:val="auto"/>
          <w:sz w:val="24"/>
          <w:highlight w:val="none"/>
        </w:rPr>
        <w:t xml:space="preserve">合同复印件证明。 </w:t>
      </w:r>
    </w:p>
    <w:p w14:paraId="4B829168">
      <w:pPr>
        <w:spacing w:line="480" w:lineRule="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供应商代表签字：</w:t>
      </w:r>
      <w:r>
        <w:rPr>
          <w:rFonts w:hint="eastAsia" w:ascii="仿宋" w:hAnsi="仿宋" w:eastAsia="仿宋" w:cs="仿宋"/>
          <w:b/>
          <w:color w:val="auto"/>
          <w:sz w:val="24"/>
          <w:highlight w:val="none"/>
          <w:u w:val="single"/>
        </w:rPr>
        <w:t>　　　　　　　　　　　　　　　</w:t>
      </w:r>
      <w:r>
        <w:rPr>
          <w:rFonts w:hint="eastAsia" w:ascii="仿宋" w:hAnsi="仿宋" w:eastAsia="仿宋" w:cs="仿宋"/>
          <w:b/>
          <w:color w:val="auto"/>
          <w:sz w:val="24"/>
          <w:highlight w:val="none"/>
        </w:rPr>
        <w:t>　</w:t>
      </w:r>
    </w:p>
    <w:p w14:paraId="6B0AC535">
      <w:pPr>
        <w:pStyle w:val="8"/>
        <w:outlineLvl w:val="9"/>
        <w:rPr>
          <w:rFonts w:hint="eastAsia" w:ascii="仿宋" w:hAnsi="仿宋" w:eastAsia="仿宋" w:cs="仿宋"/>
          <w:color w:val="auto"/>
          <w:highlight w:val="none"/>
        </w:rPr>
      </w:pPr>
    </w:p>
    <w:p w14:paraId="6C45CC60">
      <w:pPr>
        <w:pStyle w:val="8"/>
        <w:outlineLvl w:val="9"/>
        <w:rPr>
          <w:rFonts w:hint="eastAsia" w:ascii="仿宋" w:hAnsi="仿宋" w:eastAsia="仿宋" w:cs="仿宋"/>
          <w:color w:val="auto"/>
          <w:highlight w:val="none"/>
        </w:rPr>
      </w:pPr>
    </w:p>
    <w:p w14:paraId="531F8B18">
      <w:pPr>
        <w:pStyle w:val="8"/>
        <w:outlineLvl w:val="9"/>
        <w:rPr>
          <w:rFonts w:hint="eastAsia" w:ascii="仿宋" w:hAnsi="仿宋" w:eastAsia="仿宋" w:cs="仿宋"/>
          <w:color w:val="auto"/>
          <w:highlight w:val="none"/>
        </w:rPr>
      </w:pPr>
    </w:p>
    <w:p w14:paraId="7DD388BA">
      <w:pPr>
        <w:pStyle w:val="8"/>
        <w:outlineLvl w:val="9"/>
        <w:rPr>
          <w:rFonts w:hint="eastAsia" w:ascii="仿宋" w:hAnsi="仿宋" w:eastAsia="仿宋" w:cs="仿宋"/>
          <w:color w:val="auto"/>
          <w:highlight w:val="none"/>
        </w:rPr>
      </w:pPr>
    </w:p>
    <w:p w14:paraId="4A0496E3">
      <w:pPr>
        <w:pStyle w:val="8"/>
        <w:outlineLvl w:val="9"/>
        <w:rPr>
          <w:rFonts w:hint="eastAsia" w:ascii="仿宋" w:hAnsi="仿宋" w:eastAsia="仿宋" w:cs="仿宋"/>
          <w:color w:val="auto"/>
          <w:highlight w:val="none"/>
        </w:rPr>
      </w:pPr>
    </w:p>
    <w:p w14:paraId="1B2977BC">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6C24B03F">
      <w:pPr>
        <w:spacing w:line="480" w:lineRule="auto"/>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附件9、投标单位（供应商）反商业贿赂承诺书</w:t>
      </w:r>
    </w:p>
    <w:p w14:paraId="31797484">
      <w:pPr>
        <w:spacing w:line="360" w:lineRule="auto"/>
        <w:ind w:firstLine="480" w:firstLineChars="200"/>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我公司承诺在（项目编号、项目名称）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 </w:t>
      </w:r>
    </w:p>
    <w:p w14:paraId="44382CFC">
      <w:pPr>
        <w:spacing w:line="360" w:lineRule="auto"/>
        <w:outlineLvl w:val="9"/>
        <w:rPr>
          <w:rFonts w:hint="eastAsia" w:ascii="仿宋" w:hAnsi="仿宋" w:eastAsia="仿宋" w:cs="仿宋"/>
          <w:bCs/>
          <w:color w:val="auto"/>
          <w:sz w:val="24"/>
          <w:highlight w:val="none"/>
        </w:rPr>
      </w:pPr>
    </w:p>
    <w:p w14:paraId="39F8092C">
      <w:pPr>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公司法人代表签字：</w:t>
      </w:r>
    </w:p>
    <w:p w14:paraId="602B1AB1">
      <w:pPr>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法人授权代表签字：</w:t>
      </w:r>
    </w:p>
    <w:p w14:paraId="1D4C8C74">
      <w:pPr>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项目经办人签字：</w:t>
      </w:r>
    </w:p>
    <w:p w14:paraId="3F840D1F">
      <w:pPr>
        <w:spacing w:line="360" w:lineRule="auto"/>
        <w:jc w:val="right"/>
        <w:outlineLvl w:val="9"/>
        <w:rPr>
          <w:rFonts w:hint="eastAsia" w:ascii="仿宋" w:hAnsi="仿宋" w:eastAsia="仿宋" w:cs="仿宋"/>
          <w:bCs/>
          <w:color w:val="auto"/>
          <w:sz w:val="24"/>
          <w:highlight w:val="none"/>
        </w:rPr>
      </w:pPr>
    </w:p>
    <w:p w14:paraId="545FE554">
      <w:pPr>
        <w:spacing w:line="360" w:lineRule="auto"/>
        <w:outlineLvl w:val="9"/>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承诺日期：  </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 xml:space="preserve">年  </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 xml:space="preserve">月  </w:t>
      </w: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 xml:space="preserve"> 日</w:t>
      </w:r>
    </w:p>
    <w:p w14:paraId="0D7B5F79">
      <w:pPr>
        <w:pStyle w:val="8"/>
        <w:outlineLvl w:val="9"/>
        <w:rPr>
          <w:rFonts w:hint="eastAsia" w:ascii="仿宋" w:hAnsi="仿宋" w:eastAsia="仿宋" w:cs="仿宋"/>
          <w:b/>
          <w:color w:val="auto"/>
          <w:sz w:val="24"/>
          <w:highlight w:val="none"/>
        </w:rPr>
      </w:pPr>
    </w:p>
    <w:p w14:paraId="57AE3616">
      <w:pPr>
        <w:pStyle w:val="8"/>
        <w:outlineLvl w:val="9"/>
        <w:rPr>
          <w:rFonts w:hint="eastAsia" w:ascii="仿宋" w:hAnsi="仿宋" w:eastAsia="仿宋" w:cs="仿宋"/>
          <w:b/>
          <w:color w:val="auto"/>
          <w:sz w:val="24"/>
          <w:highlight w:val="none"/>
        </w:rPr>
      </w:pPr>
    </w:p>
    <w:p w14:paraId="4FE82A61">
      <w:pPr>
        <w:pStyle w:val="8"/>
        <w:outlineLvl w:val="9"/>
        <w:rPr>
          <w:rFonts w:hint="eastAsia" w:ascii="仿宋" w:hAnsi="仿宋" w:eastAsia="仿宋" w:cs="仿宋"/>
          <w:b/>
          <w:color w:val="auto"/>
          <w:sz w:val="24"/>
          <w:highlight w:val="none"/>
        </w:rPr>
      </w:pPr>
    </w:p>
    <w:p w14:paraId="2CC73DA9">
      <w:pPr>
        <w:keepNext w:val="0"/>
        <w:keepLines w:val="0"/>
        <w:pageBreakBefore w:val="0"/>
        <w:widowControl w:val="0"/>
        <w:kinsoku/>
        <w:wordWrap/>
        <w:overflowPunct/>
        <w:topLinePunct w:val="0"/>
        <w:autoSpaceDE/>
        <w:autoSpaceDN/>
        <w:bidi w:val="0"/>
        <w:adjustRightInd/>
        <w:snapToGrid w:val="0"/>
        <w:spacing w:before="0" w:beforeLines="100" w:after="0" w:afterLines="100" w:line="360" w:lineRule="auto"/>
        <w:ind w:firstLine="561"/>
        <w:jc w:val="center"/>
        <w:textAlignment w:val="auto"/>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lang w:val="en-US"/>
        </w:rPr>
        <w:t>附件10、投标承诺书</w:t>
      </w:r>
    </w:p>
    <w:p w14:paraId="7FB1C51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outlineLvl w:val="9"/>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我方承诺接受公开招标文件及澄清修改部分（如有）的全部条款（包括响应文件递交截止时间、保证金、资格条件、评审成交标准以及采购需求等其他所有条款）且无任何异议，现向贵单位提出承诺报价。</w:t>
      </w:r>
    </w:p>
    <w:p w14:paraId="0AF657D9">
      <w:pPr>
        <w:spacing w:line="480" w:lineRule="auto"/>
        <w:ind w:firstLine="480" w:firstLineChars="200"/>
        <w:outlineLvl w:val="9"/>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承诺人：</w:t>
      </w:r>
    </w:p>
    <w:p w14:paraId="46C55F94">
      <w:pPr>
        <w:spacing w:line="480" w:lineRule="auto"/>
        <w:ind w:firstLine="480" w:firstLineChars="200"/>
        <w:outlineLvl w:val="9"/>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eastAsia="zh-CN"/>
        </w:rPr>
        <w:t>供应商（</w:t>
      </w:r>
      <w:r>
        <w:rPr>
          <w:rFonts w:hint="eastAsia" w:ascii="仿宋" w:hAnsi="仿宋" w:eastAsia="仿宋" w:cs="仿宋"/>
          <w:b w:val="0"/>
          <w:bCs/>
          <w:color w:val="auto"/>
          <w:sz w:val="24"/>
          <w:highlight w:val="none"/>
          <w:lang w:val="en-US" w:eastAsia="zh-CN"/>
        </w:rPr>
        <w:t>加盖公章</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w:t>
      </w:r>
    </w:p>
    <w:p w14:paraId="2226FE0C">
      <w:pPr>
        <w:spacing w:line="480" w:lineRule="auto"/>
        <w:ind w:firstLine="480" w:firstLineChars="200"/>
        <w:outlineLvl w:val="9"/>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lang w:val="en-US" w:eastAsia="zh-CN"/>
        </w:rPr>
        <w:t xml:space="preserve">     </w:t>
      </w:r>
      <w:r>
        <w:rPr>
          <w:rFonts w:hint="eastAsia" w:ascii="仿宋" w:hAnsi="仿宋" w:eastAsia="仿宋" w:cs="仿宋"/>
          <w:b w:val="0"/>
          <w:bCs/>
          <w:color w:val="auto"/>
          <w:sz w:val="24"/>
          <w:highlight w:val="none"/>
        </w:rPr>
        <w:t>年</w:t>
      </w:r>
      <w:r>
        <w:rPr>
          <w:rFonts w:hint="eastAsia" w:ascii="仿宋" w:hAnsi="仿宋" w:eastAsia="仿宋" w:cs="仿宋"/>
          <w:b w:val="0"/>
          <w:bCs/>
          <w:color w:val="auto"/>
          <w:sz w:val="24"/>
          <w:highlight w:val="none"/>
          <w:lang w:val="en-US" w:eastAsia="zh-CN"/>
        </w:rPr>
        <w:t xml:space="preserve">    </w:t>
      </w:r>
      <w:r>
        <w:rPr>
          <w:rFonts w:hint="eastAsia" w:ascii="仿宋" w:hAnsi="仿宋" w:eastAsia="仿宋" w:cs="仿宋"/>
          <w:b w:val="0"/>
          <w:bCs/>
          <w:color w:val="auto"/>
          <w:sz w:val="24"/>
          <w:highlight w:val="none"/>
        </w:rPr>
        <w:t>月</w:t>
      </w:r>
      <w:r>
        <w:rPr>
          <w:rFonts w:hint="eastAsia" w:ascii="仿宋" w:hAnsi="仿宋" w:eastAsia="仿宋" w:cs="仿宋"/>
          <w:b w:val="0"/>
          <w:bCs/>
          <w:color w:val="auto"/>
          <w:sz w:val="24"/>
          <w:highlight w:val="none"/>
          <w:lang w:val="en-US" w:eastAsia="zh-CN"/>
        </w:rPr>
        <w:t xml:space="preserve">    </w:t>
      </w:r>
      <w:r>
        <w:rPr>
          <w:rFonts w:hint="eastAsia" w:ascii="仿宋" w:hAnsi="仿宋" w:eastAsia="仿宋" w:cs="仿宋"/>
          <w:b w:val="0"/>
          <w:bCs/>
          <w:color w:val="auto"/>
          <w:sz w:val="24"/>
          <w:highlight w:val="none"/>
        </w:rPr>
        <w:t>日</w:t>
      </w:r>
    </w:p>
    <w:p w14:paraId="16B5A4A9">
      <w:pPr>
        <w:pStyle w:val="8"/>
        <w:outlineLvl w:val="9"/>
        <w:rPr>
          <w:rFonts w:hint="eastAsia" w:ascii="仿宋" w:hAnsi="仿宋" w:eastAsia="仿宋" w:cs="仿宋"/>
          <w:b/>
          <w:color w:val="auto"/>
          <w:sz w:val="24"/>
          <w:highlight w:val="none"/>
        </w:rPr>
      </w:pPr>
    </w:p>
    <w:p w14:paraId="4AB59F5F">
      <w:pPr>
        <w:outlineLvl w:val="9"/>
        <w:rPr>
          <w:rFonts w:hint="eastAsia" w:ascii="仿宋" w:hAnsi="仿宋" w:eastAsia="仿宋" w:cs="仿宋"/>
          <w:b/>
          <w:bCs/>
          <w:color w:val="auto"/>
          <w:sz w:val="28"/>
          <w:szCs w:val="28"/>
          <w:highlight w:val="none"/>
        </w:rPr>
      </w:pPr>
    </w:p>
    <w:p w14:paraId="72D769D7">
      <w:pPr>
        <w:keepNext w:val="0"/>
        <w:keepLines w:val="0"/>
        <w:pageBreakBefore w:val="0"/>
        <w:widowControl w:val="0"/>
        <w:kinsoku/>
        <w:wordWrap/>
        <w:overflowPunct/>
        <w:topLinePunct w:val="0"/>
        <w:autoSpaceDE/>
        <w:autoSpaceDN/>
        <w:bidi w:val="0"/>
        <w:adjustRightInd w:val="0"/>
        <w:snapToGrid w:val="0"/>
        <w:spacing w:before="0" w:beforeLines="50" w:after="0" w:afterLines="50" w:line="360" w:lineRule="auto"/>
        <w:ind w:firstLine="0" w:firstLineChars="0"/>
        <w:jc w:val="center"/>
        <w:textAlignment w:val="auto"/>
        <w:outlineLvl w:val="1"/>
        <w:rPr>
          <w:rFonts w:hint="eastAsia" w:ascii="仿宋" w:hAnsi="仿宋" w:eastAsia="仿宋" w:cs="仿宋"/>
          <w:color w:val="auto"/>
          <w:highlight w:val="none"/>
        </w:rPr>
      </w:pPr>
      <w:r>
        <w:rPr>
          <w:rFonts w:hint="eastAsia" w:ascii="仿宋" w:hAnsi="仿宋" w:eastAsia="仿宋" w:cs="仿宋"/>
          <w:b/>
          <w:bCs/>
          <w:color w:val="auto"/>
          <w:spacing w:val="-11"/>
          <w:sz w:val="28"/>
          <w:szCs w:val="28"/>
          <w:highlight w:val="none"/>
        </w:rPr>
        <w:br w:type="page"/>
      </w:r>
      <w:r>
        <w:rPr>
          <w:rFonts w:hint="eastAsia" w:ascii="仿宋" w:hAnsi="仿宋" w:eastAsia="仿宋" w:cs="仿宋"/>
          <w:b/>
          <w:bCs/>
          <w:color w:val="auto"/>
          <w:sz w:val="28"/>
          <w:szCs w:val="28"/>
          <w:highlight w:val="none"/>
          <w:lang w:val="en-US"/>
        </w:rPr>
        <w:t>附件11、投标单位（供应商）《遵守政府采购相关法律法规承诺书》</w:t>
      </w:r>
    </w:p>
    <w:p w14:paraId="3AF64A6E">
      <w:pPr>
        <w:adjustRightInd w:val="0"/>
        <w:snapToGrid w:val="0"/>
        <w:spacing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我公司承诺在（项目编号、项目名称）采购活动中，严格遵守政府采购相关法律法规，遵循公平竞争的原则，不存在恶意串通的行为，不存在妨碍其他供应商的竞争行为，不存在损害采购人或者其他供应商的合法权益的行为。</w:t>
      </w:r>
    </w:p>
    <w:p w14:paraId="2EEAAAAE">
      <w:pPr>
        <w:adjustRightInd w:val="0"/>
        <w:snapToGrid w:val="0"/>
        <w:spacing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如发生违反政府采购相关法律法规行为，我公司及项目参与人员自愿放弃本次项目的投标、报价资格，并承担相关法律责任。</w:t>
      </w:r>
    </w:p>
    <w:p w14:paraId="320AEC05">
      <w:pPr>
        <w:adjustRightInd w:val="0"/>
        <w:snapToGrid w:val="0"/>
        <w:spacing w:line="480" w:lineRule="auto"/>
        <w:ind w:firstLine="480" w:firstLineChars="200"/>
        <w:outlineLvl w:val="9"/>
        <w:rPr>
          <w:rFonts w:hint="eastAsia" w:ascii="仿宋" w:hAnsi="仿宋" w:eastAsia="仿宋" w:cs="仿宋"/>
          <w:color w:val="auto"/>
          <w:sz w:val="24"/>
          <w:highlight w:val="none"/>
        </w:rPr>
      </w:pPr>
    </w:p>
    <w:p w14:paraId="1F05D276">
      <w:pPr>
        <w:adjustRightInd w:val="0"/>
        <w:snapToGrid w:val="0"/>
        <w:spacing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公司名称：（盖章） </w:t>
      </w:r>
    </w:p>
    <w:p w14:paraId="01B7CCC7">
      <w:pPr>
        <w:adjustRightInd w:val="0"/>
        <w:snapToGrid w:val="0"/>
        <w:spacing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公司法人代表：</w:t>
      </w:r>
    </w:p>
    <w:p w14:paraId="2F6C0B1A">
      <w:pPr>
        <w:adjustRightInd w:val="0"/>
        <w:snapToGrid w:val="0"/>
        <w:spacing w:line="480" w:lineRule="auto"/>
        <w:ind w:firstLine="480" w:firstLineChars="200"/>
        <w:outlineLvl w:val="9"/>
        <w:rPr>
          <w:rFonts w:hint="eastAsia" w:ascii="仿宋" w:hAnsi="仿宋" w:eastAsia="仿宋" w:cs="仿宋"/>
          <w:color w:val="auto"/>
          <w:sz w:val="24"/>
          <w:highlight w:val="none"/>
        </w:rPr>
      </w:pPr>
      <w:r>
        <w:rPr>
          <w:rFonts w:hint="eastAsia" w:ascii="仿宋" w:hAnsi="仿宋" w:eastAsia="仿宋" w:cs="仿宋"/>
          <w:color w:val="auto"/>
          <w:sz w:val="24"/>
          <w:highlight w:val="none"/>
        </w:rPr>
        <w:t>法人授权代表：</w:t>
      </w:r>
    </w:p>
    <w:p w14:paraId="61F0B591">
      <w:pPr>
        <w:adjustRightInd w:val="0"/>
        <w:snapToGrid w:val="0"/>
        <w:spacing w:line="360" w:lineRule="auto"/>
        <w:outlineLvl w:val="9"/>
        <w:rPr>
          <w:rFonts w:hint="eastAsia" w:ascii="仿宋" w:hAnsi="仿宋" w:eastAsia="仿宋" w:cs="仿宋"/>
          <w:color w:val="auto"/>
          <w:highlight w:val="none"/>
        </w:rPr>
      </w:pPr>
    </w:p>
    <w:p w14:paraId="382E8C36">
      <w:pPr>
        <w:pStyle w:val="8"/>
        <w:outlineLvl w:val="9"/>
        <w:rPr>
          <w:rFonts w:hint="eastAsia" w:ascii="仿宋" w:hAnsi="仿宋" w:eastAsia="仿宋" w:cs="仿宋"/>
          <w:b/>
          <w:color w:val="auto"/>
          <w:sz w:val="24"/>
          <w:highlight w:val="none"/>
        </w:rPr>
      </w:pPr>
    </w:p>
    <w:p w14:paraId="14E44329">
      <w:pPr>
        <w:pStyle w:val="8"/>
        <w:outlineLvl w:val="9"/>
        <w:rPr>
          <w:rFonts w:hint="eastAsia" w:ascii="仿宋" w:hAnsi="仿宋" w:eastAsia="仿宋" w:cs="仿宋"/>
          <w:b/>
          <w:color w:val="auto"/>
          <w:sz w:val="24"/>
          <w:highlight w:val="none"/>
        </w:rPr>
      </w:pPr>
    </w:p>
    <w:p w14:paraId="61D06790">
      <w:pPr>
        <w:spacing w:before="55"/>
        <w:ind w:right="2656"/>
        <w:jc w:val="center"/>
        <w:outlineLvl w:val="9"/>
        <w:rPr>
          <w:rFonts w:hint="eastAsia" w:ascii="仿宋" w:hAnsi="仿宋" w:eastAsia="仿宋" w:cs="仿宋"/>
          <w:b/>
          <w:bCs/>
          <w:color w:val="auto"/>
          <w:sz w:val="28"/>
          <w:szCs w:val="28"/>
          <w:highlight w:val="none"/>
        </w:rPr>
      </w:pPr>
    </w:p>
    <w:p w14:paraId="6287986D">
      <w:pPr>
        <w:spacing w:line="360" w:lineRule="auto"/>
        <w:jc w:val="center"/>
        <w:outlineLvl w:val="1"/>
        <w:rPr>
          <w:rFonts w:hint="eastAsia" w:ascii="仿宋" w:hAnsi="仿宋" w:eastAsia="仿宋" w:cs="仿宋"/>
          <w:color w:val="auto"/>
          <w:highlight w:val="none"/>
        </w:rPr>
      </w:pPr>
      <w:r>
        <w:rPr>
          <w:rFonts w:hint="eastAsia" w:ascii="仿宋" w:hAnsi="仿宋" w:eastAsia="仿宋" w:cs="仿宋"/>
          <w:b/>
          <w:bCs/>
          <w:color w:val="auto"/>
          <w:sz w:val="28"/>
          <w:szCs w:val="28"/>
          <w:highlight w:val="none"/>
          <w:lang w:val="zh-CN"/>
        </w:rPr>
        <w:br w:type="page"/>
      </w:r>
      <w:r>
        <w:rPr>
          <w:rFonts w:hint="eastAsia" w:ascii="仿宋" w:hAnsi="仿宋" w:eastAsia="仿宋" w:cs="仿宋"/>
          <w:b/>
          <w:bCs/>
          <w:color w:val="auto"/>
          <w:sz w:val="28"/>
          <w:szCs w:val="28"/>
          <w:highlight w:val="none"/>
          <w:lang w:val="zh-CN"/>
        </w:rPr>
        <w:t>附件</w:t>
      </w:r>
      <w:r>
        <w:rPr>
          <w:rFonts w:hint="eastAsia" w:ascii="仿宋" w:hAnsi="仿宋" w:eastAsia="仿宋" w:cs="仿宋"/>
          <w:b/>
          <w:bCs/>
          <w:color w:val="auto"/>
          <w:sz w:val="28"/>
          <w:szCs w:val="28"/>
          <w:highlight w:val="none"/>
        </w:rPr>
        <w:t>12、中小企业声明函（如有）</w:t>
      </w:r>
    </w:p>
    <w:p w14:paraId="65A817D2">
      <w:pPr>
        <w:pStyle w:val="8"/>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sz w:val="24"/>
          <w:szCs w:val="24"/>
          <w:lang w:val="en-US" w:eastAsia="zh-CN"/>
        </w:rPr>
        <w:t xml:space="preserve"> </w:t>
      </w:r>
      <w:r>
        <w:rPr>
          <w:rFonts w:hint="eastAsia" w:ascii="仿宋" w:hAnsi="仿宋" w:eastAsia="仿宋" w:cs="仿宋"/>
          <w:b w:val="0"/>
          <w:bCs w:val="0"/>
          <w:color w:val="000000"/>
          <w:kern w:val="2"/>
          <w:sz w:val="24"/>
          <w:szCs w:val="24"/>
          <w:lang w:val="en-US" w:eastAsia="zh-CN" w:bidi="ar-SA"/>
        </w:rPr>
        <w:t xml:space="preserve">本公司郑重声明，根据《政府采购促进中小企业发展管理办法》（财库﹝2020﹞46 号）的规定，本公司参加 （单位名称） 的 （项目名称） 采购活动，提供的货物全部由符合政策要求的小微企业制造。相关企业（含联合体中的小微企业、签订分包意向协议的小微企业）的具体情况如下： </w:t>
      </w:r>
    </w:p>
    <w:p w14:paraId="421D6D58">
      <w:pPr>
        <w:pStyle w:val="8"/>
        <w:keepNext w:val="0"/>
        <w:keepLines w:val="0"/>
        <w:pageBreakBefore w:val="0"/>
        <w:widowControl/>
        <w:numPr>
          <w:ilvl w:val="0"/>
          <w:numId w:val="6"/>
        </w:numPr>
        <w:shd w:val="clear" w:color="auto" w:fill="auto"/>
        <w:kinsoku/>
        <w:wordWrap/>
        <w:overflowPunct/>
        <w:topLinePunct w:val="0"/>
        <w:autoSpaceDE/>
        <w:autoSpaceDN/>
        <w:bidi w:val="0"/>
        <w:adjustRightInd w:val="0"/>
        <w:snapToGrid w:val="0"/>
        <w:spacing w:line="360" w:lineRule="auto"/>
        <w:ind w:firstLine="240" w:firstLineChars="100"/>
        <w:textAlignment w:val="auto"/>
        <w:rPr>
          <w:rFonts w:hint="eastAsia" w:ascii="仿宋" w:hAnsi="仿宋" w:eastAsia="仿宋" w:cs="仿宋"/>
          <w:b w:val="0"/>
          <w:bCs w:val="0"/>
          <w:color w:val="000000"/>
          <w:kern w:val="2"/>
          <w:sz w:val="24"/>
          <w:szCs w:val="24"/>
          <w:highlight w:val="none"/>
          <w:u w:val="single"/>
          <w:lang w:val="en-US" w:eastAsia="zh-CN" w:bidi="ar-SA"/>
        </w:rPr>
      </w:pPr>
      <w:r>
        <w:rPr>
          <w:rFonts w:hint="eastAsia" w:ascii="仿宋" w:hAnsi="仿宋" w:eastAsia="仿宋" w:cs="仿宋"/>
          <w:b w:val="0"/>
          <w:bCs w:val="0"/>
          <w:color w:val="000000"/>
          <w:kern w:val="2"/>
          <w:sz w:val="24"/>
          <w:szCs w:val="24"/>
          <w:u w:val="single"/>
          <w:lang w:val="en-US" w:eastAsia="zh-CN" w:bidi="ar-SA"/>
        </w:rPr>
        <w:t xml:space="preserve">       （标的名称</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，属于</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行业；制造商为（企业名称）</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u w:val="non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从业人员</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人，营业收入为</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万元，资产总额为</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 xml:space="preserve">万元，属于（中型企业、小型企业、微型企业）； </w:t>
      </w:r>
    </w:p>
    <w:p w14:paraId="0F41DB86">
      <w:pPr>
        <w:pStyle w:val="8"/>
        <w:keepNext w:val="0"/>
        <w:keepLines w:val="0"/>
        <w:pageBreakBefore w:val="0"/>
        <w:widowControl/>
        <w:numPr>
          <w:ilvl w:val="0"/>
          <w:numId w:val="6"/>
        </w:numPr>
        <w:shd w:val="clear" w:color="auto" w:fill="auto"/>
        <w:kinsoku/>
        <w:wordWrap/>
        <w:overflowPunct/>
        <w:topLinePunct w:val="0"/>
        <w:autoSpaceDE/>
        <w:autoSpaceDN/>
        <w:bidi w:val="0"/>
        <w:adjustRightInd w:val="0"/>
        <w:snapToGrid w:val="0"/>
        <w:spacing w:line="360" w:lineRule="auto"/>
        <w:ind w:firstLine="240" w:firstLineChars="100"/>
        <w:textAlignment w:val="auto"/>
        <w:rPr>
          <w:rFonts w:hint="eastAsia" w:ascii="仿宋" w:hAnsi="仿宋" w:eastAsia="仿宋" w:cs="仿宋"/>
          <w:b w:val="0"/>
          <w:bCs w:val="0"/>
          <w:color w:val="000000"/>
          <w:kern w:val="2"/>
          <w:sz w:val="24"/>
          <w:szCs w:val="24"/>
          <w:highlight w:val="none"/>
          <w:u w:val="single"/>
          <w:lang w:val="en-US" w:eastAsia="zh-CN" w:bidi="ar-SA"/>
        </w:rPr>
      </w:pPr>
      <w:r>
        <w:rPr>
          <w:rFonts w:hint="eastAsia" w:ascii="仿宋" w:hAnsi="仿宋" w:eastAsia="仿宋" w:cs="仿宋"/>
          <w:b w:val="0"/>
          <w:bCs w:val="0"/>
          <w:color w:val="000000"/>
          <w:kern w:val="2"/>
          <w:sz w:val="24"/>
          <w:szCs w:val="24"/>
          <w:highlight w:val="none"/>
          <w:u w:val="single"/>
          <w:lang w:val="en-US" w:eastAsia="zh-CN" w:bidi="ar-SA"/>
        </w:rPr>
        <w:t xml:space="preserve">       （标的名称） </w:t>
      </w:r>
      <w:r>
        <w:rPr>
          <w:rFonts w:hint="eastAsia" w:ascii="仿宋" w:hAnsi="仿宋" w:eastAsia="仿宋" w:cs="仿宋"/>
          <w:b w:val="0"/>
          <w:bCs w:val="0"/>
          <w:color w:val="000000"/>
          <w:kern w:val="2"/>
          <w:sz w:val="24"/>
          <w:szCs w:val="24"/>
          <w:highlight w:val="none"/>
          <w:lang w:val="en-US" w:eastAsia="zh-CN" w:bidi="ar-SA"/>
        </w:rPr>
        <w:t>，属于</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行业；制造商为（企业名称）</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u w:val="non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从业人员</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人，营业收入为</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万元，资产总额为</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 xml:space="preserve">万元，属于（中型企业、小型企业、微型企业）； </w:t>
      </w:r>
    </w:p>
    <w:p w14:paraId="41D7C6A2">
      <w:pPr>
        <w:pStyle w:val="8"/>
        <w:keepNext w:val="0"/>
        <w:keepLines w:val="0"/>
        <w:pageBreakBefore w:val="0"/>
        <w:widowControl/>
        <w:numPr>
          <w:ilvl w:val="0"/>
          <w:numId w:val="6"/>
        </w:numPr>
        <w:shd w:val="clear" w:color="auto" w:fill="auto"/>
        <w:kinsoku/>
        <w:wordWrap/>
        <w:overflowPunct/>
        <w:topLinePunct w:val="0"/>
        <w:autoSpaceDE/>
        <w:autoSpaceDN/>
        <w:bidi w:val="0"/>
        <w:adjustRightInd w:val="0"/>
        <w:snapToGrid w:val="0"/>
        <w:spacing w:line="360" w:lineRule="auto"/>
        <w:ind w:firstLine="240" w:firstLineChars="100"/>
        <w:textAlignment w:val="auto"/>
        <w:rPr>
          <w:rFonts w:hint="eastAsia" w:ascii="仿宋" w:hAnsi="仿宋" w:eastAsia="仿宋" w:cs="仿宋"/>
          <w:b w:val="0"/>
          <w:bCs w:val="0"/>
          <w:color w:val="000000"/>
          <w:kern w:val="2"/>
          <w:sz w:val="24"/>
          <w:szCs w:val="24"/>
          <w:highlight w:val="none"/>
          <w:u w:val="single"/>
          <w:lang w:val="en-US" w:eastAsia="zh-CN" w:bidi="ar-SA"/>
        </w:rPr>
      </w:pPr>
      <w:r>
        <w:rPr>
          <w:rFonts w:hint="eastAsia" w:ascii="仿宋" w:hAnsi="仿宋" w:eastAsia="仿宋" w:cs="仿宋"/>
          <w:b w:val="0"/>
          <w:bCs w:val="0"/>
          <w:color w:val="000000"/>
          <w:kern w:val="2"/>
          <w:sz w:val="24"/>
          <w:szCs w:val="24"/>
          <w:highlight w:val="none"/>
          <w:u w:val="single"/>
          <w:lang w:val="en-US" w:eastAsia="zh-CN" w:bidi="ar-SA"/>
        </w:rPr>
        <w:t xml:space="preserve">       （标的名称） </w:t>
      </w:r>
      <w:r>
        <w:rPr>
          <w:rFonts w:hint="eastAsia" w:ascii="仿宋" w:hAnsi="仿宋" w:eastAsia="仿宋" w:cs="仿宋"/>
          <w:b w:val="0"/>
          <w:bCs w:val="0"/>
          <w:color w:val="000000"/>
          <w:kern w:val="2"/>
          <w:sz w:val="24"/>
          <w:szCs w:val="24"/>
          <w:highlight w:val="none"/>
          <w:lang w:val="en-US" w:eastAsia="zh-CN" w:bidi="ar-SA"/>
        </w:rPr>
        <w:t>，属于</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行业；制造商为（企业名称）</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u w:val="non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从业人员</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人，营业收入为</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万元，资产总额为</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 xml:space="preserve">万元，属于（中型企业、小型企业、微型企业）； </w:t>
      </w:r>
    </w:p>
    <w:p w14:paraId="21C28329">
      <w:pPr>
        <w:pStyle w:val="8"/>
        <w:keepNext w:val="0"/>
        <w:keepLines w:val="0"/>
        <w:pageBreakBefore w:val="0"/>
        <w:widowControl/>
        <w:numPr>
          <w:ilvl w:val="0"/>
          <w:numId w:val="6"/>
        </w:numPr>
        <w:shd w:val="clear" w:color="auto" w:fill="auto"/>
        <w:kinsoku/>
        <w:wordWrap/>
        <w:overflowPunct/>
        <w:topLinePunct w:val="0"/>
        <w:autoSpaceDE/>
        <w:autoSpaceDN/>
        <w:bidi w:val="0"/>
        <w:adjustRightInd w:val="0"/>
        <w:snapToGrid w:val="0"/>
        <w:spacing w:line="360" w:lineRule="auto"/>
        <w:ind w:firstLine="240" w:firstLineChars="100"/>
        <w:textAlignment w:val="auto"/>
        <w:rPr>
          <w:rFonts w:hint="eastAsia" w:ascii="仿宋" w:hAnsi="仿宋" w:eastAsia="仿宋" w:cs="仿宋"/>
          <w:b w:val="0"/>
          <w:bCs w:val="0"/>
          <w:color w:val="000000"/>
          <w:kern w:val="2"/>
          <w:sz w:val="24"/>
          <w:szCs w:val="24"/>
          <w:u w:val="single"/>
          <w:lang w:val="en-US" w:eastAsia="zh-CN" w:bidi="ar-SA"/>
        </w:rPr>
      </w:pPr>
      <w:r>
        <w:rPr>
          <w:rFonts w:hint="eastAsia" w:ascii="仿宋" w:hAnsi="仿宋" w:eastAsia="仿宋" w:cs="仿宋"/>
          <w:b w:val="0"/>
          <w:bCs w:val="0"/>
          <w:color w:val="000000"/>
          <w:kern w:val="2"/>
          <w:sz w:val="24"/>
          <w:szCs w:val="24"/>
          <w:highlight w:val="none"/>
          <w:u w:val="single"/>
          <w:lang w:val="en-US" w:eastAsia="zh-CN" w:bidi="ar-SA"/>
        </w:rPr>
        <w:t xml:space="preserve">       （标的名称） </w:t>
      </w:r>
      <w:r>
        <w:rPr>
          <w:rFonts w:hint="eastAsia" w:ascii="仿宋" w:hAnsi="仿宋" w:eastAsia="仿宋" w:cs="仿宋"/>
          <w:b w:val="0"/>
          <w:bCs w:val="0"/>
          <w:color w:val="000000"/>
          <w:kern w:val="2"/>
          <w:sz w:val="24"/>
          <w:szCs w:val="24"/>
          <w:highlight w:val="none"/>
          <w:lang w:val="en-US" w:eastAsia="zh-CN" w:bidi="ar-SA"/>
        </w:rPr>
        <w:t>，属于</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行业；制造商为（企业名称）</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u w:val="non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从业人员</w:t>
      </w:r>
      <w:r>
        <w:rPr>
          <w:rFonts w:hint="eastAsia" w:ascii="仿宋" w:hAnsi="仿宋" w:eastAsia="仿宋" w:cs="仿宋"/>
          <w:b w:val="0"/>
          <w:bCs w:val="0"/>
          <w:color w:val="000000"/>
          <w:kern w:val="2"/>
          <w:sz w:val="24"/>
          <w:szCs w:val="24"/>
          <w:highlight w:val="none"/>
          <w:u w:val="single"/>
          <w:lang w:val="en-US" w:eastAsia="zh-CN" w:bidi="ar-SA"/>
        </w:rPr>
        <w:t xml:space="preserve">    </w:t>
      </w:r>
      <w:r>
        <w:rPr>
          <w:rFonts w:hint="eastAsia" w:ascii="仿宋" w:hAnsi="仿宋" w:eastAsia="仿宋" w:cs="仿宋"/>
          <w:b w:val="0"/>
          <w:bCs w:val="0"/>
          <w:color w:val="000000"/>
          <w:kern w:val="2"/>
          <w:sz w:val="24"/>
          <w:szCs w:val="24"/>
          <w:highlight w:val="none"/>
          <w:lang w:val="en-US" w:eastAsia="zh-CN" w:bidi="ar-SA"/>
        </w:rPr>
        <w:t>人，营业收入为</w:t>
      </w:r>
      <w:r>
        <w:rPr>
          <w:rFonts w:hint="eastAsia" w:ascii="仿宋" w:hAnsi="仿宋" w:eastAsia="仿宋" w:cs="仿宋"/>
          <w:b w:val="0"/>
          <w:bCs w:val="0"/>
          <w:color w:val="000000"/>
          <w:kern w:val="2"/>
          <w:sz w:val="24"/>
          <w:szCs w:val="24"/>
          <w:u w:val="single"/>
          <w:lang w:val="en-US" w:eastAsia="zh-CN" w:bidi="ar-SA"/>
        </w:rPr>
        <w:t xml:space="preserve">    </w:t>
      </w:r>
      <w:r>
        <w:rPr>
          <w:rFonts w:hint="eastAsia" w:ascii="仿宋" w:hAnsi="仿宋" w:eastAsia="仿宋" w:cs="仿宋"/>
          <w:b w:val="0"/>
          <w:bCs w:val="0"/>
          <w:color w:val="000000"/>
          <w:kern w:val="2"/>
          <w:sz w:val="24"/>
          <w:szCs w:val="24"/>
          <w:lang w:val="en-US" w:eastAsia="zh-CN" w:bidi="ar-SA"/>
        </w:rPr>
        <w:t>万元，资产总额为</w:t>
      </w:r>
      <w:r>
        <w:rPr>
          <w:rFonts w:hint="eastAsia" w:ascii="仿宋" w:hAnsi="仿宋" w:eastAsia="仿宋" w:cs="仿宋"/>
          <w:b w:val="0"/>
          <w:bCs w:val="0"/>
          <w:color w:val="000000"/>
          <w:kern w:val="2"/>
          <w:sz w:val="24"/>
          <w:szCs w:val="24"/>
          <w:u w:val="single"/>
          <w:lang w:val="en-US" w:eastAsia="zh-CN" w:bidi="ar-SA"/>
        </w:rPr>
        <w:t xml:space="preserve">    </w:t>
      </w:r>
      <w:r>
        <w:rPr>
          <w:rFonts w:hint="eastAsia" w:ascii="仿宋" w:hAnsi="仿宋" w:eastAsia="仿宋" w:cs="仿宋"/>
          <w:b w:val="0"/>
          <w:bCs w:val="0"/>
          <w:color w:val="000000"/>
          <w:kern w:val="2"/>
          <w:sz w:val="24"/>
          <w:szCs w:val="24"/>
          <w:lang w:val="en-US" w:eastAsia="zh-CN" w:bidi="ar-SA"/>
        </w:rPr>
        <w:t xml:space="preserve">万元，属于（中型企业、小型企业、微型企业）； </w:t>
      </w:r>
    </w:p>
    <w:p w14:paraId="38A58DED">
      <w:pPr>
        <w:pStyle w:val="8"/>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以上企业，不属于大企业的分支机构，不存在控股股东为大企业的情形，也不存在与大企业的负责人为同一人的情形。</w:t>
      </w:r>
    </w:p>
    <w:p w14:paraId="6E1BE052">
      <w:pPr>
        <w:pStyle w:val="8"/>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 xml:space="preserve">本企业对上述声明内容的真实性负责。如有虚假，将依法承担相应责任。 </w:t>
      </w:r>
    </w:p>
    <w:p w14:paraId="6C05E752">
      <w:pPr>
        <w:pStyle w:val="8"/>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5040" w:firstLineChars="2100"/>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 xml:space="preserve">企业名称（盖章）： </w:t>
      </w:r>
    </w:p>
    <w:p w14:paraId="7BA762A1">
      <w:pPr>
        <w:pStyle w:val="8"/>
        <w:keepNext w:val="0"/>
        <w:keepLines w:val="0"/>
        <w:pageBreakBefore w:val="0"/>
        <w:widowControl/>
        <w:shd w:val="clear" w:color="auto" w:fill="auto"/>
        <w:kinsoku/>
        <w:wordWrap/>
        <w:overflowPunct/>
        <w:topLinePunct w:val="0"/>
        <w:autoSpaceDE/>
        <w:autoSpaceDN/>
        <w:bidi w:val="0"/>
        <w:adjustRightInd w:val="0"/>
        <w:snapToGrid w:val="0"/>
        <w:spacing w:line="360" w:lineRule="auto"/>
        <w:ind w:firstLine="5280" w:firstLineChars="2200"/>
        <w:textAlignment w:val="auto"/>
        <w:rPr>
          <w:rFonts w:hint="eastAsia" w:ascii="仿宋" w:hAnsi="仿宋" w:eastAsia="仿宋" w:cs="仿宋"/>
          <w:b w:val="0"/>
          <w:bCs w:val="0"/>
          <w:color w:val="000000"/>
          <w:kern w:val="2"/>
          <w:sz w:val="24"/>
          <w:szCs w:val="24"/>
          <w:lang w:val="en-US" w:eastAsia="zh-CN" w:bidi="ar-SA"/>
        </w:rPr>
      </w:pPr>
      <w:r>
        <w:rPr>
          <w:rFonts w:hint="eastAsia" w:ascii="仿宋" w:hAnsi="仿宋" w:eastAsia="仿宋" w:cs="仿宋"/>
          <w:b w:val="0"/>
          <w:bCs w:val="0"/>
          <w:color w:val="000000"/>
          <w:kern w:val="2"/>
          <w:sz w:val="24"/>
          <w:szCs w:val="24"/>
          <w:lang w:val="en-US" w:eastAsia="zh-CN" w:bidi="ar-SA"/>
        </w:rPr>
        <w:t xml:space="preserve">日  期： </w:t>
      </w:r>
    </w:p>
    <w:p w14:paraId="5EC7B165">
      <w:pPr>
        <w:outlineLvl w:val="9"/>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说明:</w:t>
      </w:r>
    </w:p>
    <w:p w14:paraId="5102E20B">
      <w:pPr>
        <w:numPr>
          <w:ilvl w:val="0"/>
          <w:numId w:val="7"/>
        </w:numPr>
        <w:outlineLvl w:val="9"/>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响应供应商认为其为中小企业的应提交本函，并明确企业类型，否则评审时不能享受相应的价格扣除。</w:t>
      </w:r>
    </w:p>
    <w:p w14:paraId="06DFC905">
      <w:pPr>
        <w:numPr>
          <w:ilvl w:val="0"/>
          <w:numId w:val="7"/>
        </w:numPr>
        <w:ind w:left="0" w:leftChars="0" w:firstLine="0" w:firstLineChars="0"/>
        <w:outlineLvl w:val="9"/>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响应供应商提供其他小型或微型企业提供服务时，应同时提供《中小企业声明函》，否则评审时不能享受相应的价格扣除。</w:t>
      </w:r>
    </w:p>
    <w:p w14:paraId="062439BA">
      <w:pPr>
        <w:numPr>
          <w:ilvl w:val="0"/>
          <w:numId w:val="8"/>
        </w:numPr>
        <w:ind w:leftChars="0"/>
        <w:outlineLvl w:val="9"/>
        <w:rPr>
          <w:rFonts w:hint="eastAsia" w:ascii="仿宋" w:hAnsi="仿宋" w:eastAsia="仿宋" w:cs="仿宋"/>
          <w:color w:val="auto"/>
          <w:kern w:val="0"/>
          <w:sz w:val="24"/>
          <w:szCs w:val="24"/>
          <w:highlight w:val="none"/>
          <w:lang w:val="en-GB"/>
        </w:rPr>
      </w:pPr>
      <w:r>
        <w:rPr>
          <w:rFonts w:hint="eastAsia" w:ascii="仿宋" w:hAnsi="仿宋" w:eastAsia="仿宋" w:cs="仿宋"/>
          <w:color w:val="auto"/>
          <w:kern w:val="0"/>
          <w:sz w:val="24"/>
          <w:szCs w:val="24"/>
          <w:highlight w:val="none"/>
          <w:lang w:val="en-GB"/>
        </w:rPr>
        <w:t>采购项目包含多种标的物的，货物制造商的相关信息应全部列入《中小企业声明函》，并由 投标人出具并加盖投标人公章。</w:t>
      </w:r>
    </w:p>
    <w:p w14:paraId="31AC34D6">
      <w:pPr>
        <w:numPr>
          <w:ilvl w:val="0"/>
          <w:numId w:val="8"/>
        </w:numPr>
        <w:ind w:left="0" w:leftChars="0" w:firstLine="0" w:firstLineChars="0"/>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GB"/>
        </w:rPr>
        <w:t>若投标人所供货物不是由中小企业制造，请勿提交《中小企业声明函》。</w:t>
      </w:r>
    </w:p>
    <w:p w14:paraId="7B859A59">
      <w:pPr>
        <w:numPr>
          <w:ilvl w:val="0"/>
          <w:numId w:val="0"/>
        </w:numPr>
        <w:ind w:leftChars="0"/>
        <w:outlineLvl w:val="9"/>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GB"/>
        </w:rPr>
        <w:t>5.此声明函将随中标结果同时公告，接受社会监督。</w:t>
      </w:r>
    </w:p>
    <w:p w14:paraId="4D92F63F">
      <w:pPr>
        <w:outlineLvl w:val="9"/>
        <w:rPr>
          <w:rFonts w:hint="eastAsia" w:ascii="仿宋" w:hAnsi="仿宋" w:eastAsia="仿宋" w:cs="仿宋"/>
          <w:color w:val="auto"/>
          <w:highlight w:val="none"/>
        </w:rPr>
      </w:pPr>
    </w:p>
    <w:p w14:paraId="283C2CE9">
      <w:pPr>
        <w:pStyle w:val="8"/>
        <w:outlineLvl w:val="9"/>
        <w:rPr>
          <w:rFonts w:hint="eastAsia" w:ascii="仿宋" w:hAnsi="仿宋" w:eastAsia="仿宋" w:cs="仿宋"/>
          <w:color w:val="auto"/>
          <w:highlight w:val="none"/>
        </w:rPr>
      </w:pPr>
    </w:p>
    <w:p w14:paraId="5C4006B9">
      <w:pPr>
        <w:rPr>
          <w:rFonts w:hint="eastAsia" w:ascii="仿宋" w:hAnsi="仿宋" w:eastAsia="仿宋" w:cs="仿宋"/>
          <w:b/>
          <w:bCs/>
          <w:color w:val="auto"/>
          <w:sz w:val="32"/>
          <w:szCs w:val="40"/>
          <w:highlight w:val="none"/>
        </w:rPr>
      </w:pPr>
      <w:bookmarkStart w:id="5" w:name="监狱企业的证明文件（如有）"/>
      <w:bookmarkEnd w:id="5"/>
      <w:bookmarkStart w:id="6" w:name="_Toc14160"/>
      <w:r>
        <w:rPr>
          <w:rFonts w:hint="eastAsia" w:ascii="仿宋" w:hAnsi="仿宋" w:eastAsia="仿宋" w:cs="仿宋"/>
          <w:b/>
          <w:bCs/>
          <w:color w:val="auto"/>
          <w:sz w:val="32"/>
          <w:szCs w:val="40"/>
          <w:highlight w:val="none"/>
        </w:rPr>
        <w:br w:type="page"/>
      </w:r>
    </w:p>
    <w:p w14:paraId="7297676E">
      <w:pPr>
        <w:jc w:val="center"/>
        <w:outlineLvl w:val="9"/>
        <w:rPr>
          <w:rFonts w:hint="eastAsia" w:ascii="仿宋" w:hAnsi="仿宋" w:eastAsia="仿宋" w:cs="仿宋"/>
          <w:color w:val="auto"/>
          <w:sz w:val="32"/>
          <w:szCs w:val="40"/>
          <w:highlight w:val="none"/>
        </w:rPr>
      </w:pPr>
      <w:r>
        <w:rPr>
          <w:rFonts w:hint="eastAsia" w:ascii="仿宋" w:hAnsi="仿宋" w:eastAsia="仿宋" w:cs="仿宋"/>
          <w:b/>
          <w:bCs/>
          <w:color w:val="auto"/>
          <w:sz w:val="32"/>
          <w:szCs w:val="40"/>
          <w:highlight w:val="none"/>
        </w:rPr>
        <w:t>监狱企业的证明文件（如有</w:t>
      </w:r>
      <w:r>
        <w:rPr>
          <w:rFonts w:hint="eastAsia" w:ascii="仿宋" w:hAnsi="仿宋" w:eastAsia="仿宋" w:cs="仿宋"/>
          <w:color w:val="auto"/>
          <w:sz w:val="32"/>
          <w:szCs w:val="40"/>
          <w:highlight w:val="none"/>
        </w:rPr>
        <w:t>）</w:t>
      </w:r>
      <w:bookmarkEnd w:id="6"/>
    </w:p>
    <w:p w14:paraId="0A18EF22">
      <w:pPr>
        <w:outlineLvl w:val="9"/>
        <w:rPr>
          <w:rFonts w:hint="eastAsia" w:ascii="仿宋" w:hAnsi="仿宋" w:eastAsia="仿宋" w:cs="仿宋"/>
          <w:color w:val="auto"/>
          <w:highlight w:val="none"/>
        </w:rPr>
      </w:pPr>
    </w:p>
    <w:p w14:paraId="3E688F40">
      <w:pPr>
        <w:ind w:firstLine="480" w:firstLineChars="200"/>
        <w:outlineLvl w:val="9"/>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说明：监狱企业参加政府采购活动时，应当提供由省级以上监狱管理局、戒毒管理局（含新疆生产建设兵团）出具的属于监狱企业的证明文件，并加盖响应供应商单位公章。</w:t>
      </w:r>
    </w:p>
    <w:p w14:paraId="6FF77C66">
      <w:pPr>
        <w:pStyle w:val="8"/>
        <w:outlineLvl w:val="9"/>
        <w:rPr>
          <w:rFonts w:hint="eastAsia" w:ascii="仿宋" w:hAnsi="仿宋" w:eastAsia="仿宋" w:cs="仿宋"/>
          <w:color w:val="auto"/>
          <w:highlight w:val="none"/>
        </w:rPr>
      </w:pPr>
      <w:bookmarkStart w:id="7" w:name="残疾人福利性单位声明函（如有）"/>
      <w:bookmarkEnd w:id="7"/>
      <w:bookmarkStart w:id="8" w:name="_Toc25968"/>
    </w:p>
    <w:p w14:paraId="2F008BF4">
      <w:pPr>
        <w:pStyle w:val="8"/>
        <w:outlineLvl w:val="9"/>
        <w:rPr>
          <w:rFonts w:hint="eastAsia" w:ascii="仿宋" w:hAnsi="仿宋" w:eastAsia="仿宋" w:cs="仿宋"/>
          <w:color w:val="auto"/>
          <w:highlight w:val="none"/>
        </w:rPr>
      </w:pPr>
    </w:p>
    <w:p w14:paraId="0E62B615">
      <w:pPr>
        <w:pStyle w:val="8"/>
        <w:outlineLvl w:val="9"/>
        <w:rPr>
          <w:rFonts w:hint="eastAsia" w:ascii="仿宋" w:hAnsi="仿宋" w:eastAsia="仿宋" w:cs="仿宋"/>
          <w:color w:val="auto"/>
          <w:highlight w:val="none"/>
        </w:rPr>
      </w:pPr>
    </w:p>
    <w:p w14:paraId="609ED41D">
      <w:pPr>
        <w:jc w:val="center"/>
        <w:outlineLvl w:val="9"/>
        <w:rPr>
          <w:rFonts w:hint="eastAsia" w:ascii="仿宋" w:hAnsi="仿宋" w:eastAsia="仿宋" w:cs="仿宋"/>
          <w:b/>
          <w:bCs/>
          <w:color w:val="auto"/>
          <w:sz w:val="32"/>
          <w:szCs w:val="40"/>
          <w:highlight w:val="none"/>
        </w:rPr>
      </w:pPr>
    </w:p>
    <w:p w14:paraId="6D942CEB">
      <w:pPr>
        <w:jc w:val="center"/>
        <w:outlineLvl w:val="9"/>
        <w:rPr>
          <w:rFonts w:hint="eastAsia" w:ascii="仿宋" w:hAnsi="仿宋" w:eastAsia="仿宋" w:cs="仿宋"/>
          <w:b/>
          <w:bCs/>
          <w:color w:val="auto"/>
          <w:sz w:val="32"/>
          <w:szCs w:val="40"/>
          <w:highlight w:val="none"/>
        </w:rPr>
      </w:pPr>
    </w:p>
    <w:p w14:paraId="77573823">
      <w:pPr>
        <w:jc w:val="center"/>
        <w:outlineLvl w:val="9"/>
        <w:rPr>
          <w:rFonts w:hint="eastAsia" w:ascii="仿宋" w:hAnsi="仿宋" w:eastAsia="仿宋" w:cs="仿宋"/>
          <w:b/>
          <w:bCs/>
          <w:color w:val="auto"/>
          <w:sz w:val="32"/>
          <w:szCs w:val="40"/>
          <w:highlight w:val="none"/>
        </w:rPr>
      </w:pPr>
    </w:p>
    <w:p w14:paraId="4E6AC030">
      <w:pPr>
        <w:jc w:val="center"/>
        <w:outlineLvl w:val="9"/>
        <w:rPr>
          <w:rFonts w:hint="eastAsia" w:ascii="仿宋" w:hAnsi="仿宋" w:eastAsia="仿宋" w:cs="仿宋"/>
          <w:b/>
          <w:bCs/>
          <w:color w:val="auto"/>
          <w:sz w:val="32"/>
          <w:szCs w:val="40"/>
          <w:highlight w:val="none"/>
        </w:rPr>
      </w:pPr>
      <w:r>
        <w:rPr>
          <w:rFonts w:hint="eastAsia" w:ascii="仿宋" w:hAnsi="仿宋" w:eastAsia="仿宋" w:cs="仿宋"/>
          <w:b/>
          <w:bCs/>
          <w:color w:val="auto"/>
          <w:sz w:val="32"/>
          <w:szCs w:val="40"/>
          <w:highlight w:val="none"/>
        </w:rPr>
        <w:t>残疾人福利性单位声明函（如有）</w:t>
      </w:r>
      <w:bookmarkEnd w:id="8"/>
    </w:p>
    <w:p w14:paraId="42B654ED">
      <w:pPr>
        <w:outlineLvl w:val="9"/>
        <w:rPr>
          <w:rFonts w:hint="eastAsia" w:ascii="仿宋" w:hAnsi="仿宋" w:eastAsia="仿宋" w:cs="仿宋"/>
          <w:color w:val="auto"/>
          <w:highlight w:val="none"/>
        </w:rPr>
      </w:pPr>
    </w:p>
    <w:p w14:paraId="02EB3D6B">
      <w:pPr>
        <w:ind w:firstLine="536" w:firstLineChars="200"/>
        <w:outlineLvl w:val="9"/>
        <w:rPr>
          <w:rFonts w:hint="eastAsia" w:ascii="仿宋" w:hAnsi="仿宋" w:eastAsia="仿宋" w:cs="仿宋"/>
          <w:color w:val="auto"/>
          <w:sz w:val="24"/>
          <w:szCs w:val="32"/>
          <w:highlight w:val="none"/>
        </w:rPr>
      </w:pPr>
      <w:r>
        <w:rPr>
          <w:rFonts w:hint="eastAsia" w:ascii="仿宋" w:hAnsi="仿宋" w:eastAsia="仿宋" w:cs="仿宋"/>
          <w:color w:val="auto"/>
          <w:spacing w:val="14"/>
          <w:sz w:val="24"/>
          <w:szCs w:val="32"/>
          <w:highlight w:val="none"/>
        </w:rPr>
        <w:t>本</w:t>
      </w:r>
      <w:r>
        <w:rPr>
          <w:rFonts w:hint="eastAsia" w:ascii="仿宋" w:hAnsi="仿宋" w:eastAsia="仿宋" w:cs="仿宋"/>
          <w:color w:val="auto"/>
          <w:spacing w:val="12"/>
          <w:sz w:val="24"/>
          <w:szCs w:val="32"/>
          <w:highlight w:val="none"/>
        </w:rPr>
        <w:t>单</w:t>
      </w:r>
      <w:r>
        <w:rPr>
          <w:rFonts w:hint="eastAsia" w:ascii="仿宋" w:hAnsi="仿宋" w:eastAsia="仿宋" w:cs="仿宋"/>
          <w:color w:val="auto"/>
          <w:spacing w:val="14"/>
          <w:sz w:val="24"/>
          <w:szCs w:val="32"/>
          <w:highlight w:val="none"/>
        </w:rPr>
        <w:t>位</w:t>
      </w:r>
      <w:r>
        <w:rPr>
          <w:rFonts w:hint="eastAsia" w:ascii="仿宋" w:hAnsi="仿宋" w:eastAsia="仿宋" w:cs="仿宋"/>
          <w:color w:val="auto"/>
          <w:spacing w:val="12"/>
          <w:sz w:val="24"/>
          <w:szCs w:val="32"/>
          <w:highlight w:val="none"/>
        </w:rPr>
        <w:t>郑</w:t>
      </w:r>
      <w:r>
        <w:rPr>
          <w:rFonts w:hint="eastAsia" w:ascii="仿宋" w:hAnsi="仿宋" w:eastAsia="仿宋" w:cs="仿宋"/>
          <w:color w:val="auto"/>
          <w:spacing w:val="14"/>
          <w:sz w:val="24"/>
          <w:szCs w:val="32"/>
          <w:highlight w:val="none"/>
        </w:rPr>
        <w:t>重</w:t>
      </w:r>
      <w:r>
        <w:rPr>
          <w:rFonts w:hint="eastAsia" w:ascii="仿宋" w:hAnsi="仿宋" w:eastAsia="仿宋" w:cs="仿宋"/>
          <w:color w:val="auto"/>
          <w:spacing w:val="12"/>
          <w:sz w:val="24"/>
          <w:szCs w:val="32"/>
          <w:highlight w:val="none"/>
        </w:rPr>
        <w:t>声</w:t>
      </w:r>
      <w:r>
        <w:rPr>
          <w:rFonts w:hint="eastAsia" w:ascii="仿宋" w:hAnsi="仿宋" w:eastAsia="仿宋" w:cs="仿宋"/>
          <w:color w:val="auto"/>
          <w:spacing w:val="14"/>
          <w:sz w:val="24"/>
          <w:szCs w:val="32"/>
          <w:highlight w:val="none"/>
        </w:rPr>
        <w:t>明，</w:t>
      </w:r>
      <w:r>
        <w:rPr>
          <w:rFonts w:hint="eastAsia" w:ascii="仿宋" w:hAnsi="仿宋" w:eastAsia="仿宋" w:cs="仿宋"/>
          <w:color w:val="auto"/>
          <w:spacing w:val="12"/>
          <w:sz w:val="24"/>
          <w:szCs w:val="32"/>
          <w:highlight w:val="none"/>
        </w:rPr>
        <w:t>根</w:t>
      </w:r>
      <w:r>
        <w:rPr>
          <w:rFonts w:hint="eastAsia" w:ascii="仿宋" w:hAnsi="仿宋" w:eastAsia="仿宋" w:cs="仿宋"/>
          <w:color w:val="auto"/>
          <w:spacing w:val="14"/>
          <w:sz w:val="24"/>
          <w:szCs w:val="32"/>
          <w:highlight w:val="none"/>
        </w:rPr>
        <w:t>据</w:t>
      </w:r>
      <w:r>
        <w:rPr>
          <w:rFonts w:hint="eastAsia" w:ascii="仿宋" w:hAnsi="仿宋" w:eastAsia="仿宋" w:cs="仿宋"/>
          <w:color w:val="auto"/>
          <w:spacing w:val="12"/>
          <w:sz w:val="24"/>
          <w:szCs w:val="32"/>
          <w:highlight w:val="none"/>
        </w:rPr>
        <w:t>《</w:t>
      </w:r>
      <w:r>
        <w:rPr>
          <w:rFonts w:hint="eastAsia" w:ascii="仿宋" w:hAnsi="仿宋" w:eastAsia="仿宋" w:cs="仿宋"/>
          <w:color w:val="auto"/>
          <w:spacing w:val="14"/>
          <w:sz w:val="24"/>
          <w:szCs w:val="32"/>
          <w:highlight w:val="none"/>
        </w:rPr>
        <w:t>财政</w:t>
      </w:r>
      <w:r>
        <w:rPr>
          <w:rFonts w:hint="eastAsia" w:ascii="仿宋" w:hAnsi="仿宋" w:eastAsia="仿宋" w:cs="仿宋"/>
          <w:color w:val="auto"/>
          <w:sz w:val="24"/>
          <w:szCs w:val="32"/>
          <w:highlight w:val="none"/>
        </w:rPr>
        <w:t>部</w:t>
      </w:r>
      <w:r>
        <w:rPr>
          <w:rFonts w:hint="eastAsia" w:ascii="仿宋" w:hAnsi="仿宋" w:eastAsia="仿宋" w:cs="仿宋"/>
          <w:color w:val="auto"/>
          <w:spacing w:val="14"/>
          <w:sz w:val="24"/>
          <w:szCs w:val="32"/>
          <w:highlight w:val="none"/>
        </w:rPr>
        <w:t>民</w:t>
      </w:r>
      <w:r>
        <w:rPr>
          <w:rFonts w:hint="eastAsia" w:ascii="仿宋" w:hAnsi="仿宋" w:eastAsia="仿宋" w:cs="仿宋"/>
          <w:color w:val="auto"/>
          <w:spacing w:val="12"/>
          <w:sz w:val="24"/>
          <w:szCs w:val="32"/>
          <w:highlight w:val="none"/>
        </w:rPr>
        <w:t>政</w:t>
      </w:r>
      <w:r>
        <w:rPr>
          <w:rFonts w:hint="eastAsia" w:ascii="仿宋" w:hAnsi="仿宋" w:eastAsia="仿宋" w:cs="仿宋"/>
          <w:color w:val="auto"/>
          <w:sz w:val="24"/>
          <w:szCs w:val="32"/>
          <w:highlight w:val="none"/>
        </w:rPr>
        <w:t>部</w:t>
      </w:r>
      <w:r>
        <w:rPr>
          <w:rFonts w:hint="eastAsia" w:ascii="仿宋" w:hAnsi="仿宋" w:eastAsia="仿宋" w:cs="仿宋"/>
          <w:color w:val="auto"/>
          <w:spacing w:val="14"/>
          <w:sz w:val="24"/>
          <w:szCs w:val="32"/>
          <w:highlight w:val="none"/>
        </w:rPr>
        <w:t>中</w:t>
      </w:r>
      <w:r>
        <w:rPr>
          <w:rFonts w:hint="eastAsia" w:ascii="仿宋" w:hAnsi="仿宋" w:eastAsia="仿宋" w:cs="仿宋"/>
          <w:color w:val="auto"/>
          <w:spacing w:val="12"/>
          <w:sz w:val="24"/>
          <w:szCs w:val="32"/>
          <w:highlight w:val="none"/>
        </w:rPr>
        <w:t>国</w:t>
      </w:r>
      <w:r>
        <w:rPr>
          <w:rFonts w:hint="eastAsia" w:ascii="仿宋" w:hAnsi="仿宋" w:eastAsia="仿宋" w:cs="仿宋"/>
          <w:color w:val="auto"/>
          <w:spacing w:val="14"/>
          <w:sz w:val="24"/>
          <w:szCs w:val="32"/>
          <w:highlight w:val="none"/>
        </w:rPr>
        <w:t>残</w:t>
      </w:r>
      <w:r>
        <w:rPr>
          <w:rFonts w:hint="eastAsia" w:ascii="仿宋" w:hAnsi="仿宋" w:eastAsia="仿宋" w:cs="仿宋"/>
          <w:color w:val="auto"/>
          <w:spacing w:val="12"/>
          <w:sz w:val="24"/>
          <w:szCs w:val="32"/>
          <w:highlight w:val="none"/>
        </w:rPr>
        <w:t>疾</w:t>
      </w:r>
      <w:r>
        <w:rPr>
          <w:rFonts w:hint="eastAsia" w:ascii="仿宋" w:hAnsi="仿宋" w:eastAsia="仿宋" w:cs="仿宋"/>
          <w:color w:val="auto"/>
          <w:spacing w:val="14"/>
          <w:sz w:val="24"/>
          <w:szCs w:val="32"/>
          <w:highlight w:val="none"/>
        </w:rPr>
        <w:t>人</w:t>
      </w:r>
      <w:r>
        <w:rPr>
          <w:rFonts w:hint="eastAsia" w:ascii="仿宋" w:hAnsi="仿宋" w:eastAsia="仿宋" w:cs="仿宋"/>
          <w:color w:val="auto"/>
          <w:spacing w:val="12"/>
          <w:sz w:val="24"/>
          <w:szCs w:val="32"/>
          <w:highlight w:val="none"/>
        </w:rPr>
        <w:t>联</w:t>
      </w:r>
      <w:r>
        <w:rPr>
          <w:rFonts w:hint="eastAsia" w:ascii="仿宋" w:hAnsi="仿宋" w:eastAsia="仿宋" w:cs="仿宋"/>
          <w:color w:val="auto"/>
          <w:spacing w:val="14"/>
          <w:sz w:val="24"/>
          <w:szCs w:val="32"/>
          <w:highlight w:val="none"/>
        </w:rPr>
        <w:t>合会</w:t>
      </w:r>
      <w:r>
        <w:rPr>
          <w:rFonts w:hint="eastAsia" w:ascii="仿宋" w:hAnsi="仿宋" w:eastAsia="仿宋" w:cs="仿宋"/>
          <w:color w:val="auto"/>
          <w:spacing w:val="12"/>
          <w:sz w:val="24"/>
          <w:szCs w:val="32"/>
          <w:highlight w:val="none"/>
        </w:rPr>
        <w:t>关</w:t>
      </w:r>
      <w:r>
        <w:rPr>
          <w:rFonts w:hint="eastAsia" w:ascii="仿宋" w:hAnsi="仿宋" w:eastAsia="仿宋" w:cs="仿宋"/>
          <w:color w:val="auto"/>
          <w:spacing w:val="14"/>
          <w:sz w:val="24"/>
          <w:szCs w:val="32"/>
          <w:highlight w:val="none"/>
        </w:rPr>
        <w:t>于</w:t>
      </w:r>
      <w:r>
        <w:rPr>
          <w:rFonts w:hint="eastAsia" w:ascii="仿宋" w:hAnsi="仿宋" w:eastAsia="仿宋" w:cs="仿宋"/>
          <w:color w:val="auto"/>
          <w:spacing w:val="12"/>
          <w:sz w:val="24"/>
          <w:szCs w:val="32"/>
          <w:highlight w:val="none"/>
        </w:rPr>
        <w:t>促</w:t>
      </w:r>
      <w:r>
        <w:rPr>
          <w:rFonts w:hint="eastAsia" w:ascii="仿宋" w:hAnsi="仿宋" w:eastAsia="仿宋" w:cs="仿宋"/>
          <w:color w:val="auto"/>
          <w:spacing w:val="14"/>
          <w:sz w:val="24"/>
          <w:szCs w:val="32"/>
          <w:highlight w:val="none"/>
        </w:rPr>
        <w:t>进残</w:t>
      </w:r>
      <w:r>
        <w:rPr>
          <w:rFonts w:hint="eastAsia" w:ascii="仿宋" w:hAnsi="仿宋" w:eastAsia="仿宋" w:cs="仿宋"/>
          <w:color w:val="auto"/>
          <w:spacing w:val="12"/>
          <w:sz w:val="24"/>
          <w:szCs w:val="32"/>
          <w:highlight w:val="none"/>
        </w:rPr>
        <w:t>疾</w:t>
      </w:r>
      <w:r>
        <w:rPr>
          <w:rFonts w:hint="eastAsia" w:ascii="仿宋" w:hAnsi="仿宋" w:eastAsia="仿宋" w:cs="仿宋"/>
          <w:color w:val="auto"/>
          <w:spacing w:val="14"/>
          <w:sz w:val="24"/>
          <w:szCs w:val="32"/>
          <w:highlight w:val="none"/>
        </w:rPr>
        <w:t>人</w:t>
      </w:r>
      <w:r>
        <w:rPr>
          <w:rFonts w:hint="eastAsia" w:ascii="仿宋" w:hAnsi="仿宋" w:eastAsia="仿宋" w:cs="仿宋"/>
          <w:color w:val="auto"/>
          <w:spacing w:val="12"/>
          <w:sz w:val="24"/>
          <w:szCs w:val="32"/>
          <w:highlight w:val="none"/>
        </w:rPr>
        <w:t>就</w:t>
      </w:r>
      <w:r>
        <w:rPr>
          <w:rFonts w:hint="eastAsia" w:ascii="仿宋" w:hAnsi="仿宋" w:eastAsia="仿宋" w:cs="仿宋"/>
          <w:color w:val="auto"/>
          <w:spacing w:val="14"/>
          <w:sz w:val="24"/>
          <w:szCs w:val="32"/>
          <w:highlight w:val="none"/>
        </w:rPr>
        <w:t>业</w:t>
      </w:r>
      <w:r>
        <w:rPr>
          <w:rFonts w:hint="eastAsia" w:ascii="仿宋" w:hAnsi="仿宋" w:eastAsia="仿宋" w:cs="仿宋"/>
          <w:color w:val="auto"/>
          <w:sz w:val="24"/>
          <w:szCs w:val="32"/>
          <w:highlight w:val="none"/>
        </w:rPr>
        <w:t>政</w:t>
      </w:r>
      <w:r>
        <w:rPr>
          <w:rFonts w:hint="eastAsia" w:ascii="仿宋" w:hAnsi="仿宋" w:eastAsia="仿宋" w:cs="仿宋"/>
          <w:color w:val="auto"/>
          <w:spacing w:val="14"/>
          <w:sz w:val="24"/>
          <w:szCs w:val="32"/>
          <w:highlight w:val="none"/>
        </w:rPr>
        <w:t>府采购</w:t>
      </w:r>
      <w:r>
        <w:rPr>
          <w:rFonts w:hint="eastAsia" w:ascii="仿宋" w:hAnsi="仿宋" w:eastAsia="仿宋" w:cs="仿宋"/>
          <w:color w:val="auto"/>
          <w:spacing w:val="12"/>
          <w:sz w:val="24"/>
          <w:szCs w:val="32"/>
          <w:highlight w:val="none"/>
        </w:rPr>
        <w:t>政</w:t>
      </w:r>
      <w:r>
        <w:rPr>
          <w:rFonts w:hint="eastAsia" w:ascii="仿宋" w:hAnsi="仿宋" w:eastAsia="仿宋" w:cs="仿宋"/>
          <w:color w:val="auto"/>
          <w:spacing w:val="14"/>
          <w:sz w:val="24"/>
          <w:szCs w:val="32"/>
          <w:highlight w:val="none"/>
        </w:rPr>
        <w:t>策的通知》（</w:t>
      </w:r>
      <w:r>
        <w:rPr>
          <w:rFonts w:hint="eastAsia" w:ascii="仿宋" w:hAnsi="仿宋" w:eastAsia="仿宋" w:cs="仿宋"/>
          <w:color w:val="auto"/>
          <w:spacing w:val="12"/>
          <w:sz w:val="24"/>
          <w:szCs w:val="32"/>
          <w:highlight w:val="none"/>
        </w:rPr>
        <w:t>财</w:t>
      </w:r>
      <w:r>
        <w:rPr>
          <w:rFonts w:hint="eastAsia" w:ascii="仿宋" w:hAnsi="仿宋" w:eastAsia="仿宋" w:cs="仿宋"/>
          <w:color w:val="auto"/>
          <w:spacing w:val="14"/>
          <w:sz w:val="24"/>
          <w:szCs w:val="32"/>
          <w:highlight w:val="none"/>
        </w:rPr>
        <w:t>库</w:t>
      </w:r>
      <w:r>
        <w:rPr>
          <w:rFonts w:hint="eastAsia" w:ascii="仿宋" w:hAnsi="仿宋" w:eastAsia="仿宋" w:cs="仿宋"/>
          <w:color w:val="auto"/>
          <w:sz w:val="24"/>
          <w:szCs w:val="32"/>
          <w:highlight w:val="none"/>
        </w:rPr>
        <w:t>〔2017〕141</w:t>
      </w:r>
      <w:r>
        <w:rPr>
          <w:rFonts w:hint="eastAsia" w:ascii="仿宋" w:hAnsi="仿宋" w:eastAsia="仿宋" w:cs="仿宋"/>
          <w:color w:val="auto"/>
          <w:spacing w:val="14"/>
          <w:sz w:val="24"/>
          <w:szCs w:val="32"/>
          <w:highlight w:val="none"/>
        </w:rPr>
        <w:t>号）的</w:t>
      </w:r>
      <w:r>
        <w:rPr>
          <w:rFonts w:hint="eastAsia" w:ascii="仿宋" w:hAnsi="仿宋" w:eastAsia="仿宋" w:cs="仿宋"/>
          <w:color w:val="auto"/>
          <w:spacing w:val="12"/>
          <w:sz w:val="24"/>
          <w:szCs w:val="32"/>
          <w:highlight w:val="none"/>
        </w:rPr>
        <w:t>规</w:t>
      </w:r>
      <w:r>
        <w:rPr>
          <w:rFonts w:hint="eastAsia" w:ascii="仿宋" w:hAnsi="仿宋" w:eastAsia="仿宋" w:cs="仿宋"/>
          <w:color w:val="auto"/>
          <w:spacing w:val="14"/>
          <w:sz w:val="24"/>
          <w:szCs w:val="32"/>
          <w:highlight w:val="none"/>
        </w:rPr>
        <w:t>定，本单位为</w:t>
      </w:r>
      <w:r>
        <w:rPr>
          <w:rFonts w:hint="eastAsia" w:ascii="仿宋" w:hAnsi="仿宋" w:eastAsia="仿宋" w:cs="仿宋"/>
          <w:color w:val="auto"/>
          <w:spacing w:val="12"/>
          <w:sz w:val="24"/>
          <w:szCs w:val="32"/>
          <w:highlight w:val="none"/>
        </w:rPr>
        <w:t>符</w:t>
      </w:r>
      <w:r>
        <w:rPr>
          <w:rFonts w:hint="eastAsia" w:ascii="仿宋" w:hAnsi="仿宋" w:eastAsia="仿宋" w:cs="仿宋"/>
          <w:color w:val="auto"/>
          <w:spacing w:val="14"/>
          <w:sz w:val="24"/>
          <w:szCs w:val="32"/>
          <w:highlight w:val="none"/>
        </w:rPr>
        <w:t>合条件的残疾</w:t>
      </w:r>
      <w:r>
        <w:rPr>
          <w:rFonts w:hint="eastAsia" w:ascii="仿宋" w:hAnsi="仿宋" w:eastAsia="仿宋" w:cs="仿宋"/>
          <w:color w:val="auto"/>
          <w:spacing w:val="12"/>
          <w:sz w:val="24"/>
          <w:szCs w:val="32"/>
          <w:highlight w:val="none"/>
        </w:rPr>
        <w:t>人</w:t>
      </w:r>
      <w:r>
        <w:rPr>
          <w:rFonts w:hint="eastAsia" w:ascii="仿宋" w:hAnsi="仿宋" w:eastAsia="仿宋" w:cs="仿宋"/>
          <w:color w:val="auto"/>
          <w:spacing w:val="14"/>
          <w:sz w:val="24"/>
          <w:szCs w:val="32"/>
          <w:highlight w:val="none"/>
        </w:rPr>
        <w:t>福</w:t>
      </w:r>
      <w:r>
        <w:rPr>
          <w:rFonts w:hint="eastAsia" w:ascii="仿宋" w:hAnsi="仿宋" w:eastAsia="仿宋" w:cs="仿宋"/>
          <w:color w:val="auto"/>
          <w:sz w:val="24"/>
          <w:szCs w:val="32"/>
          <w:highlight w:val="none"/>
        </w:rPr>
        <w:t>利</w:t>
      </w:r>
      <w:r>
        <w:rPr>
          <w:rFonts w:hint="eastAsia" w:ascii="仿宋" w:hAnsi="仿宋" w:eastAsia="仿宋" w:cs="仿宋"/>
          <w:color w:val="auto"/>
          <w:spacing w:val="14"/>
          <w:sz w:val="24"/>
          <w:szCs w:val="32"/>
          <w:highlight w:val="none"/>
        </w:rPr>
        <w:t>性单</w:t>
      </w:r>
      <w:r>
        <w:rPr>
          <w:rFonts w:hint="eastAsia" w:ascii="仿宋" w:hAnsi="仿宋" w:eastAsia="仿宋" w:cs="仿宋"/>
          <w:color w:val="auto"/>
          <w:spacing w:val="12"/>
          <w:sz w:val="24"/>
          <w:szCs w:val="32"/>
          <w:highlight w:val="none"/>
        </w:rPr>
        <w:t>位</w:t>
      </w:r>
      <w:r>
        <w:rPr>
          <w:rFonts w:hint="eastAsia" w:ascii="仿宋" w:hAnsi="仿宋" w:eastAsia="仿宋" w:cs="仿宋"/>
          <w:color w:val="auto"/>
          <w:spacing w:val="14"/>
          <w:sz w:val="24"/>
          <w:szCs w:val="32"/>
          <w:highlight w:val="none"/>
        </w:rPr>
        <w:t>，且本</w:t>
      </w:r>
      <w:r>
        <w:rPr>
          <w:rFonts w:hint="eastAsia" w:ascii="仿宋" w:hAnsi="仿宋" w:eastAsia="仿宋" w:cs="仿宋"/>
          <w:color w:val="auto"/>
          <w:spacing w:val="12"/>
          <w:sz w:val="24"/>
          <w:szCs w:val="32"/>
          <w:highlight w:val="none"/>
        </w:rPr>
        <w:t>单</w:t>
      </w:r>
      <w:r>
        <w:rPr>
          <w:rFonts w:hint="eastAsia" w:ascii="仿宋" w:hAnsi="仿宋" w:eastAsia="仿宋" w:cs="仿宋"/>
          <w:color w:val="auto"/>
          <w:spacing w:val="14"/>
          <w:sz w:val="24"/>
          <w:szCs w:val="32"/>
          <w:highlight w:val="none"/>
        </w:rPr>
        <w:t>位参加</w:t>
      </w:r>
      <w:r>
        <w:rPr>
          <w:rFonts w:hint="eastAsia" w:ascii="仿宋" w:hAnsi="仿宋" w:eastAsia="仿宋" w:cs="仿宋"/>
          <w:color w:val="auto"/>
          <w:spacing w:val="6"/>
          <w:sz w:val="24"/>
          <w:szCs w:val="32"/>
          <w:highlight w:val="none"/>
        </w:rPr>
        <w:t>______</w:t>
      </w:r>
      <w:r>
        <w:rPr>
          <w:rFonts w:hint="eastAsia" w:ascii="仿宋" w:hAnsi="仿宋" w:eastAsia="仿宋" w:cs="仿宋"/>
          <w:color w:val="auto"/>
          <w:spacing w:val="14"/>
          <w:sz w:val="24"/>
          <w:szCs w:val="32"/>
          <w:highlight w:val="none"/>
        </w:rPr>
        <w:t>单位</w:t>
      </w:r>
      <w:r>
        <w:rPr>
          <w:rFonts w:hint="eastAsia" w:ascii="仿宋" w:hAnsi="仿宋" w:eastAsia="仿宋" w:cs="仿宋"/>
          <w:color w:val="auto"/>
          <w:sz w:val="24"/>
          <w:szCs w:val="32"/>
          <w:highlight w:val="none"/>
        </w:rPr>
        <w:t>的</w:t>
      </w:r>
      <w:r>
        <w:rPr>
          <w:rFonts w:hint="eastAsia" w:ascii="仿宋" w:hAnsi="仿宋" w:eastAsia="仿宋" w:cs="仿宋"/>
          <w:color w:val="auto"/>
          <w:sz w:val="24"/>
          <w:szCs w:val="32"/>
          <w:highlight w:val="none"/>
        </w:rPr>
        <w:tab/>
      </w:r>
      <w:r>
        <w:rPr>
          <w:rFonts w:hint="eastAsia" w:ascii="仿宋" w:hAnsi="仿宋" w:eastAsia="仿宋" w:cs="仿宋"/>
          <w:color w:val="auto"/>
          <w:spacing w:val="14"/>
          <w:sz w:val="24"/>
          <w:szCs w:val="32"/>
          <w:highlight w:val="none"/>
        </w:rPr>
        <w:t>项目</w:t>
      </w:r>
      <w:r>
        <w:rPr>
          <w:rFonts w:hint="eastAsia" w:ascii="仿宋" w:hAnsi="仿宋" w:eastAsia="仿宋" w:cs="仿宋"/>
          <w:color w:val="auto"/>
          <w:spacing w:val="12"/>
          <w:sz w:val="24"/>
          <w:szCs w:val="32"/>
          <w:highlight w:val="none"/>
        </w:rPr>
        <w:t>采</w:t>
      </w:r>
      <w:r>
        <w:rPr>
          <w:rFonts w:hint="eastAsia" w:ascii="仿宋" w:hAnsi="仿宋" w:eastAsia="仿宋" w:cs="仿宋"/>
          <w:color w:val="auto"/>
          <w:spacing w:val="14"/>
          <w:sz w:val="24"/>
          <w:szCs w:val="32"/>
          <w:highlight w:val="none"/>
        </w:rPr>
        <w:t>购活动并由</w:t>
      </w:r>
      <w:r>
        <w:rPr>
          <w:rFonts w:hint="eastAsia" w:ascii="仿宋" w:hAnsi="仿宋" w:eastAsia="仿宋" w:cs="仿宋"/>
          <w:color w:val="auto"/>
          <w:spacing w:val="-11"/>
          <w:sz w:val="24"/>
          <w:szCs w:val="32"/>
          <w:highlight w:val="none"/>
        </w:rPr>
        <w:t>本</w:t>
      </w:r>
      <w:r>
        <w:rPr>
          <w:rFonts w:hint="eastAsia" w:ascii="仿宋" w:hAnsi="仿宋" w:eastAsia="仿宋" w:cs="仿宋"/>
          <w:color w:val="auto"/>
          <w:sz w:val="24"/>
          <w:szCs w:val="32"/>
          <w:highlight w:val="none"/>
        </w:rPr>
        <w:t>单位提供服务。</w:t>
      </w:r>
    </w:p>
    <w:p w14:paraId="10377E87">
      <w:pPr>
        <w:outlineLvl w:val="9"/>
        <w:rPr>
          <w:rFonts w:hint="eastAsia" w:ascii="仿宋" w:hAnsi="仿宋" w:eastAsia="仿宋" w:cs="仿宋"/>
          <w:color w:val="auto"/>
          <w:sz w:val="24"/>
          <w:szCs w:val="32"/>
          <w:highlight w:val="none"/>
        </w:rPr>
      </w:pPr>
      <w:r>
        <w:rPr>
          <w:rFonts w:hint="eastAsia" w:ascii="仿宋" w:hAnsi="仿宋" w:eastAsia="仿宋" w:cs="仿宋"/>
          <w:color w:val="auto"/>
          <w:sz w:val="24"/>
          <w:szCs w:val="32"/>
          <w:highlight w:val="none"/>
        </w:rPr>
        <w:t>本单位对上述声明的真实性负责。如有虚假，将依法承担相应责任。</w:t>
      </w:r>
    </w:p>
    <w:p w14:paraId="1BBD2CEA">
      <w:pPr>
        <w:outlineLvl w:val="9"/>
        <w:rPr>
          <w:rFonts w:hint="eastAsia" w:ascii="仿宋" w:hAnsi="仿宋" w:eastAsia="仿宋" w:cs="仿宋"/>
          <w:color w:val="auto"/>
          <w:highlight w:val="none"/>
        </w:rPr>
      </w:pPr>
    </w:p>
    <w:p w14:paraId="6E34918E">
      <w:pPr>
        <w:ind w:firstLine="4288" w:firstLineChars="1600"/>
        <w:outlineLvl w:val="9"/>
        <w:rPr>
          <w:rFonts w:hint="eastAsia" w:ascii="仿宋" w:hAnsi="仿宋" w:eastAsia="仿宋" w:cs="仿宋"/>
          <w:color w:val="auto"/>
          <w:highlight w:val="none"/>
        </w:rPr>
      </w:pPr>
      <w:r>
        <w:rPr>
          <w:rFonts w:hint="eastAsia" w:ascii="仿宋" w:hAnsi="仿宋" w:eastAsia="仿宋" w:cs="仿宋"/>
          <w:color w:val="auto"/>
          <w:spacing w:val="14"/>
          <w:sz w:val="24"/>
          <w:szCs w:val="32"/>
          <w:highlight w:val="none"/>
        </w:rPr>
        <w:t>响应供应商名称（盖公章）：</w:t>
      </w:r>
    </w:p>
    <w:p w14:paraId="51C9F573">
      <w:pPr>
        <w:outlineLvl w:val="9"/>
        <w:rPr>
          <w:rFonts w:hint="eastAsia" w:ascii="仿宋" w:hAnsi="仿宋" w:eastAsia="仿宋" w:cs="仿宋"/>
          <w:color w:val="auto"/>
          <w:highlight w:val="none"/>
        </w:rPr>
      </w:pPr>
    </w:p>
    <w:p w14:paraId="7793A494">
      <w:pPr>
        <w:ind w:firstLine="4288" w:firstLineChars="1600"/>
        <w:outlineLvl w:val="9"/>
        <w:rPr>
          <w:rFonts w:hint="eastAsia" w:ascii="仿宋" w:hAnsi="仿宋" w:eastAsia="仿宋" w:cs="仿宋"/>
          <w:color w:val="auto"/>
          <w:spacing w:val="14"/>
          <w:sz w:val="24"/>
          <w:szCs w:val="32"/>
          <w:highlight w:val="none"/>
        </w:rPr>
      </w:pPr>
      <w:r>
        <w:rPr>
          <w:rFonts w:hint="eastAsia" w:ascii="仿宋" w:hAnsi="仿宋" w:eastAsia="仿宋" w:cs="仿宋"/>
          <w:color w:val="auto"/>
          <w:spacing w:val="14"/>
          <w:sz w:val="24"/>
          <w:szCs w:val="32"/>
          <w:highlight w:val="none"/>
        </w:rPr>
        <w:t>日 期：</w:t>
      </w:r>
    </w:p>
    <w:p w14:paraId="6E92A0E9">
      <w:pPr>
        <w:outlineLvl w:val="9"/>
        <w:rPr>
          <w:rFonts w:hint="eastAsia" w:ascii="仿宋" w:hAnsi="仿宋" w:eastAsia="仿宋" w:cs="仿宋"/>
          <w:color w:val="auto"/>
          <w:highlight w:val="none"/>
        </w:rPr>
        <w:sectPr>
          <w:headerReference r:id="rId6" w:type="default"/>
          <w:footerReference r:id="rId7" w:type="default"/>
          <w:pgSz w:w="11910" w:h="16840"/>
          <w:pgMar w:top="1440" w:right="1531" w:bottom="1440" w:left="1531" w:header="714" w:footer="590" w:gutter="0"/>
          <w:cols w:space="720" w:num="1"/>
        </w:sectPr>
      </w:pPr>
    </w:p>
    <w:p w14:paraId="1EEBA90C">
      <w:pPr>
        <w:jc w:val="center"/>
        <w:outlineLvl w:val="9"/>
        <w:rPr>
          <w:rFonts w:hint="eastAsia" w:ascii="仿宋" w:hAnsi="仿宋" w:eastAsia="仿宋" w:cs="仿宋"/>
          <w:b/>
          <w:bCs/>
          <w:color w:val="auto"/>
          <w:sz w:val="28"/>
          <w:szCs w:val="36"/>
          <w:highlight w:val="none"/>
        </w:rPr>
      </w:pPr>
      <w:bookmarkStart w:id="9" w:name="_Toc12151"/>
      <w:r>
        <w:rPr>
          <w:rFonts w:hint="eastAsia" w:ascii="仿宋" w:hAnsi="仿宋" w:eastAsia="仿宋" w:cs="仿宋"/>
          <w:b/>
          <w:bCs/>
          <w:color w:val="auto"/>
          <w:sz w:val="28"/>
          <w:szCs w:val="36"/>
          <w:highlight w:val="none"/>
        </w:rPr>
        <w:t>政策功能情况（如有）</w:t>
      </w:r>
      <w:bookmarkEnd w:id="9"/>
    </w:p>
    <w:p w14:paraId="4147C67E">
      <w:pPr>
        <w:outlineLvl w:val="9"/>
        <w:rPr>
          <w:rFonts w:hint="eastAsia" w:ascii="仿宋" w:hAnsi="仿宋" w:eastAsia="仿宋" w:cs="仿宋"/>
          <w:color w:val="auto"/>
          <w:highlight w:val="none"/>
        </w:rPr>
      </w:pPr>
    </w:p>
    <w:p w14:paraId="39D76B6C">
      <w:pPr>
        <w:outlineLvl w:val="9"/>
        <w:rPr>
          <w:rFonts w:hint="eastAsia" w:ascii="仿宋" w:hAnsi="仿宋" w:eastAsia="仿宋" w:cs="仿宋"/>
          <w:color w:val="auto"/>
          <w:highlight w:val="none"/>
        </w:rPr>
      </w:pPr>
      <w:r>
        <w:rPr>
          <w:rFonts w:hint="eastAsia" w:ascii="仿宋" w:hAnsi="仿宋" w:eastAsia="仿宋" w:cs="仿宋"/>
          <w:color w:val="auto"/>
          <w:sz w:val="24"/>
          <w:szCs w:val="24"/>
          <w:highlight w:val="none"/>
        </w:rPr>
        <w:t>项目名称：</w:t>
      </w:r>
    </w:p>
    <w:tbl>
      <w:tblPr>
        <w:tblStyle w:val="25"/>
        <w:tblW w:w="0" w:type="auto"/>
        <w:tblInd w:w="-92"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127"/>
        <w:gridCol w:w="2359"/>
        <w:gridCol w:w="1677"/>
        <w:gridCol w:w="1994"/>
        <w:gridCol w:w="1745"/>
      </w:tblGrid>
      <w:tr w14:paraId="4DC744DD">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45" w:hRule="atLeast"/>
        </w:trPr>
        <w:tc>
          <w:tcPr>
            <w:tcW w:w="1127" w:type="dxa"/>
            <w:tcBorders>
              <w:bottom w:val="single" w:color="000000" w:sz="6" w:space="0"/>
              <w:right w:val="single" w:color="000000" w:sz="6" w:space="0"/>
            </w:tcBorders>
            <w:noWrap/>
          </w:tcPr>
          <w:p w14:paraId="4BB6EBBB">
            <w:pPr>
              <w:pStyle w:val="34"/>
              <w:spacing w:before="159"/>
              <w:ind w:left="276"/>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类别</w:t>
            </w:r>
          </w:p>
        </w:tc>
        <w:tc>
          <w:tcPr>
            <w:tcW w:w="2359" w:type="dxa"/>
            <w:tcBorders>
              <w:left w:val="single" w:color="000000" w:sz="6" w:space="0"/>
              <w:bottom w:val="single" w:color="000000" w:sz="6" w:space="0"/>
              <w:right w:val="single" w:color="000000" w:sz="6" w:space="0"/>
            </w:tcBorders>
            <w:noWrap/>
          </w:tcPr>
          <w:p w14:paraId="2B4D76BF">
            <w:pPr>
              <w:pStyle w:val="34"/>
              <w:spacing w:before="3"/>
              <w:ind w:left="162" w:right="150"/>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供应商提供的产品</w:t>
            </w:r>
          </w:p>
          <w:p w14:paraId="635A839A">
            <w:pPr>
              <w:pStyle w:val="34"/>
              <w:spacing w:before="4" w:line="289" w:lineRule="exact"/>
              <w:ind w:left="162" w:right="150"/>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（规格型号）</w:t>
            </w:r>
          </w:p>
        </w:tc>
        <w:tc>
          <w:tcPr>
            <w:tcW w:w="1677" w:type="dxa"/>
            <w:tcBorders>
              <w:left w:val="single" w:color="000000" w:sz="6" w:space="0"/>
              <w:bottom w:val="single" w:color="000000" w:sz="6" w:space="0"/>
              <w:right w:val="single" w:color="000000" w:sz="6" w:space="0"/>
            </w:tcBorders>
            <w:noWrap/>
          </w:tcPr>
          <w:p w14:paraId="5B7B350D">
            <w:pPr>
              <w:pStyle w:val="34"/>
              <w:spacing w:before="3"/>
              <w:ind w:left="243" w:right="231"/>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生产者</w:t>
            </w:r>
          </w:p>
          <w:p w14:paraId="0FEDE193">
            <w:pPr>
              <w:pStyle w:val="34"/>
              <w:spacing w:before="4" w:line="289" w:lineRule="exact"/>
              <w:ind w:left="243" w:right="231"/>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（制造商）</w:t>
            </w:r>
          </w:p>
        </w:tc>
        <w:tc>
          <w:tcPr>
            <w:tcW w:w="1994" w:type="dxa"/>
            <w:tcBorders>
              <w:left w:val="single" w:color="000000" w:sz="6" w:space="0"/>
              <w:bottom w:val="single" w:color="000000" w:sz="6" w:space="0"/>
              <w:right w:val="single" w:color="000000" w:sz="6" w:space="0"/>
            </w:tcBorders>
            <w:noWrap/>
          </w:tcPr>
          <w:p w14:paraId="468E3862">
            <w:pPr>
              <w:pStyle w:val="34"/>
              <w:spacing w:before="159"/>
              <w:ind w:left="527" w:right="516"/>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证书编号</w:t>
            </w:r>
          </w:p>
        </w:tc>
        <w:tc>
          <w:tcPr>
            <w:tcW w:w="1745" w:type="dxa"/>
            <w:tcBorders>
              <w:left w:val="single" w:color="000000" w:sz="6" w:space="0"/>
              <w:bottom w:val="single" w:color="000000" w:sz="6" w:space="0"/>
            </w:tcBorders>
            <w:noWrap/>
          </w:tcPr>
          <w:p w14:paraId="029E7CB0">
            <w:pPr>
              <w:pStyle w:val="34"/>
              <w:spacing w:before="159"/>
              <w:ind w:left="267"/>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所提供节能产品金额</w:t>
            </w:r>
          </w:p>
        </w:tc>
      </w:tr>
      <w:tr w14:paraId="6A46F49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restart"/>
            <w:tcBorders>
              <w:top w:val="single" w:color="000000" w:sz="6" w:space="0"/>
              <w:bottom w:val="single" w:color="000000" w:sz="6" w:space="0"/>
              <w:right w:val="single" w:color="000000" w:sz="6" w:space="0"/>
            </w:tcBorders>
            <w:noWrap/>
          </w:tcPr>
          <w:p w14:paraId="1E5F02CA">
            <w:pPr>
              <w:pStyle w:val="34"/>
              <w:outlineLvl w:val="9"/>
              <w:rPr>
                <w:rFonts w:hint="eastAsia" w:ascii="仿宋" w:hAnsi="仿宋" w:eastAsia="仿宋" w:cs="仿宋"/>
                <w:color w:val="auto"/>
                <w:sz w:val="24"/>
                <w:szCs w:val="22"/>
                <w:highlight w:val="none"/>
              </w:rPr>
            </w:pPr>
          </w:p>
          <w:p w14:paraId="0A5E973C">
            <w:pPr>
              <w:pStyle w:val="34"/>
              <w:outlineLvl w:val="9"/>
              <w:rPr>
                <w:rFonts w:hint="eastAsia" w:ascii="仿宋" w:hAnsi="仿宋" w:eastAsia="仿宋" w:cs="仿宋"/>
                <w:color w:val="auto"/>
                <w:sz w:val="24"/>
                <w:szCs w:val="22"/>
                <w:highlight w:val="none"/>
              </w:rPr>
            </w:pPr>
          </w:p>
          <w:p w14:paraId="3646B48A">
            <w:pPr>
              <w:pStyle w:val="34"/>
              <w:spacing w:before="1"/>
              <w:outlineLvl w:val="9"/>
              <w:rPr>
                <w:rFonts w:hint="eastAsia" w:ascii="仿宋" w:hAnsi="仿宋" w:eastAsia="仿宋" w:cs="仿宋"/>
                <w:color w:val="auto"/>
                <w:sz w:val="27"/>
                <w:szCs w:val="22"/>
                <w:highlight w:val="none"/>
              </w:rPr>
            </w:pPr>
          </w:p>
          <w:p w14:paraId="5D8B2283">
            <w:pPr>
              <w:pStyle w:val="34"/>
              <w:spacing w:line="242" w:lineRule="auto"/>
              <w:ind w:left="276" w:right="270"/>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节能产品</w:t>
            </w:r>
          </w:p>
        </w:tc>
        <w:tc>
          <w:tcPr>
            <w:tcW w:w="2359" w:type="dxa"/>
            <w:tcBorders>
              <w:top w:val="single" w:color="000000" w:sz="6" w:space="0"/>
              <w:left w:val="single" w:color="000000" w:sz="6" w:space="0"/>
              <w:bottom w:val="single" w:color="000000" w:sz="6" w:space="0"/>
              <w:right w:val="single" w:color="000000" w:sz="6" w:space="0"/>
            </w:tcBorders>
            <w:noWrap/>
          </w:tcPr>
          <w:p w14:paraId="693CF232">
            <w:pPr>
              <w:pStyle w:val="34"/>
              <w:outlineLvl w:val="9"/>
              <w:rPr>
                <w:rFonts w:hint="eastAsia" w:ascii="仿宋" w:hAnsi="仿宋" w:eastAsia="仿宋" w:cs="仿宋"/>
                <w:color w:val="auto"/>
                <w:sz w:val="22"/>
                <w:szCs w:val="22"/>
                <w:highlight w:val="none"/>
              </w:rPr>
            </w:pPr>
          </w:p>
        </w:tc>
        <w:tc>
          <w:tcPr>
            <w:tcW w:w="1677" w:type="dxa"/>
            <w:tcBorders>
              <w:top w:val="single" w:color="000000" w:sz="6" w:space="0"/>
              <w:left w:val="single" w:color="000000" w:sz="6" w:space="0"/>
              <w:bottom w:val="single" w:color="000000" w:sz="6" w:space="0"/>
              <w:right w:val="single" w:color="000000" w:sz="6" w:space="0"/>
            </w:tcBorders>
            <w:noWrap/>
          </w:tcPr>
          <w:p w14:paraId="2E2D488F">
            <w:pPr>
              <w:pStyle w:val="34"/>
              <w:outlineLvl w:val="9"/>
              <w:rPr>
                <w:rFonts w:hint="eastAsia" w:ascii="仿宋" w:hAnsi="仿宋" w:eastAsia="仿宋" w:cs="仿宋"/>
                <w:color w:val="auto"/>
                <w:sz w:val="22"/>
                <w:szCs w:val="22"/>
                <w:highlight w:val="none"/>
              </w:rPr>
            </w:pPr>
          </w:p>
        </w:tc>
        <w:tc>
          <w:tcPr>
            <w:tcW w:w="1994" w:type="dxa"/>
            <w:tcBorders>
              <w:top w:val="single" w:color="000000" w:sz="6" w:space="0"/>
              <w:left w:val="single" w:color="000000" w:sz="6" w:space="0"/>
              <w:bottom w:val="single" w:color="000000" w:sz="6" w:space="0"/>
              <w:right w:val="single" w:color="000000" w:sz="6" w:space="0"/>
            </w:tcBorders>
            <w:noWrap/>
          </w:tcPr>
          <w:p w14:paraId="1C76D791">
            <w:pPr>
              <w:pStyle w:val="34"/>
              <w:outlineLvl w:val="9"/>
              <w:rPr>
                <w:rFonts w:hint="eastAsia" w:ascii="仿宋" w:hAnsi="仿宋" w:eastAsia="仿宋" w:cs="仿宋"/>
                <w:color w:val="auto"/>
                <w:sz w:val="22"/>
                <w:szCs w:val="22"/>
                <w:highlight w:val="none"/>
              </w:rPr>
            </w:pPr>
          </w:p>
        </w:tc>
        <w:tc>
          <w:tcPr>
            <w:tcW w:w="1745" w:type="dxa"/>
            <w:tcBorders>
              <w:top w:val="single" w:color="000000" w:sz="6" w:space="0"/>
              <w:left w:val="single" w:color="000000" w:sz="6" w:space="0"/>
              <w:bottom w:val="single" w:color="000000" w:sz="6" w:space="0"/>
            </w:tcBorders>
            <w:noWrap/>
          </w:tcPr>
          <w:p w14:paraId="5C3E1AD3">
            <w:pPr>
              <w:pStyle w:val="34"/>
              <w:outlineLvl w:val="9"/>
              <w:rPr>
                <w:rFonts w:hint="eastAsia" w:ascii="仿宋" w:hAnsi="仿宋" w:eastAsia="仿宋" w:cs="仿宋"/>
                <w:color w:val="auto"/>
                <w:sz w:val="22"/>
                <w:szCs w:val="22"/>
                <w:highlight w:val="none"/>
              </w:rPr>
            </w:pPr>
          </w:p>
        </w:tc>
      </w:tr>
      <w:tr w14:paraId="08480298">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continue"/>
            <w:tcBorders>
              <w:top w:val="nil"/>
              <w:bottom w:val="single" w:color="000000" w:sz="6" w:space="0"/>
              <w:right w:val="single" w:color="000000" w:sz="6" w:space="0"/>
            </w:tcBorders>
            <w:noWrap/>
          </w:tcPr>
          <w:p w14:paraId="2EDF638E">
            <w:pPr>
              <w:outlineLvl w:val="9"/>
              <w:rPr>
                <w:rFonts w:hint="eastAsia" w:ascii="仿宋" w:hAnsi="仿宋" w:eastAsia="仿宋" w:cs="仿宋"/>
                <w:color w:val="auto"/>
                <w:sz w:val="2"/>
                <w:szCs w:val="2"/>
                <w:highlight w:val="none"/>
              </w:rPr>
            </w:pPr>
          </w:p>
        </w:tc>
        <w:tc>
          <w:tcPr>
            <w:tcW w:w="2359" w:type="dxa"/>
            <w:tcBorders>
              <w:top w:val="single" w:color="000000" w:sz="6" w:space="0"/>
              <w:left w:val="single" w:color="000000" w:sz="6" w:space="0"/>
              <w:bottom w:val="single" w:color="000000" w:sz="6" w:space="0"/>
              <w:right w:val="single" w:color="000000" w:sz="6" w:space="0"/>
            </w:tcBorders>
            <w:noWrap/>
          </w:tcPr>
          <w:p w14:paraId="5B22D727">
            <w:pPr>
              <w:pStyle w:val="34"/>
              <w:outlineLvl w:val="9"/>
              <w:rPr>
                <w:rFonts w:hint="eastAsia" w:ascii="仿宋" w:hAnsi="仿宋" w:eastAsia="仿宋" w:cs="仿宋"/>
                <w:color w:val="auto"/>
                <w:sz w:val="22"/>
                <w:szCs w:val="22"/>
                <w:highlight w:val="none"/>
              </w:rPr>
            </w:pPr>
          </w:p>
        </w:tc>
        <w:tc>
          <w:tcPr>
            <w:tcW w:w="1677" w:type="dxa"/>
            <w:tcBorders>
              <w:top w:val="single" w:color="000000" w:sz="6" w:space="0"/>
              <w:left w:val="single" w:color="000000" w:sz="6" w:space="0"/>
              <w:bottom w:val="single" w:color="000000" w:sz="6" w:space="0"/>
              <w:right w:val="single" w:color="000000" w:sz="6" w:space="0"/>
            </w:tcBorders>
            <w:noWrap/>
          </w:tcPr>
          <w:p w14:paraId="59618F92">
            <w:pPr>
              <w:pStyle w:val="34"/>
              <w:outlineLvl w:val="9"/>
              <w:rPr>
                <w:rFonts w:hint="eastAsia" w:ascii="仿宋" w:hAnsi="仿宋" w:eastAsia="仿宋" w:cs="仿宋"/>
                <w:color w:val="auto"/>
                <w:sz w:val="22"/>
                <w:szCs w:val="22"/>
                <w:highlight w:val="none"/>
              </w:rPr>
            </w:pPr>
          </w:p>
        </w:tc>
        <w:tc>
          <w:tcPr>
            <w:tcW w:w="1994" w:type="dxa"/>
            <w:tcBorders>
              <w:top w:val="single" w:color="000000" w:sz="6" w:space="0"/>
              <w:left w:val="single" w:color="000000" w:sz="6" w:space="0"/>
              <w:bottom w:val="single" w:color="000000" w:sz="6" w:space="0"/>
              <w:right w:val="single" w:color="000000" w:sz="6" w:space="0"/>
            </w:tcBorders>
            <w:noWrap/>
          </w:tcPr>
          <w:p w14:paraId="000FDF31">
            <w:pPr>
              <w:pStyle w:val="34"/>
              <w:outlineLvl w:val="9"/>
              <w:rPr>
                <w:rFonts w:hint="eastAsia" w:ascii="仿宋" w:hAnsi="仿宋" w:eastAsia="仿宋" w:cs="仿宋"/>
                <w:color w:val="auto"/>
                <w:sz w:val="22"/>
                <w:szCs w:val="22"/>
                <w:highlight w:val="none"/>
              </w:rPr>
            </w:pPr>
          </w:p>
        </w:tc>
        <w:tc>
          <w:tcPr>
            <w:tcW w:w="1745" w:type="dxa"/>
            <w:tcBorders>
              <w:top w:val="single" w:color="000000" w:sz="6" w:space="0"/>
              <w:left w:val="single" w:color="000000" w:sz="6" w:space="0"/>
              <w:bottom w:val="single" w:color="000000" w:sz="6" w:space="0"/>
            </w:tcBorders>
            <w:noWrap/>
          </w:tcPr>
          <w:p w14:paraId="386E5F69">
            <w:pPr>
              <w:pStyle w:val="34"/>
              <w:outlineLvl w:val="9"/>
              <w:rPr>
                <w:rFonts w:hint="eastAsia" w:ascii="仿宋" w:hAnsi="仿宋" w:eastAsia="仿宋" w:cs="仿宋"/>
                <w:color w:val="auto"/>
                <w:sz w:val="22"/>
                <w:szCs w:val="22"/>
                <w:highlight w:val="none"/>
              </w:rPr>
            </w:pPr>
          </w:p>
        </w:tc>
      </w:tr>
      <w:tr w14:paraId="7CE26CCE">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554" w:hRule="atLeast"/>
        </w:trPr>
        <w:tc>
          <w:tcPr>
            <w:tcW w:w="1127" w:type="dxa"/>
            <w:vMerge w:val="continue"/>
            <w:tcBorders>
              <w:top w:val="nil"/>
              <w:bottom w:val="single" w:color="000000" w:sz="6" w:space="0"/>
              <w:right w:val="single" w:color="000000" w:sz="6" w:space="0"/>
            </w:tcBorders>
            <w:noWrap/>
          </w:tcPr>
          <w:p w14:paraId="4F419012">
            <w:pPr>
              <w:outlineLvl w:val="9"/>
              <w:rPr>
                <w:rFonts w:hint="eastAsia" w:ascii="仿宋" w:hAnsi="仿宋" w:eastAsia="仿宋" w:cs="仿宋"/>
                <w:color w:val="auto"/>
                <w:sz w:val="2"/>
                <w:szCs w:val="2"/>
                <w:highlight w:val="none"/>
              </w:rPr>
            </w:pPr>
          </w:p>
        </w:tc>
        <w:tc>
          <w:tcPr>
            <w:tcW w:w="7775" w:type="dxa"/>
            <w:gridSpan w:val="4"/>
            <w:tcBorders>
              <w:top w:val="single" w:color="000000" w:sz="6" w:space="0"/>
              <w:left w:val="single" w:color="000000" w:sz="6" w:space="0"/>
              <w:bottom w:val="single" w:color="000000" w:sz="6" w:space="0"/>
            </w:tcBorders>
            <w:noWrap/>
          </w:tcPr>
          <w:p w14:paraId="2B771CDD">
            <w:pPr>
              <w:pStyle w:val="34"/>
              <w:outlineLvl w:val="9"/>
              <w:rPr>
                <w:rFonts w:hint="eastAsia" w:ascii="仿宋" w:hAnsi="仿宋" w:eastAsia="仿宋" w:cs="仿宋"/>
                <w:color w:val="auto"/>
                <w:sz w:val="24"/>
                <w:szCs w:val="22"/>
                <w:highlight w:val="none"/>
              </w:rPr>
            </w:pPr>
          </w:p>
          <w:p w14:paraId="4A438690">
            <w:pPr>
              <w:pStyle w:val="34"/>
              <w:spacing w:before="164"/>
              <w:ind w:left="115"/>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节能产品总金额：</w:t>
            </w:r>
          </w:p>
          <w:p w14:paraId="75CDE1DA">
            <w:pPr>
              <w:pStyle w:val="34"/>
              <w:spacing w:before="9"/>
              <w:outlineLvl w:val="9"/>
              <w:rPr>
                <w:rFonts w:hint="eastAsia" w:ascii="仿宋" w:hAnsi="仿宋" w:eastAsia="仿宋" w:cs="仿宋"/>
                <w:color w:val="auto"/>
                <w:sz w:val="24"/>
                <w:szCs w:val="22"/>
                <w:highlight w:val="none"/>
              </w:rPr>
            </w:pPr>
          </w:p>
          <w:p w14:paraId="7015FE8A">
            <w:pPr>
              <w:pStyle w:val="34"/>
              <w:ind w:left="115"/>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节能产品金额占总报价比重：%</w:t>
            </w:r>
          </w:p>
        </w:tc>
      </w:tr>
      <w:tr w14:paraId="2D301F87">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2" w:hRule="atLeast"/>
        </w:trPr>
        <w:tc>
          <w:tcPr>
            <w:tcW w:w="1127" w:type="dxa"/>
            <w:vMerge w:val="restart"/>
            <w:tcBorders>
              <w:top w:val="single" w:color="000000" w:sz="6" w:space="0"/>
              <w:right w:val="single" w:color="000000" w:sz="6" w:space="0"/>
            </w:tcBorders>
            <w:noWrap/>
          </w:tcPr>
          <w:p w14:paraId="2858BAFE">
            <w:pPr>
              <w:pStyle w:val="34"/>
              <w:outlineLvl w:val="9"/>
              <w:rPr>
                <w:rFonts w:hint="eastAsia" w:ascii="仿宋" w:hAnsi="仿宋" w:eastAsia="仿宋" w:cs="仿宋"/>
                <w:color w:val="auto"/>
                <w:sz w:val="24"/>
                <w:szCs w:val="22"/>
                <w:highlight w:val="none"/>
              </w:rPr>
            </w:pPr>
          </w:p>
          <w:p w14:paraId="38621DD3">
            <w:pPr>
              <w:pStyle w:val="34"/>
              <w:outlineLvl w:val="9"/>
              <w:rPr>
                <w:rFonts w:hint="eastAsia" w:ascii="仿宋" w:hAnsi="仿宋" w:eastAsia="仿宋" w:cs="仿宋"/>
                <w:color w:val="auto"/>
                <w:sz w:val="24"/>
                <w:szCs w:val="22"/>
                <w:highlight w:val="none"/>
              </w:rPr>
            </w:pPr>
          </w:p>
          <w:p w14:paraId="6DD566CD">
            <w:pPr>
              <w:pStyle w:val="34"/>
              <w:outlineLvl w:val="9"/>
              <w:rPr>
                <w:rFonts w:hint="eastAsia" w:ascii="仿宋" w:hAnsi="仿宋" w:eastAsia="仿宋" w:cs="仿宋"/>
                <w:color w:val="auto"/>
                <w:sz w:val="24"/>
                <w:szCs w:val="22"/>
                <w:highlight w:val="none"/>
              </w:rPr>
            </w:pPr>
          </w:p>
          <w:p w14:paraId="52F1CFD3">
            <w:pPr>
              <w:pStyle w:val="34"/>
              <w:spacing w:before="201" w:line="242" w:lineRule="auto"/>
              <w:ind w:left="276" w:right="30" w:hanging="240"/>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环保标志产品</w:t>
            </w:r>
          </w:p>
        </w:tc>
        <w:tc>
          <w:tcPr>
            <w:tcW w:w="2359" w:type="dxa"/>
            <w:tcBorders>
              <w:top w:val="single" w:color="000000" w:sz="6" w:space="0"/>
              <w:left w:val="single" w:color="000000" w:sz="6" w:space="0"/>
              <w:bottom w:val="single" w:color="000000" w:sz="6" w:space="0"/>
              <w:right w:val="single" w:color="000000" w:sz="6" w:space="0"/>
            </w:tcBorders>
            <w:noWrap/>
          </w:tcPr>
          <w:p w14:paraId="4136DE9F">
            <w:pPr>
              <w:pStyle w:val="34"/>
              <w:spacing w:before="2"/>
              <w:ind w:left="162" w:right="150"/>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供应商提供的产品</w:t>
            </w:r>
          </w:p>
          <w:p w14:paraId="48B5E5CF">
            <w:pPr>
              <w:pStyle w:val="34"/>
              <w:spacing w:before="5" w:line="282" w:lineRule="exact"/>
              <w:ind w:left="162" w:right="136"/>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（规格型号）</w:t>
            </w:r>
          </w:p>
        </w:tc>
        <w:tc>
          <w:tcPr>
            <w:tcW w:w="1677" w:type="dxa"/>
            <w:tcBorders>
              <w:top w:val="single" w:color="000000" w:sz="6" w:space="0"/>
              <w:left w:val="single" w:color="000000" w:sz="6" w:space="0"/>
              <w:bottom w:val="single" w:color="000000" w:sz="6" w:space="0"/>
              <w:right w:val="single" w:color="000000" w:sz="6" w:space="0"/>
            </w:tcBorders>
            <w:noWrap/>
          </w:tcPr>
          <w:p w14:paraId="7578421B">
            <w:pPr>
              <w:pStyle w:val="34"/>
              <w:spacing w:before="2"/>
              <w:ind w:left="243" w:right="231"/>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生产者</w:t>
            </w:r>
          </w:p>
          <w:p w14:paraId="21AF6D2B">
            <w:pPr>
              <w:pStyle w:val="34"/>
              <w:spacing w:before="5" w:line="282" w:lineRule="exact"/>
              <w:ind w:left="250" w:right="224"/>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（制造商）</w:t>
            </w:r>
          </w:p>
        </w:tc>
        <w:tc>
          <w:tcPr>
            <w:tcW w:w="1994" w:type="dxa"/>
            <w:tcBorders>
              <w:top w:val="single" w:color="000000" w:sz="6" w:space="0"/>
              <w:left w:val="single" w:color="000000" w:sz="6" w:space="0"/>
              <w:bottom w:val="single" w:color="000000" w:sz="6" w:space="0"/>
              <w:right w:val="single" w:color="000000" w:sz="6" w:space="0"/>
            </w:tcBorders>
            <w:noWrap/>
          </w:tcPr>
          <w:p w14:paraId="19525D58">
            <w:pPr>
              <w:pStyle w:val="34"/>
              <w:spacing w:before="158"/>
              <w:ind w:left="534" w:right="509"/>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证书编号</w:t>
            </w:r>
          </w:p>
        </w:tc>
        <w:tc>
          <w:tcPr>
            <w:tcW w:w="1745" w:type="dxa"/>
            <w:tcBorders>
              <w:top w:val="single" w:color="000000" w:sz="6" w:space="0"/>
              <w:left w:val="single" w:color="000000" w:sz="6" w:space="0"/>
              <w:bottom w:val="single" w:color="000000" w:sz="6" w:space="0"/>
            </w:tcBorders>
            <w:noWrap/>
          </w:tcPr>
          <w:p w14:paraId="36D7BE6D">
            <w:pPr>
              <w:pStyle w:val="34"/>
              <w:spacing w:before="2"/>
              <w:ind w:left="134" w:right="100"/>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所提供环保标志产品金</w:t>
            </w:r>
          </w:p>
          <w:p w14:paraId="4D2AB63F">
            <w:pPr>
              <w:pStyle w:val="34"/>
              <w:spacing w:before="5" w:line="282" w:lineRule="exact"/>
              <w:ind w:left="34"/>
              <w:jc w:val="center"/>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额</w:t>
            </w:r>
          </w:p>
        </w:tc>
      </w:tr>
      <w:tr w14:paraId="11DD9C1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continue"/>
            <w:tcBorders>
              <w:top w:val="nil"/>
              <w:right w:val="single" w:color="000000" w:sz="6" w:space="0"/>
            </w:tcBorders>
            <w:noWrap/>
          </w:tcPr>
          <w:p w14:paraId="4055D0C4">
            <w:pPr>
              <w:outlineLvl w:val="9"/>
              <w:rPr>
                <w:rFonts w:hint="eastAsia" w:ascii="仿宋" w:hAnsi="仿宋" w:eastAsia="仿宋" w:cs="仿宋"/>
                <w:color w:val="auto"/>
                <w:sz w:val="2"/>
                <w:szCs w:val="2"/>
                <w:highlight w:val="none"/>
              </w:rPr>
            </w:pPr>
          </w:p>
        </w:tc>
        <w:tc>
          <w:tcPr>
            <w:tcW w:w="2359" w:type="dxa"/>
            <w:tcBorders>
              <w:top w:val="single" w:color="000000" w:sz="6" w:space="0"/>
              <w:left w:val="single" w:color="000000" w:sz="6" w:space="0"/>
              <w:bottom w:val="single" w:color="000000" w:sz="6" w:space="0"/>
              <w:right w:val="single" w:color="000000" w:sz="6" w:space="0"/>
            </w:tcBorders>
            <w:noWrap/>
          </w:tcPr>
          <w:p w14:paraId="08174C43">
            <w:pPr>
              <w:pStyle w:val="34"/>
              <w:outlineLvl w:val="9"/>
              <w:rPr>
                <w:rFonts w:hint="eastAsia" w:ascii="仿宋" w:hAnsi="仿宋" w:eastAsia="仿宋" w:cs="仿宋"/>
                <w:color w:val="auto"/>
                <w:sz w:val="22"/>
                <w:szCs w:val="22"/>
                <w:highlight w:val="none"/>
              </w:rPr>
            </w:pPr>
          </w:p>
        </w:tc>
        <w:tc>
          <w:tcPr>
            <w:tcW w:w="1677" w:type="dxa"/>
            <w:tcBorders>
              <w:top w:val="single" w:color="000000" w:sz="6" w:space="0"/>
              <w:left w:val="single" w:color="000000" w:sz="6" w:space="0"/>
              <w:bottom w:val="single" w:color="000000" w:sz="6" w:space="0"/>
              <w:right w:val="single" w:color="000000" w:sz="6" w:space="0"/>
            </w:tcBorders>
            <w:noWrap/>
          </w:tcPr>
          <w:p w14:paraId="7DC774DD">
            <w:pPr>
              <w:pStyle w:val="34"/>
              <w:outlineLvl w:val="9"/>
              <w:rPr>
                <w:rFonts w:hint="eastAsia" w:ascii="仿宋" w:hAnsi="仿宋" w:eastAsia="仿宋" w:cs="仿宋"/>
                <w:color w:val="auto"/>
                <w:sz w:val="22"/>
                <w:szCs w:val="22"/>
                <w:highlight w:val="none"/>
              </w:rPr>
            </w:pPr>
          </w:p>
        </w:tc>
        <w:tc>
          <w:tcPr>
            <w:tcW w:w="1994" w:type="dxa"/>
            <w:tcBorders>
              <w:top w:val="single" w:color="000000" w:sz="6" w:space="0"/>
              <w:left w:val="single" w:color="000000" w:sz="6" w:space="0"/>
              <w:bottom w:val="single" w:color="000000" w:sz="6" w:space="0"/>
              <w:right w:val="single" w:color="000000" w:sz="6" w:space="0"/>
            </w:tcBorders>
            <w:noWrap/>
          </w:tcPr>
          <w:p w14:paraId="4B988FAD">
            <w:pPr>
              <w:pStyle w:val="34"/>
              <w:outlineLvl w:val="9"/>
              <w:rPr>
                <w:rFonts w:hint="eastAsia" w:ascii="仿宋" w:hAnsi="仿宋" w:eastAsia="仿宋" w:cs="仿宋"/>
                <w:color w:val="auto"/>
                <w:sz w:val="22"/>
                <w:szCs w:val="22"/>
                <w:highlight w:val="none"/>
              </w:rPr>
            </w:pPr>
          </w:p>
        </w:tc>
        <w:tc>
          <w:tcPr>
            <w:tcW w:w="1745" w:type="dxa"/>
            <w:tcBorders>
              <w:top w:val="single" w:color="000000" w:sz="6" w:space="0"/>
              <w:left w:val="single" w:color="000000" w:sz="6" w:space="0"/>
              <w:bottom w:val="single" w:color="000000" w:sz="6" w:space="0"/>
            </w:tcBorders>
            <w:noWrap/>
          </w:tcPr>
          <w:p w14:paraId="5F36A649">
            <w:pPr>
              <w:pStyle w:val="34"/>
              <w:outlineLvl w:val="9"/>
              <w:rPr>
                <w:rFonts w:hint="eastAsia" w:ascii="仿宋" w:hAnsi="仿宋" w:eastAsia="仿宋" w:cs="仿宋"/>
                <w:color w:val="auto"/>
                <w:sz w:val="22"/>
                <w:szCs w:val="22"/>
                <w:highlight w:val="none"/>
              </w:rPr>
            </w:pPr>
          </w:p>
        </w:tc>
      </w:tr>
      <w:tr w14:paraId="277AC581">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83" w:hRule="atLeast"/>
        </w:trPr>
        <w:tc>
          <w:tcPr>
            <w:tcW w:w="1127" w:type="dxa"/>
            <w:vMerge w:val="continue"/>
            <w:tcBorders>
              <w:top w:val="nil"/>
              <w:right w:val="single" w:color="000000" w:sz="6" w:space="0"/>
            </w:tcBorders>
            <w:noWrap/>
          </w:tcPr>
          <w:p w14:paraId="0DFDA563">
            <w:pPr>
              <w:outlineLvl w:val="9"/>
              <w:rPr>
                <w:rFonts w:hint="eastAsia" w:ascii="仿宋" w:hAnsi="仿宋" w:eastAsia="仿宋" w:cs="仿宋"/>
                <w:color w:val="auto"/>
                <w:sz w:val="2"/>
                <w:szCs w:val="2"/>
                <w:highlight w:val="none"/>
              </w:rPr>
            </w:pPr>
          </w:p>
        </w:tc>
        <w:tc>
          <w:tcPr>
            <w:tcW w:w="2359" w:type="dxa"/>
            <w:tcBorders>
              <w:top w:val="single" w:color="000000" w:sz="6" w:space="0"/>
              <w:left w:val="single" w:color="000000" w:sz="6" w:space="0"/>
              <w:bottom w:val="single" w:color="000000" w:sz="6" w:space="0"/>
              <w:right w:val="single" w:color="000000" w:sz="6" w:space="0"/>
            </w:tcBorders>
            <w:noWrap/>
          </w:tcPr>
          <w:p w14:paraId="4AF65571">
            <w:pPr>
              <w:pStyle w:val="34"/>
              <w:outlineLvl w:val="9"/>
              <w:rPr>
                <w:rFonts w:hint="eastAsia" w:ascii="仿宋" w:hAnsi="仿宋" w:eastAsia="仿宋" w:cs="仿宋"/>
                <w:color w:val="auto"/>
                <w:sz w:val="22"/>
                <w:szCs w:val="22"/>
                <w:highlight w:val="none"/>
              </w:rPr>
            </w:pPr>
          </w:p>
        </w:tc>
        <w:tc>
          <w:tcPr>
            <w:tcW w:w="1677" w:type="dxa"/>
            <w:tcBorders>
              <w:top w:val="single" w:color="000000" w:sz="6" w:space="0"/>
              <w:left w:val="single" w:color="000000" w:sz="6" w:space="0"/>
              <w:bottom w:val="single" w:color="000000" w:sz="6" w:space="0"/>
              <w:right w:val="single" w:color="000000" w:sz="6" w:space="0"/>
            </w:tcBorders>
            <w:noWrap/>
          </w:tcPr>
          <w:p w14:paraId="7C775690">
            <w:pPr>
              <w:pStyle w:val="34"/>
              <w:outlineLvl w:val="9"/>
              <w:rPr>
                <w:rFonts w:hint="eastAsia" w:ascii="仿宋" w:hAnsi="仿宋" w:eastAsia="仿宋" w:cs="仿宋"/>
                <w:color w:val="auto"/>
                <w:sz w:val="22"/>
                <w:szCs w:val="22"/>
                <w:highlight w:val="none"/>
              </w:rPr>
            </w:pPr>
          </w:p>
        </w:tc>
        <w:tc>
          <w:tcPr>
            <w:tcW w:w="1994" w:type="dxa"/>
            <w:tcBorders>
              <w:top w:val="single" w:color="000000" w:sz="6" w:space="0"/>
              <w:left w:val="single" w:color="000000" w:sz="6" w:space="0"/>
              <w:bottom w:val="single" w:color="000000" w:sz="6" w:space="0"/>
              <w:right w:val="single" w:color="000000" w:sz="6" w:space="0"/>
            </w:tcBorders>
            <w:noWrap/>
          </w:tcPr>
          <w:p w14:paraId="1C45001C">
            <w:pPr>
              <w:pStyle w:val="34"/>
              <w:outlineLvl w:val="9"/>
              <w:rPr>
                <w:rFonts w:hint="eastAsia" w:ascii="仿宋" w:hAnsi="仿宋" w:eastAsia="仿宋" w:cs="仿宋"/>
                <w:color w:val="auto"/>
                <w:sz w:val="22"/>
                <w:szCs w:val="22"/>
                <w:highlight w:val="none"/>
              </w:rPr>
            </w:pPr>
          </w:p>
        </w:tc>
        <w:tc>
          <w:tcPr>
            <w:tcW w:w="1745" w:type="dxa"/>
            <w:tcBorders>
              <w:top w:val="single" w:color="000000" w:sz="6" w:space="0"/>
              <w:left w:val="single" w:color="000000" w:sz="6" w:space="0"/>
              <w:bottom w:val="single" w:color="000000" w:sz="6" w:space="0"/>
            </w:tcBorders>
            <w:noWrap/>
          </w:tcPr>
          <w:p w14:paraId="2498337D">
            <w:pPr>
              <w:pStyle w:val="34"/>
              <w:outlineLvl w:val="9"/>
              <w:rPr>
                <w:rFonts w:hint="eastAsia" w:ascii="仿宋" w:hAnsi="仿宋" w:eastAsia="仿宋" w:cs="仿宋"/>
                <w:color w:val="auto"/>
                <w:sz w:val="22"/>
                <w:szCs w:val="22"/>
                <w:highlight w:val="none"/>
              </w:rPr>
            </w:pPr>
          </w:p>
        </w:tc>
      </w:tr>
      <w:tr w14:paraId="32CB48AB">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281" w:hRule="atLeast"/>
        </w:trPr>
        <w:tc>
          <w:tcPr>
            <w:tcW w:w="1127" w:type="dxa"/>
            <w:vMerge w:val="continue"/>
            <w:tcBorders>
              <w:top w:val="nil"/>
              <w:right w:val="single" w:color="000000" w:sz="6" w:space="0"/>
            </w:tcBorders>
            <w:noWrap/>
          </w:tcPr>
          <w:p w14:paraId="79BE62E4">
            <w:pPr>
              <w:outlineLvl w:val="9"/>
              <w:rPr>
                <w:rFonts w:hint="eastAsia" w:ascii="仿宋" w:hAnsi="仿宋" w:eastAsia="仿宋" w:cs="仿宋"/>
                <w:color w:val="auto"/>
                <w:sz w:val="2"/>
                <w:szCs w:val="2"/>
                <w:highlight w:val="none"/>
              </w:rPr>
            </w:pPr>
          </w:p>
        </w:tc>
        <w:tc>
          <w:tcPr>
            <w:tcW w:w="7775" w:type="dxa"/>
            <w:gridSpan w:val="4"/>
            <w:tcBorders>
              <w:top w:val="single" w:color="000000" w:sz="6" w:space="0"/>
              <w:left w:val="single" w:color="000000" w:sz="6" w:space="0"/>
            </w:tcBorders>
            <w:noWrap/>
          </w:tcPr>
          <w:p w14:paraId="58AA5514">
            <w:pPr>
              <w:pStyle w:val="34"/>
              <w:outlineLvl w:val="9"/>
              <w:rPr>
                <w:rFonts w:hint="eastAsia" w:ascii="仿宋" w:hAnsi="仿宋" w:eastAsia="仿宋" w:cs="仿宋"/>
                <w:color w:val="auto"/>
                <w:sz w:val="24"/>
                <w:szCs w:val="22"/>
                <w:highlight w:val="none"/>
              </w:rPr>
            </w:pPr>
          </w:p>
          <w:p w14:paraId="0989764B">
            <w:pPr>
              <w:pStyle w:val="34"/>
              <w:ind w:left="115"/>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环保标志产品总金额：</w:t>
            </w:r>
          </w:p>
          <w:p w14:paraId="57660A7B">
            <w:pPr>
              <w:pStyle w:val="34"/>
              <w:spacing w:before="9"/>
              <w:outlineLvl w:val="9"/>
              <w:rPr>
                <w:rFonts w:hint="eastAsia" w:ascii="仿宋" w:hAnsi="仿宋" w:eastAsia="仿宋" w:cs="仿宋"/>
                <w:color w:val="auto"/>
                <w:sz w:val="24"/>
                <w:szCs w:val="22"/>
                <w:highlight w:val="none"/>
              </w:rPr>
            </w:pPr>
          </w:p>
          <w:p w14:paraId="46761A91">
            <w:pPr>
              <w:pStyle w:val="34"/>
              <w:spacing w:line="288" w:lineRule="exact"/>
              <w:ind w:left="115"/>
              <w:outlineLvl w:val="9"/>
              <w:rPr>
                <w:rFonts w:hint="eastAsia" w:ascii="仿宋" w:hAnsi="仿宋" w:eastAsia="仿宋" w:cs="仿宋"/>
                <w:color w:val="auto"/>
                <w:sz w:val="24"/>
                <w:szCs w:val="22"/>
                <w:highlight w:val="none"/>
              </w:rPr>
            </w:pPr>
            <w:r>
              <w:rPr>
                <w:rFonts w:hint="eastAsia" w:ascii="仿宋" w:hAnsi="仿宋" w:eastAsia="仿宋" w:cs="仿宋"/>
                <w:color w:val="auto"/>
                <w:sz w:val="24"/>
                <w:szCs w:val="22"/>
                <w:highlight w:val="none"/>
              </w:rPr>
              <w:t>环保标志产品占总报价比重：%</w:t>
            </w:r>
          </w:p>
        </w:tc>
      </w:tr>
    </w:tbl>
    <w:p w14:paraId="5AE6AB4A">
      <w:pP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2E6CF551">
      <w:pPr>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属于品目清单范围内的节能或环境标志产品，应当提供国家确定的认证机构出具的、处于有效期之内的节能产品或环境标志产品认证证书复印件，并加盖响应供应商单位的公章。</w:t>
      </w:r>
    </w:p>
    <w:p w14:paraId="3FA8EFF9">
      <w:pPr>
        <w:ind w:left="272" w:firstLine="240" w:firstLine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1.未提供产品认证证书不予价格扣除。</w:t>
      </w:r>
    </w:p>
    <w:p w14:paraId="712D2C95">
      <w:pPr>
        <w:outlineLvl w:val="9"/>
        <w:rPr>
          <w:rFonts w:hint="eastAsia" w:ascii="仿宋" w:hAnsi="仿宋" w:eastAsia="仿宋" w:cs="仿宋"/>
          <w:color w:val="auto"/>
          <w:sz w:val="24"/>
          <w:szCs w:val="24"/>
          <w:highlight w:val="none"/>
        </w:rPr>
      </w:pPr>
    </w:p>
    <w:p w14:paraId="674A9A99">
      <w:pP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响应供应商名称（盖公章）：</w:t>
      </w:r>
    </w:p>
    <w:p w14:paraId="36E50A7C">
      <w:pPr>
        <w:outlineLvl w:val="9"/>
        <w:rPr>
          <w:rFonts w:hint="eastAsia" w:ascii="仿宋" w:hAnsi="仿宋" w:eastAsia="仿宋" w:cs="仿宋"/>
          <w:color w:val="auto"/>
          <w:sz w:val="24"/>
          <w:szCs w:val="24"/>
          <w:highlight w:val="none"/>
        </w:rPr>
      </w:pPr>
    </w:p>
    <w:p w14:paraId="28BDE1A8">
      <w:pP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p>
    <w:p w14:paraId="4813D8F2">
      <w:pPr>
        <w:outlineLvl w:val="9"/>
        <w:rPr>
          <w:rFonts w:hint="eastAsia" w:ascii="仿宋" w:hAnsi="仿宋" w:eastAsia="仿宋" w:cs="仿宋"/>
          <w:color w:val="auto"/>
          <w:highlight w:val="none"/>
        </w:rPr>
      </w:pPr>
    </w:p>
    <w:p w14:paraId="7D445CC7">
      <w:pPr>
        <w:outlineLvl w:val="9"/>
        <w:rPr>
          <w:rFonts w:hint="eastAsia" w:ascii="仿宋" w:hAnsi="仿宋" w:eastAsia="仿宋" w:cs="仿宋"/>
          <w:color w:val="auto"/>
          <w:highlight w:val="none"/>
        </w:rPr>
      </w:pPr>
    </w:p>
    <w:p w14:paraId="7178532F">
      <w:pPr>
        <w:pStyle w:val="8"/>
        <w:outlineLvl w:val="9"/>
        <w:rPr>
          <w:rFonts w:hint="eastAsia" w:ascii="仿宋" w:hAnsi="仿宋" w:eastAsia="仿宋" w:cs="仿宋"/>
          <w:color w:val="auto"/>
          <w:highlight w:val="none"/>
        </w:rPr>
      </w:pPr>
    </w:p>
    <w:p w14:paraId="27D81B82">
      <w:pPr>
        <w:pStyle w:val="8"/>
        <w:outlineLvl w:val="9"/>
        <w:rPr>
          <w:rFonts w:hint="eastAsia" w:ascii="仿宋" w:hAnsi="仿宋" w:eastAsia="仿宋" w:cs="仿宋"/>
          <w:color w:val="auto"/>
          <w:highlight w:val="none"/>
        </w:rPr>
      </w:pPr>
    </w:p>
    <w:p w14:paraId="7A0F61A9">
      <w:pPr>
        <w:pStyle w:val="8"/>
        <w:outlineLvl w:val="9"/>
        <w:rPr>
          <w:rFonts w:hint="eastAsia" w:ascii="仿宋" w:hAnsi="仿宋" w:eastAsia="仿宋" w:cs="仿宋"/>
          <w:color w:val="auto"/>
          <w:highlight w:val="none"/>
        </w:rPr>
      </w:pPr>
    </w:p>
    <w:p w14:paraId="346B4FAC">
      <w:pPr>
        <w:pStyle w:val="8"/>
        <w:outlineLvl w:val="9"/>
        <w:rPr>
          <w:rFonts w:hint="eastAsia" w:ascii="仿宋" w:hAnsi="仿宋" w:eastAsia="仿宋" w:cs="仿宋"/>
          <w:color w:val="auto"/>
          <w:highlight w:val="none"/>
        </w:rPr>
      </w:pPr>
    </w:p>
    <w:p w14:paraId="41C8F266">
      <w:pPr>
        <w:pStyle w:val="8"/>
        <w:outlineLvl w:val="9"/>
        <w:rPr>
          <w:rFonts w:hint="eastAsia" w:ascii="仿宋" w:hAnsi="仿宋" w:eastAsia="仿宋" w:cs="仿宋"/>
          <w:color w:val="auto"/>
          <w:highlight w:val="none"/>
        </w:rPr>
      </w:pPr>
    </w:p>
    <w:p w14:paraId="761156FC">
      <w:pPr>
        <w:pStyle w:val="8"/>
        <w:outlineLvl w:val="9"/>
        <w:rPr>
          <w:rFonts w:hint="eastAsia" w:ascii="仿宋" w:hAnsi="仿宋" w:eastAsia="仿宋" w:cs="仿宋"/>
          <w:color w:val="auto"/>
          <w:highlight w:val="none"/>
        </w:rPr>
      </w:pPr>
    </w:p>
    <w:p w14:paraId="16F42281">
      <w:pPr>
        <w:outlineLvl w:val="9"/>
        <w:rPr>
          <w:rFonts w:hint="eastAsia" w:ascii="仿宋" w:hAnsi="仿宋" w:eastAsia="仿宋" w:cs="仿宋"/>
          <w:color w:val="auto"/>
          <w:highlight w:val="none"/>
        </w:rPr>
      </w:pPr>
    </w:p>
    <w:p w14:paraId="3921FBBD">
      <w:pPr>
        <w:pStyle w:val="8"/>
        <w:outlineLvl w:val="9"/>
        <w:rPr>
          <w:rFonts w:hint="eastAsia" w:ascii="仿宋" w:hAnsi="仿宋" w:eastAsia="仿宋" w:cs="仿宋"/>
          <w:color w:val="auto"/>
          <w:highlight w:val="none"/>
        </w:rPr>
      </w:pPr>
    </w:p>
    <w:p w14:paraId="4051BE8D">
      <w:pPr>
        <w:spacing w:line="360" w:lineRule="auto"/>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zh-CN"/>
        </w:rPr>
        <w:t>附件</w:t>
      </w:r>
      <w:r>
        <w:rPr>
          <w:rFonts w:hint="eastAsia" w:ascii="仿宋" w:hAnsi="仿宋" w:eastAsia="仿宋" w:cs="仿宋"/>
          <w:b/>
          <w:bCs/>
          <w:color w:val="auto"/>
          <w:sz w:val="28"/>
          <w:szCs w:val="28"/>
          <w:highlight w:val="none"/>
        </w:rPr>
        <w:t>13、主要股东或出资人信息</w:t>
      </w:r>
    </w:p>
    <w:tbl>
      <w:tblPr>
        <w:tblStyle w:val="25"/>
        <w:tblW w:w="960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10"/>
        <w:gridCol w:w="1287"/>
        <w:gridCol w:w="2340"/>
        <w:gridCol w:w="1404"/>
        <w:gridCol w:w="1493"/>
        <w:gridCol w:w="1315"/>
        <w:gridCol w:w="957"/>
      </w:tblGrid>
      <w:tr w14:paraId="1FF0F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6" w:hRule="atLeast"/>
          <w:jc w:val="center"/>
        </w:trPr>
        <w:tc>
          <w:tcPr>
            <w:tcW w:w="810" w:type="dxa"/>
            <w:noWrap/>
            <w:vAlign w:val="center"/>
          </w:tcPr>
          <w:p w14:paraId="70FD1AB6">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287" w:type="dxa"/>
            <w:noWrap/>
            <w:vAlign w:val="center"/>
          </w:tcPr>
          <w:p w14:paraId="0582C835">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名称</w:t>
            </w:r>
          </w:p>
          <w:p w14:paraId="294DDADE">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（姓名）</w:t>
            </w:r>
          </w:p>
        </w:tc>
        <w:tc>
          <w:tcPr>
            <w:tcW w:w="2340" w:type="dxa"/>
            <w:noWrap/>
            <w:vAlign w:val="center"/>
          </w:tcPr>
          <w:p w14:paraId="64D8D3D6">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p w14:paraId="7D1A304E">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（身份证号）</w:t>
            </w:r>
          </w:p>
        </w:tc>
        <w:tc>
          <w:tcPr>
            <w:tcW w:w="1404" w:type="dxa"/>
            <w:noWrap/>
            <w:vAlign w:val="center"/>
          </w:tcPr>
          <w:p w14:paraId="5923A407">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出资方式</w:t>
            </w:r>
          </w:p>
        </w:tc>
        <w:tc>
          <w:tcPr>
            <w:tcW w:w="1493" w:type="dxa"/>
            <w:noWrap/>
            <w:vAlign w:val="center"/>
          </w:tcPr>
          <w:p w14:paraId="52AFD40F">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出资金额</w:t>
            </w:r>
          </w:p>
          <w:p w14:paraId="427C9B0B">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（万元）</w:t>
            </w:r>
          </w:p>
        </w:tc>
        <w:tc>
          <w:tcPr>
            <w:tcW w:w="1315" w:type="dxa"/>
            <w:noWrap/>
            <w:vAlign w:val="center"/>
          </w:tcPr>
          <w:p w14:paraId="39FDFC1D">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占全部股份比例</w:t>
            </w:r>
          </w:p>
        </w:tc>
        <w:tc>
          <w:tcPr>
            <w:tcW w:w="957" w:type="dxa"/>
            <w:noWrap/>
            <w:vAlign w:val="center"/>
          </w:tcPr>
          <w:p w14:paraId="1FFE6BEF">
            <w:pPr>
              <w:jc w:val="center"/>
              <w:outlineLvl w:val="9"/>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p>
        </w:tc>
      </w:tr>
      <w:tr w14:paraId="272A00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ign w:val="center"/>
          </w:tcPr>
          <w:p w14:paraId="5145749B">
            <w:pPr>
              <w:jc w:val="center"/>
              <w:outlineLvl w:val="9"/>
              <w:rPr>
                <w:rFonts w:hint="eastAsia" w:ascii="仿宋" w:hAnsi="仿宋" w:eastAsia="仿宋" w:cs="仿宋"/>
                <w:color w:val="auto"/>
                <w:szCs w:val="21"/>
                <w:highlight w:val="none"/>
              </w:rPr>
            </w:pPr>
          </w:p>
        </w:tc>
        <w:tc>
          <w:tcPr>
            <w:tcW w:w="1287" w:type="dxa"/>
            <w:noWrap/>
            <w:vAlign w:val="center"/>
          </w:tcPr>
          <w:p w14:paraId="1BAB80A4">
            <w:pPr>
              <w:jc w:val="center"/>
              <w:outlineLvl w:val="9"/>
              <w:rPr>
                <w:rFonts w:hint="eastAsia" w:ascii="仿宋" w:hAnsi="仿宋" w:eastAsia="仿宋" w:cs="仿宋"/>
                <w:color w:val="auto"/>
                <w:szCs w:val="21"/>
                <w:highlight w:val="none"/>
              </w:rPr>
            </w:pPr>
          </w:p>
        </w:tc>
        <w:tc>
          <w:tcPr>
            <w:tcW w:w="2340" w:type="dxa"/>
            <w:noWrap/>
            <w:vAlign w:val="center"/>
          </w:tcPr>
          <w:p w14:paraId="6729E56C">
            <w:pPr>
              <w:jc w:val="center"/>
              <w:outlineLvl w:val="9"/>
              <w:rPr>
                <w:rFonts w:hint="eastAsia" w:ascii="仿宋" w:hAnsi="仿宋" w:eastAsia="仿宋" w:cs="仿宋"/>
                <w:color w:val="auto"/>
                <w:szCs w:val="21"/>
                <w:highlight w:val="none"/>
              </w:rPr>
            </w:pPr>
          </w:p>
        </w:tc>
        <w:tc>
          <w:tcPr>
            <w:tcW w:w="1404" w:type="dxa"/>
            <w:noWrap/>
            <w:vAlign w:val="center"/>
          </w:tcPr>
          <w:p w14:paraId="78363A41">
            <w:pPr>
              <w:jc w:val="center"/>
              <w:outlineLvl w:val="9"/>
              <w:rPr>
                <w:rFonts w:hint="eastAsia" w:ascii="仿宋" w:hAnsi="仿宋" w:eastAsia="仿宋" w:cs="仿宋"/>
                <w:color w:val="auto"/>
                <w:szCs w:val="21"/>
                <w:highlight w:val="none"/>
              </w:rPr>
            </w:pPr>
          </w:p>
        </w:tc>
        <w:tc>
          <w:tcPr>
            <w:tcW w:w="1493" w:type="dxa"/>
            <w:noWrap/>
            <w:vAlign w:val="center"/>
          </w:tcPr>
          <w:p w14:paraId="47277FF7">
            <w:pPr>
              <w:jc w:val="center"/>
              <w:outlineLvl w:val="9"/>
              <w:rPr>
                <w:rFonts w:hint="eastAsia" w:ascii="仿宋" w:hAnsi="仿宋" w:eastAsia="仿宋" w:cs="仿宋"/>
                <w:color w:val="auto"/>
                <w:szCs w:val="21"/>
                <w:highlight w:val="none"/>
              </w:rPr>
            </w:pPr>
          </w:p>
        </w:tc>
        <w:tc>
          <w:tcPr>
            <w:tcW w:w="1315" w:type="dxa"/>
            <w:noWrap/>
            <w:vAlign w:val="center"/>
          </w:tcPr>
          <w:p w14:paraId="2C068F13">
            <w:pPr>
              <w:jc w:val="center"/>
              <w:outlineLvl w:val="9"/>
              <w:rPr>
                <w:rFonts w:hint="eastAsia" w:ascii="仿宋" w:hAnsi="仿宋" w:eastAsia="仿宋" w:cs="仿宋"/>
                <w:color w:val="auto"/>
                <w:szCs w:val="21"/>
                <w:highlight w:val="none"/>
              </w:rPr>
            </w:pPr>
          </w:p>
        </w:tc>
        <w:tc>
          <w:tcPr>
            <w:tcW w:w="957" w:type="dxa"/>
            <w:noWrap/>
            <w:vAlign w:val="center"/>
          </w:tcPr>
          <w:p w14:paraId="14637FBC">
            <w:pPr>
              <w:jc w:val="center"/>
              <w:outlineLvl w:val="9"/>
              <w:rPr>
                <w:rFonts w:hint="eastAsia" w:ascii="仿宋" w:hAnsi="仿宋" w:eastAsia="仿宋" w:cs="仿宋"/>
                <w:color w:val="auto"/>
                <w:szCs w:val="21"/>
                <w:highlight w:val="none"/>
              </w:rPr>
            </w:pPr>
          </w:p>
        </w:tc>
      </w:tr>
      <w:tr w14:paraId="209EF4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ign w:val="center"/>
          </w:tcPr>
          <w:p w14:paraId="77D74E84">
            <w:pPr>
              <w:jc w:val="center"/>
              <w:outlineLvl w:val="9"/>
              <w:rPr>
                <w:rFonts w:hint="eastAsia" w:ascii="仿宋" w:hAnsi="仿宋" w:eastAsia="仿宋" w:cs="仿宋"/>
                <w:color w:val="auto"/>
                <w:szCs w:val="21"/>
                <w:highlight w:val="none"/>
              </w:rPr>
            </w:pPr>
          </w:p>
        </w:tc>
        <w:tc>
          <w:tcPr>
            <w:tcW w:w="1287" w:type="dxa"/>
            <w:noWrap/>
            <w:vAlign w:val="center"/>
          </w:tcPr>
          <w:p w14:paraId="4D8D2B51">
            <w:pPr>
              <w:jc w:val="center"/>
              <w:outlineLvl w:val="9"/>
              <w:rPr>
                <w:rFonts w:hint="eastAsia" w:ascii="仿宋" w:hAnsi="仿宋" w:eastAsia="仿宋" w:cs="仿宋"/>
                <w:color w:val="auto"/>
                <w:szCs w:val="21"/>
                <w:highlight w:val="none"/>
              </w:rPr>
            </w:pPr>
          </w:p>
        </w:tc>
        <w:tc>
          <w:tcPr>
            <w:tcW w:w="2340" w:type="dxa"/>
            <w:noWrap/>
            <w:vAlign w:val="center"/>
          </w:tcPr>
          <w:p w14:paraId="0B28186E">
            <w:pPr>
              <w:jc w:val="center"/>
              <w:outlineLvl w:val="9"/>
              <w:rPr>
                <w:rFonts w:hint="eastAsia" w:ascii="仿宋" w:hAnsi="仿宋" w:eastAsia="仿宋" w:cs="仿宋"/>
                <w:color w:val="auto"/>
                <w:szCs w:val="21"/>
                <w:highlight w:val="none"/>
              </w:rPr>
            </w:pPr>
          </w:p>
        </w:tc>
        <w:tc>
          <w:tcPr>
            <w:tcW w:w="1404" w:type="dxa"/>
            <w:noWrap/>
            <w:vAlign w:val="center"/>
          </w:tcPr>
          <w:p w14:paraId="6FCFBE6F">
            <w:pPr>
              <w:jc w:val="center"/>
              <w:outlineLvl w:val="9"/>
              <w:rPr>
                <w:rFonts w:hint="eastAsia" w:ascii="仿宋" w:hAnsi="仿宋" w:eastAsia="仿宋" w:cs="仿宋"/>
                <w:color w:val="auto"/>
                <w:szCs w:val="21"/>
                <w:highlight w:val="none"/>
              </w:rPr>
            </w:pPr>
          </w:p>
        </w:tc>
        <w:tc>
          <w:tcPr>
            <w:tcW w:w="1493" w:type="dxa"/>
            <w:noWrap/>
            <w:vAlign w:val="center"/>
          </w:tcPr>
          <w:p w14:paraId="63BA5D34">
            <w:pPr>
              <w:jc w:val="center"/>
              <w:outlineLvl w:val="9"/>
              <w:rPr>
                <w:rFonts w:hint="eastAsia" w:ascii="仿宋" w:hAnsi="仿宋" w:eastAsia="仿宋" w:cs="仿宋"/>
                <w:color w:val="auto"/>
                <w:szCs w:val="21"/>
                <w:highlight w:val="none"/>
              </w:rPr>
            </w:pPr>
          </w:p>
        </w:tc>
        <w:tc>
          <w:tcPr>
            <w:tcW w:w="1315" w:type="dxa"/>
            <w:noWrap/>
            <w:vAlign w:val="center"/>
          </w:tcPr>
          <w:p w14:paraId="0AAA29BB">
            <w:pPr>
              <w:jc w:val="center"/>
              <w:outlineLvl w:val="9"/>
              <w:rPr>
                <w:rFonts w:hint="eastAsia" w:ascii="仿宋" w:hAnsi="仿宋" w:eastAsia="仿宋" w:cs="仿宋"/>
                <w:color w:val="auto"/>
                <w:szCs w:val="21"/>
                <w:highlight w:val="none"/>
              </w:rPr>
            </w:pPr>
          </w:p>
        </w:tc>
        <w:tc>
          <w:tcPr>
            <w:tcW w:w="957" w:type="dxa"/>
            <w:noWrap/>
            <w:vAlign w:val="center"/>
          </w:tcPr>
          <w:p w14:paraId="279509F6">
            <w:pPr>
              <w:jc w:val="center"/>
              <w:outlineLvl w:val="9"/>
              <w:rPr>
                <w:rFonts w:hint="eastAsia" w:ascii="仿宋" w:hAnsi="仿宋" w:eastAsia="仿宋" w:cs="仿宋"/>
                <w:color w:val="auto"/>
                <w:szCs w:val="21"/>
                <w:highlight w:val="none"/>
              </w:rPr>
            </w:pPr>
          </w:p>
        </w:tc>
      </w:tr>
      <w:tr w14:paraId="39CB26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ign w:val="center"/>
          </w:tcPr>
          <w:p w14:paraId="00DE2B8E">
            <w:pPr>
              <w:jc w:val="center"/>
              <w:outlineLvl w:val="9"/>
              <w:rPr>
                <w:rFonts w:hint="eastAsia" w:ascii="仿宋" w:hAnsi="仿宋" w:eastAsia="仿宋" w:cs="仿宋"/>
                <w:color w:val="auto"/>
                <w:szCs w:val="21"/>
                <w:highlight w:val="none"/>
              </w:rPr>
            </w:pPr>
          </w:p>
        </w:tc>
        <w:tc>
          <w:tcPr>
            <w:tcW w:w="1287" w:type="dxa"/>
            <w:noWrap/>
            <w:vAlign w:val="center"/>
          </w:tcPr>
          <w:p w14:paraId="10942CA2">
            <w:pPr>
              <w:jc w:val="center"/>
              <w:outlineLvl w:val="9"/>
              <w:rPr>
                <w:rFonts w:hint="eastAsia" w:ascii="仿宋" w:hAnsi="仿宋" w:eastAsia="仿宋" w:cs="仿宋"/>
                <w:color w:val="auto"/>
                <w:szCs w:val="21"/>
                <w:highlight w:val="none"/>
              </w:rPr>
            </w:pPr>
          </w:p>
        </w:tc>
        <w:tc>
          <w:tcPr>
            <w:tcW w:w="2340" w:type="dxa"/>
            <w:noWrap/>
            <w:vAlign w:val="center"/>
          </w:tcPr>
          <w:p w14:paraId="1C02BE9E">
            <w:pPr>
              <w:jc w:val="center"/>
              <w:outlineLvl w:val="9"/>
              <w:rPr>
                <w:rFonts w:hint="eastAsia" w:ascii="仿宋" w:hAnsi="仿宋" w:eastAsia="仿宋" w:cs="仿宋"/>
                <w:color w:val="auto"/>
                <w:szCs w:val="21"/>
                <w:highlight w:val="none"/>
              </w:rPr>
            </w:pPr>
          </w:p>
        </w:tc>
        <w:tc>
          <w:tcPr>
            <w:tcW w:w="1404" w:type="dxa"/>
            <w:noWrap/>
            <w:vAlign w:val="center"/>
          </w:tcPr>
          <w:p w14:paraId="19376521">
            <w:pPr>
              <w:jc w:val="center"/>
              <w:outlineLvl w:val="9"/>
              <w:rPr>
                <w:rFonts w:hint="eastAsia" w:ascii="仿宋" w:hAnsi="仿宋" w:eastAsia="仿宋" w:cs="仿宋"/>
                <w:color w:val="auto"/>
                <w:szCs w:val="21"/>
                <w:highlight w:val="none"/>
              </w:rPr>
            </w:pPr>
          </w:p>
        </w:tc>
        <w:tc>
          <w:tcPr>
            <w:tcW w:w="1493" w:type="dxa"/>
            <w:noWrap/>
            <w:vAlign w:val="center"/>
          </w:tcPr>
          <w:p w14:paraId="01A39E22">
            <w:pPr>
              <w:jc w:val="center"/>
              <w:outlineLvl w:val="9"/>
              <w:rPr>
                <w:rFonts w:hint="eastAsia" w:ascii="仿宋" w:hAnsi="仿宋" w:eastAsia="仿宋" w:cs="仿宋"/>
                <w:color w:val="auto"/>
                <w:szCs w:val="21"/>
                <w:highlight w:val="none"/>
              </w:rPr>
            </w:pPr>
          </w:p>
        </w:tc>
        <w:tc>
          <w:tcPr>
            <w:tcW w:w="1315" w:type="dxa"/>
            <w:noWrap/>
            <w:vAlign w:val="center"/>
          </w:tcPr>
          <w:p w14:paraId="7E4A1EED">
            <w:pPr>
              <w:jc w:val="center"/>
              <w:outlineLvl w:val="9"/>
              <w:rPr>
                <w:rFonts w:hint="eastAsia" w:ascii="仿宋" w:hAnsi="仿宋" w:eastAsia="仿宋" w:cs="仿宋"/>
                <w:color w:val="auto"/>
                <w:szCs w:val="21"/>
                <w:highlight w:val="none"/>
              </w:rPr>
            </w:pPr>
          </w:p>
        </w:tc>
        <w:tc>
          <w:tcPr>
            <w:tcW w:w="957" w:type="dxa"/>
            <w:noWrap/>
            <w:vAlign w:val="center"/>
          </w:tcPr>
          <w:p w14:paraId="7B22DFA3">
            <w:pPr>
              <w:jc w:val="center"/>
              <w:outlineLvl w:val="9"/>
              <w:rPr>
                <w:rFonts w:hint="eastAsia" w:ascii="仿宋" w:hAnsi="仿宋" w:eastAsia="仿宋" w:cs="仿宋"/>
                <w:color w:val="auto"/>
                <w:szCs w:val="21"/>
                <w:highlight w:val="none"/>
              </w:rPr>
            </w:pPr>
          </w:p>
        </w:tc>
      </w:tr>
      <w:tr w14:paraId="38F886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ign w:val="center"/>
          </w:tcPr>
          <w:p w14:paraId="2E76414B">
            <w:pPr>
              <w:jc w:val="center"/>
              <w:outlineLvl w:val="9"/>
              <w:rPr>
                <w:rFonts w:hint="eastAsia" w:ascii="仿宋" w:hAnsi="仿宋" w:eastAsia="仿宋" w:cs="仿宋"/>
                <w:color w:val="auto"/>
                <w:szCs w:val="21"/>
                <w:highlight w:val="none"/>
              </w:rPr>
            </w:pPr>
          </w:p>
        </w:tc>
        <w:tc>
          <w:tcPr>
            <w:tcW w:w="1287" w:type="dxa"/>
            <w:noWrap/>
            <w:vAlign w:val="center"/>
          </w:tcPr>
          <w:p w14:paraId="2E6BAD63">
            <w:pPr>
              <w:jc w:val="center"/>
              <w:outlineLvl w:val="9"/>
              <w:rPr>
                <w:rFonts w:hint="eastAsia" w:ascii="仿宋" w:hAnsi="仿宋" w:eastAsia="仿宋" w:cs="仿宋"/>
                <w:color w:val="auto"/>
                <w:szCs w:val="21"/>
                <w:highlight w:val="none"/>
              </w:rPr>
            </w:pPr>
          </w:p>
        </w:tc>
        <w:tc>
          <w:tcPr>
            <w:tcW w:w="2340" w:type="dxa"/>
            <w:noWrap/>
            <w:vAlign w:val="center"/>
          </w:tcPr>
          <w:p w14:paraId="45B6F4B3">
            <w:pPr>
              <w:jc w:val="center"/>
              <w:outlineLvl w:val="9"/>
              <w:rPr>
                <w:rFonts w:hint="eastAsia" w:ascii="仿宋" w:hAnsi="仿宋" w:eastAsia="仿宋" w:cs="仿宋"/>
                <w:color w:val="auto"/>
                <w:szCs w:val="21"/>
                <w:highlight w:val="none"/>
              </w:rPr>
            </w:pPr>
          </w:p>
        </w:tc>
        <w:tc>
          <w:tcPr>
            <w:tcW w:w="1404" w:type="dxa"/>
            <w:noWrap/>
            <w:vAlign w:val="center"/>
          </w:tcPr>
          <w:p w14:paraId="62663CA1">
            <w:pPr>
              <w:jc w:val="center"/>
              <w:outlineLvl w:val="9"/>
              <w:rPr>
                <w:rFonts w:hint="eastAsia" w:ascii="仿宋" w:hAnsi="仿宋" w:eastAsia="仿宋" w:cs="仿宋"/>
                <w:color w:val="auto"/>
                <w:szCs w:val="21"/>
                <w:highlight w:val="none"/>
              </w:rPr>
            </w:pPr>
          </w:p>
        </w:tc>
        <w:tc>
          <w:tcPr>
            <w:tcW w:w="1493" w:type="dxa"/>
            <w:noWrap/>
            <w:vAlign w:val="center"/>
          </w:tcPr>
          <w:p w14:paraId="36DD1EFF">
            <w:pPr>
              <w:jc w:val="center"/>
              <w:outlineLvl w:val="9"/>
              <w:rPr>
                <w:rFonts w:hint="eastAsia" w:ascii="仿宋" w:hAnsi="仿宋" w:eastAsia="仿宋" w:cs="仿宋"/>
                <w:color w:val="auto"/>
                <w:szCs w:val="21"/>
                <w:highlight w:val="none"/>
              </w:rPr>
            </w:pPr>
          </w:p>
        </w:tc>
        <w:tc>
          <w:tcPr>
            <w:tcW w:w="1315" w:type="dxa"/>
            <w:noWrap/>
            <w:vAlign w:val="center"/>
          </w:tcPr>
          <w:p w14:paraId="53A55800">
            <w:pPr>
              <w:jc w:val="center"/>
              <w:outlineLvl w:val="9"/>
              <w:rPr>
                <w:rFonts w:hint="eastAsia" w:ascii="仿宋" w:hAnsi="仿宋" w:eastAsia="仿宋" w:cs="仿宋"/>
                <w:color w:val="auto"/>
                <w:szCs w:val="21"/>
                <w:highlight w:val="none"/>
              </w:rPr>
            </w:pPr>
          </w:p>
        </w:tc>
        <w:tc>
          <w:tcPr>
            <w:tcW w:w="957" w:type="dxa"/>
            <w:noWrap/>
            <w:vAlign w:val="center"/>
          </w:tcPr>
          <w:p w14:paraId="0C120935">
            <w:pPr>
              <w:jc w:val="center"/>
              <w:outlineLvl w:val="9"/>
              <w:rPr>
                <w:rFonts w:hint="eastAsia" w:ascii="仿宋" w:hAnsi="仿宋" w:eastAsia="仿宋" w:cs="仿宋"/>
                <w:color w:val="auto"/>
                <w:szCs w:val="21"/>
                <w:highlight w:val="none"/>
              </w:rPr>
            </w:pPr>
          </w:p>
        </w:tc>
      </w:tr>
      <w:tr w14:paraId="2E016E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810" w:type="dxa"/>
            <w:noWrap/>
            <w:vAlign w:val="center"/>
          </w:tcPr>
          <w:p w14:paraId="69DB9DBE">
            <w:pPr>
              <w:jc w:val="center"/>
              <w:outlineLvl w:val="9"/>
              <w:rPr>
                <w:rFonts w:hint="eastAsia" w:ascii="仿宋" w:hAnsi="仿宋" w:eastAsia="仿宋" w:cs="仿宋"/>
                <w:color w:val="auto"/>
                <w:szCs w:val="22"/>
                <w:highlight w:val="none"/>
              </w:rPr>
            </w:pPr>
          </w:p>
        </w:tc>
        <w:tc>
          <w:tcPr>
            <w:tcW w:w="1287" w:type="dxa"/>
            <w:noWrap/>
            <w:vAlign w:val="center"/>
          </w:tcPr>
          <w:p w14:paraId="7B728B54">
            <w:pPr>
              <w:jc w:val="center"/>
              <w:outlineLvl w:val="9"/>
              <w:rPr>
                <w:rFonts w:hint="eastAsia" w:ascii="仿宋" w:hAnsi="仿宋" w:eastAsia="仿宋" w:cs="仿宋"/>
                <w:color w:val="auto"/>
                <w:szCs w:val="22"/>
                <w:highlight w:val="none"/>
              </w:rPr>
            </w:pPr>
          </w:p>
        </w:tc>
        <w:tc>
          <w:tcPr>
            <w:tcW w:w="2340" w:type="dxa"/>
            <w:noWrap/>
            <w:vAlign w:val="center"/>
          </w:tcPr>
          <w:p w14:paraId="443C5B92">
            <w:pPr>
              <w:jc w:val="center"/>
              <w:outlineLvl w:val="9"/>
              <w:rPr>
                <w:rFonts w:hint="eastAsia" w:ascii="仿宋" w:hAnsi="仿宋" w:eastAsia="仿宋" w:cs="仿宋"/>
                <w:color w:val="auto"/>
                <w:szCs w:val="22"/>
                <w:highlight w:val="none"/>
              </w:rPr>
            </w:pPr>
          </w:p>
        </w:tc>
        <w:tc>
          <w:tcPr>
            <w:tcW w:w="1404" w:type="dxa"/>
            <w:noWrap/>
            <w:vAlign w:val="center"/>
          </w:tcPr>
          <w:p w14:paraId="2B954800">
            <w:pPr>
              <w:jc w:val="center"/>
              <w:outlineLvl w:val="9"/>
              <w:rPr>
                <w:rFonts w:hint="eastAsia" w:ascii="仿宋" w:hAnsi="仿宋" w:eastAsia="仿宋" w:cs="仿宋"/>
                <w:color w:val="auto"/>
                <w:szCs w:val="22"/>
                <w:highlight w:val="none"/>
              </w:rPr>
            </w:pPr>
          </w:p>
        </w:tc>
        <w:tc>
          <w:tcPr>
            <w:tcW w:w="1493" w:type="dxa"/>
            <w:noWrap/>
            <w:vAlign w:val="center"/>
          </w:tcPr>
          <w:p w14:paraId="40F54411">
            <w:pPr>
              <w:jc w:val="center"/>
              <w:outlineLvl w:val="9"/>
              <w:rPr>
                <w:rFonts w:hint="eastAsia" w:ascii="仿宋" w:hAnsi="仿宋" w:eastAsia="仿宋" w:cs="仿宋"/>
                <w:color w:val="auto"/>
                <w:szCs w:val="22"/>
                <w:highlight w:val="none"/>
              </w:rPr>
            </w:pPr>
          </w:p>
        </w:tc>
        <w:tc>
          <w:tcPr>
            <w:tcW w:w="1315" w:type="dxa"/>
            <w:noWrap/>
            <w:vAlign w:val="center"/>
          </w:tcPr>
          <w:p w14:paraId="0FF7F412">
            <w:pPr>
              <w:jc w:val="center"/>
              <w:outlineLvl w:val="9"/>
              <w:rPr>
                <w:rFonts w:hint="eastAsia" w:ascii="仿宋" w:hAnsi="仿宋" w:eastAsia="仿宋" w:cs="仿宋"/>
                <w:color w:val="auto"/>
                <w:szCs w:val="22"/>
                <w:highlight w:val="none"/>
              </w:rPr>
            </w:pPr>
          </w:p>
        </w:tc>
        <w:tc>
          <w:tcPr>
            <w:tcW w:w="957" w:type="dxa"/>
            <w:noWrap/>
            <w:vAlign w:val="center"/>
          </w:tcPr>
          <w:p w14:paraId="41ED61DB">
            <w:pPr>
              <w:jc w:val="center"/>
              <w:outlineLvl w:val="9"/>
              <w:rPr>
                <w:rFonts w:hint="eastAsia" w:ascii="仿宋" w:hAnsi="仿宋" w:eastAsia="仿宋" w:cs="仿宋"/>
                <w:color w:val="auto"/>
                <w:szCs w:val="22"/>
                <w:highlight w:val="none"/>
              </w:rPr>
            </w:pPr>
          </w:p>
        </w:tc>
      </w:tr>
    </w:tbl>
    <w:p w14:paraId="00C1EE62">
      <w:pPr>
        <w:spacing w:line="48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我方承诺，以上信息真实可靠；如填报的股东出资额、出资比例等与实际不符，视为放弃中标资格。</w:t>
      </w:r>
    </w:p>
    <w:p w14:paraId="2176EFC0">
      <w:pPr>
        <w:spacing w:line="480" w:lineRule="exact"/>
        <w:ind w:left="630" w:hanging="630" w:hangingChars="300"/>
        <w:outlineLvl w:val="9"/>
        <w:rPr>
          <w:rFonts w:hint="eastAsia" w:ascii="仿宋" w:hAnsi="仿宋" w:eastAsia="仿宋" w:cs="仿宋"/>
          <w:color w:val="auto"/>
          <w:highlight w:val="none"/>
        </w:rPr>
      </w:pPr>
    </w:p>
    <w:p w14:paraId="1CA4DFD4">
      <w:pPr>
        <w:snapToGrid w:val="0"/>
        <w:spacing w:line="440" w:lineRule="exact"/>
        <w:ind w:left="630" w:hanging="720" w:hangingChars="3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注：1.主要股东或出资人为法人的，填写法人全称及统一社会信用代码（尚未办理三证合一的填写组织机构代码）；为自然人的，填写自然人姓名和身份证号。</w:t>
      </w:r>
    </w:p>
    <w:p w14:paraId="713D1FD3">
      <w:pPr>
        <w:snapToGrid w:val="0"/>
        <w:spacing w:line="440" w:lineRule="exact"/>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2.出资方式填写货币、实物、工艺产权和非专利技术、土地使用权等。</w:t>
      </w:r>
    </w:p>
    <w:p w14:paraId="6B51D254">
      <w:pPr>
        <w:snapToGrid w:val="0"/>
        <w:spacing w:line="440" w:lineRule="exact"/>
        <w:ind w:left="660" w:leftChars="200" w:hanging="240" w:hangingChars="1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3.供应商应按照占全部股份比例从大到小依次逐个股东填写，股东数量多于10个的，填写前10名，不足10个的全部填写。</w:t>
      </w:r>
    </w:p>
    <w:p w14:paraId="5B0C1718">
      <w:pPr>
        <w:spacing w:line="480" w:lineRule="exact"/>
        <w:ind w:left="540" w:leftChars="200" w:hanging="120" w:hangingChars="50"/>
        <w:outlineLvl w:val="9"/>
        <w:rPr>
          <w:rFonts w:hint="eastAsia" w:ascii="仿宋" w:hAnsi="仿宋" w:eastAsia="仿宋" w:cs="仿宋"/>
          <w:color w:val="auto"/>
          <w:sz w:val="24"/>
          <w:szCs w:val="24"/>
          <w:highlight w:val="none"/>
        </w:rPr>
      </w:pPr>
    </w:p>
    <w:p w14:paraId="35365FEB">
      <w:pPr>
        <w:spacing w:line="480" w:lineRule="exact"/>
        <w:ind w:left="540" w:leftChars="200" w:hanging="120" w:hangingChars="50"/>
        <w:outlineLvl w:val="9"/>
        <w:rPr>
          <w:rFonts w:hint="eastAsia" w:ascii="仿宋" w:hAnsi="仿宋" w:eastAsia="仿宋" w:cs="仿宋"/>
          <w:color w:val="auto"/>
          <w:sz w:val="24"/>
          <w:szCs w:val="24"/>
          <w:highlight w:val="none"/>
        </w:rPr>
      </w:pPr>
    </w:p>
    <w:p w14:paraId="32EED63B">
      <w:pPr>
        <w:spacing w:line="480" w:lineRule="exact"/>
        <w:ind w:left="540" w:leftChars="200" w:hanging="120" w:hangingChars="50"/>
        <w:outlineLvl w:val="9"/>
        <w:rPr>
          <w:rFonts w:hint="eastAsia" w:ascii="仿宋" w:hAnsi="仿宋" w:eastAsia="仿宋" w:cs="仿宋"/>
          <w:color w:val="auto"/>
          <w:sz w:val="24"/>
          <w:szCs w:val="24"/>
          <w:highlight w:val="none"/>
        </w:rPr>
      </w:pPr>
    </w:p>
    <w:p w14:paraId="438EE0D1">
      <w:pPr>
        <w:jc w:val="center"/>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供应商全称：（盖章）</w:t>
      </w:r>
    </w:p>
    <w:p w14:paraId="7F81565A">
      <w:pPr>
        <w:jc w:val="center"/>
        <w:outlineLvl w:val="9"/>
        <w:rPr>
          <w:rFonts w:hint="eastAsia" w:ascii="仿宋" w:hAnsi="仿宋" w:eastAsia="仿宋" w:cs="仿宋"/>
          <w:color w:val="auto"/>
          <w:sz w:val="24"/>
          <w:szCs w:val="24"/>
          <w:highlight w:val="none"/>
          <w:lang w:val="zh-CN"/>
        </w:rPr>
      </w:pPr>
    </w:p>
    <w:p w14:paraId="6540A307">
      <w:pPr>
        <w:jc w:val="center"/>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              法定代表人（或授权代表）：（签字）</w:t>
      </w:r>
    </w:p>
    <w:p w14:paraId="3FC7F66B">
      <w:pPr>
        <w:outlineLvl w:val="9"/>
        <w:rPr>
          <w:rFonts w:hint="eastAsia" w:ascii="仿宋" w:hAnsi="仿宋" w:eastAsia="仿宋" w:cs="仿宋"/>
          <w:color w:val="auto"/>
          <w:sz w:val="24"/>
          <w:szCs w:val="24"/>
          <w:highlight w:val="none"/>
          <w:lang w:val="zh-CN"/>
        </w:rPr>
      </w:pPr>
    </w:p>
    <w:p w14:paraId="5DB7403B">
      <w:pPr>
        <w:pStyle w:val="8"/>
        <w:ind w:firstLine="6960" w:firstLineChars="2900"/>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年   月   日</w:t>
      </w:r>
    </w:p>
    <w:p w14:paraId="6A4B646E">
      <w:pPr>
        <w:outlineLvl w:val="9"/>
        <w:rPr>
          <w:rFonts w:hint="eastAsia" w:ascii="仿宋" w:hAnsi="仿宋" w:eastAsia="仿宋" w:cs="仿宋"/>
          <w:b/>
          <w:color w:val="auto"/>
          <w:sz w:val="24"/>
          <w:szCs w:val="24"/>
          <w:highlight w:val="none"/>
        </w:rPr>
      </w:pPr>
    </w:p>
    <w:p w14:paraId="773BD0E0">
      <w:pPr>
        <w:outlineLvl w:val="9"/>
        <w:rPr>
          <w:rFonts w:hint="eastAsia" w:ascii="仿宋" w:hAnsi="仿宋" w:eastAsia="仿宋" w:cs="仿宋"/>
          <w:b/>
          <w:color w:val="auto"/>
          <w:sz w:val="24"/>
          <w:szCs w:val="24"/>
          <w:highlight w:val="none"/>
        </w:rPr>
      </w:pPr>
    </w:p>
    <w:p w14:paraId="27A08C7E">
      <w:pPr>
        <w:outlineLvl w:val="9"/>
        <w:rPr>
          <w:rFonts w:hint="eastAsia" w:ascii="仿宋" w:hAnsi="仿宋" w:eastAsia="仿宋" w:cs="仿宋"/>
          <w:b/>
          <w:color w:val="auto"/>
          <w:sz w:val="24"/>
          <w:szCs w:val="24"/>
          <w:highlight w:val="none"/>
        </w:rPr>
      </w:pPr>
    </w:p>
    <w:p w14:paraId="7769D2FA">
      <w:pPr>
        <w:outlineLvl w:val="9"/>
        <w:rPr>
          <w:rFonts w:hint="eastAsia" w:ascii="仿宋" w:hAnsi="仿宋" w:eastAsia="仿宋" w:cs="仿宋"/>
          <w:b/>
          <w:color w:val="auto"/>
          <w:sz w:val="24"/>
          <w:szCs w:val="24"/>
          <w:highlight w:val="none"/>
        </w:rPr>
      </w:pPr>
    </w:p>
    <w:p w14:paraId="00FCCCA1">
      <w:pPr>
        <w:outlineLvl w:val="9"/>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14:paraId="3ABDC163">
      <w:p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附件14、非联合体投标声明</w:t>
      </w:r>
    </w:p>
    <w:p w14:paraId="59E74230">
      <w:pPr>
        <w:outlineLvl w:val="9"/>
        <w:rPr>
          <w:rFonts w:hint="eastAsia" w:ascii="仿宋" w:hAnsi="仿宋" w:eastAsia="仿宋" w:cs="仿宋"/>
          <w:b/>
          <w:color w:val="auto"/>
          <w:sz w:val="32"/>
          <w:szCs w:val="32"/>
          <w:highlight w:val="none"/>
        </w:rPr>
      </w:pPr>
    </w:p>
    <w:p w14:paraId="738F06F4">
      <w:pPr>
        <w:ind w:firstLine="642"/>
        <w:outlineLvl w:val="9"/>
        <w:rPr>
          <w:rFonts w:hint="eastAsia" w:ascii="仿宋" w:hAnsi="仿宋" w:eastAsia="仿宋" w:cs="仿宋"/>
          <w:b/>
          <w:color w:val="auto"/>
          <w:sz w:val="24"/>
          <w:szCs w:val="24"/>
          <w:highlight w:val="none"/>
        </w:rPr>
      </w:pPr>
    </w:p>
    <w:p w14:paraId="383F9FCC">
      <w:pPr>
        <w:ind w:firstLine="642"/>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本项目非联合体投标，特此声明。</w:t>
      </w:r>
    </w:p>
    <w:p w14:paraId="3DC08290">
      <w:pPr>
        <w:ind w:firstLine="642"/>
        <w:outlineLvl w:val="9"/>
        <w:rPr>
          <w:rFonts w:hint="eastAsia" w:ascii="仿宋" w:hAnsi="仿宋" w:eastAsia="仿宋" w:cs="仿宋"/>
          <w:b/>
          <w:color w:val="auto"/>
          <w:sz w:val="24"/>
          <w:szCs w:val="24"/>
          <w:highlight w:val="none"/>
        </w:rPr>
      </w:pPr>
    </w:p>
    <w:p w14:paraId="7C7EC797">
      <w:pPr>
        <w:ind w:firstLine="642"/>
        <w:outlineLvl w:val="9"/>
        <w:rPr>
          <w:rFonts w:hint="eastAsia" w:ascii="仿宋" w:hAnsi="仿宋" w:eastAsia="仿宋" w:cs="仿宋"/>
          <w:b/>
          <w:color w:val="auto"/>
          <w:sz w:val="24"/>
          <w:szCs w:val="24"/>
          <w:highlight w:val="none"/>
        </w:rPr>
      </w:pPr>
    </w:p>
    <w:p w14:paraId="274E2DF6">
      <w:pPr>
        <w:spacing w:line="720" w:lineRule="auto"/>
        <w:ind w:firstLine="642"/>
        <w:jc w:val="center"/>
        <w:outlineLvl w:val="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                        供应商（公章）：</w:t>
      </w:r>
    </w:p>
    <w:p w14:paraId="085053FE">
      <w:pPr>
        <w:spacing w:line="720" w:lineRule="auto"/>
        <w:ind w:firstLine="642"/>
        <w:jc w:val="center"/>
        <w:outlineLvl w:val="9"/>
        <w:rPr>
          <w:rFonts w:hint="eastAsia" w:ascii="仿宋" w:hAnsi="仿宋" w:eastAsia="仿宋" w:cs="仿宋"/>
          <w:b/>
          <w:color w:val="auto"/>
          <w:sz w:val="32"/>
          <w:szCs w:val="32"/>
          <w:highlight w:val="none"/>
        </w:rPr>
      </w:pPr>
      <w:r>
        <w:rPr>
          <w:rFonts w:hint="eastAsia" w:ascii="仿宋" w:hAnsi="仿宋" w:eastAsia="仿宋" w:cs="仿宋"/>
          <w:b/>
          <w:color w:val="auto"/>
          <w:sz w:val="24"/>
          <w:szCs w:val="24"/>
          <w:highlight w:val="none"/>
        </w:rPr>
        <w:t xml:space="preserve">                                    法定代表人或授权委托人签字：</w:t>
      </w:r>
    </w:p>
    <w:p w14:paraId="5CF60534">
      <w:pPr>
        <w:pStyle w:val="8"/>
        <w:spacing w:line="720" w:lineRule="auto"/>
        <w:ind w:firstLine="5301" w:firstLineChars="2200"/>
        <w:outlineLvl w:val="9"/>
        <w:rPr>
          <w:rFonts w:hint="eastAsia" w:ascii="仿宋" w:hAnsi="仿宋" w:eastAsia="仿宋" w:cs="仿宋"/>
          <w:b/>
          <w:color w:val="auto"/>
          <w:sz w:val="24"/>
          <w:szCs w:val="24"/>
          <w:highlight w:val="none"/>
          <w:lang w:val="en-US"/>
        </w:rPr>
      </w:pPr>
      <w:r>
        <w:rPr>
          <w:rFonts w:hint="eastAsia" w:ascii="仿宋" w:hAnsi="仿宋" w:eastAsia="仿宋" w:cs="仿宋"/>
          <w:b/>
          <w:color w:val="auto"/>
          <w:sz w:val="24"/>
          <w:szCs w:val="24"/>
          <w:highlight w:val="none"/>
          <w:lang w:val="en-US"/>
        </w:rPr>
        <w:t>日期：</w:t>
      </w:r>
    </w:p>
    <w:p w14:paraId="6F506969">
      <w:pPr>
        <w:outlineLvl w:val="9"/>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14:paraId="5C476AFA">
      <w:p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附件15、无重大违法记录声明函</w:t>
      </w:r>
    </w:p>
    <w:p w14:paraId="79DF54EC">
      <w:pPr>
        <w:spacing w:before="55" w:line="360" w:lineRule="auto"/>
        <w:ind w:right="2656"/>
        <w:jc w:val="left"/>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致：</w:t>
      </w:r>
      <w:r>
        <w:rPr>
          <w:rFonts w:hint="eastAsia" w:ascii="仿宋" w:hAnsi="仿宋" w:eastAsia="仿宋" w:cs="仿宋"/>
          <w:color w:val="auto"/>
          <w:spacing w:val="6"/>
          <w:sz w:val="24"/>
          <w:szCs w:val="24"/>
          <w:highlight w:val="none"/>
        </w:rPr>
        <w:t>______（采购人名称）</w:t>
      </w:r>
    </w:p>
    <w:p w14:paraId="0E7B73B4">
      <w:pPr>
        <w:pStyle w:val="11"/>
        <w:spacing w:line="360" w:lineRule="auto"/>
        <w:ind w:left="902" w:hanging="482"/>
        <w:jc w:val="left"/>
        <w:outlineLvl w:val="9"/>
        <w:rPr>
          <w:rFonts w:hint="eastAsia" w:ascii="仿宋" w:hAnsi="仿宋" w:eastAsia="仿宋" w:cs="仿宋"/>
          <w:color w:val="auto"/>
          <w:spacing w:val="6"/>
          <w:sz w:val="24"/>
          <w:szCs w:val="24"/>
          <w:highlight w:val="none"/>
        </w:rPr>
      </w:pPr>
      <w:r>
        <w:rPr>
          <w:rFonts w:hint="eastAsia" w:ascii="仿宋" w:hAnsi="仿宋" w:eastAsia="仿宋" w:cs="仿宋"/>
          <w:b/>
          <w:bCs/>
          <w:color w:val="auto"/>
          <w:sz w:val="24"/>
          <w:szCs w:val="24"/>
          <w:highlight w:val="none"/>
        </w:rPr>
        <w:t>我单位</w:t>
      </w:r>
      <w:r>
        <w:rPr>
          <w:rFonts w:hint="eastAsia" w:ascii="仿宋" w:hAnsi="仿宋" w:eastAsia="仿宋" w:cs="仿宋"/>
          <w:color w:val="auto"/>
          <w:spacing w:val="6"/>
          <w:sz w:val="24"/>
          <w:szCs w:val="24"/>
          <w:highlight w:val="none"/>
        </w:rPr>
        <w:t>______(供应商名称）近三年内，在参加政府采购活动中没有重大违法记录，特此声明。</w:t>
      </w:r>
    </w:p>
    <w:p w14:paraId="532777B2">
      <w:pPr>
        <w:pStyle w:val="12"/>
        <w:spacing w:line="360" w:lineRule="auto"/>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若招标采购单位在本项目采购过程中发现我单位近三年内在政府采购活动中有重大违法记录，我单位将无条件地退出本项目的招标，并承担因此引起的一切后果。</w:t>
      </w:r>
    </w:p>
    <w:p w14:paraId="6D5AF16F">
      <w:pPr>
        <w:pStyle w:val="12"/>
        <w:spacing w:line="360" w:lineRule="auto"/>
        <w:outlineLvl w:val="9"/>
        <w:rPr>
          <w:rFonts w:hint="eastAsia" w:ascii="仿宋" w:hAnsi="仿宋" w:eastAsia="仿宋" w:cs="仿宋"/>
          <w:color w:val="auto"/>
          <w:sz w:val="24"/>
          <w:szCs w:val="24"/>
          <w:highlight w:val="none"/>
        </w:rPr>
      </w:pPr>
    </w:p>
    <w:p w14:paraId="1082404C">
      <w:pPr>
        <w:pStyle w:val="12"/>
        <w:spacing w:line="360" w:lineRule="auto"/>
        <w:ind w:firstLine="420"/>
        <w:jc w:val="left"/>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 xml:space="preserve">供应商名称（单位公章）： </w:t>
      </w:r>
      <w:r>
        <w:rPr>
          <w:rFonts w:hint="eastAsia" w:ascii="仿宋" w:hAnsi="仿宋" w:eastAsia="仿宋" w:cs="仿宋"/>
          <w:color w:val="auto"/>
          <w:spacing w:val="6"/>
          <w:sz w:val="24"/>
          <w:szCs w:val="24"/>
          <w:highlight w:val="none"/>
        </w:rPr>
        <w:t>______</w:t>
      </w:r>
    </w:p>
    <w:p w14:paraId="4CBBBF6D">
      <w:pPr>
        <w:pStyle w:val="12"/>
        <w:spacing w:line="360" w:lineRule="auto"/>
        <w:ind w:firstLine="420"/>
        <w:jc w:val="left"/>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法定代表人（印章或签字）：______</w:t>
      </w:r>
    </w:p>
    <w:p w14:paraId="5DAD7475">
      <w:pPr>
        <w:pStyle w:val="12"/>
        <w:spacing w:line="360" w:lineRule="auto"/>
        <w:ind w:firstLine="420"/>
        <w:jc w:val="left"/>
        <w:outlineLvl w:val="9"/>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日期：   年    月   日</w:t>
      </w:r>
    </w:p>
    <w:p w14:paraId="1D9749D4">
      <w:pPr>
        <w:spacing w:line="360" w:lineRule="auto"/>
        <w:jc w:val="center"/>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b/>
          <w:bCs/>
          <w:color w:val="auto"/>
          <w:sz w:val="28"/>
          <w:szCs w:val="28"/>
          <w:highlight w:val="none"/>
        </w:rPr>
        <w:t>附件16、产品简要说明一览表</w:t>
      </w:r>
    </w:p>
    <w:p w14:paraId="5C104FEA">
      <w:pPr>
        <w:spacing w:line="360" w:lineRule="auto"/>
        <w:outlineLvl w:val="9"/>
        <w:rPr>
          <w:rFonts w:hint="eastAsia" w:ascii="仿宋" w:hAnsi="仿宋" w:eastAsia="仿宋" w:cs="仿宋"/>
          <w:b/>
          <w:color w:val="auto"/>
          <w:sz w:val="30"/>
          <w:highlight w:val="none"/>
        </w:rPr>
      </w:pPr>
      <w:r>
        <w:rPr>
          <w:rFonts w:hint="eastAsia" w:ascii="仿宋" w:hAnsi="仿宋" w:eastAsia="仿宋" w:cs="仿宋"/>
          <w:b/>
          <w:color w:val="auto"/>
          <w:sz w:val="24"/>
          <w:szCs w:val="24"/>
          <w:highlight w:val="none"/>
        </w:rPr>
        <w:t xml:space="preserve">供应商名称（公章）：                           项目编号：    </w:t>
      </w:r>
    </w:p>
    <w:tbl>
      <w:tblPr>
        <w:tblStyle w:val="25"/>
        <w:tblW w:w="887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146"/>
        <w:gridCol w:w="3702"/>
        <w:gridCol w:w="1518"/>
        <w:gridCol w:w="1856"/>
      </w:tblGrid>
      <w:tr w14:paraId="49800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trPr>
        <w:tc>
          <w:tcPr>
            <w:tcW w:w="654" w:type="dxa"/>
            <w:noWrap/>
            <w:vAlign w:val="center"/>
          </w:tcPr>
          <w:p w14:paraId="696B603B">
            <w:pPr>
              <w:spacing w:line="360" w:lineRule="auto"/>
              <w:jc w:val="center"/>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序号</w:t>
            </w:r>
          </w:p>
        </w:tc>
        <w:tc>
          <w:tcPr>
            <w:tcW w:w="1146" w:type="dxa"/>
            <w:noWrap/>
            <w:vAlign w:val="center"/>
          </w:tcPr>
          <w:p w14:paraId="6526CC20">
            <w:pPr>
              <w:spacing w:line="360" w:lineRule="auto"/>
              <w:jc w:val="center"/>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产品名称</w:t>
            </w:r>
          </w:p>
        </w:tc>
        <w:tc>
          <w:tcPr>
            <w:tcW w:w="3702" w:type="dxa"/>
            <w:noWrap/>
            <w:vAlign w:val="center"/>
          </w:tcPr>
          <w:p w14:paraId="0FD26753">
            <w:pPr>
              <w:spacing w:line="360" w:lineRule="auto"/>
              <w:jc w:val="center"/>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品牌、规格型号及主要技术参数</w:t>
            </w:r>
          </w:p>
        </w:tc>
        <w:tc>
          <w:tcPr>
            <w:tcW w:w="1518" w:type="dxa"/>
            <w:noWrap/>
            <w:vAlign w:val="center"/>
          </w:tcPr>
          <w:p w14:paraId="6BBE2116">
            <w:pPr>
              <w:spacing w:line="360" w:lineRule="auto"/>
              <w:jc w:val="center"/>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性能说明</w:t>
            </w:r>
          </w:p>
        </w:tc>
        <w:tc>
          <w:tcPr>
            <w:tcW w:w="1856" w:type="dxa"/>
            <w:noWrap/>
            <w:vAlign w:val="center"/>
          </w:tcPr>
          <w:p w14:paraId="175647AE">
            <w:pPr>
              <w:spacing w:line="360" w:lineRule="auto"/>
              <w:jc w:val="center"/>
              <w:outlineLvl w:val="9"/>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备注</w:t>
            </w:r>
          </w:p>
        </w:tc>
      </w:tr>
      <w:tr w14:paraId="74FCE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654" w:type="dxa"/>
            <w:noWrap/>
            <w:vAlign w:val="center"/>
          </w:tcPr>
          <w:p w14:paraId="5126CE3F">
            <w:pPr>
              <w:spacing w:line="360" w:lineRule="auto"/>
              <w:jc w:val="center"/>
              <w:outlineLvl w:val="9"/>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146" w:type="dxa"/>
            <w:noWrap/>
            <w:vAlign w:val="center"/>
          </w:tcPr>
          <w:p w14:paraId="514A4C48">
            <w:pPr>
              <w:spacing w:line="360" w:lineRule="auto"/>
              <w:jc w:val="center"/>
              <w:outlineLvl w:val="9"/>
              <w:rPr>
                <w:rFonts w:hint="eastAsia" w:ascii="仿宋" w:hAnsi="仿宋" w:eastAsia="仿宋" w:cs="仿宋"/>
                <w:color w:val="auto"/>
                <w:sz w:val="18"/>
                <w:szCs w:val="18"/>
                <w:highlight w:val="none"/>
              </w:rPr>
            </w:pPr>
          </w:p>
        </w:tc>
        <w:tc>
          <w:tcPr>
            <w:tcW w:w="3702" w:type="dxa"/>
            <w:noWrap/>
            <w:vAlign w:val="center"/>
          </w:tcPr>
          <w:p w14:paraId="25FC05A2">
            <w:pPr>
              <w:spacing w:line="360" w:lineRule="auto"/>
              <w:jc w:val="center"/>
              <w:outlineLvl w:val="9"/>
              <w:rPr>
                <w:rFonts w:hint="eastAsia" w:ascii="仿宋" w:hAnsi="仿宋" w:eastAsia="仿宋" w:cs="仿宋"/>
                <w:color w:val="auto"/>
                <w:sz w:val="18"/>
                <w:szCs w:val="18"/>
                <w:highlight w:val="none"/>
              </w:rPr>
            </w:pPr>
          </w:p>
        </w:tc>
        <w:tc>
          <w:tcPr>
            <w:tcW w:w="1518" w:type="dxa"/>
            <w:noWrap/>
            <w:vAlign w:val="center"/>
          </w:tcPr>
          <w:p w14:paraId="7F12607D">
            <w:pPr>
              <w:spacing w:line="360" w:lineRule="auto"/>
              <w:jc w:val="center"/>
              <w:outlineLvl w:val="9"/>
              <w:rPr>
                <w:rFonts w:hint="eastAsia" w:ascii="仿宋" w:hAnsi="仿宋" w:eastAsia="仿宋" w:cs="仿宋"/>
                <w:color w:val="auto"/>
                <w:sz w:val="18"/>
                <w:szCs w:val="18"/>
                <w:highlight w:val="none"/>
              </w:rPr>
            </w:pPr>
          </w:p>
        </w:tc>
        <w:tc>
          <w:tcPr>
            <w:tcW w:w="1856" w:type="dxa"/>
            <w:noWrap/>
            <w:vAlign w:val="center"/>
          </w:tcPr>
          <w:p w14:paraId="72F22E1D">
            <w:pPr>
              <w:spacing w:line="360" w:lineRule="auto"/>
              <w:jc w:val="center"/>
              <w:outlineLvl w:val="9"/>
              <w:rPr>
                <w:rFonts w:hint="eastAsia" w:ascii="仿宋" w:hAnsi="仿宋" w:eastAsia="仿宋" w:cs="仿宋"/>
                <w:color w:val="auto"/>
                <w:sz w:val="18"/>
                <w:szCs w:val="18"/>
                <w:highlight w:val="none"/>
              </w:rPr>
            </w:pPr>
          </w:p>
        </w:tc>
      </w:tr>
      <w:tr w14:paraId="3E216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4" w:hRule="atLeast"/>
        </w:trPr>
        <w:tc>
          <w:tcPr>
            <w:tcW w:w="654" w:type="dxa"/>
            <w:noWrap/>
            <w:vAlign w:val="center"/>
          </w:tcPr>
          <w:p w14:paraId="1E840A14">
            <w:pPr>
              <w:spacing w:line="360" w:lineRule="auto"/>
              <w:jc w:val="center"/>
              <w:outlineLvl w:val="9"/>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146" w:type="dxa"/>
            <w:noWrap/>
            <w:vAlign w:val="center"/>
          </w:tcPr>
          <w:p w14:paraId="63619272">
            <w:pPr>
              <w:spacing w:line="360" w:lineRule="auto"/>
              <w:jc w:val="center"/>
              <w:outlineLvl w:val="9"/>
              <w:rPr>
                <w:rFonts w:hint="eastAsia" w:ascii="仿宋" w:hAnsi="仿宋" w:eastAsia="仿宋" w:cs="仿宋"/>
                <w:color w:val="auto"/>
                <w:sz w:val="18"/>
                <w:szCs w:val="18"/>
                <w:highlight w:val="none"/>
              </w:rPr>
            </w:pPr>
          </w:p>
        </w:tc>
        <w:tc>
          <w:tcPr>
            <w:tcW w:w="3702" w:type="dxa"/>
            <w:noWrap/>
            <w:vAlign w:val="center"/>
          </w:tcPr>
          <w:p w14:paraId="11432778">
            <w:pPr>
              <w:spacing w:line="360" w:lineRule="auto"/>
              <w:jc w:val="center"/>
              <w:outlineLvl w:val="9"/>
              <w:rPr>
                <w:rFonts w:hint="eastAsia" w:ascii="仿宋" w:hAnsi="仿宋" w:eastAsia="仿宋" w:cs="仿宋"/>
                <w:color w:val="auto"/>
                <w:sz w:val="18"/>
                <w:szCs w:val="18"/>
                <w:highlight w:val="none"/>
              </w:rPr>
            </w:pPr>
          </w:p>
        </w:tc>
        <w:tc>
          <w:tcPr>
            <w:tcW w:w="1518" w:type="dxa"/>
            <w:noWrap/>
            <w:vAlign w:val="center"/>
          </w:tcPr>
          <w:p w14:paraId="543014FD">
            <w:pPr>
              <w:spacing w:line="360" w:lineRule="auto"/>
              <w:jc w:val="center"/>
              <w:outlineLvl w:val="9"/>
              <w:rPr>
                <w:rFonts w:hint="eastAsia" w:ascii="仿宋" w:hAnsi="仿宋" w:eastAsia="仿宋" w:cs="仿宋"/>
                <w:color w:val="auto"/>
                <w:sz w:val="18"/>
                <w:szCs w:val="18"/>
                <w:highlight w:val="none"/>
              </w:rPr>
            </w:pPr>
          </w:p>
        </w:tc>
        <w:tc>
          <w:tcPr>
            <w:tcW w:w="1856" w:type="dxa"/>
            <w:noWrap/>
            <w:vAlign w:val="center"/>
          </w:tcPr>
          <w:p w14:paraId="7201FD32">
            <w:pPr>
              <w:spacing w:line="360" w:lineRule="auto"/>
              <w:jc w:val="center"/>
              <w:outlineLvl w:val="9"/>
              <w:rPr>
                <w:rFonts w:hint="eastAsia" w:ascii="仿宋" w:hAnsi="仿宋" w:eastAsia="仿宋" w:cs="仿宋"/>
                <w:color w:val="auto"/>
                <w:sz w:val="18"/>
                <w:szCs w:val="18"/>
                <w:highlight w:val="none"/>
              </w:rPr>
            </w:pPr>
          </w:p>
        </w:tc>
      </w:tr>
      <w:tr w14:paraId="118BD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 w:hRule="atLeast"/>
        </w:trPr>
        <w:tc>
          <w:tcPr>
            <w:tcW w:w="654" w:type="dxa"/>
            <w:noWrap/>
            <w:vAlign w:val="center"/>
          </w:tcPr>
          <w:p w14:paraId="1688114E">
            <w:pPr>
              <w:spacing w:line="360" w:lineRule="auto"/>
              <w:jc w:val="center"/>
              <w:outlineLvl w:val="9"/>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w:t>
            </w:r>
          </w:p>
        </w:tc>
        <w:tc>
          <w:tcPr>
            <w:tcW w:w="1146" w:type="dxa"/>
            <w:noWrap/>
            <w:vAlign w:val="center"/>
          </w:tcPr>
          <w:p w14:paraId="51711651">
            <w:pPr>
              <w:spacing w:line="360" w:lineRule="auto"/>
              <w:jc w:val="center"/>
              <w:outlineLvl w:val="9"/>
              <w:rPr>
                <w:rFonts w:hint="eastAsia" w:ascii="仿宋" w:hAnsi="仿宋" w:eastAsia="仿宋" w:cs="仿宋"/>
                <w:color w:val="auto"/>
                <w:sz w:val="18"/>
                <w:szCs w:val="18"/>
                <w:highlight w:val="none"/>
              </w:rPr>
            </w:pPr>
          </w:p>
        </w:tc>
        <w:tc>
          <w:tcPr>
            <w:tcW w:w="3702" w:type="dxa"/>
            <w:noWrap/>
            <w:vAlign w:val="center"/>
          </w:tcPr>
          <w:p w14:paraId="209BF39E">
            <w:pPr>
              <w:spacing w:line="360" w:lineRule="auto"/>
              <w:jc w:val="center"/>
              <w:outlineLvl w:val="9"/>
              <w:rPr>
                <w:rFonts w:hint="eastAsia" w:ascii="仿宋" w:hAnsi="仿宋" w:eastAsia="仿宋" w:cs="仿宋"/>
                <w:color w:val="auto"/>
                <w:sz w:val="18"/>
                <w:szCs w:val="18"/>
                <w:highlight w:val="none"/>
              </w:rPr>
            </w:pPr>
          </w:p>
        </w:tc>
        <w:tc>
          <w:tcPr>
            <w:tcW w:w="1518" w:type="dxa"/>
            <w:noWrap/>
            <w:vAlign w:val="center"/>
          </w:tcPr>
          <w:p w14:paraId="310E12DE">
            <w:pPr>
              <w:spacing w:line="360" w:lineRule="auto"/>
              <w:jc w:val="center"/>
              <w:outlineLvl w:val="9"/>
              <w:rPr>
                <w:rFonts w:hint="eastAsia" w:ascii="仿宋" w:hAnsi="仿宋" w:eastAsia="仿宋" w:cs="仿宋"/>
                <w:color w:val="auto"/>
                <w:sz w:val="18"/>
                <w:szCs w:val="18"/>
                <w:highlight w:val="none"/>
              </w:rPr>
            </w:pPr>
          </w:p>
        </w:tc>
        <w:tc>
          <w:tcPr>
            <w:tcW w:w="1856" w:type="dxa"/>
            <w:noWrap/>
            <w:vAlign w:val="center"/>
          </w:tcPr>
          <w:p w14:paraId="7151E683">
            <w:pPr>
              <w:spacing w:line="360" w:lineRule="auto"/>
              <w:jc w:val="center"/>
              <w:outlineLvl w:val="9"/>
              <w:rPr>
                <w:rFonts w:hint="eastAsia" w:ascii="仿宋" w:hAnsi="仿宋" w:eastAsia="仿宋" w:cs="仿宋"/>
                <w:color w:val="auto"/>
                <w:sz w:val="18"/>
                <w:szCs w:val="18"/>
                <w:highlight w:val="none"/>
              </w:rPr>
            </w:pPr>
          </w:p>
        </w:tc>
      </w:tr>
      <w:tr w14:paraId="76517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54" w:type="dxa"/>
            <w:noWrap/>
            <w:vAlign w:val="center"/>
          </w:tcPr>
          <w:p w14:paraId="59FDA9C7">
            <w:pPr>
              <w:spacing w:line="360" w:lineRule="auto"/>
              <w:jc w:val="center"/>
              <w:outlineLvl w:val="9"/>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p>
        </w:tc>
        <w:tc>
          <w:tcPr>
            <w:tcW w:w="1146" w:type="dxa"/>
            <w:noWrap/>
            <w:vAlign w:val="center"/>
          </w:tcPr>
          <w:p w14:paraId="6ACCE34F">
            <w:pPr>
              <w:spacing w:line="360" w:lineRule="auto"/>
              <w:jc w:val="center"/>
              <w:outlineLvl w:val="9"/>
              <w:rPr>
                <w:rFonts w:hint="eastAsia" w:ascii="仿宋" w:hAnsi="仿宋" w:eastAsia="仿宋" w:cs="仿宋"/>
                <w:color w:val="auto"/>
                <w:sz w:val="18"/>
                <w:szCs w:val="18"/>
                <w:highlight w:val="none"/>
              </w:rPr>
            </w:pPr>
          </w:p>
        </w:tc>
        <w:tc>
          <w:tcPr>
            <w:tcW w:w="3702" w:type="dxa"/>
            <w:noWrap/>
            <w:vAlign w:val="center"/>
          </w:tcPr>
          <w:p w14:paraId="34214A84">
            <w:pPr>
              <w:spacing w:line="360" w:lineRule="auto"/>
              <w:jc w:val="center"/>
              <w:outlineLvl w:val="9"/>
              <w:rPr>
                <w:rFonts w:hint="eastAsia" w:ascii="仿宋" w:hAnsi="仿宋" w:eastAsia="仿宋" w:cs="仿宋"/>
                <w:color w:val="auto"/>
                <w:sz w:val="18"/>
                <w:szCs w:val="18"/>
                <w:highlight w:val="none"/>
              </w:rPr>
            </w:pPr>
          </w:p>
        </w:tc>
        <w:tc>
          <w:tcPr>
            <w:tcW w:w="1518" w:type="dxa"/>
            <w:noWrap/>
            <w:vAlign w:val="center"/>
          </w:tcPr>
          <w:p w14:paraId="35F26A02">
            <w:pPr>
              <w:spacing w:line="360" w:lineRule="auto"/>
              <w:jc w:val="center"/>
              <w:outlineLvl w:val="9"/>
              <w:rPr>
                <w:rFonts w:hint="eastAsia" w:ascii="仿宋" w:hAnsi="仿宋" w:eastAsia="仿宋" w:cs="仿宋"/>
                <w:color w:val="auto"/>
                <w:sz w:val="18"/>
                <w:szCs w:val="18"/>
                <w:highlight w:val="none"/>
              </w:rPr>
            </w:pPr>
          </w:p>
        </w:tc>
        <w:tc>
          <w:tcPr>
            <w:tcW w:w="1856" w:type="dxa"/>
            <w:noWrap/>
            <w:vAlign w:val="center"/>
          </w:tcPr>
          <w:p w14:paraId="2203A16C">
            <w:pPr>
              <w:spacing w:line="360" w:lineRule="auto"/>
              <w:jc w:val="center"/>
              <w:outlineLvl w:val="9"/>
              <w:rPr>
                <w:rFonts w:hint="eastAsia" w:ascii="仿宋" w:hAnsi="仿宋" w:eastAsia="仿宋" w:cs="仿宋"/>
                <w:color w:val="auto"/>
                <w:sz w:val="18"/>
                <w:szCs w:val="18"/>
                <w:highlight w:val="none"/>
              </w:rPr>
            </w:pPr>
          </w:p>
        </w:tc>
      </w:tr>
    </w:tbl>
    <w:p w14:paraId="48F229C9">
      <w:pPr>
        <w:spacing w:line="480" w:lineRule="auto"/>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注：此表需详列投标的每种产品。</w:t>
      </w:r>
    </w:p>
    <w:p w14:paraId="0650A38C">
      <w:pPr>
        <w:spacing w:line="480" w:lineRule="auto"/>
        <w:ind w:left="2880" w:hanging="2880"/>
        <w:outlineLvl w:val="9"/>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rPr>
        <w:t>供应商代表签字：</w:t>
      </w:r>
      <w:r>
        <w:rPr>
          <w:rFonts w:hint="eastAsia" w:ascii="仿宋" w:hAnsi="仿宋" w:eastAsia="仿宋" w:cs="仿宋"/>
          <w:b/>
          <w:color w:val="auto"/>
          <w:sz w:val="24"/>
          <w:highlight w:val="none"/>
          <w:u w:val="single"/>
        </w:rPr>
        <w:t>　　　　　　　　　　</w:t>
      </w:r>
    </w:p>
    <w:p w14:paraId="17C3ADAE">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42866B4D">
      <w:pPr>
        <w:adjustRightInd w:val="0"/>
        <w:snapToGrid w:val="0"/>
        <w:spacing w:beforeLines="50"/>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附件17、投标产品技术规格及要求详述</w:t>
      </w:r>
    </w:p>
    <w:p w14:paraId="55D04FFE">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03ECBC19">
      <w:pPr>
        <w:adjustRightInd w:val="0"/>
        <w:snapToGrid w:val="0"/>
        <w:spacing w:beforeLines="50"/>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附件18、备品、备件清单</w:t>
      </w:r>
    </w:p>
    <w:p w14:paraId="58612CED">
      <w:pPr>
        <w:outlineLvl w:val="9"/>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2B7D8B0">
      <w:pPr>
        <w:adjustRightInd w:val="0"/>
        <w:snapToGrid w:val="0"/>
        <w:spacing w:beforeLines="50"/>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附件19、产品规格报价明细表</w:t>
      </w:r>
    </w:p>
    <w:p w14:paraId="3BFD12DE">
      <w:pPr>
        <w:spacing w:line="360" w:lineRule="auto"/>
        <w:outlineLvl w:val="9"/>
        <w:rPr>
          <w:rFonts w:hint="eastAsia" w:ascii="仿宋" w:hAnsi="仿宋" w:eastAsia="仿宋" w:cs="仿宋"/>
          <w:b w:val="0"/>
          <w:bCs/>
          <w:color w:val="auto"/>
          <w:sz w:val="24"/>
          <w:highlight w:val="none"/>
          <w:u w:val="single"/>
        </w:rPr>
      </w:pPr>
      <w:r>
        <w:rPr>
          <w:rFonts w:hint="eastAsia" w:ascii="仿宋" w:hAnsi="仿宋" w:eastAsia="仿宋" w:cs="仿宋"/>
          <w:b w:val="0"/>
          <w:bCs/>
          <w:color w:val="auto"/>
          <w:sz w:val="24"/>
          <w:highlight w:val="none"/>
        </w:rPr>
        <w:t xml:space="preserve">供应商名称（公章）：                             项目编号：    </w:t>
      </w:r>
    </w:p>
    <w:tbl>
      <w:tblPr>
        <w:tblStyle w:val="25"/>
        <w:tblW w:w="97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1116"/>
        <w:gridCol w:w="2593"/>
        <w:gridCol w:w="652"/>
        <w:gridCol w:w="1400"/>
        <w:gridCol w:w="1400"/>
        <w:gridCol w:w="1103"/>
        <w:gridCol w:w="767"/>
      </w:tblGrid>
      <w:tr w14:paraId="60672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1" w:hRule="atLeast"/>
          <w:jc w:val="center"/>
        </w:trPr>
        <w:tc>
          <w:tcPr>
            <w:tcW w:w="766" w:type="dxa"/>
            <w:noWrap/>
            <w:vAlign w:val="center"/>
          </w:tcPr>
          <w:p w14:paraId="630E2FE0">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1116" w:type="dxa"/>
            <w:noWrap/>
            <w:vAlign w:val="center"/>
          </w:tcPr>
          <w:p w14:paraId="088CEB97">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产品名称</w:t>
            </w:r>
          </w:p>
        </w:tc>
        <w:tc>
          <w:tcPr>
            <w:tcW w:w="2593" w:type="dxa"/>
            <w:noWrap/>
            <w:vAlign w:val="center"/>
          </w:tcPr>
          <w:p w14:paraId="0827A719">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规格型号及主要技术参数</w:t>
            </w:r>
          </w:p>
        </w:tc>
        <w:tc>
          <w:tcPr>
            <w:tcW w:w="652" w:type="dxa"/>
            <w:noWrap/>
            <w:vAlign w:val="center"/>
          </w:tcPr>
          <w:p w14:paraId="21808EA5">
            <w:pPr>
              <w:ind w:left="103" w:hanging="117" w:hangingChars="49"/>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数量</w:t>
            </w:r>
          </w:p>
        </w:tc>
        <w:tc>
          <w:tcPr>
            <w:tcW w:w="1400" w:type="dxa"/>
            <w:noWrap/>
            <w:vAlign w:val="center"/>
          </w:tcPr>
          <w:p w14:paraId="749238BF">
            <w:pPr>
              <w:ind w:left="103" w:hanging="117" w:hangingChars="49"/>
              <w:jc w:val="center"/>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单位</w:t>
            </w:r>
          </w:p>
        </w:tc>
        <w:tc>
          <w:tcPr>
            <w:tcW w:w="1400" w:type="dxa"/>
            <w:noWrap/>
            <w:vAlign w:val="center"/>
          </w:tcPr>
          <w:p w14:paraId="43467E96">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产地及品牌</w:t>
            </w:r>
          </w:p>
        </w:tc>
        <w:tc>
          <w:tcPr>
            <w:tcW w:w="1103" w:type="dxa"/>
            <w:noWrap/>
            <w:vAlign w:val="center"/>
          </w:tcPr>
          <w:p w14:paraId="31581B57">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单价</w:t>
            </w:r>
          </w:p>
        </w:tc>
        <w:tc>
          <w:tcPr>
            <w:tcW w:w="767" w:type="dxa"/>
            <w:noWrap/>
            <w:vAlign w:val="center"/>
          </w:tcPr>
          <w:p w14:paraId="5ACA1535">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总价</w:t>
            </w:r>
          </w:p>
        </w:tc>
      </w:tr>
      <w:tr w14:paraId="3467A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766" w:type="dxa"/>
            <w:noWrap/>
            <w:vAlign w:val="center"/>
          </w:tcPr>
          <w:p w14:paraId="2DCD97B4">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1116" w:type="dxa"/>
            <w:noWrap/>
            <w:vAlign w:val="center"/>
          </w:tcPr>
          <w:p w14:paraId="25DC0B22">
            <w:pPr>
              <w:jc w:val="center"/>
              <w:outlineLvl w:val="9"/>
              <w:rPr>
                <w:rFonts w:hint="eastAsia" w:ascii="仿宋" w:hAnsi="仿宋" w:eastAsia="仿宋" w:cs="仿宋"/>
                <w:b w:val="0"/>
                <w:bCs/>
                <w:color w:val="auto"/>
                <w:sz w:val="24"/>
                <w:szCs w:val="24"/>
                <w:highlight w:val="none"/>
              </w:rPr>
            </w:pPr>
          </w:p>
        </w:tc>
        <w:tc>
          <w:tcPr>
            <w:tcW w:w="2593" w:type="dxa"/>
            <w:noWrap/>
            <w:vAlign w:val="center"/>
          </w:tcPr>
          <w:p w14:paraId="181CB4DB">
            <w:pPr>
              <w:jc w:val="center"/>
              <w:outlineLvl w:val="9"/>
              <w:rPr>
                <w:rFonts w:hint="eastAsia" w:ascii="仿宋" w:hAnsi="仿宋" w:eastAsia="仿宋" w:cs="仿宋"/>
                <w:b w:val="0"/>
                <w:bCs/>
                <w:color w:val="auto"/>
                <w:sz w:val="24"/>
                <w:szCs w:val="24"/>
                <w:highlight w:val="none"/>
              </w:rPr>
            </w:pPr>
          </w:p>
        </w:tc>
        <w:tc>
          <w:tcPr>
            <w:tcW w:w="652" w:type="dxa"/>
            <w:noWrap/>
            <w:vAlign w:val="center"/>
          </w:tcPr>
          <w:p w14:paraId="1A785236">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5BB7A42F">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6D756451">
            <w:pPr>
              <w:jc w:val="center"/>
              <w:outlineLvl w:val="9"/>
              <w:rPr>
                <w:rFonts w:hint="eastAsia" w:ascii="仿宋" w:hAnsi="仿宋" w:eastAsia="仿宋" w:cs="仿宋"/>
                <w:b w:val="0"/>
                <w:bCs/>
                <w:color w:val="auto"/>
                <w:sz w:val="24"/>
                <w:szCs w:val="24"/>
                <w:highlight w:val="none"/>
              </w:rPr>
            </w:pPr>
          </w:p>
        </w:tc>
        <w:tc>
          <w:tcPr>
            <w:tcW w:w="1103" w:type="dxa"/>
            <w:noWrap/>
            <w:vAlign w:val="center"/>
          </w:tcPr>
          <w:p w14:paraId="4B274A2C">
            <w:pPr>
              <w:jc w:val="center"/>
              <w:outlineLvl w:val="9"/>
              <w:rPr>
                <w:rFonts w:hint="eastAsia" w:ascii="仿宋" w:hAnsi="仿宋" w:eastAsia="仿宋" w:cs="仿宋"/>
                <w:b w:val="0"/>
                <w:bCs/>
                <w:color w:val="auto"/>
                <w:sz w:val="24"/>
                <w:szCs w:val="24"/>
                <w:highlight w:val="none"/>
              </w:rPr>
            </w:pPr>
          </w:p>
        </w:tc>
        <w:tc>
          <w:tcPr>
            <w:tcW w:w="767" w:type="dxa"/>
            <w:noWrap/>
            <w:vAlign w:val="center"/>
          </w:tcPr>
          <w:p w14:paraId="7FF5231D">
            <w:pPr>
              <w:jc w:val="center"/>
              <w:outlineLvl w:val="9"/>
              <w:rPr>
                <w:rFonts w:hint="eastAsia" w:ascii="仿宋" w:hAnsi="仿宋" w:eastAsia="仿宋" w:cs="仿宋"/>
                <w:b w:val="0"/>
                <w:bCs/>
                <w:color w:val="auto"/>
                <w:sz w:val="24"/>
                <w:szCs w:val="24"/>
                <w:highlight w:val="none"/>
              </w:rPr>
            </w:pPr>
          </w:p>
        </w:tc>
      </w:tr>
      <w:tr w14:paraId="7A24F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766" w:type="dxa"/>
            <w:noWrap/>
            <w:vAlign w:val="center"/>
          </w:tcPr>
          <w:p w14:paraId="7D738D07">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1116" w:type="dxa"/>
            <w:noWrap/>
            <w:vAlign w:val="center"/>
          </w:tcPr>
          <w:p w14:paraId="4A24FD5B">
            <w:pPr>
              <w:jc w:val="center"/>
              <w:outlineLvl w:val="9"/>
              <w:rPr>
                <w:rFonts w:hint="eastAsia" w:ascii="仿宋" w:hAnsi="仿宋" w:eastAsia="仿宋" w:cs="仿宋"/>
                <w:b w:val="0"/>
                <w:bCs/>
                <w:color w:val="auto"/>
                <w:sz w:val="24"/>
                <w:szCs w:val="24"/>
                <w:highlight w:val="none"/>
              </w:rPr>
            </w:pPr>
          </w:p>
        </w:tc>
        <w:tc>
          <w:tcPr>
            <w:tcW w:w="2593" w:type="dxa"/>
            <w:noWrap/>
            <w:vAlign w:val="center"/>
          </w:tcPr>
          <w:p w14:paraId="69A7434A">
            <w:pPr>
              <w:jc w:val="center"/>
              <w:outlineLvl w:val="9"/>
              <w:rPr>
                <w:rFonts w:hint="eastAsia" w:ascii="仿宋" w:hAnsi="仿宋" w:eastAsia="仿宋" w:cs="仿宋"/>
                <w:b w:val="0"/>
                <w:bCs/>
                <w:color w:val="auto"/>
                <w:sz w:val="24"/>
                <w:szCs w:val="24"/>
                <w:highlight w:val="none"/>
              </w:rPr>
            </w:pPr>
          </w:p>
        </w:tc>
        <w:tc>
          <w:tcPr>
            <w:tcW w:w="652" w:type="dxa"/>
            <w:noWrap/>
            <w:vAlign w:val="center"/>
          </w:tcPr>
          <w:p w14:paraId="55E760FF">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0CCE5C79">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077A915A">
            <w:pPr>
              <w:jc w:val="center"/>
              <w:outlineLvl w:val="9"/>
              <w:rPr>
                <w:rFonts w:hint="eastAsia" w:ascii="仿宋" w:hAnsi="仿宋" w:eastAsia="仿宋" w:cs="仿宋"/>
                <w:b w:val="0"/>
                <w:bCs/>
                <w:color w:val="auto"/>
                <w:sz w:val="24"/>
                <w:szCs w:val="24"/>
                <w:highlight w:val="none"/>
              </w:rPr>
            </w:pPr>
          </w:p>
        </w:tc>
        <w:tc>
          <w:tcPr>
            <w:tcW w:w="1103" w:type="dxa"/>
            <w:noWrap/>
            <w:vAlign w:val="center"/>
          </w:tcPr>
          <w:p w14:paraId="77D8C990">
            <w:pPr>
              <w:jc w:val="center"/>
              <w:outlineLvl w:val="9"/>
              <w:rPr>
                <w:rFonts w:hint="eastAsia" w:ascii="仿宋" w:hAnsi="仿宋" w:eastAsia="仿宋" w:cs="仿宋"/>
                <w:b w:val="0"/>
                <w:bCs/>
                <w:color w:val="auto"/>
                <w:sz w:val="24"/>
                <w:szCs w:val="24"/>
                <w:highlight w:val="none"/>
              </w:rPr>
            </w:pPr>
          </w:p>
        </w:tc>
        <w:tc>
          <w:tcPr>
            <w:tcW w:w="767" w:type="dxa"/>
            <w:noWrap/>
            <w:vAlign w:val="center"/>
          </w:tcPr>
          <w:p w14:paraId="5E1F50D5">
            <w:pPr>
              <w:jc w:val="center"/>
              <w:outlineLvl w:val="9"/>
              <w:rPr>
                <w:rFonts w:hint="eastAsia" w:ascii="仿宋" w:hAnsi="仿宋" w:eastAsia="仿宋" w:cs="仿宋"/>
                <w:b w:val="0"/>
                <w:bCs/>
                <w:color w:val="auto"/>
                <w:sz w:val="24"/>
                <w:szCs w:val="24"/>
                <w:highlight w:val="none"/>
              </w:rPr>
            </w:pPr>
          </w:p>
        </w:tc>
      </w:tr>
      <w:tr w14:paraId="5D5B7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4" w:hRule="atLeast"/>
          <w:jc w:val="center"/>
        </w:trPr>
        <w:tc>
          <w:tcPr>
            <w:tcW w:w="766" w:type="dxa"/>
            <w:noWrap/>
            <w:vAlign w:val="center"/>
          </w:tcPr>
          <w:p w14:paraId="55245808">
            <w:pPr>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1116" w:type="dxa"/>
            <w:noWrap/>
            <w:vAlign w:val="center"/>
          </w:tcPr>
          <w:p w14:paraId="2D353E5F">
            <w:pPr>
              <w:jc w:val="center"/>
              <w:outlineLvl w:val="9"/>
              <w:rPr>
                <w:rFonts w:hint="eastAsia" w:ascii="仿宋" w:hAnsi="仿宋" w:eastAsia="仿宋" w:cs="仿宋"/>
                <w:b w:val="0"/>
                <w:bCs/>
                <w:color w:val="auto"/>
                <w:sz w:val="24"/>
                <w:szCs w:val="24"/>
                <w:highlight w:val="none"/>
              </w:rPr>
            </w:pPr>
          </w:p>
        </w:tc>
        <w:tc>
          <w:tcPr>
            <w:tcW w:w="2593" w:type="dxa"/>
            <w:noWrap/>
            <w:vAlign w:val="center"/>
          </w:tcPr>
          <w:p w14:paraId="17CFB02D">
            <w:pPr>
              <w:jc w:val="center"/>
              <w:outlineLvl w:val="9"/>
              <w:rPr>
                <w:rFonts w:hint="eastAsia" w:ascii="仿宋" w:hAnsi="仿宋" w:eastAsia="仿宋" w:cs="仿宋"/>
                <w:b w:val="0"/>
                <w:bCs/>
                <w:color w:val="auto"/>
                <w:sz w:val="24"/>
                <w:szCs w:val="24"/>
                <w:highlight w:val="none"/>
              </w:rPr>
            </w:pPr>
          </w:p>
        </w:tc>
        <w:tc>
          <w:tcPr>
            <w:tcW w:w="652" w:type="dxa"/>
            <w:noWrap/>
            <w:vAlign w:val="center"/>
          </w:tcPr>
          <w:p w14:paraId="3CB5C499">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3BA2FB88">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160B4448">
            <w:pPr>
              <w:jc w:val="center"/>
              <w:outlineLvl w:val="9"/>
              <w:rPr>
                <w:rFonts w:hint="eastAsia" w:ascii="仿宋" w:hAnsi="仿宋" w:eastAsia="仿宋" w:cs="仿宋"/>
                <w:b w:val="0"/>
                <w:bCs/>
                <w:color w:val="auto"/>
                <w:sz w:val="24"/>
                <w:szCs w:val="24"/>
                <w:highlight w:val="none"/>
              </w:rPr>
            </w:pPr>
          </w:p>
        </w:tc>
        <w:tc>
          <w:tcPr>
            <w:tcW w:w="1103" w:type="dxa"/>
            <w:noWrap/>
            <w:vAlign w:val="center"/>
          </w:tcPr>
          <w:p w14:paraId="0EC324BD">
            <w:pPr>
              <w:jc w:val="center"/>
              <w:outlineLvl w:val="9"/>
              <w:rPr>
                <w:rFonts w:hint="eastAsia" w:ascii="仿宋" w:hAnsi="仿宋" w:eastAsia="仿宋" w:cs="仿宋"/>
                <w:b w:val="0"/>
                <w:bCs/>
                <w:color w:val="auto"/>
                <w:sz w:val="24"/>
                <w:szCs w:val="24"/>
                <w:highlight w:val="none"/>
              </w:rPr>
            </w:pPr>
          </w:p>
        </w:tc>
        <w:tc>
          <w:tcPr>
            <w:tcW w:w="767" w:type="dxa"/>
            <w:noWrap/>
            <w:vAlign w:val="center"/>
          </w:tcPr>
          <w:p w14:paraId="2BA7B911">
            <w:pPr>
              <w:jc w:val="center"/>
              <w:outlineLvl w:val="9"/>
              <w:rPr>
                <w:rFonts w:hint="eastAsia" w:ascii="仿宋" w:hAnsi="仿宋" w:eastAsia="仿宋" w:cs="仿宋"/>
                <w:b w:val="0"/>
                <w:bCs/>
                <w:color w:val="auto"/>
                <w:sz w:val="24"/>
                <w:szCs w:val="24"/>
                <w:highlight w:val="none"/>
              </w:rPr>
            </w:pPr>
          </w:p>
        </w:tc>
      </w:tr>
      <w:tr w14:paraId="6BA85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9" w:hRule="atLeast"/>
          <w:jc w:val="center"/>
        </w:trPr>
        <w:tc>
          <w:tcPr>
            <w:tcW w:w="766" w:type="dxa"/>
            <w:noWrap/>
            <w:vAlign w:val="center"/>
          </w:tcPr>
          <w:p w14:paraId="29E560DD">
            <w:pPr>
              <w:jc w:val="center"/>
              <w:outlineLvl w:val="9"/>
              <w:rPr>
                <w:rFonts w:hint="eastAsia" w:ascii="仿宋" w:hAnsi="仿宋" w:eastAsia="仿宋" w:cs="仿宋"/>
                <w:b w:val="0"/>
                <w:bCs/>
                <w:color w:val="auto"/>
                <w:sz w:val="24"/>
                <w:szCs w:val="24"/>
                <w:highlight w:val="none"/>
              </w:rPr>
            </w:pPr>
          </w:p>
        </w:tc>
        <w:tc>
          <w:tcPr>
            <w:tcW w:w="1116" w:type="dxa"/>
            <w:noWrap/>
            <w:vAlign w:val="center"/>
          </w:tcPr>
          <w:p w14:paraId="50325533">
            <w:pPr>
              <w:jc w:val="center"/>
              <w:outlineLvl w:val="9"/>
              <w:rPr>
                <w:rFonts w:hint="eastAsia" w:ascii="仿宋" w:hAnsi="仿宋" w:eastAsia="仿宋" w:cs="仿宋"/>
                <w:b w:val="0"/>
                <w:bCs/>
                <w:color w:val="auto"/>
                <w:sz w:val="24"/>
                <w:szCs w:val="24"/>
                <w:highlight w:val="none"/>
              </w:rPr>
            </w:pPr>
          </w:p>
        </w:tc>
        <w:tc>
          <w:tcPr>
            <w:tcW w:w="2593" w:type="dxa"/>
            <w:noWrap/>
            <w:vAlign w:val="center"/>
          </w:tcPr>
          <w:p w14:paraId="11D206A1">
            <w:pPr>
              <w:jc w:val="center"/>
              <w:outlineLvl w:val="9"/>
              <w:rPr>
                <w:rFonts w:hint="eastAsia" w:ascii="仿宋" w:hAnsi="仿宋" w:eastAsia="仿宋" w:cs="仿宋"/>
                <w:b w:val="0"/>
                <w:bCs/>
                <w:color w:val="auto"/>
                <w:sz w:val="24"/>
                <w:szCs w:val="24"/>
                <w:highlight w:val="none"/>
              </w:rPr>
            </w:pPr>
          </w:p>
        </w:tc>
        <w:tc>
          <w:tcPr>
            <w:tcW w:w="652" w:type="dxa"/>
            <w:noWrap/>
            <w:vAlign w:val="center"/>
          </w:tcPr>
          <w:p w14:paraId="6076E681">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14F1E926">
            <w:pPr>
              <w:jc w:val="center"/>
              <w:outlineLvl w:val="9"/>
              <w:rPr>
                <w:rFonts w:hint="eastAsia" w:ascii="仿宋" w:hAnsi="仿宋" w:eastAsia="仿宋" w:cs="仿宋"/>
                <w:b w:val="0"/>
                <w:bCs/>
                <w:color w:val="auto"/>
                <w:sz w:val="24"/>
                <w:szCs w:val="24"/>
                <w:highlight w:val="none"/>
              </w:rPr>
            </w:pPr>
          </w:p>
        </w:tc>
        <w:tc>
          <w:tcPr>
            <w:tcW w:w="1400" w:type="dxa"/>
            <w:noWrap/>
            <w:vAlign w:val="center"/>
          </w:tcPr>
          <w:p w14:paraId="762B1628">
            <w:pPr>
              <w:jc w:val="center"/>
              <w:outlineLvl w:val="9"/>
              <w:rPr>
                <w:rFonts w:hint="eastAsia" w:ascii="仿宋" w:hAnsi="仿宋" w:eastAsia="仿宋" w:cs="仿宋"/>
                <w:b w:val="0"/>
                <w:bCs/>
                <w:color w:val="auto"/>
                <w:sz w:val="24"/>
                <w:szCs w:val="24"/>
                <w:highlight w:val="none"/>
              </w:rPr>
            </w:pPr>
          </w:p>
        </w:tc>
        <w:tc>
          <w:tcPr>
            <w:tcW w:w="1103" w:type="dxa"/>
            <w:noWrap/>
            <w:vAlign w:val="center"/>
          </w:tcPr>
          <w:p w14:paraId="1DA9A53A">
            <w:pPr>
              <w:jc w:val="center"/>
              <w:outlineLvl w:val="9"/>
              <w:rPr>
                <w:rFonts w:hint="eastAsia" w:ascii="仿宋" w:hAnsi="仿宋" w:eastAsia="仿宋" w:cs="仿宋"/>
                <w:b w:val="0"/>
                <w:bCs/>
                <w:color w:val="auto"/>
                <w:sz w:val="24"/>
                <w:szCs w:val="24"/>
                <w:highlight w:val="none"/>
              </w:rPr>
            </w:pPr>
          </w:p>
        </w:tc>
        <w:tc>
          <w:tcPr>
            <w:tcW w:w="767" w:type="dxa"/>
            <w:noWrap/>
            <w:vAlign w:val="center"/>
          </w:tcPr>
          <w:p w14:paraId="33193C3F">
            <w:pPr>
              <w:jc w:val="center"/>
              <w:outlineLvl w:val="9"/>
              <w:rPr>
                <w:rFonts w:hint="eastAsia" w:ascii="仿宋" w:hAnsi="仿宋" w:eastAsia="仿宋" w:cs="仿宋"/>
                <w:b w:val="0"/>
                <w:bCs/>
                <w:color w:val="auto"/>
                <w:sz w:val="24"/>
                <w:szCs w:val="24"/>
                <w:highlight w:val="none"/>
              </w:rPr>
            </w:pPr>
          </w:p>
        </w:tc>
      </w:tr>
      <w:tr w14:paraId="0255A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3" w:hRule="atLeast"/>
          <w:jc w:val="center"/>
        </w:trPr>
        <w:tc>
          <w:tcPr>
            <w:tcW w:w="7927" w:type="dxa"/>
            <w:gridSpan w:val="6"/>
            <w:noWrap/>
            <w:vAlign w:val="center"/>
          </w:tcPr>
          <w:p w14:paraId="19E39C01">
            <w:pPr>
              <w:jc w:val="left"/>
              <w:outlineLvl w:val="9"/>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投标总报价（元）</w:t>
            </w:r>
          </w:p>
        </w:tc>
        <w:tc>
          <w:tcPr>
            <w:tcW w:w="1870" w:type="dxa"/>
            <w:gridSpan w:val="2"/>
            <w:noWrap/>
            <w:vAlign w:val="center"/>
          </w:tcPr>
          <w:p w14:paraId="7AF580CC">
            <w:pPr>
              <w:jc w:val="left"/>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小写：</w:t>
            </w:r>
          </w:p>
          <w:p w14:paraId="0E9D8ED0">
            <w:pPr>
              <w:jc w:val="left"/>
              <w:outlineLvl w:val="9"/>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大写：</w:t>
            </w:r>
          </w:p>
        </w:tc>
      </w:tr>
      <w:tr w14:paraId="6C9C7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jc w:val="center"/>
        </w:trPr>
        <w:tc>
          <w:tcPr>
            <w:tcW w:w="9797" w:type="dxa"/>
            <w:gridSpan w:val="8"/>
            <w:noWrap/>
            <w:vAlign w:val="center"/>
          </w:tcPr>
          <w:p w14:paraId="096D7D2F">
            <w:pPr>
              <w:jc w:val="left"/>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备注：投标报价包括货物及其相关工作范围内所有费用（包括但不限于运输费、装卸费、保险费、安装费、调试费、税费、培训费等）</w:t>
            </w:r>
          </w:p>
        </w:tc>
      </w:tr>
    </w:tbl>
    <w:p w14:paraId="04268F73">
      <w:pPr>
        <w:outlineLvl w:val="9"/>
        <w:rPr>
          <w:rFonts w:hint="eastAsia" w:ascii="仿宋" w:hAnsi="仿宋" w:eastAsia="仿宋" w:cs="仿宋"/>
          <w:b w:val="0"/>
          <w:bCs/>
          <w:color w:val="auto"/>
          <w:sz w:val="28"/>
          <w:szCs w:val="28"/>
          <w:highlight w:val="none"/>
        </w:rPr>
      </w:pPr>
    </w:p>
    <w:p w14:paraId="7768CADD">
      <w:pPr>
        <w:outlineLvl w:val="9"/>
        <w:rPr>
          <w:rFonts w:hint="eastAsia" w:ascii="仿宋" w:hAnsi="仿宋" w:eastAsia="仿宋" w:cs="仿宋"/>
          <w:b/>
          <w:bCs w:val="0"/>
          <w:color w:val="auto"/>
          <w:sz w:val="28"/>
          <w:szCs w:val="28"/>
          <w:highlight w:val="none"/>
        </w:rPr>
      </w:pPr>
      <w:r>
        <w:rPr>
          <w:rFonts w:hint="eastAsia" w:ascii="仿宋" w:hAnsi="仿宋" w:eastAsia="仿宋" w:cs="仿宋"/>
          <w:b/>
          <w:bCs w:val="0"/>
          <w:color w:val="auto"/>
          <w:sz w:val="28"/>
          <w:szCs w:val="28"/>
          <w:highlight w:val="none"/>
        </w:rPr>
        <w:t>注：</w:t>
      </w:r>
      <w:r>
        <w:rPr>
          <w:rFonts w:hint="eastAsia" w:ascii="仿宋" w:hAnsi="仿宋" w:eastAsia="仿宋" w:cs="仿宋"/>
          <w:b/>
          <w:bCs w:val="0"/>
          <w:color w:val="auto"/>
          <w:sz w:val="28"/>
          <w:szCs w:val="28"/>
          <w:highlight w:val="none"/>
          <w:lang w:val="en-US" w:eastAsia="zh-CN"/>
        </w:rPr>
        <w:t>1.</w:t>
      </w:r>
      <w:r>
        <w:rPr>
          <w:rFonts w:hint="eastAsia" w:ascii="仿宋" w:hAnsi="仿宋" w:eastAsia="仿宋" w:cs="仿宋"/>
          <w:b/>
          <w:bCs w:val="0"/>
          <w:color w:val="auto"/>
          <w:sz w:val="28"/>
          <w:szCs w:val="28"/>
          <w:highlight w:val="none"/>
        </w:rPr>
        <w:t>此表需详列投标的每种产品。</w:t>
      </w:r>
    </w:p>
    <w:p w14:paraId="2FFAA436">
      <w:pPr>
        <w:ind w:firstLine="562" w:firstLineChars="200"/>
        <w:outlineLvl w:val="9"/>
        <w:rPr>
          <w:rFonts w:hint="default"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2.投标单位可根据所提供清单内容自行增加表格内容。</w:t>
      </w:r>
    </w:p>
    <w:p w14:paraId="7519DE45">
      <w:pPr>
        <w:pStyle w:val="32"/>
        <w:spacing w:line="480" w:lineRule="auto"/>
        <w:outlineLvl w:val="9"/>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投标单位（加盖公章）：</w:t>
      </w:r>
    </w:p>
    <w:p w14:paraId="5ACD976A">
      <w:pPr>
        <w:pStyle w:val="32"/>
        <w:spacing w:line="480" w:lineRule="auto"/>
        <w:outlineLvl w:val="9"/>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投标单位法人代表或授权代表签字（</w:t>
      </w:r>
      <w:r>
        <w:rPr>
          <w:rFonts w:hint="eastAsia" w:ascii="仿宋" w:hAnsi="仿宋" w:eastAsia="仿宋" w:cs="仿宋"/>
          <w:b/>
          <w:color w:val="auto"/>
          <w:sz w:val="28"/>
          <w:szCs w:val="28"/>
          <w:highlight w:val="none"/>
          <w:lang w:val="en-US" w:eastAsia="zh-CN"/>
        </w:rPr>
        <w:t>或盖章</w:t>
      </w:r>
      <w:r>
        <w:rPr>
          <w:rFonts w:hint="eastAsia" w:ascii="仿宋" w:hAnsi="仿宋" w:eastAsia="仿宋" w:cs="仿宋"/>
          <w:b/>
          <w:color w:val="auto"/>
          <w:sz w:val="28"/>
          <w:szCs w:val="28"/>
          <w:highlight w:val="none"/>
        </w:rPr>
        <w:t>）：</w:t>
      </w:r>
    </w:p>
    <w:p w14:paraId="44E005E5">
      <w:pPr>
        <w:pStyle w:val="32"/>
        <w:spacing w:line="480" w:lineRule="auto"/>
        <w:outlineLvl w:val="9"/>
        <w:rPr>
          <w:rFonts w:hint="eastAsia" w:ascii="仿宋" w:hAnsi="仿宋" w:eastAsia="仿宋" w:cs="仿宋"/>
          <w:b w:val="0"/>
          <w:bCs/>
          <w:color w:val="auto"/>
          <w:sz w:val="32"/>
          <w:szCs w:val="32"/>
          <w:highlight w:val="none"/>
          <w:lang w:val="zh-CN"/>
        </w:rPr>
      </w:pPr>
      <w:r>
        <w:rPr>
          <w:rFonts w:hint="eastAsia" w:ascii="仿宋" w:hAnsi="仿宋" w:eastAsia="仿宋" w:cs="仿宋"/>
          <w:b/>
          <w:color w:val="auto"/>
          <w:sz w:val="28"/>
          <w:szCs w:val="28"/>
          <w:highlight w:val="none"/>
          <w:lang w:val="en-US" w:eastAsia="zh-CN"/>
        </w:rPr>
        <w:t>日期：</w:t>
      </w:r>
      <w:r>
        <w:rPr>
          <w:rFonts w:hint="eastAsia" w:ascii="仿宋" w:hAnsi="仿宋" w:eastAsia="仿宋" w:cs="仿宋"/>
          <w:b w:val="0"/>
          <w:bCs/>
          <w:color w:val="auto"/>
          <w:sz w:val="32"/>
          <w:szCs w:val="32"/>
          <w:highlight w:val="none"/>
          <w:lang w:val="zh-CN"/>
        </w:rPr>
        <w:br w:type="page"/>
      </w:r>
    </w:p>
    <w:p w14:paraId="6A823008">
      <w:pPr>
        <w:adjustRightInd w:val="0"/>
        <w:snapToGrid w:val="0"/>
        <w:spacing w:beforeLines="50"/>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zh-CN"/>
        </w:rPr>
        <w:t>附件</w:t>
      </w:r>
      <w:r>
        <w:rPr>
          <w:rFonts w:hint="eastAsia" w:ascii="仿宋" w:hAnsi="仿宋" w:eastAsia="仿宋" w:cs="仿宋"/>
          <w:b/>
          <w:bCs/>
          <w:color w:val="auto"/>
          <w:sz w:val="28"/>
          <w:szCs w:val="28"/>
          <w:highlight w:val="none"/>
        </w:rPr>
        <w:t>2</w:t>
      </w:r>
      <w:r>
        <w:rPr>
          <w:rFonts w:hint="eastAsia" w:ascii="仿宋" w:hAnsi="仿宋" w:eastAsia="仿宋" w:cs="仿宋"/>
          <w:b/>
          <w:bCs/>
          <w:color w:val="auto"/>
          <w:sz w:val="28"/>
          <w:szCs w:val="28"/>
          <w:highlight w:val="none"/>
          <w:lang w:val="en-US" w:eastAsia="zh-CN"/>
        </w:rPr>
        <w:t>0</w:t>
      </w:r>
      <w:r>
        <w:rPr>
          <w:rFonts w:hint="eastAsia" w:ascii="仿宋" w:hAnsi="仿宋" w:eastAsia="仿宋" w:cs="仿宋"/>
          <w:b/>
          <w:bCs/>
          <w:color w:val="auto"/>
          <w:sz w:val="28"/>
          <w:szCs w:val="28"/>
          <w:highlight w:val="none"/>
        </w:rPr>
        <w:t>、售后服务承诺详述、维修、培训等计划详述</w:t>
      </w:r>
    </w:p>
    <w:p w14:paraId="504AD674">
      <w:pPr>
        <w:outlineLvl w:val="9"/>
        <w:rPr>
          <w:rFonts w:hint="eastAsia" w:ascii="仿宋" w:hAnsi="仿宋" w:eastAsia="仿宋" w:cs="仿宋"/>
          <w:b/>
          <w:bCs/>
          <w:color w:val="auto"/>
          <w:sz w:val="28"/>
          <w:szCs w:val="28"/>
          <w:highlight w:val="none"/>
          <w:lang w:val="zh-CN"/>
        </w:rPr>
      </w:pPr>
      <w:r>
        <w:rPr>
          <w:rFonts w:hint="eastAsia" w:ascii="仿宋" w:hAnsi="仿宋" w:eastAsia="仿宋" w:cs="仿宋"/>
          <w:b/>
          <w:bCs/>
          <w:color w:val="auto"/>
          <w:sz w:val="28"/>
          <w:szCs w:val="28"/>
          <w:highlight w:val="none"/>
          <w:lang w:val="zh-CN"/>
        </w:rPr>
        <w:br w:type="page"/>
      </w:r>
    </w:p>
    <w:p w14:paraId="276C2EB8">
      <w:pPr>
        <w:adjustRightInd w:val="0"/>
        <w:snapToGrid w:val="0"/>
        <w:spacing w:beforeLines="50"/>
        <w:outlineLvl w:val="1"/>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zh-CN"/>
        </w:rPr>
        <w:t>附件</w:t>
      </w:r>
      <w:r>
        <w:rPr>
          <w:rFonts w:hint="eastAsia" w:ascii="仿宋" w:hAnsi="仿宋" w:eastAsia="仿宋" w:cs="仿宋"/>
          <w:b/>
          <w:bCs/>
          <w:color w:val="auto"/>
          <w:sz w:val="28"/>
          <w:szCs w:val="28"/>
          <w:highlight w:val="none"/>
        </w:rPr>
        <w:t>2</w:t>
      </w:r>
      <w:r>
        <w:rPr>
          <w:rFonts w:hint="eastAsia" w:ascii="仿宋" w:hAnsi="仿宋" w:eastAsia="仿宋" w:cs="仿宋"/>
          <w:b/>
          <w:bCs/>
          <w:color w:val="auto"/>
          <w:sz w:val="28"/>
          <w:szCs w:val="28"/>
          <w:highlight w:val="none"/>
          <w:lang w:val="en-US" w:eastAsia="zh-CN"/>
        </w:rPr>
        <w:t>1</w:t>
      </w:r>
      <w:r>
        <w:rPr>
          <w:rFonts w:hint="eastAsia" w:ascii="仿宋" w:hAnsi="仿宋" w:eastAsia="仿宋" w:cs="仿宋"/>
          <w:b/>
          <w:bCs/>
          <w:color w:val="auto"/>
          <w:sz w:val="28"/>
          <w:szCs w:val="28"/>
          <w:highlight w:val="none"/>
        </w:rPr>
        <w:t>、拟派本项目人员配置情况表</w:t>
      </w:r>
    </w:p>
    <w:p w14:paraId="53A9B31A">
      <w:pPr>
        <w:keepNext w:val="0"/>
        <w:numPr>
          <w:ilvl w:val="0"/>
          <w:numId w:val="0"/>
        </w:numPr>
        <w:tabs>
          <w:tab w:val="left" w:pos="420"/>
        </w:tabs>
        <w:jc w:val="center"/>
        <w:outlineLvl w:val="9"/>
        <w:rPr>
          <w:rStyle w:val="49"/>
          <w:rFonts w:hint="eastAsia" w:ascii="仿宋" w:hAnsi="仿宋" w:eastAsia="仿宋" w:cs="仿宋"/>
          <w:b w:val="0"/>
          <w:color w:val="auto"/>
          <w:sz w:val="32"/>
          <w:szCs w:val="28"/>
          <w:highlight w:val="none"/>
          <w:lang w:val="en-US" w:eastAsia="zh-CN"/>
        </w:rPr>
      </w:pPr>
      <w:bookmarkStart w:id="10" w:name="_Toc14959"/>
      <w:bookmarkStart w:id="11" w:name="_Toc2396"/>
      <w:bookmarkStart w:id="12" w:name="_Toc445"/>
      <w:bookmarkStart w:id="13" w:name="_Toc18338"/>
      <w:r>
        <w:rPr>
          <w:rStyle w:val="49"/>
          <w:rFonts w:hint="eastAsia" w:ascii="仿宋" w:hAnsi="仿宋" w:eastAsia="仿宋" w:cs="仿宋"/>
          <w:b w:val="0"/>
          <w:color w:val="auto"/>
          <w:sz w:val="32"/>
          <w:szCs w:val="28"/>
          <w:highlight w:val="none"/>
          <w:lang w:val="en-US" w:eastAsia="zh-CN"/>
        </w:rPr>
        <w:t>拟派本项目人员配置情况表</w:t>
      </w:r>
      <w:bookmarkEnd w:id="10"/>
      <w:bookmarkEnd w:id="11"/>
      <w:bookmarkEnd w:id="12"/>
      <w:bookmarkEnd w:id="13"/>
    </w:p>
    <w:tbl>
      <w:tblPr>
        <w:tblStyle w:val="25"/>
        <w:tblW w:w="9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8"/>
        <w:gridCol w:w="992"/>
        <w:gridCol w:w="814"/>
        <w:gridCol w:w="1560"/>
        <w:gridCol w:w="1181"/>
        <w:gridCol w:w="1463"/>
        <w:gridCol w:w="1316"/>
        <w:gridCol w:w="742"/>
      </w:tblGrid>
      <w:tr w14:paraId="20F57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468" w:type="dxa"/>
            <w:vMerge w:val="restart"/>
            <w:noWrap w:val="0"/>
            <w:vAlign w:val="center"/>
          </w:tcPr>
          <w:p w14:paraId="33A7387B">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职务</w:t>
            </w:r>
          </w:p>
        </w:tc>
        <w:tc>
          <w:tcPr>
            <w:tcW w:w="992" w:type="dxa"/>
            <w:vMerge w:val="restart"/>
            <w:noWrap w:val="0"/>
            <w:vAlign w:val="center"/>
          </w:tcPr>
          <w:p w14:paraId="006FE6A9">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姓名</w:t>
            </w:r>
          </w:p>
        </w:tc>
        <w:tc>
          <w:tcPr>
            <w:tcW w:w="814" w:type="dxa"/>
            <w:vMerge w:val="restart"/>
            <w:noWrap w:val="0"/>
            <w:vAlign w:val="center"/>
          </w:tcPr>
          <w:p w14:paraId="7D262C16">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职称</w:t>
            </w:r>
          </w:p>
        </w:tc>
        <w:tc>
          <w:tcPr>
            <w:tcW w:w="5520" w:type="dxa"/>
            <w:gridSpan w:val="4"/>
            <w:noWrap w:val="0"/>
            <w:vAlign w:val="center"/>
          </w:tcPr>
          <w:p w14:paraId="02BB9AFD">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执业或职业资格证明</w:t>
            </w:r>
          </w:p>
        </w:tc>
        <w:tc>
          <w:tcPr>
            <w:tcW w:w="742" w:type="dxa"/>
            <w:noWrap w:val="0"/>
            <w:vAlign w:val="center"/>
          </w:tcPr>
          <w:p w14:paraId="55A223B3">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备注</w:t>
            </w:r>
          </w:p>
        </w:tc>
      </w:tr>
      <w:tr w14:paraId="75779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1468" w:type="dxa"/>
            <w:vMerge w:val="continue"/>
            <w:noWrap w:val="0"/>
            <w:vAlign w:val="center"/>
          </w:tcPr>
          <w:p w14:paraId="653C2165">
            <w:pPr>
              <w:jc w:val="center"/>
              <w:rPr>
                <w:rFonts w:hint="eastAsia" w:ascii="仿宋" w:hAnsi="仿宋" w:eastAsia="仿宋" w:cs="仿宋"/>
                <w:color w:val="auto"/>
                <w:kern w:val="2"/>
                <w:sz w:val="21"/>
                <w:szCs w:val="21"/>
                <w:highlight w:val="none"/>
              </w:rPr>
            </w:pPr>
          </w:p>
        </w:tc>
        <w:tc>
          <w:tcPr>
            <w:tcW w:w="992" w:type="dxa"/>
            <w:vMerge w:val="continue"/>
            <w:noWrap w:val="0"/>
            <w:vAlign w:val="center"/>
          </w:tcPr>
          <w:p w14:paraId="56311A78">
            <w:pPr>
              <w:jc w:val="center"/>
              <w:rPr>
                <w:rFonts w:hint="eastAsia" w:ascii="仿宋" w:hAnsi="仿宋" w:eastAsia="仿宋" w:cs="仿宋"/>
                <w:color w:val="auto"/>
                <w:kern w:val="2"/>
                <w:sz w:val="21"/>
                <w:szCs w:val="21"/>
                <w:highlight w:val="none"/>
              </w:rPr>
            </w:pPr>
          </w:p>
        </w:tc>
        <w:tc>
          <w:tcPr>
            <w:tcW w:w="814" w:type="dxa"/>
            <w:vMerge w:val="continue"/>
            <w:noWrap w:val="0"/>
            <w:vAlign w:val="center"/>
          </w:tcPr>
          <w:p w14:paraId="4F098244">
            <w:pPr>
              <w:jc w:val="center"/>
              <w:rPr>
                <w:rFonts w:hint="eastAsia" w:ascii="仿宋" w:hAnsi="仿宋" w:eastAsia="仿宋" w:cs="仿宋"/>
                <w:color w:val="auto"/>
                <w:kern w:val="2"/>
                <w:sz w:val="21"/>
                <w:szCs w:val="21"/>
                <w:highlight w:val="none"/>
              </w:rPr>
            </w:pPr>
          </w:p>
        </w:tc>
        <w:tc>
          <w:tcPr>
            <w:tcW w:w="1560" w:type="dxa"/>
            <w:noWrap w:val="0"/>
            <w:vAlign w:val="center"/>
          </w:tcPr>
          <w:p w14:paraId="3D3849B0">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证书名称</w:t>
            </w:r>
          </w:p>
        </w:tc>
        <w:tc>
          <w:tcPr>
            <w:tcW w:w="1181" w:type="dxa"/>
            <w:noWrap w:val="0"/>
            <w:vAlign w:val="center"/>
          </w:tcPr>
          <w:p w14:paraId="3164E157">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级别</w:t>
            </w:r>
          </w:p>
        </w:tc>
        <w:tc>
          <w:tcPr>
            <w:tcW w:w="1463" w:type="dxa"/>
            <w:noWrap w:val="0"/>
            <w:vAlign w:val="center"/>
          </w:tcPr>
          <w:p w14:paraId="2C588E5A">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证号</w:t>
            </w:r>
          </w:p>
        </w:tc>
        <w:tc>
          <w:tcPr>
            <w:tcW w:w="1316" w:type="dxa"/>
            <w:noWrap w:val="0"/>
            <w:vAlign w:val="center"/>
          </w:tcPr>
          <w:p w14:paraId="66EAD3C3">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专业</w:t>
            </w:r>
          </w:p>
        </w:tc>
        <w:tc>
          <w:tcPr>
            <w:tcW w:w="742" w:type="dxa"/>
            <w:noWrap w:val="0"/>
            <w:vAlign w:val="center"/>
          </w:tcPr>
          <w:p w14:paraId="7EBD114D">
            <w:pPr>
              <w:jc w:val="center"/>
              <w:rPr>
                <w:rFonts w:hint="eastAsia" w:ascii="仿宋" w:hAnsi="仿宋" w:eastAsia="仿宋" w:cs="仿宋"/>
                <w:color w:val="auto"/>
                <w:kern w:val="2"/>
                <w:sz w:val="21"/>
                <w:szCs w:val="21"/>
                <w:highlight w:val="none"/>
              </w:rPr>
            </w:pPr>
          </w:p>
        </w:tc>
      </w:tr>
      <w:tr w14:paraId="168AF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1468" w:type="dxa"/>
            <w:noWrap w:val="0"/>
            <w:vAlign w:val="center"/>
          </w:tcPr>
          <w:p w14:paraId="1B3FC8C4">
            <w:pPr>
              <w:jc w:val="center"/>
              <w:rPr>
                <w:rFonts w:hint="eastAsia" w:ascii="仿宋" w:hAnsi="仿宋" w:eastAsia="仿宋" w:cs="仿宋"/>
                <w:color w:val="auto"/>
                <w:kern w:val="2"/>
                <w:sz w:val="21"/>
                <w:szCs w:val="21"/>
                <w:highlight w:val="none"/>
              </w:rPr>
            </w:pPr>
            <w:r>
              <w:rPr>
                <w:rFonts w:hint="eastAsia" w:ascii="仿宋" w:hAnsi="仿宋" w:eastAsia="仿宋" w:cs="仿宋"/>
                <w:color w:val="auto"/>
                <w:kern w:val="2"/>
                <w:sz w:val="21"/>
                <w:szCs w:val="21"/>
                <w:highlight w:val="none"/>
              </w:rPr>
              <w:t>项目负责人</w:t>
            </w:r>
          </w:p>
        </w:tc>
        <w:tc>
          <w:tcPr>
            <w:tcW w:w="992" w:type="dxa"/>
            <w:noWrap w:val="0"/>
            <w:vAlign w:val="center"/>
          </w:tcPr>
          <w:p w14:paraId="4A528FEC">
            <w:pPr>
              <w:jc w:val="center"/>
              <w:rPr>
                <w:rFonts w:hint="eastAsia" w:ascii="仿宋" w:hAnsi="仿宋" w:eastAsia="仿宋" w:cs="仿宋"/>
                <w:color w:val="auto"/>
                <w:kern w:val="2"/>
                <w:sz w:val="21"/>
                <w:szCs w:val="21"/>
                <w:highlight w:val="none"/>
              </w:rPr>
            </w:pPr>
          </w:p>
        </w:tc>
        <w:tc>
          <w:tcPr>
            <w:tcW w:w="814" w:type="dxa"/>
            <w:noWrap w:val="0"/>
            <w:vAlign w:val="center"/>
          </w:tcPr>
          <w:p w14:paraId="6ED1FED5">
            <w:pPr>
              <w:jc w:val="center"/>
              <w:rPr>
                <w:rFonts w:hint="eastAsia" w:ascii="仿宋" w:hAnsi="仿宋" w:eastAsia="仿宋" w:cs="仿宋"/>
                <w:color w:val="auto"/>
                <w:kern w:val="2"/>
                <w:sz w:val="21"/>
                <w:szCs w:val="21"/>
                <w:highlight w:val="none"/>
              </w:rPr>
            </w:pPr>
          </w:p>
        </w:tc>
        <w:tc>
          <w:tcPr>
            <w:tcW w:w="1560" w:type="dxa"/>
            <w:noWrap w:val="0"/>
            <w:vAlign w:val="center"/>
          </w:tcPr>
          <w:p w14:paraId="461EDE8C">
            <w:pPr>
              <w:jc w:val="center"/>
              <w:rPr>
                <w:rFonts w:hint="eastAsia" w:ascii="仿宋" w:hAnsi="仿宋" w:eastAsia="仿宋" w:cs="仿宋"/>
                <w:color w:val="auto"/>
                <w:kern w:val="2"/>
                <w:sz w:val="21"/>
                <w:szCs w:val="21"/>
                <w:highlight w:val="none"/>
              </w:rPr>
            </w:pPr>
          </w:p>
        </w:tc>
        <w:tc>
          <w:tcPr>
            <w:tcW w:w="1181" w:type="dxa"/>
            <w:noWrap w:val="0"/>
            <w:vAlign w:val="center"/>
          </w:tcPr>
          <w:p w14:paraId="56AA4E55">
            <w:pPr>
              <w:jc w:val="center"/>
              <w:rPr>
                <w:rFonts w:hint="eastAsia" w:ascii="仿宋" w:hAnsi="仿宋" w:eastAsia="仿宋" w:cs="仿宋"/>
                <w:color w:val="auto"/>
                <w:kern w:val="2"/>
                <w:sz w:val="21"/>
                <w:szCs w:val="21"/>
                <w:highlight w:val="none"/>
              </w:rPr>
            </w:pPr>
          </w:p>
        </w:tc>
        <w:tc>
          <w:tcPr>
            <w:tcW w:w="1463" w:type="dxa"/>
            <w:noWrap w:val="0"/>
            <w:vAlign w:val="center"/>
          </w:tcPr>
          <w:p w14:paraId="232A9701">
            <w:pPr>
              <w:jc w:val="center"/>
              <w:rPr>
                <w:rFonts w:hint="eastAsia" w:ascii="仿宋" w:hAnsi="仿宋" w:eastAsia="仿宋" w:cs="仿宋"/>
                <w:color w:val="auto"/>
                <w:kern w:val="2"/>
                <w:sz w:val="21"/>
                <w:szCs w:val="21"/>
                <w:highlight w:val="none"/>
              </w:rPr>
            </w:pPr>
          </w:p>
        </w:tc>
        <w:tc>
          <w:tcPr>
            <w:tcW w:w="1316" w:type="dxa"/>
            <w:noWrap w:val="0"/>
            <w:vAlign w:val="center"/>
          </w:tcPr>
          <w:p w14:paraId="0F4F8A8F">
            <w:pPr>
              <w:jc w:val="center"/>
              <w:rPr>
                <w:rFonts w:hint="eastAsia" w:ascii="仿宋" w:hAnsi="仿宋" w:eastAsia="仿宋" w:cs="仿宋"/>
                <w:color w:val="auto"/>
                <w:kern w:val="2"/>
                <w:sz w:val="21"/>
                <w:szCs w:val="21"/>
                <w:highlight w:val="none"/>
              </w:rPr>
            </w:pPr>
          </w:p>
        </w:tc>
        <w:tc>
          <w:tcPr>
            <w:tcW w:w="742" w:type="dxa"/>
            <w:noWrap w:val="0"/>
            <w:vAlign w:val="center"/>
          </w:tcPr>
          <w:p w14:paraId="1AA69F9D">
            <w:pPr>
              <w:jc w:val="center"/>
              <w:rPr>
                <w:rFonts w:hint="eastAsia" w:ascii="仿宋" w:hAnsi="仿宋" w:eastAsia="仿宋" w:cs="仿宋"/>
                <w:color w:val="auto"/>
                <w:kern w:val="2"/>
                <w:sz w:val="21"/>
                <w:szCs w:val="21"/>
                <w:highlight w:val="none"/>
              </w:rPr>
            </w:pPr>
          </w:p>
        </w:tc>
      </w:tr>
      <w:tr w14:paraId="43D89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1468" w:type="dxa"/>
            <w:noWrap w:val="0"/>
            <w:vAlign w:val="center"/>
          </w:tcPr>
          <w:p w14:paraId="70AB33B2">
            <w:pPr>
              <w:jc w:val="center"/>
              <w:rPr>
                <w:rFonts w:hint="eastAsia" w:ascii="仿宋" w:hAnsi="仿宋" w:eastAsia="仿宋" w:cs="仿宋"/>
                <w:bCs/>
                <w:color w:val="auto"/>
                <w:kern w:val="2"/>
                <w:sz w:val="21"/>
                <w:szCs w:val="21"/>
                <w:highlight w:val="none"/>
              </w:rPr>
            </w:pPr>
            <w:r>
              <w:rPr>
                <w:rFonts w:hint="eastAsia" w:ascii="仿宋" w:hAnsi="仿宋" w:eastAsia="仿宋" w:cs="仿宋"/>
                <w:bCs/>
                <w:color w:val="auto"/>
                <w:kern w:val="2"/>
                <w:sz w:val="21"/>
                <w:szCs w:val="21"/>
                <w:highlight w:val="none"/>
              </w:rPr>
              <w:t>项目技术负责人</w:t>
            </w:r>
          </w:p>
        </w:tc>
        <w:tc>
          <w:tcPr>
            <w:tcW w:w="992" w:type="dxa"/>
            <w:noWrap w:val="0"/>
            <w:vAlign w:val="center"/>
          </w:tcPr>
          <w:p w14:paraId="53942513">
            <w:pPr>
              <w:jc w:val="center"/>
              <w:rPr>
                <w:rFonts w:hint="eastAsia" w:ascii="仿宋" w:hAnsi="仿宋" w:eastAsia="仿宋" w:cs="仿宋"/>
                <w:color w:val="auto"/>
                <w:kern w:val="2"/>
                <w:sz w:val="21"/>
                <w:szCs w:val="21"/>
                <w:highlight w:val="none"/>
              </w:rPr>
            </w:pPr>
          </w:p>
        </w:tc>
        <w:tc>
          <w:tcPr>
            <w:tcW w:w="814" w:type="dxa"/>
            <w:noWrap w:val="0"/>
            <w:vAlign w:val="center"/>
          </w:tcPr>
          <w:p w14:paraId="58E5FFCC">
            <w:pPr>
              <w:jc w:val="center"/>
              <w:rPr>
                <w:rFonts w:hint="eastAsia" w:ascii="仿宋" w:hAnsi="仿宋" w:eastAsia="仿宋" w:cs="仿宋"/>
                <w:color w:val="auto"/>
                <w:kern w:val="2"/>
                <w:sz w:val="21"/>
                <w:szCs w:val="21"/>
                <w:highlight w:val="none"/>
              </w:rPr>
            </w:pPr>
          </w:p>
        </w:tc>
        <w:tc>
          <w:tcPr>
            <w:tcW w:w="1560" w:type="dxa"/>
            <w:noWrap w:val="0"/>
            <w:vAlign w:val="center"/>
          </w:tcPr>
          <w:p w14:paraId="17D67BE6">
            <w:pPr>
              <w:jc w:val="center"/>
              <w:rPr>
                <w:rFonts w:hint="eastAsia" w:ascii="仿宋" w:hAnsi="仿宋" w:eastAsia="仿宋" w:cs="仿宋"/>
                <w:color w:val="auto"/>
                <w:kern w:val="2"/>
                <w:sz w:val="21"/>
                <w:szCs w:val="21"/>
                <w:highlight w:val="none"/>
              </w:rPr>
            </w:pPr>
          </w:p>
        </w:tc>
        <w:tc>
          <w:tcPr>
            <w:tcW w:w="1181" w:type="dxa"/>
            <w:noWrap w:val="0"/>
            <w:vAlign w:val="center"/>
          </w:tcPr>
          <w:p w14:paraId="3A47480C">
            <w:pPr>
              <w:jc w:val="center"/>
              <w:rPr>
                <w:rFonts w:hint="eastAsia" w:ascii="仿宋" w:hAnsi="仿宋" w:eastAsia="仿宋" w:cs="仿宋"/>
                <w:color w:val="auto"/>
                <w:kern w:val="2"/>
                <w:sz w:val="21"/>
                <w:szCs w:val="21"/>
                <w:highlight w:val="none"/>
              </w:rPr>
            </w:pPr>
          </w:p>
        </w:tc>
        <w:tc>
          <w:tcPr>
            <w:tcW w:w="1463" w:type="dxa"/>
            <w:noWrap w:val="0"/>
            <w:vAlign w:val="center"/>
          </w:tcPr>
          <w:p w14:paraId="672A72AB">
            <w:pPr>
              <w:jc w:val="center"/>
              <w:rPr>
                <w:rFonts w:hint="eastAsia" w:ascii="仿宋" w:hAnsi="仿宋" w:eastAsia="仿宋" w:cs="仿宋"/>
                <w:color w:val="auto"/>
                <w:kern w:val="2"/>
                <w:sz w:val="21"/>
                <w:szCs w:val="21"/>
                <w:highlight w:val="none"/>
              </w:rPr>
            </w:pPr>
          </w:p>
        </w:tc>
        <w:tc>
          <w:tcPr>
            <w:tcW w:w="1316" w:type="dxa"/>
            <w:noWrap w:val="0"/>
            <w:vAlign w:val="center"/>
          </w:tcPr>
          <w:p w14:paraId="5EE1D95B">
            <w:pPr>
              <w:jc w:val="center"/>
              <w:rPr>
                <w:rFonts w:hint="eastAsia" w:ascii="仿宋" w:hAnsi="仿宋" w:eastAsia="仿宋" w:cs="仿宋"/>
                <w:color w:val="auto"/>
                <w:kern w:val="2"/>
                <w:sz w:val="21"/>
                <w:szCs w:val="21"/>
                <w:highlight w:val="none"/>
              </w:rPr>
            </w:pPr>
          </w:p>
        </w:tc>
        <w:tc>
          <w:tcPr>
            <w:tcW w:w="742" w:type="dxa"/>
            <w:noWrap w:val="0"/>
            <w:vAlign w:val="center"/>
          </w:tcPr>
          <w:p w14:paraId="74499B08">
            <w:pPr>
              <w:jc w:val="center"/>
              <w:rPr>
                <w:rFonts w:hint="eastAsia" w:ascii="仿宋" w:hAnsi="仿宋" w:eastAsia="仿宋" w:cs="仿宋"/>
                <w:color w:val="auto"/>
                <w:kern w:val="2"/>
                <w:sz w:val="21"/>
                <w:szCs w:val="21"/>
                <w:highlight w:val="none"/>
              </w:rPr>
            </w:pPr>
          </w:p>
        </w:tc>
      </w:tr>
      <w:tr w14:paraId="2BC3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1468" w:type="dxa"/>
            <w:noWrap w:val="0"/>
            <w:vAlign w:val="center"/>
          </w:tcPr>
          <w:p w14:paraId="30125253">
            <w:pPr>
              <w:jc w:val="center"/>
              <w:rPr>
                <w:rFonts w:hint="eastAsia" w:ascii="仿宋" w:hAnsi="仿宋" w:eastAsia="仿宋" w:cs="仿宋"/>
                <w:bCs/>
                <w:color w:val="auto"/>
                <w:kern w:val="2"/>
                <w:sz w:val="21"/>
                <w:szCs w:val="21"/>
                <w:highlight w:val="none"/>
                <w:lang w:val="en-US" w:eastAsia="zh-CN"/>
              </w:rPr>
            </w:pPr>
            <w:r>
              <w:rPr>
                <w:rFonts w:hint="eastAsia" w:ascii="仿宋" w:hAnsi="仿宋" w:eastAsia="仿宋" w:cs="仿宋"/>
                <w:bCs/>
                <w:color w:val="auto"/>
                <w:kern w:val="2"/>
                <w:sz w:val="21"/>
                <w:szCs w:val="21"/>
                <w:highlight w:val="none"/>
                <w:lang w:val="en-US" w:eastAsia="zh-CN"/>
              </w:rPr>
              <w:t>……</w:t>
            </w:r>
          </w:p>
        </w:tc>
        <w:tc>
          <w:tcPr>
            <w:tcW w:w="992" w:type="dxa"/>
            <w:noWrap w:val="0"/>
            <w:vAlign w:val="top"/>
          </w:tcPr>
          <w:p w14:paraId="6F511537">
            <w:pPr>
              <w:jc w:val="center"/>
              <w:rPr>
                <w:rFonts w:hint="eastAsia" w:ascii="仿宋" w:hAnsi="仿宋" w:eastAsia="仿宋" w:cs="仿宋"/>
                <w:color w:val="auto"/>
                <w:kern w:val="2"/>
                <w:sz w:val="21"/>
                <w:szCs w:val="21"/>
                <w:highlight w:val="none"/>
              </w:rPr>
            </w:pPr>
          </w:p>
        </w:tc>
        <w:tc>
          <w:tcPr>
            <w:tcW w:w="814" w:type="dxa"/>
            <w:noWrap w:val="0"/>
            <w:vAlign w:val="top"/>
          </w:tcPr>
          <w:p w14:paraId="6C4F17DF">
            <w:pPr>
              <w:jc w:val="center"/>
              <w:rPr>
                <w:rFonts w:hint="eastAsia" w:ascii="仿宋" w:hAnsi="仿宋" w:eastAsia="仿宋" w:cs="仿宋"/>
                <w:color w:val="auto"/>
                <w:kern w:val="2"/>
                <w:sz w:val="21"/>
                <w:szCs w:val="21"/>
                <w:highlight w:val="none"/>
              </w:rPr>
            </w:pPr>
          </w:p>
        </w:tc>
        <w:tc>
          <w:tcPr>
            <w:tcW w:w="1560" w:type="dxa"/>
            <w:noWrap w:val="0"/>
            <w:vAlign w:val="top"/>
          </w:tcPr>
          <w:p w14:paraId="517A8967">
            <w:pPr>
              <w:jc w:val="center"/>
              <w:rPr>
                <w:rFonts w:hint="eastAsia" w:ascii="仿宋" w:hAnsi="仿宋" w:eastAsia="仿宋" w:cs="仿宋"/>
                <w:color w:val="auto"/>
                <w:kern w:val="2"/>
                <w:sz w:val="21"/>
                <w:szCs w:val="21"/>
                <w:highlight w:val="none"/>
              </w:rPr>
            </w:pPr>
          </w:p>
        </w:tc>
        <w:tc>
          <w:tcPr>
            <w:tcW w:w="1181" w:type="dxa"/>
            <w:noWrap w:val="0"/>
            <w:vAlign w:val="top"/>
          </w:tcPr>
          <w:p w14:paraId="2DA47D17">
            <w:pPr>
              <w:jc w:val="center"/>
              <w:rPr>
                <w:rFonts w:hint="eastAsia" w:ascii="仿宋" w:hAnsi="仿宋" w:eastAsia="仿宋" w:cs="仿宋"/>
                <w:color w:val="auto"/>
                <w:kern w:val="2"/>
                <w:sz w:val="21"/>
                <w:szCs w:val="21"/>
                <w:highlight w:val="none"/>
              </w:rPr>
            </w:pPr>
          </w:p>
        </w:tc>
        <w:tc>
          <w:tcPr>
            <w:tcW w:w="1463" w:type="dxa"/>
            <w:noWrap w:val="0"/>
            <w:vAlign w:val="top"/>
          </w:tcPr>
          <w:p w14:paraId="4F06B9FC">
            <w:pPr>
              <w:jc w:val="center"/>
              <w:rPr>
                <w:rFonts w:hint="eastAsia" w:ascii="仿宋" w:hAnsi="仿宋" w:eastAsia="仿宋" w:cs="仿宋"/>
                <w:color w:val="auto"/>
                <w:kern w:val="2"/>
                <w:sz w:val="21"/>
                <w:szCs w:val="21"/>
                <w:highlight w:val="none"/>
              </w:rPr>
            </w:pPr>
          </w:p>
        </w:tc>
        <w:tc>
          <w:tcPr>
            <w:tcW w:w="1316" w:type="dxa"/>
            <w:noWrap w:val="0"/>
            <w:vAlign w:val="top"/>
          </w:tcPr>
          <w:p w14:paraId="6856E959">
            <w:pPr>
              <w:jc w:val="center"/>
              <w:rPr>
                <w:rFonts w:hint="eastAsia" w:ascii="仿宋" w:hAnsi="仿宋" w:eastAsia="仿宋" w:cs="仿宋"/>
                <w:color w:val="auto"/>
                <w:kern w:val="2"/>
                <w:sz w:val="21"/>
                <w:szCs w:val="21"/>
                <w:highlight w:val="none"/>
              </w:rPr>
            </w:pPr>
          </w:p>
        </w:tc>
        <w:tc>
          <w:tcPr>
            <w:tcW w:w="742" w:type="dxa"/>
            <w:noWrap w:val="0"/>
            <w:vAlign w:val="top"/>
          </w:tcPr>
          <w:p w14:paraId="2123E8FF">
            <w:pPr>
              <w:jc w:val="center"/>
              <w:rPr>
                <w:rFonts w:hint="eastAsia" w:ascii="仿宋" w:hAnsi="仿宋" w:eastAsia="仿宋" w:cs="仿宋"/>
                <w:color w:val="auto"/>
                <w:kern w:val="2"/>
                <w:sz w:val="21"/>
                <w:szCs w:val="21"/>
                <w:highlight w:val="none"/>
              </w:rPr>
            </w:pPr>
          </w:p>
        </w:tc>
      </w:tr>
      <w:tr w14:paraId="68968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4B3CC906">
            <w:pPr>
              <w:jc w:val="center"/>
              <w:rPr>
                <w:rFonts w:hint="eastAsia" w:ascii="仿宋" w:hAnsi="仿宋" w:eastAsia="仿宋" w:cs="仿宋"/>
                <w:bCs/>
                <w:color w:val="auto"/>
                <w:kern w:val="2"/>
                <w:sz w:val="21"/>
                <w:szCs w:val="21"/>
                <w:highlight w:val="none"/>
              </w:rPr>
            </w:pPr>
          </w:p>
        </w:tc>
        <w:tc>
          <w:tcPr>
            <w:tcW w:w="992" w:type="dxa"/>
            <w:noWrap w:val="0"/>
            <w:vAlign w:val="top"/>
          </w:tcPr>
          <w:p w14:paraId="038F7077">
            <w:pPr>
              <w:jc w:val="center"/>
              <w:rPr>
                <w:rFonts w:hint="eastAsia" w:ascii="仿宋" w:hAnsi="仿宋" w:eastAsia="仿宋" w:cs="仿宋"/>
                <w:color w:val="auto"/>
                <w:kern w:val="2"/>
                <w:sz w:val="21"/>
                <w:szCs w:val="21"/>
                <w:highlight w:val="none"/>
              </w:rPr>
            </w:pPr>
          </w:p>
        </w:tc>
        <w:tc>
          <w:tcPr>
            <w:tcW w:w="814" w:type="dxa"/>
            <w:noWrap w:val="0"/>
            <w:vAlign w:val="top"/>
          </w:tcPr>
          <w:p w14:paraId="62CD7BB5">
            <w:pPr>
              <w:jc w:val="center"/>
              <w:rPr>
                <w:rFonts w:hint="eastAsia" w:ascii="仿宋" w:hAnsi="仿宋" w:eastAsia="仿宋" w:cs="仿宋"/>
                <w:color w:val="auto"/>
                <w:kern w:val="2"/>
                <w:sz w:val="21"/>
                <w:szCs w:val="21"/>
                <w:highlight w:val="none"/>
              </w:rPr>
            </w:pPr>
          </w:p>
        </w:tc>
        <w:tc>
          <w:tcPr>
            <w:tcW w:w="1560" w:type="dxa"/>
            <w:noWrap w:val="0"/>
            <w:vAlign w:val="top"/>
          </w:tcPr>
          <w:p w14:paraId="5AA8BE7D">
            <w:pPr>
              <w:jc w:val="center"/>
              <w:rPr>
                <w:rFonts w:hint="eastAsia" w:ascii="仿宋" w:hAnsi="仿宋" w:eastAsia="仿宋" w:cs="仿宋"/>
                <w:color w:val="auto"/>
                <w:kern w:val="2"/>
                <w:sz w:val="21"/>
                <w:szCs w:val="21"/>
                <w:highlight w:val="none"/>
              </w:rPr>
            </w:pPr>
          </w:p>
        </w:tc>
        <w:tc>
          <w:tcPr>
            <w:tcW w:w="1181" w:type="dxa"/>
            <w:noWrap w:val="0"/>
            <w:vAlign w:val="top"/>
          </w:tcPr>
          <w:p w14:paraId="0C96C74A">
            <w:pPr>
              <w:jc w:val="center"/>
              <w:rPr>
                <w:rFonts w:hint="eastAsia" w:ascii="仿宋" w:hAnsi="仿宋" w:eastAsia="仿宋" w:cs="仿宋"/>
                <w:color w:val="auto"/>
                <w:kern w:val="2"/>
                <w:sz w:val="21"/>
                <w:szCs w:val="21"/>
                <w:highlight w:val="none"/>
              </w:rPr>
            </w:pPr>
          </w:p>
        </w:tc>
        <w:tc>
          <w:tcPr>
            <w:tcW w:w="1463" w:type="dxa"/>
            <w:noWrap w:val="0"/>
            <w:vAlign w:val="top"/>
          </w:tcPr>
          <w:p w14:paraId="02A07995">
            <w:pPr>
              <w:jc w:val="center"/>
              <w:rPr>
                <w:rFonts w:hint="eastAsia" w:ascii="仿宋" w:hAnsi="仿宋" w:eastAsia="仿宋" w:cs="仿宋"/>
                <w:color w:val="auto"/>
                <w:kern w:val="2"/>
                <w:sz w:val="21"/>
                <w:szCs w:val="21"/>
                <w:highlight w:val="none"/>
              </w:rPr>
            </w:pPr>
          </w:p>
        </w:tc>
        <w:tc>
          <w:tcPr>
            <w:tcW w:w="1316" w:type="dxa"/>
            <w:noWrap w:val="0"/>
            <w:vAlign w:val="top"/>
          </w:tcPr>
          <w:p w14:paraId="486C8426">
            <w:pPr>
              <w:jc w:val="center"/>
              <w:rPr>
                <w:rFonts w:hint="eastAsia" w:ascii="仿宋" w:hAnsi="仿宋" w:eastAsia="仿宋" w:cs="仿宋"/>
                <w:color w:val="auto"/>
                <w:kern w:val="2"/>
                <w:sz w:val="21"/>
                <w:szCs w:val="21"/>
                <w:highlight w:val="none"/>
              </w:rPr>
            </w:pPr>
          </w:p>
        </w:tc>
        <w:tc>
          <w:tcPr>
            <w:tcW w:w="742" w:type="dxa"/>
            <w:noWrap w:val="0"/>
            <w:vAlign w:val="top"/>
          </w:tcPr>
          <w:p w14:paraId="799F264E">
            <w:pPr>
              <w:jc w:val="center"/>
              <w:rPr>
                <w:rFonts w:hint="eastAsia" w:ascii="仿宋" w:hAnsi="仿宋" w:eastAsia="仿宋" w:cs="仿宋"/>
                <w:color w:val="auto"/>
                <w:kern w:val="2"/>
                <w:sz w:val="21"/>
                <w:szCs w:val="21"/>
                <w:highlight w:val="none"/>
              </w:rPr>
            </w:pPr>
          </w:p>
        </w:tc>
      </w:tr>
      <w:tr w14:paraId="64063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2A122819">
            <w:pPr>
              <w:jc w:val="center"/>
              <w:rPr>
                <w:rFonts w:hint="eastAsia" w:ascii="仿宋" w:hAnsi="仿宋" w:eastAsia="仿宋" w:cs="仿宋"/>
                <w:bCs/>
                <w:color w:val="auto"/>
                <w:kern w:val="2"/>
                <w:sz w:val="21"/>
                <w:szCs w:val="21"/>
                <w:highlight w:val="none"/>
              </w:rPr>
            </w:pPr>
          </w:p>
        </w:tc>
        <w:tc>
          <w:tcPr>
            <w:tcW w:w="992" w:type="dxa"/>
            <w:noWrap w:val="0"/>
            <w:vAlign w:val="top"/>
          </w:tcPr>
          <w:p w14:paraId="7C06005F">
            <w:pPr>
              <w:jc w:val="center"/>
              <w:rPr>
                <w:rFonts w:hint="eastAsia" w:ascii="仿宋" w:hAnsi="仿宋" w:eastAsia="仿宋" w:cs="仿宋"/>
                <w:color w:val="auto"/>
                <w:kern w:val="2"/>
                <w:sz w:val="21"/>
                <w:szCs w:val="21"/>
                <w:highlight w:val="none"/>
              </w:rPr>
            </w:pPr>
          </w:p>
        </w:tc>
        <w:tc>
          <w:tcPr>
            <w:tcW w:w="814" w:type="dxa"/>
            <w:noWrap w:val="0"/>
            <w:vAlign w:val="top"/>
          </w:tcPr>
          <w:p w14:paraId="7172A0D1">
            <w:pPr>
              <w:jc w:val="center"/>
              <w:rPr>
                <w:rFonts w:hint="eastAsia" w:ascii="仿宋" w:hAnsi="仿宋" w:eastAsia="仿宋" w:cs="仿宋"/>
                <w:color w:val="auto"/>
                <w:kern w:val="2"/>
                <w:sz w:val="21"/>
                <w:szCs w:val="21"/>
                <w:highlight w:val="none"/>
              </w:rPr>
            </w:pPr>
          </w:p>
        </w:tc>
        <w:tc>
          <w:tcPr>
            <w:tcW w:w="1560" w:type="dxa"/>
            <w:noWrap w:val="0"/>
            <w:vAlign w:val="top"/>
          </w:tcPr>
          <w:p w14:paraId="3F1B25CE">
            <w:pPr>
              <w:jc w:val="center"/>
              <w:rPr>
                <w:rFonts w:hint="eastAsia" w:ascii="仿宋" w:hAnsi="仿宋" w:eastAsia="仿宋" w:cs="仿宋"/>
                <w:color w:val="auto"/>
                <w:kern w:val="2"/>
                <w:sz w:val="21"/>
                <w:szCs w:val="21"/>
                <w:highlight w:val="none"/>
              </w:rPr>
            </w:pPr>
          </w:p>
        </w:tc>
        <w:tc>
          <w:tcPr>
            <w:tcW w:w="1181" w:type="dxa"/>
            <w:noWrap w:val="0"/>
            <w:vAlign w:val="top"/>
          </w:tcPr>
          <w:p w14:paraId="2C74DCDC">
            <w:pPr>
              <w:jc w:val="center"/>
              <w:rPr>
                <w:rFonts w:hint="eastAsia" w:ascii="仿宋" w:hAnsi="仿宋" w:eastAsia="仿宋" w:cs="仿宋"/>
                <w:color w:val="auto"/>
                <w:kern w:val="2"/>
                <w:sz w:val="21"/>
                <w:szCs w:val="21"/>
                <w:highlight w:val="none"/>
              </w:rPr>
            </w:pPr>
          </w:p>
        </w:tc>
        <w:tc>
          <w:tcPr>
            <w:tcW w:w="1463" w:type="dxa"/>
            <w:noWrap w:val="0"/>
            <w:vAlign w:val="top"/>
          </w:tcPr>
          <w:p w14:paraId="17EEE364">
            <w:pPr>
              <w:jc w:val="center"/>
              <w:rPr>
                <w:rFonts w:hint="eastAsia" w:ascii="仿宋" w:hAnsi="仿宋" w:eastAsia="仿宋" w:cs="仿宋"/>
                <w:color w:val="auto"/>
                <w:kern w:val="2"/>
                <w:sz w:val="21"/>
                <w:szCs w:val="21"/>
                <w:highlight w:val="none"/>
              </w:rPr>
            </w:pPr>
          </w:p>
        </w:tc>
        <w:tc>
          <w:tcPr>
            <w:tcW w:w="1316" w:type="dxa"/>
            <w:noWrap w:val="0"/>
            <w:vAlign w:val="top"/>
          </w:tcPr>
          <w:p w14:paraId="7D2C96A8">
            <w:pPr>
              <w:jc w:val="center"/>
              <w:rPr>
                <w:rFonts w:hint="eastAsia" w:ascii="仿宋" w:hAnsi="仿宋" w:eastAsia="仿宋" w:cs="仿宋"/>
                <w:color w:val="auto"/>
                <w:kern w:val="2"/>
                <w:sz w:val="21"/>
                <w:szCs w:val="21"/>
                <w:highlight w:val="none"/>
              </w:rPr>
            </w:pPr>
          </w:p>
        </w:tc>
        <w:tc>
          <w:tcPr>
            <w:tcW w:w="742" w:type="dxa"/>
            <w:noWrap w:val="0"/>
            <w:vAlign w:val="top"/>
          </w:tcPr>
          <w:p w14:paraId="53D438A4">
            <w:pPr>
              <w:jc w:val="center"/>
              <w:rPr>
                <w:rFonts w:hint="eastAsia" w:ascii="仿宋" w:hAnsi="仿宋" w:eastAsia="仿宋" w:cs="仿宋"/>
                <w:color w:val="auto"/>
                <w:kern w:val="2"/>
                <w:sz w:val="21"/>
                <w:szCs w:val="21"/>
                <w:highlight w:val="none"/>
              </w:rPr>
            </w:pPr>
          </w:p>
        </w:tc>
      </w:tr>
      <w:tr w14:paraId="3DB08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5EDB771A">
            <w:pPr>
              <w:jc w:val="center"/>
              <w:rPr>
                <w:rFonts w:hint="eastAsia" w:ascii="仿宋" w:hAnsi="仿宋" w:eastAsia="仿宋" w:cs="仿宋"/>
                <w:bCs/>
                <w:color w:val="auto"/>
                <w:kern w:val="2"/>
                <w:sz w:val="21"/>
                <w:szCs w:val="21"/>
                <w:highlight w:val="none"/>
              </w:rPr>
            </w:pPr>
          </w:p>
        </w:tc>
        <w:tc>
          <w:tcPr>
            <w:tcW w:w="992" w:type="dxa"/>
            <w:noWrap w:val="0"/>
            <w:vAlign w:val="top"/>
          </w:tcPr>
          <w:p w14:paraId="7FA19BD5">
            <w:pPr>
              <w:jc w:val="center"/>
              <w:rPr>
                <w:rFonts w:hint="eastAsia" w:ascii="仿宋" w:hAnsi="仿宋" w:eastAsia="仿宋" w:cs="仿宋"/>
                <w:color w:val="auto"/>
                <w:kern w:val="2"/>
                <w:sz w:val="21"/>
                <w:szCs w:val="21"/>
                <w:highlight w:val="none"/>
              </w:rPr>
            </w:pPr>
          </w:p>
        </w:tc>
        <w:tc>
          <w:tcPr>
            <w:tcW w:w="814" w:type="dxa"/>
            <w:noWrap w:val="0"/>
            <w:vAlign w:val="top"/>
          </w:tcPr>
          <w:p w14:paraId="081F43B0">
            <w:pPr>
              <w:jc w:val="center"/>
              <w:rPr>
                <w:rFonts w:hint="eastAsia" w:ascii="仿宋" w:hAnsi="仿宋" w:eastAsia="仿宋" w:cs="仿宋"/>
                <w:color w:val="auto"/>
                <w:kern w:val="2"/>
                <w:sz w:val="21"/>
                <w:szCs w:val="21"/>
                <w:highlight w:val="none"/>
              </w:rPr>
            </w:pPr>
          </w:p>
        </w:tc>
        <w:tc>
          <w:tcPr>
            <w:tcW w:w="1560" w:type="dxa"/>
            <w:noWrap w:val="0"/>
            <w:vAlign w:val="top"/>
          </w:tcPr>
          <w:p w14:paraId="3C061575">
            <w:pPr>
              <w:jc w:val="center"/>
              <w:rPr>
                <w:rFonts w:hint="eastAsia" w:ascii="仿宋" w:hAnsi="仿宋" w:eastAsia="仿宋" w:cs="仿宋"/>
                <w:color w:val="auto"/>
                <w:kern w:val="2"/>
                <w:sz w:val="21"/>
                <w:szCs w:val="21"/>
                <w:highlight w:val="none"/>
              </w:rPr>
            </w:pPr>
          </w:p>
        </w:tc>
        <w:tc>
          <w:tcPr>
            <w:tcW w:w="1181" w:type="dxa"/>
            <w:noWrap w:val="0"/>
            <w:vAlign w:val="top"/>
          </w:tcPr>
          <w:p w14:paraId="3743FA39">
            <w:pPr>
              <w:jc w:val="center"/>
              <w:rPr>
                <w:rFonts w:hint="eastAsia" w:ascii="仿宋" w:hAnsi="仿宋" w:eastAsia="仿宋" w:cs="仿宋"/>
                <w:color w:val="auto"/>
                <w:kern w:val="2"/>
                <w:sz w:val="21"/>
                <w:szCs w:val="21"/>
                <w:highlight w:val="none"/>
              </w:rPr>
            </w:pPr>
          </w:p>
        </w:tc>
        <w:tc>
          <w:tcPr>
            <w:tcW w:w="1463" w:type="dxa"/>
            <w:noWrap w:val="0"/>
            <w:vAlign w:val="top"/>
          </w:tcPr>
          <w:p w14:paraId="112FC89A">
            <w:pPr>
              <w:jc w:val="center"/>
              <w:rPr>
                <w:rFonts w:hint="eastAsia" w:ascii="仿宋" w:hAnsi="仿宋" w:eastAsia="仿宋" w:cs="仿宋"/>
                <w:color w:val="auto"/>
                <w:kern w:val="2"/>
                <w:sz w:val="21"/>
                <w:szCs w:val="21"/>
                <w:highlight w:val="none"/>
              </w:rPr>
            </w:pPr>
          </w:p>
        </w:tc>
        <w:tc>
          <w:tcPr>
            <w:tcW w:w="1316" w:type="dxa"/>
            <w:noWrap w:val="0"/>
            <w:vAlign w:val="top"/>
          </w:tcPr>
          <w:p w14:paraId="75EB2F7B">
            <w:pPr>
              <w:jc w:val="center"/>
              <w:rPr>
                <w:rFonts w:hint="eastAsia" w:ascii="仿宋" w:hAnsi="仿宋" w:eastAsia="仿宋" w:cs="仿宋"/>
                <w:color w:val="auto"/>
                <w:kern w:val="2"/>
                <w:sz w:val="21"/>
                <w:szCs w:val="21"/>
                <w:highlight w:val="none"/>
              </w:rPr>
            </w:pPr>
          </w:p>
        </w:tc>
        <w:tc>
          <w:tcPr>
            <w:tcW w:w="742" w:type="dxa"/>
            <w:noWrap w:val="0"/>
            <w:vAlign w:val="top"/>
          </w:tcPr>
          <w:p w14:paraId="49879A5D">
            <w:pPr>
              <w:jc w:val="center"/>
              <w:rPr>
                <w:rFonts w:hint="eastAsia" w:ascii="仿宋" w:hAnsi="仿宋" w:eastAsia="仿宋" w:cs="仿宋"/>
                <w:color w:val="auto"/>
                <w:kern w:val="2"/>
                <w:sz w:val="21"/>
                <w:szCs w:val="21"/>
                <w:highlight w:val="none"/>
              </w:rPr>
            </w:pPr>
          </w:p>
        </w:tc>
      </w:tr>
      <w:tr w14:paraId="0655F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13484353">
            <w:pPr>
              <w:jc w:val="center"/>
              <w:rPr>
                <w:rFonts w:hint="eastAsia" w:ascii="仿宋" w:hAnsi="仿宋" w:eastAsia="仿宋" w:cs="仿宋"/>
                <w:bCs/>
                <w:color w:val="auto"/>
                <w:kern w:val="2"/>
                <w:sz w:val="21"/>
                <w:szCs w:val="21"/>
                <w:highlight w:val="none"/>
              </w:rPr>
            </w:pPr>
          </w:p>
        </w:tc>
        <w:tc>
          <w:tcPr>
            <w:tcW w:w="992" w:type="dxa"/>
            <w:noWrap w:val="0"/>
            <w:vAlign w:val="top"/>
          </w:tcPr>
          <w:p w14:paraId="520CE46B">
            <w:pPr>
              <w:jc w:val="center"/>
              <w:rPr>
                <w:rFonts w:hint="eastAsia" w:ascii="仿宋" w:hAnsi="仿宋" w:eastAsia="仿宋" w:cs="仿宋"/>
                <w:color w:val="auto"/>
                <w:kern w:val="2"/>
                <w:sz w:val="21"/>
                <w:szCs w:val="21"/>
                <w:highlight w:val="none"/>
              </w:rPr>
            </w:pPr>
          </w:p>
        </w:tc>
        <w:tc>
          <w:tcPr>
            <w:tcW w:w="814" w:type="dxa"/>
            <w:noWrap w:val="0"/>
            <w:vAlign w:val="top"/>
          </w:tcPr>
          <w:p w14:paraId="15116ED8">
            <w:pPr>
              <w:jc w:val="center"/>
              <w:rPr>
                <w:rFonts w:hint="eastAsia" w:ascii="仿宋" w:hAnsi="仿宋" w:eastAsia="仿宋" w:cs="仿宋"/>
                <w:color w:val="auto"/>
                <w:kern w:val="2"/>
                <w:sz w:val="21"/>
                <w:szCs w:val="21"/>
                <w:highlight w:val="none"/>
              </w:rPr>
            </w:pPr>
          </w:p>
        </w:tc>
        <w:tc>
          <w:tcPr>
            <w:tcW w:w="1560" w:type="dxa"/>
            <w:noWrap w:val="0"/>
            <w:vAlign w:val="top"/>
          </w:tcPr>
          <w:p w14:paraId="49567F2B">
            <w:pPr>
              <w:jc w:val="center"/>
              <w:rPr>
                <w:rFonts w:hint="eastAsia" w:ascii="仿宋" w:hAnsi="仿宋" w:eastAsia="仿宋" w:cs="仿宋"/>
                <w:color w:val="auto"/>
                <w:kern w:val="2"/>
                <w:sz w:val="21"/>
                <w:szCs w:val="21"/>
                <w:highlight w:val="none"/>
              </w:rPr>
            </w:pPr>
          </w:p>
        </w:tc>
        <w:tc>
          <w:tcPr>
            <w:tcW w:w="1181" w:type="dxa"/>
            <w:noWrap w:val="0"/>
            <w:vAlign w:val="top"/>
          </w:tcPr>
          <w:p w14:paraId="012C17D4">
            <w:pPr>
              <w:jc w:val="center"/>
              <w:rPr>
                <w:rFonts w:hint="eastAsia" w:ascii="仿宋" w:hAnsi="仿宋" w:eastAsia="仿宋" w:cs="仿宋"/>
                <w:color w:val="auto"/>
                <w:kern w:val="2"/>
                <w:sz w:val="21"/>
                <w:szCs w:val="21"/>
                <w:highlight w:val="none"/>
              </w:rPr>
            </w:pPr>
          </w:p>
        </w:tc>
        <w:tc>
          <w:tcPr>
            <w:tcW w:w="1463" w:type="dxa"/>
            <w:noWrap w:val="0"/>
            <w:vAlign w:val="top"/>
          </w:tcPr>
          <w:p w14:paraId="650D4F25">
            <w:pPr>
              <w:jc w:val="center"/>
              <w:rPr>
                <w:rFonts w:hint="eastAsia" w:ascii="仿宋" w:hAnsi="仿宋" w:eastAsia="仿宋" w:cs="仿宋"/>
                <w:color w:val="auto"/>
                <w:kern w:val="2"/>
                <w:sz w:val="21"/>
                <w:szCs w:val="21"/>
                <w:highlight w:val="none"/>
              </w:rPr>
            </w:pPr>
          </w:p>
        </w:tc>
        <w:tc>
          <w:tcPr>
            <w:tcW w:w="1316" w:type="dxa"/>
            <w:noWrap w:val="0"/>
            <w:vAlign w:val="top"/>
          </w:tcPr>
          <w:p w14:paraId="26676F69">
            <w:pPr>
              <w:jc w:val="center"/>
              <w:rPr>
                <w:rFonts w:hint="eastAsia" w:ascii="仿宋" w:hAnsi="仿宋" w:eastAsia="仿宋" w:cs="仿宋"/>
                <w:color w:val="auto"/>
                <w:kern w:val="2"/>
                <w:sz w:val="21"/>
                <w:szCs w:val="21"/>
                <w:highlight w:val="none"/>
              </w:rPr>
            </w:pPr>
          </w:p>
        </w:tc>
        <w:tc>
          <w:tcPr>
            <w:tcW w:w="742" w:type="dxa"/>
            <w:noWrap w:val="0"/>
            <w:vAlign w:val="top"/>
          </w:tcPr>
          <w:p w14:paraId="408A5091">
            <w:pPr>
              <w:jc w:val="center"/>
              <w:rPr>
                <w:rFonts w:hint="eastAsia" w:ascii="仿宋" w:hAnsi="仿宋" w:eastAsia="仿宋" w:cs="仿宋"/>
                <w:color w:val="auto"/>
                <w:kern w:val="2"/>
                <w:sz w:val="21"/>
                <w:szCs w:val="21"/>
                <w:highlight w:val="none"/>
              </w:rPr>
            </w:pPr>
          </w:p>
        </w:tc>
      </w:tr>
      <w:tr w14:paraId="03143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5BE8A635">
            <w:pPr>
              <w:jc w:val="center"/>
              <w:rPr>
                <w:rFonts w:hint="eastAsia" w:ascii="仿宋" w:hAnsi="仿宋" w:eastAsia="仿宋" w:cs="仿宋"/>
                <w:bCs/>
                <w:color w:val="auto"/>
                <w:kern w:val="2"/>
                <w:sz w:val="21"/>
                <w:szCs w:val="21"/>
                <w:highlight w:val="none"/>
              </w:rPr>
            </w:pPr>
          </w:p>
        </w:tc>
        <w:tc>
          <w:tcPr>
            <w:tcW w:w="992" w:type="dxa"/>
            <w:noWrap w:val="0"/>
            <w:vAlign w:val="top"/>
          </w:tcPr>
          <w:p w14:paraId="7B8B01B0">
            <w:pPr>
              <w:jc w:val="center"/>
              <w:rPr>
                <w:rFonts w:hint="eastAsia" w:ascii="仿宋" w:hAnsi="仿宋" w:eastAsia="仿宋" w:cs="仿宋"/>
                <w:color w:val="auto"/>
                <w:kern w:val="2"/>
                <w:sz w:val="21"/>
                <w:szCs w:val="21"/>
                <w:highlight w:val="none"/>
              </w:rPr>
            </w:pPr>
          </w:p>
        </w:tc>
        <w:tc>
          <w:tcPr>
            <w:tcW w:w="814" w:type="dxa"/>
            <w:noWrap w:val="0"/>
            <w:vAlign w:val="top"/>
          </w:tcPr>
          <w:p w14:paraId="6FBF3056">
            <w:pPr>
              <w:jc w:val="center"/>
              <w:rPr>
                <w:rFonts w:hint="eastAsia" w:ascii="仿宋" w:hAnsi="仿宋" w:eastAsia="仿宋" w:cs="仿宋"/>
                <w:color w:val="auto"/>
                <w:kern w:val="2"/>
                <w:sz w:val="21"/>
                <w:szCs w:val="21"/>
                <w:highlight w:val="none"/>
              </w:rPr>
            </w:pPr>
          </w:p>
        </w:tc>
        <w:tc>
          <w:tcPr>
            <w:tcW w:w="1560" w:type="dxa"/>
            <w:noWrap w:val="0"/>
            <w:vAlign w:val="top"/>
          </w:tcPr>
          <w:p w14:paraId="61CF6CC6">
            <w:pPr>
              <w:jc w:val="center"/>
              <w:rPr>
                <w:rFonts w:hint="eastAsia" w:ascii="仿宋" w:hAnsi="仿宋" w:eastAsia="仿宋" w:cs="仿宋"/>
                <w:color w:val="auto"/>
                <w:kern w:val="2"/>
                <w:sz w:val="21"/>
                <w:szCs w:val="21"/>
                <w:highlight w:val="none"/>
              </w:rPr>
            </w:pPr>
          </w:p>
        </w:tc>
        <w:tc>
          <w:tcPr>
            <w:tcW w:w="1181" w:type="dxa"/>
            <w:noWrap w:val="0"/>
            <w:vAlign w:val="top"/>
          </w:tcPr>
          <w:p w14:paraId="469808F0">
            <w:pPr>
              <w:jc w:val="center"/>
              <w:rPr>
                <w:rFonts w:hint="eastAsia" w:ascii="仿宋" w:hAnsi="仿宋" w:eastAsia="仿宋" w:cs="仿宋"/>
                <w:color w:val="auto"/>
                <w:kern w:val="2"/>
                <w:sz w:val="21"/>
                <w:szCs w:val="21"/>
                <w:highlight w:val="none"/>
              </w:rPr>
            </w:pPr>
          </w:p>
        </w:tc>
        <w:tc>
          <w:tcPr>
            <w:tcW w:w="1463" w:type="dxa"/>
            <w:noWrap w:val="0"/>
            <w:vAlign w:val="top"/>
          </w:tcPr>
          <w:p w14:paraId="1FCBF591">
            <w:pPr>
              <w:jc w:val="center"/>
              <w:rPr>
                <w:rFonts w:hint="eastAsia" w:ascii="仿宋" w:hAnsi="仿宋" w:eastAsia="仿宋" w:cs="仿宋"/>
                <w:color w:val="auto"/>
                <w:kern w:val="2"/>
                <w:sz w:val="21"/>
                <w:szCs w:val="21"/>
                <w:highlight w:val="none"/>
              </w:rPr>
            </w:pPr>
          </w:p>
        </w:tc>
        <w:tc>
          <w:tcPr>
            <w:tcW w:w="1316" w:type="dxa"/>
            <w:noWrap w:val="0"/>
            <w:vAlign w:val="top"/>
          </w:tcPr>
          <w:p w14:paraId="1D5724B6">
            <w:pPr>
              <w:jc w:val="center"/>
              <w:rPr>
                <w:rFonts w:hint="eastAsia" w:ascii="仿宋" w:hAnsi="仿宋" w:eastAsia="仿宋" w:cs="仿宋"/>
                <w:color w:val="auto"/>
                <w:kern w:val="2"/>
                <w:sz w:val="21"/>
                <w:szCs w:val="21"/>
                <w:highlight w:val="none"/>
              </w:rPr>
            </w:pPr>
          </w:p>
        </w:tc>
        <w:tc>
          <w:tcPr>
            <w:tcW w:w="742" w:type="dxa"/>
            <w:noWrap w:val="0"/>
            <w:vAlign w:val="top"/>
          </w:tcPr>
          <w:p w14:paraId="2ACC2DED">
            <w:pPr>
              <w:jc w:val="center"/>
              <w:rPr>
                <w:rFonts w:hint="eastAsia" w:ascii="仿宋" w:hAnsi="仿宋" w:eastAsia="仿宋" w:cs="仿宋"/>
                <w:color w:val="auto"/>
                <w:kern w:val="2"/>
                <w:sz w:val="21"/>
                <w:szCs w:val="21"/>
                <w:highlight w:val="none"/>
              </w:rPr>
            </w:pPr>
          </w:p>
        </w:tc>
      </w:tr>
      <w:tr w14:paraId="298CF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0FB77B77">
            <w:pPr>
              <w:jc w:val="center"/>
              <w:rPr>
                <w:rFonts w:hint="eastAsia" w:ascii="仿宋" w:hAnsi="仿宋" w:eastAsia="仿宋" w:cs="仿宋"/>
                <w:bCs/>
                <w:color w:val="auto"/>
                <w:kern w:val="2"/>
                <w:sz w:val="21"/>
                <w:szCs w:val="21"/>
                <w:highlight w:val="none"/>
              </w:rPr>
            </w:pPr>
          </w:p>
        </w:tc>
        <w:tc>
          <w:tcPr>
            <w:tcW w:w="992" w:type="dxa"/>
            <w:noWrap w:val="0"/>
            <w:vAlign w:val="top"/>
          </w:tcPr>
          <w:p w14:paraId="20B5CB56">
            <w:pPr>
              <w:jc w:val="center"/>
              <w:rPr>
                <w:rFonts w:hint="eastAsia" w:ascii="仿宋" w:hAnsi="仿宋" w:eastAsia="仿宋" w:cs="仿宋"/>
                <w:color w:val="auto"/>
                <w:kern w:val="2"/>
                <w:sz w:val="21"/>
                <w:szCs w:val="21"/>
                <w:highlight w:val="none"/>
              </w:rPr>
            </w:pPr>
          </w:p>
        </w:tc>
        <w:tc>
          <w:tcPr>
            <w:tcW w:w="814" w:type="dxa"/>
            <w:noWrap w:val="0"/>
            <w:vAlign w:val="top"/>
          </w:tcPr>
          <w:p w14:paraId="72B61F6D">
            <w:pPr>
              <w:jc w:val="center"/>
              <w:rPr>
                <w:rFonts w:hint="eastAsia" w:ascii="仿宋" w:hAnsi="仿宋" w:eastAsia="仿宋" w:cs="仿宋"/>
                <w:color w:val="auto"/>
                <w:kern w:val="2"/>
                <w:sz w:val="21"/>
                <w:szCs w:val="21"/>
                <w:highlight w:val="none"/>
              </w:rPr>
            </w:pPr>
          </w:p>
        </w:tc>
        <w:tc>
          <w:tcPr>
            <w:tcW w:w="1560" w:type="dxa"/>
            <w:noWrap w:val="0"/>
            <w:vAlign w:val="top"/>
          </w:tcPr>
          <w:p w14:paraId="15958589">
            <w:pPr>
              <w:jc w:val="center"/>
              <w:rPr>
                <w:rFonts w:hint="eastAsia" w:ascii="仿宋" w:hAnsi="仿宋" w:eastAsia="仿宋" w:cs="仿宋"/>
                <w:color w:val="auto"/>
                <w:kern w:val="2"/>
                <w:sz w:val="21"/>
                <w:szCs w:val="21"/>
                <w:highlight w:val="none"/>
              </w:rPr>
            </w:pPr>
          </w:p>
        </w:tc>
        <w:tc>
          <w:tcPr>
            <w:tcW w:w="1181" w:type="dxa"/>
            <w:noWrap w:val="0"/>
            <w:vAlign w:val="top"/>
          </w:tcPr>
          <w:p w14:paraId="4690E3C6">
            <w:pPr>
              <w:jc w:val="center"/>
              <w:rPr>
                <w:rFonts w:hint="eastAsia" w:ascii="仿宋" w:hAnsi="仿宋" w:eastAsia="仿宋" w:cs="仿宋"/>
                <w:color w:val="auto"/>
                <w:kern w:val="2"/>
                <w:sz w:val="21"/>
                <w:szCs w:val="21"/>
                <w:highlight w:val="none"/>
              </w:rPr>
            </w:pPr>
          </w:p>
        </w:tc>
        <w:tc>
          <w:tcPr>
            <w:tcW w:w="1463" w:type="dxa"/>
            <w:noWrap w:val="0"/>
            <w:vAlign w:val="top"/>
          </w:tcPr>
          <w:p w14:paraId="39EBD1F0">
            <w:pPr>
              <w:jc w:val="center"/>
              <w:rPr>
                <w:rFonts w:hint="eastAsia" w:ascii="仿宋" w:hAnsi="仿宋" w:eastAsia="仿宋" w:cs="仿宋"/>
                <w:color w:val="auto"/>
                <w:kern w:val="2"/>
                <w:sz w:val="21"/>
                <w:szCs w:val="21"/>
                <w:highlight w:val="none"/>
              </w:rPr>
            </w:pPr>
          </w:p>
        </w:tc>
        <w:tc>
          <w:tcPr>
            <w:tcW w:w="1316" w:type="dxa"/>
            <w:noWrap w:val="0"/>
            <w:vAlign w:val="top"/>
          </w:tcPr>
          <w:p w14:paraId="5D59C4F7">
            <w:pPr>
              <w:jc w:val="center"/>
              <w:rPr>
                <w:rFonts w:hint="eastAsia" w:ascii="仿宋" w:hAnsi="仿宋" w:eastAsia="仿宋" w:cs="仿宋"/>
                <w:color w:val="auto"/>
                <w:kern w:val="2"/>
                <w:sz w:val="21"/>
                <w:szCs w:val="21"/>
                <w:highlight w:val="none"/>
              </w:rPr>
            </w:pPr>
          </w:p>
        </w:tc>
        <w:tc>
          <w:tcPr>
            <w:tcW w:w="742" w:type="dxa"/>
            <w:noWrap w:val="0"/>
            <w:vAlign w:val="top"/>
          </w:tcPr>
          <w:p w14:paraId="7254581E">
            <w:pPr>
              <w:jc w:val="center"/>
              <w:rPr>
                <w:rFonts w:hint="eastAsia" w:ascii="仿宋" w:hAnsi="仿宋" w:eastAsia="仿宋" w:cs="仿宋"/>
                <w:color w:val="auto"/>
                <w:kern w:val="2"/>
                <w:sz w:val="21"/>
                <w:szCs w:val="21"/>
                <w:highlight w:val="none"/>
              </w:rPr>
            </w:pPr>
          </w:p>
        </w:tc>
      </w:tr>
      <w:tr w14:paraId="2E6ED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60E8889F">
            <w:pPr>
              <w:jc w:val="center"/>
              <w:rPr>
                <w:rFonts w:hint="eastAsia" w:ascii="仿宋" w:hAnsi="仿宋" w:eastAsia="仿宋" w:cs="仿宋"/>
                <w:bCs/>
                <w:color w:val="auto"/>
                <w:kern w:val="2"/>
                <w:sz w:val="21"/>
                <w:szCs w:val="21"/>
                <w:highlight w:val="none"/>
              </w:rPr>
            </w:pPr>
          </w:p>
        </w:tc>
        <w:tc>
          <w:tcPr>
            <w:tcW w:w="992" w:type="dxa"/>
            <w:noWrap w:val="0"/>
            <w:vAlign w:val="top"/>
          </w:tcPr>
          <w:p w14:paraId="6E1F2EB0">
            <w:pPr>
              <w:jc w:val="center"/>
              <w:rPr>
                <w:rFonts w:hint="eastAsia" w:ascii="仿宋" w:hAnsi="仿宋" w:eastAsia="仿宋" w:cs="仿宋"/>
                <w:color w:val="auto"/>
                <w:kern w:val="2"/>
                <w:sz w:val="21"/>
                <w:szCs w:val="21"/>
                <w:highlight w:val="none"/>
              </w:rPr>
            </w:pPr>
          </w:p>
        </w:tc>
        <w:tc>
          <w:tcPr>
            <w:tcW w:w="814" w:type="dxa"/>
            <w:noWrap w:val="0"/>
            <w:vAlign w:val="top"/>
          </w:tcPr>
          <w:p w14:paraId="746A0F89">
            <w:pPr>
              <w:jc w:val="center"/>
              <w:rPr>
                <w:rFonts w:hint="eastAsia" w:ascii="仿宋" w:hAnsi="仿宋" w:eastAsia="仿宋" w:cs="仿宋"/>
                <w:color w:val="auto"/>
                <w:kern w:val="2"/>
                <w:sz w:val="21"/>
                <w:szCs w:val="21"/>
                <w:highlight w:val="none"/>
              </w:rPr>
            </w:pPr>
          </w:p>
        </w:tc>
        <w:tc>
          <w:tcPr>
            <w:tcW w:w="1560" w:type="dxa"/>
            <w:noWrap w:val="0"/>
            <w:vAlign w:val="top"/>
          </w:tcPr>
          <w:p w14:paraId="3C106E6D">
            <w:pPr>
              <w:jc w:val="center"/>
              <w:rPr>
                <w:rFonts w:hint="eastAsia" w:ascii="仿宋" w:hAnsi="仿宋" w:eastAsia="仿宋" w:cs="仿宋"/>
                <w:color w:val="auto"/>
                <w:kern w:val="2"/>
                <w:sz w:val="21"/>
                <w:szCs w:val="21"/>
                <w:highlight w:val="none"/>
              </w:rPr>
            </w:pPr>
          </w:p>
        </w:tc>
        <w:tc>
          <w:tcPr>
            <w:tcW w:w="1181" w:type="dxa"/>
            <w:noWrap w:val="0"/>
            <w:vAlign w:val="top"/>
          </w:tcPr>
          <w:p w14:paraId="3A688B44">
            <w:pPr>
              <w:jc w:val="center"/>
              <w:rPr>
                <w:rFonts w:hint="eastAsia" w:ascii="仿宋" w:hAnsi="仿宋" w:eastAsia="仿宋" w:cs="仿宋"/>
                <w:color w:val="auto"/>
                <w:kern w:val="2"/>
                <w:sz w:val="21"/>
                <w:szCs w:val="21"/>
                <w:highlight w:val="none"/>
              </w:rPr>
            </w:pPr>
          </w:p>
        </w:tc>
        <w:tc>
          <w:tcPr>
            <w:tcW w:w="1463" w:type="dxa"/>
            <w:noWrap w:val="0"/>
            <w:vAlign w:val="top"/>
          </w:tcPr>
          <w:p w14:paraId="4F60A5D1">
            <w:pPr>
              <w:jc w:val="center"/>
              <w:rPr>
                <w:rFonts w:hint="eastAsia" w:ascii="仿宋" w:hAnsi="仿宋" w:eastAsia="仿宋" w:cs="仿宋"/>
                <w:color w:val="auto"/>
                <w:kern w:val="2"/>
                <w:sz w:val="21"/>
                <w:szCs w:val="21"/>
                <w:highlight w:val="none"/>
              </w:rPr>
            </w:pPr>
          </w:p>
        </w:tc>
        <w:tc>
          <w:tcPr>
            <w:tcW w:w="1316" w:type="dxa"/>
            <w:noWrap w:val="0"/>
            <w:vAlign w:val="top"/>
          </w:tcPr>
          <w:p w14:paraId="3AF95483">
            <w:pPr>
              <w:jc w:val="center"/>
              <w:rPr>
                <w:rFonts w:hint="eastAsia" w:ascii="仿宋" w:hAnsi="仿宋" w:eastAsia="仿宋" w:cs="仿宋"/>
                <w:color w:val="auto"/>
                <w:kern w:val="2"/>
                <w:sz w:val="21"/>
                <w:szCs w:val="21"/>
                <w:highlight w:val="none"/>
              </w:rPr>
            </w:pPr>
          </w:p>
        </w:tc>
        <w:tc>
          <w:tcPr>
            <w:tcW w:w="742" w:type="dxa"/>
            <w:noWrap w:val="0"/>
            <w:vAlign w:val="top"/>
          </w:tcPr>
          <w:p w14:paraId="1FF5462B">
            <w:pPr>
              <w:jc w:val="center"/>
              <w:rPr>
                <w:rFonts w:hint="eastAsia" w:ascii="仿宋" w:hAnsi="仿宋" w:eastAsia="仿宋" w:cs="仿宋"/>
                <w:color w:val="auto"/>
                <w:kern w:val="2"/>
                <w:sz w:val="21"/>
                <w:szCs w:val="21"/>
                <w:highlight w:val="none"/>
              </w:rPr>
            </w:pPr>
          </w:p>
        </w:tc>
      </w:tr>
      <w:tr w14:paraId="284B2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center"/>
          </w:tcPr>
          <w:p w14:paraId="1C34954C">
            <w:pPr>
              <w:jc w:val="center"/>
              <w:rPr>
                <w:rFonts w:hint="eastAsia" w:ascii="仿宋" w:hAnsi="仿宋" w:eastAsia="仿宋" w:cs="仿宋"/>
                <w:bCs/>
                <w:color w:val="auto"/>
                <w:kern w:val="2"/>
                <w:sz w:val="21"/>
                <w:szCs w:val="21"/>
                <w:highlight w:val="none"/>
              </w:rPr>
            </w:pPr>
          </w:p>
        </w:tc>
        <w:tc>
          <w:tcPr>
            <w:tcW w:w="992" w:type="dxa"/>
            <w:noWrap w:val="0"/>
            <w:vAlign w:val="top"/>
          </w:tcPr>
          <w:p w14:paraId="0D2C611C">
            <w:pPr>
              <w:jc w:val="center"/>
              <w:rPr>
                <w:rFonts w:hint="eastAsia" w:ascii="仿宋" w:hAnsi="仿宋" w:eastAsia="仿宋" w:cs="仿宋"/>
                <w:color w:val="auto"/>
                <w:kern w:val="2"/>
                <w:sz w:val="21"/>
                <w:szCs w:val="21"/>
                <w:highlight w:val="none"/>
              </w:rPr>
            </w:pPr>
          </w:p>
        </w:tc>
        <w:tc>
          <w:tcPr>
            <w:tcW w:w="814" w:type="dxa"/>
            <w:noWrap w:val="0"/>
            <w:vAlign w:val="top"/>
          </w:tcPr>
          <w:p w14:paraId="66B92CD5">
            <w:pPr>
              <w:jc w:val="center"/>
              <w:rPr>
                <w:rFonts w:hint="eastAsia" w:ascii="仿宋" w:hAnsi="仿宋" w:eastAsia="仿宋" w:cs="仿宋"/>
                <w:color w:val="auto"/>
                <w:kern w:val="2"/>
                <w:sz w:val="21"/>
                <w:szCs w:val="21"/>
                <w:highlight w:val="none"/>
              </w:rPr>
            </w:pPr>
          </w:p>
        </w:tc>
        <w:tc>
          <w:tcPr>
            <w:tcW w:w="1560" w:type="dxa"/>
            <w:noWrap w:val="0"/>
            <w:vAlign w:val="top"/>
          </w:tcPr>
          <w:p w14:paraId="11FF015E">
            <w:pPr>
              <w:jc w:val="center"/>
              <w:rPr>
                <w:rFonts w:hint="eastAsia" w:ascii="仿宋" w:hAnsi="仿宋" w:eastAsia="仿宋" w:cs="仿宋"/>
                <w:color w:val="auto"/>
                <w:kern w:val="2"/>
                <w:sz w:val="21"/>
                <w:szCs w:val="21"/>
                <w:highlight w:val="none"/>
              </w:rPr>
            </w:pPr>
          </w:p>
        </w:tc>
        <w:tc>
          <w:tcPr>
            <w:tcW w:w="1181" w:type="dxa"/>
            <w:noWrap w:val="0"/>
            <w:vAlign w:val="top"/>
          </w:tcPr>
          <w:p w14:paraId="6E3DF74A">
            <w:pPr>
              <w:jc w:val="center"/>
              <w:rPr>
                <w:rFonts w:hint="eastAsia" w:ascii="仿宋" w:hAnsi="仿宋" w:eastAsia="仿宋" w:cs="仿宋"/>
                <w:color w:val="auto"/>
                <w:kern w:val="2"/>
                <w:sz w:val="21"/>
                <w:szCs w:val="21"/>
                <w:highlight w:val="none"/>
              </w:rPr>
            </w:pPr>
          </w:p>
        </w:tc>
        <w:tc>
          <w:tcPr>
            <w:tcW w:w="1463" w:type="dxa"/>
            <w:noWrap w:val="0"/>
            <w:vAlign w:val="top"/>
          </w:tcPr>
          <w:p w14:paraId="18A3D43A">
            <w:pPr>
              <w:jc w:val="center"/>
              <w:rPr>
                <w:rFonts w:hint="eastAsia" w:ascii="仿宋" w:hAnsi="仿宋" w:eastAsia="仿宋" w:cs="仿宋"/>
                <w:color w:val="auto"/>
                <w:kern w:val="2"/>
                <w:sz w:val="21"/>
                <w:szCs w:val="21"/>
                <w:highlight w:val="none"/>
              </w:rPr>
            </w:pPr>
          </w:p>
        </w:tc>
        <w:tc>
          <w:tcPr>
            <w:tcW w:w="1316" w:type="dxa"/>
            <w:noWrap w:val="0"/>
            <w:vAlign w:val="top"/>
          </w:tcPr>
          <w:p w14:paraId="19E084A3">
            <w:pPr>
              <w:jc w:val="center"/>
              <w:rPr>
                <w:rFonts w:hint="eastAsia" w:ascii="仿宋" w:hAnsi="仿宋" w:eastAsia="仿宋" w:cs="仿宋"/>
                <w:color w:val="auto"/>
                <w:kern w:val="2"/>
                <w:sz w:val="21"/>
                <w:szCs w:val="21"/>
                <w:highlight w:val="none"/>
              </w:rPr>
            </w:pPr>
          </w:p>
        </w:tc>
        <w:tc>
          <w:tcPr>
            <w:tcW w:w="742" w:type="dxa"/>
            <w:noWrap w:val="0"/>
            <w:vAlign w:val="top"/>
          </w:tcPr>
          <w:p w14:paraId="39B86096">
            <w:pPr>
              <w:jc w:val="center"/>
              <w:rPr>
                <w:rFonts w:hint="eastAsia" w:ascii="仿宋" w:hAnsi="仿宋" w:eastAsia="仿宋" w:cs="仿宋"/>
                <w:color w:val="auto"/>
                <w:kern w:val="2"/>
                <w:sz w:val="21"/>
                <w:szCs w:val="21"/>
                <w:highlight w:val="none"/>
              </w:rPr>
            </w:pPr>
          </w:p>
        </w:tc>
      </w:tr>
      <w:tr w14:paraId="6A600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top"/>
          </w:tcPr>
          <w:p w14:paraId="400C4269">
            <w:pPr>
              <w:jc w:val="center"/>
              <w:rPr>
                <w:rFonts w:hint="eastAsia" w:ascii="仿宋" w:hAnsi="仿宋" w:eastAsia="仿宋" w:cs="仿宋"/>
                <w:color w:val="auto"/>
                <w:kern w:val="2"/>
                <w:sz w:val="21"/>
                <w:szCs w:val="21"/>
                <w:highlight w:val="none"/>
              </w:rPr>
            </w:pPr>
          </w:p>
        </w:tc>
        <w:tc>
          <w:tcPr>
            <w:tcW w:w="992" w:type="dxa"/>
            <w:noWrap w:val="0"/>
            <w:vAlign w:val="top"/>
          </w:tcPr>
          <w:p w14:paraId="5CF80E54">
            <w:pPr>
              <w:jc w:val="center"/>
              <w:rPr>
                <w:rFonts w:hint="eastAsia" w:ascii="仿宋" w:hAnsi="仿宋" w:eastAsia="仿宋" w:cs="仿宋"/>
                <w:color w:val="auto"/>
                <w:kern w:val="2"/>
                <w:sz w:val="21"/>
                <w:szCs w:val="21"/>
                <w:highlight w:val="none"/>
              </w:rPr>
            </w:pPr>
          </w:p>
        </w:tc>
        <w:tc>
          <w:tcPr>
            <w:tcW w:w="814" w:type="dxa"/>
            <w:noWrap w:val="0"/>
            <w:vAlign w:val="top"/>
          </w:tcPr>
          <w:p w14:paraId="5D340C9D">
            <w:pPr>
              <w:jc w:val="center"/>
              <w:rPr>
                <w:rFonts w:hint="eastAsia" w:ascii="仿宋" w:hAnsi="仿宋" w:eastAsia="仿宋" w:cs="仿宋"/>
                <w:color w:val="auto"/>
                <w:kern w:val="2"/>
                <w:sz w:val="21"/>
                <w:szCs w:val="21"/>
                <w:highlight w:val="none"/>
              </w:rPr>
            </w:pPr>
          </w:p>
        </w:tc>
        <w:tc>
          <w:tcPr>
            <w:tcW w:w="1560" w:type="dxa"/>
            <w:noWrap w:val="0"/>
            <w:vAlign w:val="top"/>
          </w:tcPr>
          <w:p w14:paraId="7DED73D6">
            <w:pPr>
              <w:jc w:val="center"/>
              <w:rPr>
                <w:rFonts w:hint="eastAsia" w:ascii="仿宋" w:hAnsi="仿宋" w:eastAsia="仿宋" w:cs="仿宋"/>
                <w:color w:val="auto"/>
                <w:kern w:val="2"/>
                <w:sz w:val="21"/>
                <w:szCs w:val="21"/>
                <w:highlight w:val="none"/>
              </w:rPr>
            </w:pPr>
          </w:p>
        </w:tc>
        <w:tc>
          <w:tcPr>
            <w:tcW w:w="1181" w:type="dxa"/>
            <w:noWrap w:val="0"/>
            <w:vAlign w:val="top"/>
          </w:tcPr>
          <w:p w14:paraId="77E46922">
            <w:pPr>
              <w:jc w:val="center"/>
              <w:rPr>
                <w:rFonts w:hint="eastAsia" w:ascii="仿宋" w:hAnsi="仿宋" w:eastAsia="仿宋" w:cs="仿宋"/>
                <w:color w:val="auto"/>
                <w:kern w:val="2"/>
                <w:sz w:val="21"/>
                <w:szCs w:val="21"/>
                <w:highlight w:val="none"/>
              </w:rPr>
            </w:pPr>
          </w:p>
        </w:tc>
        <w:tc>
          <w:tcPr>
            <w:tcW w:w="1463" w:type="dxa"/>
            <w:noWrap w:val="0"/>
            <w:vAlign w:val="top"/>
          </w:tcPr>
          <w:p w14:paraId="623D6941">
            <w:pPr>
              <w:jc w:val="center"/>
              <w:rPr>
                <w:rFonts w:hint="eastAsia" w:ascii="仿宋" w:hAnsi="仿宋" w:eastAsia="仿宋" w:cs="仿宋"/>
                <w:color w:val="auto"/>
                <w:kern w:val="2"/>
                <w:sz w:val="21"/>
                <w:szCs w:val="21"/>
                <w:highlight w:val="none"/>
              </w:rPr>
            </w:pPr>
          </w:p>
        </w:tc>
        <w:tc>
          <w:tcPr>
            <w:tcW w:w="1316" w:type="dxa"/>
            <w:noWrap w:val="0"/>
            <w:vAlign w:val="top"/>
          </w:tcPr>
          <w:p w14:paraId="3D1095CB">
            <w:pPr>
              <w:jc w:val="center"/>
              <w:rPr>
                <w:rFonts w:hint="eastAsia" w:ascii="仿宋" w:hAnsi="仿宋" w:eastAsia="仿宋" w:cs="仿宋"/>
                <w:color w:val="auto"/>
                <w:kern w:val="2"/>
                <w:sz w:val="21"/>
                <w:szCs w:val="21"/>
                <w:highlight w:val="none"/>
              </w:rPr>
            </w:pPr>
          </w:p>
        </w:tc>
        <w:tc>
          <w:tcPr>
            <w:tcW w:w="742" w:type="dxa"/>
            <w:noWrap w:val="0"/>
            <w:vAlign w:val="top"/>
          </w:tcPr>
          <w:p w14:paraId="1DA41A8F">
            <w:pPr>
              <w:jc w:val="center"/>
              <w:rPr>
                <w:rFonts w:hint="eastAsia" w:ascii="仿宋" w:hAnsi="仿宋" w:eastAsia="仿宋" w:cs="仿宋"/>
                <w:color w:val="auto"/>
                <w:kern w:val="2"/>
                <w:sz w:val="21"/>
                <w:szCs w:val="21"/>
                <w:highlight w:val="none"/>
              </w:rPr>
            </w:pPr>
          </w:p>
        </w:tc>
      </w:tr>
      <w:tr w14:paraId="2D611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top"/>
          </w:tcPr>
          <w:p w14:paraId="1CB3B409">
            <w:pPr>
              <w:jc w:val="center"/>
              <w:rPr>
                <w:rFonts w:hint="eastAsia" w:ascii="仿宋" w:hAnsi="仿宋" w:eastAsia="仿宋" w:cs="仿宋"/>
                <w:color w:val="auto"/>
                <w:kern w:val="2"/>
                <w:sz w:val="21"/>
                <w:szCs w:val="21"/>
                <w:highlight w:val="none"/>
              </w:rPr>
            </w:pPr>
          </w:p>
        </w:tc>
        <w:tc>
          <w:tcPr>
            <w:tcW w:w="992" w:type="dxa"/>
            <w:noWrap w:val="0"/>
            <w:vAlign w:val="top"/>
          </w:tcPr>
          <w:p w14:paraId="733D2EFA">
            <w:pPr>
              <w:jc w:val="center"/>
              <w:rPr>
                <w:rFonts w:hint="eastAsia" w:ascii="仿宋" w:hAnsi="仿宋" w:eastAsia="仿宋" w:cs="仿宋"/>
                <w:color w:val="auto"/>
                <w:kern w:val="2"/>
                <w:sz w:val="21"/>
                <w:szCs w:val="21"/>
                <w:highlight w:val="none"/>
              </w:rPr>
            </w:pPr>
          </w:p>
        </w:tc>
        <w:tc>
          <w:tcPr>
            <w:tcW w:w="814" w:type="dxa"/>
            <w:noWrap w:val="0"/>
            <w:vAlign w:val="top"/>
          </w:tcPr>
          <w:p w14:paraId="4A8E571B">
            <w:pPr>
              <w:jc w:val="center"/>
              <w:rPr>
                <w:rFonts w:hint="eastAsia" w:ascii="仿宋" w:hAnsi="仿宋" w:eastAsia="仿宋" w:cs="仿宋"/>
                <w:color w:val="auto"/>
                <w:kern w:val="2"/>
                <w:sz w:val="21"/>
                <w:szCs w:val="21"/>
                <w:highlight w:val="none"/>
              </w:rPr>
            </w:pPr>
          </w:p>
        </w:tc>
        <w:tc>
          <w:tcPr>
            <w:tcW w:w="1560" w:type="dxa"/>
            <w:noWrap w:val="0"/>
            <w:vAlign w:val="top"/>
          </w:tcPr>
          <w:p w14:paraId="34D235E3">
            <w:pPr>
              <w:jc w:val="center"/>
              <w:rPr>
                <w:rFonts w:hint="eastAsia" w:ascii="仿宋" w:hAnsi="仿宋" w:eastAsia="仿宋" w:cs="仿宋"/>
                <w:color w:val="auto"/>
                <w:kern w:val="2"/>
                <w:sz w:val="21"/>
                <w:szCs w:val="21"/>
                <w:highlight w:val="none"/>
              </w:rPr>
            </w:pPr>
          </w:p>
        </w:tc>
        <w:tc>
          <w:tcPr>
            <w:tcW w:w="1181" w:type="dxa"/>
            <w:noWrap w:val="0"/>
            <w:vAlign w:val="top"/>
          </w:tcPr>
          <w:p w14:paraId="6D0B68E5">
            <w:pPr>
              <w:jc w:val="center"/>
              <w:rPr>
                <w:rFonts w:hint="eastAsia" w:ascii="仿宋" w:hAnsi="仿宋" w:eastAsia="仿宋" w:cs="仿宋"/>
                <w:color w:val="auto"/>
                <w:kern w:val="2"/>
                <w:sz w:val="21"/>
                <w:szCs w:val="21"/>
                <w:highlight w:val="none"/>
              </w:rPr>
            </w:pPr>
          </w:p>
        </w:tc>
        <w:tc>
          <w:tcPr>
            <w:tcW w:w="1463" w:type="dxa"/>
            <w:noWrap w:val="0"/>
            <w:vAlign w:val="top"/>
          </w:tcPr>
          <w:p w14:paraId="7C161C2F">
            <w:pPr>
              <w:jc w:val="center"/>
              <w:rPr>
                <w:rFonts w:hint="eastAsia" w:ascii="仿宋" w:hAnsi="仿宋" w:eastAsia="仿宋" w:cs="仿宋"/>
                <w:color w:val="auto"/>
                <w:kern w:val="2"/>
                <w:sz w:val="21"/>
                <w:szCs w:val="21"/>
                <w:highlight w:val="none"/>
              </w:rPr>
            </w:pPr>
          </w:p>
        </w:tc>
        <w:tc>
          <w:tcPr>
            <w:tcW w:w="1316" w:type="dxa"/>
            <w:noWrap w:val="0"/>
            <w:vAlign w:val="top"/>
          </w:tcPr>
          <w:p w14:paraId="33A81D02">
            <w:pPr>
              <w:jc w:val="center"/>
              <w:rPr>
                <w:rFonts w:hint="eastAsia" w:ascii="仿宋" w:hAnsi="仿宋" w:eastAsia="仿宋" w:cs="仿宋"/>
                <w:color w:val="auto"/>
                <w:kern w:val="2"/>
                <w:sz w:val="21"/>
                <w:szCs w:val="21"/>
                <w:highlight w:val="none"/>
              </w:rPr>
            </w:pPr>
          </w:p>
        </w:tc>
        <w:tc>
          <w:tcPr>
            <w:tcW w:w="742" w:type="dxa"/>
            <w:noWrap w:val="0"/>
            <w:vAlign w:val="top"/>
          </w:tcPr>
          <w:p w14:paraId="25235434">
            <w:pPr>
              <w:jc w:val="center"/>
              <w:rPr>
                <w:rFonts w:hint="eastAsia" w:ascii="仿宋" w:hAnsi="仿宋" w:eastAsia="仿宋" w:cs="仿宋"/>
                <w:color w:val="auto"/>
                <w:kern w:val="2"/>
                <w:sz w:val="21"/>
                <w:szCs w:val="21"/>
                <w:highlight w:val="none"/>
              </w:rPr>
            </w:pPr>
          </w:p>
        </w:tc>
      </w:tr>
      <w:tr w14:paraId="2395B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noWrap w:val="0"/>
            <w:vAlign w:val="top"/>
          </w:tcPr>
          <w:p w14:paraId="37FD3629">
            <w:pPr>
              <w:jc w:val="center"/>
              <w:rPr>
                <w:rFonts w:hint="eastAsia" w:ascii="仿宋" w:hAnsi="仿宋" w:eastAsia="仿宋" w:cs="仿宋"/>
                <w:color w:val="auto"/>
                <w:kern w:val="2"/>
                <w:sz w:val="21"/>
                <w:szCs w:val="21"/>
                <w:highlight w:val="none"/>
              </w:rPr>
            </w:pPr>
          </w:p>
        </w:tc>
        <w:tc>
          <w:tcPr>
            <w:tcW w:w="992" w:type="dxa"/>
            <w:noWrap w:val="0"/>
            <w:vAlign w:val="top"/>
          </w:tcPr>
          <w:p w14:paraId="7BBE10F1">
            <w:pPr>
              <w:jc w:val="center"/>
              <w:rPr>
                <w:rFonts w:hint="eastAsia" w:ascii="仿宋" w:hAnsi="仿宋" w:eastAsia="仿宋" w:cs="仿宋"/>
                <w:color w:val="auto"/>
                <w:kern w:val="2"/>
                <w:sz w:val="21"/>
                <w:szCs w:val="21"/>
                <w:highlight w:val="none"/>
              </w:rPr>
            </w:pPr>
          </w:p>
        </w:tc>
        <w:tc>
          <w:tcPr>
            <w:tcW w:w="814" w:type="dxa"/>
            <w:noWrap w:val="0"/>
            <w:vAlign w:val="top"/>
          </w:tcPr>
          <w:p w14:paraId="519DFE72">
            <w:pPr>
              <w:jc w:val="center"/>
              <w:rPr>
                <w:rFonts w:hint="eastAsia" w:ascii="仿宋" w:hAnsi="仿宋" w:eastAsia="仿宋" w:cs="仿宋"/>
                <w:color w:val="auto"/>
                <w:kern w:val="2"/>
                <w:sz w:val="21"/>
                <w:szCs w:val="21"/>
                <w:highlight w:val="none"/>
              </w:rPr>
            </w:pPr>
          </w:p>
        </w:tc>
        <w:tc>
          <w:tcPr>
            <w:tcW w:w="1560" w:type="dxa"/>
            <w:noWrap w:val="0"/>
            <w:vAlign w:val="top"/>
          </w:tcPr>
          <w:p w14:paraId="6B382571">
            <w:pPr>
              <w:jc w:val="center"/>
              <w:rPr>
                <w:rFonts w:hint="eastAsia" w:ascii="仿宋" w:hAnsi="仿宋" w:eastAsia="仿宋" w:cs="仿宋"/>
                <w:color w:val="auto"/>
                <w:kern w:val="2"/>
                <w:sz w:val="21"/>
                <w:szCs w:val="21"/>
                <w:highlight w:val="none"/>
              </w:rPr>
            </w:pPr>
          </w:p>
        </w:tc>
        <w:tc>
          <w:tcPr>
            <w:tcW w:w="1181" w:type="dxa"/>
            <w:noWrap w:val="0"/>
            <w:vAlign w:val="top"/>
          </w:tcPr>
          <w:p w14:paraId="27294FB1">
            <w:pPr>
              <w:jc w:val="center"/>
              <w:rPr>
                <w:rFonts w:hint="eastAsia" w:ascii="仿宋" w:hAnsi="仿宋" w:eastAsia="仿宋" w:cs="仿宋"/>
                <w:color w:val="auto"/>
                <w:kern w:val="2"/>
                <w:sz w:val="21"/>
                <w:szCs w:val="21"/>
                <w:highlight w:val="none"/>
              </w:rPr>
            </w:pPr>
          </w:p>
        </w:tc>
        <w:tc>
          <w:tcPr>
            <w:tcW w:w="1463" w:type="dxa"/>
            <w:noWrap w:val="0"/>
            <w:vAlign w:val="top"/>
          </w:tcPr>
          <w:p w14:paraId="20F74803">
            <w:pPr>
              <w:jc w:val="center"/>
              <w:rPr>
                <w:rFonts w:hint="eastAsia" w:ascii="仿宋" w:hAnsi="仿宋" w:eastAsia="仿宋" w:cs="仿宋"/>
                <w:color w:val="auto"/>
                <w:kern w:val="2"/>
                <w:sz w:val="21"/>
                <w:szCs w:val="21"/>
                <w:highlight w:val="none"/>
              </w:rPr>
            </w:pPr>
          </w:p>
        </w:tc>
        <w:tc>
          <w:tcPr>
            <w:tcW w:w="1316" w:type="dxa"/>
            <w:noWrap w:val="0"/>
            <w:vAlign w:val="top"/>
          </w:tcPr>
          <w:p w14:paraId="5DE732AF">
            <w:pPr>
              <w:jc w:val="center"/>
              <w:rPr>
                <w:rFonts w:hint="eastAsia" w:ascii="仿宋" w:hAnsi="仿宋" w:eastAsia="仿宋" w:cs="仿宋"/>
                <w:color w:val="auto"/>
                <w:kern w:val="2"/>
                <w:sz w:val="21"/>
                <w:szCs w:val="21"/>
                <w:highlight w:val="none"/>
              </w:rPr>
            </w:pPr>
          </w:p>
        </w:tc>
        <w:tc>
          <w:tcPr>
            <w:tcW w:w="742" w:type="dxa"/>
            <w:noWrap w:val="0"/>
            <w:vAlign w:val="top"/>
          </w:tcPr>
          <w:p w14:paraId="2C572A4B">
            <w:pPr>
              <w:jc w:val="center"/>
              <w:rPr>
                <w:rFonts w:hint="eastAsia" w:ascii="仿宋" w:hAnsi="仿宋" w:eastAsia="仿宋" w:cs="仿宋"/>
                <w:color w:val="auto"/>
                <w:kern w:val="2"/>
                <w:sz w:val="21"/>
                <w:szCs w:val="21"/>
                <w:highlight w:val="none"/>
              </w:rPr>
            </w:pPr>
          </w:p>
        </w:tc>
      </w:tr>
    </w:tbl>
    <w:p w14:paraId="26A34A24">
      <w:pPr>
        <w:jc w:val="left"/>
        <w:rPr>
          <w:rFonts w:hint="eastAsia" w:ascii="仿宋" w:hAnsi="仿宋" w:eastAsia="仿宋" w:cs="仿宋"/>
          <w:color w:val="auto"/>
          <w:kern w:val="2"/>
          <w:sz w:val="24"/>
          <w:szCs w:val="21"/>
          <w:highlight w:val="none"/>
        </w:rPr>
      </w:pPr>
    </w:p>
    <w:p w14:paraId="21ADB51D">
      <w:pPr>
        <w:spacing w:line="360" w:lineRule="auto"/>
        <w:jc w:val="left"/>
        <w:rPr>
          <w:rFonts w:hint="eastAsia" w:ascii="仿宋" w:hAnsi="仿宋" w:eastAsia="仿宋" w:cs="仿宋"/>
          <w:color w:val="auto"/>
          <w:kern w:val="2"/>
          <w:sz w:val="24"/>
          <w:szCs w:val="21"/>
          <w:highlight w:val="none"/>
        </w:rPr>
      </w:pPr>
      <w:r>
        <w:rPr>
          <w:rFonts w:hint="eastAsia" w:ascii="仿宋" w:hAnsi="仿宋" w:eastAsia="仿宋" w:cs="仿宋"/>
          <w:color w:val="auto"/>
          <w:kern w:val="2"/>
          <w:sz w:val="24"/>
          <w:szCs w:val="21"/>
          <w:highlight w:val="none"/>
        </w:rPr>
        <w:t>注：</w:t>
      </w:r>
      <w:r>
        <w:rPr>
          <w:rFonts w:hint="eastAsia" w:ascii="仿宋" w:hAnsi="仿宋" w:eastAsia="仿宋" w:cs="仿宋"/>
          <w:color w:val="auto"/>
          <w:kern w:val="2"/>
          <w:sz w:val="24"/>
          <w:szCs w:val="21"/>
          <w:highlight w:val="none"/>
          <w:lang w:val="en-US" w:eastAsia="zh-CN"/>
        </w:rPr>
        <w:t>1.</w:t>
      </w:r>
      <w:r>
        <w:rPr>
          <w:rFonts w:hint="eastAsia" w:ascii="仿宋" w:hAnsi="仿宋" w:eastAsia="仿宋" w:cs="仿宋"/>
          <w:color w:val="auto"/>
          <w:kern w:val="2"/>
          <w:sz w:val="24"/>
          <w:szCs w:val="21"/>
          <w:highlight w:val="none"/>
        </w:rPr>
        <w:t>本工程一旦我单位中标，将配备上述项目管理人员。上述填报内容真实，  如不真实，将按照有关规定接受处理。</w:t>
      </w:r>
    </w:p>
    <w:p w14:paraId="13F1B9C7">
      <w:pPr>
        <w:pStyle w:val="14"/>
        <w:tabs>
          <w:tab w:val="left" w:pos="336"/>
          <w:tab w:val="center" w:pos="4970"/>
        </w:tabs>
        <w:ind w:firstLine="0"/>
        <w:jc w:val="left"/>
        <w:rPr>
          <w:rFonts w:hint="eastAsia" w:ascii="仿宋" w:hAnsi="仿宋" w:eastAsia="仿宋" w:cs="仿宋"/>
          <w:bCs/>
          <w:color w:val="auto"/>
          <w:highlight w:val="none"/>
        </w:rPr>
      </w:pPr>
      <w:r>
        <w:rPr>
          <w:rFonts w:hint="eastAsia" w:ascii="仿宋" w:hAnsi="仿宋" w:eastAsia="仿宋" w:cs="仿宋"/>
          <w:color w:val="auto"/>
          <w:kern w:val="2"/>
          <w:sz w:val="24"/>
          <w:szCs w:val="21"/>
          <w:highlight w:val="none"/>
          <w:lang w:val="en-US" w:eastAsia="zh-CN" w:bidi="ar-SA"/>
        </w:rPr>
        <w:tab/>
      </w:r>
      <w:bookmarkStart w:id="14" w:name="_Toc18266"/>
      <w:bookmarkStart w:id="15" w:name="_Toc27757"/>
      <w:bookmarkStart w:id="16" w:name="_Toc4089"/>
      <w:bookmarkStart w:id="17" w:name="_Toc4716"/>
      <w:bookmarkStart w:id="18" w:name="_Toc31409"/>
      <w:r>
        <w:rPr>
          <w:rFonts w:hint="eastAsia" w:ascii="仿宋" w:hAnsi="仿宋" w:eastAsia="仿宋" w:cs="仿宋"/>
          <w:color w:val="auto"/>
          <w:kern w:val="2"/>
          <w:sz w:val="24"/>
          <w:szCs w:val="21"/>
          <w:highlight w:val="none"/>
          <w:lang w:val="en-US" w:eastAsia="zh-CN" w:bidi="ar-SA"/>
        </w:rPr>
        <w:t>2.人员资料由供应商自行考虑提供并附相关资料</w:t>
      </w:r>
      <w:bookmarkEnd w:id="14"/>
      <w:bookmarkEnd w:id="15"/>
      <w:bookmarkEnd w:id="16"/>
      <w:bookmarkEnd w:id="17"/>
      <w:r>
        <w:rPr>
          <w:rFonts w:hint="eastAsia" w:ascii="仿宋" w:hAnsi="仿宋" w:eastAsia="仿宋" w:cs="仿宋"/>
          <w:color w:val="auto"/>
          <w:kern w:val="2"/>
          <w:sz w:val="24"/>
          <w:szCs w:val="21"/>
          <w:highlight w:val="none"/>
          <w:lang w:val="en-US" w:eastAsia="zh-CN" w:bidi="ar-SA"/>
        </w:rPr>
        <w:t>，所提供的资料均附于本表后，作为本表的附件。</w:t>
      </w:r>
      <w:bookmarkEnd w:id="18"/>
      <w:r>
        <w:rPr>
          <w:rFonts w:hint="eastAsia" w:ascii="仿宋" w:hAnsi="仿宋" w:eastAsia="仿宋" w:cs="仿宋"/>
          <w:bCs/>
          <w:color w:val="auto"/>
          <w:highlight w:val="none"/>
          <w:lang w:eastAsia="zh-CN"/>
        </w:rPr>
        <w:tab/>
      </w:r>
      <w:r>
        <w:rPr>
          <w:rFonts w:hint="eastAsia" w:ascii="仿宋" w:hAnsi="仿宋" w:eastAsia="仿宋" w:cs="仿宋"/>
          <w:bCs/>
          <w:color w:val="auto"/>
          <w:highlight w:val="none"/>
        </w:rPr>
        <w:t xml:space="preserve">        </w:t>
      </w:r>
    </w:p>
    <w:p w14:paraId="2177FFC2">
      <w:pPr>
        <w:bidi w:val="0"/>
        <w:spacing w:line="600" w:lineRule="auto"/>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供应商名称（盖章）：</w:t>
      </w:r>
    </w:p>
    <w:p w14:paraId="667FFCC9">
      <w:pPr>
        <w:bidi w:val="0"/>
        <w:spacing w:line="600" w:lineRule="auto"/>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法定代表人或委托代理人（签字或盖章）：</w:t>
      </w:r>
    </w:p>
    <w:p w14:paraId="16CBE3AB">
      <w:pPr>
        <w:spacing w:line="600" w:lineRule="auto"/>
        <w:jc w:val="righ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日期：     年   月   日</w:t>
      </w:r>
    </w:p>
    <w:p w14:paraId="33DAC50F">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1E785697">
      <w:pPr>
        <w:adjustRightInd w:val="0"/>
        <w:snapToGrid w:val="0"/>
        <w:spacing w:beforeLines="50"/>
        <w:outlineLvl w:val="1"/>
        <w:rPr>
          <w:rFonts w:hint="eastAsia" w:ascii="仿宋" w:hAnsi="仿宋" w:eastAsia="仿宋" w:cs="仿宋"/>
          <w:color w:val="auto"/>
          <w:highlight w:val="none"/>
        </w:rPr>
      </w:pPr>
      <w:r>
        <w:rPr>
          <w:rFonts w:hint="eastAsia" w:ascii="仿宋" w:hAnsi="仿宋" w:eastAsia="仿宋" w:cs="仿宋"/>
          <w:b/>
          <w:bCs/>
          <w:color w:val="auto"/>
          <w:sz w:val="28"/>
          <w:szCs w:val="28"/>
          <w:highlight w:val="none"/>
          <w:lang w:val="en-US" w:eastAsia="zh-CN"/>
        </w:rPr>
        <w:t>附件22、</w:t>
      </w:r>
      <w:r>
        <w:rPr>
          <w:rFonts w:hint="eastAsia" w:ascii="仿宋" w:hAnsi="仿宋" w:eastAsia="仿宋" w:cs="仿宋"/>
          <w:b/>
          <w:bCs/>
          <w:color w:val="auto"/>
          <w:sz w:val="28"/>
          <w:szCs w:val="28"/>
          <w:highlight w:val="none"/>
        </w:rPr>
        <w:t>其它有利于投标的资料</w:t>
      </w:r>
    </w:p>
    <w:sectPr>
      <w:footerReference r:id="rId11" w:type="first"/>
      <w:headerReference r:id="rId8" w:type="default"/>
      <w:footerReference r:id="rId9" w:type="default"/>
      <w:footerReference r:id="rId10" w:type="even"/>
      <w:pgSz w:w="11906" w:h="16838"/>
      <w:pgMar w:top="1440" w:right="1489" w:bottom="1440" w:left="1797" w:header="851" w:footer="992" w:gutter="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锐字温帅小可爱简">
    <w:panose1 w:val="02010604000000000000"/>
    <w:charset w:val="86"/>
    <w:family w:val="auto"/>
    <w:pitch w:val="default"/>
    <w:sig w:usb0="00000003" w:usb1="080E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B85D5">
    <w:pPr>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95BC0">
    <w:pPr>
      <w:pStyle w:val="16"/>
      <w:jc w:val="both"/>
    </w:pPr>
  </w:p>
  <w:p w14:paraId="2D4F1DA9">
    <w:pPr>
      <w:pStyle w:val="16"/>
      <w:jc w:val="both"/>
    </w:pPr>
    <w:r>
      <w:pict>
        <v:shape id="_x0000_s1032" o:spid="_x0000_s1032"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N1UKM/SAQAApQMAAA4AAABkcnMvZTJvRG9jLnhtbK1TS27bMBDd&#10;F+gdCO5rKQbSCoblIIWRokDRFkhzAJqiLAL8gaQt+QLtDbrqpvuey+foIyU5RbrJIhtqODN8M+/N&#10;aH0zaEWOwgdpTU2vFiUlwnDbSLOv6cO3uzcVJSEy0zBljajpSQR6s3n9at27lVjazqpGeAIQE1a9&#10;q2kXo1sVReCd0CwsrBMGwdZ6zSKufl80nvVA16pYluXbore+cd5yEQK82zFIJ0T/HEDbtpKLreUH&#10;LUwcUb1QLIJS6KQLdJO7bVvB45e2DSISVVMwjflEEdi7dBabNVvtPXOd5FML7DktPOGkmTQoeoHa&#10;ssjIwcv/oLTk3gbbxgW3uhiJZEXA4qp8os19x5zIXCB1cBfRw8vB8s/Hr57IBpsASQzTmPj554/z&#10;rz/n398JfBCod2GFvHuHzDi8twOSZ3+AM/EeWq/TF4wI4sA6XeQVQyQ8PaqWVVUixBGbL8AvHp87&#10;H+IHYTVJRk095pdlZcdPIY6pc0qqZuydVCrPUBnSA/W6enedX1xCQFcGRRKLsdtkxWE3TNR2tjmB&#10;WY8lqKnBzlOiPhpojE7jbPjZ2M3GwXm57/JCpVaCuz1EtJO7TBVG2Kkwppd5TpuW1uPfe856/Ls2&#10;f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3VQoz9IBAAClAwAADgAAAAAAAAABACAAAAAi&#10;AQAAZHJzL2Uyb0RvYy54bWxQSwUGAAAAAAYABgBZAQAAZgUAAAAA&#10;">
          <v:path/>
          <v:fill on="f" focussize="0,0"/>
          <v:stroke on="f" weight="1.25pt" joinstyle="miter"/>
          <v:imagedata o:title=""/>
          <o:lock v:ext="edit"/>
          <v:textbox inset="0mm,0mm,0mm,0mm" style="mso-fit-shape-to-text:t;">
            <w:txbxContent>
              <w:p w14:paraId="4E774FBC">
                <w:pPr>
                  <w:pStyle w:val="16"/>
                </w:pPr>
              </w:p>
            </w:txbxContent>
          </v:textbox>
        </v:shape>
      </w:pict>
    </w:r>
  </w:p>
  <w:p w14:paraId="109AC722">
    <w:pPr>
      <w:pStyle w:val="16"/>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07E31E">
    <w:pPr>
      <w:pStyle w:val="8"/>
      <w:spacing w:line="14" w:lineRule="auto"/>
      <w:rPr>
        <w:sz w:val="20"/>
      </w:rPr>
    </w:pPr>
    <w:r>
      <w:pict>
        <v:shape id="_x0000_s1031" o:spid="_x0000_s1031"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path/>
          <v:fill on="f" focussize="0,0"/>
          <v:stroke on="f" joinstyle="miter"/>
          <v:imagedata o:title=""/>
          <o:lock v:ext="edit"/>
          <v:textbox inset="0mm,0mm,0mm,0mm" style="mso-fit-shape-to-text:t;">
            <w:txbxContent>
              <w:p w14:paraId="00B992D5">
                <w:pPr>
                  <w:pStyle w:val="16"/>
                </w:pPr>
                <w:r>
                  <w:rPr>
                    <w:rFonts w:hint="eastAsia"/>
                  </w:rPr>
                  <w:fldChar w:fldCharType="begin"/>
                </w:r>
                <w:r>
                  <w:rPr>
                    <w:rFonts w:hint="eastAsia"/>
                  </w:rPr>
                  <w:instrText xml:space="preserve"> PAGE  \* MERGEFORMAT </w:instrText>
                </w:r>
                <w:r>
                  <w:rPr>
                    <w:rFonts w:hint="eastAsia"/>
                  </w:rPr>
                  <w:fldChar w:fldCharType="separate"/>
                </w:r>
                <w:r>
                  <w:t>69</w:t>
                </w:r>
                <w:r>
                  <w:rPr>
                    <w:rFonts w:hint="eastAsia"/>
                  </w:rPr>
                  <w:fldChar w:fldCharType="end"/>
                </w:r>
              </w:p>
            </w:txbxContent>
          </v:textbox>
        </v:shape>
      </w:pict>
    </w:r>
    <w:r>
      <w:pict>
        <v:shape id="_x0000_s1030" o:spid="_x0000_s1030" o:spt="202" type="#_x0000_t202" style="position:absolute;left:0pt;margin-left:55.6pt;margin-top:801.65pt;height:11pt;width:105.5pt;mso-position-horizontal-relative:page;mso-position-vertical-relative:page;z-index:-251657216;mso-width-relative:page;mso-height-relative:page;" filled="f" stroked="f" coordsize="21600,21600" o:gfxdata="UEsDBAoAAAAAAIdO4kAAAAAAAAAAAAAAAAAEAAAAZHJzL1BLAwQUAAAACACHTuJAAzSnUtkAAAAN&#10;AQAADwAAAGRycy9kb3ducmV2LnhtbE2PzU7DMBCE70i8g7VI3KgdR0QQ4lQIwQkJkYYDRyd2E6vx&#10;OsTuD2/P9kRvO7Oj2W+r9clP7GCX6AIqyFYCmMU+GIeDgq/27e4BWEwajZ4CWgW/NsK6vr6qdGnC&#10;ERt72KSBUQnGUisYU5pLzmM/Wq/jKswWabcNi9eJ5DJws+gjlfuJSyEK7rVDujDq2b6Mtt9t9l7B&#10;8zc2r+7no/tsto1r20eB78VOqdubTDwBS/aU/sNwxid0qImpC3s0kU2ks0xSlIZC5DkwiuRSktWd&#10;LXmfA68rfvlF/QdQSwMEFAAAAAgAh07iQDPGAPHBAQAAhAMAAA4AAABkcnMvZTJvRG9jLnhtbK1T&#10;S27bMBDdF8gdCO5ryTaaJoLlAIWRoEDQFkh7AJoiLQL8YUhb8gXaG3TVTfc9l8/RISW5abLJIhtq&#10;OJ/HeW9Gq5veaHIQEJSzNZ3PSkqE5a5RdlfTb19v315REiKzDdPOipoeRaA364s3q85XYuFapxsB&#10;BEFsqDpf0zZGXxVF4K0wLMycFxaD0oFhEa+wKxpgHaIbXSzK8rLoHDQeHBchoHczBOmICC8BdFIq&#10;LjaO742wcUAFoVlESqFVPtB17lZKweNnKYOIRNcUmcZ84iNob9NZrFes2gHzreJjC+wlLTzhZJiy&#10;+OgZasMiI3tQz6CM4uCCk3HGnSkGIlkRZDEvn2jz0DIvMheUOviz6OH1YPmnwxcgqqnpYo6Dt8zg&#10;yE8/f5x+/Tn9/k6SEyXqfKgw88Fjbuw/uB4XZ/IHdCbmvQSTvsiJYBwFPp4FFn0kPBUtl9dX7zDE&#10;MTZfXr8v8wSKf9UeQrwTzpBk1BRwgFlXdrgPETvB1CklPWbdrdI6D1Hb/xyYOHhE3oKxOhEZGk5W&#10;7Lf9yG7rmiOS0x8tipsWZTJgMraTsfegdi02lyUoEhAOJ7c2LlKa/uM72o9/nv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AzSnUtkAAAANAQAADwAAAAAAAAABACAAAAAiAAAAZHJzL2Rvd25yZXYu&#10;eG1sUEsBAhQAFAAAAAgAh07iQDPGAPHBAQAAhAMAAA4AAAAAAAAAAQAgAAAAKAEAAGRycy9lMm9E&#10;b2MueG1sUEsFBgAAAAAGAAYAWQEAAFsFAAAAAA==&#10;">
          <v:path/>
          <v:fill on="f" focussize="0,0"/>
          <v:stroke on="f" joinstyle="miter"/>
          <v:imagedata o:title=""/>
          <o:lock v:ext="edit"/>
          <v:textbox inset="0mm,0mm,0mm,0mm">
            <w:txbxContent>
              <w:p w14:paraId="252E3307">
                <w:pPr>
                  <w:spacing w:line="220" w:lineRule="exact"/>
                  <w:ind w:left="20"/>
                  <w:jc w:val="left"/>
                  <w:rPr>
                    <w:sz w:val="18"/>
                  </w:rPr>
                </w:pPr>
                <w:r>
                  <w:fldChar w:fldCharType="begin"/>
                </w:r>
                <w:r>
                  <w:instrText xml:space="preserve"> HYPERLINK "http://www.chinapsp.cn/" \h </w:instrText>
                </w:r>
                <w:r>
                  <w:fldChar w:fldCharType="separate"/>
                </w:r>
                <w:r>
                  <w:fldChar w:fldCharType="end"/>
                </w:r>
              </w:p>
            </w:txbxContent>
          </v:textbox>
        </v:shape>
      </w:pict>
    </w:r>
    <w:r>
      <w:pict>
        <v:shape id="_x0000_s1029" o:spid="_x0000_s1029" o:spt="202" type="#_x0000_t202" style="position:absolute;left:0pt;margin-left:388.6pt;margin-top:801.65pt;height:11.55pt;width:166.2pt;mso-position-horizontal-relative:page;mso-position-vertical-relative:page;z-index:-251656192;mso-width-relative:page;mso-height-relative:page;" filled="f" stroked="f" coordsize="21600,21600" o:gfxdata="UEsDBAoAAAAAAIdO4kAAAAAAAAAAAAAAAAAEAAAAZHJzL1BLAwQUAAAACACHTuJAW55cxtoAAAAO&#10;AQAADwAAAGRycy9kb3ducmV2LnhtbE2PTU+EMBCG7yb+h2ZMvLktrCkuUjbG6MnEyOLBY4FZaJZO&#10;kXY//PeWkx5n3ifvPFNsL3ZkJ5y9caQgWQlgSK3rDPUKPuvXuwdgPmjq9OgIFfygh215fVXovHNn&#10;qvC0Cz2LJeRzrWAIYco59+2AVvuVm5Bitnez1SGOc8+7WZ9juR15KoTkVhuKFwY94fOA7WF3tAqe&#10;vqh6Md/vzUe1r0xdbwS9yYNStzeJeAQW8BL+YFj0ozqU0alxR+o8GxVkWZZGNAZSrNfAFiQRGwms&#10;WXapvAdeFvz/G+UvUEsDBBQAAAAIAIdO4kBgLDB5wAEAAIQDAAAOAAAAZHJzL2Uyb0RvYy54bWyt&#10;U0tu2zAQ3RfoHQjua0pC6gaC5QCFkaJAkRZIcwCaIi0C/IGkLfkCzQ266qb7nsvn6JCSnN8mi2yo&#10;x5nh47w31Opq0AoduA/SmgaXiwIjbphtpdk1+O7n9YdLjEKkpqXKGt7gIw/4av3+3ap3Na9sZ1XL&#10;PQISE+reNbiL0dWEBNZxTcPCOm4gKazXNMLW70jraQ/sWpGqKJakt7513jIeAkQ3YxJPjP41hFYI&#10;yfjGsr3mJo6snisaQVLopAt4nbsVgrP4XYjAI1INBqUxr3AJ4G1ayXpF652nrpNsaoG+poVnmjSV&#10;Bi49U21opGjv5QsqLZm3wYq4YFaTUUh2BFSUxTNvbjvqeNYCVgd3Nj28HS27OfzwSLYNrirwxFAN&#10;Iz/9vj/9+Xf6+wulIFjUu1BD5a2D2jh8tgM8nDkeIJiUD8Lr9AVNCPJAdjwbzIeIGASrsiw+XUCK&#10;Qa68WC4vPyYa8nDa+RC/cKtRAg32MMDsKz18C3EsnUvSZcZeS6XyEJV5EgDOMcLzK5hOJyFjwwnF&#10;YTtM6ra2PYI49dWAudBgnIGfwXYGe+flroPmsgUkEcFwsorpIaXpP94DfvzzrP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W55cxtoAAAAOAQAADwAAAAAAAAABACAAAAAiAAAAZHJzL2Rvd25yZXYu&#10;eG1sUEsBAhQAFAAAAAgAh07iQGAsMHnAAQAAhAMAAA4AAAAAAAAAAQAgAAAAKQEAAGRycy9lMm9E&#10;b2MueG1sUEsFBgAAAAAGAAYAWQEAAFsFAAAAAA==&#10;">
          <v:path/>
          <v:fill on="f" focussize="0,0"/>
          <v:stroke on="f" joinstyle="miter"/>
          <v:imagedata o:title=""/>
          <o:lock v:ext="edit"/>
          <v:textbox inset="0mm,0mm,0mm,0mm">
            <w:txbxContent>
              <w:p w14:paraId="7349A02B">
                <w:pPr>
                  <w:spacing w:line="220" w:lineRule="exact"/>
                  <w:ind w:left="20"/>
                  <w:jc w:val="left"/>
                  <w:rPr>
                    <w:sz w:val="18"/>
                  </w:rPr>
                </w:pPr>
              </w:p>
            </w:txbxContent>
          </v:textbox>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D2CBB0">
    <w:pPr>
      <w:pStyle w:val="16"/>
      <w:ind w:right="360"/>
      <w:jc w:val="right"/>
      <w:rPr>
        <w:i/>
      </w:rPr>
    </w:pPr>
    <w:r>
      <w:pict>
        <v:shape id="_x0000_s1027" o:spid="_x0000_s1027"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path/>
          <v:fill on="f" focussize="0,0"/>
          <v:stroke on="f" weight="0.5pt" joinstyle="miter"/>
          <v:imagedata o:title=""/>
          <o:lock v:ext="edit"/>
          <v:textbox inset="0mm,0mm,0mm,0mm" style="mso-fit-shape-to-text:t;">
            <w:txbxContent>
              <w:p w14:paraId="388C5B4C">
                <w:pPr>
                  <w:pStyle w:val="16"/>
                </w:pPr>
                <w:r>
                  <w:rPr>
                    <w:rFonts w:hint="eastAsia"/>
                  </w:rPr>
                  <w:fldChar w:fldCharType="begin"/>
                </w:r>
                <w:r>
                  <w:rPr>
                    <w:rFonts w:hint="eastAsia"/>
                  </w:rPr>
                  <w:instrText xml:space="preserve"> PAGE  \* MERGEFORMAT </w:instrText>
                </w:r>
                <w:r>
                  <w:rPr>
                    <w:rFonts w:hint="eastAsia"/>
                  </w:rPr>
                  <w:fldChar w:fldCharType="separate"/>
                </w:r>
                <w:r>
                  <w:t>81</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9A80FF">
    <w:pPr>
      <w:pStyle w:val="16"/>
      <w:framePr w:wrap="around" w:vAnchor="text" w:hAnchor="margin" w:xAlign="center" w:y="1"/>
      <w:rPr>
        <w:rStyle w:val="28"/>
      </w:rPr>
    </w:pPr>
    <w:r>
      <w:fldChar w:fldCharType="begin"/>
    </w:r>
    <w:r>
      <w:rPr>
        <w:rStyle w:val="28"/>
      </w:rPr>
      <w:instrText xml:space="preserve">PAGE  </w:instrText>
    </w:r>
    <w:r>
      <w:fldChar w:fldCharType="end"/>
    </w:r>
  </w:p>
  <w:p w14:paraId="3EBBA238">
    <w:pPr>
      <w:pStyle w:val="16"/>
      <w:ind w:right="360"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4529B">
    <w:pPr>
      <w:pStyle w:val="16"/>
    </w:pPr>
  </w:p>
  <w:p w14:paraId="0AE727D3">
    <w:pPr>
      <w:pStyle w:val="16"/>
    </w:pPr>
    <w:r>
      <w:pict>
        <v:shape id="_x0000_s1028" o:spid="_x0000_s1028"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path/>
          <v:fill on="f" focussize="0,0"/>
          <v:stroke on="f" weight="0.5pt" joinstyle="miter"/>
          <v:imagedata o:title=""/>
          <o:lock v:ext="edit"/>
          <v:textbox inset="0mm,0mm,0mm,0mm" style="mso-fit-shape-to-text:t;">
            <w:txbxContent>
              <w:p w14:paraId="1074ED89">
                <w:pPr>
                  <w:pStyle w:val="16"/>
                </w:pPr>
                <w:r>
                  <w:rPr>
                    <w:rFonts w:hint="eastAsia"/>
                  </w:rPr>
                  <w:fldChar w:fldCharType="begin"/>
                </w:r>
                <w:r>
                  <w:rPr>
                    <w:rFonts w:hint="eastAsia"/>
                  </w:rPr>
                  <w:instrText xml:space="preserve"> PAGE  \* MERGEFORMAT </w:instrText>
                </w:r>
                <w:r>
                  <w:rPr>
                    <w:rFonts w:hint="eastAsia"/>
                  </w:rPr>
                  <w:fldChar w:fldCharType="separate"/>
                </w:r>
                <w:r>
                  <w:t>70</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9E510">
    <w:pPr>
      <w:pStyle w:val="17"/>
      <w:pBdr>
        <w:bottom w:val="none" w:color="auto" w:sz="0" w:space="1"/>
      </w:pBdr>
      <w:wordWrap w:val="0"/>
      <w:jc w:val="right"/>
      <w:rPr>
        <w:rFonts w:ascii="宋体" w:hAnsi="宋体" w:eastAsia="楷体"/>
      </w:rPr>
    </w:pPr>
  </w:p>
  <w:p w14:paraId="67870E97">
    <w:pPr>
      <w:pStyle w:val="17"/>
      <w:pBdr>
        <w:bottom w:val="none" w:color="auto" w:sz="0" w:space="0"/>
      </w:pBdr>
      <w:jc w:val="right"/>
      <w:rPr>
        <w:rFonts w:ascii="楷体_GB2312" w:eastAsia="楷体_GB2312"/>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211FA"/>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BA9F42">
    <w:pPr>
      <w:pStyle w:val="17"/>
      <w:pBdr>
        <w:bottom w:val="none" w:color="auto" w:sz="0" w:space="1"/>
      </w:pBdr>
      <w:wordWrap w:val="0"/>
      <w:jc w:val="right"/>
      <w:rPr>
        <w:rFonts w:ascii="宋体" w:hAnsi="宋体" w:eastAsia="楷体"/>
      </w:rPr>
    </w:pPr>
  </w:p>
  <w:p w14:paraId="028566F5">
    <w:pPr>
      <w:pStyle w:val="17"/>
      <w:pBdr>
        <w:bottom w:val="none" w:color="auto" w:sz="0" w:space="1"/>
      </w:pBdr>
      <w:rPr>
        <w:rFonts w:ascii="宋体" w:hAnsi="宋体"/>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6C68B6"/>
    <w:multiLevelType w:val="singleLevel"/>
    <w:tmpl w:val="866C68B6"/>
    <w:lvl w:ilvl="0" w:tentative="0">
      <w:start w:val="2"/>
      <w:numFmt w:val="decimal"/>
      <w:suff w:val="nothing"/>
      <w:lvlText w:val="（%1）"/>
      <w:lvlJc w:val="left"/>
    </w:lvl>
  </w:abstractNum>
  <w:abstractNum w:abstractNumId="1">
    <w:nsid w:val="D950F677"/>
    <w:multiLevelType w:val="singleLevel"/>
    <w:tmpl w:val="D950F677"/>
    <w:lvl w:ilvl="0" w:tentative="0">
      <w:start w:val="3"/>
      <w:numFmt w:val="chineseCounting"/>
      <w:suff w:val="space"/>
      <w:lvlText w:val="第%1部分"/>
      <w:lvlJc w:val="left"/>
      <w:rPr>
        <w:rFonts w:hint="eastAsia"/>
      </w:rPr>
    </w:lvl>
  </w:abstractNum>
  <w:abstractNum w:abstractNumId="2">
    <w:nsid w:val="00000002"/>
    <w:multiLevelType w:val="multilevel"/>
    <w:tmpl w:val="00000002"/>
    <w:lvl w:ilvl="0" w:tentative="0">
      <w:start w:val="1"/>
      <w:numFmt w:val="upperLetter"/>
      <w:pStyle w:val="2"/>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AA5679A"/>
    <w:multiLevelType w:val="singleLevel"/>
    <w:tmpl w:val="0AA5679A"/>
    <w:lvl w:ilvl="0" w:tentative="0">
      <w:start w:val="1"/>
      <w:numFmt w:val="decimal"/>
      <w:suff w:val="nothing"/>
      <w:lvlText w:val="%1、"/>
      <w:lvlJc w:val="left"/>
    </w:lvl>
  </w:abstractNum>
  <w:abstractNum w:abstractNumId="4">
    <w:nsid w:val="26AB452D"/>
    <w:multiLevelType w:val="singleLevel"/>
    <w:tmpl w:val="26AB452D"/>
    <w:lvl w:ilvl="0" w:tentative="0">
      <w:start w:val="1"/>
      <w:numFmt w:val="decimal"/>
      <w:suff w:val="nothing"/>
      <w:lvlText w:val="%1、"/>
      <w:lvlJc w:val="left"/>
    </w:lvl>
  </w:abstractNum>
  <w:abstractNum w:abstractNumId="5">
    <w:nsid w:val="35BF0693"/>
    <w:multiLevelType w:val="singleLevel"/>
    <w:tmpl w:val="35BF0693"/>
    <w:lvl w:ilvl="0" w:tentative="0">
      <w:start w:val="3"/>
      <w:numFmt w:val="decimal"/>
      <w:lvlText w:val="%1."/>
      <w:lvlJc w:val="left"/>
      <w:pPr>
        <w:tabs>
          <w:tab w:val="left" w:pos="312"/>
        </w:tabs>
      </w:pPr>
    </w:lvl>
  </w:abstractNum>
  <w:abstractNum w:abstractNumId="6">
    <w:nsid w:val="3EBB3C91"/>
    <w:multiLevelType w:val="multilevel"/>
    <w:tmpl w:val="3EBB3C91"/>
    <w:lvl w:ilvl="0" w:tentative="0">
      <w:start w:val="1"/>
      <w:numFmt w:val="chineseCountingThousand"/>
      <w:suff w:val="space"/>
      <w:lvlText w:val="%1. "/>
      <w:lvlJc w:val="left"/>
      <w:pPr>
        <w:ind w:left="907" w:hanging="907"/>
      </w:pPr>
      <w:rPr>
        <w:rFonts w:hint="eastAsia" w:cs="Times New Roman"/>
      </w:rPr>
    </w:lvl>
    <w:lvl w:ilvl="1" w:tentative="0">
      <w:start w:val="1"/>
      <w:numFmt w:val="decimal"/>
      <w:isLgl/>
      <w:suff w:val="space"/>
      <w:lvlText w:val="%1.%2 "/>
      <w:lvlJc w:val="left"/>
      <w:pPr>
        <w:ind w:left="794" w:hanging="794"/>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40"/>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7">
    <w:nsid w:val="75D70BD0"/>
    <w:multiLevelType w:val="multilevel"/>
    <w:tmpl w:val="75D70BD0"/>
    <w:lvl w:ilvl="0" w:tentative="0">
      <w:start w:val="1"/>
      <w:numFmt w:val="japaneseCounting"/>
      <w:lvlText w:val="第%1节"/>
      <w:lvlJc w:val="left"/>
      <w:pPr>
        <w:ind w:left="1290" w:hanging="129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6"/>
  </w:num>
  <w:num w:numId="3">
    <w:abstractNumId w:val="1"/>
  </w:num>
  <w:num w:numId="4">
    <w:abstractNumId w:val="0"/>
  </w:num>
  <w:num w:numId="5">
    <w:abstractNumId w:val="7"/>
  </w:num>
  <w:num w:numId="6">
    <w:abstractNumId w:val="3"/>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Tc2Mzc0MDNhNzBkYmQ5MGRkMmFiZDk3NDlhOTVjODIifQ=="/>
  </w:docVars>
  <w:rsids>
    <w:rsidRoot w:val="78525E90"/>
    <w:rsid w:val="00097346"/>
    <w:rsid w:val="000A2FB9"/>
    <w:rsid w:val="00186FAA"/>
    <w:rsid w:val="001E5FF6"/>
    <w:rsid w:val="002F1091"/>
    <w:rsid w:val="00326CC8"/>
    <w:rsid w:val="003D47A3"/>
    <w:rsid w:val="00521512"/>
    <w:rsid w:val="00580B8B"/>
    <w:rsid w:val="0058756A"/>
    <w:rsid w:val="0060585B"/>
    <w:rsid w:val="0063393F"/>
    <w:rsid w:val="006D0FAA"/>
    <w:rsid w:val="008E49A0"/>
    <w:rsid w:val="00937528"/>
    <w:rsid w:val="009C5EC8"/>
    <w:rsid w:val="00A51030"/>
    <w:rsid w:val="00A954E0"/>
    <w:rsid w:val="00AC1E5E"/>
    <w:rsid w:val="00B02766"/>
    <w:rsid w:val="00C30909"/>
    <w:rsid w:val="00CB0F01"/>
    <w:rsid w:val="00DB30A2"/>
    <w:rsid w:val="00E33CC3"/>
    <w:rsid w:val="00E83508"/>
    <w:rsid w:val="00ED10C3"/>
    <w:rsid w:val="01062D03"/>
    <w:rsid w:val="0112363F"/>
    <w:rsid w:val="01821672"/>
    <w:rsid w:val="018D13F0"/>
    <w:rsid w:val="020B4CAB"/>
    <w:rsid w:val="0216443A"/>
    <w:rsid w:val="028950CA"/>
    <w:rsid w:val="02B033CE"/>
    <w:rsid w:val="02B47655"/>
    <w:rsid w:val="02C346CE"/>
    <w:rsid w:val="02DC35C3"/>
    <w:rsid w:val="02E24306"/>
    <w:rsid w:val="02F942E7"/>
    <w:rsid w:val="032B14E1"/>
    <w:rsid w:val="036F1A3A"/>
    <w:rsid w:val="038D024F"/>
    <w:rsid w:val="03D76C48"/>
    <w:rsid w:val="03F61337"/>
    <w:rsid w:val="046370B3"/>
    <w:rsid w:val="047E40D9"/>
    <w:rsid w:val="04893C18"/>
    <w:rsid w:val="04986C4E"/>
    <w:rsid w:val="04A24CDA"/>
    <w:rsid w:val="04D31337"/>
    <w:rsid w:val="04D929F1"/>
    <w:rsid w:val="051D0075"/>
    <w:rsid w:val="053528AD"/>
    <w:rsid w:val="054C15A1"/>
    <w:rsid w:val="05546CBA"/>
    <w:rsid w:val="055600B9"/>
    <w:rsid w:val="05580882"/>
    <w:rsid w:val="05741DFD"/>
    <w:rsid w:val="058D5019"/>
    <w:rsid w:val="06285912"/>
    <w:rsid w:val="064F2C3F"/>
    <w:rsid w:val="06550F99"/>
    <w:rsid w:val="06580515"/>
    <w:rsid w:val="06A64F55"/>
    <w:rsid w:val="06C904B8"/>
    <w:rsid w:val="06F0647F"/>
    <w:rsid w:val="07413D98"/>
    <w:rsid w:val="07741A8A"/>
    <w:rsid w:val="077A66A6"/>
    <w:rsid w:val="07AA18D8"/>
    <w:rsid w:val="07AD2313"/>
    <w:rsid w:val="07B37081"/>
    <w:rsid w:val="081C4A36"/>
    <w:rsid w:val="0828199A"/>
    <w:rsid w:val="08393100"/>
    <w:rsid w:val="0865562F"/>
    <w:rsid w:val="086A0B4B"/>
    <w:rsid w:val="088875A6"/>
    <w:rsid w:val="08A80670"/>
    <w:rsid w:val="09210C8A"/>
    <w:rsid w:val="09257AA7"/>
    <w:rsid w:val="096864F2"/>
    <w:rsid w:val="09C13E54"/>
    <w:rsid w:val="09DA710F"/>
    <w:rsid w:val="09E3210E"/>
    <w:rsid w:val="09FF3664"/>
    <w:rsid w:val="0A0509EF"/>
    <w:rsid w:val="0A375E19"/>
    <w:rsid w:val="0A704DD2"/>
    <w:rsid w:val="0AB17D93"/>
    <w:rsid w:val="0AF966B1"/>
    <w:rsid w:val="0BC70A3F"/>
    <w:rsid w:val="0C011C5F"/>
    <w:rsid w:val="0C131BF2"/>
    <w:rsid w:val="0C2C766F"/>
    <w:rsid w:val="0C432F81"/>
    <w:rsid w:val="0C861343"/>
    <w:rsid w:val="0CC27215"/>
    <w:rsid w:val="0CEB33BE"/>
    <w:rsid w:val="0D0869C0"/>
    <w:rsid w:val="0D252A89"/>
    <w:rsid w:val="0D441657"/>
    <w:rsid w:val="0D524B20"/>
    <w:rsid w:val="0D7A1750"/>
    <w:rsid w:val="0D994BA6"/>
    <w:rsid w:val="0DD37BE6"/>
    <w:rsid w:val="0DDD63F7"/>
    <w:rsid w:val="0E0C5987"/>
    <w:rsid w:val="0E323572"/>
    <w:rsid w:val="0E375FD3"/>
    <w:rsid w:val="0E3F531B"/>
    <w:rsid w:val="0F0841A4"/>
    <w:rsid w:val="0F5E268A"/>
    <w:rsid w:val="0F955B67"/>
    <w:rsid w:val="0FF92F22"/>
    <w:rsid w:val="102A3E23"/>
    <w:rsid w:val="102B541A"/>
    <w:rsid w:val="103301F6"/>
    <w:rsid w:val="103E61FE"/>
    <w:rsid w:val="105477D0"/>
    <w:rsid w:val="106B3547"/>
    <w:rsid w:val="10A5627E"/>
    <w:rsid w:val="10CF4C7A"/>
    <w:rsid w:val="11244EB5"/>
    <w:rsid w:val="118045F5"/>
    <w:rsid w:val="11873DE9"/>
    <w:rsid w:val="11965EB9"/>
    <w:rsid w:val="11AA6255"/>
    <w:rsid w:val="11B76418"/>
    <w:rsid w:val="11D1243D"/>
    <w:rsid w:val="11F72A8C"/>
    <w:rsid w:val="12091E74"/>
    <w:rsid w:val="121B79FB"/>
    <w:rsid w:val="12232D93"/>
    <w:rsid w:val="12627161"/>
    <w:rsid w:val="12B5514D"/>
    <w:rsid w:val="12CE44A2"/>
    <w:rsid w:val="13B675C5"/>
    <w:rsid w:val="13B934D5"/>
    <w:rsid w:val="13C34FDF"/>
    <w:rsid w:val="14310539"/>
    <w:rsid w:val="14B410A9"/>
    <w:rsid w:val="14CE3EE2"/>
    <w:rsid w:val="14F902DA"/>
    <w:rsid w:val="152C0457"/>
    <w:rsid w:val="15311E8E"/>
    <w:rsid w:val="15424017"/>
    <w:rsid w:val="154F1722"/>
    <w:rsid w:val="156B7B78"/>
    <w:rsid w:val="15C40F54"/>
    <w:rsid w:val="15CE3CEE"/>
    <w:rsid w:val="15E4326F"/>
    <w:rsid w:val="15E574A2"/>
    <w:rsid w:val="15F27DB5"/>
    <w:rsid w:val="15F41BFA"/>
    <w:rsid w:val="1657090F"/>
    <w:rsid w:val="16781D3E"/>
    <w:rsid w:val="16B17A67"/>
    <w:rsid w:val="16E80B41"/>
    <w:rsid w:val="17017F86"/>
    <w:rsid w:val="178E4079"/>
    <w:rsid w:val="17B57A28"/>
    <w:rsid w:val="17B7662A"/>
    <w:rsid w:val="17C0750C"/>
    <w:rsid w:val="17E62E22"/>
    <w:rsid w:val="17EA6C63"/>
    <w:rsid w:val="183A21CD"/>
    <w:rsid w:val="18F81343"/>
    <w:rsid w:val="190F3461"/>
    <w:rsid w:val="191B1399"/>
    <w:rsid w:val="192A1801"/>
    <w:rsid w:val="194D1260"/>
    <w:rsid w:val="196D2880"/>
    <w:rsid w:val="19A8738B"/>
    <w:rsid w:val="19E17404"/>
    <w:rsid w:val="19EF056A"/>
    <w:rsid w:val="1A49639A"/>
    <w:rsid w:val="1A4B7367"/>
    <w:rsid w:val="1AA05648"/>
    <w:rsid w:val="1ABE32D5"/>
    <w:rsid w:val="1AF5111A"/>
    <w:rsid w:val="1AFE66E8"/>
    <w:rsid w:val="1B5E443F"/>
    <w:rsid w:val="1B5F6589"/>
    <w:rsid w:val="1B7A5473"/>
    <w:rsid w:val="1B900EEF"/>
    <w:rsid w:val="1BC25F36"/>
    <w:rsid w:val="1BD73567"/>
    <w:rsid w:val="1BDC33C1"/>
    <w:rsid w:val="1BE20701"/>
    <w:rsid w:val="1C011997"/>
    <w:rsid w:val="1C203AC5"/>
    <w:rsid w:val="1C907C71"/>
    <w:rsid w:val="1CDA72AF"/>
    <w:rsid w:val="1D03682B"/>
    <w:rsid w:val="1D1F492F"/>
    <w:rsid w:val="1D200F09"/>
    <w:rsid w:val="1D3679F9"/>
    <w:rsid w:val="1D4B5AB7"/>
    <w:rsid w:val="1D5F680A"/>
    <w:rsid w:val="1D9A6FA9"/>
    <w:rsid w:val="1DAC74A6"/>
    <w:rsid w:val="1DB6418A"/>
    <w:rsid w:val="1E1D2551"/>
    <w:rsid w:val="1E230FAF"/>
    <w:rsid w:val="1E280203"/>
    <w:rsid w:val="1E5428B9"/>
    <w:rsid w:val="1E7C6B9A"/>
    <w:rsid w:val="1E806FC9"/>
    <w:rsid w:val="1E9407F0"/>
    <w:rsid w:val="1EA6173E"/>
    <w:rsid w:val="1EAD3C13"/>
    <w:rsid w:val="1EC660CC"/>
    <w:rsid w:val="1F315512"/>
    <w:rsid w:val="1FBF4F7B"/>
    <w:rsid w:val="1FD977C0"/>
    <w:rsid w:val="2024185C"/>
    <w:rsid w:val="207012F4"/>
    <w:rsid w:val="2084196E"/>
    <w:rsid w:val="20BC433F"/>
    <w:rsid w:val="20CA69A3"/>
    <w:rsid w:val="20CB5DD4"/>
    <w:rsid w:val="20EF0E4F"/>
    <w:rsid w:val="20F80546"/>
    <w:rsid w:val="21243A0B"/>
    <w:rsid w:val="213C71BD"/>
    <w:rsid w:val="21486EDD"/>
    <w:rsid w:val="21797553"/>
    <w:rsid w:val="2196711A"/>
    <w:rsid w:val="220B491C"/>
    <w:rsid w:val="221B7DFB"/>
    <w:rsid w:val="225A14D5"/>
    <w:rsid w:val="228114C2"/>
    <w:rsid w:val="22E87454"/>
    <w:rsid w:val="231C614B"/>
    <w:rsid w:val="232E31E3"/>
    <w:rsid w:val="235C3556"/>
    <w:rsid w:val="237613B4"/>
    <w:rsid w:val="23863E0F"/>
    <w:rsid w:val="239366F2"/>
    <w:rsid w:val="24A3442A"/>
    <w:rsid w:val="24FD06E9"/>
    <w:rsid w:val="250543A2"/>
    <w:rsid w:val="25127F75"/>
    <w:rsid w:val="252E6A4B"/>
    <w:rsid w:val="2557308A"/>
    <w:rsid w:val="257220CB"/>
    <w:rsid w:val="25777959"/>
    <w:rsid w:val="25814CD5"/>
    <w:rsid w:val="258A62E0"/>
    <w:rsid w:val="25A15DAB"/>
    <w:rsid w:val="25E66ED2"/>
    <w:rsid w:val="25F3292B"/>
    <w:rsid w:val="26017C95"/>
    <w:rsid w:val="27286E6F"/>
    <w:rsid w:val="272F1A59"/>
    <w:rsid w:val="278C3928"/>
    <w:rsid w:val="27AC5CEC"/>
    <w:rsid w:val="27E148FC"/>
    <w:rsid w:val="28174635"/>
    <w:rsid w:val="282B717C"/>
    <w:rsid w:val="283458F5"/>
    <w:rsid w:val="2859244B"/>
    <w:rsid w:val="289602CC"/>
    <w:rsid w:val="28B17325"/>
    <w:rsid w:val="28CF1152"/>
    <w:rsid w:val="28D54288"/>
    <w:rsid w:val="29477A7A"/>
    <w:rsid w:val="29C07ECC"/>
    <w:rsid w:val="2A12724C"/>
    <w:rsid w:val="2A1642FA"/>
    <w:rsid w:val="2A280C75"/>
    <w:rsid w:val="2A6D48C7"/>
    <w:rsid w:val="2A8D1923"/>
    <w:rsid w:val="2AAC71E9"/>
    <w:rsid w:val="2AAD1B5F"/>
    <w:rsid w:val="2AC15854"/>
    <w:rsid w:val="2AC16C40"/>
    <w:rsid w:val="2AC46567"/>
    <w:rsid w:val="2AF6454E"/>
    <w:rsid w:val="2B13143F"/>
    <w:rsid w:val="2B4E4183"/>
    <w:rsid w:val="2B67742E"/>
    <w:rsid w:val="2BB44B13"/>
    <w:rsid w:val="2C0D4C09"/>
    <w:rsid w:val="2C291DB4"/>
    <w:rsid w:val="2C732934"/>
    <w:rsid w:val="2CAD68AA"/>
    <w:rsid w:val="2CDA6E57"/>
    <w:rsid w:val="2D222F77"/>
    <w:rsid w:val="2D4529EC"/>
    <w:rsid w:val="2D961506"/>
    <w:rsid w:val="2D9D0099"/>
    <w:rsid w:val="2DCE6AA2"/>
    <w:rsid w:val="2E0C5805"/>
    <w:rsid w:val="2E976DAE"/>
    <w:rsid w:val="2EAA1035"/>
    <w:rsid w:val="2EC766AE"/>
    <w:rsid w:val="2ED51855"/>
    <w:rsid w:val="2F1773F1"/>
    <w:rsid w:val="2F3C14A7"/>
    <w:rsid w:val="2F55162F"/>
    <w:rsid w:val="2F666780"/>
    <w:rsid w:val="2F6B3D97"/>
    <w:rsid w:val="2F8B71B4"/>
    <w:rsid w:val="2F9978C6"/>
    <w:rsid w:val="2FA220AC"/>
    <w:rsid w:val="305F7026"/>
    <w:rsid w:val="30B5754E"/>
    <w:rsid w:val="30E36BA8"/>
    <w:rsid w:val="30F32296"/>
    <w:rsid w:val="31973569"/>
    <w:rsid w:val="31EF6985"/>
    <w:rsid w:val="321C0C2E"/>
    <w:rsid w:val="322B3D92"/>
    <w:rsid w:val="32CB29BE"/>
    <w:rsid w:val="32FE7827"/>
    <w:rsid w:val="333A529B"/>
    <w:rsid w:val="33C561CF"/>
    <w:rsid w:val="34112296"/>
    <w:rsid w:val="34193D3C"/>
    <w:rsid w:val="34281E00"/>
    <w:rsid w:val="346839BD"/>
    <w:rsid w:val="34AC732B"/>
    <w:rsid w:val="34FD7A88"/>
    <w:rsid w:val="35040F15"/>
    <w:rsid w:val="35461581"/>
    <w:rsid w:val="3581698D"/>
    <w:rsid w:val="358C17D9"/>
    <w:rsid w:val="35ED7BFB"/>
    <w:rsid w:val="36846DB2"/>
    <w:rsid w:val="36853990"/>
    <w:rsid w:val="36A85F66"/>
    <w:rsid w:val="36C35DE9"/>
    <w:rsid w:val="36C7634F"/>
    <w:rsid w:val="36CA751D"/>
    <w:rsid w:val="36E05768"/>
    <w:rsid w:val="36E07FB9"/>
    <w:rsid w:val="371B6127"/>
    <w:rsid w:val="373D2A8F"/>
    <w:rsid w:val="37AF71BF"/>
    <w:rsid w:val="37C404E8"/>
    <w:rsid w:val="38DC5E0F"/>
    <w:rsid w:val="38E532C1"/>
    <w:rsid w:val="395975B6"/>
    <w:rsid w:val="396F565E"/>
    <w:rsid w:val="39921A71"/>
    <w:rsid w:val="39D3299A"/>
    <w:rsid w:val="3A03765F"/>
    <w:rsid w:val="3A697E64"/>
    <w:rsid w:val="3A9A678A"/>
    <w:rsid w:val="3AB27E55"/>
    <w:rsid w:val="3B014C8E"/>
    <w:rsid w:val="3B024E57"/>
    <w:rsid w:val="3B0279E9"/>
    <w:rsid w:val="3B42214B"/>
    <w:rsid w:val="3B476960"/>
    <w:rsid w:val="3B79490E"/>
    <w:rsid w:val="3B932066"/>
    <w:rsid w:val="3B942165"/>
    <w:rsid w:val="3B9D751A"/>
    <w:rsid w:val="3BA857C2"/>
    <w:rsid w:val="3BB20402"/>
    <w:rsid w:val="3BB20C2D"/>
    <w:rsid w:val="3BB86F42"/>
    <w:rsid w:val="3BBE6F1D"/>
    <w:rsid w:val="3BBF6EEC"/>
    <w:rsid w:val="3BF842D3"/>
    <w:rsid w:val="3C2E277D"/>
    <w:rsid w:val="3C324366"/>
    <w:rsid w:val="3C4D5FB4"/>
    <w:rsid w:val="3C63750B"/>
    <w:rsid w:val="3C643726"/>
    <w:rsid w:val="3C9F370F"/>
    <w:rsid w:val="3CAF79B9"/>
    <w:rsid w:val="3CF77B6F"/>
    <w:rsid w:val="3D314871"/>
    <w:rsid w:val="3D35086E"/>
    <w:rsid w:val="3D4C42C2"/>
    <w:rsid w:val="3D4E6832"/>
    <w:rsid w:val="3D8148E3"/>
    <w:rsid w:val="3D8B4C69"/>
    <w:rsid w:val="3D9B60C2"/>
    <w:rsid w:val="3DD32DD1"/>
    <w:rsid w:val="3DDB54C2"/>
    <w:rsid w:val="3E1729ED"/>
    <w:rsid w:val="3E3318C2"/>
    <w:rsid w:val="3E3523E4"/>
    <w:rsid w:val="3E4B09A8"/>
    <w:rsid w:val="3E66112F"/>
    <w:rsid w:val="3E895FE7"/>
    <w:rsid w:val="3E9B7CF7"/>
    <w:rsid w:val="3EA352FB"/>
    <w:rsid w:val="3F312800"/>
    <w:rsid w:val="3F3E15DE"/>
    <w:rsid w:val="3F554271"/>
    <w:rsid w:val="4039795F"/>
    <w:rsid w:val="40C65EC6"/>
    <w:rsid w:val="40F670A3"/>
    <w:rsid w:val="40FF4EC3"/>
    <w:rsid w:val="4112007A"/>
    <w:rsid w:val="41164447"/>
    <w:rsid w:val="415A1F35"/>
    <w:rsid w:val="416261FF"/>
    <w:rsid w:val="4166265B"/>
    <w:rsid w:val="419A1457"/>
    <w:rsid w:val="41B97F86"/>
    <w:rsid w:val="41E27935"/>
    <w:rsid w:val="41EF2605"/>
    <w:rsid w:val="422A32F2"/>
    <w:rsid w:val="42343F31"/>
    <w:rsid w:val="42425239"/>
    <w:rsid w:val="42450E1B"/>
    <w:rsid w:val="4280477A"/>
    <w:rsid w:val="42F75B7B"/>
    <w:rsid w:val="43095949"/>
    <w:rsid w:val="43CE55C4"/>
    <w:rsid w:val="444E06E1"/>
    <w:rsid w:val="445C78F7"/>
    <w:rsid w:val="44A24A01"/>
    <w:rsid w:val="44FA7B26"/>
    <w:rsid w:val="45430DBC"/>
    <w:rsid w:val="455A2C50"/>
    <w:rsid w:val="455E28AF"/>
    <w:rsid w:val="45614D7A"/>
    <w:rsid w:val="457A4E08"/>
    <w:rsid w:val="45982A94"/>
    <w:rsid w:val="45991789"/>
    <w:rsid w:val="45EE0C20"/>
    <w:rsid w:val="45F40A6D"/>
    <w:rsid w:val="460E4796"/>
    <w:rsid w:val="461446D4"/>
    <w:rsid w:val="46334AB0"/>
    <w:rsid w:val="4664486E"/>
    <w:rsid w:val="46794700"/>
    <w:rsid w:val="468579EE"/>
    <w:rsid w:val="468C6015"/>
    <w:rsid w:val="4697017D"/>
    <w:rsid w:val="46DA7553"/>
    <w:rsid w:val="476154E3"/>
    <w:rsid w:val="477A66E7"/>
    <w:rsid w:val="477F0273"/>
    <w:rsid w:val="47906638"/>
    <w:rsid w:val="48434B95"/>
    <w:rsid w:val="487049C9"/>
    <w:rsid w:val="48950C98"/>
    <w:rsid w:val="48BA5CE3"/>
    <w:rsid w:val="48C103F9"/>
    <w:rsid w:val="48F367D8"/>
    <w:rsid w:val="49180694"/>
    <w:rsid w:val="492A1857"/>
    <w:rsid w:val="493D6047"/>
    <w:rsid w:val="495A1A11"/>
    <w:rsid w:val="49766581"/>
    <w:rsid w:val="498E2B50"/>
    <w:rsid w:val="49945F9E"/>
    <w:rsid w:val="49CA1332"/>
    <w:rsid w:val="49CF5A9C"/>
    <w:rsid w:val="49FA20A9"/>
    <w:rsid w:val="4A1C5F45"/>
    <w:rsid w:val="4A263982"/>
    <w:rsid w:val="4A4B786B"/>
    <w:rsid w:val="4A712751"/>
    <w:rsid w:val="4A9C34A5"/>
    <w:rsid w:val="4A9C42D8"/>
    <w:rsid w:val="4AB97C54"/>
    <w:rsid w:val="4AD01990"/>
    <w:rsid w:val="4AD31F88"/>
    <w:rsid w:val="4B4E1182"/>
    <w:rsid w:val="4B582815"/>
    <w:rsid w:val="4B8250FD"/>
    <w:rsid w:val="4C007779"/>
    <w:rsid w:val="4C8C5620"/>
    <w:rsid w:val="4CD755EA"/>
    <w:rsid w:val="4CEB4F5E"/>
    <w:rsid w:val="4D297313"/>
    <w:rsid w:val="4D62409F"/>
    <w:rsid w:val="4D6C2C67"/>
    <w:rsid w:val="4D8A4AF9"/>
    <w:rsid w:val="4D9A471E"/>
    <w:rsid w:val="4DA00909"/>
    <w:rsid w:val="4DEA1FD9"/>
    <w:rsid w:val="4E902F1E"/>
    <w:rsid w:val="4EAC5BC4"/>
    <w:rsid w:val="4ECB1BCC"/>
    <w:rsid w:val="4EDA2B2D"/>
    <w:rsid w:val="4F02323F"/>
    <w:rsid w:val="4F102445"/>
    <w:rsid w:val="4F4F4DFF"/>
    <w:rsid w:val="4F6B59C1"/>
    <w:rsid w:val="4FBC7AB7"/>
    <w:rsid w:val="4FC5585F"/>
    <w:rsid w:val="4FC812D7"/>
    <w:rsid w:val="4FD13FB0"/>
    <w:rsid w:val="4FD56958"/>
    <w:rsid w:val="4FF87563"/>
    <w:rsid w:val="4FFC45E3"/>
    <w:rsid w:val="502C7313"/>
    <w:rsid w:val="505F1638"/>
    <w:rsid w:val="50621842"/>
    <w:rsid w:val="508B1503"/>
    <w:rsid w:val="5112261F"/>
    <w:rsid w:val="51310E43"/>
    <w:rsid w:val="515A7100"/>
    <w:rsid w:val="518646E7"/>
    <w:rsid w:val="51B807F7"/>
    <w:rsid w:val="51C55300"/>
    <w:rsid w:val="524260B9"/>
    <w:rsid w:val="528862DA"/>
    <w:rsid w:val="52DE4E11"/>
    <w:rsid w:val="53211D34"/>
    <w:rsid w:val="53360094"/>
    <w:rsid w:val="534A7FE3"/>
    <w:rsid w:val="53763B7A"/>
    <w:rsid w:val="53A01C3C"/>
    <w:rsid w:val="53AF590E"/>
    <w:rsid w:val="542331C5"/>
    <w:rsid w:val="543B6BBD"/>
    <w:rsid w:val="544D7DE8"/>
    <w:rsid w:val="54866964"/>
    <w:rsid w:val="54A649A8"/>
    <w:rsid w:val="54AB2BCD"/>
    <w:rsid w:val="54BF54F7"/>
    <w:rsid w:val="55061CE8"/>
    <w:rsid w:val="551529FE"/>
    <w:rsid w:val="551E3FFA"/>
    <w:rsid w:val="553152CF"/>
    <w:rsid w:val="55A41C2D"/>
    <w:rsid w:val="55AA2EC6"/>
    <w:rsid w:val="55AC288F"/>
    <w:rsid w:val="55BF6A67"/>
    <w:rsid w:val="566A5882"/>
    <w:rsid w:val="56827D24"/>
    <w:rsid w:val="568C0174"/>
    <w:rsid w:val="56A64EBB"/>
    <w:rsid w:val="56B1265B"/>
    <w:rsid w:val="56C74FEE"/>
    <w:rsid w:val="573F34B0"/>
    <w:rsid w:val="574D286F"/>
    <w:rsid w:val="579969E8"/>
    <w:rsid w:val="57C1773B"/>
    <w:rsid w:val="57E83927"/>
    <w:rsid w:val="5807605B"/>
    <w:rsid w:val="58120FE6"/>
    <w:rsid w:val="5819028C"/>
    <w:rsid w:val="581F55FD"/>
    <w:rsid w:val="58542566"/>
    <w:rsid w:val="585B793F"/>
    <w:rsid w:val="58B033DA"/>
    <w:rsid w:val="58C509B0"/>
    <w:rsid w:val="5909413A"/>
    <w:rsid w:val="59494716"/>
    <w:rsid w:val="597E41BB"/>
    <w:rsid w:val="599B0EF7"/>
    <w:rsid w:val="59A210E1"/>
    <w:rsid w:val="59C93711"/>
    <w:rsid w:val="5A18747F"/>
    <w:rsid w:val="5AB60F49"/>
    <w:rsid w:val="5ABA5A4E"/>
    <w:rsid w:val="5ACC2D05"/>
    <w:rsid w:val="5AF44532"/>
    <w:rsid w:val="5B060C94"/>
    <w:rsid w:val="5B5579B1"/>
    <w:rsid w:val="5B5855BD"/>
    <w:rsid w:val="5B682057"/>
    <w:rsid w:val="5B71045A"/>
    <w:rsid w:val="5BA046DA"/>
    <w:rsid w:val="5BA0637A"/>
    <w:rsid w:val="5BBB21E0"/>
    <w:rsid w:val="5BDF3B3C"/>
    <w:rsid w:val="5C013E42"/>
    <w:rsid w:val="5C20631D"/>
    <w:rsid w:val="5C290ABE"/>
    <w:rsid w:val="5C38691D"/>
    <w:rsid w:val="5C4662D1"/>
    <w:rsid w:val="5C4A4BB0"/>
    <w:rsid w:val="5C5A5A22"/>
    <w:rsid w:val="5CCC2757"/>
    <w:rsid w:val="5CD04451"/>
    <w:rsid w:val="5CD27925"/>
    <w:rsid w:val="5D3055E3"/>
    <w:rsid w:val="5D4D2BAA"/>
    <w:rsid w:val="5D972077"/>
    <w:rsid w:val="5DA87DE0"/>
    <w:rsid w:val="5DB6564D"/>
    <w:rsid w:val="5DFB4CA1"/>
    <w:rsid w:val="5E2E01AD"/>
    <w:rsid w:val="5E3B2604"/>
    <w:rsid w:val="5E484631"/>
    <w:rsid w:val="5E6C1079"/>
    <w:rsid w:val="5ED233AA"/>
    <w:rsid w:val="5F2372A2"/>
    <w:rsid w:val="5F2711D9"/>
    <w:rsid w:val="5F2F2D75"/>
    <w:rsid w:val="5F4F0736"/>
    <w:rsid w:val="5F881C77"/>
    <w:rsid w:val="5FAF6488"/>
    <w:rsid w:val="5FC72C10"/>
    <w:rsid w:val="5FD11739"/>
    <w:rsid w:val="5FE51F93"/>
    <w:rsid w:val="5FFC24B8"/>
    <w:rsid w:val="602E0341"/>
    <w:rsid w:val="60466747"/>
    <w:rsid w:val="605C09DC"/>
    <w:rsid w:val="60C45A9F"/>
    <w:rsid w:val="60D33512"/>
    <w:rsid w:val="60D82F0E"/>
    <w:rsid w:val="6106764A"/>
    <w:rsid w:val="615A3AE7"/>
    <w:rsid w:val="615E1FB9"/>
    <w:rsid w:val="61BA7E7E"/>
    <w:rsid w:val="61E32559"/>
    <w:rsid w:val="61F21D5B"/>
    <w:rsid w:val="624C2B5E"/>
    <w:rsid w:val="62540E71"/>
    <w:rsid w:val="626E176E"/>
    <w:rsid w:val="629A4F01"/>
    <w:rsid w:val="62AA48B3"/>
    <w:rsid w:val="62B14371"/>
    <w:rsid w:val="62E03D88"/>
    <w:rsid w:val="63164E37"/>
    <w:rsid w:val="631B72A6"/>
    <w:rsid w:val="63445D7C"/>
    <w:rsid w:val="634F6442"/>
    <w:rsid w:val="6382626D"/>
    <w:rsid w:val="639674EB"/>
    <w:rsid w:val="63BA4065"/>
    <w:rsid w:val="63FB65F1"/>
    <w:rsid w:val="64021659"/>
    <w:rsid w:val="6454680A"/>
    <w:rsid w:val="64C63A42"/>
    <w:rsid w:val="64CA1C60"/>
    <w:rsid w:val="64E02633"/>
    <w:rsid w:val="64F77CC2"/>
    <w:rsid w:val="651D21E6"/>
    <w:rsid w:val="656A0A8D"/>
    <w:rsid w:val="65A436DE"/>
    <w:rsid w:val="65AE4402"/>
    <w:rsid w:val="65ED4F2A"/>
    <w:rsid w:val="661B2089"/>
    <w:rsid w:val="66371F44"/>
    <w:rsid w:val="66524CAA"/>
    <w:rsid w:val="665A1E94"/>
    <w:rsid w:val="667E025A"/>
    <w:rsid w:val="6687396F"/>
    <w:rsid w:val="66952995"/>
    <w:rsid w:val="66974E96"/>
    <w:rsid w:val="66A32488"/>
    <w:rsid w:val="66AE066E"/>
    <w:rsid w:val="66E322C0"/>
    <w:rsid w:val="670430D4"/>
    <w:rsid w:val="671F73AE"/>
    <w:rsid w:val="674D37A6"/>
    <w:rsid w:val="67581835"/>
    <w:rsid w:val="67633146"/>
    <w:rsid w:val="67714296"/>
    <w:rsid w:val="67F02AB0"/>
    <w:rsid w:val="680E6582"/>
    <w:rsid w:val="685F267C"/>
    <w:rsid w:val="686A2A07"/>
    <w:rsid w:val="689313B3"/>
    <w:rsid w:val="68F62A70"/>
    <w:rsid w:val="690E0431"/>
    <w:rsid w:val="69185200"/>
    <w:rsid w:val="692E7D33"/>
    <w:rsid w:val="693472C5"/>
    <w:rsid w:val="694156DB"/>
    <w:rsid w:val="6942733B"/>
    <w:rsid w:val="69504582"/>
    <w:rsid w:val="698F209E"/>
    <w:rsid w:val="69BC21A0"/>
    <w:rsid w:val="69E15B32"/>
    <w:rsid w:val="6A0012EB"/>
    <w:rsid w:val="6A5B6680"/>
    <w:rsid w:val="6A641533"/>
    <w:rsid w:val="6AA872B1"/>
    <w:rsid w:val="6AC0679A"/>
    <w:rsid w:val="6B1E265E"/>
    <w:rsid w:val="6B7F5C68"/>
    <w:rsid w:val="6BAC3141"/>
    <w:rsid w:val="6BBE1C5E"/>
    <w:rsid w:val="6BBF3AFF"/>
    <w:rsid w:val="6BBF3EAA"/>
    <w:rsid w:val="6BD22543"/>
    <w:rsid w:val="6BDD2BE6"/>
    <w:rsid w:val="6C6D4EE1"/>
    <w:rsid w:val="6C8C08A4"/>
    <w:rsid w:val="6CC87B57"/>
    <w:rsid w:val="6D1C2C7B"/>
    <w:rsid w:val="6D415747"/>
    <w:rsid w:val="6D6C38F4"/>
    <w:rsid w:val="6D7C563B"/>
    <w:rsid w:val="6D877A12"/>
    <w:rsid w:val="6DA952E1"/>
    <w:rsid w:val="6DB90FE6"/>
    <w:rsid w:val="6DCC46D9"/>
    <w:rsid w:val="6DD16EDF"/>
    <w:rsid w:val="6DDC0129"/>
    <w:rsid w:val="6E0639FF"/>
    <w:rsid w:val="6E082FB2"/>
    <w:rsid w:val="6E0F3714"/>
    <w:rsid w:val="6E2C05BA"/>
    <w:rsid w:val="6E4B702B"/>
    <w:rsid w:val="6E5F4961"/>
    <w:rsid w:val="6E693C8C"/>
    <w:rsid w:val="6E6A1466"/>
    <w:rsid w:val="6E8379F2"/>
    <w:rsid w:val="6E924472"/>
    <w:rsid w:val="6E950ADE"/>
    <w:rsid w:val="6E9C6E90"/>
    <w:rsid w:val="6EAD2734"/>
    <w:rsid w:val="6ECF76FC"/>
    <w:rsid w:val="6F474195"/>
    <w:rsid w:val="6F685621"/>
    <w:rsid w:val="6F881820"/>
    <w:rsid w:val="6FBB2A2C"/>
    <w:rsid w:val="6FBC3D4D"/>
    <w:rsid w:val="6FD45E68"/>
    <w:rsid w:val="700B6CDC"/>
    <w:rsid w:val="70134638"/>
    <w:rsid w:val="708E730A"/>
    <w:rsid w:val="7098030B"/>
    <w:rsid w:val="70DD038D"/>
    <w:rsid w:val="711D059B"/>
    <w:rsid w:val="714A6E09"/>
    <w:rsid w:val="71A96CDF"/>
    <w:rsid w:val="71B11CB6"/>
    <w:rsid w:val="71EA1156"/>
    <w:rsid w:val="72477770"/>
    <w:rsid w:val="728539F0"/>
    <w:rsid w:val="72B426FD"/>
    <w:rsid w:val="72DD451C"/>
    <w:rsid w:val="72E14A61"/>
    <w:rsid w:val="73025D8D"/>
    <w:rsid w:val="73156A77"/>
    <w:rsid w:val="731B5BBE"/>
    <w:rsid w:val="73392DA4"/>
    <w:rsid w:val="736019F1"/>
    <w:rsid w:val="7371589F"/>
    <w:rsid w:val="73814F04"/>
    <w:rsid w:val="73C92407"/>
    <w:rsid w:val="73F35DE2"/>
    <w:rsid w:val="741175D7"/>
    <w:rsid w:val="74367A9C"/>
    <w:rsid w:val="744877CF"/>
    <w:rsid w:val="749368DE"/>
    <w:rsid w:val="74CA3D78"/>
    <w:rsid w:val="74E176F9"/>
    <w:rsid w:val="751037AE"/>
    <w:rsid w:val="75413C0B"/>
    <w:rsid w:val="75937C94"/>
    <w:rsid w:val="759D32A9"/>
    <w:rsid w:val="75AC0424"/>
    <w:rsid w:val="75F17865"/>
    <w:rsid w:val="75FF4630"/>
    <w:rsid w:val="76637371"/>
    <w:rsid w:val="76931A05"/>
    <w:rsid w:val="76CA6BC2"/>
    <w:rsid w:val="76CC1AB2"/>
    <w:rsid w:val="76D165F8"/>
    <w:rsid w:val="76E61D03"/>
    <w:rsid w:val="77422856"/>
    <w:rsid w:val="776E1304"/>
    <w:rsid w:val="78525E90"/>
    <w:rsid w:val="785D5FB0"/>
    <w:rsid w:val="78DB3308"/>
    <w:rsid w:val="79770859"/>
    <w:rsid w:val="79C6782D"/>
    <w:rsid w:val="79D030EB"/>
    <w:rsid w:val="79E43495"/>
    <w:rsid w:val="7A205520"/>
    <w:rsid w:val="7A27315F"/>
    <w:rsid w:val="7A432F13"/>
    <w:rsid w:val="7A4713D4"/>
    <w:rsid w:val="7A5D66EA"/>
    <w:rsid w:val="7A754EF7"/>
    <w:rsid w:val="7ACA3EBF"/>
    <w:rsid w:val="7AD8796E"/>
    <w:rsid w:val="7AFE2809"/>
    <w:rsid w:val="7B1834AF"/>
    <w:rsid w:val="7B3B0A80"/>
    <w:rsid w:val="7B6F2020"/>
    <w:rsid w:val="7BD01AD0"/>
    <w:rsid w:val="7BE12CF9"/>
    <w:rsid w:val="7BF41F9E"/>
    <w:rsid w:val="7C3D0E30"/>
    <w:rsid w:val="7C4B6622"/>
    <w:rsid w:val="7C583918"/>
    <w:rsid w:val="7C71234B"/>
    <w:rsid w:val="7D0E6704"/>
    <w:rsid w:val="7D5C596A"/>
    <w:rsid w:val="7DA76A01"/>
    <w:rsid w:val="7DB626A9"/>
    <w:rsid w:val="7DBF6E91"/>
    <w:rsid w:val="7DEF37A0"/>
    <w:rsid w:val="7E031C79"/>
    <w:rsid w:val="7E05032B"/>
    <w:rsid w:val="7E1944B0"/>
    <w:rsid w:val="7E3E252F"/>
    <w:rsid w:val="7E755665"/>
    <w:rsid w:val="7EEF3F40"/>
    <w:rsid w:val="7F2E1278"/>
    <w:rsid w:val="7F536D0A"/>
    <w:rsid w:val="7F9D46F9"/>
    <w:rsid w:val="7FEE4D3D"/>
    <w:rsid w:val="7FFF004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99"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9"/>
    <w:autoRedefine/>
    <w:qFormat/>
    <w:uiPriority w:val="0"/>
    <w:pPr>
      <w:keepNext/>
      <w:numPr>
        <w:ilvl w:val="0"/>
        <w:numId w:val="1"/>
      </w:numPr>
      <w:outlineLvl w:val="0"/>
    </w:pPr>
    <w:rPr>
      <w:b/>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spacing w:line="360" w:lineRule="auto"/>
      <w:ind w:firstLine="480" w:firstLineChars="200"/>
      <w:outlineLvl w:val="2"/>
    </w:pPr>
    <w:rPr>
      <w:rFonts w:ascii="宋体" w:hAnsi="宋体" w:cs="宋体"/>
      <w:sz w:val="24"/>
      <w:lang w:val="zh-CN"/>
    </w:rPr>
  </w:style>
  <w:style w:type="character" w:default="1" w:styleId="27">
    <w:name w:val="Default Paragraph Font"/>
    <w:autoRedefine/>
    <w:semiHidden/>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styleId="5">
    <w:name w:val="table of authorities"/>
    <w:basedOn w:val="1"/>
    <w:next w:val="1"/>
    <w:autoRedefine/>
    <w:semiHidden/>
    <w:qFormat/>
    <w:uiPriority w:val="99"/>
    <w:pPr>
      <w:ind w:left="200" w:leftChars="200"/>
    </w:pPr>
  </w:style>
  <w:style w:type="paragraph" w:styleId="6">
    <w:name w:val="Normal Indent"/>
    <w:basedOn w:val="1"/>
    <w:next w:val="1"/>
    <w:autoRedefine/>
    <w:qFormat/>
    <w:uiPriority w:val="0"/>
    <w:pPr>
      <w:ind w:firstLine="420"/>
    </w:pPr>
    <w:rPr>
      <w:kern w:val="0"/>
      <w:sz w:val="20"/>
    </w:rPr>
  </w:style>
  <w:style w:type="paragraph" w:styleId="7">
    <w:name w:val="annotation text"/>
    <w:basedOn w:val="1"/>
    <w:autoRedefine/>
    <w:qFormat/>
    <w:uiPriority w:val="0"/>
    <w:pPr>
      <w:jc w:val="left"/>
    </w:pPr>
  </w:style>
  <w:style w:type="paragraph" w:styleId="8">
    <w:name w:val="Body Text"/>
    <w:basedOn w:val="1"/>
    <w:next w:val="9"/>
    <w:autoRedefine/>
    <w:qFormat/>
    <w:uiPriority w:val="0"/>
    <w:pPr>
      <w:widowControl/>
      <w:jc w:val="left"/>
    </w:pPr>
    <w:rPr>
      <w:rFonts w:ascii="Tahoma" w:hAnsi="Tahoma"/>
      <w:kern w:val="0"/>
      <w:sz w:val="22"/>
      <w:lang w:val="en-GB"/>
    </w:rPr>
  </w:style>
  <w:style w:type="paragraph" w:customStyle="1" w:styleId="9">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10">
    <w:name w:val="Body Text Indent"/>
    <w:basedOn w:val="1"/>
    <w:next w:val="1"/>
    <w:autoRedefine/>
    <w:qFormat/>
    <w:uiPriority w:val="0"/>
    <w:pPr>
      <w:spacing w:after="120"/>
      <w:ind w:left="420" w:leftChars="200"/>
    </w:pPr>
  </w:style>
  <w:style w:type="paragraph" w:styleId="11">
    <w:name w:val="List 2"/>
    <w:basedOn w:val="1"/>
    <w:next w:val="12"/>
    <w:autoRedefine/>
    <w:qFormat/>
    <w:uiPriority w:val="0"/>
    <w:pPr>
      <w:ind w:left="100" w:leftChars="200" w:hanging="200" w:hangingChars="200"/>
    </w:pPr>
  </w:style>
  <w:style w:type="paragraph" w:styleId="12">
    <w:name w:val="Plain Text"/>
    <w:basedOn w:val="1"/>
    <w:autoRedefine/>
    <w:qFormat/>
    <w:uiPriority w:val="0"/>
    <w:rPr>
      <w:rFonts w:ascii="宋体" w:hAnsi="Courier New"/>
    </w:rPr>
  </w:style>
  <w:style w:type="paragraph" w:styleId="13">
    <w:name w:val="toc 3"/>
    <w:basedOn w:val="1"/>
    <w:next w:val="1"/>
    <w:autoRedefine/>
    <w:qFormat/>
    <w:uiPriority w:val="0"/>
    <w:pPr>
      <w:ind w:left="420"/>
      <w:jc w:val="left"/>
    </w:pPr>
    <w:rPr>
      <w:i/>
      <w:sz w:val="20"/>
    </w:rPr>
  </w:style>
  <w:style w:type="paragraph" w:styleId="14">
    <w:name w:val="Body Text Indent 2"/>
    <w:basedOn w:val="1"/>
    <w:autoRedefine/>
    <w:qFormat/>
    <w:uiPriority w:val="0"/>
    <w:pPr>
      <w:ind w:firstLine="480"/>
    </w:pPr>
    <w:rPr>
      <w:rFonts w:ascii="宋体" w:hAnsi="宋体"/>
      <w:sz w:val="30"/>
      <w:szCs w:val="24"/>
    </w:rPr>
  </w:style>
  <w:style w:type="paragraph" w:styleId="15">
    <w:name w:val="Balloon Text"/>
    <w:basedOn w:val="1"/>
    <w:link w:val="47"/>
    <w:autoRedefine/>
    <w:qFormat/>
    <w:uiPriority w:val="0"/>
    <w:rPr>
      <w:sz w:val="18"/>
      <w:szCs w:val="18"/>
    </w:rPr>
  </w:style>
  <w:style w:type="paragraph" w:styleId="16">
    <w:name w:val="footer"/>
    <w:basedOn w:val="1"/>
    <w:next w:val="1"/>
    <w:link w:val="51"/>
    <w:autoRedefine/>
    <w:qFormat/>
    <w:uiPriority w:val="0"/>
    <w:pPr>
      <w:tabs>
        <w:tab w:val="center" w:pos="4153"/>
        <w:tab w:val="right" w:pos="8306"/>
      </w:tabs>
      <w:snapToGrid w:val="0"/>
      <w:jc w:val="left"/>
    </w:pPr>
    <w:rPr>
      <w:sz w:val="18"/>
    </w:rPr>
  </w:style>
  <w:style w:type="paragraph" w:styleId="17">
    <w:name w:val="header"/>
    <w:basedOn w:val="1"/>
    <w:link w:val="50"/>
    <w:autoRedefine/>
    <w:qFormat/>
    <w:uiPriority w:val="0"/>
    <w:pPr>
      <w:pBdr>
        <w:bottom w:val="single" w:color="auto" w:sz="6" w:space="1"/>
      </w:pBdr>
      <w:tabs>
        <w:tab w:val="center" w:pos="4153"/>
        <w:tab w:val="right" w:pos="8306"/>
      </w:tabs>
      <w:snapToGrid w:val="0"/>
      <w:jc w:val="center"/>
    </w:pPr>
    <w:rPr>
      <w:sz w:val="18"/>
    </w:rPr>
  </w:style>
  <w:style w:type="paragraph" w:styleId="18">
    <w:name w:val="toc 1"/>
    <w:basedOn w:val="1"/>
    <w:next w:val="1"/>
    <w:autoRedefine/>
    <w:qFormat/>
    <w:uiPriority w:val="39"/>
    <w:pPr>
      <w:tabs>
        <w:tab w:val="left" w:pos="1260"/>
        <w:tab w:val="left" w:pos="1685"/>
        <w:tab w:val="right" w:leader="dot" w:pos="8400"/>
      </w:tabs>
      <w:spacing w:line="320" w:lineRule="exact"/>
      <w:ind w:firstLine="280" w:firstLineChars="100"/>
    </w:pPr>
  </w:style>
  <w:style w:type="paragraph" w:styleId="19">
    <w:name w:val="Subtitle"/>
    <w:next w:val="1"/>
    <w:autoRedefine/>
    <w:qFormat/>
    <w:uiPriority w:val="11"/>
    <w:pPr>
      <w:wordWrap w:val="0"/>
      <w:spacing w:after="60"/>
      <w:ind w:left="1024" w:firstLine="18"/>
      <w:jc w:val="center"/>
    </w:pPr>
    <w:rPr>
      <w:rFonts w:ascii="Calibri" w:hAnsi="Calibri" w:eastAsia="宋体" w:cs="Times New Roman"/>
      <w:sz w:val="21"/>
      <w:szCs w:val="22"/>
      <w:lang w:val="en-US" w:eastAsia="zh-CN" w:bidi="ar-SA"/>
    </w:rPr>
  </w:style>
  <w:style w:type="paragraph" w:styleId="20">
    <w:name w:val="List"/>
    <w:basedOn w:val="1"/>
    <w:qFormat/>
    <w:uiPriority w:val="0"/>
    <w:pPr>
      <w:adjustRightInd w:val="0"/>
      <w:spacing w:line="360" w:lineRule="atLeast"/>
      <w:ind w:left="420" w:hanging="420"/>
      <w:jc w:val="left"/>
    </w:pPr>
    <w:rPr>
      <w:rFonts w:hint="eastAsia" w:ascii="宋体"/>
      <w:kern w:val="0"/>
      <w:sz w:val="24"/>
    </w:rPr>
  </w:style>
  <w:style w:type="paragraph" w:styleId="21">
    <w:name w:val="footnote text"/>
    <w:basedOn w:val="1"/>
    <w:autoRedefine/>
    <w:qFormat/>
    <w:uiPriority w:val="0"/>
    <w:pPr>
      <w:snapToGrid w:val="0"/>
      <w:jc w:val="left"/>
    </w:pPr>
    <w:rPr>
      <w:sz w:val="18"/>
    </w:rPr>
  </w:style>
  <w:style w:type="paragraph" w:styleId="22">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23">
    <w:name w:val="Title"/>
    <w:basedOn w:val="1"/>
    <w:link w:val="48"/>
    <w:autoRedefine/>
    <w:qFormat/>
    <w:uiPriority w:val="0"/>
    <w:pPr>
      <w:jc w:val="center"/>
      <w:outlineLvl w:val="0"/>
    </w:pPr>
    <w:rPr>
      <w:rFonts w:ascii="Arial" w:hAnsi="Arial"/>
      <w:b/>
      <w:sz w:val="32"/>
      <w:szCs w:val="22"/>
    </w:rPr>
  </w:style>
  <w:style w:type="paragraph" w:styleId="24">
    <w:name w:val="Body Text First Indent 2"/>
    <w:basedOn w:val="10"/>
    <w:autoRedefine/>
    <w:qFormat/>
    <w:uiPriority w:val="0"/>
    <w:pPr>
      <w:ind w:left="200" w:firstLine="200" w:firstLineChars="200"/>
    </w:p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page number"/>
    <w:basedOn w:val="27"/>
    <w:autoRedefine/>
    <w:qFormat/>
    <w:uiPriority w:val="0"/>
    <w:rPr>
      <w:rFonts w:ascii="Times New Roman" w:hAnsi="Times New Roman" w:eastAsia="宋体" w:cs="Times New Roman"/>
    </w:rPr>
  </w:style>
  <w:style w:type="character" w:styleId="29">
    <w:name w:val="Hyperlink"/>
    <w:basedOn w:val="27"/>
    <w:autoRedefine/>
    <w:qFormat/>
    <w:uiPriority w:val="0"/>
    <w:rPr>
      <w:color w:val="0000FF"/>
      <w:u w:val="single"/>
    </w:rPr>
  </w:style>
  <w:style w:type="paragraph" w:customStyle="1" w:styleId="30">
    <w:name w:val="BodyText"/>
    <w:basedOn w:val="1"/>
    <w:next w:val="31"/>
    <w:qFormat/>
    <w:uiPriority w:val="0"/>
    <w:pPr>
      <w:tabs>
        <w:tab w:val="left" w:pos="780"/>
      </w:tabs>
    </w:pPr>
    <w:rPr>
      <w:rFonts w:ascii="黑体" w:eastAsia="黑体"/>
      <w:sz w:val="22"/>
    </w:rPr>
  </w:style>
  <w:style w:type="paragraph" w:customStyle="1" w:styleId="31">
    <w:name w:val="TOC2"/>
    <w:basedOn w:val="1"/>
    <w:next w:val="1"/>
    <w:autoRedefine/>
    <w:qFormat/>
    <w:uiPriority w:val="0"/>
    <w:pPr>
      <w:spacing w:line="413" w:lineRule="auto"/>
      <w:ind w:left="240" w:leftChars="100" w:firstLineChars="0"/>
      <w:jc w:val="both"/>
      <w:textAlignment w:val="baseline"/>
    </w:pPr>
    <w:rPr>
      <w:rFonts w:ascii="Calibri" w:hAnsi="Calibri" w:eastAsia="仿宋"/>
      <w:kern w:val="2"/>
      <w:sz w:val="24"/>
      <w:szCs w:val="24"/>
      <w:lang w:val="en-US" w:eastAsia="zh-CN" w:bidi="ar-SA"/>
    </w:rPr>
  </w:style>
  <w:style w:type="paragraph" w:customStyle="1" w:styleId="32">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3">
    <w:name w:val="样式1"/>
    <w:basedOn w:val="1"/>
    <w:autoRedefine/>
    <w:qFormat/>
    <w:uiPriority w:val="0"/>
    <w:pPr>
      <w:jc w:val="center"/>
    </w:pPr>
    <w:rPr>
      <w:szCs w:val="30"/>
    </w:rPr>
  </w:style>
  <w:style w:type="paragraph" w:customStyle="1" w:styleId="34">
    <w:name w:val="Table Paragraph"/>
    <w:basedOn w:val="1"/>
    <w:autoRedefine/>
    <w:qFormat/>
    <w:uiPriority w:val="1"/>
    <w:rPr>
      <w:rFonts w:ascii="宋体" w:hAnsi="宋体" w:cs="宋体"/>
      <w:lang w:val="zh-CN" w:bidi="zh-CN"/>
    </w:rPr>
  </w:style>
  <w:style w:type="paragraph" w:customStyle="1" w:styleId="35">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sz w:val="24"/>
    </w:rPr>
  </w:style>
  <w:style w:type="paragraph" w:customStyle="1" w:styleId="36">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styleId="37">
    <w:name w:val="List Paragraph"/>
    <w:basedOn w:val="1"/>
    <w:autoRedefine/>
    <w:qFormat/>
    <w:uiPriority w:val="99"/>
    <w:pPr>
      <w:ind w:firstLine="420" w:firstLineChars="200"/>
    </w:pPr>
    <w:rPr>
      <w:szCs w:val="24"/>
    </w:rPr>
  </w:style>
  <w:style w:type="paragraph" w:styleId="38">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paragraph" w:customStyle="1" w:styleId="39">
    <w:name w:val="正文1"/>
    <w:autoRedefine/>
    <w:qFormat/>
    <w:uiPriority w:val="0"/>
    <w:rPr>
      <w:rFonts w:ascii="Calibri" w:hAnsi="Calibri" w:eastAsia="Times New Roman" w:cs="Times New Roman"/>
      <w:sz w:val="24"/>
      <w:szCs w:val="24"/>
      <w:lang w:val="en-US" w:eastAsia="zh-CN" w:bidi="ar-SA"/>
    </w:rPr>
  </w:style>
  <w:style w:type="paragraph" w:customStyle="1" w:styleId="40">
    <w:name w:val="标题 5（有编号）（绿盟科技）"/>
    <w:basedOn w:val="1"/>
    <w:next w:val="41"/>
    <w:qFormat/>
    <w:uiPriority w:val="99"/>
    <w:pPr>
      <w:keepNext/>
      <w:keepLines/>
      <w:numPr>
        <w:ilvl w:val="4"/>
        <w:numId w:val="2"/>
      </w:numPr>
      <w:spacing w:before="280" w:after="156" w:line="377" w:lineRule="auto"/>
      <w:jc w:val="left"/>
      <w:outlineLvl w:val="4"/>
    </w:pPr>
    <w:rPr>
      <w:rFonts w:ascii="Arial" w:hAnsi="Arial" w:eastAsia="黑体"/>
      <w:b/>
      <w:sz w:val="24"/>
      <w:szCs w:val="28"/>
    </w:rPr>
  </w:style>
  <w:style w:type="paragraph" w:customStyle="1" w:styleId="41">
    <w:name w:val="正文（绿盟科技）"/>
    <w:autoRedefine/>
    <w:qFormat/>
    <w:uiPriority w:val="0"/>
    <w:pPr>
      <w:spacing w:line="300" w:lineRule="auto"/>
    </w:pPr>
    <w:rPr>
      <w:rFonts w:ascii="Arial" w:hAnsi="Arial" w:eastAsia="宋体" w:cs="黑体"/>
      <w:sz w:val="21"/>
      <w:szCs w:val="21"/>
      <w:lang w:val="en-US" w:eastAsia="zh-CN" w:bidi="ar-SA"/>
    </w:rPr>
  </w:style>
  <w:style w:type="paragraph" w:customStyle="1" w:styleId="42">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43">
    <w:name w:val="Char Char Char Char Char Char Char Char Char Char Char Char Char Char1 Char Char Char Char"/>
    <w:basedOn w:val="1"/>
    <w:autoRedefine/>
    <w:qFormat/>
    <w:uiPriority w:val="0"/>
    <w:rPr>
      <w:szCs w:val="21"/>
    </w:rPr>
  </w:style>
  <w:style w:type="character" w:customStyle="1" w:styleId="44">
    <w:name w:val="font21"/>
    <w:basedOn w:val="27"/>
    <w:autoRedefine/>
    <w:qFormat/>
    <w:uiPriority w:val="0"/>
    <w:rPr>
      <w:rFonts w:hint="eastAsia" w:ascii="宋体" w:hAnsi="宋体" w:eastAsia="宋体" w:cs="宋体"/>
      <w:color w:val="000000"/>
      <w:sz w:val="24"/>
      <w:szCs w:val="24"/>
      <w:u w:val="none"/>
    </w:rPr>
  </w:style>
  <w:style w:type="paragraph" w:customStyle="1" w:styleId="45">
    <w:name w:val="段"/>
    <w:next w:val="1"/>
    <w:autoRedefine/>
    <w:qFormat/>
    <w:uiPriority w:val="0"/>
    <w:pPr>
      <w:autoSpaceDE w:val="0"/>
      <w:autoSpaceDN w:val="0"/>
      <w:ind w:firstLine="200"/>
      <w:jc w:val="both"/>
    </w:pPr>
    <w:rPr>
      <w:rFonts w:ascii="宋体" w:hAnsi="Times New Roman" w:eastAsia="宋体" w:cs="Times New Roman"/>
      <w:sz w:val="21"/>
      <w:lang w:val="en-US" w:eastAsia="zh-CN" w:bidi="ar-SA"/>
    </w:rPr>
  </w:style>
  <w:style w:type="character" w:customStyle="1" w:styleId="46">
    <w:name w:val="font01"/>
    <w:basedOn w:val="27"/>
    <w:autoRedefine/>
    <w:qFormat/>
    <w:uiPriority w:val="0"/>
    <w:rPr>
      <w:rFonts w:hint="eastAsia" w:ascii="宋体" w:hAnsi="宋体" w:eastAsia="宋体" w:cs="宋体"/>
      <w:color w:val="000000"/>
      <w:sz w:val="24"/>
      <w:szCs w:val="24"/>
      <w:u w:val="none"/>
    </w:rPr>
  </w:style>
  <w:style w:type="character" w:customStyle="1" w:styleId="47">
    <w:name w:val="批注框文本 Char"/>
    <w:basedOn w:val="27"/>
    <w:link w:val="15"/>
    <w:qFormat/>
    <w:uiPriority w:val="0"/>
    <w:rPr>
      <w:kern w:val="2"/>
      <w:sz w:val="18"/>
      <w:szCs w:val="18"/>
    </w:rPr>
  </w:style>
  <w:style w:type="character" w:customStyle="1" w:styleId="48">
    <w:name w:val="标题 Char"/>
    <w:basedOn w:val="27"/>
    <w:link w:val="23"/>
    <w:qFormat/>
    <w:uiPriority w:val="0"/>
    <w:rPr>
      <w:rFonts w:ascii="Arial" w:hAnsi="Arial"/>
      <w:b/>
      <w:kern w:val="2"/>
      <w:sz w:val="32"/>
      <w:szCs w:val="22"/>
    </w:rPr>
  </w:style>
  <w:style w:type="character" w:customStyle="1" w:styleId="49">
    <w:name w:val="标题 1 Char"/>
    <w:link w:val="2"/>
    <w:qFormat/>
    <w:uiPriority w:val="0"/>
    <w:rPr>
      <w:b/>
      <w:kern w:val="2"/>
      <w:sz w:val="21"/>
    </w:rPr>
  </w:style>
  <w:style w:type="character" w:customStyle="1" w:styleId="50">
    <w:name w:val="页眉 Char"/>
    <w:basedOn w:val="27"/>
    <w:link w:val="17"/>
    <w:qFormat/>
    <w:uiPriority w:val="0"/>
    <w:rPr>
      <w:kern w:val="2"/>
      <w:sz w:val="18"/>
    </w:rPr>
  </w:style>
  <w:style w:type="character" w:customStyle="1" w:styleId="51">
    <w:name w:val="页脚 Char"/>
    <w:basedOn w:val="27"/>
    <w:link w:val="16"/>
    <w:qFormat/>
    <w:uiPriority w:val="0"/>
    <w:rPr>
      <w:kern w:val="2"/>
      <w:sz w:val="18"/>
    </w:rPr>
  </w:style>
  <w:style w:type="paragraph" w:customStyle="1" w:styleId="52">
    <w:name w:val="样式 标题 2 + Times New Roman 四号 非加粗 段前: 5 磅 段后: 0 磅 行距: 固定值 20..."/>
    <w:basedOn w:val="3"/>
    <w:qFormat/>
    <w:uiPriority w:val="0"/>
    <w:pPr>
      <w:spacing w:before="100" w:beforeLines="0" w:after="0" w:afterLines="0" w:line="400" w:lineRule="exact"/>
    </w:pPr>
    <w:rPr>
      <w:rFonts w:ascii="Times New Roman" w:hAnsi="Times New Roman" w:cs="宋体"/>
      <w:b w:val="0"/>
      <w:sz w:val="28"/>
      <w:szCs w:val="20"/>
    </w:rPr>
  </w:style>
  <w:style w:type="table" w:customStyle="1" w:styleId="53">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png"/><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32"/>
    <customShpInfo spid="_x0000_s1031"/>
    <customShpInfo spid="_x0000_s1030"/>
    <customShpInfo spid="_x0000_s1029"/>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78</Pages>
  <Words>21572</Words>
  <Characters>23660</Characters>
  <Lines>311</Lines>
  <Paragraphs>87</Paragraphs>
  <TotalTime>1</TotalTime>
  <ScaleCrop>false</ScaleCrop>
  <LinksUpToDate>false</LinksUpToDate>
  <CharactersWithSpaces>24148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2020-07-28T08:49:00Z</dcterms:created>
  <dc:creator>Administrator</dc:creator>
  <cp:lastModifiedBy>彭琴</cp:lastModifiedBy>
  <cp:lastPrinted>2025-03-27T07:26:00Z</cp:lastPrinted>
  <dcterms:modified xsi:type="dcterms:W3CDTF">2025-04-02T08:37:16Z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60B6085B0D9340A0BE3155865198CAEF</vt:lpwstr>
  </property>
  <property fmtid="{D5CDD505-2E9C-101B-9397-08002B2CF9AE}" pid="4" name="KSOTemplateDocerSaveRecord">
    <vt:lpwstr>eyJoZGlkIjoiMjk4ZWZhMDUzNzg2NWU2MWVlNDhmMTJhNzYxZWJiMzMiLCJ1c2VySWQiOiIxNDU3NjUyMjk5In0=</vt:lpwstr>
  </property>
</Properties>
</file>