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HTFZGK-2024007-1</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项目名称：</w:t>
      </w:r>
      <w:r>
        <w:rPr>
          <w:rFonts w:hint="eastAsia" w:cs="宋体"/>
          <w:color w:val="auto"/>
          <w:sz w:val="36"/>
          <w:szCs w:val="36"/>
          <w:highlight w:val="none"/>
          <w:lang w:eastAsia="zh-CN"/>
        </w:rPr>
        <w:t>博尔塔拉蒙古自治州蒙医医院医疗检测能力提升项目A包</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lang w:eastAsia="zh-CN"/>
        </w:rPr>
        <w:t>博尔塔拉蒙古自治州蒙医医院</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lang w:eastAsia="zh-CN"/>
        </w:rPr>
        <w:t>新疆慧通方舟工程管理服务有限公司</w:t>
      </w:r>
    </w:p>
    <w:p>
      <w:pPr>
        <w:rPr>
          <w:rFonts w:hint="eastAsia" w:ascii="宋体" w:hAnsi="宋体" w:eastAsia="宋体" w:cs="宋体"/>
          <w:color w:val="auto"/>
          <w:sz w:val="36"/>
          <w:szCs w:val="36"/>
          <w:highlight w:val="none"/>
          <w:lang w:eastAsia="zh-CN"/>
        </w:rPr>
      </w:pPr>
    </w:p>
    <w:p>
      <w:pPr>
        <w:rPr>
          <w:rFonts w:hint="eastAsia" w:ascii="宋体" w:hAnsi="宋体" w:eastAsia="宋体" w:cs="宋体"/>
          <w:color w:val="auto"/>
          <w:sz w:val="36"/>
          <w:szCs w:val="36"/>
          <w:highlight w:val="none"/>
          <w:lang w:eastAsia="zh-CN"/>
        </w:rPr>
      </w:pP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2024年8月</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rPr>
        <w:sectPr>
          <w:footerReference r:id="rId3" w:type="default"/>
          <w:pgSz w:w="11906" w:h="16839"/>
          <w:pgMar w:top="1134" w:right="1134" w:bottom="1134" w:left="1134" w:header="0" w:footer="870" w:gutter="0"/>
          <w:cols w:space="720" w:num="1"/>
        </w:sect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第一章 招标公告</w:t>
      </w:r>
    </w:p>
    <w:p>
      <w:pPr>
        <w:jc w:val="center"/>
        <w:rPr>
          <w:rFonts w:hint="eastAsia" w:ascii="宋体" w:hAnsi="宋体" w:eastAsia="宋体" w:cs="宋体"/>
          <w:color w:val="auto"/>
          <w:sz w:val="44"/>
          <w:szCs w:val="44"/>
          <w:highlight w:val="none"/>
        </w:rPr>
      </w:pPr>
      <w:bookmarkStart w:id="0" w:name="  招标公告"/>
      <w:bookmarkEnd w:id="0"/>
      <w:r>
        <w:rPr>
          <w:rFonts w:hint="eastAsia" w:ascii="宋体" w:hAnsi="宋体" w:eastAsia="宋体" w:cs="宋体"/>
          <w:color w:val="auto"/>
          <w:sz w:val="44"/>
          <w:szCs w:val="44"/>
          <w:highlight w:val="none"/>
        </w:rPr>
        <w:t>招标公告</w:t>
      </w:r>
    </w:p>
    <w:p>
      <w:pPr>
        <w:ind w:firstLine="480" w:firstLineChars="200"/>
        <w:rPr>
          <w:rFonts w:hint="eastAsia" w:ascii="宋体" w:hAnsi="宋体" w:eastAsia="宋体" w:cs="宋体"/>
          <w:color w:val="auto"/>
          <w:sz w:val="24"/>
          <w:szCs w:val="24"/>
          <w:highlight w:val="none"/>
        </w:rPr>
      </w:pPr>
      <w:bookmarkStart w:id="1" w:name="项目概况"/>
      <w:bookmarkEnd w:id="1"/>
      <w:r>
        <w:rPr>
          <w:rFonts w:hint="eastAsia" w:ascii="宋体" w:hAnsi="宋体" w:eastAsia="宋体" w:cs="宋体"/>
          <w:color w:val="auto"/>
          <w:sz w:val="24"/>
          <w:szCs w:val="24"/>
          <w:highlight w:val="none"/>
        </w:rPr>
        <w:t>项目概况</w:t>
      </w:r>
    </w:p>
    <w:p>
      <w:pPr>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博尔塔拉蒙古自治州蒙医医院医疗检测能力提升项目A包</w:t>
      </w:r>
      <w:r>
        <w:rPr>
          <w:rFonts w:hint="eastAsia" w:ascii="宋体" w:hAnsi="宋体" w:eastAsia="宋体" w:cs="宋体"/>
          <w:color w:val="auto"/>
          <w:sz w:val="24"/>
          <w:szCs w:val="24"/>
          <w:highlight w:val="none"/>
        </w:rPr>
        <w:t>采购项目的潜在投标人应在新疆政府采购网政采云平台（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）获取招标文件，并于2024年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点00分（北京时间）前递交投标文件。</w:t>
      </w:r>
      <w:bookmarkStart w:id="2" w:name="一、项目基本情况"/>
      <w:bookmarkEnd w:id="2"/>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HTFZGK-2024007-1</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博尔塔拉蒙古自治州蒙医医院医疗检测能力提升项目A包</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3600000</w:t>
      </w:r>
      <w:r>
        <w:rPr>
          <w:rFonts w:hint="eastAsia" w:ascii="宋体" w:hAnsi="宋体" w:eastAsia="宋体" w:cs="宋体"/>
          <w:color w:val="auto"/>
          <w:sz w:val="24"/>
          <w:szCs w:val="24"/>
          <w:highlight w:val="none"/>
        </w:rPr>
        <w:t xml:space="preserve">.00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3600000</w:t>
      </w:r>
      <w:r>
        <w:rPr>
          <w:rFonts w:hint="eastAsia" w:ascii="宋体" w:hAnsi="宋体" w:eastAsia="宋体" w:cs="宋体"/>
          <w:color w:val="auto"/>
          <w:sz w:val="24"/>
          <w:szCs w:val="24"/>
          <w:highlight w:val="none"/>
        </w:rPr>
        <w:t>.00</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采购需求：采购博州</w:t>
      </w:r>
      <w:r>
        <w:rPr>
          <w:rFonts w:hint="eastAsia" w:ascii="宋体" w:hAnsi="宋体" w:eastAsia="宋体" w:cs="宋体"/>
          <w:color w:val="auto"/>
          <w:sz w:val="24"/>
          <w:szCs w:val="24"/>
          <w:highlight w:val="none"/>
          <w:lang w:eastAsia="zh-CN"/>
        </w:rPr>
        <w:t>蒙医医院医数字化医用X射线摄影系统一套、 多功能数字胃肠机(DRF)一套</w:t>
      </w:r>
      <w:r>
        <w:rPr>
          <w:rFonts w:hint="eastAsia" w:ascii="宋体" w:hAnsi="宋体" w:eastAsia="宋体" w:cs="宋体"/>
          <w:color w:val="auto"/>
          <w:sz w:val="24"/>
          <w:szCs w:val="24"/>
          <w:highlight w:val="none"/>
        </w:rPr>
        <w:t>，详见招标文件。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合同履行期限：签订合同后15个工作日内供货安装并交付使用。</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bCs/>
          <w:color w:val="auto"/>
          <w:sz w:val="24"/>
          <w:szCs w:val="24"/>
          <w:highlight w:val="none"/>
        </w:rPr>
        <w:t>不接受</w:t>
      </w:r>
      <w:r>
        <w:rPr>
          <w:rFonts w:hint="eastAsia" w:ascii="宋体" w:hAnsi="宋体" w:eastAsia="宋体" w:cs="宋体"/>
          <w:color w:val="auto"/>
          <w:sz w:val="24"/>
          <w:szCs w:val="24"/>
          <w:highlight w:val="none"/>
        </w:rPr>
        <w:t>联合体投标。</w:t>
      </w:r>
    </w:p>
    <w:p>
      <w:pPr>
        <w:rPr>
          <w:rFonts w:hint="eastAsia" w:ascii="宋体" w:hAnsi="宋体" w:eastAsia="宋体" w:cs="宋体"/>
          <w:color w:val="auto"/>
          <w:sz w:val="24"/>
          <w:szCs w:val="24"/>
          <w:highlight w:val="none"/>
        </w:rPr>
      </w:pPr>
      <w:bookmarkStart w:id="3" w:name="二、申请人的资格要求："/>
      <w:bookmarkEnd w:id="3"/>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 年第 16 号）；（5）财政部、工业和信息化部《关于印发《政府采购促进中小企业发展管理办法》的通知》（财库[2020]46 号文）、《关于进一步加大政府采购支持中小企业力度的通知》（财库〔2022〕19 号）；（6） 财政部、民政部、中国残疾人联合会《关于促进残疾人就业政府采购政策的通知》（财库[2017]141号）；（7）财政部、司法部《关于政府采购支持监狱企业发展有关问题的通知》（财库[2014]68号文）</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（1）投标人须具有独立法人资格，须是中华人民共和国境内注册，持有有效的企业营业执照、组织机构代码证、税务登记证（或三证合一的营业执照）；</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投标人须具备有效的医疗器械生产（经营）许可证，且具备第二类医疗器械经营备案凭证（适用第二类医疗器械）或第三类医疗器械经营备案凭证（适用第三类医疗器械）；</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如在“信用中国”网站（www.creditchina.gov.cn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被列入失信被执行人、重大税收违法案件当事人名单、政府采购严重违法失信行为记录名单的（尚在处罚期内的），将拒绝其参本次政府采购活动（查询结果日期在发布公告日期之后）。</w:t>
      </w:r>
      <w:bookmarkStart w:id="4" w:name="三、获取招标文件"/>
      <w:bookmarkEnd w:id="4"/>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时间：2024 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日至 2024年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日，每天上午 00:00 至 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:00，下午 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:00 至 23:59（北京时间，法定节假日除外）</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地点：新疆政府采购网政采云平台（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方式：供应商登录政采云平台在线申请获取采购文件（进入“项目采购”应用，在获取采购文件菜单中选择项目，申请获取采购文件）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p>
    <w:p>
      <w:pPr>
        <w:rPr>
          <w:rFonts w:hint="eastAsia" w:ascii="宋体" w:hAnsi="宋体" w:eastAsia="宋体" w:cs="宋体"/>
          <w:color w:val="auto"/>
          <w:sz w:val="24"/>
          <w:szCs w:val="24"/>
          <w:highlight w:val="none"/>
        </w:rPr>
      </w:pPr>
      <w:bookmarkStart w:id="5" w:name="四、提交投标文件截止时间、开标时间和地点"/>
      <w:bookmarkEnd w:id="5"/>
      <w:r>
        <w:rPr>
          <w:rFonts w:hint="eastAsia" w:ascii="宋体" w:hAnsi="宋体" w:eastAsia="宋体" w:cs="宋体"/>
          <w:color w:val="auto"/>
          <w:sz w:val="24"/>
          <w:szCs w:val="24"/>
          <w:highlight w:val="none"/>
        </w:rPr>
        <w:t>四、提交投标文件截止时间、开标时间和地点</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投标文件截止时间：2024 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点00分（北京时间）</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投标地点：请使用CA数字证书登录政采云平台（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）上传加密版投标文件。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开标时间：2024 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点00分（北京时间）</w:t>
      </w:r>
    </w:p>
    <w:p>
      <w:pPr>
        <w:ind w:left="480" w:leftChars="218" w:firstLine="0" w:firstLineChars="0"/>
        <w:rPr>
          <w:rFonts w:hint="eastAsia" w:ascii="宋体" w:hAnsi="宋体" w:eastAsia="宋体" w:cs="宋体"/>
          <w:color w:val="auto"/>
          <w:sz w:val="24"/>
          <w:szCs w:val="24"/>
          <w:highlight w:val="none"/>
        </w:rPr>
      </w:pPr>
      <w:bookmarkStart w:id="6" w:name="开标地点：新疆政府采购网政采云平台（http://www.ccgp-xinjia"/>
      <w:bookmarkEnd w:id="6"/>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新疆政府采购网政采云平台（http://www.ccgp-xinjiang.gov.cn/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bookmarkStart w:id="7" w:name="五、公告期限"/>
      <w:bookmarkEnd w:id="7"/>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六、其他补充事宜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1、本次采购采用电子招投标，电子交易平台为“政府采购云平（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"http://www.zcygov.cn/"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本项目电子交易活动前，应注册成为政府采购云平台供应商。编制电子投标文件前还需申领CA证书并绑定帐号，因未注册入库、未办理CA数字证书等原因造成无法投标或投标失败等后果由供应商自行承担。</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3、特别提示：</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超过200万元的货物和服务采购项目、超过400万元的工程采购项目中适宜由中小企业提供的，预留该部分采购项目预算总额的40%以上专门面向中小企业采购，其中预留给小微企业的比例不低于70%。</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 采用综合评估法但未采用低价优先法计算价格分的，评标时应当在采用原报价进行评分的基础上增加其价格得分的6%~10%作为其价格分。</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rPr>
          <w:rFonts w:hint="eastAsia" w:ascii="宋体" w:hAnsi="宋体" w:eastAsia="宋体" w:cs="宋体"/>
          <w:color w:val="auto"/>
          <w:sz w:val="24"/>
          <w:szCs w:val="24"/>
          <w:highlight w:val="none"/>
        </w:rPr>
      </w:pPr>
      <w:bookmarkStart w:id="8" w:name="七、对本次招标提出询问，请按以下方式联系。"/>
      <w:bookmarkEnd w:id="8"/>
      <w:r>
        <w:rPr>
          <w:rFonts w:hint="eastAsia" w:ascii="宋体" w:hAnsi="宋体" w:eastAsia="宋体" w:cs="宋体"/>
          <w:color w:val="auto"/>
          <w:sz w:val="24"/>
          <w:szCs w:val="24"/>
          <w:highlight w:val="none"/>
        </w:rPr>
        <w:t>七、对本次招标提出询问，请按以下方式联系。</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采购人信息</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博尔塔拉蒙古自治州蒙医医院</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址：博乐市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奥尔曼</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0909-2286018</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新疆慧通方舟工程管理服务有限公司</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博乐市南城土尔扈特路供销新合大酒店4楼8413室</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18809091037</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王河江</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18809091037</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tbl>
      <w:tblPr>
        <w:tblStyle w:val="10"/>
        <w:tblpPr w:leftFromText="180" w:rightFromText="180" w:vertAnchor="page" w:horzAnchor="page" w:tblpX="1184" w:tblpY="1776"/>
        <w:tblOverlap w:val="never"/>
        <w:tblW w:w="96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7"/>
        <w:gridCol w:w="2295"/>
        <w:gridCol w:w="6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00" w:type="dxa"/>
            <w:gridSpan w:val="3"/>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 xml:space="preserve">章 </w:t>
            </w:r>
            <w:r>
              <w:rPr>
                <w:rFonts w:hint="eastAsia" w:ascii="宋体" w:hAnsi="宋体" w:eastAsia="宋体" w:cs="宋体"/>
                <w:color w:val="auto"/>
                <w:sz w:val="44"/>
                <w:szCs w:val="44"/>
                <w:highlight w:val="none"/>
                <w:lang w:val="en-US" w:eastAsia="zh-CN"/>
              </w:rPr>
              <w:t>投标人须知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295" w:type="dxa"/>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项目内容</w:t>
            </w:r>
          </w:p>
        </w:tc>
        <w:tc>
          <w:tcPr>
            <w:tcW w:w="6118" w:type="dxa"/>
            <w:tcBorders>
              <w:top w:val="single" w:color="000000" w:sz="2" w:space="0"/>
              <w:left w:val="single" w:color="000000" w:sz="2" w:space="0"/>
              <w:right w:val="single" w:color="000000" w:sz="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名</w:t>
            </w:r>
            <w:r>
              <w:rPr>
                <w:rFonts w:hint="eastAsia" w:ascii="宋体" w:hAnsi="宋体" w:eastAsia="宋体" w:cs="宋体"/>
                <w:color w:val="auto"/>
                <w:highlight w:val="none"/>
              </w:rPr>
              <w:tab/>
            </w:r>
            <w:r>
              <w:rPr>
                <w:rFonts w:hint="eastAsia" w:ascii="宋体" w:hAnsi="宋体" w:eastAsia="宋体" w:cs="宋体"/>
                <w:color w:val="auto"/>
                <w:highlight w:val="none"/>
              </w:rPr>
              <w:t>称：</w:t>
            </w:r>
            <w:r>
              <w:rPr>
                <w:rFonts w:hint="eastAsia" w:ascii="宋体" w:hAnsi="宋体" w:eastAsia="宋体" w:cs="宋体"/>
                <w:color w:val="auto"/>
                <w:highlight w:val="none"/>
                <w:lang w:eastAsia="zh-CN"/>
              </w:rPr>
              <w:t>博尔塔拉蒙古自治州蒙医医院</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址：博乐市</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奥尔曼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lang w:eastAsia="zh-CN"/>
              </w:rPr>
              <w:t>0909-2286018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名</w:t>
            </w:r>
            <w:r>
              <w:rPr>
                <w:rFonts w:hint="eastAsia" w:ascii="宋体" w:hAnsi="宋体" w:eastAsia="宋体" w:cs="宋体"/>
                <w:color w:val="auto"/>
                <w:highlight w:val="none"/>
              </w:rPr>
              <w:tab/>
            </w:r>
            <w:r>
              <w:rPr>
                <w:rFonts w:hint="eastAsia" w:ascii="宋体" w:hAnsi="宋体" w:eastAsia="宋体" w:cs="宋体"/>
                <w:color w:val="auto"/>
                <w:highlight w:val="none"/>
              </w:rPr>
              <w:t>称：</w:t>
            </w:r>
            <w:r>
              <w:rPr>
                <w:rFonts w:hint="eastAsia" w:ascii="宋体" w:hAnsi="宋体" w:eastAsia="宋体" w:cs="宋体"/>
                <w:color w:val="auto"/>
                <w:highlight w:val="none"/>
                <w:lang w:eastAsia="zh-CN"/>
              </w:rPr>
              <w:t>新疆慧通方舟工程管理服务有限公司</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highlight w:val="none"/>
                <w:lang w:eastAsia="zh-CN"/>
              </w:rPr>
              <w:t>博乐市南城土尔扈特路供销新合大酒店</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4楼8413室</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王河江</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lang w:eastAsia="zh-CN"/>
              </w:rPr>
              <w:t>18809091037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cs="宋体"/>
                <w:color w:val="auto"/>
                <w:highlight w:val="none"/>
                <w:lang w:eastAsia="zh-CN"/>
              </w:rPr>
              <w:t>博尔塔拉蒙古自治州蒙医医院医疗检测能力提升项目A包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采购方式</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采购预算价（元）</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3600000</w:t>
            </w:r>
            <w:r>
              <w:rPr>
                <w:rFonts w:hint="eastAsia" w:ascii="宋体" w:hAnsi="宋体" w:eastAsia="宋体" w:cs="宋体"/>
                <w:color w:val="auto"/>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采购限价（元）</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3600000</w:t>
            </w:r>
            <w:r>
              <w:rPr>
                <w:rFonts w:hint="eastAsia" w:ascii="宋体" w:hAnsi="宋体" w:eastAsia="宋体" w:cs="宋体"/>
                <w:color w:val="auto"/>
                <w:highlight w:val="none"/>
              </w:rPr>
              <w:t>.00（如超过</w:t>
            </w:r>
            <w:r>
              <w:rPr>
                <w:rFonts w:hint="eastAsia" w:ascii="宋体" w:hAnsi="宋体" w:eastAsia="宋体" w:cs="宋体"/>
                <w:color w:val="auto"/>
                <w:highlight w:val="none"/>
                <w:lang w:val="en-US" w:eastAsia="zh-CN"/>
              </w:rPr>
              <w:t>限</w:t>
            </w:r>
            <w:r>
              <w:rPr>
                <w:rFonts w:hint="eastAsia" w:ascii="宋体" w:hAnsi="宋体" w:eastAsia="宋体" w:cs="宋体"/>
                <w:color w:val="auto"/>
                <w:highlight w:val="none"/>
              </w:rPr>
              <w:t>价的按废标处理）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采购博州</w:t>
            </w:r>
            <w:r>
              <w:rPr>
                <w:rFonts w:hint="eastAsia" w:ascii="宋体" w:hAnsi="宋体" w:eastAsia="宋体" w:cs="宋体"/>
                <w:color w:val="auto"/>
                <w:highlight w:val="none"/>
                <w:lang w:eastAsia="zh-CN"/>
              </w:rPr>
              <w:t>蒙医医院医数字化医用X射线摄影系统一套、 多功能数字胃肠机(DRF)一套</w:t>
            </w:r>
            <w:r>
              <w:rPr>
                <w:rFonts w:hint="eastAsia" w:ascii="宋体" w:hAnsi="宋体" w:eastAsia="宋体" w:cs="宋体"/>
                <w:color w:val="auto"/>
                <w:highlight w:val="none"/>
              </w:rPr>
              <w:t>，详见招标文件。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签订合同后15个工作日内供货安装并交付使用。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供货地点</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供货指标</w:t>
            </w:r>
          </w:p>
        </w:tc>
        <w:tc>
          <w:tcPr>
            <w:tcW w:w="6118" w:type="dxa"/>
            <w:tcBorders>
              <w:left w:val="single" w:color="000000" w:sz="2" w:space="0"/>
              <w:right w:val="single" w:color="000000" w:sz="2" w:space="0"/>
            </w:tcBorders>
            <w:noWrap w:val="0"/>
            <w:vAlign w:val="top"/>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合格</w:t>
            </w:r>
            <w:r>
              <w:rPr>
                <w:rFonts w:hint="eastAsia" w:cs="宋体"/>
                <w:color w:val="auto"/>
                <w:highlight w:val="none"/>
                <w:lang w:eastAsia="zh-CN"/>
              </w:rPr>
              <w:t>，</w:t>
            </w:r>
            <w:r>
              <w:rPr>
                <w:rFonts w:hint="eastAsia" w:cs="宋体"/>
                <w:color w:val="auto"/>
                <w:highlight w:val="none"/>
                <w:lang w:val="en-US" w:eastAsia="zh-CN"/>
              </w:rPr>
              <w:t>满足第三章采购需求内容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所属行业</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资质要求：（1）投标人须具有独立法人资格，须是中华人民共和国境内注册，持有有效的企业营业执照、组织机构代码证、税务登记证（ 或三证合一的营业执照）；</w:t>
            </w:r>
          </w:p>
          <w:p>
            <w:pPr>
              <w:rPr>
                <w:rFonts w:hint="eastAsia" w:ascii="宋体" w:hAnsi="宋体" w:eastAsia="宋体" w:cs="宋体"/>
                <w:color w:val="auto"/>
                <w:highlight w:val="none"/>
              </w:rPr>
            </w:pPr>
            <w:r>
              <w:rPr>
                <w:rFonts w:hint="eastAsia" w:ascii="宋体" w:hAnsi="宋体" w:eastAsia="宋体" w:cs="宋体"/>
                <w:color w:val="auto"/>
                <w:highlight w:val="none"/>
              </w:rPr>
              <w:t>（2）投标人须具备有效的医疗器械生产（经营）许可证，且具备第二类医疗器械经营备案凭证（适用第二类医疗器械）或第三类医疗器械经营备案凭证（适用第三类医疗器械）；</w:t>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（3）如在“信用中国”网站（www.creditchina.gov.cn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）、中国政</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府采购网（www.ccgp.gov.cn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）被列入失信被执行人、重大税收违法案件当事人名单、政府采购严重违法失信行为记录名单的（尚在处罚期内的），将拒绝其参本次政府采购活动（查询结果日期在发布公告日期之后）。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是否接受联合体投标</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14</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是否允许转包/分包</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p>
          <w:p>
            <w:pPr>
              <w:rPr>
                <w:rFonts w:hint="eastAsia" w:ascii="宋体" w:hAnsi="宋体" w:eastAsia="宋体" w:cs="宋体"/>
                <w:color w:val="auto"/>
                <w:highlight w:val="none"/>
              </w:rPr>
            </w:pPr>
            <w:r>
              <w:rPr>
                <w:rFonts w:hint="eastAsia" w:ascii="宋体" w:hAnsi="宋体" w:eastAsia="宋体" w:cs="宋体"/>
                <w:color w:val="auto"/>
                <w:highlight w:val="none"/>
              </w:rPr>
              <w:t>转包/分包内容：  /</w:t>
            </w:r>
            <w:r>
              <w:rPr>
                <w:rFonts w:hint="eastAsia" w:ascii="宋体" w:hAnsi="宋体" w:eastAsia="宋体" w:cs="宋体"/>
                <w:color w:val="auto"/>
                <w:highlight w:val="none"/>
              </w:rPr>
              <w:tab/>
            </w:r>
            <w:r>
              <w:rPr>
                <w:rFonts w:hint="eastAsia" w:ascii="宋体" w:hAnsi="宋体" w:eastAsia="宋体" w:cs="宋体"/>
                <w:color w:val="auto"/>
                <w:highlight w:val="none"/>
              </w:rPr>
              <w:t>。</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转包/分包金额或者比例：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15</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媒体发布渠道</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与本项目相关的政府采购业务澄清、更正及与之相关的事项将在新疆政府采购网政采云平台（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16</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现场踏勘</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本项目招标人不统一组织踏勘。投标人如有需要可自行前往，投标人踏勘现场发生的费用自理。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17</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资格证明文件组成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 供应商为法人或者其他组织的提供其营业执照等证明文件 (如营业执照或者事业单位法人证书或者执业许可证等)，供应商为自然人的提供其身份证复印件；(必须提供，否则作无效响应处理)</w:t>
            </w:r>
          </w:p>
          <w:p>
            <w:pPr>
              <w:rPr>
                <w:rFonts w:hint="eastAsia" w:ascii="宋体" w:hAnsi="宋体" w:eastAsia="宋体" w:cs="宋体"/>
                <w:color w:val="auto"/>
                <w:highlight w:val="none"/>
              </w:rPr>
            </w:pPr>
            <w:r>
              <w:rPr>
                <w:rFonts w:hint="eastAsia" w:ascii="宋体" w:hAnsi="宋体" w:eastAsia="宋体" w:cs="宋体"/>
                <w:color w:val="auto"/>
                <w:highlight w:val="none"/>
              </w:rPr>
              <w:t>2.(采购人或采购代理机构根据采购公告对应的特定资格要求及特定条件设置供应商提供的资格证明材料)；(必须提供，否则响应文件按无效响应处理)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注：以上标明“必须提供”的材料属于复印件的扫描件的，必须加盖供应商电子公章，否则响应文件按无效响应处理。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18</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商务文件组成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法定代表人身份证明书及法定代表人有效身份证正反面复印件；  (除自然人竞标外必须提供，否则响应文件按无效响应处理)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法定代表人授权委托书及委托代理人有效身份证正反面复印件；  (委托时必须提供，否则响应文件按无效响应处理)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商务条款偏离表；(必须提供，否则响应文件按无效响应处理)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投标人情况介绍；</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投标人类似业绩的证明文件（如有）</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供应商认为需要提供的其他有关资料。</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中小企业声明函。(请根据要求上传《中小企业声明函》，大型企业无需  提供。格式以采购文件要求为准。)</w:t>
            </w:r>
          </w:p>
          <w:p>
            <w:pPr>
              <w:rPr>
                <w:rFonts w:hint="eastAsia" w:ascii="宋体" w:hAnsi="宋体" w:eastAsia="宋体" w:cs="宋体"/>
                <w:color w:val="auto"/>
                <w:highlight w:val="none"/>
              </w:rPr>
            </w:pPr>
            <w:r>
              <w:rPr>
                <w:rFonts w:hint="eastAsia" w:ascii="宋体" w:hAnsi="宋体" w:eastAsia="宋体" w:cs="宋体"/>
                <w:color w:val="auto"/>
                <w:highlight w:val="none"/>
              </w:rPr>
              <w:t>注：法定代表人授权委托书必须由法定代表人及委托代理人签字，并加盖供应商公章，否则响应文件按无效响应处理。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以上标明“必须提供”的材料属于复印件的扫描件的，必须加盖</w:t>
            </w:r>
          </w:p>
        </w:tc>
      </w:tr>
    </w:tbl>
    <w:tbl>
      <w:tblPr>
        <w:tblStyle w:val="10"/>
        <w:tblpPr w:leftFromText="180" w:rightFromText="180" w:vertAnchor="text" w:horzAnchor="page" w:tblpX="1202" w:tblpY="4049"/>
        <w:tblOverlap w:val="never"/>
        <w:tblW w:w="96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2280"/>
        <w:gridCol w:w="6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19</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技术文件组成</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货物需求偏离表；(必须提供，否则响应文件按无效响应处理)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设备清单表；(必须提供，否则响应文件按无效响应处理)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售后服务承诺、货物配送方案；(必须提供，否则响应文件按无效响应处理)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投标设备技术对比；</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产品详细参数及服务方案。（投标人应提供技术、主要设备、成套设备、设备附件和设备备件的详细技术要求规格，具体内容可按照项目上的要求注明。或提供产品生产厂家的产品目录和所有产品的产品说明书（使用说明书和技术规格说明书），产品说明书应与货物清单上所列的产品规格型号完全一致。）</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技术支持、售后服务和培训计划</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供应商认为需要提供的其他有关资料</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产品相关检测报告</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主要负责人、售后人员简历介绍</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注：以上标明“必须提供”的材料属于复印件的扫描件的，必须加盖供应商电子公章， 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20</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报价文件组成</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投标函；(必须提供，否则作无效响应处理)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开标一览表；(必须提供，否则响应文件按无效响应处理)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21</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投标报价要求</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报价必须包含满足本次竞标全部采购需求所应提供的货物，以及伴随的服务和工程（如有）的价格；包含竞标货物、备品备件、工程的成本、运输（含保险）、安装（如有）、调试、检验、技术货物、培训、税费等所有费用。(采购需求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22</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投标有效期</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自投标截止之日起90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23</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评标方法</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本项目采用综合评分法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24</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投标保证金金额</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25</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响应文件电子版要求</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响应文件电子版要求：投标文件按照本采购文件“ 响应文件格式” 编写 (未附格式的，由供应商自行拟定)，不可涂改并按照要求加盖电子公章，否则响应文件按无效响应处理。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响应文件电子版密封方式：电子响应文件通过平台制作完成，使用有效 CA 证书进行加密，加密完成后在“政采云”平台递交。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26</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投标截止时间</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截止时间：2024年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cs="宋体"/>
                <w:color w:val="auto"/>
                <w:highlight w:val="none"/>
                <w:lang w:val="en-US" w:eastAsia="zh-CN"/>
              </w:rPr>
              <w:t>30</w:t>
            </w:r>
            <w:r>
              <w:rPr>
                <w:rFonts w:hint="eastAsia" w:ascii="宋体" w:hAnsi="宋体" w:eastAsia="宋体" w:cs="宋体"/>
                <w:color w:val="auto"/>
                <w:highlight w:val="none"/>
              </w:rPr>
              <w:t>日 1</w:t>
            </w:r>
            <w:r>
              <w:rPr>
                <w:rFonts w:hint="eastAsia" w:cs="宋体"/>
                <w:color w:val="auto"/>
                <w:highlight w:val="none"/>
                <w:lang w:val="en-US" w:eastAsia="zh-CN"/>
              </w:rPr>
              <w:t>1</w:t>
            </w:r>
            <w:r>
              <w:rPr>
                <w:rFonts w:hint="eastAsia" w:ascii="宋体" w:hAnsi="宋体" w:eastAsia="宋体" w:cs="宋体"/>
                <w:color w:val="auto"/>
                <w:highlight w:val="none"/>
              </w:rPr>
              <w:t>点 00 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27</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开标时间和地点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开标时间：2024年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cs="宋体"/>
                <w:color w:val="auto"/>
                <w:highlight w:val="none"/>
                <w:lang w:val="en-US" w:eastAsia="zh-CN"/>
              </w:rPr>
              <w:t>30</w:t>
            </w:r>
            <w:r>
              <w:rPr>
                <w:rFonts w:hint="eastAsia" w:ascii="宋体" w:hAnsi="宋体" w:eastAsia="宋体" w:cs="宋体"/>
                <w:color w:val="auto"/>
                <w:highlight w:val="none"/>
              </w:rPr>
              <w:t xml:space="preserve">日 </w:t>
            </w:r>
            <w:r>
              <w:rPr>
                <w:rFonts w:hint="eastAsia" w:cs="宋体"/>
                <w:color w:val="auto"/>
                <w:highlight w:val="none"/>
                <w:lang w:val="en-US" w:eastAsia="zh-CN"/>
              </w:rPr>
              <w:t>11</w:t>
            </w:r>
            <w:r>
              <w:rPr>
                <w:rFonts w:hint="eastAsia" w:ascii="宋体" w:hAnsi="宋体" w:eastAsia="宋体" w:cs="宋体"/>
                <w:color w:val="auto"/>
                <w:highlight w:val="none"/>
              </w:rPr>
              <w:t>点 00 分（北京时间）</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开标地点：新疆政府采购网政采云平台（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215"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投标人信用</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采购人或者采购代理机构在资格审查结束前，对投标人进行信用查询。查询渠道：“信用中国”网站(www.creditchina.gov.cn) 、中国政府采购网。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信用查询截止时间点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资格审查结束前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信用信息使用规则</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对在“ 信用中国 ”网站 (www.creditchina.gov.cn)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29</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履约保证金</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确定中标人时，出现中标候选人分数并列 的情形，确定中标人方式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按投标报价由低到高顺序排列。得分且投标报价相同的并列。投标文件满足招标文件全部实质性要求， 且按照评审因素的量化指标（以技术响应及售后服务）评审得分最高的投标人为排名第一的中标候选人。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提供相同品牌产品且 通过资格审查、符合性审查的不同投标人参加同一合同项下投标的中标候选人确定方式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首先按照报价确定，报价低的获得中标人推荐资格，如报价一致，按照评审因素的量化指标（以技术响应及售后服务）评审得分最高的投标人获得中标人推荐资格由采购人或者采购人委托评标委员 会按照招标文件规定的方式确定一个投标人获得中标人推荐资格，招标文件未规定的采取随机抽取方式确定，其他同品牌投标人不作为中标候选人。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30</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付款方式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合同签订后30%作为预付款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货到</w:t>
            </w:r>
            <w:r>
              <w:rPr>
                <w:rFonts w:hint="eastAsia" w:ascii="宋体" w:hAnsi="宋体" w:eastAsia="宋体" w:cs="宋体"/>
                <w:color w:val="auto"/>
                <w:highlight w:val="none"/>
              </w:rPr>
              <w:t>后支付</w:t>
            </w:r>
            <w:r>
              <w:rPr>
                <w:rFonts w:hint="eastAsia" w:ascii="宋体" w:hAnsi="宋体" w:eastAsia="宋体" w:cs="宋体"/>
                <w:color w:val="auto"/>
                <w:highlight w:val="none"/>
                <w:lang w:val="en-US" w:eastAsia="zh-CN"/>
              </w:rPr>
              <w:t>65</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验收合格后支付5%</w:t>
            </w:r>
            <w:r>
              <w:rPr>
                <w:rFonts w:hint="eastAsia" w:ascii="宋体" w:hAnsi="宋体" w:eastAsia="宋体" w:cs="宋体"/>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31</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采购代理费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由成交供应商向</w:t>
            </w:r>
            <w:r>
              <w:rPr>
                <w:rFonts w:hint="eastAsia" w:ascii="宋体" w:hAnsi="宋体" w:eastAsia="宋体" w:cs="宋体"/>
                <w:color w:val="auto"/>
                <w:highlight w:val="none"/>
                <w:lang w:eastAsia="zh-CN"/>
              </w:rPr>
              <w:t>新疆慧通方舟工程管理服务有限公司</w:t>
            </w:r>
            <w:r>
              <w:rPr>
                <w:rFonts w:hint="eastAsia" w:ascii="宋体" w:hAnsi="宋体" w:eastAsia="宋体" w:cs="宋体"/>
                <w:color w:val="auto"/>
                <w:highlight w:val="none"/>
              </w:rPr>
              <w:t>支付代理服务费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收费标准</w:t>
            </w:r>
            <w:r>
              <w:rPr>
                <w:rFonts w:hint="eastAsia" w:ascii="宋体" w:hAnsi="宋体" w:eastAsia="宋体" w:cs="宋体"/>
                <w:color w:val="auto"/>
                <w:highlight w:val="none"/>
              </w:rPr>
              <w:t>参照国家计委《招标代理服务费管理暂行办法》的通知(计价格[2002]1980号)</w:t>
            </w:r>
            <w:r>
              <w:rPr>
                <w:rFonts w:hint="eastAsia" w:ascii="宋体" w:hAnsi="宋体" w:eastAsia="宋体" w:cs="宋体"/>
                <w:color w:val="auto"/>
                <w:highlight w:val="none"/>
                <w:lang w:val="en-US" w:eastAsia="zh-CN"/>
              </w:rPr>
              <w:t>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32</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“不见面”电子开评标</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1、本项目采用电子开评标，电子交易平台为“政府采购云平台（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www.zcygov.cn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）”，投标企业须使用CA数字证书登录政采云平台（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）上传加密版投标文件。并应于投标截止时间之前上传加密版投标文件，开标时须携带制作投标文件的CA锁参加开标会。</w:t>
            </w:r>
          </w:p>
          <w:p>
            <w:pPr>
              <w:rPr>
                <w:rFonts w:hint="eastAsia" w:ascii="宋体" w:hAnsi="宋体" w:eastAsia="宋体" w:cs="宋体"/>
                <w:color w:val="auto"/>
                <w:highlight w:val="none"/>
              </w:rPr>
            </w:pPr>
            <w:r>
              <w:rPr>
                <w:rFonts w:hint="eastAsia" w:ascii="宋体" w:hAnsi="宋体" w:eastAsia="宋体" w:cs="宋体"/>
                <w:color w:val="auto"/>
                <w:highlight w:val="none"/>
              </w:rPr>
              <w:t>注：供应商参与本项目电子交易活动前，应注册成为政府采购云平台供应商。编制电子投标文件前还需申领CA数字证书并绑定帐号，因未注册入库、未办理CA数字证书等原因造成无法投标或投标失败等后果由供应商自行承担。</w:t>
            </w:r>
          </w:p>
          <w:p>
            <w:pPr>
              <w:rPr>
                <w:rFonts w:hint="eastAsia" w:ascii="宋体" w:hAnsi="宋体" w:eastAsia="宋体" w:cs="宋体"/>
                <w:color w:val="auto"/>
                <w:highlight w:val="none"/>
              </w:rPr>
            </w:pPr>
            <w:r>
              <w:rPr>
                <w:rFonts w:hint="eastAsia" w:ascii="宋体" w:hAnsi="宋体" w:eastAsia="宋体" w:cs="宋体"/>
                <w:color w:val="auto"/>
                <w:highlight w:val="none"/>
              </w:rPr>
              <w:t>2、本项目采用不见面电子开标，供应商须在中标后提供纸质版投标文件（共5份，正本 1 份，副本 4 份）。 正本和副本的封面上应清楚地标记“正本”或“副本” 的字样。 纸质版投标文件可通过电子版投标文件打印生成，应当与电子版投标文件一致。</w:t>
            </w:r>
          </w:p>
          <w:p>
            <w:pPr>
              <w:rPr>
                <w:rFonts w:hint="eastAsia" w:ascii="宋体" w:hAnsi="宋体" w:eastAsia="宋体" w:cs="宋体"/>
                <w:color w:val="auto"/>
                <w:highlight w:val="none"/>
              </w:rPr>
            </w:pPr>
            <w:r>
              <w:rPr>
                <w:rFonts w:hint="eastAsia" w:ascii="宋体" w:hAnsi="宋体" w:eastAsia="宋体" w:cs="宋体"/>
                <w:color w:val="auto"/>
                <w:highlight w:val="none"/>
              </w:rPr>
              <w:t>3、投标人在开标时须使用制作加密电子投标响应文件所使用的CA 锁及电脑，电脑须提前配置好浏览器等相关配套设置，以便开标时正常使用。如因供应商自身原因导致在规定时间内无法正常解密的，采购代理机构不予异常处理，视为供应商自动弃标。</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4、为了保证开评标顺利进行，政采云线上开标功能完全实现，供应商开标所使用的电脑设备须具有视频及语音功能。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33</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政府采购优惠政策</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符合政府采购优先采购节能产品、环境标志产品的，实行价格评审优惠（由投标人在报价文件中选择并填报，评标时进行价格评审优惠）；投标人符合政府采购促进中小企业（监狱企业、残疾人福利性单位）发展政策的，其评标时给予价格评审优惠，用扣除后的价格参与评审打分。财政部门关于政府采购优先采购的政策规定可在中国政府采购网(www.ccgp.gov.cn)查询。同一项目中部分产品属于优先采购政策的，评标时只对该部分产品的报价实行价格优惠。</w:t>
            </w:r>
          </w:p>
          <w:p>
            <w:pPr>
              <w:rPr>
                <w:rFonts w:hint="eastAsia" w:ascii="宋体" w:hAnsi="宋体" w:eastAsia="宋体" w:cs="宋体"/>
                <w:color w:val="auto"/>
                <w:highlight w:val="none"/>
              </w:rPr>
            </w:pPr>
            <w:r>
              <w:rPr>
                <w:rFonts w:hint="eastAsia" w:ascii="宋体" w:hAnsi="宋体" w:eastAsia="宋体" w:cs="宋体"/>
                <w:color w:val="auto"/>
                <w:highlight w:val="none"/>
              </w:rPr>
              <w:t>（1）支持中小企业发展：对于经主管预算单位统筹后未预留份额专门面向中小企业采购的采购项目，以及预留份额项目中的非预留部分</w:t>
            </w:r>
          </w:p>
          <w:p>
            <w:pPr>
              <w:rPr>
                <w:rFonts w:hint="eastAsia" w:ascii="宋体" w:hAnsi="宋体" w:eastAsia="宋体" w:cs="宋体"/>
                <w:color w:val="auto"/>
                <w:highlight w:val="none"/>
              </w:rPr>
            </w:pPr>
            <w:r>
              <w:rPr>
                <w:rFonts w:hint="eastAsia" w:ascii="宋体" w:hAnsi="宋体" w:eastAsia="宋体" w:cs="宋体"/>
                <w:color w:val="auto"/>
                <w:highlight w:val="none"/>
              </w:rPr>
              <w:t>采购包，给予小型和微型企业产品的价格给予10%-20%的扣除，用扣除后的价格参与评标，监狱企业参加政府采购活动时，应当提供由省级以上监狱管理局、戒毒管理局（含新疆生产建设兵团）出具的属于监狱企业的证明文件。在政府采购活动中，监狱企业视同小型、微型企业，享受预留份额、评标中价格扣除等政府采购促进中小企业发展的政府采购政策。本项目具体扣除比例为10%。</w:t>
            </w:r>
          </w:p>
          <w:p>
            <w:pPr>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本项目具体扣除比例为10%。</w:t>
            </w:r>
          </w:p>
          <w:p>
            <w:pPr>
              <w:rPr>
                <w:rFonts w:hint="eastAsia" w:ascii="宋体" w:hAnsi="宋体" w:eastAsia="宋体" w:cs="宋体"/>
                <w:color w:val="auto"/>
                <w:highlight w:val="none"/>
              </w:rPr>
            </w:pPr>
            <w:r>
              <w:rPr>
                <w:rFonts w:hint="eastAsia" w:ascii="宋体" w:hAnsi="宋体" w:eastAsia="宋体" w:cs="宋体"/>
                <w:color w:val="auto"/>
                <w:highlight w:val="none"/>
              </w:rPr>
              <w:t>（3）节能产品、环境标志产品的产品优惠：按国家有关节能、环保政策执行。</w:t>
            </w:r>
          </w:p>
          <w:p>
            <w:pPr>
              <w:rPr>
                <w:rFonts w:hint="eastAsia" w:ascii="宋体" w:hAnsi="宋体" w:eastAsia="宋体" w:cs="宋体"/>
                <w:color w:val="auto"/>
                <w:highlight w:val="none"/>
              </w:rPr>
            </w:pPr>
            <w:r>
              <w:rPr>
                <w:rFonts w:hint="eastAsia" w:ascii="宋体" w:hAnsi="宋体" w:eastAsia="宋体" w:cs="宋体"/>
                <w:color w:val="auto"/>
                <w:highlight w:val="none"/>
              </w:rPr>
              <w:t>注：当面向中小企业采购时，根据《政府采购促进中小企业发展管理办法》第十一条 中小企业参加政府采购活动，应当出具本办法规定的《中小企业声明函》，否则不得享受相关中小企业扶持政策。任何单位和个人不得要求供应商提供《中小企业声明函》之外的中小企业身份证明文件。</w:t>
            </w:r>
          </w:p>
          <w:p>
            <w:pPr>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pPr>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pPr>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pPr>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 订立劳动合同的从业人员。</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注意事项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人需办理政采云CA投标锁，在新疆政府采购网下载专区下载进入“新疆维吾尔自治区全流程电子招投标项目管理系统--供应商客户端”，了解学习投标文件的制作，制作投标文件，递交电子加密投标书，投标企业须通过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.cn/）上传电子投标文件。</w:t>
            </w:r>
          </w:p>
          <w:p>
            <w:pPr>
              <w:rPr>
                <w:rFonts w:hint="eastAsia" w:ascii="宋体" w:hAnsi="宋体" w:eastAsia="宋体" w:cs="宋体"/>
                <w:color w:val="auto"/>
                <w:highlight w:val="none"/>
              </w:rPr>
            </w:pPr>
            <w:r>
              <w:rPr>
                <w:rFonts w:hint="eastAsia" w:ascii="宋体" w:hAnsi="宋体" w:eastAsia="宋体" w:cs="宋体"/>
                <w:color w:val="auto"/>
                <w:highlight w:val="none"/>
              </w:rPr>
              <w:t>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电子招投标供应商客户端”请供应商自行前往“新疆政府采购网—下载专区—新疆维吾尔自治区全流程电子招投标项目管理系统--电子招投标供应商客户端”版块获取。投标文件开启当日，供应商需通过政采云平台“不见面”开标大厅完成远程解密、开标、澄清、在线多轮报价、结果公布等交互环节。供应商必须使用能正确解密响应文件的“CA锁”在规定的时间内完成远程解密因供应商原因未能解密、解密失败或解密超时，视为供应商撤销其响应文件。务必使用生成投标文件的CA锁解密，请在互联网网络环境较稳定的电脑端登录，因投标人网络环境或硬件配备不达标等原因影响开标的，造成的后果由投标人自行承担。</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投标人将政采云电子交易客户端下载、安装完成后，可通过账号密码或CA登录客户端进行投标响应文件制作。在使用政采云投标客户端时，建议使用WIN7及以上操作系统。客户端请至政采云平台（http: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）下载专区查看，如有问题可拨打政采云客户服务热线95763进行咨询。供应商应当在投标截止时间前，将“电子招投标供应商客户端”生成的“电子加密投标文件”上传电子交易平台。</w:t>
            </w:r>
          </w:p>
        </w:tc>
      </w:tr>
    </w:tbl>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第二节 投标人须知正文</w:t>
      </w:r>
    </w:p>
    <w:p>
      <w:pPr>
        <w:spacing w:line="357" w:lineRule="auto"/>
        <w:rPr>
          <w:rFonts w:hint="eastAsia" w:ascii="宋体" w:hAnsi="宋体" w:eastAsia="宋体" w:cs="宋体"/>
          <w:color w:val="auto"/>
          <w:sz w:val="24"/>
          <w:szCs w:val="24"/>
          <w:highlight w:val="none"/>
        </w:rPr>
      </w:pPr>
    </w:p>
    <w:p>
      <w:pPr>
        <w:pStyle w:val="7"/>
        <w:spacing w:before="101" w:line="226" w:lineRule="auto"/>
        <w:ind w:left="4447"/>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180975</wp:posOffset>
                </wp:positionV>
                <wp:extent cx="100965" cy="76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965" cy="76835"/>
                        </a:xfrm>
                        <a:prstGeom prst="rect">
                          <a:avLst/>
                        </a:prstGeom>
                        <a:noFill/>
                        <a:ln>
                          <a:noFill/>
                        </a:ln>
                      </wps:spPr>
                      <wps:txbx>
                        <w:txbxContent>
                          <w:p>
                            <w:pPr>
                              <w:pStyle w:val="7"/>
                              <w:spacing w:before="19" w:line="186" w:lineRule="auto"/>
                              <w:ind w:left="20"/>
                              <w:rPr>
                                <w:sz w:val="8"/>
                                <w:szCs w:val="8"/>
                              </w:rPr>
                            </w:pPr>
                            <w:r>
                              <w:rPr>
                                <w:b/>
                                <w:bCs/>
                                <w:spacing w:val="17"/>
                                <w:w w:val="125"/>
                                <w:sz w:val="8"/>
                                <w:szCs w:val="8"/>
                              </w:rPr>
                              <w:t>、</w:t>
                            </w:r>
                          </w:p>
                        </w:txbxContent>
                      </wps:txbx>
                      <wps:bodyPr lIns="0" tIns="0" rIns="0" bIns="0" upright="1"/>
                    </wps:wsp>
                  </a:graphicData>
                </a:graphic>
              </wp:anchor>
            </w:drawing>
          </mc:Choice>
          <mc:Fallback>
            <w:pict>
              <v:shape id="_x0000_s1026" o:spid="_x0000_s1026" o:spt="202" type="#_x0000_t202" style="position:absolute;left:0pt;margin-left:235.5pt;margin-top:14.25pt;height:6.05pt;width:7.95pt;z-index:251658240;mso-width-relative:page;mso-height-relative:page;" filled="f" stroked="f" coordsize="21600,21600" o:gfxdata="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ihX4dkAAAAJAQAADwAAAAAAAAAB&#10;ACAAAAAiAAAAZHJzL2Rvd25yZXYueG1sUEsBAhQAFAAAAAgAh07iQBvX01GdAQAAIgMAAA4AAAAA&#10;AAAAAQAgAAAAKAEAAGRycy9lMm9Eb2MueG1sUEsFBgAAAAAGAAYAWQEAADcFAAAAAA==&#10;">
                <v:fill on="f" focussize="0,0"/>
                <v:stroke on="f"/>
                <v:imagedata o:title=""/>
                <o:lock v:ext="edit" aspectratio="f"/>
                <v:textbox inset="0mm,0mm,0mm,0mm">
                  <w:txbxContent>
                    <w:p>
                      <w:pPr>
                        <w:pStyle w:val="7"/>
                        <w:spacing w:before="19" w:line="186" w:lineRule="auto"/>
                        <w:ind w:left="20"/>
                        <w:rPr>
                          <w:sz w:val="8"/>
                          <w:szCs w:val="8"/>
                        </w:rPr>
                      </w:pPr>
                      <w:r>
                        <w:rPr>
                          <w:b/>
                          <w:bCs/>
                          <w:spacing w:val="17"/>
                          <w:w w:val="125"/>
                          <w:sz w:val="8"/>
                          <w:szCs w:val="8"/>
                        </w:rPr>
                        <w:t>、</w:t>
                      </w:r>
                    </w:p>
                  </w:txbxContent>
                </v:textbox>
              </v:shape>
            </w:pict>
          </mc:Fallback>
        </mc:AlternateContent>
      </w:r>
      <w:r>
        <w:rPr>
          <w:rFonts w:hint="eastAsia" w:ascii="宋体" w:hAnsi="宋体" w:eastAsia="宋体" w:cs="宋体"/>
          <w:b/>
          <w:bCs/>
          <w:color w:val="auto"/>
          <w:spacing w:val="-9"/>
          <w:sz w:val="24"/>
          <w:szCs w:val="24"/>
          <w:highlight w:val="none"/>
        </w:rPr>
        <w:t>一</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9"/>
          <w:sz w:val="24"/>
          <w:szCs w:val="24"/>
          <w:highlight w:val="none"/>
        </w:rPr>
        <w:t>总</w:t>
      </w:r>
      <w:r>
        <w:rPr>
          <w:rFonts w:hint="eastAsia" w:ascii="宋体" w:hAnsi="宋体" w:eastAsia="宋体" w:cs="宋体"/>
          <w:color w:val="auto"/>
          <w:spacing w:val="-76"/>
          <w:sz w:val="24"/>
          <w:szCs w:val="24"/>
          <w:highlight w:val="none"/>
        </w:rPr>
        <w:t xml:space="preserve"> </w:t>
      </w:r>
      <w:r>
        <w:rPr>
          <w:rFonts w:hint="eastAsia" w:ascii="宋体" w:hAnsi="宋体" w:eastAsia="宋体" w:cs="宋体"/>
          <w:b/>
          <w:bCs/>
          <w:color w:val="auto"/>
          <w:spacing w:val="-9"/>
          <w:sz w:val="24"/>
          <w:szCs w:val="24"/>
          <w:highlight w:val="none"/>
        </w:rPr>
        <w:t>则</w:t>
      </w:r>
    </w:p>
    <w:p>
      <w:pPr>
        <w:spacing w:before="14" w:line="223" w:lineRule="auto"/>
        <w:ind w:left="5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1.适用范围</w:t>
      </w:r>
    </w:p>
    <w:p>
      <w:pPr>
        <w:pStyle w:val="7"/>
        <w:spacing w:before="133" w:line="298" w:lineRule="auto"/>
        <w:ind w:left="3" w:right="2" w:firstLine="454"/>
        <w:jc w:val="distribut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 适用法律：本项目采购人、采购代理机构、投标人、评标委员会的相关行为均受 《中华人民共和国政府采购法》、《中华人民共和国政府采购法实施条例》、《政府采购货物和服务招标投标 管理办法》及本项目本级和上级财政部门政府采购有关规定的约束和保护。</w:t>
      </w:r>
    </w:p>
    <w:p>
      <w:pPr>
        <w:pStyle w:val="7"/>
        <w:spacing w:before="133" w:line="298" w:lineRule="auto"/>
        <w:ind w:left="3" w:right="2" w:firstLine="454"/>
        <w:jc w:val="distribut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1.2 本招标文件适用于本项目的所有采购程序和环节 (法律、法规另有规定的，从其规定)。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2.定义</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2.1“采购人”是指依法进行政府采购的国家机关、事业单位、团体组织。</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2.2“采购代理机构”指政府采购集中采购机构和集中采购机构以外的采购代理机构。 2.3“供应商”是指向采购人提供货物、工程或者服务的法人、其他组织或者自然人。</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2.4“投标人”是指响应招标、参加投标竞争的法人、非法人组织或者自然人。 2.5“货物”是指各种形态和种类的物品，包括原材料、燃料、设备、 产品等。</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2.6“售后服务”是指商品出售以后所提供的各种服务，包含但不限于投标人须承担的备品备件 、包装、运输、装卸、保险、货到就位以及安装、调试、培训、保修以及其他各种服务。</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2.7“书面形式”是指合同书、信件和数据电文(包括电报、电传、传真、短信、电子数据交换和 电子邮件)等可以有形地表现所载内容的形式。</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2.8“实质性要求”是指招标文件中已经指明不满足则投标无效的条款，或者不能负偏离的条款 , 或者采购需求中带星标的条款。</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2.9“允许偏离的条款 ”是指采购需求中的不属于“实质性要求”的条款。 3.投标人的资格要求</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供应商的资格条件详见“供应商须知前附表 ”。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4.投标费用</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投标费用：投标人应承担参与本次采购活动有关的所有费用，包括但不限于勘查现场、编制投 标文件、参加澄清说明，签订合同等，不论投标结果如何，均应自行承担。</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5.联合体竞标</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5.1 本项目是否接受联合体竞标，详见“供应商须知前附表”。</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5.2 如接受联合体竞标，联合体竞标要求详见“供应商须知前附表。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6.转包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6.1 本项目不允许转包。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7.特别说明：</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7.1 如果本采购文件要求提供投标人的资格、信誉、业绩等材料的，资格、信誉、业绩等必 须为投标人所拥有或自身获得。</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7.2 供应商应仔细阅读采购文件的所有内容，按照采购文件的要求提交响应文件，并对所提 供的全部资料的真实性承担法律责任。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7.3 供应商在竞标活动中提供任何疑似虚假材料，将报监管部门查处；签订合同后发现的， 成交供应商须依照《中华人民共和国消费者权益保护法》规定赔偿采购人，且民事赔偿并不免除 违法供应商的行政与刑事责任。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在政府采购活动中，采购人员及相关人员与供应商有下列利害关系之一的，应当回避：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(1)参加采购活动前 3 年内与供应商存在劳动关系；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(2)参加采购活动前 3 年内担任供应商的董事、监事；</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(3)参加采购活动前 3 年内是供应商的控股股东或者实际控制人；</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(4)与供应商的法定代表人或者负责人有夫妻、直系血亲、三代以内旁系血亲或者近姻亲关 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(5)与供应商有其他可能影响政府采购活动公平、公正进行的关系。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供应商认为采购人员及相关人员与其他供应商有利害关系的，可以向采购人或者采购代理  机构书面提出回避申请，并说明理由。采购人或者采购代理机构应当及时询问被申请回避人员， 有利害关系的被申请回避人员应当回避。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9、响应文件无效的情形</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有下列情形之一的视为供应商相互串通竞标，响应文件将被视为无效：</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（一）不同投标人的投标文件由同一单位或者个人编制：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1.采用电子招投标的，不同投标人编制电子投标文件或者资格预审申请文件使用的计算机网 卡MAC地址、CPU序列号和硬盘序列号等硬件识别信息均相同的；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2.采用电子招投标的，不同投标人的电子投标文件或者资格预审申请文件上传、解密计算机 的网卡MAC地址、CPU序列号和硬盘序列号等硬件识别信息均相同的（开标现场上传电子投标文件 的除外）；</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3、不同投标人的投标文件异常一致或者投标报价呈规律性差异；</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（1）不同投标人的投标文件经查重分析，存在两处及以上细节错误的；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（2）不同投标人的投标报价呈等差数列或者规律性的百分比；</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（3）不同投标人的投标文件异常一致或者投标报价呈规律性差异的其他情形。</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4、不同投标人的投标文件由同一投标人的附属设备打印、复印的。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（一）不同投标人委托同一单位或者个人办理投标事宜；</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（二）不同投标人的法定代表人、委托代理人、项目负责人等人员有在同一个单位缴纳社会保险；</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（三）不同投标人的投标文件载明的项目管理成员为同一人或同一单位；</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（四）不同投标人的投标文件相互混装；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供应商有下列情形之一的，属于恶意串通行为，将报同级监督管理部门：</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(1)供应商直接或者间接从采购人或者采购代理机构处获得其他供应商的相关信息并修改其 响应文件；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(2)供应商按照采购人或者采购代理机构的授意撤换、修改响应文件；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(3)供应商之间协商报价、技术方案等响应文件或者响应文件的实质性内容；</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(4)属于同一集团、协会、商会等组织成员的供应商按照该组织要求协同参加政府采购活动 ;</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(5)供应商之间事先约定一致抬高或者压低报价，或者在政府采购活动中事先约定轮流以 高 价位或者低价位成交，或者事先约定由某一特定供应商成交，然后再参加竞标；</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(6)供应商之间商定部分供应商放弃参加政府采购活动或者放弃成交；</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(7)供应商与采购人或者采购代理机构之间、供应商相互之间，为谋求特定供应商成交或者 排斥其他供应商的其他串通行为。</w:t>
      </w:r>
    </w:p>
    <w:p>
      <w:pPr>
        <w:pStyle w:val="7"/>
        <w:spacing w:before="212" w:line="225" w:lineRule="auto"/>
        <w:ind w:left="4210"/>
        <w:outlineLvl w:val="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二、招标文件</w:t>
      </w:r>
    </w:p>
    <w:p>
      <w:pPr>
        <w:spacing w:before="1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10.招标文件的组成</w:t>
      </w:r>
    </w:p>
    <w:p>
      <w:pPr>
        <w:pStyle w:val="7"/>
        <w:spacing w:before="79"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第一章 招标公告；</w:t>
      </w:r>
    </w:p>
    <w:p>
      <w:pPr>
        <w:pStyle w:val="7"/>
        <w:spacing w:before="155" w:line="324" w:lineRule="auto"/>
        <w:ind w:left="420" w:right="7094"/>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第二章 投标人须知；</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8"/>
          <w:sz w:val="24"/>
          <w:szCs w:val="24"/>
          <w:highlight w:val="none"/>
        </w:rPr>
        <w:t>第三章 采购需求</w:t>
      </w:r>
    </w:p>
    <w:p>
      <w:pPr>
        <w:pStyle w:val="7"/>
        <w:spacing w:before="39" w:line="324" w:lineRule="auto"/>
        <w:ind w:left="420" w:right="616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第四章 评标方法及评标标准；</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rPr>
        <w:t>第五章 拟签订的合同文本；</w:t>
      </w:r>
    </w:p>
    <w:p>
      <w:pPr>
        <w:pStyle w:val="7"/>
        <w:spacing w:before="36"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第六章 投标文件格式；</w:t>
      </w:r>
    </w:p>
    <w:p>
      <w:pPr>
        <w:pStyle w:val="7"/>
        <w:spacing w:before="157"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第七章 质疑、投诉材料格式</w:t>
      </w:r>
    </w:p>
    <w:p>
      <w:pPr>
        <w:pStyle w:val="7"/>
        <w:spacing w:before="155" w:line="330" w:lineRule="auto"/>
        <w:ind w:left="1" w:firstLine="4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根据本章第 11.1 项的规定对公开招标文件所做的澄清、修改，构成招标文件的组成部分。</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0"/>
          <w:sz w:val="24"/>
          <w:szCs w:val="24"/>
          <w:highlight w:val="none"/>
        </w:rPr>
        <w:t>当公开招标文件与招标文件的澄清和修改就同一内容的</w:t>
      </w:r>
      <w:r>
        <w:rPr>
          <w:rFonts w:hint="eastAsia" w:ascii="宋体" w:hAnsi="宋体" w:eastAsia="宋体" w:cs="宋体"/>
          <w:color w:val="auto"/>
          <w:spacing w:val="-11"/>
          <w:sz w:val="24"/>
          <w:szCs w:val="24"/>
          <w:highlight w:val="none"/>
        </w:rPr>
        <w:t>表述不一致时，以最后澄清或修改公告为</w:t>
      </w:r>
      <w:r>
        <w:rPr>
          <w:rFonts w:hint="eastAsia" w:ascii="宋体" w:hAnsi="宋体" w:eastAsia="宋体" w:cs="宋体"/>
          <w:color w:val="auto"/>
          <w:spacing w:val="-6"/>
          <w:sz w:val="24"/>
          <w:szCs w:val="24"/>
          <w:highlight w:val="none"/>
        </w:rPr>
        <w:t>准。</w:t>
      </w:r>
    </w:p>
    <w:p>
      <w:pPr>
        <w:spacing w:before="31" w:line="222"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11.招标文件的澄清、修改</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6"/>
          <w:sz w:val="24"/>
          <w:szCs w:val="24"/>
          <w:highlight w:val="none"/>
        </w:rPr>
        <w:t>、现场考察</w:t>
      </w:r>
    </w:p>
    <w:p>
      <w:pPr>
        <w:pStyle w:val="7"/>
        <w:spacing w:before="151" w:line="330" w:lineRule="auto"/>
        <w:ind w:right="6" w:firstLine="48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11.1 采购人或者采购代理机构可以对已发出的招标</w:t>
      </w:r>
      <w:r>
        <w:rPr>
          <w:rFonts w:hint="eastAsia" w:ascii="宋体" w:hAnsi="宋体" w:eastAsia="宋体" w:cs="宋体"/>
          <w:color w:val="auto"/>
          <w:spacing w:val="-5"/>
          <w:sz w:val="24"/>
          <w:szCs w:val="24"/>
          <w:highlight w:val="none"/>
        </w:rPr>
        <w:t>文件进行必要的澄清或者修改，但不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得改变采购标的和资格条件。澄清或者修改应当在原公告</w:t>
      </w:r>
      <w:r>
        <w:rPr>
          <w:rFonts w:hint="eastAsia" w:ascii="宋体" w:hAnsi="宋体" w:eastAsia="宋体" w:cs="宋体"/>
          <w:color w:val="auto"/>
          <w:spacing w:val="-11"/>
          <w:sz w:val="24"/>
          <w:szCs w:val="24"/>
          <w:highlight w:val="none"/>
        </w:rPr>
        <w:t>发布媒体上发布澄清公告。澄清或者修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改的内容为招标文件的组成部分。</w:t>
      </w:r>
    </w:p>
    <w:p>
      <w:pPr>
        <w:pStyle w:val="7"/>
        <w:spacing w:before="48" w:line="299" w:lineRule="auto"/>
        <w:ind w:right="26" w:firstLine="50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11.2  投标人应认真审阅本公开招标文件，如有疑问，</w:t>
      </w:r>
      <w:r>
        <w:rPr>
          <w:rFonts w:hint="eastAsia" w:ascii="宋体" w:hAnsi="宋体" w:eastAsia="宋体" w:cs="宋体"/>
          <w:color w:val="auto"/>
          <w:spacing w:val="2"/>
          <w:sz w:val="24"/>
          <w:szCs w:val="24"/>
          <w:highlight w:val="none"/>
        </w:rPr>
        <w:t>或发现其中有误或有要求不合理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的，应在投标人须知前附表规定的投标截止时间前以书面形式要求采购人或采购代理机构</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对招标文件予以澄清；否则，由此产生的后果由投标人自行负责。</w:t>
      </w:r>
    </w:p>
    <w:p>
      <w:pPr>
        <w:pStyle w:val="7"/>
        <w:spacing w:before="149" w:line="322"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11.3 采购人或者采购代理机构可以对已发出的招标文件进行必要的澄清或者修改。澄</w:t>
      </w:r>
      <w:r>
        <w:rPr>
          <w:rFonts w:hint="eastAsia" w:ascii="宋体" w:hAnsi="宋体" w:eastAsia="宋体" w:cs="宋体"/>
          <w:color w:val="auto"/>
          <w:sz w:val="24"/>
          <w:szCs w:val="24"/>
          <w:highlight w:val="none"/>
        </w:rPr>
        <w:t xml:space="preserve"> 清或者修改的内容可能影响投标文件编制的，采购人或者采购代理机构应当在投</w:t>
      </w:r>
      <w:r>
        <w:rPr>
          <w:rFonts w:hint="eastAsia" w:ascii="宋体" w:hAnsi="宋体" w:eastAsia="宋体" w:cs="宋体"/>
          <w:color w:val="auto"/>
          <w:spacing w:val="-1"/>
          <w:sz w:val="24"/>
          <w:szCs w:val="24"/>
          <w:highlight w:val="none"/>
        </w:rPr>
        <w:t>标截止时间</w:t>
      </w:r>
      <w:r>
        <w:rPr>
          <w:rFonts w:hint="eastAsia" w:ascii="宋体" w:hAnsi="宋体" w:eastAsia="宋体" w:cs="宋体"/>
          <w:color w:val="auto"/>
          <w:sz w:val="24"/>
          <w:szCs w:val="24"/>
          <w:highlight w:val="none"/>
        </w:rPr>
        <w:t xml:space="preserve"> 至少15日前，在“投标人须知前附表</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z w:val="24"/>
          <w:szCs w:val="24"/>
          <w:highlight w:val="none"/>
        </w:rPr>
        <w:t xml:space="preserve">”规定的政府采购信息发布媒体上发布更正公告，所有 </w:t>
      </w:r>
      <w:r>
        <w:rPr>
          <w:rFonts w:hint="eastAsia" w:ascii="宋体" w:hAnsi="宋体" w:eastAsia="宋体" w:cs="宋体"/>
          <w:color w:val="auto"/>
          <w:spacing w:val="-2"/>
          <w:sz w:val="24"/>
          <w:szCs w:val="24"/>
          <w:highlight w:val="none"/>
        </w:rPr>
        <w:t>获取采购文件的潜在供应商应关注网站及时查看，采购人不再进行书面或其他形式通知，未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看变更或澄清公告并由此导致的一切后果均由投标供应商自负；不足15日的，采购人或者采购</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0"/>
          <w:sz w:val="24"/>
          <w:szCs w:val="24"/>
          <w:highlight w:val="none"/>
        </w:rPr>
        <w:t>代理机构应当顺延提交投标文件的截止时间。发出的澄清或者</w:t>
      </w:r>
      <w:r>
        <w:rPr>
          <w:rFonts w:hint="eastAsia" w:ascii="宋体" w:hAnsi="宋体" w:eastAsia="宋体" w:cs="宋体"/>
          <w:color w:val="auto"/>
          <w:spacing w:val="-11"/>
          <w:sz w:val="24"/>
          <w:szCs w:val="24"/>
          <w:highlight w:val="none"/>
        </w:rPr>
        <w:t>修改不影响投标文件编制的也应在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截标前 3</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2"/>
          <w:sz w:val="24"/>
          <w:szCs w:val="24"/>
          <w:highlight w:val="none"/>
        </w:rPr>
        <w:t>日发出。</w:t>
      </w:r>
    </w:p>
    <w:p>
      <w:pPr>
        <w:pStyle w:val="7"/>
        <w:spacing w:before="152" w:line="279" w:lineRule="auto"/>
        <w:ind w:left="6" w:right="7" w:firstLine="4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11.4 采购人和采购代理机构可以视采购具体</w:t>
      </w:r>
      <w:r>
        <w:rPr>
          <w:rFonts w:hint="eastAsia" w:ascii="宋体" w:hAnsi="宋体" w:eastAsia="宋体" w:cs="宋体"/>
          <w:color w:val="auto"/>
          <w:spacing w:val="-9"/>
          <w:sz w:val="24"/>
          <w:szCs w:val="24"/>
          <w:highlight w:val="none"/>
        </w:rPr>
        <w:t>情况，变更投标截止“投标人须知前附表</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9"/>
          <w:sz w:val="24"/>
          <w:szCs w:val="24"/>
          <w:highlight w:val="none"/>
        </w:rPr>
        <w:t>”规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定的政府采购信息发布媒体上发布更正公告。</w:t>
      </w:r>
    </w:p>
    <w:p>
      <w:pPr>
        <w:pStyle w:val="7"/>
        <w:spacing w:before="154" w:line="279" w:lineRule="auto"/>
        <w:ind w:right="7" w:firstLine="4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采购人或者采购代理机构可以在招标文件提供期限截止后，组织已获取招</w:t>
      </w:r>
      <w:r>
        <w:rPr>
          <w:rFonts w:hint="eastAsia" w:ascii="宋体" w:hAnsi="宋体" w:eastAsia="宋体" w:cs="宋体"/>
          <w:color w:val="auto"/>
          <w:spacing w:val="-3"/>
          <w:sz w:val="24"/>
          <w:szCs w:val="24"/>
          <w:highlight w:val="none"/>
        </w:rPr>
        <w:t>标文件的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潜在投标人现场考察或者召开开标前答疑会，具体详见 “投标人须知前</w:t>
      </w:r>
      <w:r>
        <w:rPr>
          <w:rFonts w:hint="eastAsia" w:ascii="宋体" w:hAnsi="宋体" w:eastAsia="宋体" w:cs="宋体"/>
          <w:color w:val="auto"/>
          <w:spacing w:val="-3"/>
          <w:sz w:val="24"/>
          <w:szCs w:val="24"/>
          <w:highlight w:val="none"/>
        </w:rPr>
        <w:t>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p>
    <w:p>
      <w:pPr>
        <w:pStyle w:val="7"/>
        <w:spacing w:before="160" w:line="321" w:lineRule="auto"/>
        <w:ind w:right="7" w:firstLine="49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11.6 采购文件解释权：构成本采购文件的各个组成文件应互为解释，互为说明；除采购</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文件中有特别规定外，仅适用于竞标阶段的规定，按更正公告(澄清公告)、采购公告、供应商</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5"/>
          <w:sz w:val="24"/>
          <w:szCs w:val="24"/>
          <w:highlight w:val="none"/>
        </w:rPr>
        <w:t>须知、采购需求、评审程序、评审方法和评审标准、响应文件格式、合同文本的先后顺序解释</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同一组成文件中就同一事项的规定或者约定不一致的，以编排顺序在后者为准</w:t>
      </w:r>
      <w:r>
        <w:rPr>
          <w:rFonts w:hint="eastAsia" w:ascii="宋体" w:hAnsi="宋体" w:eastAsia="宋体" w:cs="宋体"/>
          <w:color w:val="auto"/>
          <w:spacing w:val="-7"/>
          <w:sz w:val="24"/>
          <w:szCs w:val="24"/>
          <w:highlight w:val="none"/>
        </w:rPr>
        <w:t>；同一组成文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件不同版本之间有不一致的，以形成时间在后者为准；更正公告(澄清公告)与同步更新的采购</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2"/>
          <w:sz w:val="24"/>
          <w:szCs w:val="24"/>
          <w:highlight w:val="none"/>
        </w:rPr>
        <w:t>文件不一致时以更正公告(澄清公告) 为准。按本款前述规定仍不能形成结论的，</w:t>
      </w:r>
      <w:r>
        <w:rPr>
          <w:rFonts w:hint="eastAsia" w:ascii="宋体" w:hAnsi="宋体" w:eastAsia="宋体" w:cs="宋体"/>
          <w:color w:val="auto"/>
          <w:spacing w:val="-3"/>
          <w:sz w:val="24"/>
          <w:szCs w:val="24"/>
          <w:highlight w:val="none"/>
        </w:rPr>
        <w:t>由采购人或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者采购代理机构负责解释。</w:t>
      </w:r>
    </w:p>
    <w:p>
      <w:pPr>
        <w:spacing w:line="280" w:lineRule="auto"/>
        <w:rPr>
          <w:rFonts w:hint="eastAsia" w:ascii="宋体" w:hAnsi="宋体" w:eastAsia="宋体" w:cs="宋体"/>
          <w:color w:val="auto"/>
          <w:sz w:val="24"/>
          <w:szCs w:val="24"/>
          <w:highlight w:val="none"/>
        </w:rPr>
      </w:pPr>
    </w:p>
    <w:p>
      <w:pPr>
        <w:spacing w:line="281" w:lineRule="auto"/>
        <w:rPr>
          <w:rFonts w:hint="eastAsia" w:ascii="宋体" w:hAnsi="宋体" w:eastAsia="宋体" w:cs="宋体"/>
          <w:color w:val="auto"/>
          <w:sz w:val="24"/>
          <w:szCs w:val="24"/>
          <w:highlight w:val="none"/>
        </w:rPr>
      </w:pPr>
    </w:p>
    <w:p>
      <w:pPr>
        <w:pStyle w:val="7"/>
        <w:spacing w:before="101" w:line="225" w:lineRule="auto"/>
        <w:ind w:left="3726"/>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三、投标文件的编制</w:t>
      </w:r>
    </w:p>
    <w:p>
      <w:pPr>
        <w:spacing w:before="124" w:line="221"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12.投标文件的编制原则</w:t>
      </w:r>
    </w:p>
    <w:p>
      <w:pPr>
        <w:pStyle w:val="7"/>
        <w:spacing w:before="154" w:line="279" w:lineRule="auto"/>
        <w:ind w:left="2" w:right="14"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12.1 投标人必须按照招标文件的要求编制投标文件。投标文件必须对招标文件提出的要</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求和条件作出明确响应。</w:t>
      </w:r>
    </w:p>
    <w:p>
      <w:pPr>
        <w:pStyle w:val="7"/>
        <w:spacing w:before="153" w:line="309" w:lineRule="auto"/>
        <w:ind w:left="1" w:right="9" w:firstLine="494"/>
        <w:rPr>
          <w:rFonts w:hint="eastAsia" w:ascii="宋体" w:hAnsi="宋体" w:eastAsia="宋体" w:cs="宋体"/>
          <w:b/>
          <w:bCs/>
          <w:color w:val="auto"/>
          <w:spacing w:val="-4"/>
          <w:sz w:val="24"/>
          <w:szCs w:val="24"/>
          <w:highlight w:val="none"/>
        </w:rPr>
      </w:pPr>
      <w:r>
        <w:rPr>
          <w:rFonts w:hint="eastAsia" w:ascii="宋体" w:hAnsi="宋体" w:eastAsia="宋体" w:cs="宋体"/>
          <w:color w:val="auto"/>
          <w:spacing w:val="-5"/>
          <w:sz w:val="24"/>
          <w:szCs w:val="24"/>
          <w:highlight w:val="none"/>
        </w:rPr>
        <w:t xml:space="preserve">12.2 </w:t>
      </w:r>
      <w:r>
        <w:rPr>
          <w:rFonts w:hint="eastAsia" w:ascii="宋体" w:hAnsi="宋体" w:eastAsia="宋体" w:cs="宋体"/>
          <w:b/>
          <w:bCs/>
          <w:color w:val="auto"/>
          <w:spacing w:val="-5"/>
          <w:sz w:val="24"/>
          <w:szCs w:val="24"/>
          <w:highlight w:val="none"/>
        </w:rPr>
        <w:t>投标人应根据自身实际情况如实响应招标文件，不得仅将招标文件内容简单复制粘</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5"/>
          <w:sz w:val="24"/>
          <w:szCs w:val="24"/>
          <w:highlight w:val="none"/>
        </w:rPr>
        <w:t>贴作为投标响应，还应当提供相关证明材料，否则将作无效响应处理(定制采购项目不适用本</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5"/>
          <w:sz w:val="24"/>
          <w:szCs w:val="24"/>
          <w:highlight w:val="none"/>
        </w:rPr>
        <w:t>条款)。对于重要技术条款或技术参数应当在投标文件中提供技术支持资料，技术支持资料以</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4"/>
          <w:sz w:val="24"/>
          <w:szCs w:val="24"/>
          <w:highlight w:val="none"/>
        </w:rPr>
        <w:t>招标文件中规定的形式为准，否则将视为无效技术支持资料。</w:t>
      </w:r>
    </w:p>
    <w:p>
      <w:pPr>
        <w:rPr>
          <w:rFonts w:hint="eastAsia" w:ascii="宋体" w:hAnsi="宋体" w:eastAsia="宋体" w:cs="宋体"/>
          <w:b/>
          <w:bCs/>
          <w:color w:val="auto"/>
          <w:spacing w:val="-4"/>
          <w:sz w:val="24"/>
          <w:szCs w:val="24"/>
          <w:highlight w:val="none"/>
        </w:rPr>
      </w:pPr>
    </w:p>
    <w:p>
      <w:pPr>
        <w:rPr>
          <w:rFonts w:hint="eastAsia" w:ascii="宋体" w:hAnsi="宋体" w:eastAsia="宋体" w:cs="宋体"/>
          <w:b/>
          <w:bCs/>
          <w:color w:val="auto"/>
          <w:spacing w:val="-4"/>
          <w:sz w:val="24"/>
          <w:szCs w:val="24"/>
          <w:highlight w:val="none"/>
        </w:rPr>
      </w:pPr>
    </w:p>
    <w:p>
      <w:pPr>
        <w:spacing w:before="155" w:line="222"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13.1 投标文件组成</w:t>
      </w:r>
    </w:p>
    <w:p>
      <w:pPr>
        <w:pStyle w:val="7"/>
        <w:spacing w:before="150" w:line="219" w:lineRule="auto"/>
        <w:ind w:left="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由报价文件、资格证明文件、商务文件、技术文件四部分组成。</w:t>
      </w:r>
    </w:p>
    <w:p>
      <w:pPr>
        <w:pStyle w:val="7"/>
        <w:spacing w:before="48"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资格证明文件：具体材料见 “投标人须知前</w:t>
      </w:r>
      <w:r>
        <w:rPr>
          <w:rFonts w:hint="eastAsia" w:ascii="宋体" w:hAnsi="宋体" w:eastAsia="宋体" w:cs="宋体"/>
          <w:color w:val="auto"/>
          <w:spacing w:val="-1"/>
          <w:sz w:val="24"/>
          <w:szCs w:val="24"/>
          <w:highlight w:val="none"/>
        </w:rPr>
        <w:t>附表</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4"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6"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技术文件：具体材料见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3"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报价文件：具体材料见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6"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（5）其他文件文书、文件格式（如有）</w:t>
      </w:r>
    </w:p>
    <w:p>
      <w:pPr>
        <w:pStyle w:val="7"/>
        <w:spacing w:before="155" w:line="280" w:lineRule="auto"/>
        <w:ind w:left="484" w:right="2911"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 投标文件电子版：具体要求见本节19.投标文件编制。</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5"/>
          <w:sz w:val="24"/>
          <w:szCs w:val="24"/>
          <w:highlight w:val="none"/>
        </w:rPr>
        <w:t>14.投标文件的语言及计量</w:t>
      </w:r>
    </w:p>
    <w:p>
      <w:pPr>
        <w:pStyle w:val="7"/>
        <w:spacing w:before="238" w:line="220"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14.1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3"/>
          <w:sz w:val="24"/>
          <w:szCs w:val="24"/>
          <w:highlight w:val="none"/>
        </w:rPr>
        <w:t>语言文字</w:t>
      </w:r>
    </w:p>
    <w:p>
      <w:pPr>
        <w:pStyle w:val="7"/>
        <w:spacing w:before="129" w:line="332"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投标文件以及投标人与采购人就有关投标事宜的所有来往函</w:t>
      </w:r>
      <w:r>
        <w:rPr>
          <w:rFonts w:hint="eastAsia" w:ascii="宋体" w:hAnsi="宋体" w:eastAsia="宋体" w:cs="宋体"/>
          <w:color w:val="auto"/>
          <w:spacing w:val="-3"/>
          <w:sz w:val="24"/>
          <w:szCs w:val="24"/>
          <w:highlight w:val="none"/>
        </w:rPr>
        <w:t>电，均应以中文书写(除专用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术语外，与招标投标有关的语言均使用中文。必要时专用术语应附有中文注释</w:t>
      </w:r>
      <w:r>
        <w:rPr>
          <w:rFonts w:hint="eastAsia" w:ascii="宋体" w:hAnsi="宋体" w:eastAsia="宋体" w:cs="宋体"/>
          <w:color w:val="auto"/>
          <w:spacing w:val="-3"/>
          <w:sz w:val="24"/>
          <w:szCs w:val="24"/>
          <w:highlight w:val="none"/>
        </w:rPr>
        <w:t>)。投标人提交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的支持文件和印刷的文献可以使用别的语言，但其相应内容应同时附中文翻译文本，在解释投</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标文件时以中文翻译文本为主。对不同文字文本投标文件的解释发生异议的，以中文文本为准</w:t>
      </w:r>
      <w:r>
        <w:rPr>
          <w:rFonts w:hint="eastAsia" w:ascii="宋体" w:hAnsi="宋体" w:eastAsia="宋体" w:cs="宋体"/>
          <w:color w:val="auto"/>
          <w:position w:val="1"/>
          <w:sz w:val="24"/>
          <w:szCs w:val="24"/>
          <w:highlight w:val="none"/>
        </w:rPr>
        <w:t>。</w:t>
      </w:r>
    </w:p>
    <w:p>
      <w:pPr>
        <w:pStyle w:val="7"/>
        <w:spacing w:before="163"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14.2 投标计量单位</w:t>
      </w:r>
    </w:p>
    <w:p>
      <w:pPr>
        <w:pStyle w:val="7"/>
        <w:spacing w:before="155" w:line="324" w:lineRule="auto"/>
        <w:ind w:left="21" w:firstLine="4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招标文件已有明确规定的，使用招标文件规定的计量单位；招标文件没有规</w:t>
      </w:r>
      <w:r>
        <w:rPr>
          <w:rFonts w:hint="eastAsia" w:ascii="宋体" w:hAnsi="宋体" w:eastAsia="宋体" w:cs="宋体"/>
          <w:color w:val="auto"/>
          <w:spacing w:val="-6"/>
          <w:sz w:val="24"/>
          <w:szCs w:val="24"/>
          <w:highlight w:val="none"/>
        </w:rPr>
        <w:t>定的，应采用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中华人民共和国法定计量单位，货币种类为人民币，否则视同未响应。</w:t>
      </w:r>
    </w:p>
    <w:p>
      <w:pPr>
        <w:pStyle w:val="7"/>
        <w:spacing w:before="36" w:line="220" w:lineRule="auto"/>
        <w:ind w:left="49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15.投标文件提交的风险</w:t>
      </w:r>
    </w:p>
    <w:p>
      <w:pPr>
        <w:pStyle w:val="7"/>
        <w:spacing w:before="156" w:line="33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投标文件分为资格文件、商务文件、技术文件、报价文件四</w:t>
      </w:r>
      <w:r>
        <w:rPr>
          <w:rFonts w:hint="eastAsia" w:ascii="宋体" w:hAnsi="宋体" w:eastAsia="宋体" w:cs="宋体"/>
          <w:color w:val="auto"/>
          <w:spacing w:val="-3"/>
          <w:sz w:val="24"/>
          <w:szCs w:val="24"/>
          <w:highlight w:val="none"/>
        </w:rPr>
        <w:t>部分(合并编辑成一个电子文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档)。各投标人在编制投标文件时请按照招标文件规定的编排格式进行，</w:t>
      </w:r>
      <w:r>
        <w:rPr>
          <w:rFonts w:hint="eastAsia" w:ascii="宋体" w:hAnsi="宋体" w:eastAsia="宋体" w:cs="宋体"/>
          <w:color w:val="auto"/>
          <w:spacing w:val="-3"/>
          <w:sz w:val="24"/>
          <w:szCs w:val="24"/>
          <w:highlight w:val="none"/>
        </w:rPr>
        <w:t>不按要求提交齐全的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文件、混乱的编排导致投标文件被误读或评标委员会查找不到有效文件是造成投标人投标文件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无效的风险。投标文件内容不齐全、未按规定的文件格式编制的、没有对招标文件作出实质性</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响应，投标无效。</w:t>
      </w:r>
    </w:p>
    <w:p>
      <w:pPr>
        <w:spacing w:before="33" w:line="222"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16.投标报价</w:t>
      </w:r>
    </w:p>
    <w:p>
      <w:pPr>
        <w:pStyle w:val="7"/>
        <w:spacing w:before="153"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16.1 投标报价应按“第六章投标文件格式”</w:t>
      </w:r>
      <w:r>
        <w:rPr>
          <w:rFonts w:hint="eastAsia" w:ascii="宋体" w:hAnsi="宋体" w:eastAsia="宋体" w:cs="宋体"/>
          <w:color w:val="auto"/>
          <w:spacing w:val="-4"/>
          <w:sz w:val="24"/>
          <w:szCs w:val="24"/>
          <w:highlight w:val="none"/>
        </w:rPr>
        <w:t>中“开标一览表</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4"/>
          <w:sz w:val="24"/>
          <w:szCs w:val="24"/>
          <w:highlight w:val="none"/>
        </w:rPr>
        <w:t>”格式填写。</w:t>
      </w:r>
    </w:p>
    <w:p>
      <w:pPr>
        <w:pStyle w:val="7"/>
        <w:spacing w:before="154"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16.2 投标报价具体包括内容详见“投标人须知前附表”。</w:t>
      </w:r>
    </w:p>
    <w:p>
      <w:pPr>
        <w:pStyle w:val="7"/>
        <w:spacing w:before="156" w:line="280" w:lineRule="auto"/>
        <w:ind w:left="484" w:right="761" w:firstLine="1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16.3 投标人必须就所投全部内容分别作完整唯一总价报价，不得存在漏项报价。</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5"/>
          <w:sz w:val="24"/>
          <w:szCs w:val="24"/>
          <w:highlight w:val="none"/>
        </w:rPr>
        <w:t>17.投标有效期</w:t>
      </w:r>
    </w:p>
    <w:p>
      <w:pPr>
        <w:pStyle w:val="7"/>
        <w:spacing w:before="152" w:line="279" w:lineRule="auto"/>
        <w:ind w:left="1" w:right="7"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17.1 投标有效期是指为保证采购人有足够的时间在开标后完成评标、定标、合同签订等</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工作而要求投标人提交的投标文件在一定时间内保持有效的期限。</w:t>
      </w:r>
    </w:p>
    <w:p>
      <w:pPr>
        <w:pStyle w:val="7"/>
        <w:spacing w:before="156"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17.2 投标有效期应按规定的期限作出承诺，具体详见“投标人须知前附表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w:t>
      </w:r>
    </w:p>
    <w:p>
      <w:pPr>
        <w:pStyle w:val="7"/>
        <w:spacing w:before="154" w:line="280" w:lineRule="auto"/>
        <w:ind w:left="484" w:right="3617" w:firstLine="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17.3 投标人的投标文件在投标有效期内均保持有效。</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18.投标保证金：0元</w:t>
      </w:r>
    </w:p>
    <w:p>
      <w:pPr>
        <w:spacing w:before="152" w:line="221"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19.投标文件的编制</w:t>
      </w:r>
    </w:p>
    <w:p>
      <w:pPr>
        <w:pStyle w:val="7"/>
        <w:spacing w:before="48" w:line="299" w:lineRule="auto"/>
        <w:ind w:left="2" w:right="117" w:firstLine="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19.1 投标文件编制要求详见“投标人须知前附表”。投标人应按本招标文件规定的格式</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和顺序编制投标文件并标注页码，投标文件内容不完整、编排混乱导致投标文件被误读、漏读</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或者查找不到相关内容的，由此引发的后果由投标人承担。</w:t>
      </w:r>
    </w:p>
    <w:p>
      <w:pPr>
        <w:pStyle w:val="7"/>
        <w:spacing w:before="152" w:line="279" w:lineRule="auto"/>
        <w:ind w:left="3" w:right="124"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19.2 投标文件按照招标文件格式要求在规定位置进行签署、盖章。投标人的投标文件未</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按照招标文件要求签署、盖章的，其投标无效。</w:t>
      </w:r>
    </w:p>
    <w:p>
      <w:pPr>
        <w:pStyle w:val="7"/>
        <w:spacing w:before="156" w:line="279" w:lineRule="auto"/>
        <w:ind w:left="24" w:right="124" w:firstLine="47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19.3 为确保网上操作合法、有效和安全，投标人应当在投标截止时间前完成在“政采云</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”平台的身份认证，确保在电子投标过程中能够对相关数据电文进行加密和使用电子签名。</w:t>
      </w:r>
    </w:p>
    <w:p>
      <w:pPr>
        <w:pStyle w:val="7"/>
        <w:spacing w:before="151" w:line="280" w:lineRule="auto"/>
        <w:ind w:left="1" w:right="47" w:firstLine="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19.4 投标文件中标注的投标人名称应与</w:t>
      </w:r>
      <w:r>
        <w:rPr>
          <w:rFonts w:hint="eastAsia" w:ascii="宋体" w:hAnsi="宋体" w:eastAsia="宋体" w:cs="宋体"/>
          <w:color w:val="auto"/>
          <w:spacing w:val="-4"/>
          <w:sz w:val="24"/>
          <w:szCs w:val="24"/>
          <w:highlight w:val="none"/>
        </w:rPr>
        <w:t>主体资格证明(如营业执照、事业单位法人证书、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执业许可证、自然人身份证等)及公章一致，否则作无</w:t>
      </w:r>
      <w:r>
        <w:rPr>
          <w:rFonts w:hint="eastAsia" w:ascii="宋体" w:hAnsi="宋体" w:eastAsia="宋体" w:cs="宋体"/>
          <w:color w:val="auto"/>
          <w:spacing w:val="-3"/>
          <w:sz w:val="24"/>
          <w:szCs w:val="24"/>
          <w:highlight w:val="none"/>
        </w:rPr>
        <w:t>效投标处理。</w:t>
      </w:r>
    </w:p>
    <w:p>
      <w:pPr>
        <w:pStyle w:val="7"/>
        <w:spacing w:before="154"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19.5 投标文件应避免涂改、行间插字或者删除，否则其投标无效。</w:t>
      </w:r>
    </w:p>
    <w:p>
      <w:pPr>
        <w:pStyle w:val="7"/>
        <w:spacing w:before="153" w:line="280" w:lineRule="auto"/>
        <w:ind w:left="1" w:right="117" w:firstLine="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19.6 对招标文件的实质性要求和条件作出响应是指投标人必须对招标文件中标注为实质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性要求和条件的服务内容及要求、商务条款及其它内容作出满足或者优于原要求和条件的承诺</w:t>
      </w:r>
      <w:r>
        <w:rPr>
          <w:rFonts w:hint="eastAsia" w:ascii="宋体" w:hAnsi="宋体" w:eastAsia="宋体" w:cs="宋体"/>
          <w:color w:val="auto"/>
          <w:position w:val="1"/>
          <w:sz w:val="24"/>
          <w:szCs w:val="24"/>
          <w:highlight w:val="none"/>
        </w:rPr>
        <w:t>。</w:t>
      </w:r>
    </w:p>
    <w:p>
      <w:pPr>
        <w:pStyle w:val="7"/>
        <w:spacing w:before="165" w:line="327" w:lineRule="auto"/>
        <w:ind w:left="472" w:right="2066" w:firstLine="2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19.7 本项目为全流程电子化项目，异常情况见“投标人须知正文”。</w:t>
      </w:r>
    </w:p>
    <w:p>
      <w:pPr>
        <w:pStyle w:val="7"/>
        <w:spacing w:before="165" w:line="327" w:lineRule="auto"/>
        <w:ind w:left="472" w:right="2066" w:firstLine="2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20.备份投标文件</w:t>
      </w:r>
    </w:p>
    <w:p>
      <w:pPr>
        <w:pStyle w:val="7"/>
        <w:spacing w:before="100"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详见在“投标人须知前附表”。</w:t>
      </w:r>
    </w:p>
    <w:p>
      <w:pPr>
        <w:spacing w:before="78" w:line="222"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21.投标文件的提交</w:t>
      </w:r>
    </w:p>
    <w:p>
      <w:pPr>
        <w:pStyle w:val="7"/>
        <w:spacing w:before="153" w:line="307"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 投标人必须在“投标人须知前附表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3"/>
          <w:sz w:val="24"/>
          <w:szCs w:val="24"/>
          <w:highlight w:val="none"/>
        </w:rPr>
        <w:t>”规定的投标文件接收时间和投标地点提交电子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版投标文件。电子投标文件应在制作完成后，在投标截止时间前通过有效数字证书</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6"/>
          <w:sz w:val="24"/>
          <w:szCs w:val="24"/>
          <w:highlight w:val="none"/>
        </w:rPr>
        <w:t>(CA认证锁)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进行电子签章、加密，然后通过网络将加密的电子投标文件递交至“新疆政府采购网政采云平</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
          <w:sz w:val="24"/>
          <w:szCs w:val="24"/>
          <w:highlight w:val="none"/>
        </w:rPr>
        <w:t>台（http://www.ccgp-xinjiang.g</w:t>
      </w:r>
      <w:r>
        <w:rPr>
          <w:rFonts w:hint="eastAsia" w:ascii="宋体" w:hAnsi="宋体" w:eastAsia="宋体" w:cs="宋体"/>
          <w:color w:val="auto"/>
          <w:spacing w:val="-2"/>
          <w:sz w:val="24"/>
          <w:szCs w:val="24"/>
          <w:highlight w:val="none"/>
        </w:rPr>
        <w:t>ov.cn/）</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pPr>
        <w:pStyle w:val="7"/>
        <w:spacing w:before="162" w:line="279" w:lineRule="auto"/>
        <w:ind w:right="122"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 未在规定时间内提交或者未按照招标文件要求密封或者标记的电子投</w:t>
      </w:r>
      <w:r>
        <w:rPr>
          <w:rFonts w:hint="eastAsia" w:ascii="宋体" w:hAnsi="宋体" w:eastAsia="宋体" w:cs="宋体"/>
          <w:color w:val="auto"/>
          <w:spacing w:val="-3"/>
          <w:sz w:val="24"/>
          <w:szCs w:val="24"/>
          <w:highlight w:val="none"/>
        </w:rPr>
        <w:t>标文件，“政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采云</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”平台将拒收。</w:t>
      </w:r>
    </w:p>
    <w:p>
      <w:pPr>
        <w:pStyle w:val="7"/>
        <w:spacing w:before="153" w:line="281" w:lineRule="auto"/>
        <w:ind w:left="10" w:right="122" w:firstLine="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21.3</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4"/>
          <w:sz w:val="24"/>
          <w:szCs w:val="24"/>
          <w:highlight w:val="none"/>
        </w:rPr>
        <w:t>电子版投标文件提交方式见“招标公告</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”中提交投标文件截止时间、开标时间和地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点的要求。</w:t>
      </w:r>
    </w:p>
    <w:p>
      <w:pPr>
        <w:spacing w:before="151" w:line="222"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 投标文件的补充、修改、撤回与退回</w:t>
      </w:r>
    </w:p>
    <w:p>
      <w:pPr>
        <w:pStyle w:val="7"/>
        <w:spacing w:before="148" w:line="309" w:lineRule="auto"/>
        <w:ind w:left="4" w:right="43" w:firstLine="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 供应商应当在投标截止时间前完成投标文件的传输递交，并可</w:t>
      </w:r>
      <w:r>
        <w:rPr>
          <w:rFonts w:hint="eastAsia" w:ascii="宋体" w:hAnsi="宋体" w:eastAsia="宋体" w:cs="宋体"/>
          <w:color w:val="auto"/>
          <w:spacing w:val="-3"/>
          <w:sz w:val="24"/>
          <w:szCs w:val="24"/>
          <w:highlight w:val="none"/>
        </w:rPr>
        <w:t>以补充、修改或者撤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回投标文件。补充或者修改投标文件的，应当先行撤回原文件，补充、修</w:t>
      </w:r>
      <w:r>
        <w:rPr>
          <w:rFonts w:hint="eastAsia" w:ascii="宋体" w:hAnsi="宋体" w:eastAsia="宋体" w:cs="宋体"/>
          <w:color w:val="auto"/>
          <w:spacing w:val="-4"/>
          <w:sz w:val="24"/>
          <w:szCs w:val="24"/>
          <w:highlight w:val="none"/>
        </w:rPr>
        <w:t>改后重新传输递交。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投标截止时间前未完成传输的，视为撤回投标文件。投标截止时间后递交的投标文件，“政采</w:t>
      </w:r>
      <w:r>
        <w:rPr>
          <w:rFonts w:hint="eastAsia" w:ascii="宋体" w:hAnsi="宋体" w:eastAsia="宋体" w:cs="宋体"/>
          <w:color w:val="auto"/>
          <w:spacing w:val="-6"/>
          <w:sz w:val="24"/>
          <w:szCs w:val="24"/>
          <w:highlight w:val="none"/>
        </w:rPr>
        <w:t>云</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6"/>
          <w:sz w:val="24"/>
          <w:szCs w:val="24"/>
          <w:highlight w:val="none"/>
        </w:rPr>
        <w:t>”平台将拒收。</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6"/>
          <w:sz w:val="24"/>
          <w:szCs w:val="24"/>
          <w:highlight w:val="none"/>
        </w:rPr>
        <w:t>(补充、修改或者撤回方式见公告附件“</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6"/>
          <w:sz w:val="24"/>
          <w:szCs w:val="24"/>
          <w:highlight w:val="none"/>
        </w:rPr>
        <w:t>电子投标文件制作与投送教程</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6"/>
          <w:sz w:val="24"/>
          <w:szCs w:val="24"/>
          <w:highlight w:val="none"/>
        </w:rPr>
        <w:t>”)</w:t>
      </w:r>
    </w:p>
    <w:p>
      <w:pPr>
        <w:pStyle w:val="7"/>
        <w:spacing w:before="47" w:line="330"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22.2“政采云</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6"/>
          <w:sz w:val="24"/>
          <w:szCs w:val="24"/>
          <w:highlight w:val="none"/>
        </w:rPr>
        <w:t>”平台收到投标文件，将妥善保存并即时向供应商发出确认回执通知。在投</w:t>
      </w:r>
      <w:r>
        <w:rPr>
          <w:rFonts w:hint="eastAsia" w:ascii="宋体" w:hAnsi="宋体" w:eastAsia="宋体" w:cs="宋体"/>
          <w:color w:val="auto"/>
          <w:spacing w:val="-5"/>
          <w:sz w:val="24"/>
          <w:szCs w:val="24"/>
          <w:highlight w:val="none"/>
        </w:rPr>
        <w:t>标截止时间前，除供应商补充、修改或者撤回投标文件外，任何单位和个人不得解密或提取投</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标文件。</w:t>
      </w:r>
    </w:p>
    <w:p>
      <w:pPr>
        <w:pStyle w:val="7"/>
        <w:spacing w:before="101" w:line="225" w:lineRule="auto"/>
        <w:jc w:val="center"/>
        <w:outlineLvl w:val="3"/>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四 、开  标</w:t>
      </w:r>
    </w:p>
    <w:p>
      <w:pPr>
        <w:spacing w:before="147" w:line="223"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23.开标时间和地点</w:t>
      </w:r>
    </w:p>
    <w:p>
      <w:pPr>
        <w:pStyle w:val="7"/>
        <w:spacing w:before="152"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23.1 开标时间及地点详见“投标人须知前附表</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3" w:line="279" w:lineRule="auto"/>
        <w:ind w:left="1" w:right="4"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如投标人成功解密投标文件，但未在“政采云”电子开标大厅参加开</w:t>
      </w:r>
      <w:r>
        <w:rPr>
          <w:rFonts w:hint="eastAsia" w:ascii="宋体" w:hAnsi="宋体" w:eastAsia="宋体" w:cs="宋体"/>
          <w:color w:val="auto"/>
          <w:spacing w:val="-3"/>
          <w:sz w:val="24"/>
          <w:szCs w:val="24"/>
          <w:highlight w:val="none"/>
        </w:rPr>
        <w:t>标的，视同认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可开标过程和结果，由此产生的后果由投标人自行负责。投标人不足3家</w:t>
      </w:r>
      <w:r>
        <w:rPr>
          <w:rFonts w:hint="eastAsia" w:ascii="宋体" w:hAnsi="宋体" w:eastAsia="宋体" w:cs="宋体"/>
          <w:color w:val="auto"/>
          <w:spacing w:val="-3"/>
          <w:sz w:val="24"/>
          <w:szCs w:val="24"/>
          <w:highlight w:val="none"/>
        </w:rPr>
        <w:t>的，不得开标。</w:t>
      </w:r>
    </w:p>
    <w:p>
      <w:pPr>
        <w:spacing w:before="155" w:line="222"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24.开标程序</w:t>
      </w:r>
    </w:p>
    <w:p>
      <w:pPr>
        <w:pStyle w:val="7"/>
        <w:spacing w:before="151" w:line="221" w:lineRule="auto"/>
        <w:ind w:left="48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24.1 开标形式：</w:t>
      </w:r>
    </w:p>
    <w:p>
      <w:pPr>
        <w:pStyle w:val="7"/>
        <w:spacing w:before="151" w:line="280" w:lineRule="auto"/>
        <w:ind w:left="2" w:firstLine="51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 开标的准备工作由采购代理机构负责落实，采购代理机构必须基于“政采云</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”平台选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取评审专家，如采购代理机构未按规定选取专家的，视为本次开评</w:t>
      </w:r>
      <w:r>
        <w:rPr>
          <w:rFonts w:hint="eastAsia" w:ascii="宋体" w:hAnsi="宋体" w:eastAsia="宋体" w:cs="宋体"/>
          <w:color w:val="auto"/>
          <w:spacing w:val="-3"/>
          <w:sz w:val="24"/>
          <w:szCs w:val="24"/>
          <w:highlight w:val="none"/>
        </w:rPr>
        <w:t>标无效，应当重新采购；</w:t>
      </w:r>
    </w:p>
    <w:p>
      <w:pPr>
        <w:pStyle w:val="7"/>
        <w:spacing w:before="153" w:line="309" w:lineRule="auto"/>
        <w:ind w:firstLine="51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(2)采购代理机构将按照招标文件规定的时间通过“政采云</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”平台组织线上开标活动、开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启投标文件，所有供应商均应当准时在线参加。投标人如不参加开标大会的，视同认可开标结</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果，事后不得对采购相关人员、开标过程和开标结果提出异议，同时投标人因未在线参加开标</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而导致投标文件无法按时解密等一切后果由</w:t>
      </w:r>
      <w:r>
        <w:rPr>
          <w:rFonts w:hint="eastAsia" w:ascii="宋体" w:hAnsi="宋体" w:eastAsia="宋体" w:cs="宋体"/>
          <w:color w:val="auto"/>
          <w:spacing w:val="-3"/>
          <w:sz w:val="24"/>
          <w:szCs w:val="24"/>
          <w:highlight w:val="none"/>
        </w:rPr>
        <w:t>投标人自己承担。</w:t>
      </w:r>
    </w:p>
    <w:p>
      <w:pPr>
        <w:pStyle w:val="7"/>
        <w:spacing w:before="153" w:line="221" w:lineRule="auto"/>
        <w:ind w:left="48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24.2 开标程序：</w:t>
      </w:r>
    </w:p>
    <w:p>
      <w:pPr>
        <w:pStyle w:val="7"/>
        <w:spacing w:before="158" w:line="321" w:lineRule="auto"/>
        <w:ind w:firstLine="5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 解密电子投标文件。“政采云</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”平台按开标时间自动提取所有投标文件。采购代理机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构依托“政采云</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6"/>
          <w:sz w:val="24"/>
          <w:szCs w:val="24"/>
          <w:highlight w:val="none"/>
        </w:rPr>
        <w:t>”平台向各投标人发出电子加密投标文件【开始解密】通知，由投标人按招标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文件规定的时间内自行进行投标文件解密。投标人的法定代表人或其委托代理人须携带加密时</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所用的CA锁准时登录到“政采云</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3"/>
          <w:sz w:val="24"/>
          <w:szCs w:val="24"/>
          <w:highlight w:val="none"/>
        </w:rPr>
        <w:t>”平台电子开标大厅签到并对电子投标文件解密。开标后5分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钟投标人还未进行解密的，代理机构可通知投标人。通知后，投标文件仍未按时解密，或者投</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标人没预留联系方式或预留联系方式无效，导致代理机构无法联系到投标人进行解密的，均视</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rPr>
        <w:t>为无效投标。</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4"/>
          <w:sz w:val="24"/>
          <w:szCs w:val="24"/>
          <w:highlight w:val="none"/>
        </w:rPr>
        <w:t>(解密异常情况处理：详见本章 29.3</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电子交易活动</w:t>
      </w:r>
      <w:r>
        <w:rPr>
          <w:rFonts w:hint="eastAsia" w:ascii="宋体" w:hAnsi="宋体" w:eastAsia="宋体" w:cs="宋体"/>
          <w:color w:val="auto"/>
          <w:spacing w:val="-5"/>
          <w:sz w:val="24"/>
          <w:szCs w:val="24"/>
          <w:highlight w:val="none"/>
        </w:rPr>
        <w:t>的中止。)</w:t>
      </w:r>
    </w:p>
    <w:p>
      <w:pPr>
        <w:pStyle w:val="7"/>
        <w:spacing w:before="155" w:line="279" w:lineRule="auto"/>
        <w:ind w:firstLine="5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电子唱标。投标文件解密结束，各投标供应商报价均在“政采云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8"/>
          <w:sz w:val="24"/>
          <w:szCs w:val="24"/>
          <w:highlight w:val="none"/>
        </w:rPr>
        <w:t>”平台远程不见面开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标大厅展示；</w:t>
      </w:r>
    </w:p>
    <w:p>
      <w:pPr>
        <w:pStyle w:val="7"/>
        <w:spacing w:before="154" w:line="279" w:lineRule="auto"/>
        <w:ind w:left="28" w:right="4" w:firstLine="49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(3)开标过程由采购代理机构如实记录，并电子留痕，由参加电子开标</w:t>
      </w:r>
      <w:r>
        <w:rPr>
          <w:rFonts w:hint="eastAsia" w:ascii="宋体" w:hAnsi="宋体" w:eastAsia="宋体" w:cs="宋体"/>
          <w:color w:val="auto"/>
          <w:spacing w:val="-4"/>
          <w:sz w:val="24"/>
          <w:szCs w:val="24"/>
          <w:highlight w:val="none"/>
        </w:rPr>
        <w:t>的各投标人代表对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电子开标记录在开标记录公布后进行确认，未确认的视同认可开标</w:t>
      </w:r>
      <w:r>
        <w:rPr>
          <w:rFonts w:hint="eastAsia" w:ascii="宋体" w:hAnsi="宋体" w:eastAsia="宋体" w:cs="宋体"/>
          <w:color w:val="auto"/>
          <w:spacing w:val="-4"/>
          <w:sz w:val="24"/>
          <w:szCs w:val="24"/>
          <w:highlight w:val="none"/>
        </w:rPr>
        <w:t>结果。</w:t>
      </w:r>
    </w:p>
    <w:p>
      <w:pPr>
        <w:pStyle w:val="7"/>
        <w:spacing w:before="155" w:line="299" w:lineRule="auto"/>
        <w:ind w:left="1" w:right="2" w:firstLine="5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(4)投标人代表对开标过程和开标记录有疑义，以及认为采购人、采购</w:t>
      </w:r>
      <w:r>
        <w:rPr>
          <w:rFonts w:hint="eastAsia" w:ascii="宋体" w:hAnsi="宋体" w:eastAsia="宋体" w:cs="宋体"/>
          <w:color w:val="auto"/>
          <w:spacing w:val="-4"/>
          <w:sz w:val="24"/>
          <w:szCs w:val="24"/>
          <w:highlight w:val="none"/>
        </w:rPr>
        <w:t>代理机构相关工作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人员有需要回避的情形的，应当场提出在线询问或者回避申请。采购人、采购代理机构对</w:t>
      </w:r>
      <w:r>
        <w:rPr>
          <w:rFonts w:hint="eastAsia" w:ascii="宋体" w:hAnsi="宋体" w:eastAsia="宋体" w:cs="宋体"/>
          <w:color w:val="auto"/>
          <w:spacing w:val="-6"/>
          <w:sz w:val="24"/>
          <w:szCs w:val="24"/>
          <w:highlight w:val="none"/>
        </w:rPr>
        <w:t>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人代表提出的询问或者回避申请应当及时处理。</w:t>
      </w:r>
    </w:p>
    <w:p>
      <w:pPr>
        <w:pStyle w:val="7"/>
        <w:spacing w:before="153" w:line="220"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(5)开标结束。</w:t>
      </w:r>
    </w:p>
    <w:p>
      <w:pPr>
        <w:pStyle w:val="7"/>
        <w:spacing w:before="156" w:line="219"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特别说明：如遇“政采云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3"/>
          <w:sz w:val="24"/>
          <w:szCs w:val="24"/>
          <w:highlight w:val="none"/>
        </w:rPr>
        <w:t>”平台电子化开标或评审程序调整的，按调整后执行。</w:t>
      </w:r>
    </w:p>
    <w:p>
      <w:pPr>
        <w:spacing w:line="219" w:lineRule="auto"/>
        <w:rPr>
          <w:rFonts w:hint="eastAsia" w:ascii="宋体" w:hAnsi="宋体" w:eastAsia="宋体" w:cs="宋体"/>
          <w:color w:val="auto"/>
          <w:sz w:val="24"/>
          <w:szCs w:val="24"/>
          <w:highlight w:val="none"/>
        </w:rPr>
        <w:sectPr>
          <w:footerReference r:id="rId4" w:type="default"/>
          <w:pgSz w:w="11906" w:h="16839"/>
          <w:pgMar w:top="1134" w:right="1134" w:bottom="1134" w:left="1134" w:header="0" w:footer="870" w:gutter="0"/>
          <w:pgNumType w:fmt="decimal" w:start="1"/>
          <w:cols w:space="720" w:num="1"/>
        </w:sectPr>
      </w:pPr>
    </w:p>
    <w:p>
      <w:pPr>
        <w:pStyle w:val="7"/>
        <w:spacing w:before="113" w:line="225" w:lineRule="auto"/>
        <w:ind w:left="4241"/>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五</w:t>
      </w:r>
      <w:r>
        <w:rPr>
          <w:rFonts w:hint="eastAsia" w:ascii="宋体" w:hAnsi="宋体" w:eastAsia="宋体" w:cs="宋体"/>
          <w:b/>
          <w:bCs/>
          <w:color w:val="auto"/>
          <w:spacing w:val="-2"/>
          <w:sz w:val="24"/>
          <w:szCs w:val="24"/>
          <w:highlight w:val="none"/>
        </w:rPr>
        <w:t>、资格审查</w:t>
      </w:r>
    </w:p>
    <w:p>
      <w:pPr>
        <w:spacing w:before="125"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25.资格审查</w:t>
      </w:r>
    </w:p>
    <w:p>
      <w:pPr>
        <w:pStyle w:val="7"/>
        <w:spacing w:before="150" w:line="283" w:lineRule="auto"/>
        <w:ind w:left="3"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25.1 开标结束后，采购人或采购机构依法通过电子投标文件对投标</w:t>
      </w:r>
      <w:r>
        <w:rPr>
          <w:rFonts w:hint="eastAsia" w:ascii="宋体" w:hAnsi="宋体" w:eastAsia="宋体" w:cs="宋体"/>
          <w:color w:val="auto"/>
          <w:spacing w:val="-3"/>
          <w:sz w:val="24"/>
          <w:szCs w:val="24"/>
          <w:highlight w:val="none"/>
        </w:rPr>
        <w:t>人的资格进行线上审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查。</w:t>
      </w:r>
    </w:p>
    <w:p>
      <w:pPr>
        <w:pStyle w:val="7"/>
        <w:spacing w:before="146" w:line="279" w:lineRule="auto"/>
        <w:ind w:left="6"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25.2 采购人或采购机构依据法律法规和招标文件的规定，对投标人</w:t>
      </w:r>
      <w:r>
        <w:rPr>
          <w:rFonts w:hint="eastAsia" w:ascii="宋体" w:hAnsi="宋体" w:eastAsia="宋体" w:cs="宋体"/>
          <w:color w:val="auto"/>
          <w:spacing w:val="-3"/>
          <w:sz w:val="24"/>
          <w:szCs w:val="24"/>
          <w:highlight w:val="none"/>
        </w:rPr>
        <w:t>的基本资格条件、特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定资格条件进行审查。</w:t>
      </w:r>
    </w:p>
    <w:p>
      <w:pPr>
        <w:pStyle w:val="7"/>
        <w:spacing w:before="152" w:line="280" w:lineRule="auto"/>
        <w:ind w:left="2" w:right="76" w:firstLine="4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25.3 资格审查标准为本“招标文件</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pacing w:val="-4"/>
          <w:sz w:val="24"/>
          <w:szCs w:val="24"/>
          <w:highlight w:val="none"/>
        </w:rPr>
        <w:t>”中“投标人须知前附表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”载明对投标人资格要求的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条件。</w:t>
      </w:r>
    </w:p>
    <w:p>
      <w:pPr>
        <w:pStyle w:val="7"/>
        <w:spacing w:before="152" w:line="325" w:lineRule="auto"/>
        <w:ind w:left="8" w:right="73" w:firstLine="47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本项目资格审查采用合格制，凡符合招标文件规定的投标人资格要求的投</w:t>
      </w:r>
      <w:r>
        <w:rPr>
          <w:rFonts w:hint="eastAsia" w:ascii="宋体" w:hAnsi="宋体" w:eastAsia="宋体" w:cs="宋体"/>
          <w:color w:val="auto"/>
          <w:spacing w:val="-6"/>
          <w:sz w:val="24"/>
          <w:szCs w:val="24"/>
          <w:highlight w:val="none"/>
        </w:rPr>
        <w:t>标人均通过资格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审查。</w:t>
      </w:r>
    </w:p>
    <w:p>
      <w:pPr>
        <w:pStyle w:val="7"/>
        <w:spacing w:before="36" w:line="220" w:lineRule="auto"/>
        <w:ind w:left="481"/>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25.4 投标人有下列情形之一的，资格审查不通过，</w:t>
      </w:r>
      <w:r>
        <w:rPr>
          <w:rFonts w:hint="eastAsia" w:ascii="宋体" w:hAnsi="宋体" w:eastAsia="宋体" w:cs="宋体"/>
          <w:color w:val="auto"/>
          <w:spacing w:val="-3"/>
          <w:sz w:val="24"/>
          <w:szCs w:val="24"/>
          <w:highlight w:val="none"/>
        </w:rPr>
        <w:t>作无效投标处理：</w:t>
      </w:r>
    </w:p>
    <w:p>
      <w:pPr>
        <w:pStyle w:val="7"/>
        <w:spacing w:before="152" w:line="279" w:lineRule="auto"/>
        <w:ind w:right="78"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 不具备招标文件中规定的资格要求的；</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4"/>
          <w:sz w:val="24"/>
          <w:szCs w:val="24"/>
          <w:highlight w:val="none"/>
        </w:rPr>
        <w:t>(注：其中信用</w:t>
      </w:r>
      <w:r>
        <w:rPr>
          <w:rFonts w:hint="eastAsia" w:ascii="宋体" w:hAnsi="宋体" w:eastAsia="宋体" w:cs="宋体"/>
          <w:color w:val="auto"/>
          <w:spacing w:val="-5"/>
          <w:sz w:val="24"/>
          <w:szCs w:val="24"/>
          <w:highlight w:val="none"/>
        </w:rPr>
        <w:t>查询规则见“投标人须知前附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表</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5"/>
          <w:sz w:val="24"/>
          <w:szCs w:val="24"/>
          <w:highlight w:val="none"/>
        </w:rPr>
        <w:t>”，“政采云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5"/>
          <w:sz w:val="24"/>
          <w:szCs w:val="24"/>
          <w:highlight w:val="none"/>
        </w:rPr>
        <w:t>”平台已与“信用中国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”平台做接口，审查专家可直接在线查询)</w:t>
      </w:r>
    </w:p>
    <w:p>
      <w:pPr>
        <w:pStyle w:val="7"/>
        <w:spacing w:before="157" w:line="279" w:lineRule="auto"/>
        <w:ind w:right="76"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(2)投标文件未提供任一项“投标人须知前附表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”资格证明文件规定的“必须提供”的文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件资料的；</w:t>
      </w:r>
    </w:p>
    <w:p>
      <w:pPr>
        <w:pStyle w:val="7"/>
        <w:spacing w:before="151" w:line="280" w:lineRule="auto"/>
        <w:ind w:right="196"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 投标文件提供的资格证明文件出现任一项不符合“投标人须知前附表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”资格证明文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件规定的“必须提供”的文件资料要求或者无效</w:t>
      </w:r>
      <w:r>
        <w:rPr>
          <w:rFonts w:hint="eastAsia" w:ascii="宋体" w:hAnsi="宋体" w:eastAsia="宋体" w:cs="宋体"/>
          <w:color w:val="auto"/>
          <w:spacing w:val="-3"/>
          <w:sz w:val="24"/>
          <w:szCs w:val="24"/>
          <w:highlight w:val="none"/>
        </w:rPr>
        <w:t>的。</w:t>
      </w:r>
    </w:p>
    <w:p>
      <w:pPr>
        <w:pStyle w:val="7"/>
        <w:spacing w:before="155" w:line="220" w:lineRule="auto"/>
        <w:ind w:left="481"/>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25.5 资格审查的合格投标人不足3家的，</w:t>
      </w:r>
      <w:r>
        <w:rPr>
          <w:rFonts w:hint="eastAsia" w:ascii="宋体" w:hAnsi="宋体" w:eastAsia="宋体" w:cs="宋体"/>
          <w:color w:val="auto"/>
          <w:spacing w:val="-3"/>
          <w:sz w:val="24"/>
          <w:szCs w:val="24"/>
          <w:highlight w:val="none"/>
        </w:rPr>
        <w:t>不得评标。</w:t>
      </w:r>
    </w:p>
    <w:p>
      <w:pPr>
        <w:spacing w:line="284" w:lineRule="auto"/>
        <w:rPr>
          <w:rFonts w:hint="eastAsia" w:ascii="宋体" w:hAnsi="宋体" w:eastAsia="宋体" w:cs="宋体"/>
          <w:color w:val="auto"/>
          <w:sz w:val="24"/>
          <w:szCs w:val="24"/>
          <w:highlight w:val="none"/>
        </w:rPr>
      </w:pPr>
    </w:p>
    <w:p>
      <w:pPr>
        <w:spacing w:line="285" w:lineRule="auto"/>
        <w:rPr>
          <w:rFonts w:hint="eastAsia" w:ascii="宋体" w:hAnsi="宋体" w:eastAsia="宋体" w:cs="宋体"/>
          <w:color w:val="auto"/>
          <w:sz w:val="24"/>
          <w:szCs w:val="24"/>
          <w:highlight w:val="none"/>
        </w:rPr>
      </w:pPr>
    </w:p>
    <w:p>
      <w:pPr>
        <w:pStyle w:val="7"/>
        <w:spacing w:before="101" w:line="226" w:lineRule="auto"/>
        <w:ind w:left="4413"/>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lang w:val="en-US" w:eastAsia="zh-CN"/>
        </w:rPr>
        <w:t>六</w:t>
      </w:r>
      <w:r>
        <w:rPr>
          <w:rFonts w:hint="eastAsia" w:ascii="宋体" w:hAnsi="宋体" w:eastAsia="宋体" w:cs="宋体"/>
          <w:b/>
          <w:bCs/>
          <w:color w:val="auto"/>
          <w:spacing w:val="-14"/>
          <w:sz w:val="24"/>
          <w:szCs w:val="24"/>
          <w:highlight w:val="none"/>
        </w:rPr>
        <w:t>、</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14"/>
          <w:sz w:val="24"/>
          <w:szCs w:val="24"/>
          <w:highlight w:val="none"/>
        </w:rPr>
        <w:t>评</w:t>
      </w:r>
      <w:r>
        <w:rPr>
          <w:rFonts w:hint="eastAsia" w:ascii="宋体" w:hAnsi="宋体" w:eastAsia="宋体" w:cs="宋体"/>
          <w:color w:val="auto"/>
          <w:spacing w:val="17"/>
          <w:sz w:val="24"/>
          <w:szCs w:val="24"/>
          <w:highlight w:val="none"/>
        </w:rPr>
        <w:t xml:space="preserve"> </w:t>
      </w:r>
      <w:r>
        <w:rPr>
          <w:rFonts w:hint="eastAsia" w:ascii="宋体" w:hAnsi="宋体" w:eastAsia="宋体" w:cs="宋体"/>
          <w:b/>
          <w:bCs/>
          <w:color w:val="auto"/>
          <w:spacing w:val="-14"/>
          <w:sz w:val="24"/>
          <w:szCs w:val="24"/>
          <w:highlight w:val="none"/>
        </w:rPr>
        <w:t>标</w:t>
      </w:r>
    </w:p>
    <w:p>
      <w:pPr>
        <w:spacing w:before="124" w:line="221"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26.组建评标委员会</w:t>
      </w:r>
    </w:p>
    <w:p>
      <w:pPr>
        <w:pStyle w:val="7"/>
        <w:spacing w:before="225" w:line="422" w:lineRule="auto"/>
        <w:ind w:left="16" w:right="129" w:firstLine="4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评标委员会由采购人代表和评审专家组成，人数为5人及以上单数，</w:t>
      </w:r>
      <w:r>
        <w:rPr>
          <w:rFonts w:hint="eastAsia" w:ascii="宋体" w:hAnsi="宋体" w:eastAsia="宋体" w:cs="宋体"/>
          <w:color w:val="auto"/>
          <w:spacing w:val="-3"/>
          <w:sz w:val="24"/>
          <w:szCs w:val="24"/>
          <w:highlight w:val="none"/>
        </w:rPr>
        <w:t>其中评审专家不得少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于成员总数的三分之二。</w:t>
      </w:r>
    </w:p>
    <w:p>
      <w:pPr>
        <w:spacing w:before="145"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27.评标的依据</w:t>
      </w:r>
    </w:p>
    <w:p>
      <w:pPr>
        <w:pStyle w:val="7"/>
        <w:spacing w:before="151" w:line="326" w:lineRule="auto"/>
        <w:ind w:left="20" w:right="80" w:firstLine="45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评标委员会以招标文件为依据对投标文件进行评审，“ 评标方法和评标标准</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”没有</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的方法、评审因素和标准，不作为评标依据。</w:t>
      </w:r>
    </w:p>
    <w:p>
      <w:pPr>
        <w:spacing w:before="33"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28.评标原则</w:t>
      </w:r>
    </w:p>
    <w:p>
      <w:pPr>
        <w:pStyle w:val="7"/>
        <w:spacing w:before="149" w:line="330" w:lineRule="auto"/>
        <w:ind w:left="1"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28.1 评标原则。评标委员会评标时必须公平、公正、客观，不带任何倾向</w:t>
      </w:r>
      <w:r>
        <w:rPr>
          <w:rFonts w:hint="eastAsia" w:ascii="宋体" w:hAnsi="宋体" w:eastAsia="宋体" w:cs="宋体"/>
          <w:color w:val="auto"/>
          <w:spacing w:val="-3"/>
          <w:sz w:val="24"/>
          <w:szCs w:val="24"/>
          <w:highlight w:val="none"/>
        </w:rPr>
        <w:t>性和启发性；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不得向外界透露任何与评标有关的内容；任何单位和个人不得干扰、影响评标的正常进行；评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标委员会及有关工作人员不得私下与投标人接触，不得收受利害关系人的财物</w:t>
      </w:r>
      <w:r>
        <w:rPr>
          <w:rFonts w:hint="eastAsia" w:ascii="宋体" w:hAnsi="宋体" w:eastAsia="宋体" w:cs="宋体"/>
          <w:color w:val="auto"/>
          <w:spacing w:val="-4"/>
          <w:sz w:val="24"/>
          <w:szCs w:val="24"/>
          <w:highlight w:val="none"/>
        </w:rPr>
        <w:t>或者其他好处。</w:t>
      </w:r>
    </w:p>
    <w:p>
      <w:pPr>
        <w:spacing w:line="330" w:lineRule="auto"/>
        <w:rPr>
          <w:rFonts w:hint="eastAsia" w:ascii="宋体" w:hAnsi="宋体" w:eastAsia="宋体" w:cs="宋体"/>
          <w:color w:val="auto"/>
          <w:sz w:val="24"/>
          <w:szCs w:val="24"/>
          <w:highlight w:val="none"/>
        </w:rPr>
        <w:sectPr>
          <w:footerReference r:id="rId5" w:type="default"/>
          <w:pgSz w:w="11906" w:h="16839"/>
          <w:pgMar w:top="1431" w:right="1051" w:bottom="1039" w:left="1141" w:header="0" w:footer="870" w:gutter="0"/>
          <w:pgNumType w:fmt="decimal"/>
          <w:cols w:space="720" w:num="1"/>
        </w:sectPr>
      </w:pPr>
    </w:p>
    <w:p>
      <w:pPr>
        <w:pStyle w:val="7"/>
        <w:spacing w:before="48" w:line="299" w:lineRule="auto"/>
        <w:ind w:left="2"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28.2 评委表决。在评标过程中出现法律法规和招标文件均没有明确</w:t>
      </w:r>
      <w:r>
        <w:rPr>
          <w:rFonts w:hint="eastAsia" w:ascii="宋体" w:hAnsi="宋体" w:eastAsia="宋体" w:cs="宋体"/>
          <w:color w:val="auto"/>
          <w:spacing w:val="-3"/>
          <w:sz w:val="24"/>
          <w:szCs w:val="24"/>
          <w:highlight w:val="none"/>
        </w:rPr>
        <w:t>规定的情形时，由评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标委员会现场协商解决，协商不一致的，由全体评委投票表决，以得票率二分之一以上专家的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意见为准并由采购代理机构作记录。</w:t>
      </w:r>
    </w:p>
    <w:p>
      <w:pPr>
        <w:pStyle w:val="7"/>
        <w:spacing w:before="153" w:line="221" w:lineRule="auto"/>
        <w:ind w:left="4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28.3 评标的保密。</w:t>
      </w:r>
    </w:p>
    <w:p>
      <w:pPr>
        <w:pStyle w:val="7"/>
        <w:spacing w:before="150" w:line="332" w:lineRule="auto"/>
        <w:ind w:firstLine="478"/>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采购人、采购代理机构应当采取必要措施，保</w:t>
      </w:r>
      <w:r>
        <w:rPr>
          <w:rFonts w:hint="eastAsia" w:ascii="宋体" w:hAnsi="宋体" w:eastAsia="宋体" w:cs="宋体"/>
          <w:color w:val="auto"/>
          <w:spacing w:val="-4"/>
          <w:sz w:val="24"/>
          <w:szCs w:val="24"/>
          <w:highlight w:val="none"/>
        </w:rPr>
        <w:t>证评标在严格保密</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(封闭式评标)的情况下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进行。除采购人代表、评标现场组织人员外，采购人的其他工作人员以及与评标工作无关的人</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员不得进入评标现场。有关人员对评标情况以及在评标过程中获悉的国家秘密、商业秘密负有</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保密责任。</w:t>
      </w:r>
    </w:p>
    <w:p>
      <w:pPr>
        <w:pStyle w:val="7"/>
        <w:spacing w:before="36" w:line="279" w:lineRule="auto"/>
        <w:ind w:left="3" w:right="7"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28.4 评标过程的监控。本项目电子评标过程实行网上留痕、全程录</w:t>
      </w:r>
      <w:r>
        <w:rPr>
          <w:rFonts w:hint="eastAsia" w:ascii="宋体" w:hAnsi="宋体" w:eastAsia="宋体" w:cs="宋体"/>
          <w:color w:val="auto"/>
          <w:spacing w:val="-3"/>
          <w:sz w:val="24"/>
          <w:szCs w:val="24"/>
          <w:highlight w:val="none"/>
        </w:rPr>
        <w:t>音、录像监控，投标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人在评标过程中所进行的试图影响评标结果的不公正活动，可能导致</w:t>
      </w:r>
      <w:r>
        <w:rPr>
          <w:rFonts w:hint="eastAsia" w:ascii="宋体" w:hAnsi="宋体" w:eastAsia="宋体" w:cs="宋体"/>
          <w:color w:val="auto"/>
          <w:spacing w:val="-3"/>
          <w:sz w:val="24"/>
          <w:szCs w:val="24"/>
          <w:highlight w:val="none"/>
        </w:rPr>
        <w:t>其投标按无效处理。</w:t>
      </w:r>
    </w:p>
    <w:p>
      <w:pPr>
        <w:pStyle w:val="7"/>
        <w:spacing w:before="153" w:line="299"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28.5 评标委员会发现招标文件存在歧义、重大缺陷导致评标工作无</w:t>
      </w:r>
      <w:r>
        <w:rPr>
          <w:rFonts w:hint="eastAsia" w:ascii="宋体" w:hAnsi="宋体" w:eastAsia="宋体" w:cs="宋体"/>
          <w:color w:val="auto"/>
          <w:spacing w:val="-3"/>
          <w:sz w:val="24"/>
          <w:szCs w:val="24"/>
          <w:highlight w:val="none"/>
        </w:rPr>
        <w:t>法进行，或者招标文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件内容违反国家有关强制性规定的，应当停止评标工作，与采购人或者采购代理机构沟通并作</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书面记录。采购人或者采购代理机构确认后，应当修改招标文件，重新组</w:t>
      </w:r>
      <w:r>
        <w:rPr>
          <w:rFonts w:hint="eastAsia" w:ascii="宋体" w:hAnsi="宋体" w:eastAsia="宋体" w:cs="宋体"/>
          <w:color w:val="auto"/>
          <w:spacing w:val="-3"/>
          <w:sz w:val="24"/>
          <w:szCs w:val="24"/>
          <w:highlight w:val="none"/>
        </w:rPr>
        <w:t>织采购活动。</w:t>
      </w:r>
    </w:p>
    <w:p>
      <w:pPr>
        <w:spacing w:before="153" w:line="221"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29.评标方法及评标标准</w:t>
      </w:r>
    </w:p>
    <w:p>
      <w:pPr>
        <w:pStyle w:val="7"/>
        <w:spacing w:before="155" w:line="219" w:lineRule="auto"/>
        <w:ind w:left="4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29.1 本项目的评标方法详见“投标人须知前附表”。</w:t>
      </w:r>
    </w:p>
    <w:p>
      <w:pPr>
        <w:pStyle w:val="7"/>
        <w:spacing w:before="154" w:line="279" w:lineRule="auto"/>
        <w:ind w:left="2" w:firstLine="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29.2 评标委员会按照“ 评标方法和评标标准</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6"/>
          <w:sz w:val="24"/>
          <w:szCs w:val="24"/>
          <w:highlight w:val="none"/>
        </w:rPr>
        <w:t>”规定的方法、评审因素、标准和程序对投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标文件进行评审。</w:t>
      </w:r>
    </w:p>
    <w:p>
      <w:pPr>
        <w:pStyle w:val="7"/>
        <w:spacing w:before="154" w:line="315" w:lineRule="auto"/>
        <w:ind w:left="9" w:firstLine="4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29.3</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电子交易活动的中止。采购过程中出现以下情形，导致电子交易平台无法正</w:t>
      </w:r>
      <w:r>
        <w:rPr>
          <w:rFonts w:hint="eastAsia" w:ascii="宋体" w:hAnsi="宋体" w:eastAsia="宋体" w:cs="宋体"/>
          <w:color w:val="auto"/>
          <w:spacing w:val="-4"/>
          <w:sz w:val="24"/>
          <w:szCs w:val="24"/>
          <w:highlight w:val="none"/>
        </w:rPr>
        <w:t>常运行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6"/>
          <w:sz w:val="24"/>
          <w:szCs w:val="24"/>
          <w:highlight w:val="none"/>
        </w:rPr>
        <w:t>或者无法保证电子交易的公平、公正和安全时，采购机构可中止电子交易活动。不影响采购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公平、公正性的，采购组织机构可以待上述情形消除后继续组织电子交易活动；影</w:t>
      </w:r>
      <w:r>
        <w:rPr>
          <w:rFonts w:hint="eastAsia" w:ascii="宋体" w:hAnsi="宋体" w:eastAsia="宋体" w:cs="宋体"/>
          <w:color w:val="auto"/>
          <w:spacing w:val="-6"/>
          <w:sz w:val="24"/>
          <w:szCs w:val="24"/>
          <w:highlight w:val="none"/>
        </w:rPr>
        <w:t>响或可能影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响采购公平、公正性的，经采购代理机构确认后，应当重新采购。采购代理机构必</w:t>
      </w:r>
      <w:r>
        <w:rPr>
          <w:rFonts w:hint="eastAsia" w:ascii="宋体" w:hAnsi="宋体" w:eastAsia="宋体" w:cs="宋体"/>
          <w:color w:val="auto"/>
          <w:spacing w:val="-6"/>
          <w:sz w:val="24"/>
          <w:szCs w:val="24"/>
          <w:highlight w:val="none"/>
        </w:rPr>
        <w:t>须对原有的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资料及信息作出妥善保密处理，并报财政部门备案：</w:t>
      </w:r>
    </w:p>
    <w:p>
      <w:pPr>
        <w:pStyle w:val="7"/>
        <w:spacing w:before="153"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6"/>
          <w:sz w:val="24"/>
          <w:szCs w:val="24"/>
          <w:highlight w:val="none"/>
        </w:rPr>
        <w:t>电子交易平台发生故障而无法登录访问的；</w:t>
      </w:r>
    </w:p>
    <w:p>
      <w:pPr>
        <w:pStyle w:val="7"/>
        <w:spacing w:before="155"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5"/>
          <w:sz w:val="24"/>
          <w:szCs w:val="24"/>
          <w:highlight w:val="none"/>
        </w:rPr>
        <w:t>电子交易平台应用或数据库出现错误，不能进行正常操作的；</w:t>
      </w:r>
    </w:p>
    <w:p>
      <w:pPr>
        <w:pStyle w:val="7"/>
        <w:spacing w:before="153" w:line="221"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电子交易平台发现严重安全漏洞，有潜在泄密危险的；</w:t>
      </w:r>
    </w:p>
    <w:p>
      <w:pPr>
        <w:pStyle w:val="7"/>
        <w:spacing w:before="152"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 病毒发作导致不能进行正常操作的；</w:t>
      </w:r>
    </w:p>
    <w:p>
      <w:pPr>
        <w:pStyle w:val="7"/>
        <w:spacing w:before="156" w:line="221" w:lineRule="auto"/>
        <w:ind w:left="52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(5)其他无法保证电子交易的公平、公正和安全的情况。</w:t>
      </w: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pStyle w:val="7"/>
        <w:spacing w:before="101" w:line="226" w:lineRule="auto"/>
        <w:ind w:left="4413"/>
        <w:outlineLvl w:val="3"/>
        <w:rPr>
          <w:rFonts w:hint="eastAsia" w:ascii="宋体" w:hAnsi="宋体" w:eastAsia="宋体" w:cs="宋体"/>
          <w:b/>
          <w:bCs/>
          <w:color w:val="auto"/>
          <w:spacing w:val="-14"/>
          <w:sz w:val="24"/>
          <w:szCs w:val="24"/>
          <w:highlight w:val="none"/>
        </w:rPr>
      </w:pPr>
      <w:r>
        <w:rPr>
          <w:rFonts w:hint="eastAsia" w:cs="宋体"/>
          <w:b/>
          <w:bCs/>
          <w:color w:val="auto"/>
          <w:spacing w:val="-14"/>
          <w:sz w:val="24"/>
          <w:szCs w:val="24"/>
          <w:highlight w:val="none"/>
          <w:lang w:val="en-US" w:eastAsia="zh-CN"/>
        </w:rPr>
        <w:t>七</w:t>
      </w:r>
      <w:r>
        <w:rPr>
          <w:rFonts w:hint="eastAsia" w:ascii="宋体" w:hAnsi="宋体" w:eastAsia="宋体" w:cs="宋体"/>
          <w:b/>
          <w:bCs/>
          <w:color w:val="auto"/>
          <w:spacing w:val="-14"/>
          <w:sz w:val="24"/>
          <w:szCs w:val="24"/>
          <w:highlight w:val="none"/>
        </w:rPr>
        <w:t>、中标和合同</w:t>
      </w:r>
    </w:p>
    <w:p>
      <w:pPr>
        <w:spacing w:before="122" w:line="222"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30.确定中标人</w:t>
      </w:r>
    </w:p>
    <w:p>
      <w:pPr>
        <w:pStyle w:val="7"/>
        <w:spacing w:before="154" w:line="279" w:lineRule="auto"/>
        <w:ind w:left="2" w:right="50" w:firstLine="464"/>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30.1</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本项目授权评标委员会直接按“评标方法及标准”的规定排列中标候选人顺序，并依</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1"/>
          <w:sz w:val="24"/>
          <w:szCs w:val="24"/>
          <w:highlight w:val="none"/>
        </w:rPr>
        <w:t>照次序确定中标人。</w:t>
      </w:r>
    </w:p>
    <w:p>
      <w:pPr>
        <w:pStyle w:val="7"/>
        <w:spacing w:before="45" w:line="315" w:lineRule="auto"/>
        <w:ind w:left="2" w:right="46" w:firstLine="46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30.2 提供相同品牌产品且通过资格审查、符合性审查的不同投标人参加同一合同项下投标的，按一家投标人计算，采用最低评标价法则以报价最低</w:t>
      </w:r>
      <w:r>
        <w:rPr>
          <w:rFonts w:hint="eastAsia" w:ascii="宋体" w:hAnsi="宋体" w:eastAsia="宋体" w:cs="宋体"/>
          <w:color w:val="auto"/>
          <w:spacing w:val="-11"/>
          <w:sz w:val="24"/>
          <w:szCs w:val="24"/>
          <w:highlight w:val="none"/>
        </w:rPr>
        <w:t>者参与评标，采用综合评分法则以评审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得分最高者获得中标人推荐资格，采用最低评标价法报价相同的</w:t>
      </w:r>
      <w:r>
        <w:rPr>
          <w:rFonts w:hint="eastAsia" w:ascii="宋体" w:hAnsi="宋体" w:eastAsia="宋体" w:cs="宋体"/>
          <w:color w:val="auto"/>
          <w:spacing w:val="-11"/>
          <w:sz w:val="24"/>
          <w:szCs w:val="24"/>
          <w:highlight w:val="none"/>
        </w:rPr>
        <w:t>或者采用综合评分法评审得分相</w:t>
      </w:r>
      <w:r>
        <w:rPr>
          <w:rFonts w:hint="eastAsia" w:ascii="宋体" w:hAnsi="宋体" w:eastAsia="宋体" w:cs="宋体"/>
          <w:color w:val="auto"/>
          <w:spacing w:val="-10"/>
          <w:sz w:val="24"/>
          <w:szCs w:val="24"/>
          <w:highlight w:val="none"/>
        </w:rPr>
        <w:t>同的，按“投标人须知前附表”规定方式确定，确定后其他同品</w:t>
      </w:r>
      <w:r>
        <w:rPr>
          <w:rFonts w:hint="eastAsia" w:ascii="宋体" w:hAnsi="宋体" w:eastAsia="宋体" w:cs="宋体"/>
          <w:color w:val="auto"/>
          <w:spacing w:val="-11"/>
          <w:sz w:val="24"/>
          <w:szCs w:val="24"/>
          <w:highlight w:val="none"/>
        </w:rPr>
        <w:t>牌投标人投标无效或不作为中标</w:t>
      </w:r>
      <w:r>
        <w:rPr>
          <w:rFonts w:hint="eastAsia" w:ascii="宋体" w:hAnsi="宋体" w:eastAsia="宋体" w:cs="宋体"/>
          <w:color w:val="auto"/>
          <w:spacing w:val="-8"/>
          <w:sz w:val="24"/>
          <w:szCs w:val="24"/>
          <w:highlight w:val="none"/>
        </w:rPr>
        <w:t>候选人。</w:t>
      </w:r>
    </w:p>
    <w:p>
      <w:pPr>
        <w:pStyle w:val="7"/>
        <w:spacing w:before="156" w:line="298" w:lineRule="auto"/>
        <w:ind w:left="3" w:right="48" w:firstLine="46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30.3 采购人、采购代理机构认为供应商对采购过程、中标结果提出的质疑成立且影响或者可能影响中标结果的，合格供应商符合法定数量时，可</w:t>
      </w:r>
      <w:r>
        <w:rPr>
          <w:rFonts w:hint="eastAsia" w:ascii="宋体" w:hAnsi="宋体" w:eastAsia="宋体" w:cs="宋体"/>
          <w:color w:val="auto"/>
          <w:spacing w:val="-11"/>
          <w:sz w:val="24"/>
          <w:szCs w:val="24"/>
          <w:highlight w:val="none"/>
        </w:rPr>
        <w:t>以从合格的中标候选人中另行确定中标人</w:t>
      </w:r>
      <w:r>
        <w:rPr>
          <w:rFonts w:hint="eastAsia" w:ascii="宋体" w:hAnsi="宋体" w:eastAsia="宋体" w:cs="宋体"/>
          <w:color w:val="auto"/>
          <w:spacing w:val="-10"/>
          <w:sz w:val="24"/>
          <w:szCs w:val="24"/>
          <w:highlight w:val="none"/>
        </w:rPr>
        <w:t>的，应当依法另行确定中标人；否则应当重新开展采购活动。</w:t>
      </w:r>
    </w:p>
    <w:p>
      <w:pPr>
        <w:pStyle w:val="7"/>
        <w:spacing w:before="156" w:line="279" w:lineRule="auto"/>
        <w:ind w:left="1" w:right="152" w:firstLine="46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30.4 中标供应商无正当理由拒签合同的，根据《中华人民共和国政府采购法》第七十七条</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第一款规定处理。</w:t>
      </w:r>
    </w:p>
    <w:p>
      <w:pPr>
        <w:pStyle w:val="7"/>
        <w:spacing w:before="152" w:line="280" w:lineRule="auto"/>
        <w:ind w:left="21" w:right="152" w:firstLine="44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30.5 根据《中华人民共和国民法典》第五百六十三条，因不可抗力致使不能实现合同目的</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的，当事人可以解除合同。</w:t>
      </w:r>
    </w:p>
    <w:p>
      <w:pPr>
        <w:spacing w:before="154" w:line="223"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31、采购结果</w:t>
      </w:r>
    </w:p>
    <w:p>
      <w:pPr>
        <w:pStyle w:val="7"/>
        <w:spacing w:before="147" w:line="324"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31.1</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0"/>
          <w:sz w:val="24"/>
          <w:szCs w:val="24"/>
          <w:highlight w:val="none"/>
        </w:rPr>
        <w:t>在中标供应商确定之日2个工作日内，由采购代理机构</w:t>
      </w:r>
      <w:r>
        <w:rPr>
          <w:rFonts w:hint="eastAsia" w:ascii="宋体" w:hAnsi="宋体" w:eastAsia="宋体" w:cs="宋体"/>
          <w:b/>
          <w:bCs/>
          <w:color w:val="auto"/>
          <w:spacing w:val="-10"/>
          <w:sz w:val="24"/>
          <w:szCs w:val="24"/>
          <w:highlight w:val="none"/>
        </w:rPr>
        <w:t>在招标公告发布媒体上</w:t>
      </w:r>
      <w:r>
        <w:rPr>
          <w:rFonts w:hint="eastAsia" w:ascii="宋体" w:hAnsi="宋体" w:eastAsia="宋体" w:cs="宋体"/>
          <w:color w:val="auto"/>
          <w:spacing w:val="-10"/>
          <w:sz w:val="24"/>
          <w:szCs w:val="24"/>
          <w:highlight w:val="none"/>
        </w:rPr>
        <w:t>发布中标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结果公告，中标结果公告期限为1个工作日，发布中标结果</w:t>
      </w:r>
      <w:r>
        <w:rPr>
          <w:rFonts w:hint="eastAsia" w:ascii="宋体" w:hAnsi="宋体" w:eastAsia="宋体" w:cs="宋体"/>
          <w:color w:val="auto"/>
          <w:spacing w:val="-3"/>
          <w:sz w:val="24"/>
          <w:szCs w:val="24"/>
          <w:highlight w:val="none"/>
        </w:rPr>
        <w:t>公告的同时向中标供应商发出中标</w:t>
      </w:r>
      <w:r>
        <w:rPr>
          <w:rFonts w:hint="eastAsia" w:ascii="宋体" w:hAnsi="宋体" w:eastAsia="宋体" w:cs="宋体"/>
          <w:color w:val="auto"/>
          <w:spacing w:val="-11"/>
          <w:sz w:val="24"/>
          <w:szCs w:val="24"/>
          <w:highlight w:val="none"/>
        </w:rPr>
        <w:t>通知书。</w:t>
      </w:r>
      <w:r>
        <w:rPr>
          <w:rFonts w:hint="eastAsia" w:ascii="宋体" w:hAnsi="宋体" w:eastAsia="宋体" w:cs="宋体"/>
          <w:b/>
          <w:bCs/>
          <w:color w:val="auto"/>
          <w:spacing w:val="-11"/>
          <w:sz w:val="24"/>
          <w:szCs w:val="24"/>
          <w:highlight w:val="none"/>
        </w:rPr>
        <w:t>采购代理机构发出中标通知书前，应当对中</w:t>
      </w:r>
      <w:r>
        <w:rPr>
          <w:rFonts w:hint="eastAsia" w:ascii="宋体" w:hAnsi="宋体" w:eastAsia="宋体" w:cs="宋体"/>
          <w:b/>
          <w:bCs/>
          <w:color w:val="auto"/>
          <w:spacing w:val="-12"/>
          <w:sz w:val="24"/>
          <w:szCs w:val="24"/>
          <w:highlight w:val="none"/>
        </w:rPr>
        <w:t>标人信用进行核实，对列入失信被执行人、</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3"/>
          <w:sz w:val="24"/>
          <w:szCs w:val="24"/>
          <w:highlight w:val="none"/>
        </w:rPr>
        <w:t>重大税收违法案件当事人名单、政府采购严重违法失信行为记录名单及其他不符合《中华人民共</w:t>
      </w:r>
      <w:r>
        <w:rPr>
          <w:rFonts w:hint="eastAsia" w:ascii="宋体" w:hAnsi="宋体" w:eastAsia="宋体" w:cs="宋体"/>
          <w:b/>
          <w:bCs/>
          <w:color w:val="auto"/>
          <w:spacing w:val="-11"/>
          <w:sz w:val="24"/>
          <w:szCs w:val="24"/>
          <w:highlight w:val="none"/>
        </w:rPr>
        <w:t>和国政府采购法》第二十二条规定条件</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的投</w:t>
      </w:r>
      <w:r>
        <w:rPr>
          <w:rFonts w:hint="eastAsia" w:ascii="宋体" w:hAnsi="宋体" w:eastAsia="宋体" w:cs="宋体"/>
          <w:b/>
          <w:bCs/>
          <w:color w:val="auto"/>
          <w:spacing w:val="-12"/>
          <w:sz w:val="24"/>
          <w:szCs w:val="24"/>
          <w:highlight w:val="none"/>
        </w:rPr>
        <w:t>标人，取消其中标资格，并确定排名第二的中标候</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1"/>
          <w:sz w:val="24"/>
          <w:szCs w:val="24"/>
          <w:highlight w:val="none"/>
        </w:rPr>
        <w:t>选人为中标人。</w:t>
      </w:r>
      <w:r>
        <w:rPr>
          <w:rFonts w:hint="eastAsia" w:ascii="宋体" w:hAnsi="宋体" w:eastAsia="宋体" w:cs="宋体"/>
          <w:color w:val="auto"/>
          <w:spacing w:val="-11"/>
          <w:sz w:val="24"/>
          <w:szCs w:val="24"/>
          <w:highlight w:val="none"/>
        </w:rPr>
        <w:t>排名第二的中标候选人因前款规定的同样原因被取消中标资格的，授权的评标委</w:t>
      </w:r>
      <w:r>
        <w:rPr>
          <w:rFonts w:hint="eastAsia" w:ascii="宋体" w:hAnsi="宋体" w:eastAsia="宋体" w:cs="宋体"/>
          <w:color w:val="auto"/>
          <w:spacing w:val="-5"/>
          <w:sz w:val="24"/>
          <w:szCs w:val="24"/>
          <w:highlight w:val="none"/>
        </w:rPr>
        <w:t>员会可以确定排名第三的中标候选人为中标人，以此类推。以上信息查询记录及相关证</w:t>
      </w:r>
      <w:r>
        <w:rPr>
          <w:rFonts w:hint="eastAsia" w:ascii="宋体" w:hAnsi="宋体" w:eastAsia="宋体" w:cs="宋体"/>
          <w:color w:val="auto"/>
          <w:spacing w:val="-6"/>
          <w:sz w:val="24"/>
          <w:szCs w:val="24"/>
          <w:highlight w:val="none"/>
        </w:rPr>
        <w:t>据与采</w:t>
      </w:r>
      <w:r>
        <w:rPr>
          <w:rFonts w:hint="eastAsia" w:ascii="宋体" w:hAnsi="宋体" w:eastAsia="宋体" w:cs="宋体"/>
          <w:color w:val="auto"/>
          <w:spacing w:val="-3"/>
          <w:sz w:val="24"/>
          <w:szCs w:val="24"/>
          <w:highlight w:val="none"/>
        </w:rPr>
        <w:t>购文件一并保存。</w:t>
      </w:r>
    </w:p>
    <w:p>
      <w:pPr>
        <w:pStyle w:val="7"/>
        <w:spacing w:before="153" w:line="299" w:lineRule="auto"/>
        <w:ind w:left="2" w:right="58" w:firstLine="42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31.2 中小企业在政府采购活动过程中，请根</w:t>
      </w:r>
      <w:r>
        <w:rPr>
          <w:rFonts w:hint="eastAsia" w:ascii="宋体" w:hAnsi="宋体" w:eastAsia="宋体" w:cs="宋体"/>
          <w:color w:val="auto"/>
          <w:spacing w:val="-14"/>
          <w:sz w:val="24"/>
          <w:szCs w:val="24"/>
          <w:highlight w:val="none"/>
        </w:rPr>
        <w:t>据企业的真实情况出具《中小企业声明函》。依</w:t>
      </w:r>
      <w:r>
        <w:rPr>
          <w:rFonts w:hint="eastAsia" w:ascii="宋体" w:hAnsi="宋体" w:eastAsia="宋体" w:cs="宋体"/>
          <w:color w:val="auto"/>
          <w:spacing w:val="-5"/>
          <w:sz w:val="24"/>
          <w:szCs w:val="24"/>
          <w:highlight w:val="none"/>
        </w:rPr>
        <w:t>法享受中小企业优惠政策的，采购人或者采购代理机构在公告中标结果时，同时公告其《中小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企业声明函》，接受社会监督。</w:t>
      </w:r>
    </w:p>
    <w:p>
      <w:pPr>
        <w:spacing w:before="154" w:line="221"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32.发出中标通知书</w:t>
      </w:r>
    </w:p>
    <w:p>
      <w:pPr>
        <w:pStyle w:val="7"/>
        <w:spacing w:before="151" w:line="280" w:lineRule="auto"/>
        <w:ind w:left="6" w:right="151" w:firstLine="422"/>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32.1</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在发布中标公告的同时，采购代理机构向中标人通过“政采云”平台</w:t>
      </w:r>
      <w:r>
        <w:rPr>
          <w:rFonts w:hint="eastAsia" w:ascii="宋体" w:hAnsi="宋体" w:eastAsia="宋体" w:cs="宋体"/>
          <w:b/>
          <w:bCs/>
          <w:color w:val="auto"/>
          <w:spacing w:val="-12"/>
          <w:sz w:val="24"/>
          <w:szCs w:val="24"/>
          <w:highlight w:val="none"/>
        </w:rPr>
        <w:t>发出电子中标通</w:t>
      </w:r>
      <w:r>
        <w:rPr>
          <w:rFonts w:hint="eastAsia" w:ascii="宋体" w:hAnsi="宋体" w:eastAsia="宋体" w:cs="宋体"/>
          <w:b/>
          <w:bCs/>
          <w:color w:val="auto"/>
          <w:spacing w:val="-11"/>
          <w:sz w:val="24"/>
          <w:szCs w:val="24"/>
          <w:highlight w:val="none"/>
        </w:rPr>
        <w:t>知书。</w:t>
      </w:r>
    </w:p>
    <w:p>
      <w:pPr>
        <w:pStyle w:val="7"/>
        <w:spacing w:before="153" w:line="219" w:lineRule="auto"/>
        <w:ind w:left="429"/>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32.2</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对未通过资格审查的投标人，采购人或采购机构应当告知其未通过的原因。</w:t>
      </w:r>
    </w:p>
    <w:p>
      <w:pPr>
        <w:spacing w:before="155" w:line="221"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33. 无义务解释未中标原因</w:t>
      </w:r>
    </w:p>
    <w:p>
      <w:pPr>
        <w:pStyle w:val="7"/>
        <w:spacing w:before="155" w:line="219" w:lineRule="auto"/>
        <w:ind w:left="423"/>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采购代理机构无义务向未中标的投标人解释未中标</w:t>
      </w:r>
      <w:r>
        <w:rPr>
          <w:rFonts w:hint="eastAsia" w:ascii="宋体" w:hAnsi="宋体" w:eastAsia="宋体" w:cs="宋体"/>
          <w:b/>
          <w:bCs/>
          <w:color w:val="auto"/>
          <w:spacing w:val="-12"/>
          <w:sz w:val="24"/>
          <w:szCs w:val="24"/>
          <w:highlight w:val="none"/>
        </w:rPr>
        <w:t>原因和退还投标文件。</w:t>
      </w:r>
    </w:p>
    <w:p>
      <w:pPr>
        <w:spacing w:before="154" w:line="222"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34.合同授予标准</w:t>
      </w:r>
    </w:p>
    <w:p>
      <w:pPr>
        <w:pStyle w:val="7"/>
        <w:spacing w:before="150" w:line="326" w:lineRule="auto"/>
        <w:ind w:left="7" w:right="70" w:firstLine="5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合同将授予被确定实质上响应招标文件要求，具备履行合同能力的中标人(招标文件</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另有约定多名中标人的除外)。</w:t>
      </w:r>
    </w:p>
    <w:p>
      <w:pPr>
        <w:spacing w:before="48" w:line="222" w:lineRule="auto"/>
        <w:ind w:left="47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35.履约保证金</w:t>
      </w:r>
    </w:p>
    <w:p>
      <w:pPr>
        <w:pStyle w:val="7"/>
        <w:spacing w:before="151" w:line="328" w:lineRule="auto"/>
        <w:ind w:left="472" w:right="6551" w:hanging="3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见 “投标人须知前附表”。 36.</w:t>
      </w:r>
      <w:r>
        <w:rPr>
          <w:rFonts w:hint="eastAsia" w:ascii="宋体" w:hAnsi="宋体" w:eastAsia="宋体" w:cs="宋体"/>
          <w:color w:val="auto"/>
          <w:spacing w:val="-4"/>
          <w:sz w:val="24"/>
          <w:szCs w:val="24"/>
          <w:highlight w:val="none"/>
        </w:rPr>
        <w:t>签订合同</w:t>
      </w:r>
    </w:p>
    <w:p>
      <w:pPr>
        <w:pStyle w:val="7"/>
        <w:spacing w:before="25" w:line="319" w:lineRule="auto"/>
        <w:ind w:right="61" w:firstLine="428"/>
        <w:rPr>
          <w:rFonts w:hint="eastAsia" w:ascii="宋体" w:hAnsi="宋体" w:eastAsia="宋体" w:cs="宋体"/>
          <w:color w:val="auto"/>
          <w:sz w:val="24"/>
          <w:szCs w:val="24"/>
          <w:highlight w:val="none"/>
        </w:rPr>
      </w:pPr>
      <w:r>
        <w:rPr>
          <w:rFonts w:hint="eastAsia" w:ascii="宋体" w:hAnsi="宋体" w:eastAsia="宋体" w:cs="宋体"/>
          <w:b/>
          <w:bCs/>
          <w:color w:val="auto"/>
          <w:spacing w:val="-13"/>
          <w:sz w:val="24"/>
          <w:szCs w:val="24"/>
          <w:highlight w:val="none"/>
        </w:rPr>
        <w:t>36.1</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13"/>
          <w:sz w:val="24"/>
          <w:szCs w:val="24"/>
          <w:highlight w:val="none"/>
        </w:rPr>
        <w:t>中标人领取电子中标通知书后，</w:t>
      </w:r>
      <w:r>
        <w:rPr>
          <w:rFonts w:hint="eastAsia" w:ascii="宋体" w:hAnsi="宋体" w:eastAsia="宋体" w:cs="宋体"/>
          <w:color w:val="auto"/>
          <w:spacing w:val="-13"/>
          <w:sz w:val="24"/>
          <w:szCs w:val="24"/>
          <w:highlight w:val="none"/>
        </w:rPr>
        <w:t>按规定的日期、时间、地点，由法定代表人或其授权代</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表与采购人代表签订采购合同。如中标人为联合体的，由联合体成员各方法定代表人或其授权</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代表与采购人代表签订合同。在合同签订之前，招标代理机构或招标人有权对中标人的履约能</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力及中标的产品的质量进行最后审查，如发现中标人提供的材料虚假或对标书所要求说明的情</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况故意隐瞒或虚报，则招标采购单位有权取消其中标资格，并另行决定评标得分（或价格）居</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其后的投标人中标（在标书有效期内）或由招标代理机构组</w:t>
      </w:r>
      <w:r>
        <w:rPr>
          <w:rFonts w:hint="eastAsia" w:ascii="宋体" w:hAnsi="宋体" w:eastAsia="宋体" w:cs="宋体"/>
          <w:color w:val="auto"/>
          <w:spacing w:val="-3"/>
          <w:sz w:val="24"/>
          <w:szCs w:val="24"/>
          <w:highlight w:val="none"/>
        </w:rPr>
        <w:t>织重新招标。</w:t>
      </w:r>
    </w:p>
    <w:p>
      <w:pPr>
        <w:pStyle w:val="7"/>
        <w:spacing w:before="152" w:line="309" w:lineRule="auto"/>
        <w:ind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36.2 采购人与成交供应商应当在成交通知书发出之日起30日内，按</w:t>
      </w:r>
      <w:r>
        <w:rPr>
          <w:rFonts w:hint="eastAsia" w:ascii="宋体" w:hAnsi="宋体" w:eastAsia="宋体" w:cs="宋体"/>
          <w:color w:val="auto"/>
          <w:spacing w:val="-3"/>
          <w:sz w:val="24"/>
          <w:szCs w:val="24"/>
          <w:highlight w:val="none"/>
        </w:rPr>
        <w:t>照采购文件确定的合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同文本以及采购标的、采购金额、技术和服务要求等事项签订政府采购合同。采购人不得向成</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交供应商提出超出采购文件以外的任何要求作为签订合同的条件，不得与成交供应商订立背离</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采购商文件确定的合同文本以及采购标的、采购金额、技术和服务要求等实质性内</w:t>
      </w:r>
      <w:r>
        <w:rPr>
          <w:rFonts w:hint="eastAsia" w:ascii="宋体" w:hAnsi="宋体" w:eastAsia="宋体" w:cs="宋体"/>
          <w:color w:val="auto"/>
          <w:spacing w:val="-4"/>
          <w:sz w:val="24"/>
          <w:szCs w:val="24"/>
          <w:highlight w:val="none"/>
        </w:rPr>
        <w:t>容的协议。</w:t>
      </w:r>
    </w:p>
    <w:p>
      <w:pPr>
        <w:pStyle w:val="7"/>
        <w:spacing w:before="153" w:line="299" w:lineRule="auto"/>
        <w:ind w:right="76" w:firstLine="42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36.3</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中标人拒绝与采购人签订合同的，采购人可以按照评审报告推荐的中标候选人名单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排序，确定下一候选人为中标人，也可以重新开展政府采购活动。如采购人无正当</w:t>
      </w:r>
      <w:r>
        <w:rPr>
          <w:rFonts w:hint="eastAsia" w:ascii="宋体" w:hAnsi="宋体" w:eastAsia="宋体" w:cs="宋体"/>
          <w:color w:val="auto"/>
          <w:spacing w:val="-6"/>
          <w:sz w:val="24"/>
          <w:szCs w:val="24"/>
          <w:highlight w:val="none"/>
        </w:rPr>
        <w:t>理由拒签合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同的，给中标供应商造成损失的，中标供应商可追究采购人承担相应的法律责任。</w:t>
      </w:r>
    </w:p>
    <w:p>
      <w:pPr>
        <w:pStyle w:val="7"/>
        <w:spacing w:before="152" w:line="309" w:lineRule="auto"/>
        <w:ind w:right="68" w:firstLine="47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36.4 采购文件所附《合同主要条款》是采购人与成</w:t>
      </w:r>
      <w:r>
        <w:rPr>
          <w:rFonts w:hint="eastAsia" w:ascii="宋体" w:hAnsi="宋体" w:eastAsia="宋体" w:cs="宋体"/>
          <w:color w:val="auto"/>
          <w:spacing w:val="-8"/>
          <w:sz w:val="24"/>
          <w:szCs w:val="24"/>
          <w:highlight w:val="none"/>
        </w:rPr>
        <w:t>交供应商签订合同的基本条款，成交供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应商应认真阅读，在没有实质性违反采购文件及响应文件的前提下，采购人有权在合</w:t>
      </w:r>
      <w:r>
        <w:rPr>
          <w:rFonts w:hint="eastAsia" w:ascii="宋体" w:hAnsi="宋体" w:eastAsia="宋体" w:cs="宋体"/>
          <w:color w:val="auto"/>
          <w:spacing w:val="-7"/>
          <w:sz w:val="24"/>
          <w:szCs w:val="24"/>
          <w:highlight w:val="none"/>
        </w:rPr>
        <w:t>同签订前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对合同条款进行适当修改、增加、删除，成交供应商不得以此为由拒绝签订合同。对</w:t>
      </w:r>
      <w:r>
        <w:rPr>
          <w:rFonts w:hint="eastAsia" w:ascii="宋体" w:hAnsi="宋体" w:eastAsia="宋体" w:cs="宋体"/>
          <w:color w:val="auto"/>
          <w:spacing w:val="-7"/>
          <w:sz w:val="24"/>
          <w:szCs w:val="24"/>
          <w:highlight w:val="none"/>
        </w:rPr>
        <w:t>此，请供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应商参加采购前慎重考虑相关商业风险。</w:t>
      </w:r>
    </w:p>
    <w:p>
      <w:pPr>
        <w:pStyle w:val="7"/>
        <w:spacing w:before="156" w:line="279" w:lineRule="auto"/>
        <w:ind w:left="4" w:right="68" w:firstLine="42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36.5 中标通知书是购销合同的组成部分，对采购人和</w:t>
      </w:r>
      <w:r>
        <w:rPr>
          <w:rFonts w:hint="eastAsia" w:ascii="宋体" w:hAnsi="宋体" w:eastAsia="宋体" w:cs="宋体"/>
          <w:color w:val="auto"/>
          <w:spacing w:val="-7"/>
          <w:sz w:val="24"/>
          <w:szCs w:val="24"/>
          <w:highlight w:val="none"/>
        </w:rPr>
        <w:t>中标人均具有法律效力。中标通知书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发出后招标代理机构改变中标结果或中标人放弃中标项目的，均应依法承担法律</w:t>
      </w:r>
      <w:r>
        <w:rPr>
          <w:rFonts w:hint="eastAsia" w:ascii="宋体" w:hAnsi="宋体" w:eastAsia="宋体" w:cs="宋体"/>
          <w:color w:val="auto"/>
          <w:spacing w:val="-7"/>
          <w:sz w:val="24"/>
          <w:szCs w:val="24"/>
          <w:highlight w:val="none"/>
        </w:rPr>
        <w:t>责任。</w:t>
      </w:r>
    </w:p>
    <w:p>
      <w:pPr>
        <w:pStyle w:val="7"/>
        <w:spacing w:before="155" w:line="299" w:lineRule="auto"/>
        <w:ind w:left="17" w:right="68" w:firstLine="41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36.6 如签订合同并生效后，供应商无故拒绝或延期，</w:t>
      </w:r>
      <w:r>
        <w:rPr>
          <w:rFonts w:hint="eastAsia" w:ascii="宋体" w:hAnsi="宋体" w:eastAsia="宋体" w:cs="宋体"/>
          <w:color w:val="auto"/>
          <w:spacing w:val="-7"/>
          <w:sz w:val="24"/>
          <w:szCs w:val="24"/>
          <w:highlight w:val="none"/>
        </w:rPr>
        <w:t>除按照合同条款处理外，将承担相应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的法律责任。政府采购合同继续履行将损害</w:t>
      </w:r>
      <w:r>
        <w:rPr>
          <w:rFonts w:hint="eastAsia" w:ascii="宋体" w:hAnsi="宋体" w:eastAsia="宋体" w:cs="宋体"/>
          <w:color w:val="auto"/>
          <w:spacing w:val="-7"/>
          <w:sz w:val="24"/>
          <w:szCs w:val="24"/>
          <w:highlight w:val="none"/>
        </w:rPr>
        <w:t>国家利益和社会公共利益的，双方当事人应当变更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、中止或终止合同，有过错的一方应当承担赔赏责任，</w:t>
      </w:r>
      <w:r>
        <w:rPr>
          <w:rFonts w:hint="eastAsia" w:ascii="宋体" w:hAnsi="宋体" w:eastAsia="宋体" w:cs="宋体"/>
          <w:color w:val="auto"/>
          <w:spacing w:val="-7"/>
          <w:sz w:val="24"/>
          <w:szCs w:val="24"/>
          <w:highlight w:val="none"/>
        </w:rPr>
        <w:t>双方都有过错的，各自承担相应的责任</w:t>
      </w:r>
      <w:r>
        <w:rPr>
          <w:rFonts w:hint="eastAsia" w:ascii="宋体" w:hAnsi="宋体" w:eastAsia="宋体" w:cs="宋体"/>
          <w:color w:val="auto"/>
          <w:position w:val="1"/>
          <w:sz w:val="24"/>
          <w:szCs w:val="24"/>
          <w:highlight w:val="none"/>
        </w:rPr>
        <w:t>。</w:t>
      </w:r>
    </w:p>
    <w:p>
      <w:pPr>
        <w:pStyle w:val="7"/>
        <w:spacing w:before="165" w:line="329" w:lineRule="auto"/>
        <w:ind w:right="66" w:firstLine="428"/>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36.7 采购人需追加与合同标的相同的货物或者服务的，在不改变原合同条款且已报财政部门</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0"/>
          <w:sz w:val="24"/>
          <w:szCs w:val="24"/>
          <w:highlight w:val="none"/>
        </w:rPr>
        <w:t>批准落实资金的前提下，可从原中标供应商处添购，所签订的</w:t>
      </w:r>
      <w:r>
        <w:rPr>
          <w:rFonts w:hint="eastAsia" w:ascii="宋体" w:hAnsi="宋体" w:eastAsia="宋体" w:cs="宋体"/>
          <w:color w:val="auto"/>
          <w:spacing w:val="-11"/>
          <w:sz w:val="24"/>
          <w:szCs w:val="24"/>
          <w:highlight w:val="none"/>
        </w:rPr>
        <w:t>补充添置合同的采购资金总额不超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过原采购合同金额的10%。</w:t>
      </w:r>
    </w:p>
    <w:p>
      <w:pPr>
        <w:pStyle w:val="7"/>
        <w:spacing w:before="38" w:line="220" w:lineRule="auto"/>
        <w:ind w:left="428"/>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36.8</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合同份数</w:t>
      </w:r>
    </w:p>
    <w:p>
      <w:pPr>
        <w:pStyle w:val="7"/>
        <w:spacing w:before="152" w:line="330" w:lineRule="auto"/>
        <w:ind w:right="66" w:firstLine="423"/>
        <w:jc w:val="both"/>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本合同正本</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2</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份，副本</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3</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份，具有同等法律效力，送至招标代理公司</w:t>
      </w:r>
      <w:r>
        <w:rPr>
          <w:rFonts w:hint="eastAsia" w:ascii="宋体" w:hAnsi="宋体" w:eastAsia="宋体" w:cs="宋体"/>
          <w:b/>
          <w:bCs/>
          <w:color w:val="auto"/>
          <w:spacing w:val="-12"/>
          <w:sz w:val="24"/>
          <w:szCs w:val="24"/>
          <w:highlight w:val="none"/>
        </w:rPr>
        <w:t>原件贰份，复印件叁</w:t>
      </w:r>
      <w:r>
        <w:rPr>
          <w:rFonts w:hint="eastAsia" w:ascii="宋体" w:hAnsi="宋体" w:eastAsia="宋体" w:cs="宋体"/>
          <w:b/>
          <w:bCs/>
          <w:color w:val="auto"/>
          <w:spacing w:val="-13"/>
          <w:sz w:val="24"/>
          <w:szCs w:val="24"/>
          <w:highlight w:val="none"/>
        </w:rPr>
        <w:t>份备案，投标供应商所需合同份数需自行酌情签订。另项目验收后将验收单原件贰份，复印件叁</w:t>
      </w:r>
      <w:r>
        <w:rPr>
          <w:rFonts w:hint="eastAsia" w:ascii="宋体" w:hAnsi="宋体" w:eastAsia="宋体" w:cs="宋体"/>
          <w:b/>
          <w:bCs/>
          <w:color w:val="auto"/>
          <w:spacing w:val="-11"/>
          <w:sz w:val="24"/>
          <w:szCs w:val="24"/>
          <w:highlight w:val="none"/>
        </w:rPr>
        <w:t>份送至代理机构。</w:t>
      </w:r>
    </w:p>
    <w:p>
      <w:pPr>
        <w:rPr>
          <w:rFonts w:hint="eastAsia"/>
          <w:color w:val="auto"/>
          <w:highlight w:val="none"/>
        </w:rPr>
      </w:pPr>
    </w:p>
    <w:p>
      <w:pPr>
        <w:spacing w:before="48" w:line="223"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37.政府采购合同公告</w:t>
      </w:r>
    </w:p>
    <w:p>
      <w:pPr>
        <w:pStyle w:val="7"/>
        <w:spacing w:before="147" w:line="332" w:lineRule="auto"/>
        <w:ind w:firstLine="4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采购人或者受托采购代理机构应当自政府采购合同签订之日</w:t>
      </w:r>
      <w:r>
        <w:rPr>
          <w:rFonts w:hint="eastAsia" w:ascii="宋体" w:hAnsi="宋体" w:eastAsia="宋体" w:cs="宋体"/>
          <w:color w:val="auto"/>
          <w:spacing w:val="4"/>
          <w:sz w:val="24"/>
          <w:szCs w:val="24"/>
          <w:highlight w:val="none"/>
        </w:rPr>
        <w:t>起2个工作日内，将政府采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购合同在以下媒体上发布“新疆政府采购网政采云平台（</w:t>
      </w:r>
      <w:r>
        <w:rPr>
          <w:rFonts w:hint="eastAsia" w:ascii="宋体" w:hAnsi="宋体" w:eastAsia="宋体" w:cs="宋体"/>
          <w:color w:val="auto"/>
          <w:sz w:val="24"/>
          <w:szCs w:val="24"/>
          <w:highlight w:val="none"/>
        </w:rPr>
        <w:t>http</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cn/）</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z w:val="24"/>
          <w:szCs w:val="24"/>
          <w:highlight w:val="none"/>
        </w:rPr>
        <w:t>”上公告，但政府采购合同中涉及国家秘密、商业秘密的内容除外。供应商需及时将</w:t>
      </w:r>
      <w:r>
        <w:rPr>
          <w:rFonts w:hint="eastAsia" w:ascii="宋体" w:hAnsi="宋体" w:eastAsia="宋体" w:cs="宋体"/>
          <w:color w:val="auto"/>
          <w:spacing w:val="-4"/>
          <w:sz w:val="24"/>
          <w:szCs w:val="24"/>
          <w:highlight w:val="none"/>
        </w:rPr>
        <w:t>采购合同送至</w:t>
      </w:r>
      <w:r>
        <w:rPr>
          <w:rFonts w:hint="eastAsia" w:ascii="宋体" w:hAnsi="宋体" w:eastAsia="宋体" w:cs="宋体"/>
          <w:color w:val="auto"/>
          <w:spacing w:val="-4"/>
          <w:sz w:val="24"/>
          <w:szCs w:val="24"/>
          <w:highlight w:val="none"/>
          <w:lang w:eastAsia="zh-CN"/>
        </w:rPr>
        <w:t>新疆慧通方舟工程管理服务有限公司</w:t>
      </w:r>
      <w:r>
        <w:rPr>
          <w:rFonts w:hint="eastAsia" w:ascii="宋体" w:hAnsi="宋体" w:eastAsia="宋体" w:cs="宋体"/>
          <w:color w:val="auto"/>
          <w:spacing w:val="-5"/>
          <w:sz w:val="24"/>
          <w:szCs w:val="24"/>
          <w:highlight w:val="none"/>
        </w:rPr>
        <w:t>。</w:t>
      </w:r>
    </w:p>
    <w:p>
      <w:pPr>
        <w:spacing w:before="37" w:line="220"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 询问、质疑和投诉</w:t>
      </w:r>
    </w:p>
    <w:p>
      <w:pPr>
        <w:pStyle w:val="7"/>
        <w:spacing w:before="152" w:line="222" w:lineRule="auto"/>
        <w:ind w:left="429"/>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38.1</w:t>
      </w:r>
      <w:r>
        <w:rPr>
          <w:rFonts w:hint="eastAsia" w:ascii="宋体" w:hAnsi="宋体" w:eastAsia="宋体" w:cs="宋体"/>
          <w:color w:val="auto"/>
          <w:spacing w:val="-8"/>
          <w:sz w:val="24"/>
          <w:szCs w:val="24"/>
          <w:highlight w:val="none"/>
        </w:rPr>
        <w:t xml:space="preserve"> </w:t>
      </w:r>
      <w:r>
        <w:rPr>
          <w:rFonts w:hint="eastAsia" w:ascii="宋体" w:hAnsi="宋体" w:eastAsia="宋体" w:cs="宋体"/>
          <w:b/>
          <w:bCs/>
          <w:color w:val="auto"/>
          <w:spacing w:val="-8"/>
          <w:sz w:val="24"/>
          <w:szCs w:val="24"/>
          <w:highlight w:val="none"/>
        </w:rPr>
        <w:t>询问</w:t>
      </w:r>
    </w:p>
    <w:p>
      <w:pPr>
        <w:pStyle w:val="7"/>
        <w:spacing w:before="150" w:line="280" w:lineRule="auto"/>
        <w:ind w:left="5" w:right="124" w:firstLine="4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38.1.1 供应商在开标前对政府采购活动事项有疑问的</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可以向采购人或采购代理机构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项目负责人提出询问。</w:t>
      </w:r>
    </w:p>
    <w:p>
      <w:pPr>
        <w:pStyle w:val="7"/>
        <w:spacing w:before="152" w:line="279" w:lineRule="auto"/>
        <w:ind w:left="3" w:right="172"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38.1.2 采购人或采购人委托的采购代理机构自受理询问之日起</w:t>
      </w:r>
      <w:r>
        <w:rPr>
          <w:rFonts w:hint="eastAsia" w:ascii="宋体" w:hAnsi="宋体" w:eastAsia="宋体" w:cs="宋体"/>
          <w:color w:val="auto"/>
          <w:spacing w:val="6"/>
          <w:sz w:val="24"/>
          <w:szCs w:val="24"/>
          <w:highlight w:val="none"/>
        </w:rPr>
        <w:t>3个工作日内对供应商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依法提出的询问作出答复，但答复内容不得涉及商业</w:t>
      </w:r>
      <w:r>
        <w:rPr>
          <w:rFonts w:hint="eastAsia" w:ascii="宋体" w:hAnsi="宋体" w:eastAsia="宋体" w:cs="宋体"/>
          <w:color w:val="auto"/>
          <w:spacing w:val="6"/>
          <w:sz w:val="24"/>
          <w:szCs w:val="24"/>
          <w:highlight w:val="none"/>
        </w:rPr>
        <w:t>秘密。</w:t>
      </w:r>
    </w:p>
    <w:p>
      <w:pPr>
        <w:pStyle w:val="7"/>
        <w:spacing w:before="158" w:line="279" w:lineRule="auto"/>
        <w:ind w:left="25" w:right="124" w:firstLine="39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38.1.3 询问事项可能影响中标、成交结果的，采购人应当暂停签订合同，已经签订合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同的，应当中止履行合同。</w:t>
      </w:r>
    </w:p>
    <w:p>
      <w:pPr>
        <w:pStyle w:val="7"/>
        <w:spacing w:before="151" w:line="221" w:lineRule="auto"/>
        <w:ind w:left="424"/>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38.2</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12"/>
          <w:sz w:val="24"/>
          <w:szCs w:val="24"/>
          <w:highlight w:val="none"/>
        </w:rPr>
        <w:t>质疑</w:t>
      </w:r>
    </w:p>
    <w:p>
      <w:pPr>
        <w:pStyle w:val="7"/>
        <w:spacing w:before="153" w:line="315" w:lineRule="auto"/>
        <w:ind w:right="107" w:firstLine="428"/>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 xml:space="preserve">38.2.1 </w:t>
      </w:r>
      <w:r>
        <w:rPr>
          <w:rFonts w:hint="eastAsia" w:ascii="宋体" w:hAnsi="宋体" w:eastAsia="宋体" w:cs="宋体"/>
          <w:b/>
          <w:bCs/>
          <w:color w:val="auto"/>
          <w:spacing w:val="-11"/>
          <w:sz w:val="24"/>
          <w:szCs w:val="24"/>
          <w:highlight w:val="none"/>
        </w:rPr>
        <w:t>供应商认为招标文件、采购过程或者中标结果使自己的合法权益受到损害的，必须</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13"/>
          <w:sz w:val="24"/>
          <w:szCs w:val="24"/>
          <w:highlight w:val="none"/>
        </w:rPr>
        <w:t>在知道或者</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13"/>
          <w:sz w:val="24"/>
          <w:szCs w:val="24"/>
          <w:highlight w:val="none"/>
        </w:rPr>
        <w:t>应知其权益受到损害之日起7个工作日内，以书面形式向采购人、采购代理机构提出质疑，质疑有效期结束后，采购人或采购代理机构不再受理该项目质疑。采购人、采购代理机构</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11"/>
          <w:sz w:val="24"/>
          <w:szCs w:val="24"/>
          <w:highlight w:val="none"/>
        </w:rPr>
        <w:t>接收质疑函的方式、联系部门、联系电话和</w:t>
      </w:r>
      <w:r>
        <w:rPr>
          <w:rFonts w:hint="eastAsia" w:ascii="宋体" w:hAnsi="宋体" w:eastAsia="宋体" w:cs="宋体"/>
          <w:b/>
          <w:bCs/>
          <w:color w:val="auto"/>
          <w:spacing w:val="-12"/>
          <w:sz w:val="24"/>
          <w:szCs w:val="24"/>
          <w:highlight w:val="none"/>
        </w:rPr>
        <w:t>通讯地址等信息详见</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12"/>
          <w:sz w:val="24"/>
          <w:szCs w:val="24"/>
          <w:highlight w:val="none"/>
        </w:rPr>
        <w:t>“投标人须知前附表”。具体</w:t>
      </w:r>
      <w:r>
        <w:rPr>
          <w:rFonts w:hint="eastAsia" w:ascii="宋体" w:hAnsi="宋体" w:eastAsia="宋体" w:cs="宋体"/>
          <w:b/>
          <w:bCs/>
          <w:color w:val="auto"/>
          <w:spacing w:val="-11"/>
          <w:sz w:val="24"/>
          <w:szCs w:val="24"/>
          <w:highlight w:val="none"/>
        </w:rPr>
        <w:t>质疑起算时间及处理方式如下：</w:t>
      </w:r>
    </w:p>
    <w:p>
      <w:pPr>
        <w:pStyle w:val="7"/>
        <w:spacing w:before="155" w:line="278" w:lineRule="auto"/>
        <w:ind w:left="7" w:right="199" w:firstLine="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潜在供应商依法获取公开招标文件后，认为采购文件使自己的权益受到损害</w:t>
      </w:r>
      <w:r>
        <w:rPr>
          <w:rFonts w:hint="eastAsia" w:ascii="宋体" w:hAnsi="宋体" w:eastAsia="宋体" w:cs="宋体"/>
          <w:color w:val="auto"/>
          <w:spacing w:val="-6"/>
          <w:sz w:val="24"/>
          <w:szCs w:val="24"/>
          <w:highlight w:val="none"/>
        </w:rPr>
        <w:t>的，应当</w:t>
      </w:r>
      <w:r>
        <w:rPr>
          <w:rFonts w:hint="eastAsia" w:ascii="宋体" w:hAnsi="宋体" w:eastAsia="宋体" w:cs="宋体"/>
          <w:color w:val="auto"/>
          <w:spacing w:val="-8"/>
          <w:sz w:val="24"/>
          <w:szCs w:val="24"/>
          <w:highlight w:val="none"/>
        </w:rPr>
        <w:t>在公开招标文件公告期限届满之日起 7个工作日内提出质疑。委托代理协议无特殊约定的，对</w:t>
      </w:r>
      <w:r>
        <w:rPr>
          <w:rFonts w:hint="eastAsia" w:ascii="宋体" w:hAnsi="宋体" w:eastAsia="宋体" w:cs="宋体"/>
          <w:color w:val="auto"/>
          <w:spacing w:val="4"/>
          <w:sz w:val="24"/>
          <w:szCs w:val="24"/>
          <w:highlight w:val="none"/>
        </w:rPr>
        <w:t>公开招标文件中采购需求(含资格要求、采购预算和评分办法)的质疑</w:t>
      </w:r>
      <w:r>
        <w:rPr>
          <w:rFonts w:hint="eastAsia" w:ascii="宋体" w:hAnsi="宋体" w:eastAsia="宋体" w:cs="宋体"/>
          <w:color w:val="auto"/>
          <w:spacing w:val="3"/>
          <w:sz w:val="24"/>
          <w:szCs w:val="24"/>
          <w:highlight w:val="none"/>
        </w:rPr>
        <w:t>由采购人受理并负责</w:t>
      </w:r>
      <w:r>
        <w:rPr>
          <w:rFonts w:hint="eastAsia" w:ascii="宋体" w:hAnsi="宋体" w:eastAsia="宋体" w:cs="宋体"/>
          <w:color w:val="auto"/>
          <w:spacing w:val="2"/>
          <w:sz w:val="24"/>
          <w:szCs w:val="24"/>
          <w:highlight w:val="none"/>
        </w:rPr>
        <w:t>答复</w:t>
      </w:r>
      <w:r>
        <w:rPr>
          <w:rFonts w:hint="eastAsia" w:cs="宋体"/>
          <w:color w:val="auto"/>
          <w:spacing w:val="-5"/>
          <w:sz w:val="24"/>
          <w:szCs w:val="24"/>
          <w:highlight w:val="none"/>
          <w:lang w:val="en-US" w:eastAsia="zh-CN"/>
        </w:rPr>
        <w:t>采购人授权代理机构答复的由代理机构答复</w:t>
      </w:r>
    </w:p>
    <w:p>
      <w:pPr>
        <w:pStyle w:val="7"/>
        <w:spacing w:before="157" w:line="219" w:lineRule="auto"/>
        <w:ind w:left="5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供应商认为采购过程使自己的权益受到损害的，应当在各采购程序环节结束之日起</w:t>
      </w:r>
    </w:p>
    <w:p>
      <w:pPr>
        <w:pStyle w:val="7"/>
        <w:spacing w:before="154" w:line="299" w:lineRule="auto"/>
        <w:ind w:right="115" w:firstLine="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7个工作日内提出质疑。对采购过程中资格审查、符合性审查</w:t>
      </w:r>
      <w:r>
        <w:rPr>
          <w:rFonts w:hint="eastAsia" w:ascii="宋体" w:hAnsi="宋体" w:eastAsia="宋体" w:cs="宋体"/>
          <w:color w:val="auto"/>
          <w:spacing w:val="-3"/>
          <w:sz w:val="24"/>
          <w:szCs w:val="24"/>
          <w:highlight w:val="none"/>
        </w:rPr>
        <w:t>等具体评审情况的质疑应向采</w:t>
      </w:r>
      <w:r>
        <w:rPr>
          <w:rFonts w:hint="eastAsia" w:ascii="宋体" w:hAnsi="宋体" w:eastAsia="宋体" w:cs="宋体"/>
          <w:color w:val="auto"/>
          <w:spacing w:val="-5"/>
          <w:sz w:val="24"/>
          <w:szCs w:val="24"/>
          <w:highlight w:val="none"/>
        </w:rPr>
        <w:t>购人或代理机构提出，由采购人或代理机构受理并负责答复；对采购过程中采购执行程序的质</w:t>
      </w:r>
      <w:r>
        <w:rPr>
          <w:rFonts w:hint="eastAsia" w:ascii="宋体" w:hAnsi="宋体" w:eastAsia="宋体" w:cs="宋体"/>
          <w:color w:val="auto"/>
          <w:spacing w:val="-4"/>
          <w:sz w:val="24"/>
          <w:szCs w:val="24"/>
          <w:highlight w:val="none"/>
        </w:rPr>
        <w:t>疑由采购代理机构受理并负责答复。</w:t>
      </w:r>
    </w:p>
    <w:p>
      <w:pPr>
        <w:pStyle w:val="7"/>
        <w:spacing w:before="155" w:line="278" w:lineRule="auto"/>
        <w:ind w:left="7" w:right="199" w:firstLine="509"/>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(3)供应商认为中标或者成交结果使自己的权益受到损害的，应当在中标或者成交结</w:t>
      </w:r>
      <w:r>
        <w:rPr>
          <w:rFonts w:hint="eastAsia" w:ascii="宋体" w:hAnsi="宋体" w:eastAsia="宋体" w:cs="宋体"/>
          <w:color w:val="auto"/>
          <w:spacing w:val="-6"/>
          <w:sz w:val="24"/>
          <w:szCs w:val="24"/>
          <w:highlight w:val="none"/>
        </w:rPr>
        <w:t>果公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告期限届满之日起7个工作日内提出质疑，由采购人受理</w:t>
      </w:r>
      <w:r>
        <w:rPr>
          <w:rFonts w:hint="eastAsia" w:ascii="宋体" w:hAnsi="宋体" w:eastAsia="宋体" w:cs="宋体"/>
          <w:color w:val="auto"/>
          <w:spacing w:val="-5"/>
          <w:sz w:val="24"/>
          <w:szCs w:val="24"/>
          <w:highlight w:val="none"/>
        </w:rPr>
        <w:t>并负责答复</w:t>
      </w:r>
      <w:r>
        <w:rPr>
          <w:rFonts w:hint="eastAsia" w:cs="宋体"/>
          <w:color w:val="auto"/>
          <w:spacing w:val="-5"/>
          <w:sz w:val="24"/>
          <w:szCs w:val="24"/>
          <w:highlight w:val="none"/>
          <w:lang w:eastAsia="zh-CN"/>
        </w:rPr>
        <w:t>，</w:t>
      </w:r>
      <w:r>
        <w:rPr>
          <w:rFonts w:hint="eastAsia" w:cs="宋体"/>
          <w:color w:val="auto"/>
          <w:spacing w:val="-5"/>
          <w:sz w:val="24"/>
          <w:szCs w:val="24"/>
          <w:highlight w:val="none"/>
          <w:lang w:val="en-US" w:eastAsia="zh-CN"/>
        </w:rPr>
        <w:t>采购人授权代理机构答复的由代理机构答复</w:t>
      </w:r>
    </w:p>
    <w:p>
      <w:pPr>
        <w:pStyle w:val="7"/>
        <w:spacing w:before="156" w:line="279" w:lineRule="auto"/>
        <w:ind w:left="4" w:right="204" w:firstLine="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38.2.2 供应商质疑实行实名制，其质疑应当有具体的质疑事项及事实根据，质疑应</w:t>
      </w:r>
      <w:r>
        <w:rPr>
          <w:rFonts w:hint="eastAsia" w:ascii="宋体" w:hAnsi="宋体" w:eastAsia="宋体" w:cs="宋体"/>
          <w:color w:val="auto"/>
          <w:spacing w:val="-5"/>
          <w:sz w:val="24"/>
          <w:szCs w:val="24"/>
          <w:highlight w:val="none"/>
        </w:rPr>
        <w:t>当坚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持依法依规、诚实信用原则，不得进行虚假、</w:t>
      </w:r>
      <w:r>
        <w:rPr>
          <w:rFonts w:hint="eastAsia" w:ascii="宋体" w:hAnsi="宋体" w:eastAsia="宋体" w:cs="宋体"/>
          <w:color w:val="auto"/>
          <w:spacing w:val="-5"/>
          <w:sz w:val="24"/>
          <w:szCs w:val="24"/>
          <w:highlight w:val="none"/>
        </w:rPr>
        <w:t>恶意质疑。</w:t>
      </w:r>
    </w:p>
    <w:p>
      <w:pPr>
        <w:spacing w:line="279" w:lineRule="auto"/>
        <w:rPr>
          <w:rFonts w:hint="eastAsia" w:ascii="宋体" w:hAnsi="宋体" w:eastAsia="宋体" w:cs="宋体"/>
          <w:color w:val="auto"/>
          <w:sz w:val="24"/>
          <w:szCs w:val="24"/>
          <w:highlight w:val="none"/>
        </w:rPr>
        <w:sectPr>
          <w:footerReference r:id="rId6" w:type="default"/>
          <w:pgSz w:w="11906" w:h="16839"/>
          <w:pgMar w:top="1253" w:right="1010" w:bottom="1039" w:left="1140" w:header="0" w:footer="870" w:gutter="0"/>
          <w:pgNumType w:fmt="decimal"/>
          <w:cols w:space="720" w:num="1"/>
        </w:sectPr>
      </w:pPr>
    </w:p>
    <w:p>
      <w:pPr>
        <w:pStyle w:val="7"/>
        <w:spacing w:before="47" w:line="330" w:lineRule="auto"/>
        <w:ind w:right="5" w:firstLine="4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38.2.3 质疑供应商可以委托代理人办理质疑事务。委托代理人应熟悉相关业务情况</w:t>
      </w:r>
      <w:r>
        <w:rPr>
          <w:rFonts w:hint="eastAsia" w:ascii="宋体" w:hAnsi="宋体" w:eastAsia="宋体" w:cs="宋体"/>
          <w:color w:val="auto"/>
          <w:spacing w:val="-5"/>
          <w:sz w:val="24"/>
          <w:szCs w:val="24"/>
          <w:highlight w:val="none"/>
        </w:rPr>
        <w:t>。代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理人办理质疑事务时，除提交质疑书外，还应当提交质疑供应商的授权委托书和委托代理人身</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份证明复印件。</w:t>
      </w:r>
    </w:p>
    <w:p>
      <w:pPr>
        <w:pStyle w:val="7"/>
        <w:spacing w:before="34" w:line="219" w:lineRule="auto"/>
        <w:ind w:left="427"/>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38.2.4</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10"/>
          <w:sz w:val="24"/>
          <w:szCs w:val="24"/>
          <w:highlight w:val="none"/>
        </w:rPr>
        <w:t>质疑供应商提起质疑应当符合下</w:t>
      </w:r>
      <w:r>
        <w:rPr>
          <w:rFonts w:hint="eastAsia" w:ascii="宋体" w:hAnsi="宋体" w:eastAsia="宋体" w:cs="宋体"/>
          <w:b/>
          <w:bCs/>
          <w:color w:val="auto"/>
          <w:spacing w:val="-11"/>
          <w:sz w:val="24"/>
          <w:szCs w:val="24"/>
          <w:highlight w:val="none"/>
        </w:rPr>
        <w:t>列条件：</w:t>
      </w:r>
    </w:p>
    <w:p>
      <w:pPr>
        <w:pStyle w:val="7"/>
        <w:spacing w:before="152" w:line="280" w:lineRule="auto"/>
        <w:ind w:left="1" w:right="218" w:firstLine="57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(1)质疑供应商是参与所质疑项目采购活动的供应商(潜</w:t>
      </w:r>
      <w:r>
        <w:rPr>
          <w:rFonts w:hint="eastAsia" w:ascii="宋体" w:hAnsi="宋体" w:eastAsia="宋体" w:cs="宋体"/>
          <w:color w:val="auto"/>
          <w:spacing w:val="11"/>
          <w:sz w:val="24"/>
          <w:szCs w:val="24"/>
          <w:highlight w:val="none"/>
        </w:rPr>
        <w:t>在供应商已依法获取采购</w:t>
      </w:r>
      <w:r>
        <w:rPr>
          <w:rFonts w:hint="eastAsia" w:ascii="宋体" w:hAnsi="宋体" w:eastAsia="宋体" w:cs="宋体"/>
          <w:color w:val="auto"/>
          <w:spacing w:val="7"/>
          <w:sz w:val="24"/>
          <w:szCs w:val="24"/>
          <w:highlight w:val="none"/>
        </w:rPr>
        <w:t>文件的，可以对该采购文件质疑)；</w:t>
      </w:r>
    </w:p>
    <w:p>
      <w:pPr>
        <w:pStyle w:val="7"/>
        <w:spacing w:before="154" w:line="219" w:lineRule="auto"/>
        <w:ind w:left="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(2)质疑函内容符合本章第 38.2.5  项的规定；</w:t>
      </w:r>
    </w:p>
    <w:p>
      <w:pPr>
        <w:pStyle w:val="7"/>
        <w:spacing w:before="154" w:line="220" w:lineRule="auto"/>
        <w:ind w:left="60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(3)在质疑有效期限内提起质疑；</w:t>
      </w:r>
    </w:p>
    <w:p>
      <w:pPr>
        <w:pStyle w:val="7"/>
        <w:spacing w:before="156" w:line="219" w:lineRule="auto"/>
        <w:ind w:left="5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(4)属于所质疑的采购人或采购人委托的采购代理机构组织的采购活动；</w:t>
      </w:r>
    </w:p>
    <w:p>
      <w:pPr>
        <w:pStyle w:val="7"/>
        <w:spacing w:before="154" w:line="219" w:lineRule="auto"/>
        <w:ind w:left="54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(5)同一质疑事项未经采购人或采购人委托的采购代理机构质疑处理；</w:t>
      </w:r>
    </w:p>
    <w:p>
      <w:pPr>
        <w:pStyle w:val="7"/>
        <w:spacing w:before="155"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(6)供应商对同一采购程序环节的质疑应当在质疑有效期内一次性提出；</w:t>
      </w:r>
    </w:p>
    <w:p>
      <w:pPr>
        <w:pStyle w:val="7"/>
        <w:spacing w:before="156"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(7)供应商提交质疑应当提交必要的证明材料，证明材料应以合法手段取得；</w:t>
      </w:r>
    </w:p>
    <w:p>
      <w:pPr>
        <w:pStyle w:val="7"/>
        <w:spacing w:before="155" w:line="22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(8)财政部门规定的其他条件。</w:t>
      </w:r>
    </w:p>
    <w:p>
      <w:pPr>
        <w:pStyle w:val="7"/>
        <w:spacing w:before="152" w:line="280" w:lineRule="auto"/>
        <w:ind w:right="14" w:firstLine="5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38.2.5 供应商提出质疑应当提交质疑函和必要的证明材料，针对同一采购程序环</w:t>
      </w:r>
      <w:r>
        <w:rPr>
          <w:rFonts w:hint="eastAsia" w:ascii="宋体" w:hAnsi="宋体" w:eastAsia="宋体" w:cs="宋体"/>
          <w:color w:val="auto"/>
          <w:spacing w:val="2"/>
          <w:sz w:val="24"/>
          <w:szCs w:val="24"/>
          <w:highlight w:val="none"/>
        </w:rPr>
        <w:t>节的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质疑必须在法定质疑期内一次性提出。质疑函应当包括下列内容：</w:t>
      </w:r>
    </w:p>
    <w:p>
      <w:pPr>
        <w:pStyle w:val="7"/>
        <w:spacing w:before="154" w:line="219" w:lineRule="auto"/>
        <w:ind w:left="53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(1)供应商的姓名或者名称、地址、邮编、联系人及</w:t>
      </w:r>
      <w:r>
        <w:rPr>
          <w:rFonts w:hint="eastAsia" w:ascii="宋体" w:hAnsi="宋体" w:eastAsia="宋体" w:cs="宋体"/>
          <w:color w:val="auto"/>
          <w:spacing w:val="2"/>
          <w:sz w:val="24"/>
          <w:szCs w:val="24"/>
          <w:highlight w:val="none"/>
        </w:rPr>
        <w:t>联系电话；</w:t>
      </w:r>
    </w:p>
    <w:p>
      <w:pPr>
        <w:pStyle w:val="7"/>
        <w:spacing w:before="154" w:line="22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(2)质疑项</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目</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的名称、编号；</w:t>
      </w:r>
    </w:p>
    <w:p>
      <w:pPr>
        <w:pStyle w:val="7"/>
        <w:spacing w:before="155" w:line="279" w:lineRule="auto"/>
        <w:ind w:left="622" w:right="3252" w:hanging="5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(3)具体、明确的质疑事项和与质疑事项相关的请求；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0"/>
          <w:sz w:val="24"/>
          <w:szCs w:val="24"/>
          <w:highlight w:val="none"/>
        </w:rPr>
        <w:t>(4)事实依据</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0"/>
          <w:sz w:val="24"/>
          <w:szCs w:val="24"/>
          <w:highlight w:val="none"/>
        </w:rPr>
        <w:t>(列</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10"/>
          <w:sz w:val="24"/>
          <w:szCs w:val="24"/>
          <w:highlight w:val="none"/>
        </w:rPr>
        <w:t>明权益受到损害</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0"/>
          <w:sz w:val="24"/>
          <w:szCs w:val="24"/>
          <w:highlight w:val="none"/>
        </w:rPr>
        <w:t>的事实和理</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0"/>
          <w:sz w:val="24"/>
          <w:szCs w:val="24"/>
          <w:highlight w:val="none"/>
        </w:rPr>
        <w:t>由)；</w:t>
      </w:r>
    </w:p>
    <w:p>
      <w:pPr>
        <w:pStyle w:val="7"/>
        <w:spacing w:before="154"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(5)必要的法律依据；</w:t>
      </w:r>
    </w:p>
    <w:p>
      <w:pPr>
        <w:pStyle w:val="7"/>
        <w:spacing w:before="156" w:line="221" w:lineRule="auto"/>
        <w:ind w:left="6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出质疑</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z w:val="24"/>
          <w:szCs w:val="24"/>
          <w:highlight w:val="none"/>
        </w:rPr>
        <w:t>日期。</w:t>
      </w:r>
    </w:p>
    <w:p>
      <w:pPr>
        <w:pStyle w:val="7"/>
        <w:spacing w:before="153" w:line="324" w:lineRule="auto"/>
        <w:ind w:left="1" w:right="115" w:firstLine="47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供应商为自然人的，应当由本人签字；供应商为法人或者其他组织的，应当由法定代表</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9"/>
          <w:sz w:val="24"/>
          <w:szCs w:val="24"/>
          <w:highlight w:val="none"/>
        </w:rPr>
        <w:t>人、主要负责人，或者其委托代理人签字或者盖章，并加盖公章。</w:t>
      </w:r>
    </w:p>
    <w:p>
      <w:pPr>
        <w:pStyle w:val="7"/>
        <w:spacing w:before="37" w:line="329" w:lineRule="auto"/>
        <w:ind w:firstLine="42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38.2.6</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采购人或采购人委托的采购代理机构在收到质疑函后7个工作</w:t>
      </w:r>
      <w:r>
        <w:rPr>
          <w:rFonts w:hint="eastAsia" w:ascii="宋体" w:hAnsi="宋体" w:eastAsia="宋体" w:cs="宋体"/>
          <w:b/>
          <w:bCs/>
          <w:color w:val="auto"/>
          <w:spacing w:val="-12"/>
          <w:sz w:val="24"/>
          <w:szCs w:val="24"/>
          <w:highlight w:val="none"/>
        </w:rPr>
        <w:t>日内作出答复，并以书</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4"/>
          <w:sz w:val="24"/>
          <w:szCs w:val="24"/>
          <w:highlight w:val="none"/>
        </w:rPr>
        <w:t>面形式通</w:t>
      </w:r>
      <w:r>
        <w:rPr>
          <w:rFonts w:hint="eastAsia" w:ascii="宋体" w:hAnsi="宋体" w:eastAsia="宋体" w:cs="宋体"/>
          <w:b/>
          <w:bCs/>
          <w:color w:val="auto"/>
          <w:spacing w:val="-13"/>
          <w:sz w:val="24"/>
          <w:szCs w:val="24"/>
          <w:highlight w:val="none"/>
        </w:rPr>
        <w:t>知质疑供应商及其他有关供应商。对不符合质疑条件的质疑，答复不予受理，并说明</w:t>
      </w:r>
      <w:r>
        <w:rPr>
          <w:rFonts w:hint="eastAsia" w:ascii="宋体" w:hAnsi="宋体" w:eastAsia="宋体" w:cs="宋体"/>
          <w:b/>
          <w:bCs/>
          <w:color w:val="auto"/>
          <w:spacing w:val="-9"/>
          <w:sz w:val="24"/>
          <w:szCs w:val="24"/>
          <w:highlight w:val="none"/>
        </w:rPr>
        <w:t>理</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12"/>
          <w:sz w:val="24"/>
          <w:szCs w:val="24"/>
          <w:highlight w:val="none"/>
        </w:rPr>
        <w:t>由；对符合质疑条件的质疑，对质疑事项作出答复</w:t>
      </w:r>
    </w:p>
    <w:p>
      <w:pPr>
        <w:pStyle w:val="7"/>
        <w:spacing w:before="38" w:line="300" w:lineRule="auto"/>
        <w:ind w:left="4" w:right="9" w:firstLine="46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38.2.7 采购人、采购代理机构认为供应商质</w:t>
      </w:r>
      <w:r>
        <w:rPr>
          <w:rFonts w:hint="eastAsia" w:ascii="宋体" w:hAnsi="宋体" w:eastAsia="宋体" w:cs="宋体"/>
          <w:color w:val="auto"/>
          <w:spacing w:val="-10"/>
          <w:sz w:val="24"/>
          <w:szCs w:val="24"/>
          <w:highlight w:val="none"/>
        </w:rPr>
        <w:t>疑不成立，或者成立但未对中标结果构成影响</w:t>
      </w:r>
      <w:r>
        <w:rPr>
          <w:rFonts w:hint="eastAsia" w:ascii="宋体" w:hAnsi="宋体" w:eastAsia="宋体" w:cs="宋体"/>
          <w:color w:val="auto"/>
          <w:spacing w:val="-5"/>
          <w:sz w:val="24"/>
          <w:szCs w:val="24"/>
          <w:highlight w:val="none"/>
        </w:rPr>
        <w:t>的，继续开展采购活动；认为供应商质疑成立且影响或者可能影响中标结果的，按</w:t>
      </w:r>
      <w:r>
        <w:rPr>
          <w:rFonts w:hint="eastAsia" w:ascii="宋体" w:hAnsi="宋体" w:eastAsia="宋体" w:cs="宋体"/>
          <w:color w:val="auto"/>
          <w:spacing w:val="-6"/>
          <w:sz w:val="24"/>
          <w:szCs w:val="24"/>
          <w:highlight w:val="none"/>
        </w:rPr>
        <w:t>照下列情况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处理：</w:t>
      </w:r>
    </w:p>
    <w:p>
      <w:pPr>
        <w:pStyle w:val="7"/>
        <w:spacing w:before="149" w:line="279" w:lineRule="auto"/>
        <w:ind w:right="21" w:firstLine="54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 对招标文件提出的质疑，依法通过澄清或者修改可以继续开展采购活动的，澄</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z w:val="24"/>
          <w:szCs w:val="24"/>
          <w:highlight w:val="none"/>
        </w:rPr>
        <w:t>清或者修改招标文件后继续开展采购活动；否则应当修改招标文件后重新开展采购活动。</w:t>
      </w:r>
    </w:p>
    <w:p>
      <w:pPr>
        <w:pStyle w:val="7"/>
        <w:spacing w:before="152" w:line="280" w:lineRule="auto"/>
        <w:ind w:left="22" w:right="4" w:firstLine="53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(二)对采购过程、中标结果提出的质疑，合格供应商符合法定数量时，可以从合格的</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中标候选人中另行确定中标供应商的，应当依法另行</w:t>
      </w:r>
      <w:r>
        <w:rPr>
          <w:rFonts w:hint="eastAsia" w:ascii="宋体" w:hAnsi="宋体" w:eastAsia="宋体" w:cs="宋体"/>
          <w:color w:val="auto"/>
          <w:spacing w:val="-6"/>
          <w:sz w:val="24"/>
          <w:szCs w:val="24"/>
          <w:highlight w:val="none"/>
        </w:rPr>
        <w:t>确定中标供应商；否则应当重新开展采购</w:t>
      </w:r>
    </w:p>
    <w:p>
      <w:pPr>
        <w:spacing w:line="280" w:lineRule="auto"/>
        <w:rPr>
          <w:rFonts w:hint="eastAsia" w:ascii="宋体" w:hAnsi="宋体" w:eastAsia="宋体" w:cs="宋体"/>
          <w:color w:val="auto"/>
          <w:sz w:val="24"/>
          <w:szCs w:val="24"/>
          <w:highlight w:val="none"/>
        </w:rPr>
        <w:sectPr>
          <w:footerReference r:id="rId7" w:type="default"/>
          <w:pgSz w:w="11906" w:h="16839"/>
          <w:pgMar w:top="1253" w:right="1118" w:bottom="1039" w:left="1142" w:header="0" w:footer="870" w:gutter="0"/>
          <w:pgNumType w:fmt="decimal"/>
          <w:cols w:space="720" w:num="1"/>
        </w:sectPr>
      </w:pPr>
    </w:p>
    <w:p>
      <w:pPr>
        <w:pStyle w:val="7"/>
        <w:spacing w:before="49" w:line="324" w:lineRule="auto"/>
        <w:ind w:left="4" w:right="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活动。质疑答复导致中标结果改变的，采购人或者采购代理机构应当将有关情况书面报告本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级财政部门。</w:t>
      </w:r>
    </w:p>
    <w:p>
      <w:pPr>
        <w:pStyle w:val="7"/>
        <w:spacing w:before="36" w:line="221" w:lineRule="auto"/>
        <w:ind w:left="428"/>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38.3</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3"/>
          <w:sz w:val="24"/>
          <w:szCs w:val="24"/>
          <w:highlight w:val="none"/>
        </w:rPr>
        <w:t>投诉</w:t>
      </w:r>
    </w:p>
    <w:p>
      <w:pPr>
        <w:pStyle w:val="7"/>
        <w:spacing w:before="150" w:line="309" w:lineRule="auto"/>
        <w:ind w:firstLine="42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38.3.1</w:t>
      </w:r>
      <w:r>
        <w:rPr>
          <w:rFonts w:hint="eastAsia" w:ascii="宋体" w:hAnsi="宋体" w:eastAsia="宋体" w:cs="宋体"/>
          <w:color w:val="auto"/>
          <w:spacing w:val="-1"/>
          <w:sz w:val="24"/>
          <w:szCs w:val="24"/>
          <w:highlight w:val="none"/>
        </w:rPr>
        <w:t xml:space="preserve"> 供应商认为采购文件、采购过程、中标和成交</w:t>
      </w:r>
      <w:r>
        <w:rPr>
          <w:rFonts w:hint="eastAsia" w:ascii="宋体" w:hAnsi="宋体" w:eastAsia="宋体" w:cs="宋体"/>
          <w:color w:val="auto"/>
          <w:spacing w:val="-2"/>
          <w:sz w:val="24"/>
          <w:szCs w:val="24"/>
          <w:highlight w:val="none"/>
        </w:rPr>
        <w:t>结果使自己的合法权益受到损害的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9"/>
          <w:sz w:val="24"/>
          <w:szCs w:val="24"/>
          <w:highlight w:val="none"/>
        </w:rPr>
        <w:t>应当首先依法向采购人或采购人委托的采购代理机构提出质疑。对采购人、采购代理机构的</w:t>
      </w:r>
      <w:r>
        <w:rPr>
          <w:rFonts w:hint="eastAsia" w:ascii="宋体" w:hAnsi="宋体" w:eastAsia="宋体" w:cs="宋体"/>
          <w:color w:val="auto"/>
          <w:spacing w:val="-5"/>
          <w:sz w:val="24"/>
          <w:szCs w:val="24"/>
          <w:highlight w:val="none"/>
        </w:rPr>
        <w:t>答复不满意，或者采购人、采购代理机构未在规定期限内做出答复的，供应商可以在答复期满</w:t>
      </w:r>
      <w:r>
        <w:rPr>
          <w:rFonts w:hint="eastAsia" w:ascii="宋体" w:hAnsi="宋体" w:eastAsia="宋体" w:cs="宋体"/>
          <w:color w:val="auto"/>
          <w:spacing w:val="-6"/>
          <w:sz w:val="24"/>
          <w:szCs w:val="24"/>
          <w:highlight w:val="none"/>
        </w:rPr>
        <w:t>后15个工作日内向政府采购监督管理部门提起投诉，投诉方式见“投标人</w:t>
      </w:r>
      <w:r>
        <w:rPr>
          <w:rFonts w:hint="eastAsia" w:ascii="宋体" w:hAnsi="宋体" w:eastAsia="宋体" w:cs="宋体"/>
          <w:color w:val="auto"/>
          <w:spacing w:val="-7"/>
          <w:sz w:val="24"/>
          <w:szCs w:val="24"/>
          <w:highlight w:val="none"/>
        </w:rPr>
        <w:t>须知前附表”。</w:t>
      </w:r>
    </w:p>
    <w:p>
      <w:pPr>
        <w:pStyle w:val="7"/>
        <w:spacing w:before="152" w:line="280" w:lineRule="auto"/>
        <w:ind w:right="79" w:firstLine="508"/>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38.3.2</w:t>
      </w:r>
      <w:r>
        <w:rPr>
          <w:rFonts w:hint="eastAsia" w:ascii="宋体" w:hAnsi="宋体" w:eastAsia="宋体" w:cs="宋体"/>
          <w:color w:val="auto"/>
          <w:spacing w:val="-5"/>
          <w:sz w:val="24"/>
          <w:szCs w:val="24"/>
          <w:highlight w:val="none"/>
        </w:rPr>
        <w:t xml:space="preserve"> 投诉人投诉时，应当提交投诉书，并按照被投诉采购人、采购代理机构和与投诉</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事项有关的供应商数量提供投诉书的副本。投诉书应当包括下列主要内容 ：</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(1)投诉人和被投诉人的名称、地址、邮编、联系人及联系电话等；</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(2)质疑和质疑答复情况及相关证明材料；</w:t>
      </w:r>
    </w:p>
    <w:p>
      <w:pPr>
        <w:pStyle w:val="7"/>
        <w:spacing w:before="156"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(3)具体、明确的投诉事项和与投诉事项相关的投诉请求；</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pPr>
        <w:pStyle w:val="7"/>
        <w:spacing w:before="157" w:line="221"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(6)提起投诉的日期。</w:t>
      </w:r>
    </w:p>
    <w:p>
      <w:pPr>
        <w:pStyle w:val="7"/>
        <w:spacing w:before="153" w:line="299" w:lineRule="auto"/>
        <w:ind w:left="3" w:right="21" w:firstLine="505"/>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38.3.3</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8"/>
          <w:sz w:val="24"/>
          <w:szCs w:val="24"/>
          <w:highlight w:val="none"/>
        </w:rPr>
        <w:t>投诉人可以委托代理人办理投诉事务。委托代理人应熟</w:t>
      </w:r>
      <w:r>
        <w:rPr>
          <w:rFonts w:hint="eastAsia" w:ascii="宋体" w:hAnsi="宋体" w:eastAsia="宋体" w:cs="宋体"/>
          <w:color w:val="auto"/>
          <w:spacing w:val="7"/>
          <w:sz w:val="24"/>
          <w:szCs w:val="24"/>
          <w:highlight w:val="none"/>
        </w:rPr>
        <w:t>悉相关业务情况。代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理人办理投诉事务时，除提交投诉书外，还应当提交投诉人的授权委托书和委托代理人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7"/>
          <w:sz w:val="24"/>
          <w:szCs w:val="24"/>
          <w:highlight w:val="none"/>
        </w:rPr>
        <w:t>身份证明复印件。</w:t>
      </w:r>
    </w:p>
    <w:p>
      <w:pPr>
        <w:pStyle w:val="7"/>
        <w:spacing w:before="153" w:line="220" w:lineRule="auto"/>
        <w:ind w:left="50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38.3.4</w:t>
      </w:r>
      <w:r>
        <w:rPr>
          <w:rFonts w:hint="eastAsia" w:ascii="宋体" w:hAnsi="宋体" w:eastAsia="宋体" w:cs="宋体"/>
          <w:color w:val="auto"/>
          <w:spacing w:val="8"/>
          <w:sz w:val="24"/>
          <w:szCs w:val="24"/>
          <w:highlight w:val="none"/>
        </w:rPr>
        <w:t xml:space="preserve"> 投诉人提起投诉应当符合下列条件：</w:t>
      </w:r>
    </w:p>
    <w:p>
      <w:pPr>
        <w:pStyle w:val="7"/>
        <w:spacing w:before="153"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(1)投诉人是参与所投诉政府采购活动的供应</w:t>
      </w:r>
      <w:r>
        <w:rPr>
          <w:rFonts w:hint="eastAsia" w:ascii="宋体" w:hAnsi="宋体" w:eastAsia="宋体" w:cs="宋体"/>
          <w:color w:val="auto"/>
          <w:spacing w:val="7"/>
          <w:sz w:val="24"/>
          <w:szCs w:val="24"/>
          <w:highlight w:val="none"/>
        </w:rPr>
        <w:t>商；</w:t>
      </w:r>
    </w:p>
    <w:p>
      <w:pPr>
        <w:pStyle w:val="7"/>
        <w:spacing w:before="157"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(2)提起投诉前已依法进行质疑；</w:t>
      </w:r>
    </w:p>
    <w:p>
      <w:pPr>
        <w:pStyle w:val="7"/>
        <w:spacing w:before="155"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(3)投诉书内容符合本章第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38.3.2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项的规定；</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(4)在投诉有效期限内提起投诉；</w:t>
      </w:r>
    </w:p>
    <w:p>
      <w:pPr>
        <w:pStyle w:val="7"/>
        <w:spacing w:before="156"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(5)属于政府采购监督管理部门管辖；</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(6)同一投诉事项未经政府采购监督管理部门投诉处理；</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(7)国务院财政部门规定的其他条件。</w:t>
      </w:r>
    </w:p>
    <w:p>
      <w:pPr>
        <w:pStyle w:val="7"/>
        <w:spacing w:before="157" w:line="298" w:lineRule="auto"/>
        <w:ind w:right="91" w:firstLine="50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38.3.5</w:t>
      </w:r>
      <w:r>
        <w:rPr>
          <w:rFonts w:hint="eastAsia" w:ascii="宋体" w:hAnsi="宋体" w:eastAsia="宋体" w:cs="宋体"/>
          <w:color w:val="auto"/>
          <w:spacing w:val="9"/>
          <w:sz w:val="24"/>
          <w:szCs w:val="24"/>
          <w:highlight w:val="none"/>
        </w:rPr>
        <w:t xml:space="preserve">  政府采购监督管理部门自受理投诉之日起30个工作日内，对投诉事项作出</w:t>
      </w:r>
      <w:r>
        <w:rPr>
          <w:rFonts w:hint="eastAsia" w:ascii="宋体" w:hAnsi="宋体" w:eastAsia="宋体" w:cs="宋体"/>
          <w:color w:val="auto"/>
          <w:spacing w:val="11"/>
          <w:sz w:val="24"/>
          <w:szCs w:val="24"/>
          <w:highlight w:val="none"/>
        </w:rPr>
        <w:t xml:space="preserve"> 处理决定，并以书面形式通知投诉人、被投诉人及其他与投诉处理结果有利害关系的政</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府采购当事人。</w:t>
      </w:r>
    </w:p>
    <w:p>
      <w:pPr>
        <w:pStyle w:val="7"/>
        <w:spacing w:before="157" w:line="279" w:lineRule="auto"/>
        <w:ind w:left="508" w:right="7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38.3.6</w:t>
      </w:r>
      <w:r>
        <w:rPr>
          <w:rFonts w:hint="eastAsia" w:ascii="宋体" w:hAnsi="宋体" w:eastAsia="宋体" w:cs="宋体"/>
          <w:color w:val="auto"/>
          <w:spacing w:val="-2"/>
          <w:sz w:val="24"/>
          <w:szCs w:val="24"/>
          <w:highlight w:val="none"/>
        </w:rPr>
        <w:t xml:space="preserve">  政府采购监督管理部门在处理投诉事项期间，可以视具体情况暂停采购活动。</w:t>
      </w:r>
    </w:p>
    <w:p>
      <w:pPr>
        <w:pStyle w:val="7"/>
        <w:spacing w:before="157" w:line="279" w:lineRule="auto"/>
        <w:ind w:left="508" w:right="70"/>
        <w:rPr>
          <w:rFonts w:hint="eastAsia" w:ascii="宋体" w:hAnsi="宋体" w:eastAsia="宋体" w:cs="宋体"/>
          <w:color w:val="auto"/>
          <w:spacing w:val="-2"/>
          <w:sz w:val="24"/>
          <w:szCs w:val="24"/>
          <w:highlight w:val="none"/>
        </w:rPr>
      </w:pPr>
    </w:p>
    <w:p>
      <w:pPr>
        <w:pStyle w:val="7"/>
        <w:spacing w:before="157" w:line="279" w:lineRule="auto"/>
        <w:ind w:left="508" w:right="70"/>
        <w:rPr>
          <w:rFonts w:hint="eastAsia" w:ascii="宋体" w:hAnsi="宋体" w:eastAsia="宋体" w:cs="宋体"/>
          <w:color w:val="auto"/>
          <w:spacing w:val="-2"/>
          <w:sz w:val="24"/>
          <w:szCs w:val="24"/>
          <w:highlight w:val="none"/>
        </w:rPr>
      </w:pPr>
    </w:p>
    <w:p>
      <w:pPr>
        <w:rPr>
          <w:rFonts w:hint="eastAsia"/>
          <w:color w:val="auto"/>
          <w:highlight w:val="none"/>
        </w:rPr>
      </w:pPr>
    </w:p>
    <w:p>
      <w:pPr>
        <w:pStyle w:val="7"/>
        <w:spacing w:before="157" w:line="279" w:lineRule="auto"/>
        <w:ind w:left="508" w:right="7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八、验收</w:t>
      </w:r>
    </w:p>
    <w:p>
      <w:pPr>
        <w:spacing w:before="152" w:line="222" w:lineRule="auto"/>
        <w:ind w:left="4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39.验收</w:t>
      </w:r>
    </w:p>
    <w:p>
      <w:pPr>
        <w:pStyle w:val="7"/>
        <w:spacing w:before="49" w:line="309" w:lineRule="auto"/>
        <w:ind w:right="23" w:firstLine="5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39.1 采购人组织对供应商履约的验收。大型或者复杂的政府采购项目，应当邀请国</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1"/>
          <w:sz w:val="24"/>
          <w:szCs w:val="24"/>
          <w:highlight w:val="none"/>
        </w:rPr>
        <w:t>家认可的质量检测机构参加验收工作。验收方成员应当在验收书上签字，并承担相应的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法律责任。如果发现与合同中要求不符，供应商须承担由此发生的一切损失和费用，并</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接受相应的处理。</w:t>
      </w:r>
    </w:p>
    <w:p>
      <w:pPr>
        <w:pStyle w:val="7"/>
        <w:spacing w:before="150" w:line="280" w:lineRule="auto"/>
        <w:ind w:left="20" w:right="23"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39.2 采购人可以邀请参加本项目的其他投标人或者第三方机构参与验收。参与验收</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的投标人或者第三方机构的意见作为验收书的参考资料一并存档。</w:t>
      </w:r>
    </w:p>
    <w:p>
      <w:pPr>
        <w:pStyle w:val="7"/>
        <w:spacing w:before="151" w:line="315" w:lineRule="auto"/>
        <w:ind w:right="23" w:firstLine="5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39.3 严格按照采购合同开展履约验收。采购人成立验收小组，按照采购合同的约定</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1"/>
          <w:sz w:val="24"/>
          <w:szCs w:val="24"/>
          <w:highlight w:val="none"/>
        </w:rPr>
        <w:t>对供应商履约情况进行验收。验收时，按照采购合同的约定对每一项技术、服务、安全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标准的履约情况进行确认。验收结束后，应当出具验收书，列明各项标准的验收情况及</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0"/>
          <w:sz w:val="24"/>
          <w:szCs w:val="24"/>
          <w:highlight w:val="none"/>
        </w:rPr>
        <w:t>项目总体评价，</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10"/>
          <w:sz w:val="24"/>
          <w:szCs w:val="24"/>
          <w:highlight w:val="none"/>
        </w:rPr>
        <w:t>由验收双方共同签署。验收结果与采购合同约定的资金支付及履约保证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金返还条件挂钩。履约验收的各项资料应当存档备查。</w:t>
      </w:r>
    </w:p>
    <w:p>
      <w:pPr>
        <w:pStyle w:val="7"/>
        <w:spacing w:before="152" w:line="309" w:lineRule="auto"/>
        <w:ind w:firstLine="50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39.4 验收合格的项目，采购人将根据采购合同的约定</w:t>
      </w:r>
      <w:r>
        <w:rPr>
          <w:rFonts w:hint="eastAsia" w:ascii="宋体" w:hAnsi="宋体" w:eastAsia="宋体" w:cs="宋体"/>
          <w:color w:val="auto"/>
          <w:spacing w:val="9"/>
          <w:sz w:val="24"/>
          <w:szCs w:val="24"/>
          <w:highlight w:val="none"/>
        </w:rPr>
        <w:t>及时向供应商支付采购资金。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验收不合格的项目，采购人将依法及时处理。采购合同的履行、违约责任和解决争议的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0"/>
          <w:sz w:val="24"/>
          <w:szCs w:val="24"/>
          <w:highlight w:val="none"/>
        </w:rPr>
        <w:t>方式等适用《中华人民共和国民法典》</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0"/>
          <w:sz w:val="24"/>
          <w:szCs w:val="24"/>
          <w:highlight w:val="none"/>
        </w:rPr>
        <w:t>。供应商在履约过程中有政府采购法律法</w:t>
      </w:r>
      <w:r>
        <w:rPr>
          <w:rFonts w:hint="eastAsia" w:ascii="宋体" w:hAnsi="宋体" w:eastAsia="宋体" w:cs="宋体"/>
          <w:color w:val="auto"/>
          <w:spacing w:val="9"/>
          <w:sz w:val="24"/>
          <w:szCs w:val="24"/>
          <w:highlight w:val="none"/>
        </w:rPr>
        <w:t>规规定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的违法违规情形的，采购人应当及时报告本级财政部门。</w:t>
      </w:r>
    </w:p>
    <w:p>
      <w:pPr>
        <w:pStyle w:val="7"/>
        <w:spacing w:before="154" w:line="221" w:lineRule="auto"/>
        <w:ind w:left="510"/>
        <w:jc w:val="center"/>
        <w:outlineLvl w:val="4"/>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九、其他事项</w:t>
      </w:r>
    </w:p>
    <w:p>
      <w:pPr>
        <w:pStyle w:val="7"/>
        <w:spacing w:before="153" w:line="220" w:lineRule="auto"/>
        <w:ind w:left="50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40.代理服务费</w:t>
      </w:r>
    </w:p>
    <w:p>
      <w:pPr>
        <w:pStyle w:val="7"/>
        <w:spacing w:before="156"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代理服务收费标准详见“投标人须知前附表</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9"/>
          <w:sz w:val="24"/>
          <w:szCs w:val="24"/>
          <w:highlight w:val="none"/>
        </w:rPr>
        <w:t>”。</w:t>
      </w:r>
    </w:p>
    <w:p>
      <w:pPr>
        <w:pStyle w:val="7"/>
        <w:spacing w:before="154" w:line="220" w:lineRule="auto"/>
        <w:ind w:left="50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41.</w:t>
      </w:r>
      <w:r>
        <w:rPr>
          <w:rFonts w:hint="eastAsia" w:ascii="宋体" w:hAnsi="宋体" w:eastAsia="宋体" w:cs="宋体"/>
          <w:color w:val="auto"/>
          <w:spacing w:val="49"/>
          <w:sz w:val="24"/>
          <w:szCs w:val="24"/>
          <w:highlight w:val="none"/>
        </w:rPr>
        <w:t xml:space="preserve"> </w:t>
      </w:r>
      <w:r>
        <w:rPr>
          <w:rFonts w:hint="eastAsia" w:ascii="宋体" w:hAnsi="宋体" w:eastAsia="宋体" w:cs="宋体"/>
          <w:b/>
          <w:bCs/>
          <w:color w:val="auto"/>
          <w:spacing w:val="4"/>
          <w:sz w:val="24"/>
          <w:szCs w:val="24"/>
          <w:highlight w:val="none"/>
        </w:rPr>
        <w:t>需要补充的其他内容</w:t>
      </w:r>
    </w:p>
    <w:p>
      <w:pPr>
        <w:pStyle w:val="7"/>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41.1 本招标文件解释规则详见“投标人须知前附表</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9"/>
          <w:sz w:val="24"/>
          <w:szCs w:val="24"/>
          <w:highlight w:val="none"/>
        </w:rPr>
        <w:t>”。</w:t>
      </w:r>
    </w:p>
    <w:p>
      <w:pPr>
        <w:pStyle w:val="7"/>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41.2 其他事项详见“投标人须知前附</w:t>
      </w:r>
      <w:r>
        <w:rPr>
          <w:rFonts w:hint="eastAsia" w:ascii="宋体" w:hAnsi="宋体" w:eastAsia="宋体" w:cs="宋体"/>
          <w:color w:val="auto"/>
          <w:spacing w:val="8"/>
          <w:sz w:val="24"/>
          <w:szCs w:val="24"/>
          <w:highlight w:val="none"/>
        </w:rPr>
        <w:t>表</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8"/>
          <w:sz w:val="24"/>
          <w:szCs w:val="24"/>
          <w:highlight w:val="none"/>
        </w:rPr>
        <w:t>”。</w:t>
      </w:r>
    </w:p>
    <w:p>
      <w:pPr>
        <w:pStyle w:val="7"/>
        <w:spacing w:before="152" w:line="319" w:lineRule="auto"/>
        <w:ind w:right="23" w:firstLine="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41.3 本文件所称中小企业，是指在中华人民共和国境内依法设立，依据国务院批准 </w:t>
      </w:r>
      <w:r>
        <w:rPr>
          <w:rFonts w:hint="eastAsia" w:ascii="宋体" w:hAnsi="宋体" w:eastAsia="宋体" w:cs="宋体"/>
          <w:color w:val="auto"/>
          <w:spacing w:val="11"/>
          <w:sz w:val="24"/>
          <w:szCs w:val="24"/>
          <w:highlight w:val="none"/>
        </w:rPr>
        <w:t>的中小企业划分标准确定的中型企业、小型企业和微型企业，但与大企业的负责人为同</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一人，或者与大企业存在直接控股、管理关系的除外。符合中小企业划分标准的个体工</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商户，在政府采购活动中视同中小企业。在政府采购活动中，供应商提供的服务的人员</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为中小企业依照《中华人民共和国劳动合同法》订立劳动合同的从业人员，不对其中涉</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及的货物的制造商和工程承建商作出要求的，享受本文件规定的中小企业扶持政策。</w:t>
      </w:r>
    </w:p>
    <w:p>
      <w:pPr>
        <w:pStyle w:val="7"/>
        <w:spacing w:before="155" w:line="324" w:lineRule="auto"/>
        <w:ind w:right="93" w:firstLine="53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以联合体形式参加政府采购活动，联合体各方均为</w:t>
      </w:r>
      <w:r>
        <w:rPr>
          <w:rFonts w:hint="eastAsia" w:ascii="宋体" w:hAnsi="宋体" w:eastAsia="宋体" w:cs="宋体"/>
          <w:color w:val="auto"/>
          <w:spacing w:val="10"/>
          <w:sz w:val="24"/>
          <w:szCs w:val="24"/>
          <w:highlight w:val="none"/>
        </w:rPr>
        <w:t>中小企业的，联合体视同中小企</w:t>
      </w:r>
      <w:r>
        <w:rPr>
          <w:rFonts w:hint="eastAsia" w:ascii="宋体" w:hAnsi="宋体" w:eastAsia="宋体" w:cs="宋体"/>
          <w:color w:val="auto"/>
          <w:spacing w:val="11"/>
          <w:sz w:val="24"/>
          <w:szCs w:val="24"/>
          <w:highlight w:val="none"/>
        </w:rPr>
        <w:t>业。其中，联合体各方均为小微企业的，联合体视</w:t>
      </w:r>
      <w:r>
        <w:rPr>
          <w:rFonts w:hint="eastAsia" w:ascii="宋体" w:hAnsi="宋体" w:eastAsia="宋体" w:cs="宋体"/>
          <w:color w:val="auto"/>
          <w:spacing w:val="10"/>
          <w:sz w:val="24"/>
          <w:szCs w:val="24"/>
          <w:highlight w:val="none"/>
        </w:rPr>
        <w:t>同小微企业。</w:t>
      </w:r>
    </w:p>
    <w:p>
      <w:pPr>
        <w:pStyle w:val="7"/>
        <w:spacing w:before="38" w:line="324" w:lineRule="auto"/>
        <w:ind w:left="23" w:right="93" w:firstLine="48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依据本文件规定享受扶持政策获得政府采购合同的，小微企业不得将合同分包给大</w:t>
      </w:r>
      <w:r>
        <w:rPr>
          <w:rFonts w:hint="eastAsia" w:ascii="宋体" w:hAnsi="宋体" w:eastAsia="宋体" w:cs="宋体"/>
          <w:color w:val="auto"/>
          <w:spacing w:val="9"/>
          <w:sz w:val="24"/>
          <w:szCs w:val="24"/>
          <w:highlight w:val="none"/>
        </w:rPr>
        <w:t>中型企业，中型企业不得将合同分包给大型企业。</w:t>
      </w: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三</w:t>
      </w:r>
      <w:r>
        <w:rPr>
          <w:rFonts w:hint="eastAsia" w:ascii="宋体" w:hAnsi="宋体" w:eastAsia="宋体" w:cs="宋体"/>
          <w:color w:val="auto"/>
          <w:sz w:val="44"/>
          <w:szCs w:val="44"/>
          <w:highlight w:val="none"/>
        </w:rPr>
        <w:t xml:space="preserve">章 </w:t>
      </w:r>
      <w:r>
        <w:rPr>
          <w:rFonts w:hint="eastAsia" w:ascii="宋体" w:hAnsi="宋体" w:eastAsia="宋体" w:cs="宋体"/>
          <w:color w:val="auto"/>
          <w:sz w:val="44"/>
          <w:szCs w:val="44"/>
          <w:highlight w:val="none"/>
          <w:lang w:val="en-US" w:eastAsia="zh-CN"/>
        </w:rPr>
        <w:t>采购需求</w:t>
      </w:r>
    </w:p>
    <w:p>
      <w:pPr>
        <w:widowControl w:val="0"/>
        <w:numPr>
          <w:ilvl w:val="0"/>
          <w:numId w:val="0"/>
        </w:numPr>
        <w:autoSpaceDE w:val="0"/>
        <w:autoSpaceDN w:val="0"/>
        <w:spacing w:after="0" w:line="240" w:lineRule="auto"/>
        <w:jc w:val="left"/>
        <w:rPr>
          <w:rFonts w:hint="eastAsia" w:ascii="宋体" w:hAnsi="宋体" w:eastAsia="宋体" w:cs="宋体"/>
          <w:b/>
          <w:bCs/>
          <w:color w:val="auto"/>
          <w:kern w:val="0"/>
          <w:sz w:val="32"/>
          <w:szCs w:val="32"/>
          <w:highlight w:val="none"/>
          <w:lang w:val="en-US" w:eastAsia="zh-CN" w:bidi="zh-CN"/>
          <w14:ligatures w14:val="none"/>
        </w:rPr>
      </w:pPr>
      <w:r>
        <w:rPr>
          <w:rFonts w:hint="eastAsia" w:ascii="宋体" w:hAnsi="宋体" w:eastAsia="宋体" w:cs="宋体"/>
          <w:b/>
          <w:bCs/>
          <w:color w:val="auto"/>
          <w:kern w:val="0"/>
          <w:sz w:val="32"/>
          <w:szCs w:val="32"/>
          <w:highlight w:val="none"/>
          <w:lang w:val="zh-CN" w:bidi="zh-CN"/>
          <w14:ligatures w14:val="none"/>
        </w:rPr>
        <w:t>数字化医用X射线摄影系统</w:t>
      </w:r>
      <w:r>
        <w:rPr>
          <w:rFonts w:hint="eastAsia" w:ascii="宋体" w:hAnsi="宋体" w:eastAsia="宋体" w:cs="宋体"/>
          <w:b/>
          <w:bCs/>
          <w:color w:val="auto"/>
          <w:kern w:val="0"/>
          <w:sz w:val="32"/>
          <w:szCs w:val="32"/>
          <w:highlight w:val="none"/>
          <w:lang w:val="zh-CN" w:eastAsia="zh-CN" w:bidi="zh-CN"/>
          <w14:ligatures w14:val="none"/>
        </w:rPr>
        <w:t>参数</w:t>
      </w:r>
    </w:p>
    <w:p>
      <w:pPr>
        <w:jc w:val="center"/>
        <w:rPr>
          <w:rFonts w:hint="eastAsia" w:ascii="微软雅黑" w:hAnsi="微软雅黑" w:eastAsia="微软雅黑" w:cs="微软雅黑"/>
          <w:b/>
          <w:bCs/>
          <w:color w:val="auto"/>
          <w:sz w:val="24"/>
          <w:szCs w:val="24"/>
          <w:highlight w:val="none"/>
        </w:rPr>
      </w:pPr>
    </w:p>
    <w:p>
      <w:pPr>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本项目采购数字化医用X射线摄影系统1套，主要功能为：通过X射线系统和数字平板探测器成像捕获系 统，能方便地对全身包括胸部、四肢、头颅和腹部等部位进行立位、卧位和坐轮椅病人的检查，完成 高分辨的数字化成像和自动影像处理。</w:t>
      </w:r>
    </w:p>
    <w:p>
      <w:pPr>
        <w:rPr>
          <w:rFonts w:hint="eastAsia" w:ascii="宋体" w:hAnsi="宋体" w:eastAsia="宋体" w:cs="宋体"/>
          <w:b/>
          <w:bCs/>
          <w:snapToGrid/>
          <w:color w:val="auto"/>
          <w:kern w:val="2"/>
          <w:sz w:val="24"/>
          <w:szCs w:val="24"/>
          <w:highlight w:val="none"/>
          <w:lang w:val="en-US" w:eastAsia="zh-CN" w:bidi="ar-SA"/>
          <w14:ligatures w14:val="standardContextual"/>
        </w:rPr>
      </w:pPr>
      <w:r>
        <w:rPr>
          <w:rFonts w:hint="eastAsia" w:ascii="宋体" w:hAnsi="宋体" w:eastAsia="宋体" w:cs="宋体"/>
          <w:b/>
          <w:bCs/>
          <w:snapToGrid/>
          <w:color w:val="auto"/>
          <w:kern w:val="2"/>
          <w:sz w:val="24"/>
          <w:szCs w:val="24"/>
          <w:highlight w:val="none"/>
          <w:lang w:val="en-US" w:eastAsia="zh-CN" w:bidi="ar-SA"/>
          <w14:ligatures w14:val="standardContextual"/>
        </w:rPr>
        <w:t xml:space="preserve"> 1、数量：一套</w:t>
      </w:r>
    </w:p>
    <w:p>
      <w:pPr>
        <w:rPr>
          <w:rFonts w:hint="eastAsia" w:ascii="宋体" w:hAnsi="宋体" w:eastAsia="宋体" w:cs="宋体"/>
          <w:b/>
          <w:bCs/>
          <w:snapToGrid/>
          <w:color w:val="auto"/>
          <w:kern w:val="2"/>
          <w:sz w:val="24"/>
          <w:szCs w:val="24"/>
          <w:highlight w:val="none"/>
          <w:lang w:val="en-US" w:eastAsia="zh-CN" w:bidi="ar-SA"/>
          <w14:ligatures w14:val="standardContextual"/>
        </w:rPr>
      </w:pPr>
      <w:r>
        <w:rPr>
          <w:rFonts w:hint="eastAsia" w:ascii="宋体" w:hAnsi="宋体" w:eastAsia="宋体" w:cs="宋体"/>
          <w:b/>
          <w:bCs/>
          <w:snapToGrid/>
          <w:color w:val="auto"/>
          <w:kern w:val="2"/>
          <w:sz w:val="24"/>
          <w:szCs w:val="24"/>
          <w:highlight w:val="none"/>
          <w:lang w:val="en-US" w:eastAsia="zh-CN" w:bidi="ar-SA"/>
          <w14:ligatures w14:val="standardContextual"/>
        </w:rPr>
        <w:t xml:space="preserve"> 2、设备用途及主要要求：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（1）用途： 全数字双平板悬吊X线摄影机，配置全数字平板，一机多用，完成门诊、急诊、住院部患者的全身各部 位、各体位、各角度的全数字X线摄影检查。在站立位倾斜摄影时X线球管与探测器可实现自动跟踪； 可根据DICOM WORKLIST的待检查信息智能设定曝光参数，以满足医院临床和体检工作中的高级诊断需 求。同时主控制台的主机中提供高级临床应用功能，例如：双能成像，组织均衡等。</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（2）系统主要部件：包括X线球管、高压发生器、平板探测器及图像处理工作站必须全部为设备制造 商原厂生产，以保证系统各部件之间互相匹配达到最佳状态。</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w:t>
      </w:r>
      <w:r>
        <w:rPr>
          <w:rFonts w:hint="eastAsia" w:ascii="宋体" w:hAnsi="宋体" w:eastAsia="宋体" w:cs="宋体"/>
          <w:b/>
          <w:bCs/>
          <w:snapToGrid/>
          <w:color w:val="auto"/>
          <w:kern w:val="2"/>
          <w:sz w:val="24"/>
          <w:szCs w:val="24"/>
          <w:highlight w:val="none"/>
          <w:lang w:val="en-US" w:eastAsia="zh-CN" w:bidi="ar-SA"/>
          <w14:ligatures w14:val="standardContextual"/>
        </w:rPr>
        <w:t>3、主要技术规格及系统概述：</w:t>
      </w:r>
      <w:r>
        <w:rPr>
          <w:rFonts w:hint="eastAsia" w:ascii="宋体" w:hAnsi="宋体" w:eastAsia="宋体" w:cs="宋体"/>
          <w:snapToGrid/>
          <w:color w:val="auto"/>
          <w:kern w:val="2"/>
          <w:sz w:val="24"/>
          <w:szCs w:val="24"/>
          <w:highlight w:val="none"/>
          <w:lang w:val="en-US" w:eastAsia="zh-CN" w:bidi="ar-SA"/>
          <w14:ligatures w14:val="standardContextual"/>
        </w:rPr>
        <w:t xml:space="preserve">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（1）X线高频高压发生器。</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1）高压发生器功率：≥80KW </w:t>
      </w:r>
    </w:p>
    <w:p>
      <w:pPr>
        <w:ind w:firstLine="240" w:firstLineChars="1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2）管电压可调范围：40－150KV</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3）支持自动曝光控制（AEC）</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4）最大管电流：≥650mA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（2）X线球管：</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1）球管支架安装方式：悬吊式</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2）阳极热容量：≥340KHU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3）阳极散热率：≥75KHU/分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4）球管小焦点尺寸：≤0.6mm</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5）球管大焦点尺寸：≤1.3mm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6）球管焦点最大功率：≥90KW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7）球管水平轴旋转角度：≥-120度/+120度</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8）球管垂直轴旋转角度：≥-135度/+180度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9）球管垂直移动范围：≥160厘米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10）有自动准直器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11）球管上具有近台操作液晶屏，液晶屏可根据球管旋转自动调整显示方式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12）球管触摸屏可实时显示并调节KV、mAs值</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13）球管触摸屏可实时显示SID、球管的角度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14）球管触摸屏≥10英寸</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15）球管触摸屏可以选择患者体型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16）球管触摸屏可以调整入射中心线的角度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17）球管触摸屏可以一键开启检查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3）数字平板探测器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*1）两块平板探测器，均为无线，可移动应用，可互换使用，满足离床摄影需求</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2）成像介质：数字化平板探测器，非CCD结构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3）探测器结构：碘化铯/非晶硅整板结构，非拼接平板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4）平板探测器与DR生产厂商为同一品牌，提供检测报告证明</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5）第一块无线平板探测器参数：像素尺寸≤105μm</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6）图像分辨率≥5.0lp/mm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7）平板探测器规格：≥17寸×17寸</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8）采集矩阵≥4000×4000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9）这图像输出灰阶度≥16bit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10）量子捕获效率（DQE）≥75%@0LP/mm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11）像素数量≥1200万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12）第二块无线平板探测器参数：像素尺寸≤105μm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13）图像分辨率 ≥5.0 lp/mm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14）平板探测器规格：≥ 14"寸×17寸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15）采集矩阵≥4000×3500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16）图像输出灰阶度≥16bit</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17）量子捕获效率（DQE）≥75%@0LP/mm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（4）立式胸片架</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1）胸片架安装方式：落地式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2）探测器纵向移动范围：≥150cm</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3）胸片架中心点距地面最小距离：≤28.5cm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4）滤线栅栅密度：≥70线/cm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5）板探测器电动倾斜，角度变化范围：+90度~-20度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6）平板探测器可同时进行垂直及倾斜的电动运动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7）X线球管与平板探测器具有纵向及倾斜角度自动跟踪功能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8）具备红外遥控器，遥控实现胸片架电动升降及平板电动倾斜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（5）电动升降数字摄影床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1）摄影床:固定式安装，电动升降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2）床体升降范围≥30cm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3）有电离室自动曝光</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4）滤线栅密度：≥70线/cm</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5）滤线栅栅比：≥12:1</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6）床面运动：八方向浮动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7）床体最低高度≤59cm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8）最大承重≥260kg</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9）床面规格≥80cm×230cm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10）床面材料：碳纤维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11）床面滤过≤0.8mmAlequiv@100kVp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12）床面纵向移动范围≥110cm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13）床面横向移动范围≥20cm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14）摄影床可以和球管SID跟踪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15）摄影床平板探测器可以和球管纵向跟踪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16）摄影床平板探测器可以和球管旋转/打角度跟踪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（6）悬吊机架</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1）球管垂直升降范围≥160cm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2）球管水平旋转角度：+120度，-120度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3）球管垂直旋转角度：+180度，-135度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（7）图像采集工作站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1）采集操作台显示器：≥20英寸，显示矩阵为1920×1000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2）CPU单个核心主频：≥3.5GHz</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3）CPU核心数量：≥4核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4）硬盘存储：≥1TB </w:t>
      </w:r>
      <w:bookmarkStart w:id="25" w:name="_GoBack"/>
      <w:bookmarkEnd w:id="25"/>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5）图像存储数量：≥17000幅图像</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6）内存容量：≥32GB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7）曝光至图像预览时间：≤2秒</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8）曝光至最终图像显示时间：≤6秒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4、图像后处理功能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（1）具有局部放大观察功能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（2）具有图像曝光条件和剂量显示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（3）具有病人资料显示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（4）具有边缘增强功能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（5）具有窗宽/窗位调节功能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（6）具有动态范围调节功能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（7）具有图像反转功能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（8）具有漫游功能</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5、高级临床应用功能</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（1）胸部及腹部双能成像功能：按下一次曝光按钮，系统能够自动进行连续2次不同能量的采集，得到3幅图像：标准图像、骨骼图像及软组织图像。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（2）计算机视觉AI辅助摆位曝光系统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（3）系统可自动提示平板探测器边缘位置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（4）系统可自动提示AEC位置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（5）系统可以自动探测患者体厚，并推荐合理的曝光条件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（6）患者影像可以实时显示在工作站屏幕上，供技师摆位参考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（7）立位全景拼接，拼接长度≥150cm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6、其他配置要求：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为了使设备更好的运行，销售方需配套提供以下附件；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（1）十核电脑2台，英特尔i5及以上处理器，英特尔主板，内存≥16G，独立显卡，固态硬盘≥500G，M.2 接口，配高清图像采集卡。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（2）品牌打印机2台</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（3）空调2台，制冷量≥7200W，制热量≥9600W，循环风量≥1300m3/h，室内机最大噪声≤42dB，室 外机噪声≤54dB。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（4）办公桌椅2套。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（5）移动式铅衣架1个，铅衣2套，铅帽2套，铅围裙2套，铅围脖2套，个人计量报警仪1个。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七、售后服务要求：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 投标人应对所提供的货物提供整机原厂保修36个月的免费维修服务。 每半年巡检、校准。</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（2）开机率≥98 %，仪器故障要求12小时内应答，24小时形成解决方案。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（3）投标人（制造商或销售商）需在中国大陆地区设有售后服务机构和设施，并配备受过专业培训的 售后服务人员。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（4）为保证设备正常运行，卖方应在中国境内方便的地方设置备件库，存入所有必须的备件，并保证 5年以上的供应期，提供800全国免费电话。 </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 现场培训：卖方提供现场技术培训，保证使用人员能够正确操作设备的各项功能.</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（6） 省内有生产厂家直接设立的独立分支机构，不少于4名售后工程师（提供营业执照，租赁合同 及厂家出具的人事证明）</w:t>
      </w:r>
    </w:p>
    <w:p>
      <w:pPr>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注：必须提供生产企业的技术白皮书，检验报告，产品推荐书及彩页等官方资料，对重要技术参数辅以佐证，否则将一律视为不响应。</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widowControl w:val="0"/>
        <w:numPr>
          <w:ilvl w:val="0"/>
          <w:numId w:val="0"/>
        </w:numPr>
        <w:kinsoku/>
        <w:adjustRightInd/>
        <w:snapToGrid/>
        <w:spacing w:line="240" w:lineRule="auto"/>
        <w:jc w:val="left"/>
        <w:textAlignment w:val="auto"/>
        <w:rPr>
          <w:rFonts w:hint="eastAsia" w:ascii="宋体" w:hAnsi="宋体" w:eastAsia="宋体" w:cs="宋体"/>
          <w:b/>
          <w:bCs/>
          <w:snapToGrid/>
          <w:color w:val="auto"/>
          <w:sz w:val="32"/>
          <w:szCs w:val="32"/>
          <w:highlight w:val="none"/>
          <w:lang w:val="zh-CN" w:eastAsia="zh-CN" w:bidi="zh-CN"/>
        </w:rPr>
      </w:pPr>
      <w:r>
        <w:rPr>
          <w:rFonts w:hint="eastAsia" w:ascii="宋体" w:hAnsi="宋体" w:eastAsia="宋体" w:cs="宋体"/>
          <w:b/>
          <w:bCs/>
          <w:snapToGrid/>
          <w:color w:val="auto"/>
          <w:sz w:val="32"/>
          <w:szCs w:val="32"/>
          <w:highlight w:val="none"/>
          <w:lang w:val="zh-CN" w:eastAsia="zh-CN" w:bidi="zh-CN"/>
        </w:rPr>
        <w:t>多功能数字胃肠机系统参数</w:t>
      </w:r>
    </w:p>
    <w:p>
      <w:pPr>
        <w:pStyle w:val="7"/>
        <w:spacing w:before="76" w:line="227" w:lineRule="auto"/>
        <w:ind w:left="12"/>
        <w:jc w:val="center"/>
        <w:rPr>
          <w:rFonts w:hint="eastAsia" w:asciiTheme="minorEastAsia" w:hAnsiTheme="minorEastAsia" w:eastAsiaTheme="minorEastAsia" w:cstheme="minorEastAsia"/>
          <w:color w:val="auto"/>
          <w:spacing w:val="7"/>
          <w:sz w:val="32"/>
          <w:szCs w:val="32"/>
          <w:highlight w:val="none"/>
        </w:rPr>
      </w:pP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本项目购买数字胃肠X光机，主要是满足人体全身各个部位摄影检查，包括常规摄影、特殊摄影（图像 拼接）、可视化摄影、精准摄影、大面积骨折摄影、满足大批量体检摄影，适用于全普放科临床各个科室。设备适用于全身各部位透视（如胸透、腹透等）、透视下定位、透视下穿刺；应用于消化科、泌尿科、妇科等。同时适用于胃肠道造影检查，如食管造影、上消化道造影、全消化道造影、ERCP、T 管造影等。主要适用于消化内科和普通外科。另外还适用于各种普通及特殊造影的检查。</w:t>
      </w:r>
    </w:p>
    <w:p>
      <w:pPr>
        <w:pStyle w:val="7"/>
        <w:spacing w:before="31" w:line="242" w:lineRule="auto"/>
        <w:ind w:firstLine="482"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b/>
          <w:bCs/>
          <w:snapToGrid/>
          <w:color w:val="auto"/>
          <w:kern w:val="2"/>
          <w:sz w:val="24"/>
          <w:szCs w:val="24"/>
          <w:highlight w:val="none"/>
          <w:lang w:val="en-US" w:eastAsia="zh-CN" w:bidi="ar-SA"/>
          <w14:ligatures w14:val="standardContextual"/>
        </w:rPr>
        <w:t>1、数量： 一套</w:t>
      </w:r>
    </w:p>
    <w:p>
      <w:pPr>
        <w:pStyle w:val="7"/>
        <w:spacing w:before="31" w:line="242" w:lineRule="auto"/>
        <w:ind w:firstLine="482"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b/>
          <w:bCs/>
          <w:snapToGrid/>
          <w:color w:val="auto"/>
          <w:kern w:val="2"/>
          <w:sz w:val="24"/>
          <w:szCs w:val="24"/>
          <w:highlight w:val="none"/>
          <w:lang w:val="en-US" w:eastAsia="zh-CN" w:bidi="ar-SA"/>
          <w14:ligatures w14:val="standardContextual"/>
        </w:rPr>
        <w:t>2、设备用途及主要要求：</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（1）用途：</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该设备主要用于消化系统检查造影、全身各部位非血管介入治疗检查、临床应用及其他放射影像学应 用，能实现全身各部位的数字化平板透视及摄片；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（2）高压发生器，平板探测器，检查床、图像处理系统必须为同一厂家生产;</w:t>
      </w:r>
    </w:p>
    <w:p>
      <w:pPr>
        <w:pStyle w:val="7"/>
        <w:spacing w:before="31" w:line="242" w:lineRule="auto"/>
        <w:ind w:firstLine="482" w:firstLineChars="200"/>
        <w:rPr>
          <w:rFonts w:hint="eastAsia" w:ascii="宋体" w:hAnsi="宋体" w:eastAsia="宋体" w:cs="宋体"/>
          <w:b/>
          <w:bCs/>
          <w:snapToGrid/>
          <w:color w:val="auto"/>
          <w:kern w:val="2"/>
          <w:sz w:val="24"/>
          <w:szCs w:val="24"/>
          <w:highlight w:val="none"/>
          <w:lang w:val="en-US" w:eastAsia="zh-CN" w:bidi="ar-SA"/>
          <w14:ligatures w14:val="standardContextual"/>
        </w:rPr>
      </w:pPr>
      <w:r>
        <w:rPr>
          <w:rFonts w:hint="eastAsia" w:ascii="宋体" w:hAnsi="宋体" w:eastAsia="宋体" w:cs="宋体"/>
          <w:b/>
          <w:bCs/>
          <w:snapToGrid/>
          <w:color w:val="auto"/>
          <w:kern w:val="2"/>
          <w:sz w:val="24"/>
          <w:szCs w:val="24"/>
          <w:highlight w:val="none"/>
          <w:lang w:val="en-US" w:eastAsia="zh-CN" w:bidi="ar-SA"/>
          <w14:ligatures w14:val="standardContextual"/>
        </w:rPr>
        <w:t>3、主要技术规格及系统概述：</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（1）检查床部分</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1）要求岛屿式一体化可倾斜床面遥控检查床，带有消化系统造影专用压迫装置，可进行遥控操作，具 有紧急刹车安全装置，具有全数字化成像系统及单片点片摄影及连续点片摄影功能；采用低吸收剂量 的碳素纤维高强度床板。</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2）检查床的运动范围及功能要求：</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床面倾倒范围：≥－15/+90度。 </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横向移动范围： ≥±11厘米。</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影像系统移动范围： ≥90厘米。</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源像距（FFD） ≥180cm，满足胸部摄影。</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胃肠造影压迫装置最大压力： ≤80N。</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3）单片摄影系统：</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滤线栅，栅密度≥60LP/cm。</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自动曝光控制功能；透视图像最后一帧保持功能。</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具备自动亮度跟踪功能（ABS）</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*床体带旋转托盘，且在操作室可以控制托盘旋转（提供证明文件）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 （2）X线发生及控制系统：</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1）X线发生器：</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*发生器功率：≥80千瓦</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最大电流： ≥1000毫安  </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要求采用高频变频、微处理器控制技术，频率≥460kHz；</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操作界面采用WINDOWS视窗界面，具有系统故障自我诊断功能，摄影条件全自动控制；具有管电压自动适应功能。</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透视方式：具备连续透视和脉冲透视两种透视方式（提供检验报告作为证明文件）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连续透视管电流调节范围：0.5-5mA（提供检验报告作为证明文件）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脉冲透视管电流调节范围：5-50mA（提供检验报告作为证明文件）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连续透视管电压调节范围：40KV-125KV,以1KV为单位连续可调（提供检验报告作为证明文件）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脉冲透视管电压调节范围：40KV-125KV，以1KV为单位连续可调（提供检验报告作为证明文件）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2）X线管球及附件：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焦点大小： ≤0.6/1.2毫米。</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*阳极热容量： ≥400KHU热容量单位。</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（3）数字化平板探测器</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1）探测器结构：整板无拼接设计</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*2）材料：非晶硅，表面涂层碘化铯</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3）探测器冷却方式：自然冷却，无需任何额外冷却装置</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4）无拼接整板最大摄片野≥17"×17"</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5）像素尺寸： ≤140微米</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6）采集像素A/D转换位数： ≥16bit</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7）像素矩阵： ≥3000×3000</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8）有效像素数： ≥900万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9）空间分辨率： ≥3.4线对/毫米</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10）可检测器DQE值： ≥60%（提供证明文件）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11）平板探测器可在床体可以沿滑架移动，移动范围≥1100mm（提供检验报告）。</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12）平板探测器可与球管双向对中电动移动（提供证明文件）。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（4）平板数字化处理系统</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1）主控器：病人资料处理、图像显示及图像传输等，配备最新版本的专业平板图像处理软件。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2）操作系统：采用WINDOWS操作系统，全中文操作界面</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3）操作方式：鼠标＋键盘</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4）图像处理功能： X线嚗光野确认、伽码曲线灰阶校正、图像锐利化处理、图像显示增强处理，能够调节亮度、对比度，边缘增强、放大、局部放大、图像能上、下、左、右旋转90/顺逆、图像测量，图 像剪裁功能等功能。</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5）具有多级边缘增强、噪音抑制功能：具备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6）自定义预置文本标注功能：具备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7）放大镜功能：方便观察图像细节，可调节放大镜大小和倍数</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8）图像剪裁功能：具备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9）AP/PA、L/R定位标记：具备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10）多幅图像显示：具备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11）最大透视采集≥30fps，且帧频不低于6种（提供检验报告作为证明文件）。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12）图像处理功能：</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动态采集图像在回放时，可进行：窗宽窗位调整，自动窗口，正反像切换，漫游放大图像旋转，电子 光圈处理，文字标注，比例尺显示，箭头指示，多幅显示，自动γ校正。</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透视末帧图像定格功能（LIH），透视图像实时存储。</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采集图像电影回放；回放速度任意可调；并可逐帧回放。</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13）图像存储： ≥80000幅</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14）图像显示器：2块24寸专业医用显示器 ≥ 3M（需提供国内一线品牌医用显示器）</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15）具备全自动图像拼接功能，要求为狭缝拼接技术，即球管打角度拼接（提供相应的证明文件）。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（5）其他</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1）床边控制器、钡杯架，肩托，病人用手柄，头端病人用手柄等完备的附件，具有双向对讲系统。</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2）设备安装技术资料，操作使用技术资料，维修资料及电路图，使用人员保养，操作现场培训。</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3）配有标准DICOM3.0功能，同时具备DICOM打印、存储、传输和获取功能、 worklist功能：具备。</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4、售后服务要求：</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w:t>
      </w:r>
      <w:r>
        <w:rPr>
          <w:rFonts w:hint="eastAsia" w:ascii="宋体" w:hAnsi="宋体" w:eastAsia="宋体" w:cs="宋体"/>
          <w:snapToGrid/>
          <w:color w:val="auto"/>
          <w:kern w:val="2"/>
          <w:sz w:val="24"/>
          <w:szCs w:val="24"/>
          <w:highlight w:val="none"/>
          <w:lang w:val="en-US" w:eastAsia="zh-CN" w:bidi="ar-SA"/>
          <w14:ligatures w14:val="standardContextual"/>
        </w:rPr>
        <w:t>投标人应对所提供的货物提供整机原厂保修36个月的免费维修服务。 每半年巡检、校准。</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（2）开机率≥98%，仪器故障要求12小时内应答，24小时形成解决方案。</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（3）投标人（制造商或销售商）需在中国大陆地区设有售后服务机构和设施，并配备受过专业培训的 售后服务人员。</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（4）为保证设备正常运行，卖方应在中国境内方便的地方设置备件库，存入所有必须的备件，并保证5年以上的供应期，提供800全国免费电话。</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（5）现场培训：卖方提供现场技术培训，保证使用人员能够正确操作设备的各项功能.</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5、其他配置要求：</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为了使设备更好的运行，销售方需配套提供以下附件；</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（1）配置3KW稳压电源1台；</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（2）配置与医院配套的工作站1台；</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（3）</w:t>
      </w:r>
      <w:r>
        <w:rPr>
          <w:rFonts w:hint="eastAsia" w:ascii="宋体" w:hAnsi="宋体" w:eastAsia="宋体" w:cs="宋体"/>
          <w:snapToGrid/>
          <w:color w:val="auto"/>
          <w:kern w:val="2"/>
          <w:sz w:val="24"/>
          <w:szCs w:val="24"/>
          <w:highlight w:val="none"/>
          <w:lang w:val="en-US" w:eastAsia="zh-CN" w:bidi="ar-SA"/>
          <w14:ligatures w14:val="standardContextual"/>
        </w:rPr>
        <w:t>十核</w:t>
      </w:r>
      <w:r>
        <w:rPr>
          <w:rFonts w:hint="eastAsia" w:ascii="宋体" w:hAnsi="宋体" w:eastAsia="宋体" w:cs="宋体"/>
          <w:snapToGrid/>
          <w:color w:val="auto"/>
          <w:kern w:val="2"/>
          <w:sz w:val="24"/>
          <w:szCs w:val="24"/>
          <w:highlight w:val="none"/>
          <w:lang w:val="en-US" w:eastAsia="zh-CN" w:bidi="ar-SA"/>
          <w14:ligatures w14:val="standardContextual"/>
        </w:rPr>
        <w:t>电脑2台，英特尔i5及以上处理器，英特尔主板，内存≥16G，独立显卡，固态硬盘≥500G， M.2接口，配高清图像采集卡。</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（4）品牌打印机2台。</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（5）高清大屏幕1台，尺寸≥55吋，分辨率≥2160×1080，带10米高清信号线，实现与“放射设备检查”的同屏显示。</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（6）空调2台，制冷量≥7200W，制热量≥9600W，循环风量≥1300m3/h，室内机最大噪声≤42dB，室 外机噪声≤54dB。</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（7）办公桌椅2套。</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r>
        <w:rPr>
          <w:rFonts w:hint="eastAsia" w:ascii="宋体" w:hAnsi="宋体" w:eastAsia="宋体" w:cs="宋体"/>
          <w:snapToGrid/>
          <w:color w:val="auto"/>
          <w:kern w:val="2"/>
          <w:sz w:val="24"/>
          <w:szCs w:val="24"/>
          <w:highlight w:val="none"/>
          <w:lang w:val="en-US" w:eastAsia="zh-CN" w:bidi="ar-SA"/>
          <w14:ligatures w14:val="standardContextual"/>
        </w:rPr>
        <w:t xml:space="preserve">（8）移动式铅衣架1个，铅衣（3铅当量）2套，铅帽2套，铅围裙2套，铅围脖2套，个人计量报警仪1个。 </w:t>
      </w: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en-US" w:bidi="ar-SA"/>
          <w14:ligatures w14:val="standardContextual"/>
        </w:rPr>
      </w:pP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en-US" w:bidi="ar-SA"/>
          <w14:ligatures w14:val="standardContextual"/>
        </w:rPr>
      </w:pP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en-US" w:bidi="ar-SA"/>
          <w14:ligatures w14:val="standardContextual"/>
        </w:rPr>
      </w:pPr>
    </w:p>
    <w:p>
      <w:pPr>
        <w:pStyle w:val="7"/>
        <w:spacing w:before="31" w:line="242" w:lineRule="auto"/>
        <w:ind w:firstLine="480" w:firstLineChars="200"/>
        <w:rPr>
          <w:rFonts w:hint="eastAsia" w:ascii="宋体" w:hAnsi="宋体" w:eastAsia="宋体" w:cs="宋体"/>
          <w:snapToGrid/>
          <w:color w:val="auto"/>
          <w:kern w:val="2"/>
          <w:sz w:val="24"/>
          <w:szCs w:val="24"/>
          <w:highlight w:val="none"/>
          <w:lang w:val="en-US" w:eastAsia="zh-CN" w:bidi="ar-SA"/>
          <w14:ligatures w14:val="standardContextual"/>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第四章 评标方法及评标标准</w:t>
      </w:r>
    </w:p>
    <w:p>
      <w:pPr>
        <w:jc w:val="center"/>
        <w:rPr>
          <w:rFonts w:hint="eastAsia" w:ascii="宋体" w:hAnsi="宋体" w:eastAsia="宋体" w:cs="宋体"/>
          <w:color w:val="auto"/>
          <w:sz w:val="44"/>
          <w:szCs w:val="44"/>
          <w:highlight w:val="none"/>
        </w:rPr>
      </w:pPr>
      <w:bookmarkStart w:id="9" w:name="第一节 评标办法"/>
      <w:bookmarkEnd w:id="9"/>
      <w:r>
        <w:rPr>
          <w:rFonts w:hint="eastAsia" w:ascii="宋体" w:hAnsi="宋体" w:eastAsia="宋体" w:cs="宋体"/>
          <w:color w:val="auto"/>
          <w:sz w:val="44"/>
          <w:szCs w:val="44"/>
          <w:highlight w:val="none"/>
        </w:rPr>
        <w:t>第一节 评标办法</w:t>
      </w:r>
    </w:p>
    <w:p>
      <w:pPr>
        <w:rPr>
          <w:rFonts w:hint="eastAsia" w:ascii="宋体" w:hAnsi="宋体" w:eastAsia="宋体" w:cs="宋体"/>
          <w:color w:val="auto"/>
          <w:highlight w:val="none"/>
        </w:rPr>
      </w:pPr>
      <w:r>
        <w:rPr>
          <w:rFonts w:hint="eastAsia" w:ascii="宋体" w:hAnsi="宋体" w:eastAsia="宋体" w:cs="宋体"/>
          <w:color w:val="auto"/>
          <w:highlight w:val="none"/>
        </w:rPr>
        <w:t>最低评标价法，是指投标文件满足招标文件全部实质性要求，且投标报价最低的投标人为中标候选人的评标方法。</w:t>
      </w:r>
    </w:p>
    <w:p>
      <w:pPr>
        <w:rPr>
          <w:rFonts w:hint="eastAsia" w:ascii="宋体" w:hAnsi="宋体" w:eastAsia="宋体" w:cs="宋体"/>
          <w:color w:val="auto"/>
          <w:highlight w:val="none"/>
        </w:rPr>
      </w:pPr>
      <w:r>
        <w:rPr>
          <w:rFonts w:hint="eastAsia" w:ascii="宋体" w:hAnsi="宋体" w:eastAsia="宋体" w:cs="宋体"/>
          <w:color w:val="auto"/>
          <w:highlight w:val="none"/>
        </w:rPr>
        <w:t>☑综合评分法，是指投标文件满足招标文件全部实质性要求，且按照评审因素的量化指标评审得分 最高的投标人为中标候选人的评标方法。评标委员会将对各投标人的投标报价、技术和服务方案、投标人的 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w:t>
      </w:r>
    </w:p>
    <w:p>
      <w:pP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bookmarkStart w:id="10" w:name="第二节 评标程序"/>
      <w:bookmarkEnd w:id="10"/>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节</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rPr>
        <w:t>评标程序</w:t>
      </w:r>
    </w:p>
    <w:p>
      <w:pPr>
        <w:rPr>
          <w:rFonts w:hint="default" w:ascii="宋体" w:hAnsi="宋体" w:eastAsia="宋体" w:cs="宋体"/>
          <w:color w:val="auto"/>
          <w:highlight w:val="none"/>
          <w:lang w:val="en-US" w:eastAsia="zh-CN"/>
        </w:rPr>
      </w:pPr>
      <w:r>
        <w:rPr>
          <w:rFonts w:hint="eastAsia" w:cs="宋体"/>
          <w:color w:val="auto"/>
          <w:highlight w:val="none"/>
          <w:lang w:val="en-US" w:eastAsia="zh-CN"/>
        </w:rPr>
        <w:t>1、符合性审查</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符合性检查表</w:t>
      </w:r>
    </w:p>
    <w:tbl>
      <w:tblPr>
        <w:tblStyle w:val="10"/>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2137"/>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16"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37"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评审要求</w:t>
            </w:r>
          </w:p>
        </w:tc>
        <w:tc>
          <w:tcPr>
            <w:tcW w:w="6163"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6"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37"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报价唯一</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投标报价未超过采购预算最高限价金额，且只有一个有效报价， 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6" w:type="dxa"/>
            <w:vMerge w:val="restart"/>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招标文件内容是否齐全</w:t>
            </w:r>
          </w:p>
        </w:tc>
        <w:tc>
          <w:tcPr>
            <w:tcW w:w="6163" w:type="dxa"/>
            <w:noWrap w:val="0"/>
            <w:vAlign w:val="top"/>
          </w:tcPr>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是否按照招标文件的要求提供资料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是否按照招标文件的要求签署、盖章</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按照招标文件的要求在规定的地方完成签字、盖章，投标文件上 法定代表人或其授权代理人的签字、投标人的单位章齐全符合招</w:t>
            </w:r>
          </w:p>
          <w:p>
            <w:pPr>
              <w:rPr>
                <w:rFonts w:hint="eastAsia" w:ascii="宋体" w:hAnsi="宋体" w:eastAsia="宋体" w:cs="宋体"/>
                <w:color w:val="auto"/>
                <w:highlight w:val="none"/>
              </w:rPr>
            </w:pPr>
            <w:r>
              <w:rPr>
                <w:rFonts w:hint="eastAsia" w:ascii="宋体" w:hAnsi="宋体" w:eastAsia="宋体" w:cs="宋体"/>
                <w:color w:val="auto"/>
                <w:highlight w:val="none"/>
              </w:rPr>
              <w:t>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招标文件是否有采购人不能接收的条件</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投标文件未附有采购人不能接受的附加条件及法律、法规和招标 文件规定的其他无效情形。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符合法律、法规和采购文件中规定的其他实质性要求；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6"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满足投标项的服务</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要求及其配套服务</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按照采购人需求提供货物、备品备件及其配套服务，且只能有一</w:t>
            </w:r>
          </w:p>
          <w:p>
            <w:pPr>
              <w:rPr>
                <w:rFonts w:hint="eastAsia" w:ascii="宋体" w:hAnsi="宋体" w:eastAsia="宋体" w:cs="宋体"/>
                <w:color w:val="auto"/>
                <w:highlight w:val="none"/>
              </w:rPr>
            </w:pPr>
            <w:r>
              <w:rPr>
                <w:rFonts w:hint="eastAsia" w:ascii="宋体" w:hAnsi="宋体" w:eastAsia="宋体" w:cs="宋体"/>
                <w:color w:val="auto"/>
                <w:highlight w:val="none"/>
              </w:rPr>
              <w:t>个方案投标。</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符合性审查不通过而导致投标无效的情形</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投标人的投标文件中存在对招标文件的任何实质性要求和条件的负偏离，将被视为投标无效。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2.1</w:t>
      </w:r>
      <w:r>
        <w:rPr>
          <w:rFonts w:hint="eastAsia" w:ascii="宋体" w:hAnsi="宋体" w:eastAsia="宋体" w:cs="宋体"/>
          <w:color w:val="auto"/>
          <w:highlight w:val="none"/>
        </w:rPr>
        <w:t>在报价评审时，如发现下列情形之一的，将被视为投标无效：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投标文件未提供“投标人须知前附表”中“必须提供”的文件资料的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未采用人民币报价或者未按照招标文件标明的币种报价的；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 xml:space="preserve">报价超出招标文件规定最高限价，或者超出采购预算金额(包括分项预算)的； </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修正后的报价，投标人不确认的；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2.2</w:t>
      </w:r>
      <w:r>
        <w:rPr>
          <w:rFonts w:hint="eastAsia" w:ascii="宋体" w:hAnsi="宋体" w:eastAsia="宋体" w:cs="宋体"/>
          <w:color w:val="auto"/>
          <w:highlight w:val="none"/>
        </w:rPr>
        <w:t xml:space="preserve">在商务评审时，如发现下列情形之一的，将被视为投标无效： </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投标文件未按招标文件要求签署、盖章的；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委托代理人未能出具有效身份证明或者出具的身份证明与授权委托书中的信息不符的；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投标文件未提供“投标人须知前附表”中“必须提供”或者“委托时必须提供”的文件资料的；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投标有效期、项目完成时间(交货时间、服务完成时间或者服务期等)、质保期、售后服务等招标文件中标星号的商务条款发生偏离的；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投标文件的实质性内容未使用中文表述、使用计量单位不符合招标文件要求的；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投标文件中的文件资料因填写不齐全或者内容虚假或者出现其他情形而导致被评标委员会认定无效的；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7、</w:t>
      </w:r>
      <w:r>
        <w:rPr>
          <w:rFonts w:hint="eastAsia" w:ascii="宋体" w:hAnsi="宋体" w:eastAsia="宋体" w:cs="宋体"/>
          <w:color w:val="auto"/>
          <w:highlight w:val="none"/>
        </w:rPr>
        <w:t>投标文件含有采购人不能接受的附加条件的；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8、</w:t>
      </w:r>
      <w:r>
        <w:rPr>
          <w:rFonts w:hint="eastAsia" w:ascii="宋体" w:hAnsi="宋体" w:eastAsia="宋体" w:cs="宋体"/>
          <w:color w:val="auto"/>
          <w:highlight w:val="none"/>
        </w:rPr>
        <w:t>未响应招标文件实质性要求的；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9、</w:t>
      </w:r>
      <w:r>
        <w:rPr>
          <w:rFonts w:hint="eastAsia" w:ascii="宋体" w:hAnsi="宋体" w:eastAsia="宋体" w:cs="宋体"/>
          <w:color w:val="auto"/>
          <w:highlight w:val="none"/>
        </w:rPr>
        <w:t>属于投标人须知正文第 9.2 条情形的；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10、</w:t>
      </w:r>
      <w:r>
        <w:rPr>
          <w:rFonts w:hint="eastAsia" w:ascii="宋体" w:hAnsi="宋体" w:eastAsia="宋体" w:cs="宋体"/>
          <w:color w:val="auto"/>
          <w:highlight w:val="none"/>
        </w:rPr>
        <w:t>法律、法规和招标文件规定的其他无效情形。</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2.3</w:t>
      </w:r>
      <w:r>
        <w:rPr>
          <w:rFonts w:hint="eastAsia" w:ascii="宋体" w:hAnsi="宋体" w:eastAsia="宋体" w:cs="宋体"/>
          <w:color w:val="auto"/>
          <w:highlight w:val="none"/>
        </w:rPr>
        <w:t>在技术评审时，如发现下列情形之一的，将被视为投标无效：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不满足招标文件要求的服务内容、技术要求、安全、质量标准，或者与招标文件中标星号的技术需求发生负偏离的；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技术需求评审允许负偏离的条款数超过“投标人须知前附表”规定项数的；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投标文件未提供“投标人须知前附表”中“必须提供”的文件资料的;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虚假投标，或者出现其他情形而导致被评标委员会认定无效的；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如招标文件需要提供技术方案的，投标技术方案不明确，招标文件未允许但存在一个或者一个以上备选(替代)投标方案的。</w:t>
      </w:r>
    </w:p>
    <w:p>
      <w:pPr>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澄清补正、说明或者补正</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投标文件修正</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4.1</w:t>
      </w:r>
      <w:r>
        <w:rPr>
          <w:rFonts w:hint="eastAsia" w:ascii="宋体" w:hAnsi="宋体" w:eastAsia="宋体" w:cs="宋体"/>
          <w:color w:val="auto"/>
          <w:highlight w:val="none"/>
        </w:rPr>
        <w:t>投标文件报价出现前后不一致的，按照下列规定修正：</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报价文件中“开标一览表”内容与投标文件中相应内容不一致的，以“开标一览表”为准；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大写金额和小写金额不一致的，以大写金额为准；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单价金额小数点或者百分比有明显错位的，以开标一览表的总价为准，并修改单</w:t>
      </w:r>
    </w:p>
    <w:p>
      <w:pPr>
        <w:rPr>
          <w:rFonts w:hint="eastAsia" w:ascii="宋体" w:hAnsi="宋体" w:eastAsia="宋体" w:cs="宋体"/>
          <w:color w:val="auto"/>
          <w:highlight w:val="none"/>
        </w:rPr>
      </w:pPr>
      <w:r>
        <w:rPr>
          <w:rFonts w:hint="eastAsia" w:ascii="宋体" w:hAnsi="宋体" w:eastAsia="宋体" w:cs="宋体"/>
          <w:color w:val="auto"/>
          <w:highlight w:val="none"/>
        </w:rPr>
        <w:t>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总价金额与按单价汇总金额不一致的，以单价金额计算结果为准。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 (4)规定的顺序修正。修正后的报价经投标人确认后产生约束力，投标人不确认的，其投标无效。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4.2</w:t>
      </w:r>
      <w:r>
        <w:rPr>
          <w:rFonts w:hint="eastAsia" w:ascii="宋体" w:hAnsi="宋体" w:eastAsia="宋体" w:cs="宋体"/>
          <w:color w:val="auto"/>
          <w:highlight w:val="none"/>
        </w:rPr>
        <w:t>经投标人确认</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修正后的报价若超过采购预算金额或者最高限价，投标人的投标文件作无效投标处理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4.3</w:t>
      </w:r>
      <w:r>
        <w:rPr>
          <w:rFonts w:hint="eastAsia" w:ascii="宋体" w:hAnsi="宋体" w:eastAsia="宋体" w:cs="宋体"/>
          <w:color w:val="auto"/>
          <w:highlight w:val="none"/>
        </w:rPr>
        <w:t>经投标人确认修正后的报价作为签订合同的依据，并以此报价计算价格分。</w:t>
      </w:r>
    </w:p>
    <w:p>
      <w:pPr>
        <w:rPr>
          <w:rFonts w:hint="eastAsia" w:ascii="宋体" w:hAnsi="宋体" w:eastAsia="宋体" w:cs="宋体"/>
          <w:color w:val="auto"/>
          <w:highlight w:val="none"/>
        </w:rPr>
      </w:pPr>
      <w:r>
        <w:rPr>
          <w:rFonts w:hint="eastAsia" w:ascii="宋体" w:hAnsi="宋体" w:eastAsia="宋体" w:cs="宋体"/>
          <w:color w:val="auto"/>
          <w:highlight w:val="none"/>
        </w:rPr>
        <w:t>5.比较与评价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5.1</w:t>
      </w:r>
      <w:r>
        <w:rPr>
          <w:rFonts w:hint="eastAsia" w:ascii="宋体" w:hAnsi="宋体" w:eastAsia="宋体" w:cs="宋体"/>
          <w:color w:val="auto"/>
          <w:highlight w:val="none"/>
        </w:rPr>
        <w:t>评标委员会按照招标文件中规定的评标方法和评标标准，对符合性审查合格的投标文件进行商务和技术评估，综合比较与评价。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5.2</w:t>
      </w:r>
      <w:r>
        <w:rPr>
          <w:rFonts w:hint="eastAsia" w:ascii="宋体" w:hAnsi="宋体" w:eastAsia="宋体" w:cs="宋体"/>
          <w:color w:val="auto"/>
          <w:highlight w:val="none"/>
        </w:rPr>
        <w:t>评标委员会独立对每个投标人的投标文件进行评价，并汇总每个投标人的得分。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ind w:firstLine="440" w:firstLineChars="200"/>
        <w:rPr>
          <w:rFonts w:hint="eastAsia" w:ascii="宋体" w:hAnsi="宋体" w:eastAsia="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2）</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5.3</w:t>
      </w:r>
      <w:r>
        <w:rPr>
          <w:rFonts w:hint="eastAsia" w:ascii="宋体" w:hAnsi="宋体" w:eastAsia="宋体" w:cs="宋体"/>
          <w:color w:val="auto"/>
          <w:highlight w:val="none"/>
        </w:rPr>
        <w:t>评标委员会按照招标文件中规定的评标方法和标准计算各投标人的报价得分。在计算过程中，不得去掉最高报价或者最低报价。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5.4</w:t>
      </w:r>
      <w:r>
        <w:rPr>
          <w:rFonts w:hint="eastAsia" w:ascii="宋体" w:hAnsi="宋体" w:eastAsia="宋体" w:cs="宋体"/>
          <w:color w:val="auto"/>
          <w:highlight w:val="none"/>
        </w:rPr>
        <w:t>各投标人的得分为所有评委的有效评分的算术平均数。</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5.5</w:t>
      </w:r>
      <w:r>
        <w:rPr>
          <w:rFonts w:hint="eastAsia" w:ascii="宋体" w:hAnsi="宋体" w:eastAsia="宋体" w:cs="宋体"/>
          <w:color w:val="auto"/>
          <w:highlight w:val="none"/>
        </w:rPr>
        <w:t>评标委员会按照招标文件中的规定推荐中标候选人。</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5.6</w:t>
      </w:r>
      <w:r>
        <w:rPr>
          <w:rFonts w:hint="eastAsia" w:ascii="宋体" w:hAnsi="宋体" w:eastAsia="宋体" w:cs="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评审复核</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6.1</w:t>
      </w:r>
      <w:r>
        <w:rPr>
          <w:rFonts w:hint="eastAsia" w:ascii="宋体" w:hAnsi="宋体" w:eastAsia="宋体" w:cs="宋体"/>
          <w:color w:val="auto"/>
          <w:highlight w:val="none"/>
        </w:rPr>
        <w:t>评标报告签署前，评标委员会要对评审结果进行复核，复核意见要体现在评标报告中</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6.2</w:t>
      </w:r>
      <w:r>
        <w:rPr>
          <w:rFonts w:hint="eastAsia" w:ascii="宋体" w:hAnsi="宋体" w:eastAsia="宋体" w:cs="宋体"/>
          <w:color w:val="auto"/>
          <w:highlight w:val="none"/>
        </w:rPr>
        <w:t xml:space="preserve">评标结果汇总完成后，除下列情形外，任何人不得修改评标结果： </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(一)分值汇总计算错误的；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(二)分项评分超出评分标准范围的；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(三) 评标委员会成员对客观评审因素评分不一致的；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(四)经评标委员会认定评分畸高、畸低的。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 报告中记载；评标报告签署后，采购人或者采购代理机构发现存在以上情形之一的，应当组织原评标委 员会进行重新评审，重新评审改变评标结果的，书面报告本级财政部门。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第三节 评分标准</w:t>
      </w:r>
    </w:p>
    <w:p>
      <w:pPr>
        <w:pStyle w:val="7"/>
        <w:spacing w:before="8"/>
        <w:rPr>
          <w:rFonts w:hint="eastAsia" w:ascii="宋体" w:hAnsi="宋体" w:eastAsia="宋体" w:cs="宋体"/>
          <w:color w:val="auto"/>
          <w:sz w:val="28"/>
          <w:highlight w:val="none"/>
        </w:rPr>
      </w:pPr>
    </w:p>
    <w:p>
      <w:pPr>
        <w:pStyle w:val="6"/>
        <w:spacing w:after="5"/>
        <w:ind w:left="205" w:right="905"/>
        <w:jc w:val="center"/>
        <w:rPr>
          <w:rFonts w:hint="eastAsia" w:ascii="宋体" w:hAnsi="宋体" w:eastAsia="宋体" w:cs="宋体"/>
          <w:color w:val="auto"/>
          <w:highlight w:val="none"/>
        </w:rPr>
      </w:pPr>
      <w:r>
        <w:rPr>
          <w:rFonts w:hint="eastAsia" w:ascii="宋体" w:hAnsi="宋体" w:eastAsia="宋体" w:cs="宋体"/>
          <w:color w:val="auto"/>
          <w:highlight w:val="none"/>
        </w:rPr>
        <w:t>一、价格部分</w:t>
      </w:r>
    </w:p>
    <w:tbl>
      <w:tblPr>
        <w:tblStyle w:val="1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008"/>
        <w:gridCol w:w="734"/>
        <w:gridCol w:w="6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708" w:type="dxa"/>
            <w:gridSpan w:val="4"/>
            <w:noWrap w:val="0"/>
            <w:vAlign w:val="top"/>
          </w:tcPr>
          <w:p>
            <w:pPr>
              <w:pStyle w:val="12"/>
              <w:spacing w:before="2" w:line="242" w:lineRule="auto"/>
              <w:ind w:left="107" w:right="108"/>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评标基准价=有效投标报价的最低值，有效投标报价等于基准值的得满分30分，投标报价得分=（评标基准价/投标报价）×价格权重×100；有效投标报价为通过资格性和符合性审查</w:t>
            </w:r>
          </w:p>
          <w:p>
            <w:pPr>
              <w:pStyle w:val="12"/>
              <w:spacing w:line="289"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的供应商报价。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708" w:type="dxa"/>
            <w:gridSpan w:val="4"/>
            <w:noWrap w:val="0"/>
            <w:vAlign w:val="top"/>
          </w:tcPr>
          <w:p>
            <w:pPr>
              <w:pStyle w:val="12"/>
              <w:spacing w:before="2" w:line="242" w:lineRule="auto"/>
              <w:ind w:left="107" w:right="-15"/>
              <w:rPr>
                <w:rFonts w:hint="eastAsia" w:ascii="宋体" w:hAnsi="宋体" w:eastAsia="宋体" w:cs="宋体"/>
                <w:b/>
                <w:color w:val="auto"/>
                <w:sz w:val="24"/>
                <w:highlight w:val="none"/>
              </w:rPr>
            </w:pPr>
            <w:r>
              <w:rPr>
                <w:rFonts w:hint="eastAsia" w:ascii="宋体" w:hAnsi="宋体" w:eastAsia="宋体" w:cs="宋体"/>
                <w:color w:val="auto"/>
                <w:spacing w:val="-1"/>
                <w:sz w:val="24"/>
                <w:highlight w:val="none"/>
              </w:rPr>
              <w:t xml:space="preserve">对于未预留份额专门面向中小企业的采购项目，以及预留份额项目中的非预留部分采购包， </w:t>
            </w:r>
            <w:r>
              <w:rPr>
                <w:rFonts w:hint="eastAsia" w:ascii="宋体" w:hAnsi="宋体" w:eastAsia="宋体" w:cs="宋体"/>
                <w:color w:val="auto"/>
                <w:sz w:val="24"/>
                <w:highlight w:val="none"/>
              </w:rPr>
              <w:t>采购人、采购代理机构应当对符合规定的小微企业报价给予10%~20%（工程项目为6%~10%） 的扣除，用扣除后的价格参加评审。</w:t>
            </w:r>
            <w:r>
              <w:rPr>
                <w:rFonts w:hint="eastAsia" w:ascii="宋体" w:hAnsi="宋体" w:eastAsia="宋体" w:cs="宋体"/>
                <w:b/>
                <w:color w:val="auto"/>
                <w:sz w:val="24"/>
                <w:highlight w:val="none"/>
              </w:rPr>
              <w:t>属于中小企业评标优惠内容及价格扣除幅度，本项目</w:t>
            </w:r>
          </w:p>
          <w:p>
            <w:pPr>
              <w:pStyle w:val="12"/>
              <w:spacing w:before="2" w:line="289"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9708" w:type="dxa"/>
            <w:gridSpan w:val="4"/>
            <w:noWrap w:val="0"/>
            <w:vAlign w:val="top"/>
          </w:tcPr>
          <w:p>
            <w:pPr>
              <w:pStyle w:val="12"/>
              <w:spacing w:before="4" w:line="235"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根据中华人民共和国财政部、中华人民共和国工业和信息化部《关于印发《政府采购促进中</w:t>
            </w:r>
            <w:r>
              <w:rPr>
                <w:rFonts w:hint="eastAsia" w:ascii="宋体" w:hAnsi="宋体" w:eastAsia="宋体" w:cs="宋体"/>
                <w:color w:val="auto"/>
                <w:spacing w:val="-6"/>
                <w:sz w:val="24"/>
                <w:highlight w:val="none"/>
              </w:rPr>
              <w:t>小企业发展管理办法》的通知》</w:t>
            </w:r>
            <w:r>
              <w:rPr>
                <w:rFonts w:hint="eastAsia" w:ascii="宋体" w:hAnsi="宋体" w:eastAsia="宋体" w:cs="宋体"/>
                <w:color w:val="auto"/>
                <w:sz w:val="24"/>
                <w:highlight w:val="none"/>
              </w:rPr>
              <w:t>（财库[2020]46号文</w:t>
            </w:r>
            <w:r>
              <w:rPr>
                <w:rFonts w:hint="eastAsia" w:ascii="宋体" w:hAnsi="宋体" w:eastAsia="宋体" w:cs="宋体"/>
                <w:color w:val="auto"/>
                <w:spacing w:val="-22"/>
                <w:sz w:val="24"/>
                <w:highlight w:val="none"/>
              </w:rPr>
              <w:t>）</w:t>
            </w:r>
            <w:r>
              <w:rPr>
                <w:rFonts w:hint="eastAsia" w:ascii="宋体" w:hAnsi="宋体" w:eastAsia="宋体" w:cs="宋体"/>
                <w:color w:val="auto"/>
                <w:spacing w:val="-5"/>
                <w:sz w:val="24"/>
                <w:highlight w:val="none"/>
              </w:rPr>
              <w:t>文件的规定，属于中小企业评标优惠</w:t>
            </w:r>
            <w:r>
              <w:rPr>
                <w:rFonts w:hint="eastAsia" w:ascii="宋体" w:hAnsi="宋体" w:eastAsia="宋体" w:cs="宋体"/>
                <w:color w:val="auto"/>
                <w:sz w:val="24"/>
                <w:highlight w:val="none"/>
              </w:rPr>
              <w:t>内容及幅度如下：</w:t>
            </w:r>
          </w:p>
          <w:p>
            <w:pPr>
              <w:pStyle w:val="12"/>
              <w:spacing w:line="295"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（一）中小企业（含中型、小型、微型企业）应当同时符合以下条件：</w:t>
            </w:r>
          </w:p>
          <w:p>
            <w:pPr>
              <w:pStyle w:val="12"/>
              <w:spacing w:before="2" w:line="235" w:lineRule="auto"/>
              <w:ind w:left="107" w:right="108" w:firstLine="48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①符合中小企业划分标准(按《关于印发中小企业划型标准规定的通知》(工信部联企业</w:t>
            </w:r>
            <w:r>
              <w:rPr>
                <w:rFonts w:hint="eastAsia" w:ascii="宋体" w:hAnsi="宋体" w:eastAsia="宋体" w:cs="宋体"/>
                <w:color w:val="auto"/>
                <w:sz w:val="24"/>
                <w:highlight w:val="none"/>
              </w:rPr>
              <w:t>( 2011)300号）执行）；</w:t>
            </w:r>
          </w:p>
          <w:p>
            <w:pPr>
              <w:pStyle w:val="12"/>
              <w:spacing w:line="235" w:lineRule="auto"/>
              <w:ind w:left="107" w:right="-15" w:firstLine="480"/>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②提供本企业制造的货物、承担的项目或者服务，或者提供其他中小企业制造的货物。</w:t>
            </w:r>
            <w:r>
              <w:rPr>
                <w:rFonts w:hint="eastAsia" w:ascii="宋体" w:hAnsi="宋体" w:eastAsia="宋体" w:cs="宋体"/>
                <w:color w:val="auto"/>
                <w:sz w:val="24"/>
                <w:highlight w:val="none"/>
              </w:rPr>
              <w:t>本项所称货物不包括使用大型企业注册商标的货物；</w:t>
            </w:r>
          </w:p>
          <w:p>
            <w:pPr>
              <w:pStyle w:val="12"/>
              <w:spacing w:line="296" w:lineRule="exact"/>
              <w:ind w:left="587"/>
              <w:rPr>
                <w:rFonts w:hint="eastAsia" w:ascii="宋体" w:hAnsi="宋体" w:eastAsia="宋体" w:cs="宋体"/>
                <w:color w:val="auto"/>
                <w:sz w:val="24"/>
                <w:highlight w:val="none"/>
              </w:rPr>
            </w:pPr>
            <w:r>
              <w:rPr>
                <w:rFonts w:hint="eastAsia" w:ascii="宋体" w:hAnsi="宋体" w:eastAsia="宋体" w:cs="宋体"/>
                <w:color w:val="auto"/>
                <w:sz w:val="24"/>
                <w:highlight w:val="none"/>
              </w:rPr>
              <w:t>③小型、微型企业提供中型企业制造的货物的，视同为中型企业。</w:t>
            </w:r>
          </w:p>
          <w:p>
            <w:pPr>
              <w:pStyle w:val="12"/>
              <w:spacing w:line="300"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（二）价格扣除办法：</w:t>
            </w:r>
          </w:p>
          <w:p>
            <w:pPr>
              <w:pStyle w:val="12"/>
              <w:spacing w:line="235" w:lineRule="auto"/>
              <w:ind w:left="107" w:right="96" w:firstLine="480"/>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①对于非专门面向中小企业的项目，对小型和微型企业</w:t>
            </w:r>
            <w:r>
              <w:rPr>
                <w:rFonts w:hint="eastAsia" w:ascii="宋体" w:hAnsi="宋体" w:eastAsia="宋体" w:cs="宋体"/>
                <w:color w:val="auto"/>
                <w:sz w:val="24"/>
                <w:highlight w:val="none"/>
              </w:rPr>
              <w:t>（</w:t>
            </w:r>
            <w:r>
              <w:rPr>
                <w:rFonts w:hint="eastAsia" w:ascii="宋体" w:hAnsi="宋体" w:eastAsia="宋体" w:cs="宋体"/>
                <w:color w:val="auto"/>
                <w:spacing w:val="-5"/>
                <w:sz w:val="24"/>
                <w:highlight w:val="none"/>
              </w:rPr>
              <w:t>或联合体各方均为小型、微型</w:t>
            </w:r>
            <w:r>
              <w:rPr>
                <w:rFonts w:hint="eastAsia" w:ascii="宋体" w:hAnsi="宋体" w:eastAsia="宋体" w:cs="宋体"/>
                <w:color w:val="auto"/>
                <w:sz w:val="24"/>
                <w:highlight w:val="none"/>
              </w:rPr>
              <w:t>企业的）产品的价格给予10%的扣除，用扣除后的评标价格参与价格分的评标。</w:t>
            </w:r>
          </w:p>
          <w:p>
            <w:pPr>
              <w:pStyle w:val="12"/>
              <w:spacing w:line="235" w:lineRule="auto"/>
              <w:ind w:left="107" w:right="96" w:firstLine="480"/>
              <w:jc w:val="both"/>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②大中型企业和其他自然人、法人或者其他组织与小型、微型企业组成联合体，联合体</w:t>
            </w:r>
            <w:r>
              <w:rPr>
                <w:rFonts w:hint="eastAsia" w:ascii="宋体" w:hAnsi="宋体" w:eastAsia="宋体" w:cs="宋体"/>
                <w:color w:val="auto"/>
                <w:sz w:val="24"/>
                <w:highlight w:val="none"/>
              </w:rPr>
              <w:t>协议中约定，小型、微型企业的协议合同金额占到联合体协议合同总金额40%</w:t>
            </w:r>
            <w:r>
              <w:rPr>
                <w:rFonts w:hint="eastAsia" w:ascii="宋体" w:hAnsi="宋体" w:eastAsia="宋体" w:cs="宋体"/>
                <w:color w:val="auto"/>
                <w:spacing w:val="-3"/>
                <w:sz w:val="24"/>
                <w:highlight w:val="none"/>
              </w:rPr>
              <w:t>以上的，可给</w:t>
            </w:r>
            <w:r>
              <w:rPr>
                <w:rFonts w:hint="eastAsia" w:ascii="宋体" w:hAnsi="宋体" w:eastAsia="宋体" w:cs="宋体"/>
                <w:color w:val="auto"/>
                <w:sz w:val="24"/>
                <w:highlight w:val="none"/>
              </w:rPr>
              <w:t>予联合体4%</w:t>
            </w:r>
            <w:r>
              <w:rPr>
                <w:rFonts w:hint="eastAsia" w:ascii="宋体" w:hAnsi="宋体" w:eastAsia="宋体" w:cs="宋体"/>
                <w:color w:val="auto"/>
                <w:spacing w:val="-10"/>
                <w:sz w:val="24"/>
                <w:highlight w:val="none"/>
              </w:rPr>
              <w:t>的价格扣除。联合体各方均为小型、微型企业的，联合体视同为小型、微型企业</w:t>
            </w:r>
            <w:r>
              <w:rPr>
                <w:rFonts w:hint="eastAsia" w:ascii="宋体" w:hAnsi="宋体" w:eastAsia="宋体" w:cs="宋体"/>
                <w:color w:val="auto"/>
                <w:spacing w:val="-8"/>
                <w:sz w:val="24"/>
                <w:highlight w:val="none"/>
              </w:rPr>
              <w:t>享受扶持政策。组成联合体的大中型企业和其他自然人、法人或者其他组织，与小型、微型</w:t>
            </w:r>
            <w:r>
              <w:rPr>
                <w:rFonts w:hint="eastAsia" w:ascii="宋体" w:hAnsi="宋体" w:eastAsia="宋体" w:cs="宋体"/>
                <w:color w:val="auto"/>
                <w:sz w:val="24"/>
                <w:highlight w:val="none"/>
              </w:rPr>
              <w:t>企业之间不得存在投资关系，并附协议书。</w:t>
            </w:r>
          </w:p>
          <w:p>
            <w:pPr>
              <w:pStyle w:val="12"/>
              <w:spacing w:line="292"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（三）小型和微型企业适用价格扣除办法时应提供的相关资料：</w:t>
            </w:r>
          </w:p>
          <w:p>
            <w:pPr>
              <w:pStyle w:val="12"/>
              <w:spacing w:line="276" w:lineRule="exact"/>
              <w:ind w:left="587"/>
              <w:rPr>
                <w:rFonts w:hint="eastAsia" w:ascii="宋体" w:hAnsi="宋体" w:eastAsia="宋体" w:cs="宋体"/>
                <w:color w:val="auto"/>
                <w:sz w:val="24"/>
                <w:highlight w:val="none"/>
              </w:rPr>
            </w:pPr>
            <w:r>
              <w:rPr>
                <w:rFonts w:hint="eastAsia" w:ascii="宋体" w:hAnsi="宋体" w:eastAsia="宋体" w:cs="宋体"/>
                <w:color w:val="auto"/>
                <w:sz w:val="24"/>
                <w:highlight w:val="none"/>
              </w:rPr>
              <w:t>①《中小企业声明函》；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708" w:type="dxa"/>
            <w:gridSpan w:val="4"/>
            <w:noWrap w:val="0"/>
            <w:vAlign w:val="top"/>
          </w:tcPr>
          <w:p>
            <w:pPr>
              <w:pStyle w:val="12"/>
              <w:spacing w:before="2"/>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属于享受政府采购支持政策的残疾人福利性单位评标优惠内容及价格扣除幅度按小型、微</w:t>
            </w:r>
          </w:p>
          <w:p>
            <w:pPr>
              <w:pStyle w:val="12"/>
              <w:spacing w:before="2" w:line="310" w:lineRule="atLeast"/>
              <w:ind w:left="107" w:right="98"/>
              <w:rPr>
                <w:rFonts w:hint="eastAsia" w:ascii="宋体" w:hAnsi="宋体" w:eastAsia="宋体" w:cs="宋体"/>
                <w:b/>
                <w:color w:val="auto"/>
                <w:sz w:val="24"/>
                <w:highlight w:val="none"/>
              </w:rPr>
            </w:pPr>
            <w:r>
              <w:rPr>
                <w:rFonts w:hint="eastAsia" w:ascii="宋体" w:hAnsi="宋体" w:eastAsia="宋体" w:cs="宋体"/>
                <w:b/>
                <w:color w:val="auto"/>
                <w:spacing w:val="-4"/>
                <w:w w:val="95"/>
                <w:sz w:val="24"/>
                <w:highlight w:val="none"/>
              </w:rPr>
              <w:t xml:space="preserve">型企业评标中价格扣除,残疾人福利性单位属于小型、微型企业的，不重复享受政策。本项   </w:t>
            </w:r>
            <w:r>
              <w:rPr>
                <w:rFonts w:hint="eastAsia" w:ascii="宋体" w:hAnsi="宋体" w:eastAsia="宋体" w:cs="宋体"/>
                <w:b/>
                <w:color w:val="auto"/>
                <w:spacing w:val="-4"/>
                <w:sz w:val="24"/>
                <w:highlight w:val="none"/>
              </w:rPr>
              <w:t>目的价格扣除为10%。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708" w:type="dxa"/>
            <w:gridSpan w:val="4"/>
            <w:noWrap w:val="0"/>
            <w:vAlign w:val="top"/>
          </w:tcPr>
          <w:p>
            <w:pPr>
              <w:pStyle w:val="12"/>
              <w:spacing w:before="1" w:line="242" w:lineRule="auto"/>
              <w:ind w:left="107" w:right="45"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属于享受政府采购支持政策的监狱企业评标优惠内容及价格扣除幅度按小型、微型企业评</w:t>
            </w:r>
            <w:r>
              <w:rPr>
                <w:rFonts w:hint="eastAsia" w:ascii="宋体" w:hAnsi="宋体" w:eastAsia="宋体" w:cs="宋体"/>
                <w:b/>
                <w:color w:val="auto"/>
                <w:w w:val="95"/>
                <w:sz w:val="24"/>
                <w:highlight w:val="none"/>
              </w:rPr>
              <w:t>标中价格评审优惠,残疾人福利性单位属于小型、微型企业的，不重复享受政策（须提供由</w:t>
            </w:r>
          </w:p>
          <w:p>
            <w:pPr>
              <w:pStyle w:val="12"/>
              <w:spacing w:line="310" w:lineRule="atLeast"/>
              <w:ind w:left="107" w:right="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省级以上监狱管理局、戒毒管理局（含新疆生产建设兵团）出具的属于监狱企业的证明文件）。本项目的价格扣除为10%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708" w:type="dxa"/>
            <w:gridSpan w:val="4"/>
            <w:noWrap w:val="0"/>
            <w:vAlign w:val="top"/>
          </w:tcPr>
          <w:p>
            <w:pPr>
              <w:pStyle w:val="12"/>
              <w:spacing w:before="30"/>
              <w:ind w:left="2665" w:right="265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节能、环境标志产品评审优惠内容及办法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8" w:type="dxa"/>
            <w:gridSpan w:val="4"/>
            <w:noWrap w:val="0"/>
            <w:vAlign w:val="top"/>
          </w:tcPr>
          <w:p>
            <w:pPr>
              <w:pStyle w:val="12"/>
              <w:spacing w:line="340" w:lineRule="exact"/>
              <w:ind w:left="107" w:right="96"/>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根据《国务院办公厅关于建立政府强制采购节能产品制度的通知》</w:t>
            </w:r>
            <w:r>
              <w:rPr>
                <w:rFonts w:hint="eastAsia" w:ascii="宋体" w:hAnsi="宋体" w:eastAsia="宋体" w:cs="宋体"/>
                <w:color w:val="auto"/>
                <w:sz w:val="24"/>
                <w:highlight w:val="none"/>
              </w:rPr>
              <w:t>（国办发[2007]51号</w:t>
            </w:r>
            <w:r>
              <w:rPr>
                <w:rFonts w:hint="eastAsia" w:ascii="宋体" w:hAnsi="宋体" w:eastAsia="宋体" w:cs="宋体"/>
                <w:color w:val="auto"/>
                <w:spacing w:val="-27"/>
                <w:sz w:val="24"/>
                <w:highlight w:val="none"/>
              </w:rPr>
              <w:t>）</w:t>
            </w:r>
            <w:r>
              <w:rPr>
                <w:rFonts w:hint="eastAsia" w:ascii="宋体" w:hAnsi="宋体" w:eastAsia="宋体" w:cs="宋体"/>
                <w:color w:val="auto"/>
                <w:spacing w:val="-15"/>
                <w:sz w:val="24"/>
                <w:highlight w:val="none"/>
              </w:rPr>
              <w:t>和</w:t>
            </w:r>
            <w:r>
              <w:rPr>
                <w:rFonts w:hint="eastAsia" w:ascii="宋体" w:hAnsi="宋体" w:eastAsia="宋体" w:cs="宋体"/>
                <w:color w:val="auto"/>
                <w:sz w:val="24"/>
                <w:highlight w:val="none"/>
              </w:rPr>
              <w:t>财政部、发展改革委发布的《节能产品政府采购实施意见》（财库[2004]185号）以及《财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9708" w:type="dxa"/>
            <w:gridSpan w:val="4"/>
            <w:noWrap w:val="0"/>
            <w:vAlign w:val="top"/>
          </w:tcPr>
          <w:p>
            <w:pPr>
              <w:pStyle w:val="12"/>
              <w:spacing w:before="31" w:line="264"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政部、发展改革委关于调整节能产品政府采购清单的通知》最新的规定，投标人所投产品如</w:t>
            </w:r>
            <w:r>
              <w:rPr>
                <w:rFonts w:hint="eastAsia" w:ascii="宋体" w:hAnsi="宋体" w:eastAsia="宋体" w:cs="宋体"/>
                <w:color w:val="auto"/>
                <w:spacing w:val="-11"/>
                <w:sz w:val="24"/>
                <w:highlight w:val="none"/>
              </w:rPr>
              <w:t>是《节能产品政府采购清单》内产品，并提供清单内证明材料。其他产品若属于“节能产品</w:t>
            </w:r>
            <w:r>
              <w:rPr>
                <w:rFonts w:hint="eastAsia" w:ascii="宋体" w:hAnsi="宋体" w:eastAsia="宋体" w:cs="宋体"/>
                <w:color w:val="auto"/>
                <w:sz w:val="24"/>
                <w:highlight w:val="none"/>
              </w:rPr>
              <w:t>政府采购清单”内产品，在同等条件下，优先采购清单中的产品。</w:t>
            </w:r>
          </w:p>
          <w:p>
            <w:pPr>
              <w:pStyle w:val="12"/>
              <w:spacing w:line="282" w:lineRule="exact"/>
              <w:ind w:left="107"/>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“节能产品</w:t>
            </w:r>
            <w:r>
              <w:rPr>
                <w:rFonts w:hint="eastAsia" w:ascii="宋体" w:hAnsi="宋体" w:eastAsia="宋体" w:cs="宋体"/>
                <w:color w:val="auto"/>
                <w:sz w:val="24"/>
                <w:highlight w:val="none"/>
              </w:rPr>
              <w:t>”</w:t>
            </w:r>
            <w:r>
              <w:rPr>
                <w:rFonts w:hint="eastAsia" w:ascii="宋体" w:hAnsi="宋体" w:eastAsia="宋体" w:cs="宋体"/>
                <w:color w:val="auto"/>
                <w:spacing w:val="-8"/>
                <w:sz w:val="24"/>
                <w:highlight w:val="none"/>
              </w:rPr>
              <w:t>系指列入财政部、国家发改委最新公布《节能产品政府采购清单》的产品；</w:t>
            </w:r>
            <w:r>
              <w:rPr>
                <w:rFonts w:hint="eastAsia" w:ascii="宋体" w:hAnsi="宋体" w:eastAsia="宋体" w:cs="宋体"/>
                <w:color w:val="auto"/>
                <w:spacing w:val="-14"/>
                <w:sz w:val="24"/>
                <w:highlight w:val="none"/>
              </w:rPr>
              <w:t>“</w:t>
            </w:r>
            <w:r>
              <w:rPr>
                <w:rFonts w:hint="eastAsia" w:ascii="宋体" w:hAnsi="宋体" w:eastAsia="宋体" w:cs="宋体"/>
                <w:color w:val="auto"/>
                <w:sz w:val="24"/>
                <w:highlight w:val="none"/>
              </w:rPr>
              <w:t>环境</w:t>
            </w:r>
          </w:p>
          <w:p>
            <w:pPr>
              <w:pStyle w:val="12"/>
              <w:spacing w:before="4" w:line="242"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标志产品”系指列入财政部、环保部最新公布的《环境标志政府采购清单》的产品。同一合</w:t>
            </w:r>
            <w:r>
              <w:rPr>
                <w:rFonts w:hint="eastAsia" w:ascii="宋体" w:hAnsi="宋体" w:eastAsia="宋体" w:cs="宋体"/>
                <w:color w:val="auto"/>
                <w:spacing w:val="-12"/>
                <w:sz w:val="24"/>
                <w:highlight w:val="none"/>
              </w:rPr>
              <w:t>同包内的节能、环境标志、政府采购产品部分加分只对属于清单内的非强制类产品进行加分</w:t>
            </w:r>
          </w:p>
          <w:p>
            <w:pPr>
              <w:pStyle w:val="12"/>
              <w:ind w:left="107"/>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，强制类产品已作为投标时强制性要求不再给予加分。若节能、环境标志清单内的产品仅是</w:t>
            </w:r>
          </w:p>
          <w:p>
            <w:pPr>
              <w:pStyle w:val="12"/>
              <w:spacing w:before="5" w:line="291"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构成投标产品的部件、组件或零件的，则该投标产品不予加分或评审优惠。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708" w:type="dxa"/>
            <w:gridSpan w:val="4"/>
            <w:noWrap w:val="0"/>
            <w:vAlign w:val="top"/>
          </w:tcPr>
          <w:p>
            <w:pPr>
              <w:pStyle w:val="12"/>
              <w:spacing w:before="63"/>
              <w:ind w:left="2663" w:right="265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优惠办法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9708" w:type="dxa"/>
            <w:gridSpan w:val="4"/>
            <w:noWrap w:val="0"/>
            <w:vAlign w:val="top"/>
          </w:tcPr>
          <w:p>
            <w:pPr>
              <w:pStyle w:val="12"/>
              <w:numPr>
                <w:ilvl w:val="0"/>
                <w:numId w:val="1"/>
              </w:numPr>
              <w:tabs>
                <w:tab w:val="left" w:pos="349"/>
              </w:tabs>
              <w:spacing w:before="31"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产品的价格给予扣除，用扣除后的价格参与价格分的评标。</w:t>
            </w:r>
          </w:p>
          <w:p>
            <w:pPr>
              <w:pStyle w:val="12"/>
              <w:numPr>
                <w:ilvl w:val="0"/>
                <w:numId w:val="1"/>
              </w:numPr>
              <w:tabs>
                <w:tab w:val="left" w:pos="349"/>
              </w:tabs>
              <w:spacing w:before="30" w:after="0" w:line="266" w:lineRule="auto"/>
              <w:ind w:left="107" w:right="-15" w:firstLine="0"/>
              <w:jc w:val="left"/>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投标人须提供国家财政部、发改委公布的最新公布的《节能产品政府采购清单》关于投标</w:t>
            </w:r>
            <w:r>
              <w:rPr>
                <w:rFonts w:hint="eastAsia" w:ascii="宋体" w:hAnsi="宋体" w:eastAsia="宋体" w:cs="宋体"/>
                <w:color w:val="auto"/>
                <w:spacing w:val="-8"/>
                <w:sz w:val="24"/>
                <w:highlight w:val="none"/>
              </w:rPr>
              <w:t>产品当前页的打印件或国家财政部、生态环境部最新公布的《环境标志产品政府采购清单》</w:t>
            </w:r>
          </w:p>
          <w:p>
            <w:pPr>
              <w:pStyle w:val="12"/>
              <w:spacing w:line="288"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关于供应产品当前页的打印件（加盖投标人单位章）。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708" w:type="dxa"/>
            <w:gridSpan w:val="4"/>
            <w:noWrap w:val="0"/>
            <w:vAlign w:val="top"/>
          </w:tcPr>
          <w:p>
            <w:pPr>
              <w:pStyle w:val="12"/>
              <w:spacing w:before="158"/>
              <w:ind w:left="2663" w:right="265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97" w:type="dxa"/>
            <w:noWrap w:val="0"/>
            <w:vAlign w:val="top"/>
          </w:tcPr>
          <w:p>
            <w:pPr>
              <w:pStyle w:val="12"/>
              <w:spacing w:line="306" w:lineRule="exact"/>
              <w:ind w:left="116" w:right="1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w:t>
            </w:r>
          </w:p>
          <w:p>
            <w:pPr>
              <w:pStyle w:val="12"/>
              <w:spacing w:before="158"/>
              <w:ind w:left="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素</w:t>
            </w:r>
          </w:p>
        </w:tc>
        <w:tc>
          <w:tcPr>
            <w:tcW w:w="1008" w:type="dxa"/>
            <w:noWrap w:val="0"/>
            <w:vAlign w:val="top"/>
          </w:tcPr>
          <w:p>
            <w:pPr>
              <w:pStyle w:val="12"/>
              <w:spacing w:line="306" w:lineRule="exact"/>
              <w:ind w:left="122" w:right="11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w:t>
            </w:r>
          </w:p>
          <w:p>
            <w:pPr>
              <w:pStyle w:val="12"/>
              <w:spacing w:before="158"/>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w:t>
            </w:r>
          </w:p>
        </w:tc>
        <w:tc>
          <w:tcPr>
            <w:tcW w:w="734" w:type="dxa"/>
            <w:noWrap w:val="0"/>
            <w:vAlign w:val="top"/>
          </w:tcPr>
          <w:p>
            <w:pPr>
              <w:pStyle w:val="12"/>
              <w:rPr>
                <w:rFonts w:hint="eastAsia" w:ascii="宋体" w:hAnsi="宋体" w:eastAsia="宋体" w:cs="宋体"/>
                <w:b/>
                <w:color w:val="auto"/>
                <w:sz w:val="18"/>
                <w:highlight w:val="none"/>
              </w:rPr>
            </w:pPr>
          </w:p>
          <w:p>
            <w:pPr>
              <w:pStyle w:val="12"/>
              <w:ind w:left="126"/>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6969" w:type="dxa"/>
            <w:noWrap w:val="0"/>
            <w:vAlign w:val="top"/>
          </w:tcPr>
          <w:p>
            <w:pPr>
              <w:pStyle w:val="12"/>
              <w:rPr>
                <w:rFonts w:hint="eastAsia" w:ascii="宋体" w:hAnsi="宋体" w:eastAsia="宋体" w:cs="宋体"/>
                <w:b/>
                <w:color w:val="auto"/>
                <w:sz w:val="18"/>
                <w:highlight w:val="none"/>
              </w:rPr>
            </w:pPr>
          </w:p>
          <w:p>
            <w:pPr>
              <w:pStyle w:val="12"/>
              <w:ind w:left="3224" w:right="321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997" w:type="dxa"/>
            <w:vMerge w:val="restart"/>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201" w:line="364" w:lineRule="auto"/>
              <w:ind w:left="107" w:right="15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商务因素（10 分）</w:t>
            </w: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62"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根据投标人所提供的投标截止日前三年内类似业绩进行打分：需提供投标供应商2021年1月1日至今的类似业绩，合格业绩每提供一项得1分，最多得3分，没有提供证明材料或者提供材料不全的</w:t>
            </w:r>
          </w:p>
          <w:p>
            <w:pPr>
              <w:pStyle w:val="12"/>
              <w:spacing w:before="6"/>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，不得分。</w:t>
            </w:r>
          </w:p>
          <w:p>
            <w:pPr>
              <w:pStyle w:val="12"/>
              <w:spacing w:before="160" w:line="362" w:lineRule="auto"/>
              <w:ind w:left="107" w:right="129"/>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注：业绩证明材料须提供中标（成交）通知书及合同关键页复印件加盖公章，关键页包括体现合同标的、供货时间、合同金额、</w:t>
            </w:r>
          </w:p>
          <w:p>
            <w:pPr>
              <w:pStyle w:val="12"/>
              <w:spacing w:before="5"/>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签字盖章页。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97" w:type="dxa"/>
            <w:vMerge w:val="continue"/>
            <w:tcBorders>
              <w:top w:val="nil"/>
            </w:tcBorders>
            <w:noWrap w:val="0"/>
            <w:vAlign w:val="top"/>
          </w:tcPr>
          <w:p>
            <w:pPr>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19"/>
                <w:highlight w:val="none"/>
              </w:rPr>
            </w:pPr>
          </w:p>
          <w:p>
            <w:pPr>
              <w:pStyle w:val="12"/>
              <w:spacing w:before="1"/>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19"/>
                <w:highlight w:val="none"/>
              </w:rPr>
            </w:pPr>
          </w:p>
          <w:p>
            <w:pPr>
              <w:pStyle w:val="12"/>
              <w:spacing w:before="1"/>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64"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、投标人对本项目的合理化建议，建议合理可行，需提供相关证</w:t>
            </w:r>
            <w:r>
              <w:rPr>
                <w:rFonts w:hint="eastAsia" w:ascii="宋体" w:hAnsi="宋体" w:eastAsia="宋体" w:cs="宋体"/>
                <w:color w:val="auto"/>
                <w:sz w:val="24"/>
                <w:highlight w:val="none"/>
              </w:rPr>
              <w:t>明材料，得1分，未提供不得分。</w:t>
            </w:r>
          </w:p>
          <w:p>
            <w:pPr>
              <w:pStyle w:val="12"/>
              <w:spacing w:line="364" w:lineRule="auto"/>
              <w:ind w:left="107" w:right="129"/>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2、采购单位认可的其它技术优势，每提供一项得1分，需提供相关证明材料，得1分，未提供不得分。</w:t>
            </w:r>
          </w:p>
          <w:p>
            <w:pPr>
              <w:pStyle w:val="12"/>
              <w:spacing w:line="306"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3、有利于本次投标的其他资料，需提供相关证明材料，得1分，</w:t>
            </w:r>
          </w:p>
          <w:p>
            <w:pPr>
              <w:pStyle w:val="12"/>
              <w:spacing w:before="157"/>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997" w:type="dxa"/>
            <w:vMerge w:val="continue"/>
            <w:tcBorders>
              <w:top w:val="nil"/>
            </w:tcBorders>
            <w:noWrap w:val="0"/>
            <w:vAlign w:val="top"/>
          </w:tcPr>
          <w:p>
            <w:pPr>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spacing w:before="6"/>
              <w:rPr>
                <w:rFonts w:hint="eastAsia" w:ascii="宋体" w:hAnsi="宋体" w:eastAsia="宋体" w:cs="宋体"/>
                <w:b/>
                <w:color w:val="auto"/>
                <w:sz w:val="30"/>
                <w:highlight w:val="none"/>
              </w:rPr>
            </w:pPr>
          </w:p>
          <w:p>
            <w:pPr>
              <w:pStyle w:val="12"/>
              <w:spacing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技术服务团队</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8"/>
              <w:rPr>
                <w:rFonts w:hint="eastAsia" w:ascii="宋体" w:hAnsi="宋体" w:eastAsia="宋体" w:cs="宋体"/>
                <w:b/>
                <w:color w:val="auto"/>
                <w:sz w:val="24"/>
                <w:highlight w:val="none"/>
              </w:rPr>
            </w:pPr>
          </w:p>
          <w:p>
            <w:pPr>
              <w:pStyle w:val="12"/>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4分</w:t>
            </w:r>
          </w:p>
        </w:tc>
        <w:tc>
          <w:tcPr>
            <w:tcW w:w="6969" w:type="dxa"/>
            <w:noWrap w:val="0"/>
            <w:vAlign w:val="top"/>
          </w:tcPr>
          <w:p>
            <w:pPr>
              <w:pStyle w:val="12"/>
              <w:spacing w:line="362"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技术服务团队：投标人是否具有专业的技术人员（至少有一名专业工程师）负责本次项目设备安装、调试及技术服务，且人员分工明确，专业岗位配套齐全。</w:t>
            </w:r>
          </w:p>
          <w:p>
            <w:pPr>
              <w:pStyle w:val="12"/>
              <w:numPr>
                <w:ilvl w:val="0"/>
                <w:numId w:val="2"/>
              </w:numPr>
              <w:tabs>
                <w:tab w:val="left" w:pos="349"/>
              </w:tabs>
              <w:spacing w:before="6"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服务团队组织管理科学、人员配备合理的得4分；</w:t>
            </w:r>
          </w:p>
          <w:p>
            <w:pPr>
              <w:pStyle w:val="12"/>
              <w:numPr>
                <w:ilvl w:val="0"/>
                <w:numId w:val="2"/>
              </w:numPr>
              <w:tabs>
                <w:tab w:val="left" w:pos="349"/>
              </w:tabs>
              <w:spacing w:before="160"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服务团队组织管理较科学、人员配备较合理的得2分；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97" w:type="dxa"/>
            <w:tcBorders>
              <w:top w:val="nil"/>
            </w:tcBorders>
            <w:noWrap w:val="0"/>
            <w:vAlign w:val="top"/>
          </w:tcPr>
          <w:p>
            <w:pPr>
              <w:pStyle w:val="12"/>
              <w:rPr>
                <w:rFonts w:hint="eastAsia" w:ascii="宋体" w:hAnsi="宋体" w:eastAsia="宋体" w:cs="宋体"/>
                <w:color w:val="auto"/>
                <w:sz w:val="22"/>
                <w:highlight w:val="none"/>
              </w:rPr>
            </w:pPr>
          </w:p>
        </w:tc>
        <w:tc>
          <w:tcPr>
            <w:tcW w:w="1008" w:type="dxa"/>
            <w:noWrap w:val="0"/>
            <w:vAlign w:val="top"/>
          </w:tcPr>
          <w:p>
            <w:pPr>
              <w:pStyle w:val="12"/>
              <w:rPr>
                <w:rFonts w:hint="eastAsia" w:ascii="宋体" w:hAnsi="宋体" w:eastAsia="宋体" w:cs="宋体"/>
                <w:color w:val="auto"/>
                <w:sz w:val="22"/>
                <w:highlight w:val="none"/>
              </w:rPr>
            </w:pPr>
          </w:p>
        </w:tc>
        <w:tc>
          <w:tcPr>
            <w:tcW w:w="734" w:type="dxa"/>
            <w:noWrap w:val="0"/>
            <w:vAlign w:val="top"/>
          </w:tcPr>
          <w:p>
            <w:pPr>
              <w:pStyle w:val="12"/>
              <w:rPr>
                <w:rFonts w:hint="eastAsia" w:ascii="宋体" w:hAnsi="宋体" w:eastAsia="宋体" w:cs="宋体"/>
                <w:color w:val="auto"/>
                <w:sz w:val="22"/>
                <w:highlight w:val="none"/>
              </w:rPr>
            </w:pPr>
          </w:p>
        </w:tc>
        <w:tc>
          <w:tcPr>
            <w:tcW w:w="6969" w:type="dxa"/>
            <w:noWrap w:val="0"/>
            <w:vAlign w:val="top"/>
          </w:tcPr>
          <w:p>
            <w:pPr>
              <w:pStyle w:val="12"/>
              <w:spacing w:line="307"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3.服务团队组织管理及团队配备内容一般，缺乏合理性或表述不</w:t>
            </w:r>
          </w:p>
          <w:p>
            <w:pPr>
              <w:pStyle w:val="12"/>
              <w:spacing w:before="158"/>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清的不得分。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9708" w:type="dxa"/>
            <w:gridSpan w:val="4"/>
            <w:noWrap w:val="0"/>
            <w:vAlign w:val="top"/>
          </w:tcPr>
          <w:p>
            <w:pPr>
              <w:pStyle w:val="12"/>
              <w:spacing w:before="104"/>
              <w:ind w:left="2663" w:right="265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2" w:hRule="atLeast"/>
        </w:trPr>
        <w:tc>
          <w:tcPr>
            <w:tcW w:w="997" w:type="dxa"/>
            <w:vMerge w:val="restart"/>
            <w:tcBorders>
              <w:bottom w:val="nil"/>
            </w:tcBorders>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9"/>
              <w:rPr>
                <w:rFonts w:hint="eastAsia" w:ascii="宋体" w:hAnsi="宋体" w:eastAsia="宋体" w:cs="宋体"/>
                <w:b/>
                <w:color w:val="auto"/>
                <w:sz w:val="18"/>
                <w:highlight w:val="none"/>
              </w:rPr>
            </w:pPr>
          </w:p>
          <w:p>
            <w:pPr>
              <w:pStyle w:val="12"/>
              <w:spacing w:line="364" w:lineRule="auto"/>
              <w:ind w:left="107" w:right="15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技术因素（60 分）</w:t>
            </w: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2"/>
              <w:rPr>
                <w:rFonts w:hint="eastAsia" w:ascii="宋体" w:hAnsi="宋体" w:eastAsia="宋体" w:cs="宋体"/>
                <w:b/>
                <w:color w:val="auto"/>
                <w:sz w:val="31"/>
                <w:highlight w:val="none"/>
              </w:rPr>
            </w:pP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5"/>
                <w:highlight w:val="none"/>
              </w:rPr>
            </w:pPr>
          </w:p>
          <w:p>
            <w:pPr>
              <w:pStyle w:val="12"/>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40分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评标委员会根据各投标人提供的所投产品的技术偏离表、产品检测报告、说明书、产品彩页等对应事项为准进行评审，判断所投设备是否满足招标文件的技术要求，投标人对技术参数要求仅作</w:t>
            </w:r>
            <w:r>
              <w:rPr>
                <w:rFonts w:hint="eastAsia" w:ascii="宋体" w:hAnsi="宋体" w:eastAsia="宋体" w:cs="宋体"/>
                <w:color w:val="auto"/>
                <w:sz w:val="24"/>
                <w:highlight w:val="none"/>
              </w:rPr>
              <w:t>出响应而未提供证明文件的视为无效响应且不得分。</w:t>
            </w:r>
          </w:p>
          <w:p>
            <w:pPr>
              <w:pStyle w:val="12"/>
              <w:spacing w:before="3" w:line="460" w:lineRule="atLeast"/>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1、带“*”的技术参数为必须响应的实质性参数，满足招标文件要求无偏离得30分。出现负偏离不得分</w:t>
            </w:r>
          </w:p>
          <w:p>
            <w:pPr>
              <w:pStyle w:val="12"/>
              <w:spacing w:before="3" w:line="460" w:lineRule="atLeast"/>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2、非“*”的技术参数优于招标文件规定的，满足招标文件要求无偏离的得10分，劣于招标文件规定的，每出现一项扣1分，扣完为止。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997" w:type="dxa"/>
            <w:vMerge w:val="continue"/>
            <w:tcBorders>
              <w:top w:val="nil"/>
              <w:bottom w:val="nil"/>
            </w:tcBorders>
            <w:noWrap w:val="0"/>
            <w:vAlign w:val="top"/>
          </w:tcPr>
          <w:p>
            <w:pPr>
              <w:rPr>
                <w:rFonts w:hint="eastAsia" w:ascii="宋体" w:hAnsi="宋体" w:eastAsia="宋体" w:cs="宋体"/>
                <w:color w:val="auto"/>
                <w:sz w:val="2"/>
                <w:szCs w:val="2"/>
                <w:highlight w:val="none"/>
              </w:rPr>
            </w:pPr>
          </w:p>
        </w:tc>
        <w:tc>
          <w:tcPr>
            <w:tcW w:w="1008" w:type="dxa"/>
            <w:noWrap w:val="0"/>
            <w:vAlign w:val="top"/>
          </w:tcPr>
          <w:p>
            <w:pPr>
              <w:pStyle w:val="12"/>
              <w:spacing w:before="9"/>
              <w:rPr>
                <w:rFonts w:hint="eastAsia" w:ascii="宋体" w:hAnsi="宋体" w:eastAsia="宋体" w:cs="宋体"/>
                <w:b/>
                <w:color w:val="auto"/>
                <w:sz w:val="24"/>
                <w:highlight w:val="none"/>
              </w:rPr>
            </w:pPr>
          </w:p>
          <w:p>
            <w:pPr>
              <w:pStyle w:val="12"/>
              <w:spacing w:line="364" w:lineRule="auto"/>
              <w:ind w:left="106" w:right="16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服务水平及履约能力</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70"/>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2分</w:t>
            </w:r>
          </w:p>
        </w:tc>
        <w:tc>
          <w:tcPr>
            <w:tcW w:w="6969" w:type="dxa"/>
            <w:noWrap w:val="0"/>
            <w:vAlign w:val="top"/>
          </w:tcPr>
          <w:p>
            <w:pPr>
              <w:pStyle w:val="12"/>
              <w:spacing w:before="84"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在满足招标文件要求的基础上，对本项目专业技术力量，技术实力以及履约能力的考量，对投标人的技术水平、产品质量、交货能力等进行评判，以上要求均良好的状况得2分，一般状况的得1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997" w:type="dxa"/>
            <w:vMerge w:val="continue"/>
            <w:tcBorders>
              <w:top w:val="nil"/>
              <w:bottom w:val="nil"/>
            </w:tcBorders>
            <w:noWrap w:val="0"/>
            <w:vAlign w:val="top"/>
          </w:tcPr>
          <w:p>
            <w:pPr>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0"/>
              <w:rPr>
                <w:rFonts w:hint="eastAsia" w:ascii="宋体" w:hAnsi="宋体" w:eastAsia="宋体" w:cs="宋体"/>
                <w:b/>
                <w:color w:val="auto"/>
                <w:sz w:val="18"/>
                <w:highlight w:val="none"/>
              </w:rPr>
            </w:pP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实施</w:t>
            </w: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6969" w:type="dxa"/>
            <w:noWrap w:val="0"/>
            <w:vAlign w:val="top"/>
          </w:tcPr>
          <w:p>
            <w:pPr>
              <w:pStyle w:val="12"/>
              <w:spacing w:line="362" w:lineRule="auto"/>
              <w:ind w:left="107" w:right="96"/>
              <w:rPr>
                <w:rFonts w:hint="default" w:ascii="宋体" w:hAnsi="宋体" w:eastAsia="宋体" w:cs="宋体"/>
                <w:color w:val="auto"/>
                <w:sz w:val="24"/>
                <w:highlight w:val="none"/>
                <w:lang w:val="en-US" w:eastAsia="zh-CN"/>
              </w:rPr>
            </w:pPr>
            <w:r>
              <w:rPr>
                <w:rFonts w:hint="eastAsia" w:ascii="宋体" w:hAnsi="宋体" w:eastAsia="宋体" w:cs="宋体"/>
                <w:color w:val="auto"/>
                <w:spacing w:val="-4"/>
                <w:sz w:val="24"/>
                <w:highlight w:val="none"/>
              </w:rPr>
              <w:t>根据投标人提供的项目实施方案打分，方案包含</w:t>
            </w:r>
            <w:r>
              <w:rPr>
                <w:rFonts w:hint="eastAsia" w:ascii="宋体" w:hAnsi="宋体" w:eastAsia="宋体" w:cs="宋体"/>
                <w:color w:val="auto"/>
                <w:spacing w:val="-10"/>
                <w:sz w:val="24"/>
                <w:highlight w:val="none"/>
              </w:rPr>
              <w:t>（1）</w:t>
            </w:r>
            <w:r>
              <w:rPr>
                <w:rFonts w:hint="eastAsia" w:ascii="宋体" w:hAnsi="宋体" w:eastAsia="宋体" w:cs="宋体"/>
                <w:color w:val="auto"/>
                <w:sz w:val="24"/>
                <w:highlight w:val="none"/>
              </w:rPr>
              <w:t>实施计划</w:t>
            </w:r>
            <w:r>
              <w:rPr>
                <w:rFonts w:hint="eastAsia" w:ascii="宋体" w:hAnsi="宋体" w:eastAsia="宋体" w:cs="宋体"/>
                <w:color w:val="auto"/>
                <w:spacing w:val="-17"/>
                <w:sz w:val="24"/>
                <w:highlight w:val="none"/>
              </w:rPr>
              <w:t xml:space="preserve">（ </w:t>
            </w:r>
            <w:r>
              <w:rPr>
                <w:rFonts w:hint="eastAsia" w:ascii="宋体" w:hAnsi="宋体" w:eastAsia="宋体" w:cs="宋体"/>
                <w:color w:val="auto"/>
                <w:sz w:val="24"/>
                <w:highlight w:val="none"/>
              </w:rPr>
              <w:t>2）实施进度（3）实施保障措施（4）质量管理措施等方面。</w:t>
            </w:r>
          </w:p>
          <w:p>
            <w:pPr>
              <w:pStyle w:val="12"/>
              <w:numPr>
                <w:ilvl w:val="0"/>
                <w:numId w:val="3"/>
              </w:numPr>
              <w:tabs>
                <w:tab w:val="left" w:pos="349"/>
              </w:tabs>
              <w:spacing w:before="2"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实施方案完善，具有针对性和可行性，表述全面详细、有利于</w:t>
            </w:r>
            <w:r>
              <w:rPr>
                <w:rFonts w:hint="eastAsia" w:ascii="宋体" w:hAnsi="宋体" w:eastAsia="宋体" w:cs="宋体"/>
                <w:color w:val="auto"/>
                <w:sz w:val="24"/>
                <w:highlight w:val="none"/>
              </w:rPr>
              <w:t>采购人及项目的实施得5分；</w:t>
            </w:r>
          </w:p>
          <w:p>
            <w:pPr>
              <w:pStyle w:val="12"/>
              <w:numPr>
                <w:ilvl w:val="0"/>
                <w:numId w:val="3"/>
              </w:numPr>
              <w:tabs>
                <w:tab w:val="left" w:pos="349"/>
              </w:tabs>
              <w:spacing w:before="0" w:after="0" w:line="306" w:lineRule="exact"/>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实施方案较完善，较完整合理、基本满足项目的实施，得3分；</w:t>
            </w:r>
          </w:p>
          <w:p>
            <w:pPr>
              <w:pStyle w:val="12"/>
              <w:numPr>
                <w:ilvl w:val="0"/>
                <w:numId w:val="3"/>
              </w:numPr>
              <w:tabs>
                <w:tab w:val="left" w:pos="349"/>
              </w:tabs>
              <w:spacing w:before="161"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实施方案粗略，不完整、不具备针对性，得1分；</w:t>
            </w:r>
          </w:p>
          <w:p>
            <w:pPr>
              <w:pStyle w:val="12"/>
              <w:numPr>
                <w:ilvl w:val="0"/>
                <w:numId w:val="3"/>
              </w:numPr>
              <w:tabs>
                <w:tab w:val="left" w:pos="349"/>
              </w:tabs>
              <w:spacing w:before="158"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实施方案不可行或未提供，不得分</w:t>
            </w:r>
            <w:r>
              <w:rPr>
                <w:rFonts w:hint="eastAsia" w:cs="宋体"/>
                <w:color w:val="auto"/>
                <w:sz w:val="24"/>
                <w:highlight w:val="none"/>
                <w:lang w:eastAsia="zh-CN"/>
              </w:rPr>
              <w:t>，</w:t>
            </w:r>
            <w:r>
              <w:rPr>
                <w:rFonts w:hint="eastAsia" w:cs="宋体"/>
                <w:color w:val="auto"/>
                <w:sz w:val="24"/>
                <w:highlight w:val="none"/>
                <w:lang w:val="en-US" w:eastAsia="zh-CN"/>
              </w:rPr>
              <w:t>缺少一项扣一分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997" w:type="dxa"/>
            <w:vMerge w:val="continue"/>
            <w:tcBorders>
              <w:top w:val="nil"/>
              <w:bottom w:val="nil"/>
            </w:tcBorders>
            <w:noWrap w:val="0"/>
            <w:vAlign w:val="top"/>
          </w:tcPr>
          <w:p>
            <w:pPr>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1"/>
              <w:rPr>
                <w:rFonts w:hint="eastAsia" w:ascii="宋体" w:hAnsi="宋体" w:eastAsia="宋体" w:cs="宋体"/>
                <w:b/>
                <w:color w:val="auto"/>
                <w:sz w:val="18"/>
                <w:highlight w:val="none"/>
              </w:rPr>
            </w:pP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7"/>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4分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制定完善全面的培训计划，满足本项目的培训服务及项目实施。方案包含（1）培训计划；（2）培训对象（3）培训目的（4）培训方式等方面。</w:t>
            </w:r>
          </w:p>
          <w:p>
            <w:pPr>
              <w:pStyle w:val="12"/>
              <w:numPr>
                <w:ilvl w:val="0"/>
                <w:numId w:val="4"/>
              </w:numPr>
              <w:tabs>
                <w:tab w:val="left" w:pos="349"/>
              </w:tabs>
              <w:spacing w:before="0"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培训方案完善，具有针对性和可行性，表述全面详细、有利于</w:t>
            </w:r>
            <w:r>
              <w:rPr>
                <w:rFonts w:hint="eastAsia" w:ascii="宋体" w:hAnsi="宋体" w:eastAsia="宋体" w:cs="宋体"/>
                <w:color w:val="auto"/>
                <w:sz w:val="24"/>
                <w:highlight w:val="none"/>
              </w:rPr>
              <w:t>采购人及项目的实施得4分；</w:t>
            </w:r>
          </w:p>
          <w:p>
            <w:pPr>
              <w:pStyle w:val="12"/>
              <w:numPr>
                <w:ilvl w:val="0"/>
                <w:numId w:val="4"/>
              </w:numPr>
              <w:tabs>
                <w:tab w:val="left" w:pos="349"/>
              </w:tabs>
              <w:spacing w:before="0"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培训方案较完善，较完整合理、基本满足项目的实施，得2分；</w:t>
            </w:r>
          </w:p>
          <w:p>
            <w:pPr>
              <w:pStyle w:val="12"/>
              <w:numPr>
                <w:ilvl w:val="0"/>
                <w:numId w:val="4"/>
              </w:numPr>
              <w:tabs>
                <w:tab w:val="left" w:pos="349"/>
              </w:tabs>
              <w:spacing w:before="154"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培训方案粗略，不完整、不具备针对性，得1分；缺少一项扣一分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467" w:hRule="atLeast"/>
        </w:trPr>
        <w:tc>
          <w:tcPr>
            <w:tcW w:w="1008" w:type="dxa"/>
            <w:noWrap w:val="0"/>
            <w:vAlign w:val="top"/>
          </w:tcPr>
          <w:p>
            <w:pPr>
              <w:pStyle w:val="12"/>
              <w:rPr>
                <w:rFonts w:hint="eastAsia" w:ascii="宋体" w:hAnsi="宋体" w:eastAsia="宋体" w:cs="宋体"/>
                <w:color w:val="auto"/>
                <w:sz w:val="22"/>
                <w:highlight w:val="none"/>
              </w:rPr>
            </w:pPr>
          </w:p>
        </w:tc>
        <w:tc>
          <w:tcPr>
            <w:tcW w:w="734" w:type="dxa"/>
            <w:noWrap w:val="0"/>
            <w:vAlign w:val="top"/>
          </w:tcPr>
          <w:p>
            <w:pPr>
              <w:pStyle w:val="12"/>
              <w:rPr>
                <w:rFonts w:hint="eastAsia" w:ascii="宋体" w:hAnsi="宋体" w:eastAsia="宋体" w:cs="宋体"/>
                <w:color w:val="auto"/>
                <w:sz w:val="22"/>
                <w:highlight w:val="none"/>
              </w:rPr>
            </w:pPr>
          </w:p>
        </w:tc>
        <w:tc>
          <w:tcPr>
            <w:tcW w:w="6969" w:type="dxa"/>
            <w:noWrap w:val="0"/>
            <w:vAlign w:val="top"/>
          </w:tcPr>
          <w:p>
            <w:pPr>
              <w:pStyle w:val="12"/>
              <w:spacing w:line="307"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4.培训方案不可行或未提供，不得分。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4201" w:hRule="atLeast"/>
        </w:trPr>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5"/>
              <w:rPr>
                <w:rFonts w:hint="eastAsia" w:ascii="宋体" w:hAnsi="宋体" w:eastAsia="宋体" w:cs="宋体"/>
                <w:b/>
                <w:color w:val="auto"/>
                <w:sz w:val="31"/>
                <w:highlight w:val="none"/>
              </w:rPr>
            </w:pP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w:t>
            </w: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预案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5"/>
                <w:highlight w:val="none"/>
              </w:rPr>
            </w:pPr>
          </w:p>
          <w:p>
            <w:pPr>
              <w:pStyle w:val="12"/>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05"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紧急预案，要求实用，经济，切实可行</w:t>
            </w:r>
          </w:p>
          <w:p>
            <w:pPr>
              <w:pStyle w:val="12"/>
              <w:numPr>
                <w:ilvl w:val="0"/>
                <w:numId w:val="5"/>
              </w:numPr>
              <w:tabs>
                <w:tab w:val="left" w:pos="349"/>
              </w:tabs>
              <w:spacing w:before="158"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选方案实用，经济，可行性强的得3分</w:t>
            </w:r>
          </w:p>
          <w:p>
            <w:pPr>
              <w:pStyle w:val="12"/>
              <w:numPr>
                <w:ilvl w:val="0"/>
                <w:numId w:val="5"/>
              </w:numPr>
              <w:tabs>
                <w:tab w:val="left" w:pos="349"/>
              </w:tabs>
              <w:spacing w:before="0"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选方案，实用，经济，可行性较强：2分</w:t>
            </w:r>
          </w:p>
          <w:p>
            <w:pPr>
              <w:pStyle w:val="12"/>
              <w:numPr>
                <w:ilvl w:val="0"/>
                <w:numId w:val="5"/>
              </w:numPr>
              <w:tabs>
                <w:tab w:val="left" w:pos="349"/>
              </w:tabs>
              <w:spacing w:before="0" w:after="0" w:line="362"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选方案，实用，经济，可行性一般：1分</w:t>
            </w:r>
          </w:p>
          <w:p>
            <w:pPr>
              <w:pStyle w:val="12"/>
              <w:numPr>
                <w:ilvl w:val="0"/>
                <w:numId w:val="5"/>
              </w:numPr>
              <w:tabs>
                <w:tab w:val="left" w:pos="349"/>
              </w:tabs>
              <w:spacing w:before="5"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方案中应体现紧急预案，处理紧急情况、抵抗风险能力，有备</w:t>
            </w:r>
          </w:p>
          <w:p>
            <w:pPr>
              <w:pStyle w:val="12"/>
              <w:spacing w:before="158"/>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选方案，实用，经济，可行性差：0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6536" w:hRule="atLeast"/>
        </w:trPr>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5"/>
              <w:rPr>
                <w:rFonts w:hint="eastAsia" w:ascii="宋体" w:hAnsi="宋体" w:eastAsia="宋体" w:cs="宋体"/>
                <w:b/>
                <w:color w:val="auto"/>
                <w:sz w:val="26"/>
                <w:highlight w:val="none"/>
              </w:rPr>
            </w:pPr>
          </w:p>
          <w:p>
            <w:pPr>
              <w:pStyle w:val="12"/>
              <w:spacing w:line="362"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售后</w:t>
            </w:r>
          </w:p>
          <w:p>
            <w:pPr>
              <w:pStyle w:val="12"/>
              <w:spacing w:line="362"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0"/>
                <w:highlight w:val="none"/>
              </w:rPr>
            </w:pPr>
          </w:p>
          <w:p>
            <w:pPr>
              <w:pStyle w:val="12"/>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投标人响应采购人服务周期要求、人员安排、服务标准流程及故障响应时间等，对其售后服务的专业性、可能性、快捷性及维修响应时间、维修方式、备品备件、质保期后维修服务的项目及费用承诺等角度对售后服务方案打分。</w:t>
            </w:r>
          </w:p>
          <w:p>
            <w:pPr>
              <w:pStyle w:val="12"/>
              <w:spacing w:line="364"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、在满足招标文件要求的基础上，有详细的安装、调试、验收方</w:t>
            </w:r>
            <w:r>
              <w:rPr>
                <w:rFonts w:hint="eastAsia" w:ascii="宋体" w:hAnsi="宋体" w:eastAsia="宋体" w:cs="宋体"/>
                <w:color w:val="auto"/>
                <w:sz w:val="24"/>
                <w:highlight w:val="none"/>
              </w:rPr>
              <w:t>案、各项方案完善、保障措施详细、部署合理、表述清晰、完整</w:t>
            </w:r>
          </w:p>
          <w:p>
            <w:pPr>
              <w:pStyle w:val="12"/>
              <w:spacing w:line="364" w:lineRule="auto"/>
              <w:ind w:left="107" w:right="9"/>
              <w:rPr>
                <w:rFonts w:hint="eastAsia" w:ascii="宋体" w:hAnsi="宋体" w:eastAsia="宋体" w:cs="宋体"/>
                <w:color w:val="auto"/>
                <w:sz w:val="24"/>
                <w:highlight w:val="none"/>
              </w:rPr>
            </w:pPr>
            <w:r>
              <w:rPr>
                <w:rFonts w:hint="eastAsia" w:ascii="宋体" w:hAnsi="宋体" w:eastAsia="宋体" w:cs="宋体"/>
                <w:color w:val="auto"/>
                <w:sz w:val="24"/>
                <w:highlight w:val="none"/>
              </w:rPr>
              <w:t>、严谨针对性强，具备积极响应售后服务人员 、方案非常全面、合理、可行的，得6分；</w:t>
            </w:r>
          </w:p>
          <w:p>
            <w:pPr>
              <w:pStyle w:val="12"/>
              <w:spacing w:line="364"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10"/>
                <w:sz w:val="24"/>
                <w:highlight w:val="none"/>
              </w:rPr>
              <w:t>、在满足招标文件要求的基础上，表述清晰、完整、措施具体有</w:t>
            </w:r>
            <w:r>
              <w:rPr>
                <w:rFonts w:hint="eastAsia" w:ascii="宋体" w:hAnsi="宋体" w:eastAsia="宋体" w:cs="宋体"/>
                <w:color w:val="auto"/>
                <w:sz w:val="24"/>
                <w:highlight w:val="none"/>
              </w:rPr>
              <w:t xml:space="preserve">效，但针对性不强，项目安装、调试、验收方案综合评定良好， </w:t>
            </w:r>
            <w:r>
              <w:rPr>
                <w:rFonts w:hint="eastAsia" w:ascii="宋体" w:hAnsi="宋体" w:eastAsia="宋体" w:cs="宋体"/>
                <w:color w:val="auto"/>
                <w:spacing w:val="-5"/>
                <w:sz w:val="24"/>
                <w:highlight w:val="none"/>
              </w:rPr>
              <w:t>具备积极响应售后服务人员、方案较为全面、合理、可行的，得</w:t>
            </w:r>
            <w:r>
              <w:rPr>
                <w:rFonts w:hint="eastAsia" w:ascii="宋体" w:hAnsi="宋体" w:eastAsia="宋体" w:cs="宋体"/>
                <w:color w:val="auto"/>
                <w:spacing w:val="-16"/>
                <w:sz w:val="24"/>
                <w:highlight w:val="none"/>
              </w:rPr>
              <w:t xml:space="preserve">3 </w:t>
            </w:r>
            <w:r>
              <w:rPr>
                <w:rFonts w:hint="eastAsia" w:ascii="宋体" w:hAnsi="宋体" w:eastAsia="宋体" w:cs="宋体"/>
                <w:color w:val="auto"/>
                <w:sz w:val="24"/>
                <w:highlight w:val="none"/>
              </w:rPr>
              <w:t>分；</w:t>
            </w:r>
          </w:p>
          <w:p>
            <w:pPr>
              <w:pStyle w:val="12"/>
              <w:spacing w:line="305"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3、在满足招标文件要求的基础上，有一定的措施但不具体，项目</w:t>
            </w:r>
          </w:p>
          <w:p>
            <w:pPr>
              <w:pStyle w:val="12"/>
              <w:spacing w:before="153"/>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组织方案简单，方案不太全面、合理、可行的，得1分；未提供不得分</w:t>
            </w:r>
          </w:p>
        </w:tc>
      </w:tr>
    </w:tbl>
    <w:p>
      <w:pPr>
        <w:rPr>
          <w:rFonts w:hint="eastAsia" w:ascii="宋体" w:hAnsi="宋体" w:eastAsia="宋体" w:cs="宋体"/>
          <w:color w:val="auto"/>
          <w:sz w:val="2"/>
          <w:szCs w:val="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583565</wp:posOffset>
                </wp:positionH>
                <wp:positionV relativeFrom="page">
                  <wp:posOffset>733425</wp:posOffset>
                </wp:positionV>
                <wp:extent cx="0" cy="7134225"/>
                <wp:effectExtent l="4445" t="0" r="14605" b="9525"/>
                <wp:wrapNone/>
                <wp:docPr id="4" name="直接连接符 4"/>
                <wp:cNvGraphicFramePr/>
                <a:graphic xmlns:a="http://schemas.openxmlformats.org/drawingml/2006/main">
                  <a:graphicData uri="http://schemas.microsoft.com/office/word/2010/wordprocessingShape">
                    <wps:wsp>
                      <wps:cNvCnPr/>
                      <wps:spPr>
                        <a:xfrm>
                          <a:off x="0" y="0"/>
                          <a:ext cx="0" cy="71342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57.75pt;height:561.75pt;width:0pt;mso-position-horizontal-relative:page;mso-position-vertical-relative:page;z-index:251660288;mso-width-relative:page;mso-height-relative:page;" filled="f" stroked="t" coordsize="21600,21600" o:gfxdata="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kSE92AAAAAoBAAAPAAAAAAAA&#10;AAEAIAAAACIAAABkcnMvZG93bnJldi54bWxQSwECFAAUAAAACACHTuJAxroX+NkBAACWAwAADgAA&#10;AAAAAAABACAAAAAnAQAAZHJzL2Uyb0RvYy54bWxQSwUGAAAAAAYABgBZAQAAcgUAAAAA&#10;">
                <v:fill on="f" focussize="0,0"/>
                <v:stroke weight="0.48pt" color="#000000" joinstyle="round"/>
                <v:imagedata o:title=""/>
                <o:lock v:ext="edit" aspectratio="f"/>
              </v:line>
            </w:pict>
          </mc:Fallback>
        </mc:AlternateContent>
      </w:r>
    </w:p>
    <w:p>
      <w:pPr>
        <w:spacing w:after="0"/>
        <w:rPr>
          <w:rFonts w:hint="eastAsia" w:ascii="宋体" w:hAnsi="宋体" w:eastAsia="宋体" w:cs="宋体"/>
          <w:color w:val="auto"/>
          <w:sz w:val="2"/>
          <w:szCs w:val="2"/>
          <w:highlight w:val="none"/>
        </w:rPr>
        <w:sectPr>
          <w:footerReference r:id="rId8" w:type="default"/>
          <w:pgSz w:w="11910" w:h="16840"/>
          <w:pgMar w:top="1140" w:right="460" w:bottom="980" w:left="800" w:header="0" w:footer="791" w:gutter="0"/>
          <w:pgNumType w:fmt="decimal"/>
          <w:cols w:space="720" w:num="1"/>
        </w:sectPr>
      </w:pPr>
    </w:p>
    <w:p>
      <w:pPr>
        <w:spacing w:before="31"/>
        <w:ind w:left="525" w:right="905" w:firstLine="0"/>
        <w:jc w:val="center"/>
        <w:rPr>
          <w:rFonts w:hint="eastAsia" w:ascii="宋体" w:hAnsi="宋体" w:eastAsia="宋体" w:cs="宋体"/>
          <w:color w:val="auto"/>
          <w:sz w:val="30"/>
          <w:highlight w:val="none"/>
        </w:rPr>
      </w:pPr>
      <w:bookmarkStart w:id="11" w:name="第四节 中标候选人推荐原则"/>
      <w:bookmarkEnd w:id="11"/>
      <w:r>
        <w:rPr>
          <w:rFonts w:hint="eastAsia" w:ascii="宋体" w:hAnsi="宋体" w:eastAsia="宋体" w:cs="宋体"/>
          <w:color w:val="auto"/>
          <w:sz w:val="30"/>
          <w:highlight w:val="none"/>
        </w:rPr>
        <w:t>第四节 中标候选人推荐原则</w:t>
      </w:r>
    </w:p>
    <w:p>
      <w:pPr>
        <w:pStyle w:val="7"/>
        <w:spacing w:before="11"/>
        <w:rPr>
          <w:rFonts w:hint="eastAsia" w:ascii="宋体" w:hAnsi="宋体" w:eastAsia="宋体" w:cs="宋体"/>
          <w:color w:val="auto"/>
          <w:sz w:val="41"/>
          <w:highlight w:val="none"/>
        </w:rPr>
      </w:pPr>
    </w:p>
    <w:p>
      <w:pPr>
        <w:pStyle w:val="7"/>
        <w:spacing w:before="1" w:line="343" w:lineRule="auto"/>
        <w:ind w:left="332" w:right="706" w:firstLine="468"/>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7"/>
        <w:spacing w:before="1"/>
        <w:rPr>
          <w:rFonts w:hint="eastAsia" w:ascii="宋体" w:hAnsi="宋体" w:eastAsia="宋体" w:cs="宋体"/>
          <w:color w:val="auto"/>
          <w:sz w:val="25"/>
          <w:highlight w:val="none"/>
        </w:rPr>
      </w:pPr>
    </w:p>
    <w:p>
      <w:pPr>
        <w:spacing w:after="0"/>
        <w:rPr>
          <w:rFonts w:hint="eastAsia" w:ascii="宋体" w:hAnsi="宋体" w:eastAsia="宋体" w:cs="宋体"/>
          <w:color w:val="auto"/>
          <w:sz w:val="25"/>
          <w:highlight w:val="none"/>
        </w:rPr>
        <w:sectPr>
          <w:pgSz w:w="11910" w:h="16840"/>
          <w:pgMar w:top="1080" w:right="460" w:bottom="980" w:left="800" w:header="0" w:footer="791" w:gutter="0"/>
          <w:pgNumType w:fmt="decimal"/>
          <w:cols w:space="720" w:num="1"/>
        </w:sectPr>
      </w:pP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19"/>
          <w:highlight w:val="none"/>
        </w:rPr>
      </w:pPr>
    </w:p>
    <w:p>
      <w:pPr>
        <w:pStyle w:val="7"/>
        <w:ind w:left="332"/>
        <w:rPr>
          <w:rFonts w:hint="eastAsia" w:ascii="宋体" w:hAnsi="宋体" w:eastAsia="宋体" w:cs="宋体"/>
          <w:color w:val="auto"/>
          <w:highlight w:val="none"/>
        </w:rPr>
      </w:pPr>
      <w:r>
        <w:rPr>
          <w:rFonts w:hint="eastAsia" w:ascii="宋体" w:hAnsi="宋体" w:eastAsia="宋体" w:cs="宋体"/>
          <w:color w:val="auto"/>
          <w:highlight w:val="none"/>
        </w:rPr>
        <w:t>(一) 评标报告与推荐中标候选人</w:t>
      </w:r>
    </w:p>
    <w:p>
      <w:pPr>
        <w:pStyle w:val="4"/>
        <w:ind w:left="79" w:right="0"/>
        <w:jc w:val="left"/>
        <w:rPr>
          <w:rFonts w:hint="eastAsia" w:ascii="宋体" w:hAnsi="宋体" w:eastAsia="宋体" w:cs="宋体"/>
          <w:color w:val="auto"/>
          <w:highlight w:val="none"/>
        </w:rPr>
      </w:pPr>
      <w:r>
        <w:rPr>
          <w:rFonts w:hint="eastAsia" w:ascii="宋体" w:hAnsi="宋体" w:eastAsia="宋体" w:cs="宋体"/>
          <w:color w:val="auto"/>
          <w:highlight w:val="none"/>
        </w:rPr>
        <w:br w:type="column"/>
      </w:r>
      <w:bookmarkStart w:id="12" w:name="第五节 评标报告"/>
      <w:bookmarkEnd w:id="12"/>
      <w:r>
        <w:rPr>
          <w:rFonts w:hint="eastAsia" w:ascii="宋体" w:hAnsi="宋体" w:eastAsia="宋体" w:cs="宋体"/>
          <w:color w:val="auto"/>
          <w:highlight w:val="none"/>
        </w:rPr>
        <w:t>第五节 评标报告</w:t>
      </w:r>
    </w:p>
    <w:p>
      <w:pPr>
        <w:spacing w:after="0"/>
        <w:jc w:val="left"/>
        <w:rPr>
          <w:rFonts w:hint="eastAsia" w:ascii="宋体" w:hAnsi="宋体" w:eastAsia="宋体" w:cs="宋体"/>
          <w:color w:val="auto"/>
          <w:highlight w:val="none"/>
        </w:rPr>
        <w:sectPr>
          <w:type w:val="continuous"/>
          <w:pgSz w:w="11910" w:h="16840"/>
          <w:pgMar w:top="1200" w:right="460" w:bottom="980" w:left="800" w:header="720" w:footer="720" w:gutter="0"/>
          <w:pgNumType w:fmt="decimal"/>
          <w:cols w:equalWidth="0" w:num="2">
            <w:col w:w="3993" w:space="40"/>
            <w:col w:w="6617"/>
          </w:cols>
        </w:sectPr>
      </w:pPr>
    </w:p>
    <w:p>
      <w:pPr>
        <w:pStyle w:val="7"/>
        <w:spacing w:before="132" w:line="343" w:lineRule="auto"/>
        <w:ind w:left="332" w:right="711" w:firstLine="468"/>
        <w:rPr>
          <w:rFonts w:hint="eastAsia" w:ascii="宋体" w:hAnsi="宋体" w:eastAsia="宋体" w:cs="宋体"/>
          <w:color w:val="auto"/>
          <w:highlight w:val="none"/>
        </w:rPr>
      </w:pPr>
      <w:r>
        <w:rPr>
          <w:rFonts w:hint="eastAsia" w:ascii="宋体" w:hAnsi="宋体" w:eastAsia="宋体" w:cs="宋体"/>
          <w:color w:val="auto"/>
          <w:spacing w:val="-8"/>
          <w:highlight w:val="none"/>
        </w:rPr>
        <w:t>评标委员会根据原始评标记录和评标结果编写评标报告，并通过电子交易平台向采购人、</w:t>
      </w:r>
      <w:r>
        <w:rPr>
          <w:rFonts w:hint="eastAsia" w:ascii="宋体" w:hAnsi="宋体" w:eastAsia="宋体" w:cs="宋体"/>
          <w:color w:val="auto"/>
          <w:spacing w:val="-11"/>
          <w:highlight w:val="none"/>
        </w:rPr>
        <w:t>采购代理机构提交。</w:t>
      </w:r>
    </w:p>
    <w:p>
      <w:pPr>
        <w:pStyle w:val="7"/>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(二) 评标争议事项处理</w:t>
      </w:r>
    </w:p>
    <w:p>
      <w:pPr>
        <w:pStyle w:val="7"/>
        <w:spacing w:before="132" w:line="343" w:lineRule="auto"/>
        <w:ind w:left="332" w:right="713" w:firstLine="477"/>
        <w:jc w:val="both"/>
        <w:rPr>
          <w:rFonts w:hint="eastAsia" w:ascii="宋体" w:hAnsi="宋体" w:eastAsia="宋体" w:cs="宋体"/>
          <w:color w:val="auto"/>
          <w:highlight w:val="none"/>
        </w:rPr>
      </w:pPr>
      <w:r>
        <w:rPr>
          <w:rFonts w:hint="eastAsia" w:ascii="宋体" w:hAnsi="宋体" w:eastAsia="宋体" w:cs="宋体"/>
          <w:color w:val="auto"/>
          <w:spacing w:val="-3"/>
          <w:highlight w:val="none"/>
        </w:rPr>
        <w:t>评标委员会成员对需要共同认定的事项存在争议的，应当按照少数服从多数的原则作出</w:t>
      </w:r>
      <w:r>
        <w:rPr>
          <w:rFonts w:hint="eastAsia" w:ascii="宋体" w:hAnsi="宋体" w:eastAsia="宋体" w:cs="宋体"/>
          <w:color w:val="auto"/>
          <w:spacing w:val="-10"/>
          <w:highlight w:val="none"/>
        </w:rPr>
        <w:t>结论。持不同意见的评标委员会成员应当在评标报告上签署不同意见及理由，否则视为同意评</w:t>
      </w:r>
      <w:r>
        <w:rPr>
          <w:rFonts w:hint="eastAsia" w:ascii="宋体" w:hAnsi="宋体" w:eastAsia="宋体" w:cs="宋体"/>
          <w:color w:val="auto"/>
          <w:spacing w:val="-6"/>
          <w:highlight w:val="none"/>
        </w:rPr>
        <w:t>标报告。</w:t>
      </w:r>
    </w:p>
    <w:p>
      <w:pPr>
        <w:spacing w:after="0" w:line="343" w:lineRule="auto"/>
        <w:jc w:val="both"/>
        <w:rPr>
          <w:rFonts w:hint="eastAsia" w:ascii="宋体" w:hAnsi="宋体" w:eastAsia="宋体" w:cs="宋体"/>
          <w:color w:val="auto"/>
          <w:highlight w:val="none"/>
        </w:rPr>
        <w:sectPr>
          <w:type w:val="continuous"/>
          <w:pgSz w:w="11910" w:h="16840"/>
          <w:pgMar w:top="1200" w:right="460" w:bottom="980" w:left="800" w:header="720" w:footer="720" w:gutter="0"/>
          <w:pgNumType w:fmt="decimal"/>
          <w:cols w:space="720" w:num="1"/>
        </w:sectPr>
      </w:pPr>
    </w:p>
    <w:p>
      <w:pPr>
        <w:pStyle w:val="3"/>
        <w:spacing w:line="586" w:lineRule="exact"/>
        <w:rPr>
          <w:rFonts w:hint="eastAsia" w:ascii="宋体" w:hAnsi="宋体" w:eastAsia="宋体" w:cs="宋体"/>
          <w:color w:val="auto"/>
          <w:highlight w:val="none"/>
        </w:rPr>
      </w:pPr>
      <w:r>
        <w:rPr>
          <w:rFonts w:hint="eastAsia" w:ascii="宋体" w:hAnsi="宋体" w:eastAsia="宋体" w:cs="宋体"/>
          <w:color w:val="auto"/>
          <w:highlight w:val="none"/>
        </w:rPr>
        <w:t>项目合同书（格式）</w:t>
      </w:r>
    </w:p>
    <w:p>
      <w:pPr>
        <w:pStyle w:val="6"/>
        <w:spacing w:before="319"/>
        <w:ind w:left="573" w:right="905"/>
        <w:jc w:val="center"/>
        <w:rPr>
          <w:rFonts w:hint="eastAsia" w:ascii="宋体" w:hAnsi="宋体" w:eastAsia="宋体" w:cs="宋体"/>
          <w:color w:val="auto"/>
          <w:highlight w:val="none"/>
        </w:rPr>
      </w:pPr>
      <w:r>
        <w:rPr>
          <w:rFonts w:hint="eastAsia" w:ascii="宋体" w:hAnsi="宋体" w:eastAsia="宋体" w:cs="宋体"/>
          <w:color w:val="auto"/>
          <w:highlight w:val="none"/>
        </w:rPr>
        <w:t>（甲乙双方以最终签订为准，此合同格式只作为参考）</w:t>
      </w:r>
    </w:p>
    <w:p>
      <w:pPr>
        <w:spacing w:before="167"/>
        <w:ind w:left="1564"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第一部分 合同书</w:t>
      </w:r>
    </w:p>
    <w:p>
      <w:pPr>
        <w:pStyle w:val="7"/>
        <w:spacing w:before="106"/>
        <w:ind w:left="805"/>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[采购人]</w:t>
      </w:r>
      <w:r>
        <w:rPr>
          <w:rFonts w:hint="eastAsia" w:ascii="宋体" w:hAnsi="宋体" w:eastAsia="宋体" w:cs="宋体"/>
          <w:color w:val="auto"/>
          <w:highlight w:val="none"/>
        </w:rPr>
        <w:t xml:space="preserve"> 以</w:t>
      </w:r>
      <w:r>
        <w:rPr>
          <w:rFonts w:hint="eastAsia" w:ascii="宋体" w:hAnsi="宋体" w:eastAsia="宋体" w:cs="宋体"/>
          <w:color w:val="auto"/>
          <w:highlight w:val="none"/>
          <w:u w:val="single"/>
        </w:rPr>
        <w:t xml:space="preserve"> 公开招标方式</w:t>
      </w:r>
      <w:r>
        <w:rPr>
          <w:rFonts w:hint="eastAsia" w:ascii="宋体" w:hAnsi="宋体" w:eastAsia="宋体" w:cs="宋体"/>
          <w:color w:val="auto"/>
          <w:highlight w:val="none"/>
        </w:rPr>
        <w:t xml:space="preserve"> 对</w:t>
      </w:r>
      <w:r>
        <w:rPr>
          <w:rFonts w:hint="eastAsia" w:ascii="宋体" w:hAnsi="宋体" w:eastAsia="宋体" w:cs="宋体"/>
          <w:color w:val="auto"/>
          <w:highlight w:val="none"/>
          <w:u w:val="single"/>
        </w:rPr>
        <w:t xml:space="preserve"> [项目名称]</w:t>
      </w:r>
      <w:r>
        <w:rPr>
          <w:rFonts w:hint="eastAsia" w:ascii="宋体" w:hAnsi="宋体" w:eastAsia="宋体" w:cs="宋体"/>
          <w:color w:val="auto"/>
          <w:highlight w:val="none"/>
        </w:rPr>
        <w:t>项目进行了采购</w:t>
      </w:r>
    </w:p>
    <w:p>
      <w:pPr>
        <w:pStyle w:val="7"/>
        <w:spacing w:before="134" w:line="343" w:lineRule="auto"/>
        <w:ind w:left="332" w:right="660"/>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。经</w:t>
      </w:r>
      <w:r>
        <w:rPr>
          <w:rFonts w:hint="eastAsia" w:ascii="宋体" w:hAnsi="宋体" w:eastAsia="宋体" w:cs="宋体"/>
          <w:color w:val="auto"/>
          <w:spacing w:val="-10"/>
          <w:highlight w:val="none"/>
          <w:u w:val="single"/>
        </w:rPr>
        <w:t xml:space="preserve"> (相关评定主体名称)</w:t>
      </w:r>
      <w:r>
        <w:rPr>
          <w:rFonts w:hint="eastAsia" w:ascii="宋体" w:hAnsi="宋体" w:eastAsia="宋体" w:cs="宋体"/>
          <w:color w:val="auto"/>
          <w:spacing w:val="16"/>
          <w:highlight w:val="none"/>
        </w:rPr>
        <w:t xml:space="preserve"> 评定，</w:t>
      </w:r>
      <w:r>
        <w:rPr>
          <w:rFonts w:hint="eastAsia" w:ascii="宋体" w:hAnsi="宋体" w:eastAsia="宋体" w:cs="宋体"/>
          <w:color w:val="auto"/>
          <w:spacing w:val="-7"/>
          <w:highlight w:val="none"/>
          <w:u w:val="single"/>
        </w:rPr>
        <w:t xml:space="preserve"> (中标人名称)</w:t>
      </w:r>
      <w:r>
        <w:rPr>
          <w:rFonts w:hint="eastAsia" w:ascii="宋体" w:hAnsi="宋体" w:eastAsia="宋体" w:cs="宋体"/>
          <w:color w:val="auto"/>
          <w:spacing w:val="-10"/>
          <w:highlight w:val="none"/>
        </w:rPr>
        <w:t xml:space="preserve"> 为 该项目中标人。现于中标通知书发出之</w:t>
      </w:r>
      <w:r>
        <w:rPr>
          <w:rFonts w:hint="eastAsia" w:ascii="宋体" w:hAnsi="宋体" w:eastAsia="宋体" w:cs="宋体"/>
          <w:color w:val="auto"/>
          <w:spacing w:val="-7"/>
          <w:highlight w:val="none"/>
        </w:rPr>
        <w:t>日起三十日内，按照采购文件确定的事项签订本合同。</w:t>
      </w:r>
    </w:p>
    <w:p>
      <w:pPr>
        <w:pStyle w:val="7"/>
        <w:spacing w:line="343" w:lineRule="auto"/>
        <w:ind w:left="332" w:right="696" w:firstLine="487"/>
        <w:jc w:val="both"/>
        <w:rPr>
          <w:rFonts w:hint="eastAsia" w:ascii="宋体" w:hAnsi="宋体" w:eastAsia="宋体" w:cs="宋体"/>
          <w:color w:val="auto"/>
          <w:highlight w:val="none"/>
        </w:rPr>
      </w:pPr>
      <w:r>
        <w:rPr>
          <w:rFonts w:hint="eastAsia" w:ascii="宋体" w:hAnsi="宋体" w:eastAsia="宋体" w:cs="宋体"/>
          <w:color w:val="auto"/>
          <w:spacing w:val="-31"/>
          <w:highlight w:val="none"/>
        </w:rPr>
        <w:t>根据《中华人民共和国民法典》、《中华人民共和国政府采购法》等相关法律法规之规定，按照</w:t>
      </w:r>
      <w:r>
        <w:rPr>
          <w:rFonts w:hint="eastAsia" w:ascii="宋体" w:hAnsi="宋体" w:eastAsia="宋体" w:cs="宋体"/>
          <w:color w:val="auto"/>
          <w:spacing w:val="-16"/>
          <w:highlight w:val="none"/>
        </w:rPr>
        <w:t>平等、自愿、公平和诚实信用的原则，经</w:t>
      </w:r>
      <w:r>
        <w:rPr>
          <w:rFonts w:hint="eastAsia" w:ascii="宋体" w:hAnsi="宋体" w:eastAsia="宋体" w:cs="宋体"/>
          <w:color w:val="auto"/>
          <w:spacing w:val="-11"/>
          <w:highlight w:val="none"/>
          <w:u w:val="single"/>
        </w:rPr>
        <w:t xml:space="preserve"> [采购人]</w:t>
      </w:r>
      <w:r>
        <w:rPr>
          <w:rFonts w:hint="eastAsia" w:ascii="宋体" w:hAnsi="宋体" w:eastAsia="宋体" w:cs="宋体"/>
          <w:color w:val="auto"/>
          <w:spacing w:val="-5"/>
          <w:highlight w:val="none"/>
        </w:rPr>
        <w:t xml:space="preserve"> (以下简称：甲方)和 </w:t>
      </w:r>
      <w:r>
        <w:rPr>
          <w:rFonts w:hint="eastAsia" w:ascii="宋体" w:hAnsi="宋体" w:eastAsia="宋体" w:cs="宋体"/>
          <w:color w:val="auto"/>
          <w:spacing w:val="-13"/>
          <w:highlight w:val="none"/>
          <w:u w:val="single"/>
        </w:rPr>
        <w:t>(中标人名称)</w:t>
      </w:r>
      <w:r>
        <w:rPr>
          <w:rFonts w:hint="eastAsia" w:ascii="宋体" w:hAnsi="宋体" w:eastAsia="宋体" w:cs="宋体"/>
          <w:color w:val="auto"/>
          <w:spacing w:val="-9"/>
          <w:highlight w:val="none"/>
        </w:rPr>
        <w:t xml:space="preserve"> (以下</w:t>
      </w:r>
      <w:r>
        <w:rPr>
          <w:rFonts w:hint="eastAsia" w:ascii="宋体" w:hAnsi="宋体" w:eastAsia="宋体" w:cs="宋体"/>
          <w:color w:val="auto"/>
          <w:spacing w:val="-16"/>
          <w:highlight w:val="none"/>
        </w:rPr>
        <w:t>简称：乙方)协商一致，约定以下合同条款，以兹共同遵守、全面履行。</w:t>
      </w:r>
    </w:p>
    <w:p>
      <w:pPr>
        <w:pStyle w:val="13"/>
        <w:numPr>
          <w:ilvl w:val="1"/>
          <w:numId w:val="6"/>
        </w:numPr>
        <w:tabs>
          <w:tab w:val="left" w:pos="799"/>
        </w:tabs>
        <w:spacing w:before="0" w:after="0" w:line="240" w:lineRule="auto"/>
        <w:ind w:left="798" w:right="0" w:hanging="46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合同组成部分</w:t>
      </w:r>
    </w:p>
    <w:p>
      <w:pPr>
        <w:pStyle w:val="7"/>
        <w:spacing w:before="134" w:line="343" w:lineRule="auto"/>
        <w:ind w:left="332" w:right="648" w:firstLine="494"/>
        <w:jc w:val="both"/>
        <w:rPr>
          <w:rFonts w:hint="eastAsia" w:ascii="宋体" w:hAnsi="宋体" w:eastAsia="宋体" w:cs="宋体"/>
          <w:color w:val="auto"/>
          <w:highlight w:val="none"/>
        </w:rPr>
      </w:pPr>
      <w:r>
        <w:rPr>
          <w:rFonts w:hint="eastAsia" w:ascii="宋体" w:hAnsi="宋体" w:eastAsia="宋体" w:cs="宋体"/>
          <w:color w:val="auto"/>
          <w:spacing w:val="-1"/>
          <w:highlight w:val="none"/>
        </w:rPr>
        <w:t>下列文件为本合同的组成部分，并构成一个整体，需综合解释、相互补充。如果下列文</w:t>
      </w:r>
      <w:r>
        <w:rPr>
          <w:rFonts w:hint="eastAsia" w:ascii="宋体" w:hAnsi="宋体" w:eastAsia="宋体" w:cs="宋体"/>
          <w:color w:val="auto"/>
          <w:spacing w:val="-8"/>
          <w:highlight w:val="none"/>
        </w:rPr>
        <w:t>件内容出现不一致的情形，在保证按照采购文件确定的事项的前提下，组成本合同的多个文件</w:t>
      </w:r>
      <w:r>
        <w:rPr>
          <w:rFonts w:hint="eastAsia" w:ascii="宋体" w:hAnsi="宋体" w:eastAsia="宋体" w:cs="宋体"/>
          <w:color w:val="auto"/>
          <w:spacing w:val="-9"/>
          <w:highlight w:val="none"/>
        </w:rPr>
        <w:t>的优先适用顺序如下：</w:t>
      </w:r>
    </w:p>
    <w:p>
      <w:pPr>
        <w:pStyle w:val="13"/>
        <w:numPr>
          <w:ilvl w:val="2"/>
          <w:numId w:val="6"/>
        </w:numPr>
        <w:tabs>
          <w:tab w:val="left" w:pos="1000"/>
        </w:tabs>
        <w:spacing w:before="0" w:after="0" w:line="240" w:lineRule="auto"/>
        <w:ind w:left="1000" w:right="0" w:hanging="668"/>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本合同及其补充合同、变更协议；</w:t>
      </w:r>
    </w:p>
    <w:p>
      <w:pPr>
        <w:pStyle w:val="13"/>
        <w:numPr>
          <w:ilvl w:val="2"/>
          <w:numId w:val="6"/>
        </w:numPr>
        <w:tabs>
          <w:tab w:val="left" w:pos="1012"/>
        </w:tabs>
        <w:spacing w:before="132" w:after="0" w:line="240" w:lineRule="auto"/>
        <w:ind w:left="1012" w:right="0" w:hanging="680"/>
        <w:jc w:val="left"/>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中标通知书；</w:t>
      </w:r>
    </w:p>
    <w:p>
      <w:pPr>
        <w:pStyle w:val="13"/>
        <w:numPr>
          <w:ilvl w:val="2"/>
          <w:numId w:val="6"/>
        </w:numPr>
        <w:tabs>
          <w:tab w:val="left" w:pos="1063"/>
        </w:tabs>
        <w:spacing w:before="132" w:after="0" w:line="240" w:lineRule="auto"/>
        <w:ind w:left="1062" w:right="0" w:hanging="73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投标文件及“投标报价”(含澄清或者说明文件)；</w:t>
      </w:r>
    </w:p>
    <w:p>
      <w:pPr>
        <w:pStyle w:val="13"/>
        <w:numPr>
          <w:ilvl w:val="2"/>
          <w:numId w:val="6"/>
        </w:numPr>
        <w:tabs>
          <w:tab w:val="left" w:pos="1104"/>
        </w:tabs>
        <w:spacing w:before="134" w:after="0" w:line="240" w:lineRule="auto"/>
        <w:ind w:left="1103" w:right="0" w:hanging="772"/>
        <w:jc w:val="left"/>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招标文件(含澄清或者修改文件)；</w:t>
      </w:r>
    </w:p>
    <w:p>
      <w:pPr>
        <w:pStyle w:val="13"/>
        <w:numPr>
          <w:ilvl w:val="2"/>
          <w:numId w:val="6"/>
        </w:numPr>
        <w:tabs>
          <w:tab w:val="left" w:pos="1020"/>
        </w:tabs>
        <w:spacing w:before="132" w:after="0" w:line="240" w:lineRule="auto"/>
        <w:ind w:left="1019" w:right="0" w:hanging="688"/>
        <w:jc w:val="left"/>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其他相关采购文件。</w:t>
      </w:r>
    </w:p>
    <w:p>
      <w:pPr>
        <w:pStyle w:val="13"/>
        <w:numPr>
          <w:ilvl w:val="1"/>
          <w:numId w:val="6"/>
        </w:numPr>
        <w:tabs>
          <w:tab w:val="left" w:pos="796"/>
        </w:tabs>
        <w:spacing w:before="131" w:after="0" w:line="240" w:lineRule="auto"/>
        <w:ind w:left="796" w:right="0" w:hanging="464"/>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w:t>
      </w:r>
    </w:p>
    <w:p>
      <w:pPr>
        <w:pStyle w:val="13"/>
        <w:numPr>
          <w:ilvl w:val="2"/>
          <w:numId w:val="6"/>
        </w:numPr>
        <w:tabs>
          <w:tab w:val="left" w:pos="969"/>
        </w:tabs>
        <w:spacing w:before="134" w:after="0" w:line="240" w:lineRule="auto"/>
        <w:ind w:left="968" w:right="0" w:hanging="637"/>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w:t>
      </w:r>
      <w:r>
        <w:rPr>
          <w:rFonts w:hint="eastAsia" w:ascii="宋体" w:hAnsi="宋体" w:eastAsia="宋体" w:cs="宋体"/>
          <w:color w:val="auto"/>
          <w:spacing w:val="-24"/>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20"/>
          <w:sz w:val="24"/>
          <w:highlight w:val="none"/>
        </w:rPr>
        <w:t xml:space="preserve"> 信息</w:t>
      </w:r>
    </w:p>
    <w:p>
      <w:pPr>
        <w:pStyle w:val="7"/>
        <w:tabs>
          <w:tab w:val="left" w:pos="6531"/>
        </w:tabs>
        <w:spacing w:before="132"/>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1.2.1.1</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tabs>
          <w:tab w:val="left" w:pos="6531"/>
        </w:tabs>
        <w:spacing w:before="132"/>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1.2.1.2</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数</w:t>
      </w:r>
      <w:r>
        <w:rPr>
          <w:rFonts w:hint="eastAsia" w:ascii="宋体" w:hAnsi="宋体" w:eastAsia="宋体" w:cs="宋体"/>
          <w:color w:val="auto"/>
          <w:spacing w:val="-10"/>
          <w:highlight w:val="none"/>
        </w:rPr>
        <w:t>量</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tabs>
          <w:tab w:val="left" w:pos="6531"/>
        </w:tabs>
        <w:spacing w:before="134"/>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1.2.1.3</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8"/>
          <w:highlight w:val="none"/>
        </w:rPr>
        <w:t>质</w:t>
      </w:r>
      <w:r>
        <w:rPr>
          <w:rFonts w:hint="eastAsia" w:ascii="宋体" w:hAnsi="宋体" w:eastAsia="宋体" w:cs="宋体"/>
          <w:color w:val="auto"/>
          <w:spacing w:val="-10"/>
          <w:highlight w:val="none"/>
        </w:rPr>
        <w:t>量</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spacing w:before="163"/>
        <w:ind w:left="33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3"/>
        <w:numPr>
          <w:ilvl w:val="1"/>
          <w:numId w:val="6"/>
        </w:numPr>
        <w:tabs>
          <w:tab w:val="left" w:pos="794"/>
        </w:tabs>
        <w:spacing w:before="100" w:after="0" w:line="240" w:lineRule="auto"/>
        <w:ind w:left="793" w:right="0" w:hanging="462"/>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价款</w:t>
      </w:r>
    </w:p>
    <w:p>
      <w:pPr>
        <w:pStyle w:val="7"/>
        <w:tabs>
          <w:tab w:val="left" w:pos="4002"/>
          <w:tab w:val="left" w:pos="6488"/>
        </w:tabs>
        <w:spacing w:before="134" w:after="12" w:line="343" w:lineRule="auto"/>
        <w:ind w:left="332" w:right="2013"/>
        <w:rPr>
          <w:rFonts w:hint="eastAsia" w:ascii="宋体" w:hAnsi="宋体" w:eastAsia="宋体" w:cs="宋体"/>
          <w:color w:val="auto"/>
          <w:highlight w:val="none"/>
        </w:rPr>
      </w:pPr>
      <w:r>
        <w:rPr>
          <w:rFonts w:hint="eastAsia" w:ascii="宋体" w:hAnsi="宋体" w:eastAsia="宋体" w:cs="宋体"/>
          <w:color w:val="auto"/>
          <w:spacing w:val="-5"/>
          <w:highlight w:val="none"/>
        </w:rPr>
        <w:t>本</w:t>
      </w:r>
      <w:r>
        <w:rPr>
          <w:rFonts w:hint="eastAsia" w:ascii="宋体" w:hAnsi="宋体" w:eastAsia="宋体" w:cs="宋体"/>
          <w:color w:val="auto"/>
          <w:spacing w:val="-3"/>
          <w:highlight w:val="none"/>
        </w:rPr>
        <w:t>合</w:t>
      </w:r>
      <w:r>
        <w:rPr>
          <w:rFonts w:hint="eastAsia" w:ascii="宋体" w:hAnsi="宋体" w:eastAsia="宋体" w:cs="宋体"/>
          <w:color w:val="auto"/>
          <w:spacing w:val="-5"/>
          <w:highlight w:val="none"/>
        </w:rPr>
        <w:t>同总</w:t>
      </w:r>
      <w:r>
        <w:rPr>
          <w:rFonts w:hint="eastAsia" w:ascii="宋体" w:hAnsi="宋体" w:eastAsia="宋体" w:cs="宋体"/>
          <w:color w:val="auto"/>
          <w:spacing w:val="-3"/>
          <w:highlight w:val="none"/>
        </w:rPr>
        <w:t>价为：人</w:t>
      </w:r>
      <w:r>
        <w:rPr>
          <w:rFonts w:hint="eastAsia" w:ascii="宋体" w:hAnsi="宋体" w:eastAsia="宋体" w:cs="宋体"/>
          <w:color w:val="auto"/>
          <w:highlight w:val="none"/>
        </w:rPr>
        <w:t>民</w:t>
      </w:r>
      <w:r>
        <w:rPr>
          <w:rFonts w:hint="eastAsia" w:ascii="宋体" w:hAnsi="宋体" w:eastAsia="宋体" w:cs="宋体"/>
          <w:color w:val="auto"/>
          <w:spacing w:val="-3"/>
          <w:highlight w:val="none"/>
        </w:rPr>
        <w:t>币</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元</w:t>
      </w:r>
      <w:r>
        <w:rPr>
          <w:rFonts w:hint="eastAsia" w:ascii="宋体" w:hAnsi="宋体" w:eastAsia="宋体" w:cs="宋体"/>
          <w:color w:val="auto"/>
          <w:highlight w:val="none"/>
        </w:rPr>
        <w:t>(</w:t>
      </w:r>
      <w:r>
        <w:rPr>
          <w:rFonts w:hint="eastAsia" w:ascii="宋体" w:hAnsi="宋体" w:eastAsia="宋体" w:cs="宋体"/>
          <w:color w:val="auto"/>
          <w:spacing w:val="-3"/>
          <w:highlight w:val="none"/>
        </w:rPr>
        <w:t>大写</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spacing w:val="-3"/>
          <w:highlight w:val="none"/>
        </w:rPr>
        <w:t>元人民</w:t>
      </w:r>
      <w:r>
        <w:rPr>
          <w:rFonts w:hint="eastAsia" w:ascii="宋体" w:hAnsi="宋体" w:eastAsia="宋体" w:cs="宋体"/>
          <w:color w:val="auto"/>
          <w:highlight w:val="none"/>
        </w:rPr>
        <w:t>币</w:t>
      </w:r>
      <w:r>
        <w:rPr>
          <w:rFonts w:hint="eastAsia" w:ascii="宋体" w:hAnsi="宋体" w:eastAsia="宋体" w:cs="宋体"/>
          <w:color w:val="auto"/>
          <w:spacing w:val="-3"/>
          <w:highlight w:val="none"/>
        </w:rPr>
        <w:t>，含</w:t>
      </w:r>
      <w:r>
        <w:rPr>
          <w:rFonts w:hint="eastAsia" w:ascii="宋体" w:hAnsi="宋体" w:eastAsia="宋体" w:cs="宋体"/>
          <w:color w:val="auto"/>
          <w:highlight w:val="none"/>
        </w:rPr>
        <w:t>税</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w:t>
      </w:r>
      <w:r>
        <w:rPr>
          <w:rFonts w:hint="eastAsia" w:ascii="宋体" w:hAnsi="宋体" w:eastAsia="宋体" w:cs="宋体"/>
          <w:color w:val="auto"/>
          <w:spacing w:val="-15"/>
          <w:highlight w:val="none"/>
        </w:rPr>
        <w:t>。</w:t>
      </w:r>
      <w:r>
        <w:rPr>
          <w:rFonts w:hint="eastAsia" w:ascii="宋体" w:hAnsi="宋体" w:eastAsia="宋体" w:cs="宋体"/>
          <w:color w:val="auto"/>
          <w:spacing w:val="-8"/>
          <w:highlight w:val="none"/>
          <w:u w:val="single"/>
        </w:rPr>
        <w:t>分</w:t>
      </w:r>
      <w:r>
        <w:rPr>
          <w:rFonts w:hint="eastAsia" w:ascii="宋体" w:hAnsi="宋体" w:eastAsia="宋体" w:cs="宋体"/>
          <w:color w:val="auto"/>
          <w:spacing w:val="-5"/>
          <w:highlight w:val="none"/>
          <w:u w:val="single"/>
        </w:rPr>
        <w:t>项</w:t>
      </w:r>
      <w:r>
        <w:rPr>
          <w:rFonts w:hint="eastAsia" w:ascii="宋体" w:hAnsi="宋体" w:eastAsia="宋体" w:cs="宋体"/>
          <w:color w:val="auto"/>
          <w:spacing w:val="-3"/>
          <w:highlight w:val="none"/>
          <w:u w:val="single"/>
        </w:rPr>
        <w:t>价</w:t>
      </w:r>
      <w:r>
        <w:rPr>
          <w:rFonts w:hint="eastAsia" w:ascii="宋体" w:hAnsi="宋体" w:eastAsia="宋体" w:cs="宋体"/>
          <w:color w:val="auto"/>
          <w:spacing w:val="-5"/>
          <w:highlight w:val="none"/>
          <w:u w:val="single"/>
        </w:rPr>
        <w:t>格</w:t>
      </w:r>
      <w:r>
        <w:rPr>
          <w:rFonts w:hint="eastAsia" w:ascii="宋体" w:hAnsi="宋体" w:eastAsia="宋体" w:cs="宋体"/>
          <w:color w:val="auto"/>
          <w:highlight w:val="none"/>
          <w:u w:val="single"/>
        </w:rPr>
        <w:t>：</w:t>
      </w:r>
    </w:p>
    <w:tbl>
      <w:tblPr>
        <w:tblStyle w:val="10"/>
        <w:tblW w:w="0" w:type="auto"/>
        <w:tblInd w:w="1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7"/>
        <w:gridCol w:w="2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05" w:type="dxa"/>
            <w:tcBorders>
              <w:left w:val="single" w:color="000000" w:sz="4" w:space="0"/>
              <w:right w:val="single" w:color="000000" w:sz="4" w:space="0"/>
            </w:tcBorders>
            <w:noWrap w:val="0"/>
            <w:vAlign w:val="top"/>
          </w:tcPr>
          <w:p>
            <w:pPr>
              <w:pStyle w:val="12"/>
              <w:spacing w:before="43" w:line="304" w:lineRule="exact"/>
              <w:ind w:left="595"/>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97" w:type="dxa"/>
            <w:tcBorders>
              <w:left w:val="single" w:color="000000" w:sz="4" w:space="0"/>
              <w:right w:val="single" w:color="000000" w:sz="4" w:space="0"/>
            </w:tcBorders>
            <w:noWrap w:val="0"/>
            <w:vAlign w:val="top"/>
          </w:tcPr>
          <w:p>
            <w:pPr>
              <w:pStyle w:val="12"/>
              <w:spacing w:before="38"/>
              <w:ind w:left="597"/>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63" w:type="dxa"/>
            <w:tcBorders>
              <w:left w:val="single" w:color="000000" w:sz="4" w:space="0"/>
              <w:right w:val="single" w:color="000000" w:sz="4" w:space="0"/>
            </w:tcBorders>
            <w:noWrap w:val="0"/>
            <w:vAlign w:val="top"/>
          </w:tcPr>
          <w:p>
            <w:pPr>
              <w:pStyle w:val="12"/>
              <w:spacing w:before="43" w:line="304" w:lineRule="exact"/>
              <w:ind w:left="601"/>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602" w:type="dxa"/>
            <w:gridSpan w:val="2"/>
            <w:tcBorders>
              <w:left w:val="single" w:color="000000" w:sz="4" w:space="0"/>
              <w:right w:val="single" w:color="000000" w:sz="4" w:space="0"/>
            </w:tcBorders>
            <w:noWrap w:val="0"/>
            <w:vAlign w:val="top"/>
          </w:tcPr>
          <w:p>
            <w:pPr>
              <w:pStyle w:val="12"/>
              <w:spacing w:before="42" w:line="306" w:lineRule="exact"/>
              <w:ind w:left="614"/>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bl>
    <w:p>
      <w:pPr>
        <w:spacing w:after="0"/>
        <w:rPr>
          <w:rFonts w:hint="eastAsia" w:ascii="宋体" w:hAnsi="宋体" w:eastAsia="宋体" w:cs="宋体"/>
          <w:color w:val="auto"/>
          <w:sz w:val="24"/>
          <w:highlight w:val="none"/>
        </w:rPr>
        <w:sectPr>
          <w:pgSz w:w="11910" w:h="16840"/>
          <w:pgMar w:top="1120" w:right="460" w:bottom="1060" w:left="800" w:header="0" w:footer="791" w:gutter="0"/>
          <w:pgNumType w:fmt="decimal"/>
          <w:cols w:space="720" w:num="1"/>
        </w:sectPr>
      </w:pPr>
    </w:p>
    <w:p>
      <w:pPr>
        <w:pStyle w:val="13"/>
        <w:numPr>
          <w:ilvl w:val="1"/>
          <w:numId w:val="6"/>
        </w:numPr>
        <w:tabs>
          <w:tab w:val="left" w:pos="1240"/>
        </w:tabs>
        <w:spacing w:before="50"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付款方式和发票开具方式</w:t>
      </w:r>
    </w:p>
    <w:p>
      <w:pPr>
        <w:pStyle w:val="13"/>
        <w:numPr>
          <w:ilvl w:val="2"/>
          <w:numId w:val="6"/>
        </w:numPr>
        <w:tabs>
          <w:tab w:val="left" w:pos="1456"/>
          <w:tab w:val="left" w:pos="723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付款方式</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6"/>
        </w:numPr>
        <w:tabs>
          <w:tab w:val="left" w:pos="1456"/>
          <w:tab w:val="left" w:pos="7191"/>
        </w:tabs>
        <w:spacing w:before="134"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发票开具方式</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1"/>
          <w:numId w:val="6"/>
        </w:numPr>
        <w:tabs>
          <w:tab w:val="left" w:pos="1240"/>
        </w:tabs>
        <w:spacing w:before="13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标的物交付期限、地点、方式和货物期限</w:t>
      </w:r>
    </w:p>
    <w:p>
      <w:pPr>
        <w:pStyle w:val="13"/>
        <w:numPr>
          <w:ilvl w:val="2"/>
          <w:numId w:val="6"/>
        </w:numPr>
        <w:tabs>
          <w:tab w:val="left" w:pos="1456"/>
          <w:tab w:val="left" w:pos="729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交付期限：</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6"/>
        </w:numPr>
        <w:tabs>
          <w:tab w:val="left" w:pos="1456"/>
          <w:tab w:val="left" w:pos="7299"/>
        </w:tabs>
        <w:spacing w:before="134"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交付地点：</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6"/>
        </w:numPr>
        <w:tabs>
          <w:tab w:val="left" w:pos="1456"/>
          <w:tab w:val="left" w:pos="729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交付方式：</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6"/>
        </w:numPr>
        <w:tabs>
          <w:tab w:val="left" w:pos="1456"/>
          <w:tab w:val="left" w:pos="7887"/>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货物及质保期限</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1"/>
          <w:numId w:val="6"/>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违约责任</w:t>
      </w:r>
    </w:p>
    <w:p>
      <w:pPr>
        <w:pStyle w:val="13"/>
        <w:numPr>
          <w:ilvl w:val="2"/>
          <w:numId w:val="6"/>
        </w:numPr>
        <w:tabs>
          <w:tab w:val="left" w:pos="1456"/>
        </w:tabs>
        <w:spacing w:before="131" w:after="0" w:line="343" w:lineRule="auto"/>
        <w:ind w:left="332" w:leftChars="0"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除不可抗力外，</w:t>
      </w:r>
      <w:r>
        <w:rPr>
          <w:rFonts w:hint="eastAsia" w:ascii="宋体" w:hAnsi="宋体" w:eastAsia="宋体" w:cs="宋体"/>
          <w:color w:val="auto"/>
          <w:spacing w:val="-5"/>
          <w:sz w:val="24"/>
          <w:highlight w:val="none"/>
        </w:rPr>
        <w:t>如果乙方没有按照本合同约定的期限、地点和方式交付标的物</w:t>
      </w:r>
      <w:r>
        <w:rPr>
          <w:rFonts w:hint="eastAsia" w:ascii="宋体" w:hAnsi="宋体" w:eastAsia="宋体" w:cs="宋体"/>
          <w:color w:val="auto"/>
          <w:spacing w:val="-24"/>
          <w:sz w:val="24"/>
          <w:highlight w:val="none"/>
        </w:rPr>
        <w:t>，</w:t>
      </w:r>
      <w:r>
        <w:rPr>
          <w:rFonts w:hint="eastAsia" w:ascii="宋体" w:hAnsi="宋体" w:eastAsia="宋体" w:cs="宋体"/>
          <w:color w:val="auto"/>
          <w:spacing w:val="-5"/>
          <w:sz w:val="24"/>
          <w:highlight w:val="none"/>
        </w:rPr>
        <w:t>甲方可要求乙方支付违约金，违约金按每迟延交付标的物一日的应交付而未交付标的物价格 的</w:t>
      </w:r>
      <w:r>
        <w:rPr>
          <w:rFonts w:hint="eastAsia" w:ascii="宋体" w:hAnsi="宋体" w:eastAsia="宋体" w:cs="宋体"/>
          <w:color w:val="auto"/>
          <w:spacing w:val="-24"/>
          <w:sz w:val="24"/>
          <w:highlight w:val="none"/>
          <w:u w:val="single"/>
        </w:rPr>
        <w:t>万分之五</w:t>
      </w:r>
      <w:r>
        <w:rPr>
          <w:rFonts w:hint="eastAsia" w:ascii="宋体" w:hAnsi="宋体" w:eastAsia="宋体" w:cs="宋体"/>
          <w:color w:val="auto"/>
          <w:spacing w:val="-19"/>
          <w:sz w:val="24"/>
          <w:highlight w:val="none"/>
        </w:rPr>
        <w:t>(根</w:t>
      </w:r>
      <w:r>
        <w:rPr>
          <w:rFonts w:hint="eastAsia" w:ascii="宋体" w:hAnsi="宋体" w:eastAsia="宋体" w:cs="宋体"/>
          <w:color w:val="auto"/>
          <w:spacing w:val="-5"/>
          <w:sz w:val="24"/>
          <w:highlight w:val="none"/>
        </w:rPr>
        <w:t>据项目实际填写)计算，最高限额为本合同</w:t>
      </w:r>
      <w:r>
        <w:rPr>
          <w:rFonts w:hint="eastAsia" w:ascii="宋体" w:hAnsi="宋体" w:eastAsia="宋体" w:cs="宋体"/>
          <w:color w:val="auto"/>
          <w:spacing w:val="-25"/>
          <w:sz w:val="24"/>
          <w:highlight w:val="none"/>
        </w:rPr>
        <w:t>总价的</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5"/>
          <w:sz w:val="24"/>
          <w:highlight w:val="none"/>
          <w:u w:val="single"/>
        </w:rPr>
        <w:t>20</w:t>
      </w:r>
      <w:r>
        <w:rPr>
          <w:rFonts w:hint="eastAsia" w:ascii="宋体" w:hAnsi="宋体" w:eastAsia="宋体" w:cs="宋体"/>
          <w:color w:val="auto"/>
          <w:spacing w:val="-24"/>
          <w:sz w:val="24"/>
          <w:highlight w:val="none"/>
        </w:rPr>
        <w:t xml:space="preserve"> % (</w:t>
      </w:r>
      <w:r>
        <w:rPr>
          <w:rFonts w:hint="eastAsia" w:ascii="宋体" w:hAnsi="宋体" w:eastAsia="宋体" w:cs="宋体"/>
          <w:color w:val="auto"/>
          <w:spacing w:val="-5"/>
          <w:sz w:val="24"/>
          <w:highlight w:val="none"/>
        </w:rPr>
        <w:t>根据项目实际填写) ；迟延超过【 】日的</w:t>
      </w:r>
      <w:r>
        <w:rPr>
          <w:rFonts w:hint="eastAsia" w:ascii="宋体" w:hAnsi="宋体" w:eastAsia="宋体" w:cs="宋体"/>
          <w:color w:val="auto"/>
          <w:spacing w:val="-24"/>
          <w:sz w:val="24"/>
          <w:highlight w:val="none"/>
        </w:rPr>
        <w:t>，</w:t>
      </w:r>
      <w:r>
        <w:rPr>
          <w:rFonts w:hint="eastAsia" w:ascii="宋体" w:hAnsi="宋体" w:eastAsia="宋体" w:cs="宋体"/>
          <w:color w:val="auto"/>
          <w:spacing w:val="-5"/>
          <w:sz w:val="24"/>
          <w:highlight w:val="none"/>
        </w:rPr>
        <w:t>甲方有权在要求乙方支付违约金的同时，书面通知乙方解除本合同</w:t>
      </w:r>
      <w:r>
        <w:rPr>
          <w:rFonts w:hint="eastAsia" w:ascii="宋体" w:hAnsi="宋体" w:eastAsia="宋体" w:cs="宋体"/>
          <w:color w:val="auto"/>
          <w:spacing w:val="-29"/>
          <w:sz w:val="24"/>
          <w:highlight w:val="none"/>
        </w:rPr>
        <w:t>，</w:t>
      </w:r>
      <w:r>
        <w:rPr>
          <w:rFonts w:hint="eastAsia" w:ascii="宋体" w:hAnsi="宋体" w:eastAsia="宋体" w:cs="宋体"/>
          <w:color w:val="auto"/>
          <w:spacing w:val="-5"/>
          <w:sz w:val="24"/>
          <w:highlight w:val="none"/>
        </w:rPr>
        <w:t>乙方应退回全部已收取的合同价款并</w:t>
      </w:r>
      <w:r>
        <w:rPr>
          <w:rFonts w:hint="eastAsia" w:ascii="宋体" w:hAnsi="宋体" w:eastAsia="宋体" w:cs="宋体"/>
          <w:color w:val="auto"/>
          <w:spacing w:val="-29"/>
          <w:sz w:val="24"/>
          <w:highlight w:val="none"/>
        </w:rPr>
        <w:t>按</w:t>
      </w:r>
      <w:r>
        <w:rPr>
          <w:rFonts w:hint="eastAsia" w:ascii="宋体" w:hAnsi="宋体" w:eastAsia="宋体" w:cs="宋体"/>
          <w:color w:val="auto"/>
          <w:spacing w:val="-5"/>
          <w:sz w:val="24"/>
          <w:highlight w:val="none"/>
        </w:rPr>
        <w:t>合同总金额的20% (根据项目实际填写) 向甲方支付违约金</w:t>
      </w:r>
      <w:r>
        <w:rPr>
          <w:rFonts w:hint="eastAsia" w:ascii="宋体" w:hAnsi="宋体" w:eastAsia="宋体" w:cs="宋体"/>
          <w:color w:val="auto"/>
          <w:spacing w:val="-23"/>
          <w:sz w:val="24"/>
          <w:highlight w:val="none"/>
        </w:rPr>
        <w:t>；</w:t>
      </w:r>
    </w:p>
    <w:p>
      <w:pPr>
        <w:pStyle w:val="13"/>
        <w:numPr>
          <w:ilvl w:val="2"/>
          <w:numId w:val="6"/>
        </w:numPr>
        <w:tabs>
          <w:tab w:val="left" w:pos="1456"/>
        </w:tabs>
        <w:spacing w:before="3" w:after="0" w:line="343" w:lineRule="auto"/>
        <w:ind w:left="332" w:leftChars="0" w:right="687" w:firstLine="48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除不可抗力外，如果甲方没有按照本合同约定的付款方式付款，乙方可要求甲方支付违约金，违约金按每迟延付款一日的应付而未付款的万分之五 (根据项目实际填写)计算，最高限额为欠付金额的 20 %</w:t>
      </w:r>
      <w:r>
        <w:rPr>
          <w:rFonts w:hint="eastAsia" w:ascii="宋体" w:hAnsi="宋体" w:eastAsia="宋体" w:cs="宋体"/>
          <w:color w:val="auto"/>
          <w:spacing w:val="-24"/>
          <w:sz w:val="24"/>
          <w:highlight w:val="none"/>
        </w:rPr>
        <w:t xml:space="preserve"> </w:t>
      </w:r>
      <w:r>
        <w:rPr>
          <w:rFonts w:hint="eastAsia" w:ascii="宋体" w:hAnsi="宋体" w:eastAsia="宋体" w:cs="宋体"/>
          <w:color w:val="auto"/>
          <w:spacing w:val="-5"/>
          <w:sz w:val="24"/>
          <w:highlight w:val="none"/>
        </w:rPr>
        <w:t>(根据项目实际填写) ；迟延付款的违约金计算数额达到前述最高限额之日起，乙方有权在要求甲方支付违约金的同时，书面通知甲方解除本合同；</w:t>
      </w:r>
    </w:p>
    <w:p>
      <w:pPr>
        <w:pStyle w:val="13"/>
        <w:numPr>
          <w:ilvl w:val="2"/>
          <w:numId w:val="6"/>
        </w:numPr>
        <w:tabs>
          <w:tab w:val="left" w:pos="1456"/>
        </w:tabs>
        <w:spacing w:before="0" w:after="0" w:line="343" w:lineRule="auto"/>
        <w:ind w:left="332" w:right="641" w:firstLine="487"/>
        <w:jc w:val="both"/>
        <w:rPr>
          <w:rFonts w:hint="eastAsia" w:ascii="宋体" w:hAnsi="宋体" w:eastAsia="宋体" w:cs="宋体"/>
          <w:color w:val="auto"/>
          <w:spacing w:val="-5"/>
          <w:sz w:val="24"/>
          <w:highlight w:val="none"/>
        </w:rPr>
      </w:pPr>
      <w:r>
        <w:rPr>
          <w:rFonts w:hint="eastAsia" w:ascii="宋体" w:hAnsi="宋体" w:eastAsia="宋体" w:cs="宋体"/>
          <w:color w:val="auto"/>
          <w:spacing w:val="-5"/>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 相的方法来影响对方当事人在合同签订、履行过程中的行为) 的，对方当事人可以书面通知违约方解除本合同；</w:t>
      </w:r>
    </w:p>
    <w:p>
      <w:pPr>
        <w:pStyle w:val="13"/>
        <w:numPr>
          <w:ilvl w:val="2"/>
          <w:numId w:val="6"/>
        </w:numPr>
        <w:tabs>
          <w:tab w:val="left" w:pos="1492"/>
        </w:tabs>
        <w:spacing w:before="2" w:after="0" w:line="343" w:lineRule="auto"/>
        <w:ind w:left="332" w:right="669" w:firstLine="523"/>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乙方在质保期内未按承诺提供售后等货物的，每发生一次向甲方支付    (根据项目实际填写)元的违约</w:t>
      </w:r>
      <w:r>
        <w:rPr>
          <w:rFonts w:hint="eastAsia" w:ascii="宋体" w:hAnsi="宋体" w:eastAsia="宋体" w:cs="宋体"/>
          <w:color w:val="auto"/>
          <w:spacing w:val="-22"/>
          <w:sz w:val="24"/>
          <w:highlight w:val="none"/>
        </w:rPr>
        <w:t>金。</w:t>
      </w:r>
    </w:p>
    <w:p>
      <w:pPr>
        <w:pStyle w:val="13"/>
        <w:numPr>
          <w:ilvl w:val="2"/>
          <w:numId w:val="6"/>
        </w:numPr>
        <w:tabs>
          <w:tab w:val="left" w:pos="1456"/>
        </w:tabs>
        <w:spacing w:before="0" w:after="0" w:line="343" w:lineRule="auto"/>
        <w:ind w:left="332" w:right="641" w:firstLine="487"/>
        <w:jc w:val="left"/>
        <w:rPr>
          <w:rFonts w:hint="eastAsia" w:ascii="宋体" w:hAnsi="宋体" w:eastAsia="宋体" w:cs="宋体"/>
          <w:color w:val="auto"/>
          <w:spacing w:val="-5"/>
          <w:sz w:val="24"/>
          <w:highlight w:val="none"/>
        </w:rPr>
      </w:pPr>
      <w:r>
        <w:rPr>
          <w:rFonts w:hint="eastAsia" w:ascii="宋体" w:hAnsi="宋体" w:eastAsia="宋体" w:cs="宋体"/>
          <w:color w:val="auto"/>
          <w:spacing w:val="-5"/>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w:t>
      </w:r>
      <w:r>
        <w:rPr>
          <w:rFonts w:hint="eastAsia" w:ascii="宋体" w:hAnsi="宋体" w:eastAsia="宋体" w:cs="宋体"/>
          <w:color w:val="auto"/>
          <w:spacing w:val="-31"/>
          <w:sz w:val="24"/>
          <w:highlight w:val="none"/>
        </w:rPr>
        <w:t>约</w:t>
      </w:r>
      <w:r>
        <w:rPr>
          <w:rFonts w:hint="eastAsia" w:ascii="宋体" w:hAnsi="宋体" w:eastAsia="宋体" w:cs="宋体"/>
          <w:color w:val="auto"/>
          <w:spacing w:val="-5"/>
          <w:sz w:val="24"/>
          <w:highlight w:val="none"/>
        </w:rPr>
        <w:t>金和按照己方实际损失情况要求违约方赔偿损失；且守约方行使的任何权利救济方式均不视为其放弃了其他法定或者约定的权利救济方式；</w:t>
      </w:r>
    </w:p>
    <w:p>
      <w:pPr>
        <w:pStyle w:val="13"/>
        <w:numPr>
          <w:ilvl w:val="2"/>
          <w:numId w:val="6"/>
        </w:numPr>
        <w:tabs>
          <w:tab w:val="left" w:pos="1456"/>
        </w:tabs>
        <w:spacing w:before="2"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除前述约定外，除不可抗力外，任何一方未能履行本合同约定的义务，对方当事 人均有权要求继续履行、采取补救措施或者赔偿损失等，且对方当事人行使的任何权利救济方式均不视为其放弃了其他法定或者约定的权利救济方式</w:t>
      </w:r>
      <w:r>
        <w:rPr>
          <w:rFonts w:hint="eastAsia" w:ascii="宋体" w:hAnsi="宋体" w:eastAsia="宋体" w:cs="宋体"/>
          <w:color w:val="auto"/>
          <w:spacing w:val="-23"/>
          <w:sz w:val="24"/>
          <w:highlight w:val="none"/>
        </w:rPr>
        <w:t>；</w:t>
      </w:r>
    </w:p>
    <w:p>
      <w:pPr>
        <w:spacing w:after="0" w:line="343" w:lineRule="auto"/>
        <w:jc w:val="both"/>
        <w:rPr>
          <w:rFonts w:hint="eastAsia" w:ascii="宋体" w:hAnsi="宋体" w:eastAsia="宋体" w:cs="宋体"/>
          <w:color w:val="auto"/>
          <w:sz w:val="24"/>
          <w:highlight w:val="none"/>
        </w:rPr>
        <w:sectPr>
          <w:footerReference r:id="rId9" w:type="default"/>
          <w:pgSz w:w="11910" w:h="16840"/>
          <w:pgMar w:top="1200" w:right="460" w:bottom="1060" w:left="800" w:header="0" w:footer="871" w:gutter="0"/>
          <w:pgNumType w:fmt="decimal"/>
          <w:cols w:space="720" w:num="1"/>
        </w:sectPr>
      </w:pPr>
    </w:p>
    <w:p>
      <w:pPr>
        <w:pStyle w:val="13"/>
        <w:numPr>
          <w:ilvl w:val="2"/>
          <w:numId w:val="6"/>
        </w:numPr>
        <w:tabs>
          <w:tab w:val="left" w:pos="1456"/>
        </w:tabs>
        <w:spacing w:before="50"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如果出现政府采购监督管理部门在处理投诉事项期间，书面通知甲方暂停采购活动的情形</w:t>
      </w:r>
    </w:p>
    <w:p>
      <w:pPr>
        <w:pStyle w:val="7"/>
        <w:spacing w:before="132"/>
        <w:ind w:left="332"/>
        <w:rPr>
          <w:rFonts w:hint="eastAsia" w:ascii="宋体" w:hAnsi="宋体" w:eastAsia="宋体" w:cs="宋体"/>
          <w:color w:val="auto"/>
          <w:spacing w:val="-5"/>
          <w:sz w:val="24"/>
          <w:szCs w:val="22"/>
          <w:highlight w:val="none"/>
          <w:lang w:val="zh-CN" w:eastAsia="zh-CN" w:bidi="zh-CN"/>
        </w:rPr>
      </w:pPr>
      <w:r>
        <w:rPr>
          <w:rFonts w:hint="eastAsia" w:ascii="宋体" w:hAnsi="宋体" w:eastAsia="宋体" w:cs="宋体"/>
          <w:color w:val="auto"/>
          <w:spacing w:val="-5"/>
          <w:sz w:val="24"/>
          <w:szCs w:val="22"/>
          <w:highlight w:val="none"/>
          <w:lang w:val="zh-CN" w:eastAsia="zh-CN" w:bidi="zh-CN"/>
        </w:rPr>
        <w:t>，或者询问或质疑事项可能影响中标结果的，导致甲方中止履行合同的情形，均不视为甲方违约。</w:t>
      </w:r>
    </w:p>
    <w:p>
      <w:pPr>
        <w:pStyle w:val="13"/>
        <w:numPr>
          <w:ilvl w:val="1"/>
          <w:numId w:val="6"/>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21"/>
          <w:sz w:val="24"/>
          <w:highlight w:val="none"/>
        </w:rPr>
        <w:t>合同争议的解决</w:t>
      </w:r>
    </w:p>
    <w:p>
      <w:pPr>
        <w:pStyle w:val="7"/>
        <w:tabs>
          <w:tab w:val="left" w:pos="5996"/>
        </w:tabs>
        <w:spacing w:before="131" w:line="343" w:lineRule="auto"/>
        <w:ind w:left="332" w:right="729" w:firstLine="487"/>
        <w:rPr>
          <w:rFonts w:hint="eastAsia" w:ascii="宋体" w:hAnsi="宋体" w:eastAsia="宋体" w:cs="宋体"/>
          <w:color w:val="auto"/>
          <w:highlight w:val="none"/>
        </w:rPr>
      </w:pPr>
      <w:r>
        <w:rPr>
          <w:rFonts w:hint="eastAsia" w:ascii="宋体" w:hAnsi="宋体" w:eastAsia="宋体" w:cs="宋体"/>
          <w:color w:val="auto"/>
          <w:spacing w:val="-5"/>
          <w:sz w:val="24"/>
          <w:szCs w:val="22"/>
          <w:highlight w:val="none"/>
          <w:lang w:val="zh-CN" w:eastAsia="zh-CN" w:bidi="zh-CN"/>
        </w:rPr>
        <w:t>本合同履行过程中发生的任何争议，双方当事人均应通过友好协商的方式和解或者调解解决</w:t>
      </w:r>
      <w:r>
        <w:rPr>
          <w:rFonts w:hint="eastAsia" w:ascii="宋体" w:hAnsi="宋体" w:eastAsia="宋体" w:cs="宋体"/>
          <w:color w:val="auto"/>
          <w:spacing w:val="-24"/>
          <w:highlight w:val="none"/>
        </w:rPr>
        <w:t>；</w:t>
      </w:r>
      <w:r>
        <w:rPr>
          <w:rFonts w:hint="eastAsia" w:ascii="宋体" w:hAnsi="宋体" w:eastAsia="宋体" w:cs="宋体"/>
          <w:color w:val="auto"/>
          <w:spacing w:val="-5"/>
          <w:sz w:val="24"/>
          <w:szCs w:val="22"/>
          <w:highlight w:val="none"/>
          <w:lang w:val="zh-CN" w:eastAsia="zh-CN" w:bidi="zh-CN"/>
        </w:rPr>
        <w:t>不愿和解、调解或者和解、调解不成的，可以选择下列第</w:t>
      </w:r>
      <w:r>
        <w:rPr>
          <w:rFonts w:hint="eastAsia" w:ascii="宋体" w:hAnsi="宋体" w:eastAsia="宋体" w:cs="宋体"/>
          <w:color w:val="auto"/>
          <w:spacing w:val="-25"/>
          <w:highlight w:val="none"/>
          <w:u w:val="single"/>
        </w:rPr>
        <w:t xml:space="preserve"> </w:t>
      </w:r>
      <w:r>
        <w:rPr>
          <w:rFonts w:hint="eastAsia" w:ascii="宋体" w:hAnsi="宋体" w:eastAsia="宋体" w:cs="宋体"/>
          <w:color w:val="auto"/>
          <w:spacing w:val="-25"/>
          <w:highlight w:val="none"/>
          <w:u w:val="single"/>
        </w:rPr>
        <w:tab/>
      </w:r>
      <w:r>
        <w:rPr>
          <w:rFonts w:hint="eastAsia" w:ascii="宋体" w:hAnsi="宋体" w:eastAsia="宋体" w:cs="宋体"/>
          <w:color w:val="auto"/>
          <w:spacing w:val="-25"/>
          <w:highlight w:val="none"/>
          <w:u w:val="single"/>
          <w:lang w:val="en-US" w:eastAsia="zh-CN"/>
        </w:rPr>
        <w:t xml:space="preserve">       </w:t>
      </w:r>
      <w:r>
        <w:rPr>
          <w:rFonts w:hint="eastAsia" w:ascii="宋体" w:hAnsi="宋体" w:eastAsia="宋体" w:cs="宋体"/>
          <w:color w:val="auto"/>
          <w:spacing w:val="-24"/>
          <w:highlight w:val="none"/>
        </w:rPr>
        <w:t>种方式解决</w:t>
      </w:r>
      <w:r>
        <w:rPr>
          <w:rFonts w:hint="eastAsia" w:ascii="宋体" w:hAnsi="宋体" w:eastAsia="宋体" w:cs="宋体"/>
          <w:color w:val="auto"/>
          <w:highlight w:val="none"/>
        </w:rPr>
        <w:t>：</w:t>
      </w:r>
    </w:p>
    <w:p>
      <w:pPr>
        <w:pStyle w:val="13"/>
        <w:numPr>
          <w:ilvl w:val="2"/>
          <w:numId w:val="6"/>
        </w:numPr>
        <w:tabs>
          <w:tab w:val="left" w:pos="1456"/>
        </w:tabs>
        <w:spacing w:before="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szCs w:val="22"/>
          <w:highlight w:val="none"/>
          <w:lang w:val="zh-CN" w:eastAsia="zh-CN" w:bidi="zh-CN"/>
        </w:rPr>
        <w:t>将争议提交当地仲裁委员会依申请仲裁时其现行有效的仲裁规则裁决</w:t>
      </w:r>
      <w:r>
        <w:rPr>
          <w:rFonts w:hint="eastAsia" w:ascii="宋体" w:hAnsi="宋体" w:eastAsia="宋体" w:cs="宋体"/>
          <w:color w:val="auto"/>
          <w:spacing w:val="-24"/>
          <w:sz w:val="24"/>
          <w:highlight w:val="none"/>
        </w:rPr>
        <w:t>；</w:t>
      </w:r>
    </w:p>
    <w:p>
      <w:pPr>
        <w:pStyle w:val="13"/>
        <w:numPr>
          <w:ilvl w:val="2"/>
          <w:numId w:val="6"/>
        </w:numPr>
        <w:tabs>
          <w:tab w:val="left" w:pos="1456"/>
          <w:tab w:val="left" w:pos="3231"/>
        </w:tabs>
        <w:spacing w:before="131"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向</w:t>
      </w:r>
      <w:r>
        <w:rPr>
          <w:rFonts w:hint="eastAsia" w:ascii="宋体" w:hAnsi="宋体" w:eastAsia="宋体" w:cs="宋体"/>
          <w:color w:val="auto"/>
          <w:spacing w:val="-24"/>
          <w:sz w:val="24"/>
          <w:highlight w:val="none"/>
          <w:u w:val="single"/>
        </w:rPr>
        <w:t>甲方所在</w:t>
      </w:r>
      <w:r>
        <w:rPr>
          <w:rFonts w:hint="eastAsia" w:ascii="宋体" w:hAnsi="宋体" w:eastAsia="宋体" w:cs="宋体"/>
          <w:color w:val="auto"/>
          <w:sz w:val="24"/>
          <w:highlight w:val="none"/>
          <w:u w:val="single"/>
        </w:rPr>
        <w:t>地</w:t>
      </w:r>
      <w:r>
        <w:rPr>
          <w:rFonts w:hint="eastAsia" w:ascii="宋体" w:hAnsi="宋体" w:eastAsia="宋体" w:cs="宋体"/>
          <w:color w:val="auto"/>
          <w:sz w:val="24"/>
          <w:highlight w:val="none"/>
          <w:u w:val="single"/>
        </w:rPr>
        <w:tab/>
      </w:r>
      <w:r>
        <w:rPr>
          <w:rFonts w:hint="eastAsia" w:ascii="宋体" w:hAnsi="宋体" w:eastAsia="宋体" w:cs="宋体"/>
          <w:color w:val="auto"/>
          <w:sz w:val="24"/>
          <w:szCs w:val="24"/>
          <w:highlight w:val="none"/>
          <w:lang w:val="zh-CN" w:eastAsia="zh-CN" w:bidi="zh-CN"/>
        </w:rPr>
        <w:t>有管辖权的人民法院起诉</w:t>
      </w:r>
      <w:r>
        <w:rPr>
          <w:rFonts w:hint="eastAsia" w:ascii="宋体" w:hAnsi="宋体" w:eastAsia="宋体" w:cs="宋体"/>
          <w:color w:val="auto"/>
          <w:sz w:val="24"/>
          <w:highlight w:val="none"/>
        </w:rPr>
        <w:t>。</w:t>
      </w:r>
    </w:p>
    <w:p>
      <w:pPr>
        <w:pStyle w:val="13"/>
        <w:numPr>
          <w:ilvl w:val="1"/>
          <w:numId w:val="6"/>
        </w:numPr>
        <w:tabs>
          <w:tab w:val="left" w:pos="1240"/>
        </w:tabs>
        <w:spacing w:before="132"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合同生效</w:t>
      </w:r>
    </w:p>
    <w:p>
      <w:pPr>
        <w:pStyle w:val="7"/>
        <w:spacing w:before="134"/>
        <w:ind w:left="820"/>
        <w:rPr>
          <w:rFonts w:hint="eastAsia" w:ascii="宋体" w:hAnsi="宋体" w:eastAsia="宋体" w:cs="宋体"/>
          <w:color w:val="auto"/>
          <w:highlight w:val="none"/>
        </w:rPr>
      </w:pPr>
      <w:r>
        <w:rPr>
          <w:rFonts w:hint="eastAsia" w:ascii="宋体" w:hAnsi="宋体" w:eastAsia="宋体" w:cs="宋体"/>
          <w:color w:val="auto"/>
          <w:highlight w:val="none"/>
        </w:rPr>
        <w:t>本合同自双方当事人加盖有效电子公章时生效。</w:t>
      </w:r>
    </w:p>
    <w:p>
      <w:pPr>
        <w:pStyle w:val="7"/>
        <w:rPr>
          <w:rFonts w:hint="eastAsia" w:ascii="宋体" w:hAnsi="宋体" w:eastAsia="宋体" w:cs="宋体"/>
          <w:color w:val="auto"/>
          <w:highlight w:val="none"/>
        </w:rPr>
      </w:pPr>
    </w:p>
    <w:p>
      <w:pPr>
        <w:pStyle w:val="7"/>
        <w:spacing w:before="7"/>
        <w:rPr>
          <w:rFonts w:hint="eastAsia" w:ascii="宋体" w:hAnsi="宋体" w:eastAsia="宋体" w:cs="宋体"/>
          <w:color w:val="auto"/>
          <w:sz w:val="20"/>
          <w:highlight w:val="none"/>
        </w:rPr>
      </w:pPr>
    </w:p>
    <w:p>
      <w:pPr>
        <w:pStyle w:val="7"/>
        <w:tabs>
          <w:tab w:val="left" w:pos="4830"/>
        </w:tabs>
        <w:ind w:left="1024"/>
        <w:rPr>
          <w:rFonts w:hint="eastAsia" w:ascii="宋体" w:hAnsi="宋体" w:eastAsia="宋体" w:cs="宋体"/>
          <w:color w:val="auto"/>
          <w:highlight w:val="none"/>
        </w:rPr>
      </w:pPr>
      <w:r>
        <w:rPr>
          <w:rFonts w:hint="eastAsia" w:ascii="宋体" w:hAnsi="宋体" w:eastAsia="宋体" w:cs="宋体"/>
          <w:color w:val="auto"/>
          <w:spacing w:val="-24"/>
          <w:highlight w:val="none"/>
        </w:rPr>
        <w:t>甲方</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24"/>
          <w:highlight w:val="none"/>
        </w:rPr>
        <w:t>乙方</w:t>
      </w:r>
      <w:r>
        <w:rPr>
          <w:rFonts w:hint="eastAsia" w:ascii="宋体" w:hAnsi="宋体" w:eastAsia="宋体" w:cs="宋体"/>
          <w:color w:val="auto"/>
          <w:highlight w:val="none"/>
        </w:rPr>
        <w:t>：</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rPr>
        <w:tab/>
      </w:r>
      <w:r>
        <w:rPr>
          <w:rFonts w:hint="eastAsia" w:ascii="宋体" w:hAnsi="宋体" w:eastAsia="宋体" w:cs="宋体"/>
          <w:color w:val="auto"/>
          <w:highlight w:val="none"/>
        </w:rPr>
        <w:t>统一社会信用代码或身份证号码：</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住所：</w:t>
      </w:r>
      <w:r>
        <w:rPr>
          <w:rFonts w:hint="eastAsia" w:ascii="宋体" w:hAnsi="宋体" w:eastAsia="宋体" w:cs="宋体"/>
          <w:color w:val="auto"/>
          <w:highlight w:val="none"/>
        </w:rPr>
        <w:tab/>
      </w:r>
      <w:r>
        <w:rPr>
          <w:rFonts w:hint="eastAsia" w:ascii="宋体" w:hAnsi="宋体" w:eastAsia="宋体" w:cs="宋体"/>
          <w:color w:val="auto"/>
          <w:highlight w:val="none"/>
        </w:rPr>
        <w:t>住所：</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highlight w:val="none"/>
        </w:rPr>
        <w:tab/>
      </w:r>
      <w:r>
        <w:rPr>
          <w:rFonts w:hint="eastAsia" w:ascii="宋体" w:hAnsi="宋体" w:eastAsia="宋体" w:cs="宋体"/>
          <w:color w:val="auto"/>
          <w:highlight w:val="none"/>
        </w:rPr>
        <w:t>法定代表人</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授权代表(签字或盖章)：</w:t>
      </w:r>
      <w:r>
        <w:rPr>
          <w:rFonts w:hint="eastAsia" w:ascii="宋体" w:hAnsi="宋体" w:eastAsia="宋体" w:cs="宋体"/>
          <w:color w:val="auto"/>
          <w:highlight w:val="none"/>
        </w:rPr>
        <w:tab/>
      </w:r>
      <w:r>
        <w:rPr>
          <w:rFonts w:hint="eastAsia" w:ascii="宋体" w:hAnsi="宋体" w:eastAsia="宋体" w:cs="宋体"/>
          <w:color w:val="auto"/>
          <w:highlight w:val="none"/>
        </w:rPr>
        <w:t>或授权代表(签字或盖章) :</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rPr>
        <w:tab/>
      </w:r>
      <w:r>
        <w:rPr>
          <w:rFonts w:hint="eastAsia" w:ascii="宋体" w:hAnsi="宋体" w:eastAsia="宋体" w:cs="宋体"/>
          <w:color w:val="auto"/>
          <w:highlight w:val="none"/>
        </w:rPr>
        <w:t>联系人：</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约定送达地址：</w:t>
      </w:r>
      <w:r>
        <w:rPr>
          <w:rFonts w:hint="eastAsia" w:ascii="宋体" w:hAnsi="宋体" w:eastAsia="宋体" w:cs="宋体"/>
          <w:color w:val="auto"/>
          <w:highlight w:val="none"/>
        </w:rPr>
        <w:tab/>
      </w:r>
      <w:r>
        <w:rPr>
          <w:rFonts w:hint="eastAsia" w:ascii="宋体" w:hAnsi="宋体" w:eastAsia="宋体" w:cs="宋体"/>
          <w:color w:val="auto"/>
          <w:highlight w:val="none"/>
        </w:rPr>
        <w:t>约定送达地址：</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rPr>
        <w:tab/>
      </w:r>
      <w:r>
        <w:rPr>
          <w:rFonts w:hint="eastAsia" w:ascii="宋体" w:hAnsi="宋体" w:eastAsia="宋体" w:cs="宋体"/>
          <w:color w:val="auto"/>
          <w:highlight w:val="none"/>
        </w:rPr>
        <w:t>邮政编码：</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r>
        <w:rPr>
          <w:rFonts w:hint="eastAsia" w:ascii="宋体" w:hAnsi="宋体" w:eastAsia="宋体" w:cs="宋体"/>
          <w:color w:val="auto"/>
          <w:highlight w:val="none"/>
        </w:rPr>
        <w:t>电话:</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rPr>
        <w:tab/>
      </w:r>
      <w:r>
        <w:rPr>
          <w:rFonts w:hint="eastAsia" w:ascii="宋体" w:hAnsi="宋体" w:eastAsia="宋体" w:cs="宋体"/>
          <w:color w:val="auto"/>
          <w:highlight w:val="none"/>
        </w:rPr>
        <w:t>传真:</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电子邮箱：</w:t>
      </w:r>
      <w:r>
        <w:rPr>
          <w:rFonts w:hint="eastAsia" w:ascii="宋体" w:hAnsi="宋体" w:eastAsia="宋体" w:cs="宋体"/>
          <w:color w:val="auto"/>
          <w:highlight w:val="none"/>
        </w:rPr>
        <w:tab/>
      </w:r>
      <w:r>
        <w:rPr>
          <w:rFonts w:hint="eastAsia" w:ascii="宋体" w:hAnsi="宋体" w:eastAsia="宋体" w:cs="宋体"/>
          <w:color w:val="auto"/>
          <w:highlight w:val="none"/>
        </w:rPr>
        <w:t>电子邮箱：</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rPr>
        <w:tab/>
      </w:r>
      <w:r>
        <w:rPr>
          <w:rFonts w:hint="eastAsia" w:ascii="宋体" w:hAnsi="宋体" w:eastAsia="宋体" w:cs="宋体"/>
          <w:color w:val="auto"/>
          <w:highlight w:val="none"/>
        </w:rPr>
        <w:t>开户银行：</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rPr>
        <w:tab/>
      </w:r>
      <w:r>
        <w:rPr>
          <w:rFonts w:hint="eastAsia" w:ascii="宋体" w:hAnsi="宋体" w:eastAsia="宋体" w:cs="宋体"/>
          <w:color w:val="auto"/>
          <w:highlight w:val="none"/>
        </w:rPr>
        <w:t>开户名称：</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rPr>
        <w:tab/>
      </w:r>
      <w:r>
        <w:rPr>
          <w:rFonts w:hint="eastAsia" w:ascii="宋体" w:hAnsi="宋体" w:eastAsia="宋体" w:cs="宋体"/>
          <w:color w:val="auto"/>
          <w:highlight w:val="none"/>
        </w:rPr>
        <w:t>开户账号：</w:t>
      </w:r>
    </w:p>
    <w:p>
      <w:pPr>
        <w:spacing w:after="0"/>
        <w:rPr>
          <w:rFonts w:hint="eastAsia" w:ascii="宋体" w:hAnsi="宋体" w:eastAsia="宋体" w:cs="宋体"/>
          <w:color w:val="auto"/>
          <w:highlight w:val="none"/>
        </w:rPr>
        <w:sectPr>
          <w:pgSz w:w="11910" w:h="16840"/>
          <w:pgMar w:top="1200" w:right="460" w:bottom="1060" w:left="800" w:header="0" w:footer="871" w:gutter="0"/>
          <w:pgNumType w:fmt="decimal"/>
          <w:cols w:space="720" w:num="1"/>
        </w:sectPr>
      </w:pPr>
    </w:p>
    <w:p>
      <w:pPr>
        <w:pStyle w:val="7"/>
        <w:jc w:val="center"/>
        <w:rPr>
          <w:rFonts w:hint="eastAsia" w:ascii="宋体" w:hAnsi="宋体" w:eastAsia="宋体" w:cs="宋体"/>
          <w:color w:val="auto"/>
          <w:highlight w:val="none"/>
        </w:rPr>
      </w:pPr>
      <w:r>
        <w:rPr>
          <w:rFonts w:hint="eastAsia" w:ascii="宋体" w:hAnsi="宋体" w:eastAsia="宋体" w:cs="宋体"/>
          <w:b/>
          <w:color w:val="auto"/>
          <w:sz w:val="28"/>
          <w:highlight w:val="none"/>
        </w:rPr>
        <w:t>第二部分 合同一般条款</w:t>
      </w:r>
    </w:p>
    <w:p>
      <w:pPr>
        <w:pStyle w:val="13"/>
        <w:numPr>
          <w:ilvl w:val="1"/>
          <w:numId w:val="7"/>
        </w:numPr>
        <w:tabs>
          <w:tab w:val="left" w:pos="1240"/>
        </w:tabs>
        <w:spacing w:before="19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定义</w:t>
      </w:r>
    </w:p>
    <w:p>
      <w:pPr>
        <w:spacing w:before="32"/>
        <w:ind w:right="0" w:firstLine="88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pPr>
        <w:pStyle w:val="13"/>
        <w:numPr>
          <w:ilvl w:val="2"/>
          <w:numId w:val="7"/>
        </w:numPr>
        <w:tabs>
          <w:tab w:val="left" w:pos="1456"/>
        </w:tabs>
        <w:spacing w:before="132" w:after="0" w:line="345" w:lineRule="auto"/>
        <w:ind w:left="332" w:right="7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合同”系指采购人和中标人签订的载明双方当事人所达成的协议，并包括所有的附件、附录和构成合同的其他文件</w:t>
      </w:r>
      <w:r>
        <w:rPr>
          <w:rFonts w:hint="eastAsia" w:ascii="宋体" w:hAnsi="宋体" w:eastAsia="宋体" w:cs="宋体"/>
          <w:color w:val="auto"/>
          <w:spacing w:val="-23"/>
          <w:sz w:val="24"/>
          <w:highlight w:val="none"/>
        </w:rPr>
        <w:t>。</w:t>
      </w:r>
    </w:p>
    <w:p>
      <w:pPr>
        <w:pStyle w:val="13"/>
        <w:numPr>
          <w:ilvl w:val="2"/>
          <w:numId w:val="7"/>
        </w:numPr>
        <w:tabs>
          <w:tab w:val="left" w:pos="1456"/>
        </w:tabs>
        <w:spacing w:before="0" w:after="0" w:line="343" w:lineRule="auto"/>
        <w:ind w:left="332" w:right="7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合同价”系指根据合同约定，中标人在完全履行合同义务后，采购人应支付给中标人的价格</w:t>
      </w:r>
      <w:r>
        <w:rPr>
          <w:rFonts w:hint="eastAsia" w:ascii="宋体" w:hAnsi="宋体" w:eastAsia="宋体" w:cs="宋体"/>
          <w:color w:val="auto"/>
          <w:spacing w:val="-16"/>
          <w:sz w:val="24"/>
          <w:highlight w:val="none"/>
        </w:rPr>
        <w:t>。</w:t>
      </w:r>
    </w:p>
    <w:p>
      <w:pPr>
        <w:pStyle w:val="13"/>
        <w:numPr>
          <w:ilvl w:val="2"/>
          <w:numId w:val="7"/>
        </w:numPr>
        <w:tabs>
          <w:tab w:val="left" w:pos="1456"/>
        </w:tabs>
        <w:spacing w:before="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25"/>
          <w:sz w:val="24"/>
          <w:highlight w:val="none"/>
        </w:rPr>
        <w:t>“</w:t>
      </w:r>
      <w:r>
        <w:rPr>
          <w:rFonts w:hint="eastAsia" w:ascii="宋体" w:hAnsi="宋体" w:eastAsia="宋体" w:cs="宋体"/>
          <w:color w:val="auto"/>
          <w:sz w:val="24"/>
          <w:szCs w:val="24"/>
          <w:highlight w:val="none"/>
          <w:lang w:val="zh-CN" w:eastAsia="zh-CN" w:bidi="zh-CN"/>
        </w:rPr>
        <w:t>标的物”系指中标人根据合同约定应向采购人交付的一切各种形态和种类的货 物、货物和工程，包括但不限于原材料、燃料、设备、机械、仪表、备件、计算机软件、信息化系统、信息化维保、物业货物、产品等，并包括工具、手册等其他相关资料</w:t>
      </w:r>
      <w:r>
        <w:rPr>
          <w:rFonts w:hint="eastAsia" w:ascii="宋体" w:hAnsi="宋体" w:eastAsia="宋体" w:cs="宋体"/>
          <w:color w:val="auto"/>
          <w:spacing w:val="-24"/>
          <w:sz w:val="24"/>
          <w:highlight w:val="none"/>
        </w:rPr>
        <w:t>。</w:t>
      </w:r>
    </w:p>
    <w:p>
      <w:pPr>
        <w:pStyle w:val="13"/>
        <w:numPr>
          <w:ilvl w:val="2"/>
          <w:numId w:val="7"/>
        </w:numPr>
        <w:tabs>
          <w:tab w:val="left" w:pos="1456"/>
        </w:tabs>
        <w:spacing w:before="0"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甲方”系指与中标人签署合同的采购人；采购人委托采购机构代表其与乙方签订合同的</w:t>
      </w:r>
    </w:p>
    <w:p>
      <w:pPr>
        <w:pStyle w:val="13"/>
        <w:numPr>
          <w:ilvl w:val="2"/>
          <w:numId w:val="7"/>
        </w:numPr>
        <w:tabs>
          <w:tab w:val="left" w:pos="1456"/>
        </w:tabs>
        <w:spacing w:before="0" w:after="0" w:line="343" w:lineRule="auto"/>
        <w:ind w:left="332" w:right="641" w:firstLine="487"/>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，采购人的授权委托书作为合同附件</w:t>
      </w:r>
      <w:r>
        <w:rPr>
          <w:rFonts w:hint="eastAsia" w:ascii="宋体" w:hAnsi="宋体" w:eastAsia="宋体" w:cs="宋体"/>
          <w:color w:val="auto"/>
          <w:highlight w:val="none"/>
        </w:rPr>
        <w:t>。</w:t>
      </w:r>
    </w:p>
    <w:p>
      <w:pPr>
        <w:pStyle w:val="13"/>
        <w:numPr>
          <w:ilvl w:val="2"/>
          <w:numId w:val="7"/>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5"/>
          <w:sz w:val="24"/>
          <w:highlight w:val="none"/>
        </w:rPr>
        <w:t>“</w:t>
      </w:r>
      <w:r>
        <w:rPr>
          <w:rFonts w:hint="eastAsia" w:ascii="宋体" w:hAnsi="宋体" w:eastAsia="宋体" w:cs="宋体"/>
          <w:color w:val="auto"/>
          <w:sz w:val="24"/>
          <w:szCs w:val="24"/>
          <w:highlight w:val="none"/>
          <w:lang w:val="zh-CN" w:eastAsia="zh-CN" w:bidi="zh-CN"/>
        </w:rPr>
        <w:t>乙方”系指根据合同约定交付标的物的中标人；两个以上的自然人、法人或者 其他组织组成一个联合体，以一个供应商的身份共同参加政府采购的，联合体各方均应为乙方或者与乙方相同地位的合同当事人，并就合同约定的事项对甲方承担连带责任。</w:t>
      </w:r>
    </w:p>
    <w:p>
      <w:pPr>
        <w:pStyle w:val="13"/>
        <w:numPr>
          <w:ilvl w:val="2"/>
          <w:numId w:val="7"/>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“现场”系指合同约定标的物将要运至或者实施或者安装的地点。</w:t>
      </w:r>
    </w:p>
    <w:p>
      <w:pPr>
        <w:pStyle w:val="13"/>
        <w:numPr>
          <w:ilvl w:val="1"/>
          <w:numId w:val="7"/>
        </w:numPr>
        <w:tabs>
          <w:tab w:val="left" w:pos="1240"/>
        </w:tabs>
        <w:spacing w:before="134" w:after="0" w:line="240" w:lineRule="auto"/>
        <w:ind w:left="1240" w:right="0" w:hanging="420"/>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技术规范</w:t>
      </w:r>
    </w:p>
    <w:p>
      <w:pPr>
        <w:pStyle w:val="13"/>
        <w:numPr>
          <w:ilvl w:val="2"/>
          <w:numId w:val="7"/>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pStyle w:val="13"/>
        <w:numPr>
          <w:ilvl w:val="1"/>
          <w:numId w:val="7"/>
        </w:numPr>
        <w:tabs>
          <w:tab w:val="left" w:pos="1240"/>
        </w:tabs>
        <w:spacing w:before="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知识产权</w:t>
      </w:r>
    </w:p>
    <w:p>
      <w:pPr>
        <w:pStyle w:val="13"/>
        <w:numPr>
          <w:ilvl w:val="2"/>
          <w:numId w:val="7"/>
        </w:numPr>
        <w:tabs>
          <w:tab w:val="left" w:pos="1456"/>
        </w:tabs>
        <w:spacing w:before="132"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r>
        <w:rPr>
          <w:rFonts w:hint="eastAsia" w:ascii="宋体" w:hAnsi="宋体" w:eastAsia="宋体" w:cs="宋体"/>
          <w:color w:val="auto"/>
          <w:spacing w:val="-23"/>
          <w:sz w:val="24"/>
          <w:highlight w:val="none"/>
        </w:rPr>
        <w:t>；</w:t>
      </w:r>
    </w:p>
    <w:p>
      <w:pPr>
        <w:pStyle w:val="13"/>
        <w:numPr>
          <w:ilvl w:val="2"/>
          <w:numId w:val="7"/>
        </w:numPr>
        <w:tabs>
          <w:tab w:val="left" w:pos="1456"/>
        </w:tabs>
        <w:spacing w:before="0"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具有知识产权的计算机软件等标的物的知识产权归属，</w:t>
      </w:r>
      <w:r>
        <w:rPr>
          <w:rFonts w:hint="eastAsia" w:ascii="宋体" w:hAnsi="宋体" w:eastAsia="宋体" w:cs="宋体"/>
          <w:color w:val="auto"/>
          <w:spacing w:val="-24"/>
          <w:sz w:val="24"/>
          <w:highlight w:val="none"/>
        </w:rPr>
        <w:t>详见</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z w:val="24"/>
          <w:highlight w:val="none"/>
        </w:rPr>
        <w:t>。</w:t>
      </w:r>
    </w:p>
    <w:p>
      <w:pPr>
        <w:pStyle w:val="13"/>
        <w:numPr>
          <w:ilvl w:val="1"/>
          <w:numId w:val="7"/>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包装和装运</w:t>
      </w:r>
    </w:p>
    <w:p>
      <w:pPr>
        <w:pStyle w:val="13"/>
        <w:numPr>
          <w:ilvl w:val="2"/>
          <w:numId w:val="7"/>
        </w:numPr>
        <w:tabs>
          <w:tab w:val="left" w:pos="1456"/>
        </w:tabs>
        <w:spacing w:before="132" w:after="0" w:line="240" w:lineRule="auto"/>
        <w:ind w:left="1456" w:right="0" w:hanging="636"/>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4"/>
          <w:sz w:val="24"/>
          <w:highlight w:val="none"/>
        </w:rPr>
        <w:t>除</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24"/>
          <w:sz w:val="24"/>
          <w:highlight w:val="none"/>
        </w:rPr>
        <w:t>另</w:t>
      </w:r>
      <w:r>
        <w:rPr>
          <w:rFonts w:hint="eastAsia" w:ascii="宋体" w:hAnsi="宋体" w:eastAsia="宋体" w:cs="宋体"/>
          <w:color w:val="auto"/>
          <w:sz w:val="24"/>
          <w:szCs w:val="24"/>
          <w:highlight w:val="none"/>
          <w:lang w:val="zh-CN" w:eastAsia="zh-CN" w:bidi="zh-CN"/>
        </w:rPr>
        <w:t>有约定外,乙方交付的全部标的物,均应采用本行业通用的方式进行包装</w:t>
      </w:r>
    </w:p>
    <w:p>
      <w:pPr>
        <w:pStyle w:val="7"/>
        <w:spacing w:before="132" w:line="343" w:lineRule="auto"/>
        <w:ind w:left="332" w:right="641"/>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，没有通用方式的，应当采取足以保护标的物的包装方式，且该包装应符合国家有 关包装的法律、法规的规定。如有必要，包装应适用于远距离运输、 防潮、防震、防锈和防粗暴 装卸</w:t>
      </w:r>
      <w:r>
        <w:rPr>
          <w:rFonts w:hint="eastAsia" w:ascii="宋体" w:hAnsi="宋体" w:eastAsia="宋体" w:cs="宋体"/>
          <w:color w:val="auto"/>
          <w:spacing w:val="-32"/>
          <w:highlight w:val="none"/>
        </w:rPr>
        <w:t>，</w:t>
      </w:r>
      <w:r>
        <w:rPr>
          <w:rFonts w:hint="eastAsia" w:ascii="宋体" w:hAnsi="宋体" w:eastAsia="宋体" w:cs="宋体"/>
          <w:color w:val="auto"/>
          <w:sz w:val="24"/>
          <w:szCs w:val="24"/>
          <w:highlight w:val="none"/>
          <w:lang w:val="zh-CN" w:eastAsia="zh-CN" w:bidi="zh-CN"/>
        </w:rPr>
        <w:t>确保标的物安全无损地运抵现场。由于包装不善所引起的标的物锈蚀、损坏和损失等 一切风险均由乙方承担</w:t>
      </w:r>
      <w:r>
        <w:rPr>
          <w:rFonts w:hint="eastAsia" w:ascii="宋体" w:hAnsi="宋体" w:eastAsia="宋体" w:cs="宋体"/>
          <w:color w:val="auto"/>
          <w:spacing w:val="-25"/>
          <w:highlight w:val="none"/>
        </w:rPr>
        <w:t>。</w:t>
      </w:r>
    </w:p>
    <w:p>
      <w:pPr>
        <w:pStyle w:val="13"/>
        <w:numPr>
          <w:ilvl w:val="2"/>
          <w:numId w:val="7"/>
        </w:numPr>
        <w:tabs>
          <w:tab w:val="left" w:pos="1456"/>
        </w:tabs>
        <w:spacing w:before="1" w:after="0" w:line="240" w:lineRule="auto"/>
        <w:ind w:left="1456" w:right="0" w:hanging="636"/>
        <w:jc w:val="both"/>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装运标的物的要求和通知， 详见合同专用条款</w:t>
      </w:r>
      <w:r>
        <w:rPr>
          <w:rFonts w:hint="eastAsia" w:ascii="宋体" w:hAnsi="宋体" w:eastAsia="宋体" w:cs="宋体"/>
          <w:color w:val="auto"/>
          <w:spacing w:val="-23"/>
          <w:sz w:val="24"/>
          <w:highlight w:val="none"/>
        </w:rPr>
        <w:t>。</w:t>
      </w:r>
    </w:p>
    <w:p>
      <w:pPr>
        <w:pStyle w:val="13"/>
        <w:numPr>
          <w:ilvl w:val="2"/>
          <w:numId w:val="7"/>
        </w:numPr>
        <w:tabs>
          <w:tab w:val="left" w:pos="1456"/>
        </w:tabs>
        <w:spacing w:before="1" w:after="0" w:line="240" w:lineRule="auto"/>
        <w:ind w:left="1456" w:right="0" w:hanging="636"/>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履约检查和问题反馈</w:t>
      </w:r>
    </w:p>
    <w:p>
      <w:pPr>
        <w:pStyle w:val="13"/>
        <w:numPr>
          <w:ilvl w:val="2"/>
          <w:numId w:val="7"/>
        </w:numPr>
        <w:tabs>
          <w:tab w:val="left" w:pos="1456"/>
        </w:tabs>
        <w:spacing w:before="50"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甲方有权在其认为必要时，对乙方是否能够按照合同约定交付标的物进行履约检查，以确保乙方所交付的标的物能够依约满足甲方之项目需求，但不得因履约检查妨碍乙方的正常工作，乙方应予积极配合</w:t>
      </w:r>
      <w:r>
        <w:rPr>
          <w:rFonts w:hint="eastAsia" w:ascii="宋体" w:hAnsi="宋体" w:eastAsia="宋体" w:cs="宋体"/>
          <w:color w:val="auto"/>
          <w:spacing w:val="-20"/>
          <w:sz w:val="24"/>
          <w:highlight w:val="none"/>
        </w:rPr>
        <w:t>；</w:t>
      </w:r>
    </w:p>
    <w:p>
      <w:pPr>
        <w:pStyle w:val="13"/>
        <w:numPr>
          <w:ilvl w:val="2"/>
          <w:numId w:val="7"/>
        </w:numPr>
        <w:tabs>
          <w:tab w:val="left" w:pos="1456"/>
        </w:tabs>
        <w:spacing w:before="1" w:after="0" w:line="343" w:lineRule="auto"/>
        <w:ind w:left="332" w:right="645" w:firstLine="487"/>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5"/>
          <w:sz w:val="24"/>
          <w:highlight w:val="none"/>
        </w:rPr>
        <w:t>合</w:t>
      </w:r>
      <w:r>
        <w:rPr>
          <w:rFonts w:hint="eastAsia" w:ascii="宋体" w:hAnsi="宋体" w:eastAsia="宋体" w:cs="宋体"/>
          <w:color w:val="auto"/>
          <w:sz w:val="24"/>
          <w:szCs w:val="24"/>
          <w:highlight w:val="none"/>
          <w:lang w:val="zh-CN" w:eastAsia="zh-CN" w:bidi="zh-CN"/>
        </w:rPr>
        <w:t>同履行期间， 甲方有权将履行过程中出现的问题反馈给乙方，双方当事人应以书面形式约定需要完善和改进的内容。</w:t>
      </w:r>
    </w:p>
    <w:p>
      <w:pPr>
        <w:pStyle w:val="13"/>
        <w:numPr>
          <w:ilvl w:val="1"/>
          <w:numId w:val="7"/>
        </w:numPr>
        <w:tabs>
          <w:tab w:val="left" w:pos="1240"/>
        </w:tabs>
        <w:spacing w:before="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结算方式和付款条件</w:t>
      </w:r>
      <w:r>
        <w:rPr>
          <w:rFonts w:hint="eastAsia" w:ascii="宋体" w:hAnsi="宋体" w:eastAsia="宋体" w:cs="宋体"/>
          <w:color w:val="auto"/>
          <w:spacing w:val="-24"/>
          <w:sz w:val="24"/>
          <w:highlight w:val="none"/>
          <w:u w:val="single"/>
        </w:rPr>
        <w:t>详见合同专用条款</w:t>
      </w:r>
      <w:r>
        <w:rPr>
          <w:rFonts w:hint="eastAsia" w:ascii="宋体" w:hAnsi="宋体" w:eastAsia="宋体" w:cs="宋体"/>
          <w:color w:val="auto"/>
          <w:sz w:val="24"/>
          <w:highlight w:val="none"/>
        </w:rPr>
        <w:t>。</w:t>
      </w:r>
    </w:p>
    <w:p>
      <w:pPr>
        <w:pStyle w:val="13"/>
        <w:numPr>
          <w:ilvl w:val="1"/>
          <w:numId w:val="7"/>
        </w:numPr>
        <w:tabs>
          <w:tab w:val="left" w:pos="1240"/>
        </w:tabs>
        <w:spacing w:before="1" w:after="0" w:line="240" w:lineRule="auto"/>
        <w:ind w:left="1240" w:right="0" w:hanging="42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技术资料和保密义务</w:t>
      </w:r>
    </w:p>
    <w:p>
      <w:pPr>
        <w:pStyle w:val="13"/>
        <w:numPr>
          <w:ilvl w:val="1"/>
          <w:numId w:val="7"/>
        </w:numPr>
        <w:tabs>
          <w:tab w:val="left" w:pos="1240"/>
        </w:tabs>
        <w:spacing w:before="1" w:after="0" w:line="240" w:lineRule="auto"/>
        <w:ind w:left="1240" w:right="0" w:hanging="42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乙方有权依据合同约定和项目需要，向甲方了解有关情况，调阅有关资料等，甲方应予积极配合；</w:t>
      </w:r>
    </w:p>
    <w:p>
      <w:pPr>
        <w:pStyle w:val="13"/>
        <w:numPr>
          <w:ilvl w:val="2"/>
          <w:numId w:val="7"/>
        </w:numPr>
        <w:tabs>
          <w:tab w:val="left" w:pos="1456"/>
        </w:tabs>
        <w:spacing w:before="0" w:after="0" w:line="303" w:lineRule="exact"/>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乙方有义务妥善保管和保护由甲方提供的前款信息和资料等</w:t>
      </w:r>
      <w:r>
        <w:rPr>
          <w:rFonts w:hint="eastAsia" w:ascii="宋体" w:hAnsi="宋体" w:eastAsia="宋体" w:cs="宋体"/>
          <w:color w:val="auto"/>
          <w:spacing w:val="-24"/>
          <w:sz w:val="24"/>
          <w:highlight w:val="none"/>
        </w:rPr>
        <w:t>；</w:t>
      </w:r>
    </w:p>
    <w:p>
      <w:pPr>
        <w:pStyle w:val="13"/>
        <w:numPr>
          <w:ilvl w:val="2"/>
          <w:numId w:val="7"/>
        </w:numPr>
        <w:tabs>
          <w:tab w:val="left" w:pos="1456"/>
        </w:tabs>
        <w:spacing w:before="132"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r>
        <w:rPr>
          <w:rFonts w:hint="eastAsia" w:ascii="宋体" w:hAnsi="宋体" w:eastAsia="宋体" w:cs="宋体"/>
          <w:color w:val="auto"/>
          <w:spacing w:val="-23"/>
          <w:sz w:val="24"/>
          <w:highlight w:val="none"/>
        </w:rPr>
        <w:t>。</w:t>
      </w:r>
    </w:p>
    <w:p>
      <w:pPr>
        <w:pStyle w:val="13"/>
        <w:numPr>
          <w:ilvl w:val="1"/>
          <w:numId w:val="7"/>
        </w:numPr>
        <w:tabs>
          <w:tab w:val="left" w:pos="1240"/>
        </w:tabs>
        <w:spacing w:before="3"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质量保证</w:t>
      </w:r>
    </w:p>
    <w:p>
      <w:pPr>
        <w:pStyle w:val="13"/>
        <w:numPr>
          <w:ilvl w:val="2"/>
          <w:numId w:val="7"/>
        </w:numPr>
        <w:tabs>
          <w:tab w:val="left" w:pos="1456"/>
        </w:tabs>
        <w:spacing w:before="132" w:after="0" w:line="343" w:lineRule="auto"/>
        <w:ind w:left="332" w:right="7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乙方应建立和完善履行合同的内部质量保证体系，并提供相关内部规章制度给甲方，以便甲方进行监</w:t>
      </w:r>
      <w:r>
        <w:rPr>
          <w:rFonts w:hint="eastAsia" w:ascii="宋体" w:hAnsi="宋体" w:eastAsia="宋体" w:cs="宋体"/>
          <w:color w:val="auto"/>
          <w:spacing w:val="-22"/>
          <w:sz w:val="24"/>
          <w:highlight w:val="none"/>
        </w:rPr>
        <w:t>督检查；</w:t>
      </w:r>
    </w:p>
    <w:p>
      <w:pPr>
        <w:pStyle w:val="13"/>
        <w:numPr>
          <w:ilvl w:val="2"/>
          <w:numId w:val="7"/>
        </w:numPr>
        <w:tabs>
          <w:tab w:val="left" w:pos="1456"/>
        </w:tabs>
        <w:spacing w:before="1" w:after="0" w:line="343" w:lineRule="auto"/>
        <w:ind w:left="332" w:right="7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乙方应保证履行合同的人员数量和素质、软件和硬件设备的配置、场地、环境和设施等满足全面履行合同的要求，并应接受甲方的监督</w:t>
      </w:r>
      <w:r>
        <w:rPr>
          <w:rFonts w:hint="eastAsia" w:ascii="宋体" w:hAnsi="宋体" w:eastAsia="宋体" w:cs="宋体"/>
          <w:color w:val="auto"/>
          <w:spacing w:val="-23"/>
          <w:sz w:val="24"/>
          <w:highlight w:val="none"/>
        </w:rPr>
        <w:t>检查。</w:t>
      </w:r>
    </w:p>
    <w:p>
      <w:pPr>
        <w:pStyle w:val="13"/>
        <w:numPr>
          <w:ilvl w:val="2"/>
          <w:numId w:val="7"/>
        </w:numPr>
        <w:tabs>
          <w:tab w:val="left" w:pos="1456"/>
        </w:tabs>
        <w:spacing w:before="1" w:after="0" w:line="343" w:lineRule="auto"/>
        <w:ind w:left="332" w:right="741" w:firstLine="487"/>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乙方应确保项目技术人员的数量和水平与投标文件一致。未经甲方书面同意，乙方不得擅自更换投标文件中注明的项目经理和技术负责人。否则甲方有权放弃或终止合同，并没收履约保证金。</w:t>
      </w:r>
    </w:p>
    <w:p>
      <w:pPr>
        <w:pStyle w:val="13"/>
        <w:numPr>
          <w:ilvl w:val="2"/>
          <w:numId w:val="7"/>
        </w:numPr>
        <w:tabs>
          <w:tab w:val="left" w:pos="1456"/>
        </w:tabs>
        <w:spacing w:before="1" w:after="0" w:line="343" w:lineRule="auto"/>
        <w:ind w:left="332" w:right="741" w:firstLine="487"/>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因乙方原因造成甲方其他系统不能正常运行，酿成重大事故 (工作日系统中断一天以上)的，乙方应承担全部法律责任，并赔偿经济损失，赔偿金额为项目总价的 30% (根据项目实际情况填写，</w:t>
      </w:r>
      <w:r>
        <w:rPr>
          <w:rFonts w:hint="eastAsia" w:ascii="宋体" w:hAnsi="宋体" w:eastAsia="宋体" w:cs="宋体"/>
          <w:color w:val="auto"/>
          <w:highlight w:val="none"/>
        </w:rPr>
        <w:t>一般为 30%) 。</w:t>
      </w:r>
    </w:p>
    <w:p>
      <w:pPr>
        <w:pStyle w:val="13"/>
        <w:numPr>
          <w:ilvl w:val="2"/>
          <w:numId w:val="7"/>
        </w:numPr>
        <w:tabs>
          <w:tab w:val="left" w:pos="1456"/>
        </w:tabs>
        <w:spacing w:before="1" w:after="0" w:line="343" w:lineRule="auto"/>
        <w:ind w:left="332" w:right="741" w:firstLine="487"/>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标的物的风险负担标的物或者在途标的物或者交付给第一承运人后的标的物毁损、灭失的风险负担详见</w:t>
      </w:r>
      <w:r>
        <w:rPr>
          <w:rFonts w:hint="eastAsia" w:ascii="宋体" w:hAnsi="宋体" w:eastAsia="宋体" w:cs="宋体"/>
          <w:color w:val="auto"/>
          <w:spacing w:val="-20"/>
          <w:highlight w:val="none"/>
          <w:u w:val="single"/>
        </w:rPr>
        <w:t>合同专用条</w:t>
      </w:r>
      <w:r>
        <w:rPr>
          <w:rFonts w:hint="eastAsia" w:ascii="宋体" w:hAnsi="宋体" w:eastAsia="宋体" w:cs="宋体"/>
          <w:color w:val="auto"/>
          <w:highlight w:val="none"/>
          <w:u w:val="single"/>
        </w:rPr>
        <w:t>款</w:t>
      </w:r>
      <w:r>
        <w:rPr>
          <w:rFonts w:hint="eastAsia" w:ascii="宋体" w:hAnsi="宋体" w:eastAsia="宋体" w:cs="宋体"/>
          <w:color w:val="auto"/>
          <w:highlight w:val="none"/>
        </w:rPr>
        <w:t>。</w:t>
      </w:r>
    </w:p>
    <w:p>
      <w:pPr>
        <w:pStyle w:val="13"/>
        <w:numPr>
          <w:ilvl w:val="1"/>
          <w:numId w:val="7"/>
        </w:numPr>
        <w:tabs>
          <w:tab w:val="left" w:pos="1394"/>
        </w:tabs>
        <w:spacing w:before="149" w:after="0" w:line="240" w:lineRule="auto"/>
        <w:ind w:left="1393" w:right="0" w:hanging="589"/>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延迟交货</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交付</w:t>
      </w:r>
    </w:p>
    <w:p>
      <w:pPr>
        <w:pStyle w:val="7"/>
        <w:spacing w:before="151"/>
        <w:ind w:left="796"/>
        <w:rPr>
          <w:rFonts w:hint="eastAsia" w:ascii="宋体" w:hAnsi="宋体" w:eastAsia="宋体" w:cs="宋体"/>
          <w:color w:val="auto"/>
          <w:highlight w:val="none"/>
        </w:rPr>
      </w:pPr>
      <w:r>
        <w:rPr>
          <w:rFonts w:hint="eastAsia" w:ascii="宋体" w:hAnsi="宋体" w:eastAsia="宋体" w:cs="宋体"/>
          <w:color w:val="auto"/>
          <w:highlight w:val="none"/>
        </w:rPr>
        <w:t>在合同履行过程中，如果乙方遇到不能按时交付标的物的情况，应及时以书面形式将不能</w:t>
      </w:r>
    </w:p>
    <w:p>
      <w:pPr>
        <w:pStyle w:val="7"/>
        <w:spacing w:before="153" w:line="360" w:lineRule="auto"/>
        <w:ind w:left="332" w:right="687"/>
        <w:rPr>
          <w:rFonts w:hint="eastAsia" w:ascii="宋体" w:hAnsi="宋体" w:eastAsia="宋体" w:cs="宋体"/>
          <w:color w:val="auto"/>
          <w:spacing w:val="-8"/>
          <w:highlight w:val="none"/>
        </w:rPr>
      </w:pPr>
      <w:r>
        <w:rPr>
          <w:rFonts w:hint="eastAsia" w:ascii="宋体" w:hAnsi="宋体" w:eastAsia="宋体" w:cs="宋体"/>
          <w:color w:val="auto"/>
          <w:spacing w:val="-10"/>
          <w:highlight w:val="none"/>
        </w:rPr>
        <w:t xml:space="preserve">按时交付标的物的理由、预期延误时间通知甲方；甲方收到乙方通知后，认为其理由正当的， </w:t>
      </w:r>
      <w:r>
        <w:rPr>
          <w:rFonts w:hint="eastAsia" w:ascii="宋体" w:hAnsi="宋体" w:eastAsia="宋体" w:cs="宋体"/>
          <w:color w:val="auto"/>
          <w:spacing w:val="-8"/>
          <w:highlight w:val="none"/>
        </w:rPr>
        <w:t>可以书面形式酌情同意乙方可以延长交货的具体时间。</w:t>
      </w:r>
    </w:p>
    <w:p>
      <w:pPr>
        <w:rPr>
          <w:rFonts w:hint="eastAsia" w:ascii="宋体" w:hAnsi="宋体" w:eastAsia="宋体" w:cs="宋体"/>
          <w:color w:val="auto"/>
          <w:spacing w:val="-8"/>
          <w:highlight w:val="none"/>
        </w:rPr>
      </w:pPr>
    </w:p>
    <w:p>
      <w:pPr>
        <w:rPr>
          <w:rFonts w:hint="eastAsia" w:ascii="宋体" w:hAnsi="宋体" w:eastAsia="宋体" w:cs="宋体"/>
          <w:color w:val="auto"/>
          <w:spacing w:val="-8"/>
          <w:highlight w:val="none"/>
        </w:rPr>
      </w:pPr>
    </w:p>
    <w:p>
      <w:pPr>
        <w:rPr>
          <w:rFonts w:hint="eastAsia" w:ascii="宋体" w:hAnsi="宋体" w:eastAsia="宋体" w:cs="宋体"/>
          <w:color w:val="auto"/>
          <w:spacing w:val="-8"/>
          <w:highlight w:val="none"/>
        </w:rPr>
      </w:pPr>
    </w:p>
    <w:p>
      <w:pPr>
        <w:pStyle w:val="13"/>
        <w:numPr>
          <w:ilvl w:val="1"/>
          <w:numId w:val="7"/>
        </w:numPr>
        <w:tabs>
          <w:tab w:val="left" w:pos="1389"/>
        </w:tabs>
        <w:spacing w:before="0" w:after="0" w:line="304" w:lineRule="exact"/>
        <w:ind w:left="1388" w:right="0" w:hanging="589"/>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合同变更</w:t>
      </w:r>
    </w:p>
    <w:p>
      <w:pPr>
        <w:pStyle w:val="13"/>
        <w:numPr>
          <w:ilvl w:val="2"/>
          <w:numId w:val="7"/>
        </w:numPr>
        <w:tabs>
          <w:tab w:val="left" w:pos="1564"/>
        </w:tabs>
        <w:spacing w:before="5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hint="eastAsia" w:ascii="宋体" w:hAnsi="宋体" w:eastAsia="宋体" w:cs="宋体"/>
          <w:color w:val="auto"/>
          <w:spacing w:val="-25"/>
          <w:sz w:val="24"/>
          <w:highlight w:val="none"/>
        </w:rPr>
        <w:t xml:space="preserve"> </w:t>
      </w:r>
      <w:r>
        <w:rPr>
          <w:rFonts w:hint="eastAsia" w:ascii="宋体" w:hAnsi="宋体" w:eastAsia="宋体" w:cs="宋体"/>
          <w:color w:val="auto"/>
          <w:spacing w:val="-10"/>
          <w:sz w:val="24"/>
          <w:highlight w:val="none"/>
          <w:u w:val="single"/>
        </w:rPr>
        <w:t>10%</w:t>
      </w:r>
      <w:r>
        <w:rPr>
          <w:rFonts w:hint="eastAsia" w:ascii="宋体" w:hAnsi="宋体" w:eastAsia="宋体" w:cs="宋体"/>
          <w:color w:val="auto"/>
          <w:spacing w:val="-10"/>
          <w:sz w:val="24"/>
          <w:highlight w:val="none"/>
        </w:rPr>
        <w:t>；</w:t>
      </w:r>
    </w:p>
    <w:p>
      <w:pPr>
        <w:pStyle w:val="13"/>
        <w:numPr>
          <w:ilvl w:val="2"/>
          <w:numId w:val="7"/>
        </w:numPr>
        <w:tabs>
          <w:tab w:val="left" w:pos="1564"/>
        </w:tabs>
        <w:spacing w:before="1" w:after="0" w:line="343" w:lineRule="auto"/>
        <w:ind w:left="332" w:right="633"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合同继续履行将损害国家利益和社会公共利益的，双方当事人应当以书面形式变更合同。有过错的一方应当承担赔偿责任，双方当事人都有过错的，各自承担相应的责任。</w:t>
      </w:r>
    </w:p>
    <w:p>
      <w:pPr>
        <w:pStyle w:val="13"/>
        <w:numPr>
          <w:ilvl w:val="1"/>
          <w:numId w:val="7"/>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21"/>
          <w:sz w:val="24"/>
          <w:highlight w:val="none"/>
        </w:rPr>
        <w:t>合同转让和分包</w:t>
      </w:r>
    </w:p>
    <w:p>
      <w:pPr>
        <w:pStyle w:val="7"/>
        <w:spacing w:before="132" w:line="343" w:lineRule="auto"/>
        <w:ind w:left="332" w:right="641" w:firstLine="487"/>
        <w:rPr>
          <w:rFonts w:hint="eastAsia" w:ascii="宋体" w:hAnsi="宋体" w:eastAsia="宋体" w:cs="宋体"/>
          <w:color w:val="auto"/>
          <w:highlight w:val="none"/>
        </w:rPr>
      </w:pPr>
      <w:r>
        <w:rPr>
          <w:rFonts w:hint="eastAsia" w:ascii="宋体" w:hAnsi="宋体" w:eastAsia="宋体" w:cs="宋体"/>
          <w:color w:val="auto"/>
          <w:spacing w:val="-4"/>
          <w:sz w:val="24"/>
          <w:szCs w:val="22"/>
          <w:highlight w:val="none"/>
          <w:lang w:val="zh-CN" w:eastAsia="zh-CN" w:bidi="zh-CN"/>
        </w:rPr>
        <w:t>合同的权利义务依法不得转让，但经甲方书面同意，乙方可以依法采取分包方式履行合同，即： 依法可以将合同项下的部分非主体、非关键性工作分包给他人完成，接受分包的供应商应当具备相应的资格条件，并不得再次分包，且乙方应就分包项目向甲方负责，并与分包供应商就分包项目向甲方承担连带责任</w:t>
      </w:r>
      <w:r>
        <w:rPr>
          <w:rFonts w:hint="eastAsia" w:ascii="宋体" w:hAnsi="宋体" w:eastAsia="宋体" w:cs="宋体"/>
          <w:color w:val="auto"/>
          <w:spacing w:val="-20"/>
          <w:highlight w:val="none"/>
        </w:rPr>
        <w:t>。</w:t>
      </w:r>
    </w:p>
    <w:p>
      <w:pPr>
        <w:pStyle w:val="13"/>
        <w:numPr>
          <w:ilvl w:val="1"/>
          <w:numId w:val="7"/>
        </w:numPr>
        <w:tabs>
          <w:tab w:val="left" w:pos="1348"/>
        </w:tabs>
        <w:spacing w:before="0"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不可抗力</w:t>
      </w:r>
    </w:p>
    <w:p>
      <w:pPr>
        <w:pStyle w:val="13"/>
        <w:numPr>
          <w:ilvl w:val="2"/>
          <w:numId w:val="7"/>
        </w:numPr>
        <w:tabs>
          <w:tab w:val="left" w:pos="1564"/>
        </w:tabs>
        <w:spacing w:before="134" w:after="0" w:line="240" w:lineRule="auto"/>
        <w:ind w:left="1564" w:right="0" w:hanging="744"/>
        <w:jc w:val="left"/>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如果任何一方遭遇法律规定的不可抗力，致使合同履行受阻时，履行合同的期限应予延长</w:t>
      </w:r>
    </w:p>
    <w:p>
      <w:pPr>
        <w:pStyle w:val="7"/>
        <w:spacing w:before="132"/>
        <w:ind w:left="332"/>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，延长的期限应相当于不可抗力所影响的时间；</w:t>
      </w:r>
    </w:p>
    <w:p>
      <w:pPr>
        <w:pStyle w:val="13"/>
        <w:numPr>
          <w:ilvl w:val="2"/>
          <w:numId w:val="7"/>
        </w:numPr>
        <w:tabs>
          <w:tab w:val="left" w:pos="1564"/>
        </w:tabs>
        <w:spacing w:before="132" w:after="0" w:line="345"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受不可抗力影响的一方在不可抗力发生后</w:t>
      </w:r>
      <w:r>
        <w:rPr>
          <w:rFonts w:hint="eastAsia" w:ascii="宋体" w:hAnsi="宋体" w:eastAsia="宋体" w:cs="宋体"/>
          <w:color w:val="auto"/>
          <w:spacing w:val="-25"/>
          <w:sz w:val="24"/>
          <w:highlight w:val="none"/>
        </w:rPr>
        <w:t>，</w:t>
      </w:r>
      <w:r>
        <w:rPr>
          <w:rFonts w:hint="eastAsia" w:ascii="宋体" w:hAnsi="宋体" w:eastAsia="宋体" w:cs="宋体"/>
          <w:color w:val="auto"/>
          <w:spacing w:val="-4"/>
          <w:sz w:val="24"/>
          <w:szCs w:val="22"/>
          <w:highlight w:val="none"/>
          <w:lang w:val="zh-CN" w:eastAsia="zh-CN" w:bidi="zh-CN"/>
        </w:rPr>
        <w:t>应在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约定时间内以书面形式通知对方当事人，并在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约定时间内，将有关部门出具的证明文件送达对方当事人</w:t>
      </w:r>
      <w:r>
        <w:rPr>
          <w:rFonts w:hint="eastAsia" w:ascii="宋体" w:hAnsi="宋体" w:eastAsia="宋体" w:cs="宋体"/>
          <w:color w:val="auto"/>
          <w:spacing w:val="-24"/>
          <w:sz w:val="24"/>
          <w:highlight w:val="none"/>
        </w:rPr>
        <w:t>。</w:t>
      </w:r>
    </w:p>
    <w:p>
      <w:pPr>
        <w:pStyle w:val="13"/>
        <w:numPr>
          <w:ilvl w:val="2"/>
          <w:numId w:val="7"/>
        </w:numPr>
        <w:tabs>
          <w:tab w:val="left" w:pos="1564"/>
        </w:tabs>
        <w:spacing w:before="0" w:after="0" w:line="303" w:lineRule="exact"/>
        <w:ind w:left="1564" w:right="0" w:hanging="744"/>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因不可抗力致使不能实现合同目的的，当事人可以解除合同</w:t>
      </w:r>
      <w:r>
        <w:rPr>
          <w:rFonts w:hint="eastAsia" w:ascii="宋体" w:hAnsi="宋体" w:eastAsia="宋体" w:cs="宋体"/>
          <w:color w:val="auto"/>
          <w:spacing w:val="-24"/>
          <w:sz w:val="24"/>
          <w:highlight w:val="none"/>
        </w:rPr>
        <w:t>；</w:t>
      </w:r>
    </w:p>
    <w:p>
      <w:pPr>
        <w:pStyle w:val="13"/>
        <w:numPr>
          <w:ilvl w:val="2"/>
          <w:numId w:val="7"/>
        </w:numPr>
        <w:tabs>
          <w:tab w:val="left" w:pos="1564"/>
        </w:tabs>
        <w:spacing w:before="131" w:after="0" w:line="345" w:lineRule="auto"/>
        <w:ind w:left="820" w:right="90" w:rightChars="0" w:firstLine="0"/>
        <w:jc w:val="left"/>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因不可抗力致使合同有变更必要的，双方当事人应在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23"/>
          <w:sz w:val="24"/>
          <w:highlight w:val="none"/>
        </w:rPr>
        <w:t>约</w:t>
      </w:r>
      <w:r>
        <w:rPr>
          <w:rFonts w:hint="eastAsia" w:ascii="宋体" w:hAnsi="宋体" w:eastAsia="宋体" w:cs="宋体"/>
          <w:color w:val="auto"/>
          <w:spacing w:val="-4"/>
          <w:sz w:val="24"/>
          <w:szCs w:val="22"/>
          <w:highlight w:val="none"/>
          <w:lang w:val="zh-CN" w:eastAsia="zh-CN" w:bidi="zh-CN"/>
        </w:rPr>
        <w:t>定时间内以书面形式变更合同；</w:t>
      </w:r>
    </w:p>
    <w:p>
      <w:pPr>
        <w:pStyle w:val="13"/>
        <w:numPr>
          <w:ilvl w:val="1"/>
          <w:numId w:val="7"/>
        </w:numPr>
        <w:tabs>
          <w:tab w:val="left" w:pos="1348"/>
        </w:tabs>
        <w:spacing w:before="0" w:after="0" w:line="303" w:lineRule="exact"/>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税费</w:t>
      </w:r>
    </w:p>
    <w:p>
      <w:pPr>
        <w:pStyle w:val="7"/>
        <w:spacing w:before="132"/>
        <w:ind w:left="820"/>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与合同有关的一切税费，均按照中华人民共和国法律的相关规定执行。</w:t>
      </w:r>
    </w:p>
    <w:p>
      <w:pPr>
        <w:pStyle w:val="13"/>
        <w:numPr>
          <w:ilvl w:val="1"/>
          <w:numId w:val="7"/>
        </w:numPr>
        <w:tabs>
          <w:tab w:val="left" w:pos="1348"/>
        </w:tabs>
        <w:spacing w:before="134"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乙方破产</w:t>
      </w:r>
    </w:p>
    <w:p>
      <w:pPr>
        <w:pStyle w:val="7"/>
        <w:spacing w:before="132" w:line="343" w:lineRule="auto"/>
        <w:ind w:left="332" w:right="641" w:firstLine="487"/>
        <w:jc w:val="left"/>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 任何补偿和赔偿，但合同的终止不损害或不影响甲方已经采取或将要采取的任何要求乙方支</w:t>
      </w:r>
      <w:r>
        <w:rPr>
          <w:rFonts w:hint="eastAsia" w:ascii="宋体" w:hAnsi="宋体" w:eastAsia="宋体" w:cs="宋体"/>
          <w:color w:val="auto"/>
          <w:spacing w:val="-4"/>
          <w:sz w:val="24"/>
          <w:szCs w:val="22"/>
          <w:highlight w:val="none"/>
          <w:lang w:val="zh-CN" w:eastAsia="zh-CN" w:bidi="zh-CN"/>
        </w:rPr>
        <w:t>付违约金、赔偿损失等的行动或补救措施的权利</w:t>
      </w:r>
      <w:r>
        <w:rPr>
          <w:rFonts w:hint="eastAsia" w:ascii="宋体" w:hAnsi="宋体" w:eastAsia="宋体" w:cs="宋体"/>
          <w:color w:val="auto"/>
          <w:spacing w:val="-23"/>
          <w:highlight w:val="none"/>
        </w:rPr>
        <w:t>。</w:t>
      </w:r>
    </w:p>
    <w:p>
      <w:pPr>
        <w:pStyle w:val="13"/>
        <w:numPr>
          <w:ilvl w:val="1"/>
          <w:numId w:val="7"/>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22"/>
          <w:sz w:val="24"/>
          <w:highlight w:val="none"/>
        </w:rPr>
        <w:t>合同中止、 终止</w:t>
      </w:r>
    </w:p>
    <w:p>
      <w:pPr>
        <w:pStyle w:val="13"/>
        <w:numPr>
          <w:ilvl w:val="2"/>
          <w:numId w:val="7"/>
        </w:numPr>
        <w:tabs>
          <w:tab w:val="left" w:pos="1564"/>
        </w:tabs>
        <w:spacing w:before="131" w:after="0" w:line="240" w:lineRule="auto"/>
        <w:ind w:left="1564" w:right="0" w:hanging="744"/>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双方当事人不得擅自中止或者终止合同</w:t>
      </w:r>
      <w:r>
        <w:rPr>
          <w:rFonts w:hint="eastAsia" w:ascii="宋体" w:hAnsi="宋体" w:eastAsia="宋体" w:cs="宋体"/>
          <w:color w:val="auto"/>
          <w:spacing w:val="-23"/>
          <w:sz w:val="24"/>
          <w:highlight w:val="none"/>
        </w:rPr>
        <w:t>；</w:t>
      </w:r>
    </w:p>
    <w:p>
      <w:pPr>
        <w:pStyle w:val="13"/>
        <w:numPr>
          <w:ilvl w:val="2"/>
          <w:numId w:val="7"/>
        </w:numPr>
        <w:tabs>
          <w:tab w:val="left" w:pos="1564"/>
        </w:tabs>
        <w:spacing w:before="134"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合同继续履行将损害国家利益和社会公共利益的，双方当事人应当中止或者终止合同</w:t>
      </w:r>
      <w:r>
        <w:rPr>
          <w:rFonts w:hint="eastAsia" w:ascii="宋体" w:hAnsi="宋体" w:eastAsia="宋体" w:cs="宋体"/>
          <w:color w:val="auto"/>
          <w:spacing w:val="-26"/>
          <w:sz w:val="24"/>
          <w:highlight w:val="none"/>
        </w:rPr>
        <w:t>。</w:t>
      </w:r>
      <w:r>
        <w:rPr>
          <w:rFonts w:hint="eastAsia" w:ascii="宋体" w:hAnsi="宋体" w:eastAsia="宋体" w:cs="宋体"/>
          <w:color w:val="auto"/>
          <w:spacing w:val="-4"/>
          <w:sz w:val="24"/>
          <w:szCs w:val="22"/>
          <w:highlight w:val="none"/>
          <w:lang w:val="zh-CN" w:eastAsia="zh-CN" w:bidi="zh-CN"/>
        </w:rPr>
        <w:t>有过错的一方应当承担赔偿责任，双方当事人都有过错的，各自承担相应的责任</w:t>
      </w:r>
      <w:r>
        <w:rPr>
          <w:rFonts w:hint="eastAsia" w:ascii="宋体" w:hAnsi="宋体" w:eastAsia="宋体" w:cs="宋体"/>
          <w:color w:val="auto"/>
          <w:spacing w:val="-24"/>
          <w:sz w:val="24"/>
          <w:highlight w:val="none"/>
        </w:rPr>
        <w:t>。</w:t>
      </w:r>
    </w:p>
    <w:p>
      <w:pPr>
        <w:pStyle w:val="13"/>
        <w:numPr>
          <w:ilvl w:val="2"/>
          <w:numId w:val="7"/>
        </w:numPr>
        <w:tabs>
          <w:tab w:val="left" w:pos="1564"/>
        </w:tabs>
        <w:spacing w:before="134"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检验和验收</w:t>
      </w:r>
    </w:p>
    <w:p>
      <w:pPr>
        <w:pStyle w:val="13"/>
        <w:numPr>
          <w:ilvl w:val="2"/>
          <w:numId w:val="7"/>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标的物交付前，乙方应对标的物的质量、数量等方面进行详细、全面的检验，并向甲方出具证明标的物符合合同约定的文件；标的物交付时，乙方</w:t>
      </w:r>
      <w:r>
        <w:rPr>
          <w:rFonts w:hint="eastAsia" w:ascii="宋体" w:hAnsi="宋体" w:eastAsia="宋体" w:cs="宋体"/>
          <w:color w:val="auto"/>
          <w:spacing w:val="-27"/>
          <w:sz w:val="24"/>
          <w:highlight w:val="none"/>
        </w:rPr>
        <w:t>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约定时间内组织验收，并可依法邀请相关方参加，验收应出具验收书。</w:t>
      </w:r>
    </w:p>
    <w:p>
      <w:pPr>
        <w:pStyle w:val="13"/>
        <w:numPr>
          <w:ilvl w:val="2"/>
          <w:numId w:val="7"/>
        </w:numPr>
        <w:tabs>
          <w:tab w:val="left" w:pos="1564"/>
        </w:tabs>
        <w:spacing w:before="5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合同期满或者履行完毕后，甲方有权组织(包括依法邀请国家认可的质量检测机构参加) 对乙方履约的验收，即：按照合同约定的技术、货物、安全标准，组织对每一项技术、货物、安全标准的履约情况的验收，并出具验收书</w:t>
      </w:r>
      <w:r>
        <w:rPr>
          <w:rFonts w:hint="eastAsia" w:ascii="宋体" w:hAnsi="宋体" w:eastAsia="宋体" w:cs="宋体"/>
          <w:color w:val="auto"/>
          <w:spacing w:val="-23"/>
          <w:sz w:val="24"/>
          <w:highlight w:val="none"/>
        </w:rPr>
        <w:t>。</w:t>
      </w:r>
    </w:p>
    <w:p>
      <w:pPr>
        <w:pStyle w:val="13"/>
        <w:numPr>
          <w:ilvl w:val="2"/>
          <w:numId w:val="7"/>
        </w:numPr>
        <w:tabs>
          <w:tab w:val="left" w:pos="1564"/>
        </w:tabs>
        <w:spacing w:before="1" w:after="0" w:line="240" w:lineRule="auto"/>
        <w:ind w:left="1564" w:right="0" w:hanging="744"/>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检验和验收标准、程序等具体内容以及前述验收书的效力详见</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z w:val="24"/>
          <w:highlight w:val="none"/>
        </w:rPr>
        <w:t>。</w:t>
      </w:r>
    </w:p>
    <w:p>
      <w:pPr>
        <w:pStyle w:val="13"/>
        <w:numPr>
          <w:ilvl w:val="2"/>
          <w:numId w:val="7"/>
        </w:numPr>
        <w:tabs>
          <w:tab w:val="left" w:pos="1564"/>
        </w:tabs>
        <w:spacing w:before="1" w:after="0" w:line="240" w:lineRule="auto"/>
        <w:ind w:left="1564" w:right="0" w:hanging="744"/>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通知和送达</w:t>
      </w:r>
    </w:p>
    <w:p>
      <w:pPr>
        <w:pStyle w:val="13"/>
        <w:numPr>
          <w:ilvl w:val="2"/>
          <w:numId w:val="7"/>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任何一方因履行合同而以合同第一部分尾部所列明的</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约定送达地址”</w:t>
      </w:r>
      <w:r>
        <w:rPr>
          <w:rFonts w:hint="eastAsia" w:ascii="宋体" w:hAnsi="宋体" w:eastAsia="宋体" w:cs="宋体"/>
          <w:color w:val="auto"/>
          <w:spacing w:val="-4"/>
          <w:sz w:val="24"/>
          <w:szCs w:val="22"/>
          <w:highlight w:val="none"/>
          <w:lang w:val="zh-CN" w:eastAsia="zh-CN" w:bidi="zh-CN"/>
        </w:rPr>
        <w:t>为收件 地址的所有通知、文件、材料，均视为已向对方当事人送达；任何一方变更上述送达方式或者地址的，应于  个工作日 (根据项目实际填写) 内书面通知对方当事人，在对方当事人收到有关变更通知之前，变更前的约定送达方式或者地址仍视为有效。</w:t>
      </w:r>
    </w:p>
    <w:p>
      <w:pPr>
        <w:pStyle w:val="13"/>
        <w:numPr>
          <w:ilvl w:val="2"/>
          <w:numId w:val="7"/>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pStyle w:val="13"/>
        <w:numPr>
          <w:ilvl w:val="1"/>
          <w:numId w:val="7"/>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计量单位</w:t>
      </w:r>
    </w:p>
    <w:p>
      <w:pPr>
        <w:pStyle w:val="7"/>
        <w:spacing w:before="131"/>
        <w:ind w:left="82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pPr>
        <w:pStyle w:val="13"/>
        <w:numPr>
          <w:ilvl w:val="2"/>
          <w:numId w:val="7"/>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合同使用的文字和适用的法律</w:t>
      </w:r>
    </w:p>
    <w:p>
      <w:pPr>
        <w:pStyle w:val="13"/>
        <w:numPr>
          <w:ilvl w:val="2"/>
          <w:numId w:val="7"/>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合同使用汉语书就、变更和解释；</w:t>
      </w:r>
    </w:p>
    <w:p>
      <w:pPr>
        <w:pStyle w:val="13"/>
        <w:numPr>
          <w:ilvl w:val="2"/>
          <w:numId w:val="7"/>
        </w:numPr>
        <w:tabs>
          <w:tab w:val="left" w:pos="1564"/>
        </w:tabs>
        <w:spacing w:before="132" w:after="0" w:line="240" w:lineRule="auto"/>
        <w:ind w:left="1564" w:right="0" w:hanging="744"/>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合同适用中华人民共和国法律</w:t>
      </w:r>
      <w:r>
        <w:rPr>
          <w:rFonts w:hint="eastAsia" w:ascii="宋体" w:hAnsi="宋体" w:eastAsia="宋体" w:cs="宋体"/>
          <w:color w:val="auto"/>
          <w:spacing w:val="-23"/>
          <w:sz w:val="24"/>
          <w:highlight w:val="none"/>
        </w:rPr>
        <w:t>。</w:t>
      </w:r>
    </w:p>
    <w:p>
      <w:pPr>
        <w:pStyle w:val="13"/>
        <w:numPr>
          <w:ilvl w:val="1"/>
          <w:numId w:val="7"/>
        </w:numPr>
        <w:tabs>
          <w:tab w:val="left" w:pos="1348"/>
        </w:tabs>
        <w:spacing w:before="134"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履约保证金</w:t>
      </w:r>
    </w:p>
    <w:p>
      <w:pPr>
        <w:pStyle w:val="7"/>
        <w:spacing w:before="132"/>
        <w:ind w:left="820"/>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本项目不收取履约保证金</w:t>
      </w:r>
    </w:p>
    <w:p>
      <w:pPr>
        <w:pStyle w:val="13"/>
        <w:numPr>
          <w:ilvl w:val="1"/>
          <w:numId w:val="7"/>
        </w:numPr>
        <w:tabs>
          <w:tab w:val="left" w:pos="1348"/>
        </w:tabs>
        <w:spacing w:before="131"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中小企业政策</w:t>
      </w:r>
    </w:p>
    <w:p>
      <w:pPr>
        <w:pStyle w:val="13"/>
        <w:numPr>
          <w:ilvl w:val="2"/>
          <w:numId w:val="7"/>
        </w:numPr>
        <w:tabs>
          <w:tab w:val="left" w:pos="1564"/>
        </w:tabs>
        <w:spacing w:before="134" w:after="0" w:line="343" w:lineRule="auto"/>
        <w:ind w:left="820" w:right="1761" w:firstLine="0"/>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本合同( □是 □否) 为中小企业“政采贷”可融资合同，关于中小企业</w:t>
      </w:r>
      <w:r>
        <w:rPr>
          <w:rFonts w:hint="eastAsia" w:ascii="宋体" w:hAnsi="宋体" w:eastAsia="宋体" w:cs="宋体"/>
          <w:color w:val="auto"/>
          <w:sz w:val="24"/>
          <w:highlight w:val="none"/>
          <w:lang w:val="zh-CN" w:eastAsia="zh-CN"/>
        </w:rPr>
        <w:t>信用融资事项见</w:t>
      </w:r>
      <w:r>
        <w:rPr>
          <w:rFonts w:hint="eastAsia" w:ascii="宋体" w:hAnsi="宋体" w:eastAsia="宋体" w:cs="宋体"/>
          <w:color w:val="auto"/>
          <w:sz w:val="24"/>
          <w:highlight w:val="none"/>
        </w:rPr>
        <w:t>采购文件“投标人须知正文”。</w:t>
      </w:r>
    </w:p>
    <w:p>
      <w:pPr>
        <w:pStyle w:val="13"/>
        <w:numPr>
          <w:ilvl w:val="2"/>
          <w:numId w:val="7"/>
        </w:numPr>
        <w:tabs>
          <w:tab w:val="left" w:pos="1564"/>
        </w:tabs>
        <w:spacing w:before="134" w:after="0" w:line="343" w:lineRule="auto"/>
        <w:ind w:left="820" w:right="1761" w:firstLine="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本合同( □是 □否) 为中小企业预留合同。</w:t>
      </w:r>
    </w:p>
    <w:p>
      <w:pPr>
        <w:pStyle w:val="13"/>
        <w:numPr>
          <w:ilvl w:val="1"/>
          <w:numId w:val="7"/>
        </w:numPr>
        <w:tabs>
          <w:tab w:val="left" w:pos="1348"/>
        </w:tabs>
        <w:spacing w:before="135"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合同份数</w:t>
      </w:r>
    </w:p>
    <w:p>
      <w:pPr>
        <w:pStyle w:val="7"/>
        <w:spacing w:before="9"/>
        <w:rPr>
          <w:rFonts w:hint="eastAsia" w:ascii="宋体" w:hAnsi="宋体" w:eastAsia="宋体" w:cs="宋体"/>
          <w:color w:val="auto"/>
          <w:sz w:val="17"/>
          <w:highlight w:val="none"/>
        </w:rPr>
      </w:pPr>
    </w:p>
    <w:p>
      <w:pPr>
        <w:pStyle w:val="7"/>
        <w:tabs>
          <w:tab w:val="left" w:pos="1485"/>
          <w:tab w:val="left" w:pos="3110"/>
          <w:tab w:val="left" w:pos="4622"/>
        </w:tabs>
        <w:ind w:right="328"/>
        <w:jc w:val="center"/>
        <w:rPr>
          <w:rFonts w:hint="eastAsia" w:ascii="宋体" w:hAnsi="宋体" w:eastAsia="宋体" w:cs="宋体"/>
          <w:color w:val="auto"/>
          <w:highlight w:val="none"/>
        </w:rPr>
      </w:pPr>
      <w:r>
        <w:rPr>
          <w:rFonts w:hint="eastAsia" w:ascii="宋体" w:hAnsi="宋体" w:eastAsia="宋体" w:cs="宋体"/>
          <w:color w:val="auto"/>
          <w:spacing w:val="-12"/>
          <w:highlight w:val="none"/>
        </w:rPr>
        <w:t>本合同壹</w:t>
      </w:r>
      <w:r>
        <w:rPr>
          <w:rFonts w:hint="eastAsia" w:ascii="宋体" w:hAnsi="宋体" w:eastAsia="宋体" w:cs="宋体"/>
          <w:color w:val="auto"/>
          <w:spacing w:val="-11"/>
          <w:highlight w:val="none"/>
        </w:rPr>
        <w:t>式</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highlight w:val="none"/>
        </w:rPr>
        <w:t>，</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8"/>
          <w:highlight w:val="none"/>
        </w:rPr>
        <w:t>甲</w:t>
      </w:r>
      <w:r>
        <w:rPr>
          <w:rFonts w:hint="eastAsia" w:ascii="宋体" w:hAnsi="宋体" w:eastAsia="宋体" w:cs="宋体"/>
          <w:color w:val="auto"/>
          <w:spacing w:val="-5"/>
          <w:highlight w:val="none"/>
        </w:rPr>
        <w:t>方执</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乙</w:t>
      </w:r>
      <w:r>
        <w:rPr>
          <w:rFonts w:hint="eastAsia" w:ascii="宋体" w:hAnsi="宋体" w:eastAsia="宋体" w:cs="宋体"/>
          <w:color w:val="auto"/>
          <w:spacing w:val="-5"/>
          <w:highlight w:val="none"/>
        </w:rPr>
        <w:t>方执</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每</w:t>
      </w:r>
      <w:r>
        <w:rPr>
          <w:rFonts w:hint="eastAsia" w:ascii="宋体" w:hAnsi="宋体" w:eastAsia="宋体" w:cs="宋体"/>
          <w:color w:val="auto"/>
          <w:spacing w:val="-5"/>
          <w:highlight w:val="none"/>
        </w:rPr>
        <w:t>份</w:t>
      </w:r>
      <w:r>
        <w:rPr>
          <w:rFonts w:hint="eastAsia" w:ascii="宋体" w:hAnsi="宋体" w:eastAsia="宋体" w:cs="宋体"/>
          <w:color w:val="auto"/>
          <w:spacing w:val="-8"/>
          <w:highlight w:val="none"/>
        </w:rPr>
        <w:t>均</w:t>
      </w:r>
      <w:r>
        <w:rPr>
          <w:rFonts w:hint="eastAsia" w:ascii="宋体" w:hAnsi="宋体" w:eastAsia="宋体" w:cs="宋体"/>
          <w:color w:val="auto"/>
          <w:spacing w:val="-5"/>
          <w:highlight w:val="none"/>
        </w:rPr>
        <w:t>具</w:t>
      </w:r>
      <w:r>
        <w:rPr>
          <w:rFonts w:hint="eastAsia" w:ascii="宋体" w:hAnsi="宋体" w:eastAsia="宋体" w:cs="宋体"/>
          <w:color w:val="auto"/>
          <w:spacing w:val="-8"/>
          <w:highlight w:val="none"/>
        </w:rPr>
        <w:t>有</w:t>
      </w:r>
      <w:r>
        <w:rPr>
          <w:rFonts w:hint="eastAsia" w:ascii="宋体" w:hAnsi="宋体" w:eastAsia="宋体" w:cs="宋体"/>
          <w:color w:val="auto"/>
          <w:spacing w:val="-5"/>
          <w:highlight w:val="none"/>
        </w:rPr>
        <w:t>同</w:t>
      </w:r>
      <w:r>
        <w:rPr>
          <w:rFonts w:hint="eastAsia" w:ascii="宋体" w:hAnsi="宋体" w:eastAsia="宋体" w:cs="宋体"/>
          <w:color w:val="auto"/>
          <w:spacing w:val="-8"/>
          <w:highlight w:val="none"/>
        </w:rPr>
        <w:t>等</w:t>
      </w:r>
      <w:r>
        <w:rPr>
          <w:rFonts w:hint="eastAsia" w:ascii="宋体" w:hAnsi="宋体" w:eastAsia="宋体" w:cs="宋体"/>
          <w:color w:val="auto"/>
          <w:spacing w:val="-5"/>
          <w:highlight w:val="none"/>
        </w:rPr>
        <w:t>法</w:t>
      </w:r>
      <w:r>
        <w:rPr>
          <w:rFonts w:hint="eastAsia" w:ascii="宋体" w:hAnsi="宋体" w:eastAsia="宋体" w:cs="宋体"/>
          <w:color w:val="auto"/>
          <w:spacing w:val="-8"/>
          <w:highlight w:val="none"/>
        </w:rPr>
        <w:t>律</w:t>
      </w:r>
      <w:r>
        <w:rPr>
          <w:rFonts w:hint="eastAsia" w:ascii="宋体" w:hAnsi="宋体" w:eastAsia="宋体" w:cs="宋体"/>
          <w:color w:val="auto"/>
          <w:spacing w:val="-5"/>
          <w:highlight w:val="none"/>
        </w:rPr>
        <w:t>效</w:t>
      </w:r>
      <w:r>
        <w:rPr>
          <w:rFonts w:hint="eastAsia" w:ascii="宋体" w:hAnsi="宋体" w:eastAsia="宋体" w:cs="宋体"/>
          <w:color w:val="auto"/>
          <w:spacing w:val="-8"/>
          <w:highlight w:val="none"/>
        </w:rPr>
        <w:t>力</w:t>
      </w:r>
      <w:r>
        <w:rPr>
          <w:rFonts w:hint="eastAsia" w:ascii="宋体" w:hAnsi="宋体" w:eastAsia="宋体" w:cs="宋体"/>
          <w:color w:val="auto"/>
          <w:highlight w:val="none"/>
        </w:rPr>
        <w:t>。</w:t>
      </w:r>
    </w:p>
    <w:p>
      <w:pPr>
        <w:spacing w:after="0"/>
        <w:jc w:val="center"/>
        <w:rPr>
          <w:rFonts w:hint="eastAsia" w:ascii="宋体" w:hAnsi="宋体" w:eastAsia="宋体" w:cs="宋体"/>
          <w:color w:val="auto"/>
          <w:highlight w:val="none"/>
        </w:rPr>
        <w:sectPr>
          <w:pgSz w:w="11910" w:h="16840"/>
          <w:pgMar w:top="1200" w:right="460" w:bottom="1060" w:left="800" w:header="0" w:footer="871" w:gutter="0"/>
          <w:pgNumType w:fmt="decimal"/>
          <w:cols w:space="720" w:num="1"/>
        </w:sectPr>
      </w:pPr>
    </w:p>
    <w:p>
      <w:pPr>
        <w:pStyle w:val="5"/>
        <w:spacing w:before="32"/>
        <w:ind w:left="3640" w:right="0"/>
        <w:jc w:val="both"/>
        <w:rPr>
          <w:rFonts w:hint="eastAsia" w:ascii="宋体" w:hAnsi="宋体" w:eastAsia="宋体" w:cs="宋体"/>
          <w:color w:val="auto"/>
          <w:highlight w:val="none"/>
        </w:rPr>
      </w:pPr>
      <w:r>
        <w:rPr>
          <w:rFonts w:hint="eastAsia" w:ascii="宋体" w:hAnsi="宋体" w:eastAsia="宋体" w:cs="宋体"/>
          <w:color w:val="auto"/>
          <w:highlight w:val="none"/>
        </w:rPr>
        <w:t>第三部分 合同专用条款</w:t>
      </w:r>
    </w:p>
    <w:p>
      <w:pPr>
        <w:pStyle w:val="7"/>
        <w:spacing w:before="156" w:line="386" w:lineRule="auto"/>
        <w:ind w:left="364" w:right="886" w:firstLine="460"/>
        <w:jc w:val="both"/>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13"/>
        <w:numPr>
          <w:ilvl w:val="1"/>
          <w:numId w:val="8"/>
        </w:numPr>
        <w:tabs>
          <w:tab w:val="left" w:pos="1288"/>
        </w:tabs>
        <w:spacing w:before="144" w:after="0" w:line="240" w:lineRule="auto"/>
        <w:ind w:left="1288" w:right="0" w:hanging="444"/>
        <w:jc w:val="both"/>
        <w:rPr>
          <w:rFonts w:hint="eastAsia" w:ascii="宋体" w:hAnsi="宋体" w:eastAsia="宋体" w:cs="宋体"/>
          <w:color w:val="auto"/>
          <w:sz w:val="28"/>
          <w:highlight w:val="none"/>
        </w:rPr>
      </w:pPr>
      <w:r>
        <w:rPr>
          <w:rFonts w:hint="eastAsia" w:ascii="宋体" w:hAnsi="宋体" w:eastAsia="宋体" w:cs="宋体"/>
          <w:color w:val="auto"/>
          <w:spacing w:val="-12"/>
          <w:sz w:val="24"/>
          <w:highlight w:val="none"/>
        </w:rPr>
        <w:t>具有知识产权的标的物知识产权归属：</w:t>
      </w:r>
    </w:p>
    <w:p>
      <w:pPr>
        <w:pStyle w:val="13"/>
        <w:numPr>
          <w:ilvl w:val="1"/>
          <w:numId w:val="8"/>
        </w:numPr>
        <w:tabs>
          <w:tab w:val="left" w:pos="1344"/>
        </w:tabs>
        <w:spacing w:before="0" w:after="0" w:line="240" w:lineRule="auto"/>
        <w:ind w:left="1343" w:right="0" w:hanging="500"/>
        <w:jc w:val="both"/>
        <w:rPr>
          <w:rFonts w:hint="eastAsia" w:ascii="宋体" w:hAnsi="宋体" w:eastAsia="宋体" w:cs="宋体"/>
          <w:color w:val="auto"/>
          <w:sz w:val="27"/>
          <w:highlight w:val="none"/>
        </w:rPr>
      </w:pPr>
      <w:r>
        <w:rPr>
          <w:rFonts w:hint="eastAsia" w:ascii="宋体" w:hAnsi="宋体" w:eastAsia="宋体" w:cs="宋体"/>
          <w:color w:val="auto"/>
          <w:spacing w:val="4"/>
          <w:sz w:val="24"/>
          <w:highlight w:val="none"/>
        </w:rPr>
        <w:t>包装和装运专用条款(如果有)：</w:t>
      </w:r>
    </w:p>
    <w:p>
      <w:pPr>
        <w:pStyle w:val="13"/>
        <w:numPr>
          <w:ilvl w:val="1"/>
          <w:numId w:val="8"/>
        </w:numPr>
        <w:tabs>
          <w:tab w:val="left" w:pos="1272"/>
        </w:tabs>
        <w:spacing w:before="0" w:after="0" w:line="240" w:lineRule="auto"/>
        <w:ind w:left="1271" w:right="0" w:hanging="428"/>
        <w:jc w:val="both"/>
        <w:rPr>
          <w:rFonts w:hint="eastAsia" w:ascii="宋体" w:hAnsi="宋体" w:eastAsia="宋体" w:cs="宋体"/>
          <w:color w:val="auto"/>
          <w:sz w:val="27"/>
          <w:highlight w:val="none"/>
        </w:rPr>
      </w:pPr>
      <w:r>
        <w:rPr>
          <w:rFonts w:hint="eastAsia" w:ascii="宋体" w:hAnsi="宋体" w:eastAsia="宋体" w:cs="宋体"/>
          <w:color w:val="auto"/>
          <w:spacing w:val="-19"/>
          <w:sz w:val="24"/>
          <w:highlight w:val="none"/>
        </w:rPr>
        <w:t>装运标的物的要求和通知：</w:t>
      </w:r>
    </w:p>
    <w:p>
      <w:pPr>
        <w:pStyle w:val="13"/>
        <w:numPr>
          <w:ilvl w:val="1"/>
          <w:numId w:val="8"/>
        </w:numPr>
        <w:tabs>
          <w:tab w:val="left" w:pos="1288"/>
          <w:tab w:val="left" w:pos="7971"/>
          <w:tab w:val="left" w:pos="8295"/>
          <w:tab w:val="left" w:pos="8946"/>
        </w:tabs>
        <w:spacing w:before="0" w:after="0" w:line="388" w:lineRule="auto"/>
        <w:ind w:left="344" w:right="1013" w:firstLine="499"/>
        <w:jc w:val="left"/>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结算方</w:t>
      </w:r>
      <w:r>
        <w:rPr>
          <w:rFonts w:hint="eastAsia" w:ascii="宋体" w:hAnsi="宋体" w:eastAsia="宋体" w:cs="宋体"/>
          <w:color w:val="auto"/>
          <w:spacing w:val="-12"/>
          <w:sz w:val="24"/>
          <w:highlight w:val="none"/>
        </w:rPr>
        <w:t>式</w:t>
      </w:r>
      <w:r>
        <w:rPr>
          <w:rFonts w:hint="eastAsia" w:ascii="宋体" w:hAnsi="宋体" w:eastAsia="宋体" w:cs="宋体"/>
          <w:color w:val="auto"/>
          <w:spacing w:val="-15"/>
          <w:sz w:val="24"/>
          <w:highlight w:val="none"/>
        </w:rPr>
        <w:t>和付款条件</w:t>
      </w:r>
      <w:r>
        <w:rPr>
          <w:rFonts w:hint="eastAsia" w:ascii="宋体" w:hAnsi="宋体" w:eastAsia="宋体" w:cs="宋体"/>
          <w:color w:val="auto"/>
          <w:spacing w:val="-12"/>
          <w:sz w:val="24"/>
          <w:highlight w:val="none"/>
        </w:rPr>
        <w:t>本</w:t>
      </w:r>
      <w:r>
        <w:rPr>
          <w:rFonts w:hint="eastAsia" w:ascii="宋体" w:hAnsi="宋体" w:eastAsia="宋体" w:cs="宋体"/>
          <w:color w:val="auto"/>
          <w:spacing w:val="-15"/>
          <w:sz w:val="24"/>
          <w:highlight w:val="none"/>
        </w:rPr>
        <w:t>次项目合同</w:t>
      </w:r>
      <w:r>
        <w:rPr>
          <w:rFonts w:hint="eastAsia" w:ascii="宋体" w:hAnsi="宋体" w:eastAsia="宋体" w:cs="宋体"/>
          <w:color w:val="auto"/>
          <w:spacing w:val="-12"/>
          <w:sz w:val="24"/>
          <w:highlight w:val="none"/>
        </w:rPr>
        <w:t>总</w:t>
      </w:r>
      <w:r>
        <w:rPr>
          <w:rFonts w:hint="eastAsia" w:ascii="宋体" w:hAnsi="宋体" w:eastAsia="宋体" w:cs="宋体"/>
          <w:color w:val="auto"/>
          <w:spacing w:val="-15"/>
          <w:sz w:val="24"/>
          <w:highlight w:val="none"/>
        </w:rPr>
        <w:t>价为大写人</w:t>
      </w:r>
      <w:r>
        <w:rPr>
          <w:rFonts w:hint="eastAsia" w:ascii="宋体" w:hAnsi="宋体" w:eastAsia="宋体" w:cs="宋体"/>
          <w:color w:val="auto"/>
          <w:spacing w:val="-12"/>
          <w:sz w:val="24"/>
          <w:highlight w:val="none"/>
        </w:rPr>
        <w:t>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w:t>
      </w:r>
      <w:r>
        <w:rPr>
          <w:rFonts w:hint="eastAsia" w:ascii="宋体" w:hAnsi="宋体" w:eastAsia="宋体" w:cs="宋体"/>
          <w:color w:val="auto"/>
          <w:spacing w:val="-22"/>
          <w:sz w:val="24"/>
          <w:highlight w:val="none"/>
        </w:rPr>
        <w:t xml:space="preserve"> </w:t>
      </w:r>
      <w:r>
        <w:rPr>
          <w:rFonts w:hint="eastAsia" w:ascii="宋体" w:hAnsi="宋体" w:eastAsia="宋体" w:cs="宋体"/>
          <w:color w:val="auto"/>
          <w:spacing w:val="-16"/>
          <w:sz w:val="24"/>
          <w:highlight w:val="none"/>
        </w:rPr>
        <w:t>。</w:t>
      </w:r>
      <w:r>
        <w:rPr>
          <w:rFonts w:hint="eastAsia" w:ascii="宋体" w:hAnsi="宋体" w:eastAsia="宋体" w:cs="宋体"/>
          <w:color w:val="auto"/>
          <w:spacing w:val="-3"/>
          <w:sz w:val="24"/>
          <w:highlight w:val="none"/>
        </w:rPr>
        <w:t>本项目</w:t>
      </w:r>
      <w:r>
        <w:rPr>
          <w:rFonts w:hint="eastAsia" w:ascii="宋体" w:hAnsi="宋体" w:eastAsia="宋体" w:cs="宋体"/>
          <w:color w:val="auto"/>
          <w:sz w:val="24"/>
          <w:highlight w:val="none"/>
        </w:rPr>
        <w:t>采</w:t>
      </w:r>
      <w:r>
        <w:rPr>
          <w:rFonts w:hint="eastAsia" w:ascii="宋体" w:hAnsi="宋体" w:eastAsia="宋体" w:cs="宋体"/>
          <w:color w:val="auto"/>
          <w:spacing w:val="-3"/>
          <w:sz w:val="24"/>
          <w:highlight w:val="none"/>
        </w:rPr>
        <w:t>用以下勾选</w:t>
      </w:r>
      <w:r>
        <w:rPr>
          <w:rFonts w:hint="eastAsia" w:ascii="宋体" w:hAnsi="宋体" w:eastAsia="宋体" w:cs="宋体"/>
          <w:color w:val="auto"/>
          <w:sz w:val="24"/>
          <w:highlight w:val="none"/>
        </w:rPr>
        <w:t>结算方式进行支付：</w:t>
      </w:r>
    </w:p>
    <w:p>
      <w:pPr>
        <w:pStyle w:val="7"/>
        <w:tabs>
          <w:tab w:val="left" w:pos="6216"/>
        </w:tabs>
        <w:spacing w:line="257" w:lineRule="exact"/>
        <w:ind w:left="853"/>
        <w:rPr>
          <w:rFonts w:hint="eastAsia" w:ascii="宋体" w:hAnsi="宋体" w:eastAsia="宋体" w:cs="宋体"/>
          <w:color w:val="auto"/>
          <w:highlight w:val="none"/>
        </w:rPr>
      </w:pPr>
      <w:r>
        <w:rPr>
          <w:rFonts w:hint="eastAsia" w:ascii="宋体" w:hAnsi="宋体" w:eastAsia="宋体" w:cs="宋体"/>
          <w:color w:val="auto"/>
          <w:spacing w:val="-32"/>
          <w:highlight w:val="none"/>
        </w:rPr>
        <w:t>□</w:t>
      </w:r>
      <w:r>
        <w:rPr>
          <w:rFonts w:hint="eastAsia" w:ascii="宋体" w:hAnsi="宋体" w:eastAsia="宋体" w:cs="宋体"/>
          <w:color w:val="auto"/>
          <w:spacing w:val="-20"/>
          <w:highlight w:val="none"/>
        </w:rPr>
        <w:t>采</w:t>
      </w:r>
      <w:r>
        <w:rPr>
          <w:rFonts w:hint="eastAsia" w:ascii="宋体" w:hAnsi="宋体" w:eastAsia="宋体" w:cs="宋体"/>
          <w:color w:val="auto"/>
          <w:spacing w:val="-17"/>
          <w:highlight w:val="none"/>
        </w:rPr>
        <w:t>用</w:t>
      </w:r>
      <w:r>
        <w:rPr>
          <w:rFonts w:hint="eastAsia" w:ascii="宋体" w:hAnsi="宋体" w:eastAsia="宋体" w:cs="宋体"/>
          <w:color w:val="auto"/>
          <w:spacing w:val="-20"/>
          <w:highlight w:val="none"/>
        </w:rPr>
        <w:t>一</w:t>
      </w:r>
      <w:r>
        <w:rPr>
          <w:rFonts w:hint="eastAsia" w:ascii="宋体" w:hAnsi="宋体" w:eastAsia="宋体" w:cs="宋体"/>
          <w:color w:val="auto"/>
          <w:spacing w:val="-17"/>
          <w:highlight w:val="none"/>
        </w:rPr>
        <w:t>次</w:t>
      </w:r>
      <w:r>
        <w:rPr>
          <w:rFonts w:hint="eastAsia" w:ascii="宋体" w:hAnsi="宋体" w:eastAsia="宋体" w:cs="宋体"/>
          <w:color w:val="auto"/>
          <w:spacing w:val="-20"/>
          <w:highlight w:val="none"/>
        </w:rPr>
        <w:t>性</w:t>
      </w:r>
      <w:r>
        <w:rPr>
          <w:rFonts w:hint="eastAsia" w:ascii="宋体" w:hAnsi="宋体" w:eastAsia="宋体" w:cs="宋体"/>
          <w:color w:val="auto"/>
          <w:spacing w:val="-17"/>
          <w:highlight w:val="none"/>
        </w:rPr>
        <w:t>支</w:t>
      </w:r>
      <w:r>
        <w:rPr>
          <w:rFonts w:hint="eastAsia" w:ascii="宋体" w:hAnsi="宋体" w:eastAsia="宋体" w:cs="宋体"/>
          <w:color w:val="auto"/>
          <w:spacing w:val="-20"/>
          <w:highlight w:val="none"/>
        </w:rPr>
        <w:t>付</w:t>
      </w:r>
      <w:r>
        <w:rPr>
          <w:rFonts w:hint="eastAsia" w:ascii="宋体" w:hAnsi="宋体" w:eastAsia="宋体" w:cs="宋体"/>
          <w:color w:val="auto"/>
          <w:spacing w:val="-17"/>
          <w:highlight w:val="none"/>
        </w:rPr>
        <w:t>方</w:t>
      </w:r>
      <w:r>
        <w:rPr>
          <w:rFonts w:hint="eastAsia" w:ascii="宋体" w:hAnsi="宋体" w:eastAsia="宋体" w:cs="宋体"/>
          <w:color w:val="auto"/>
          <w:spacing w:val="-20"/>
          <w:highlight w:val="none"/>
        </w:rPr>
        <w:t>式</w:t>
      </w:r>
      <w:r>
        <w:rPr>
          <w:rFonts w:hint="eastAsia" w:ascii="宋体" w:hAnsi="宋体" w:eastAsia="宋体" w:cs="宋体"/>
          <w:color w:val="auto"/>
          <w:highlight w:val="none"/>
        </w:rPr>
        <w:t>，</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20"/>
          <w:highlight w:val="none"/>
        </w:rPr>
        <w:t>付</w:t>
      </w:r>
      <w:r>
        <w:rPr>
          <w:rFonts w:hint="eastAsia" w:ascii="宋体" w:hAnsi="宋体" w:eastAsia="宋体" w:cs="宋体"/>
          <w:color w:val="auto"/>
          <w:spacing w:val="-17"/>
          <w:highlight w:val="none"/>
        </w:rPr>
        <w:t>款</w:t>
      </w:r>
      <w:r>
        <w:rPr>
          <w:rFonts w:hint="eastAsia" w:ascii="宋体" w:hAnsi="宋体" w:eastAsia="宋体" w:cs="宋体"/>
          <w:color w:val="auto"/>
          <w:spacing w:val="-20"/>
          <w:highlight w:val="none"/>
        </w:rPr>
        <w:t>条</w:t>
      </w:r>
      <w:r>
        <w:rPr>
          <w:rFonts w:hint="eastAsia" w:ascii="宋体" w:hAnsi="宋体" w:eastAsia="宋体" w:cs="宋体"/>
          <w:color w:val="auto"/>
          <w:spacing w:val="-17"/>
          <w:highlight w:val="none"/>
        </w:rPr>
        <w:t>件</w:t>
      </w:r>
      <w:r>
        <w:rPr>
          <w:rFonts w:hint="eastAsia" w:ascii="宋体" w:hAnsi="宋体" w:eastAsia="宋体" w:cs="宋体"/>
          <w:color w:val="auto"/>
          <w:spacing w:val="-20"/>
          <w:highlight w:val="none"/>
        </w:rPr>
        <w:t>为</w:t>
      </w:r>
      <w:r>
        <w:rPr>
          <w:rFonts w:hint="eastAsia" w:ascii="宋体" w:hAnsi="宋体" w:eastAsia="宋体" w:cs="宋体"/>
          <w:color w:val="auto"/>
          <w:spacing w:val="-1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spacing w:before="146"/>
        <w:ind w:left="853"/>
        <w:rPr>
          <w:rFonts w:hint="eastAsia" w:ascii="宋体" w:hAnsi="宋体" w:eastAsia="宋体" w:cs="宋体"/>
          <w:color w:val="auto"/>
          <w:highlight w:val="none"/>
        </w:rPr>
      </w:pPr>
      <w:r>
        <w:rPr>
          <w:rFonts w:hint="eastAsia" w:ascii="宋体" w:hAnsi="宋体" w:eastAsia="宋体" w:cs="宋体"/>
          <w:color w:val="auto"/>
          <w:highlight w:val="none"/>
        </w:rPr>
        <w:t>□采用分期付款方式， 付款条件为：</w:t>
      </w:r>
    </w:p>
    <w:p>
      <w:pPr>
        <w:pStyle w:val="7"/>
        <w:tabs>
          <w:tab w:val="left" w:pos="7191"/>
        </w:tabs>
        <w:spacing w:before="165" w:line="333" w:lineRule="auto"/>
        <w:ind w:left="836" w:right="3452"/>
        <w:rPr>
          <w:rFonts w:hint="eastAsia" w:ascii="宋体" w:hAnsi="宋体" w:eastAsia="宋体" w:cs="宋体"/>
          <w:color w:val="auto"/>
          <w:highlight w:val="none"/>
        </w:rPr>
      </w:pPr>
      <w:r>
        <w:rPr>
          <w:rFonts w:hint="eastAsia" w:ascii="宋体" w:hAnsi="宋体" w:eastAsia="宋体" w:cs="宋体"/>
          <w:color w:val="auto"/>
          <w:spacing w:val="-17"/>
          <w:highlight w:val="none"/>
        </w:rPr>
        <w:t>第</w:t>
      </w:r>
      <w:r>
        <w:rPr>
          <w:rFonts w:hint="eastAsia" w:ascii="宋体" w:hAnsi="宋体" w:eastAsia="宋体" w:cs="宋体"/>
          <w:color w:val="auto"/>
          <w:spacing w:val="-10"/>
          <w:highlight w:val="none"/>
        </w:rPr>
        <w:t>一期</w:t>
      </w:r>
      <w:r>
        <w:rPr>
          <w:rFonts w:hint="eastAsia" w:ascii="宋体" w:hAnsi="宋体" w:eastAsia="宋体" w:cs="宋体"/>
          <w:color w:val="auto"/>
          <w:spacing w:val="-12"/>
          <w:highlight w:val="none"/>
        </w:rPr>
        <w:t>付</w:t>
      </w:r>
      <w:r>
        <w:rPr>
          <w:rFonts w:hint="eastAsia" w:ascii="宋体" w:hAnsi="宋体" w:eastAsia="宋体" w:cs="宋体"/>
          <w:color w:val="auto"/>
          <w:spacing w:val="-10"/>
          <w:highlight w:val="none"/>
        </w:rPr>
        <w:t>款</w:t>
      </w:r>
      <w:r>
        <w:rPr>
          <w:rFonts w:hint="eastAsia" w:ascii="宋体" w:hAnsi="宋体" w:eastAsia="宋体" w:cs="宋体"/>
          <w:color w:val="auto"/>
          <w:spacing w:val="-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spacing w:val="-17"/>
          <w:highlight w:val="none"/>
        </w:rPr>
        <w:t>第</w:t>
      </w:r>
      <w:r>
        <w:rPr>
          <w:rFonts w:hint="eastAsia" w:ascii="宋体" w:hAnsi="宋体" w:eastAsia="宋体" w:cs="宋体"/>
          <w:color w:val="auto"/>
          <w:spacing w:val="-10"/>
          <w:highlight w:val="none"/>
        </w:rPr>
        <w:t>二期</w:t>
      </w:r>
      <w:r>
        <w:rPr>
          <w:rFonts w:hint="eastAsia" w:ascii="宋体" w:hAnsi="宋体" w:eastAsia="宋体" w:cs="宋体"/>
          <w:color w:val="auto"/>
          <w:spacing w:val="-12"/>
          <w:highlight w:val="none"/>
        </w:rPr>
        <w:t>付</w:t>
      </w:r>
      <w:r>
        <w:rPr>
          <w:rFonts w:hint="eastAsia" w:ascii="宋体" w:hAnsi="宋体" w:eastAsia="宋体" w:cs="宋体"/>
          <w:color w:val="auto"/>
          <w:spacing w:val="-10"/>
          <w:highlight w:val="none"/>
        </w:rPr>
        <w:t>款</w:t>
      </w:r>
      <w:r>
        <w:rPr>
          <w:rFonts w:hint="eastAsia" w:ascii="宋体" w:hAnsi="宋体" w:eastAsia="宋体" w:cs="宋体"/>
          <w:color w:val="auto"/>
          <w:spacing w:val="-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rPr>
          <w:rFonts w:hint="eastAsia" w:ascii="宋体" w:hAnsi="宋体" w:eastAsia="宋体" w:cs="宋体"/>
          <w:color w:val="auto"/>
          <w:sz w:val="9"/>
          <w:highlight w:val="none"/>
        </w:rPr>
      </w:pPr>
    </w:p>
    <w:p>
      <w:pPr>
        <w:pStyle w:val="7"/>
        <w:spacing w:before="67"/>
        <w:ind w:left="856"/>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7"/>
        <w:spacing w:before="50" w:line="367" w:lineRule="auto"/>
        <w:ind w:left="347" w:right="633" w:firstLine="513"/>
        <w:rPr>
          <w:rFonts w:hint="eastAsia" w:ascii="宋体" w:hAnsi="宋体" w:eastAsia="宋体" w:cs="宋体"/>
          <w:color w:val="auto"/>
          <w:highlight w:val="none"/>
        </w:rPr>
      </w:pPr>
      <w:r>
        <w:rPr>
          <w:rFonts w:hint="eastAsia" w:ascii="宋体" w:hAnsi="宋体" w:eastAsia="宋体" w:cs="宋体"/>
          <w:color w:val="auto"/>
          <w:highlight w:val="none"/>
        </w:rPr>
        <w:t>甲方无故逾期支付货物费用的，按照每逾期一日支付欠付货物费额度的</w:t>
      </w:r>
      <w:r>
        <w:rPr>
          <w:rFonts w:hint="eastAsia" w:ascii="宋体" w:hAnsi="宋体" w:eastAsia="宋体" w:cs="宋体"/>
          <w:color w:val="auto"/>
          <w:highlight w:val="none"/>
          <w:u w:val="single"/>
        </w:rPr>
        <w:t>万分之五</w:t>
      </w:r>
      <w:r>
        <w:rPr>
          <w:rFonts w:hint="eastAsia" w:ascii="宋体" w:hAnsi="宋体" w:eastAsia="宋体" w:cs="宋体"/>
          <w:color w:val="auto"/>
          <w:highlight w:val="none"/>
        </w:rPr>
        <w:t xml:space="preserve"> (根据项目实际填写) 承担违约责任，违约金上限按照《合同书》 约定执行。</w:t>
      </w:r>
    </w:p>
    <w:p>
      <w:pPr>
        <w:pStyle w:val="13"/>
        <w:numPr>
          <w:ilvl w:val="1"/>
          <w:numId w:val="8"/>
        </w:numPr>
        <w:tabs>
          <w:tab w:val="left" w:pos="1279"/>
        </w:tabs>
        <w:spacing w:before="0" w:after="0" w:line="283" w:lineRule="exact"/>
        <w:ind w:left="1278" w:right="0" w:hanging="435"/>
        <w:jc w:val="left"/>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标的物的风险负担</w:t>
      </w:r>
    </w:p>
    <w:p>
      <w:pPr>
        <w:pStyle w:val="7"/>
        <w:spacing w:before="124"/>
        <w:ind w:left="812"/>
        <w:rPr>
          <w:rFonts w:hint="eastAsia" w:ascii="宋体" w:hAnsi="宋体" w:eastAsia="宋体" w:cs="宋体"/>
          <w:color w:val="auto"/>
          <w:highlight w:val="none"/>
        </w:rPr>
      </w:pPr>
      <w:r>
        <w:rPr>
          <w:rFonts w:hint="eastAsia" w:ascii="宋体" w:hAnsi="宋体" w:eastAsia="宋体" w:cs="宋体"/>
          <w:color w:val="auto"/>
          <w:highlight w:val="none"/>
        </w:rPr>
        <w:t>标的物或者在途标的物或者交付给第一承运人后的标的物毁损、灭失的风险负担：</w:t>
      </w:r>
      <w:r>
        <w:rPr>
          <w:rFonts w:hint="eastAsia" w:ascii="宋体" w:hAnsi="宋体" w:eastAsia="宋体" w:cs="宋体"/>
          <w:color w:val="auto"/>
          <w:highlight w:val="none"/>
          <w:u w:val="single"/>
        </w:rPr>
        <w:t>乙方</w:t>
      </w:r>
    </w:p>
    <w:p>
      <w:pPr>
        <w:pStyle w:val="13"/>
        <w:numPr>
          <w:ilvl w:val="2"/>
          <w:numId w:val="8"/>
        </w:numPr>
        <w:tabs>
          <w:tab w:val="left" w:pos="1478"/>
        </w:tabs>
        <w:spacing w:before="151" w:after="0" w:line="360" w:lineRule="auto"/>
        <w:ind w:left="332" w:right="648" w:firstLine="48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受不可抗力影响的一方在不可抗力发生后，应在日内(根据项目实际填写)以书面形式通知对方当事人，并在日内(根据项目实际填写) ，将有关部门出具的证明文件送达对方当事人。</w:t>
      </w:r>
    </w:p>
    <w:p>
      <w:pPr>
        <w:pStyle w:val="13"/>
        <w:numPr>
          <w:ilvl w:val="2"/>
          <w:numId w:val="8"/>
        </w:numPr>
        <w:tabs>
          <w:tab w:val="left" w:pos="1569"/>
        </w:tabs>
        <w:spacing w:before="4" w:after="0" w:line="396" w:lineRule="auto"/>
        <w:ind w:left="378" w:right="795" w:firstLine="465"/>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 xml:space="preserve">因不可抗力致使合同有变更必要的，双方当事人应在日内 (根据项目实际填写) </w:t>
      </w:r>
      <w:r>
        <w:rPr>
          <w:rFonts w:hint="eastAsia" w:ascii="宋体" w:hAnsi="宋体" w:eastAsia="宋体" w:cs="宋体"/>
          <w:color w:val="auto"/>
          <w:spacing w:val="-18"/>
          <w:sz w:val="24"/>
          <w:highlight w:val="none"/>
        </w:rPr>
        <w:t>以书面形式变更合同；</w:t>
      </w:r>
    </w:p>
    <w:p>
      <w:pPr>
        <w:pStyle w:val="13"/>
        <w:numPr>
          <w:ilvl w:val="2"/>
          <w:numId w:val="8"/>
        </w:numPr>
        <w:tabs>
          <w:tab w:val="left" w:pos="1502"/>
        </w:tabs>
        <w:spacing w:before="0" w:after="0" w:line="272" w:lineRule="exact"/>
        <w:ind w:left="1501" w:right="0" w:hanging="658"/>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标的物交付前，乙方应对标的物的质量、数量等方面进行详细、全面的检验，并向甲</w:t>
      </w:r>
    </w:p>
    <w:p>
      <w:pPr>
        <w:pStyle w:val="7"/>
        <w:spacing w:before="187" w:line="386" w:lineRule="auto"/>
        <w:ind w:left="380" w:right="310" w:rightChars="0"/>
        <w:rPr>
          <w:rFonts w:hint="eastAsia" w:ascii="宋体" w:hAnsi="宋体" w:eastAsia="宋体" w:cs="宋体"/>
          <w:color w:val="auto"/>
          <w:highlight w:val="none"/>
        </w:rPr>
      </w:pPr>
      <w:r>
        <w:rPr>
          <w:rFonts w:hint="eastAsia" w:ascii="宋体" w:hAnsi="宋体" w:eastAsia="宋体" w:cs="宋体"/>
          <w:color w:val="auto"/>
          <w:highlight w:val="none"/>
        </w:rPr>
        <w:t>方出具证明标的物符合合同约定的文件；标的物交付时，乙方在日内 (根据项目实际填写 )发起验收，并可依法邀请相关方参加，验收应出具验收书。</w:t>
      </w:r>
    </w:p>
    <w:p>
      <w:pPr>
        <w:pStyle w:val="13"/>
        <w:numPr>
          <w:ilvl w:val="2"/>
          <w:numId w:val="8"/>
        </w:numPr>
        <w:tabs>
          <w:tab w:val="left" w:pos="1538"/>
        </w:tabs>
        <w:spacing w:before="148" w:after="0" w:line="240" w:lineRule="auto"/>
        <w:ind w:left="1537" w:right="0" w:hanging="694"/>
        <w:jc w:val="left"/>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检验和验收标准、程序等具体内容以及前述验收书的效力：</w:t>
      </w:r>
    </w:p>
    <w:p>
      <w:pPr>
        <w:pStyle w:val="13"/>
        <w:numPr>
          <w:ilvl w:val="2"/>
          <w:numId w:val="8"/>
        </w:numPr>
        <w:tabs>
          <w:tab w:val="left" w:pos="1509"/>
        </w:tabs>
        <w:spacing w:before="53" w:after="0" w:line="240" w:lineRule="auto"/>
        <w:ind w:left="1508" w:right="0" w:hanging="665"/>
        <w:jc w:val="left"/>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其他：</w:t>
      </w:r>
    </w:p>
    <w:p>
      <w:pPr>
        <w:pStyle w:val="13"/>
        <w:numPr>
          <w:ilvl w:val="1"/>
          <w:numId w:val="8"/>
        </w:numPr>
        <w:tabs>
          <w:tab w:val="left" w:pos="1248"/>
        </w:tabs>
        <w:spacing w:before="146" w:after="0" w:line="240" w:lineRule="auto"/>
        <w:ind w:left="1247" w:right="0" w:hanging="404"/>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项目验收：</w:t>
      </w:r>
    </w:p>
    <w:p>
      <w:pPr>
        <w:pStyle w:val="13"/>
        <w:numPr>
          <w:ilvl w:val="2"/>
          <w:numId w:val="8"/>
        </w:numPr>
        <w:tabs>
          <w:tab w:val="left" w:pos="1569"/>
        </w:tabs>
        <w:spacing w:before="163" w:after="0" w:line="240" w:lineRule="auto"/>
        <w:ind w:left="1568" w:right="0" w:hanging="725"/>
        <w:jc w:val="left"/>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甲方参照《政府采购供应商履约验收评价管理办法》规定组织对乙方履约的验收</w:t>
      </w:r>
    </w:p>
    <w:p>
      <w:pPr>
        <w:pStyle w:val="7"/>
        <w:spacing w:before="187" w:line="388" w:lineRule="auto"/>
        <w:ind w:left="354" w:right="681"/>
        <w:rPr>
          <w:rFonts w:hint="eastAsia" w:ascii="宋体" w:hAnsi="宋体" w:eastAsia="宋体" w:cs="宋体"/>
          <w:color w:val="auto"/>
          <w:highlight w:val="none"/>
        </w:rPr>
      </w:pPr>
      <w:r>
        <w:rPr>
          <w:rFonts w:hint="eastAsia" w:ascii="宋体" w:hAnsi="宋体" w:eastAsia="宋体" w:cs="宋体"/>
          <w:color w:val="auto"/>
          <w:highlight w:val="none"/>
        </w:rPr>
        <w:t>。验收方成员应当在验收书上签字，并承担相应的法律责任。如果发现与合同中要求不符， 乙方须承担由此发生的一切损失和费用，并接受相应的处理。</w:t>
      </w:r>
    </w:p>
    <w:p>
      <w:pPr>
        <w:pStyle w:val="13"/>
        <w:numPr>
          <w:ilvl w:val="2"/>
          <w:numId w:val="8"/>
        </w:numPr>
        <w:tabs>
          <w:tab w:val="left" w:pos="1536"/>
        </w:tabs>
        <w:spacing w:before="163" w:after="0" w:line="381" w:lineRule="auto"/>
        <w:ind w:left="352" w:right="864" w:firstLine="492"/>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严格按照采购合同开展履约验收。甲方成立验收小组，按照采购合同的约定对供</w:t>
      </w:r>
      <w:r>
        <w:rPr>
          <w:rFonts w:hint="eastAsia" w:ascii="宋体" w:hAnsi="宋体" w:eastAsia="宋体" w:cs="宋体"/>
          <w:color w:val="auto"/>
          <w:spacing w:val="-15"/>
          <w:sz w:val="24"/>
          <w:highlight w:val="none"/>
        </w:rPr>
        <w:t>应商履约情况进行验收，验收时，按照采购合同的约定对每一项技术、货物、安全标准的履约</w:t>
      </w:r>
      <w:r>
        <w:rPr>
          <w:rFonts w:hint="eastAsia" w:ascii="宋体" w:hAnsi="宋体" w:eastAsia="宋体" w:cs="宋体"/>
          <w:color w:val="auto"/>
          <w:spacing w:val="-10"/>
          <w:sz w:val="24"/>
          <w:highlight w:val="none"/>
        </w:rPr>
        <w:t>情况进行确认，出具验收报告并经验收小组全体成员签字。甲方根据验收报告形成验收意见并经甲方与乙方签字盖章生效。验收结果与采购合同约定的资金支付条件挂钩。履约验收</w:t>
      </w:r>
      <w:r>
        <w:rPr>
          <w:rFonts w:hint="eastAsia" w:ascii="宋体" w:hAnsi="宋体" w:eastAsia="宋体" w:cs="宋体"/>
          <w:color w:val="auto"/>
          <w:spacing w:val="-7"/>
          <w:sz w:val="24"/>
          <w:highlight w:val="none"/>
        </w:rPr>
        <w:t>的各项资料应当存档备查。</w:t>
      </w:r>
    </w:p>
    <w:p>
      <w:pPr>
        <w:pStyle w:val="13"/>
        <w:numPr>
          <w:ilvl w:val="2"/>
          <w:numId w:val="8"/>
        </w:numPr>
        <w:tabs>
          <w:tab w:val="left" w:pos="1536"/>
        </w:tabs>
        <w:spacing w:before="0" w:after="0" w:line="386" w:lineRule="auto"/>
        <w:ind w:left="349" w:right="864" w:firstLine="494"/>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验收合格的项目，甲方将根据采购合同的约定及时向供应商支付采购资金。验收</w:t>
      </w:r>
      <w:r>
        <w:rPr>
          <w:rFonts w:hint="eastAsia" w:ascii="宋体" w:hAnsi="宋体" w:eastAsia="宋体" w:cs="宋体"/>
          <w:color w:val="auto"/>
          <w:spacing w:val="-14"/>
          <w:sz w:val="24"/>
          <w:highlight w:val="none"/>
        </w:rPr>
        <w:t>不合格的项目，甲方将依法及时处理。采购合同的履行、违约责任和解决争议的方式等适用《中华人民共和国民法典》，并按照《合同书》约定执行。</w:t>
      </w:r>
    </w:p>
    <w:p>
      <w:pPr>
        <w:pStyle w:val="13"/>
        <w:numPr>
          <w:ilvl w:val="2"/>
          <w:numId w:val="8"/>
        </w:numPr>
        <w:tabs>
          <w:tab w:val="left" w:pos="1495"/>
        </w:tabs>
        <w:spacing w:before="138" w:after="0" w:line="240" w:lineRule="auto"/>
        <w:ind w:left="1494" w:right="0" w:hanging="651"/>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验收产生的费用：</w:t>
      </w:r>
    </w:p>
    <w:p>
      <w:pPr>
        <w:pStyle w:val="7"/>
        <w:tabs>
          <w:tab w:val="left" w:pos="3205"/>
          <w:tab w:val="left" w:pos="8358"/>
        </w:tabs>
        <w:spacing w:before="141"/>
        <w:ind w:left="831"/>
        <w:rPr>
          <w:rFonts w:hint="eastAsia" w:ascii="宋体" w:hAnsi="宋体" w:eastAsia="宋体" w:cs="宋体"/>
          <w:color w:val="auto"/>
          <w:highlight w:val="none"/>
        </w:rPr>
      </w:pPr>
      <w:r>
        <w:rPr>
          <w:rFonts w:hint="eastAsia" w:ascii="宋体" w:hAnsi="宋体" w:eastAsia="宋体" w:cs="宋体"/>
          <w:color w:val="auto"/>
          <w:spacing w:val="-3"/>
          <w:highlight w:val="none"/>
        </w:rPr>
        <w:t>首次验</w:t>
      </w:r>
      <w:r>
        <w:rPr>
          <w:rFonts w:hint="eastAsia" w:ascii="宋体" w:hAnsi="宋体" w:eastAsia="宋体" w:cs="宋体"/>
          <w:color w:val="auto"/>
          <w:highlight w:val="none"/>
        </w:rPr>
        <w:t>收</w:t>
      </w:r>
      <w:r>
        <w:rPr>
          <w:rFonts w:hint="eastAsia" w:ascii="宋体" w:hAnsi="宋体" w:eastAsia="宋体" w:cs="宋体"/>
          <w:color w:val="auto"/>
          <w:spacing w:val="-3"/>
          <w:highlight w:val="none"/>
        </w:rPr>
        <w:t>费用由</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承担，</w:t>
      </w:r>
      <w:r>
        <w:rPr>
          <w:rFonts w:hint="eastAsia" w:ascii="宋体" w:hAnsi="宋体" w:eastAsia="宋体" w:cs="宋体"/>
          <w:color w:val="auto"/>
          <w:highlight w:val="none"/>
        </w:rPr>
        <w:t>如首次验收不合格，后续验收费用由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支付。</w:t>
      </w:r>
    </w:p>
    <w:p>
      <w:pPr>
        <w:pStyle w:val="13"/>
        <w:numPr>
          <w:ilvl w:val="2"/>
          <w:numId w:val="8"/>
        </w:numPr>
        <w:tabs>
          <w:tab w:val="left" w:pos="1504"/>
        </w:tabs>
        <w:spacing w:before="139" w:after="0" w:line="240" w:lineRule="auto"/>
        <w:ind w:left="1504" w:right="0" w:hanging="660"/>
        <w:jc w:val="left"/>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验收内容及资料要求：</w:t>
      </w:r>
    </w:p>
    <w:p>
      <w:pPr>
        <w:pStyle w:val="7"/>
        <w:spacing w:before="166"/>
        <w:ind w:left="844"/>
        <w:rPr>
          <w:rFonts w:hint="eastAsia" w:ascii="宋体" w:hAnsi="宋体" w:eastAsia="宋体" w:cs="宋体"/>
          <w:color w:val="auto"/>
          <w:highlight w:val="none"/>
        </w:rPr>
      </w:pPr>
      <w:r>
        <w:rPr>
          <w:rFonts w:hint="eastAsia" w:ascii="宋体" w:hAnsi="宋体" w:eastAsia="宋体" w:cs="宋体"/>
          <w:color w:val="auto"/>
          <w:highlight w:val="none"/>
        </w:rPr>
        <w:t>根根据采购文件确定的技术指标或者货物要求确定验收指标和标准。未进行相应约定的</w:t>
      </w:r>
    </w:p>
    <w:p>
      <w:pPr>
        <w:pStyle w:val="7"/>
        <w:spacing w:before="186"/>
        <w:ind w:left="352"/>
        <w:rPr>
          <w:rFonts w:hint="eastAsia" w:ascii="宋体" w:hAnsi="宋体" w:eastAsia="宋体" w:cs="宋体"/>
          <w:color w:val="auto"/>
          <w:highlight w:val="none"/>
        </w:rPr>
      </w:pPr>
      <w:r>
        <w:rPr>
          <w:rFonts w:hint="eastAsia" w:ascii="宋体" w:hAnsi="宋体" w:eastAsia="宋体" w:cs="宋体"/>
          <w:color w:val="auto"/>
          <w:highlight w:val="none"/>
        </w:rPr>
        <w:t>，应当符合国家强制性规定、政策要求、 安全标准、行业或企业有关标准等。</w:t>
      </w:r>
    </w:p>
    <w:p>
      <w:pPr>
        <w:pStyle w:val="7"/>
        <w:spacing w:before="5"/>
        <w:rPr>
          <w:rFonts w:hint="eastAsia" w:ascii="宋体" w:hAnsi="宋体" w:eastAsia="宋体" w:cs="宋体"/>
          <w:color w:val="auto"/>
          <w:sz w:val="26"/>
          <w:highlight w:val="none"/>
        </w:rPr>
      </w:pPr>
    </w:p>
    <w:p>
      <w:pPr>
        <w:pStyle w:val="13"/>
        <w:numPr>
          <w:ilvl w:val="2"/>
          <w:numId w:val="8"/>
        </w:numPr>
        <w:tabs>
          <w:tab w:val="left" w:pos="1492"/>
        </w:tabs>
        <w:spacing w:before="0" w:after="0" w:line="240" w:lineRule="auto"/>
        <w:ind w:left="1492" w:right="0" w:hanging="648"/>
        <w:jc w:val="both"/>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验收内容</w:t>
      </w:r>
    </w:p>
    <w:p>
      <w:pPr>
        <w:pStyle w:val="7"/>
        <w:spacing w:before="2" w:after="1"/>
        <w:rPr>
          <w:rFonts w:hint="eastAsia" w:ascii="宋体" w:hAnsi="宋体" w:eastAsia="宋体" w:cs="宋体"/>
          <w:color w:val="auto"/>
          <w:sz w:val="9"/>
          <w:highlight w:val="none"/>
        </w:rPr>
      </w:pPr>
    </w:p>
    <w:tbl>
      <w:tblPr>
        <w:tblStyle w:val="10"/>
        <w:tblW w:w="0" w:type="auto"/>
        <w:tblInd w:w="8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12"/>
        <w:gridCol w:w="5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76" w:type="dxa"/>
            <w:tcBorders>
              <w:left w:val="single" w:color="000000" w:sz="4" w:space="0"/>
              <w:right w:val="single" w:color="000000" w:sz="4" w:space="0"/>
            </w:tcBorders>
            <w:noWrap w:val="0"/>
            <w:vAlign w:val="top"/>
          </w:tcPr>
          <w:p>
            <w:pPr>
              <w:pStyle w:val="12"/>
              <w:spacing w:before="112"/>
              <w:ind w:left="88"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12" w:type="dxa"/>
            <w:tcBorders>
              <w:left w:val="single" w:color="000000" w:sz="4" w:space="0"/>
              <w:right w:val="single" w:color="000000" w:sz="4" w:space="0"/>
            </w:tcBorders>
            <w:noWrap w:val="0"/>
            <w:vAlign w:val="top"/>
          </w:tcPr>
          <w:p>
            <w:pPr>
              <w:pStyle w:val="12"/>
              <w:spacing w:before="112"/>
              <w:ind w:left="524"/>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5940" w:type="dxa"/>
            <w:tcBorders>
              <w:left w:val="single" w:color="000000" w:sz="4" w:space="0"/>
              <w:right w:val="single" w:color="000000" w:sz="4" w:space="0"/>
            </w:tcBorders>
            <w:noWrap w:val="0"/>
            <w:vAlign w:val="top"/>
          </w:tcPr>
          <w:p>
            <w:pPr>
              <w:pStyle w:val="12"/>
              <w:spacing w:before="112"/>
              <w:ind w:left="4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tcBorders>
              <w:left w:val="single" w:color="000000" w:sz="4" w:space="0"/>
              <w:right w:val="single" w:color="000000" w:sz="4" w:space="0"/>
            </w:tcBorders>
            <w:noWrap w:val="0"/>
            <w:vAlign w:val="top"/>
          </w:tcPr>
          <w:p>
            <w:pPr>
              <w:pStyle w:val="12"/>
              <w:spacing w:before="111"/>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12" w:type="dxa"/>
            <w:tcBorders>
              <w:left w:val="single" w:color="000000" w:sz="4" w:space="0"/>
              <w:right w:val="single" w:color="000000" w:sz="4" w:space="0"/>
            </w:tcBorders>
            <w:noWrap w:val="0"/>
            <w:vAlign w:val="top"/>
          </w:tcPr>
          <w:p>
            <w:pPr>
              <w:pStyle w:val="12"/>
              <w:spacing w:before="111"/>
              <w:ind w:left="308"/>
              <w:rPr>
                <w:rFonts w:hint="eastAsia" w:ascii="宋体" w:hAnsi="宋体" w:eastAsia="宋体" w:cs="宋体"/>
                <w:color w:val="auto"/>
                <w:sz w:val="24"/>
                <w:highlight w:val="none"/>
              </w:rPr>
            </w:pPr>
            <w:r>
              <w:rPr>
                <w:rFonts w:hint="eastAsia" w:ascii="宋体" w:hAnsi="宋体" w:eastAsia="宋体" w:cs="宋体"/>
                <w:color w:val="auto"/>
                <w:sz w:val="24"/>
                <w:highlight w:val="none"/>
              </w:rPr>
              <w:t>交货产品数量</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7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rPr>
                <w:rFonts w:hint="eastAsia" w:ascii="宋体" w:hAnsi="宋体" w:eastAsia="宋体" w:cs="宋体"/>
                <w:color w:val="auto"/>
                <w:sz w:val="19"/>
                <w:highlight w:val="none"/>
              </w:rPr>
            </w:pPr>
          </w:p>
          <w:p>
            <w:pPr>
              <w:pStyle w:val="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12" w:type="dxa"/>
            <w:tcBorders>
              <w:left w:val="single" w:color="000000" w:sz="4" w:space="0"/>
              <w:right w:val="single" w:color="000000" w:sz="4" w:space="0"/>
            </w:tcBorders>
            <w:noWrap w:val="0"/>
            <w:vAlign w:val="top"/>
          </w:tcPr>
          <w:p>
            <w:pPr>
              <w:pStyle w:val="12"/>
              <w:spacing w:line="440" w:lineRule="exact"/>
              <w:ind w:left="848" w:right="55" w:hanging="756"/>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交货产品的质量文</w:t>
            </w:r>
            <w:r>
              <w:rPr>
                <w:rFonts w:hint="eastAsia" w:ascii="宋体" w:hAnsi="宋体" w:eastAsia="宋体" w:cs="宋体"/>
                <w:color w:val="auto"/>
                <w:sz w:val="24"/>
                <w:highlight w:val="none"/>
              </w:rPr>
              <w:t>件</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76" w:type="dxa"/>
            <w:tcBorders>
              <w:left w:val="single" w:color="000000" w:sz="4" w:space="0"/>
              <w:right w:val="single" w:color="000000" w:sz="4" w:space="0"/>
            </w:tcBorders>
            <w:noWrap w:val="0"/>
            <w:vAlign w:val="top"/>
          </w:tcPr>
          <w:p>
            <w:pPr>
              <w:pStyle w:val="12"/>
              <w:spacing w:before="1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12" w:type="dxa"/>
            <w:tcBorders>
              <w:left w:val="single" w:color="000000" w:sz="4" w:space="0"/>
              <w:right w:val="single" w:color="000000" w:sz="4" w:space="0"/>
            </w:tcBorders>
            <w:noWrap w:val="0"/>
            <w:vAlign w:val="top"/>
          </w:tcPr>
          <w:p>
            <w:pPr>
              <w:pStyle w:val="12"/>
              <w:spacing w:line="440" w:lineRule="exact"/>
              <w:ind w:left="632" w:right="7" w:hanging="588"/>
              <w:rPr>
                <w:rFonts w:hint="eastAsia" w:ascii="宋体" w:hAnsi="宋体" w:eastAsia="宋体" w:cs="宋体"/>
                <w:color w:val="auto"/>
                <w:sz w:val="24"/>
                <w:highlight w:val="none"/>
              </w:rPr>
            </w:pPr>
            <w:r>
              <w:rPr>
                <w:rFonts w:hint="eastAsia" w:ascii="宋体" w:hAnsi="宋体" w:eastAsia="宋体" w:cs="宋体"/>
                <w:color w:val="auto"/>
                <w:spacing w:val="-25"/>
                <w:sz w:val="24"/>
                <w:highlight w:val="none"/>
              </w:rPr>
              <w:t>交货产品技 术、性</w:t>
            </w:r>
            <w:r>
              <w:rPr>
                <w:rFonts w:hint="eastAsia" w:ascii="宋体" w:hAnsi="宋体" w:eastAsia="宋体" w:cs="宋体"/>
                <w:color w:val="auto"/>
                <w:spacing w:val="-16"/>
                <w:sz w:val="24"/>
                <w:highlight w:val="none"/>
              </w:rPr>
              <w:t>能指标</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tcBorders>
              <w:left w:val="single" w:color="000000" w:sz="4" w:space="0"/>
              <w:right w:val="single" w:color="000000" w:sz="4" w:space="0"/>
            </w:tcBorders>
            <w:noWrap w:val="0"/>
            <w:vAlign w:val="top"/>
          </w:tcPr>
          <w:p>
            <w:pPr>
              <w:pStyle w:val="12"/>
              <w:spacing w:before="111"/>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12" w:type="dxa"/>
            <w:tcBorders>
              <w:left w:val="single" w:color="000000" w:sz="4" w:space="0"/>
              <w:right w:val="single" w:color="000000" w:sz="4" w:space="0"/>
            </w:tcBorders>
            <w:noWrap w:val="0"/>
            <w:vAlign w:val="top"/>
          </w:tcPr>
          <w:p>
            <w:pPr>
              <w:pStyle w:val="12"/>
              <w:spacing w:before="111"/>
              <w:ind w:left="26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 承诺</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76" w:type="dxa"/>
            <w:tcBorders>
              <w:left w:val="single" w:color="000000" w:sz="4" w:space="0"/>
              <w:right w:val="single" w:color="000000" w:sz="4" w:space="0"/>
            </w:tcBorders>
            <w:noWrap w:val="0"/>
            <w:vAlign w:val="top"/>
          </w:tcPr>
          <w:p>
            <w:pPr>
              <w:pStyle w:val="12"/>
              <w:spacing w:before="1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12" w:type="dxa"/>
            <w:tcBorders>
              <w:left w:val="single" w:color="000000" w:sz="4" w:space="0"/>
              <w:right w:val="single" w:color="000000" w:sz="4" w:space="0"/>
            </w:tcBorders>
            <w:noWrap w:val="0"/>
            <w:vAlign w:val="top"/>
          </w:tcPr>
          <w:p>
            <w:pPr>
              <w:pStyle w:val="12"/>
              <w:spacing w:before="112"/>
              <w:ind w:left="524"/>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bl>
    <w:p>
      <w:pPr>
        <w:pStyle w:val="13"/>
        <w:numPr>
          <w:ilvl w:val="2"/>
          <w:numId w:val="8"/>
        </w:numPr>
        <w:tabs>
          <w:tab w:val="left" w:pos="1504"/>
        </w:tabs>
        <w:spacing w:before="0" w:after="0" w:line="240" w:lineRule="auto"/>
        <w:ind w:left="1504" w:right="0" w:hanging="660"/>
        <w:jc w:val="both"/>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验收资料要求</w:t>
      </w:r>
    </w:p>
    <w:p>
      <w:pPr>
        <w:pStyle w:val="7"/>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验收资料要求包括 (不限于)以下内容：</w:t>
      </w:r>
    </w:p>
    <w:p>
      <w:pPr>
        <w:pStyle w:val="7"/>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 xml:space="preserve"> (1)采购文件；</w:t>
      </w:r>
    </w:p>
    <w:p>
      <w:pPr>
        <w:pStyle w:val="7"/>
        <w:numPr>
          <w:ilvl w:val="0"/>
          <w:numId w:val="9"/>
        </w:numPr>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 </w:t>
      </w:r>
    </w:p>
    <w:p>
      <w:pPr>
        <w:pStyle w:val="7"/>
        <w:numPr>
          <w:ilvl w:val="0"/>
          <w:numId w:val="9"/>
        </w:numPr>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(采购合同；</w:t>
      </w:r>
    </w:p>
    <w:p>
      <w:pPr>
        <w:pStyle w:val="7"/>
        <w:spacing w:before="11"/>
        <w:ind w:left="870"/>
        <w:rPr>
          <w:rFonts w:hint="eastAsia" w:ascii="宋体" w:hAnsi="宋体" w:eastAsia="宋体" w:cs="宋体"/>
          <w:color w:val="auto"/>
          <w:highlight w:val="none"/>
        </w:rPr>
      </w:pPr>
      <w:r>
        <w:rPr>
          <w:rFonts w:hint="eastAsia" w:ascii="宋体" w:hAnsi="宋体" w:eastAsia="宋体" w:cs="宋体"/>
          <w:color w:val="auto"/>
          <w:highlight w:val="none"/>
        </w:rPr>
        <w:t>(4)其他需要提供的相关资料：(业主根据项目实际增减验收资料内容)。</w:t>
      </w:r>
    </w:p>
    <w:p>
      <w:pPr>
        <w:spacing w:after="0"/>
        <w:rPr>
          <w:rFonts w:hint="eastAsia" w:ascii="宋体" w:hAnsi="宋体" w:eastAsia="宋体" w:cs="宋体"/>
          <w:color w:val="auto"/>
          <w:highlight w:val="none"/>
        </w:rPr>
        <w:sectPr>
          <w:pgSz w:w="11910" w:h="16840"/>
          <w:pgMar w:top="1060" w:right="460" w:bottom="1060" w:left="800" w:header="0" w:footer="871" w:gutter="0"/>
          <w:pgNumType w:fmt="decimal"/>
          <w:cols w:space="720" w:num="1"/>
        </w:sectPr>
      </w:pPr>
    </w:p>
    <w:p>
      <w:pPr>
        <w:spacing w:before="19"/>
        <w:ind w:left="592" w:right="905" w:firstLine="0"/>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第六章 投标文件格式</w:t>
      </w:r>
    </w:p>
    <w:p>
      <w:pPr>
        <w:pStyle w:val="7"/>
        <w:rPr>
          <w:rFonts w:hint="eastAsia" w:ascii="宋体" w:hAnsi="宋体" w:eastAsia="宋体" w:cs="宋体"/>
          <w:color w:val="auto"/>
          <w:sz w:val="36"/>
          <w:highlight w:val="none"/>
        </w:rPr>
      </w:pPr>
    </w:p>
    <w:p>
      <w:pPr>
        <w:pStyle w:val="5"/>
        <w:spacing w:before="269"/>
        <w:ind w:left="573"/>
        <w:rPr>
          <w:rFonts w:hint="eastAsia" w:ascii="宋体" w:hAnsi="宋体" w:eastAsia="宋体" w:cs="宋体"/>
          <w:color w:val="auto"/>
          <w:highlight w:val="none"/>
        </w:rPr>
      </w:pPr>
      <w:r>
        <w:rPr>
          <w:rFonts w:hint="eastAsia" w:ascii="宋体" w:hAnsi="宋体" w:eastAsia="宋体" w:cs="宋体"/>
          <w:color w:val="auto"/>
          <w:highlight w:val="none"/>
        </w:rPr>
        <w:t>第一节封面格式</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11"/>
        <w:rPr>
          <w:rFonts w:hint="eastAsia" w:ascii="宋体" w:hAnsi="宋体" w:eastAsia="宋体" w:cs="宋体"/>
          <w:color w:val="auto"/>
          <w:sz w:val="30"/>
          <w:highlight w:val="none"/>
        </w:rPr>
      </w:pPr>
    </w:p>
    <w:p>
      <w:pPr>
        <w:tabs>
          <w:tab w:val="left" w:pos="722"/>
          <w:tab w:val="left" w:pos="1442"/>
          <w:tab w:val="left" w:pos="2164"/>
        </w:tabs>
        <w:spacing w:before="0"/>
        <w:ind w:left="0" w:right="335" w:firstLine="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响</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应</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文</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件</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12"/>
        <w:rPr>
          <w:rFonts w:hint="eastAsia" w:ascii="宋体" w:hAnsi="宋体" w:eastAsia="宋体" w:cs="宋体"/>
          <w:b/>
          <w:color w:val="auto"/>
          <w:sz w:val="29"/>
          <w:highlight w:val="none"/>
        </w:rPr>
      </w:pPr>
    </w:p>
    <w:p>
      <w:pPr>
        <w:pStyle w:val="5"/>
        <w:spacing w:before="62" w:line="484" w:lineRule="auto"/>
        <w:ind w:right="8909"/>
        <w:jc w:val="left"/>
        <w:rPr>
          <w:rFonts w:hint="eastAsia" w:ascii="宋体" w:hAnsi="宋体" w:eastAsia="宋体" w:cs="宋体"/>
          <w:color w:val="auto"/>
          <w:highlight w:val="none"/>
        </w:rPr>
      </w:pPr>
      <w:r>
        <w:rPr>
          <w:rFonts w:hint="eastAsia" w:ascii="宋体" w:hAnsi="宋体" w:eastAsia="宋体" w:cs="宋体"/>
          <w:color w:val="auto"/>
          <w:highlight w:val="none"/>
        </w:rPr>
        <w:t>项目编号： 项目名称：</w:t>
      </w:r>
    </w:p>
    <w:p>
      <w:pPr>
        <w:spacing w:before="3"/>
        <w:ind w:left="332" w:right="0"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供 应 商（公章）：</w:t>
      </w:r>
    </w:p>
    <w:p>
      <w:pPr>
        <w:pStyle w:val="7"/>
        <w:spacing w:before="9"/>
        <w:rPr>
          <w:rFonts w:hint="eastAsia" w:ascii="宋体" w:hAnsi="宋体" w:eastAsia="宋体" w:cs="宋体"/>
          <w:color w:val="auto"/>
          <w:sz w:val="28"/>
          <w:highlight w:val="none"/>
        </w:rPr>
      </w:pPr>
    </w:p>
    <w:p>
      <w:pPr>
        <w:spacing w:before="0" w:line="484" w:lineRule="auto"/>
        <w:ind w:left="332" w:right="6951"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法定代表人签字（盖章）： 委托代理人签字：</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7"/>
        <w:rPr>
          <w:rFonts w:hint="eastAsia" w:ascii="宋体" w:hAnsi="宋体" w:eastAsia="宋体" w:cs="宋体"/>
          <w:color w:val="auto"/>
          <w:sz w:val="29"/>
          <w:highlight w:val="none"/>
        </w:rPr>
      </w:pPr>
    </w:p>
    <w:p>
      <w:pPr>
        <w:tabs>
          <w:tab w:val="left" w:pos="1259"/>
          <w:tab w:val="left" w:pos="2099"/>
          <w:tab w:val="left" w:pos="2939"/>
        </w:tabs>
        <w:spacing w:before="0"/>
        <w:ind w:left="0" w:right="330" w:firstLine="0"/>
        <w:jc w:val="center"/>
        <w:rPr>
          <w:rFonts w:hint="eastAsia" w:ascii="宋体" w:hAnsi="宋体" w:eastAsia="宋体" w:cs="宋体"/>
          <w:color w:val="auto"/>
          <w:sz w:val="28"/>
          <w:highlight w:val="none"/>
        </w:rPr>
      </w:pPr>
      <w:bookmarkStart w:id="13" w:name="日期：   年    月    日"/>
      <w:bookmarkEnd w:id="13"/>
      <w:r>
        <w:rPr>
          <w:rFonts w:hint="eastAsia" w:ascii="宋体" w:hAnsi="宋体" w:eastAsia="宋体" w:cs="宋体"/>
          <w:color w:val="auto"/>
          <w:sz w:val="28"/>
          <w:highlight w:val="none"/>
        </w:rPr>
        <w:t>日</w:t>
      </w:r>
      <w:r>
        <w:rPr>
          <w:rFonts w:hint="eastAsia" w:ascii="宋体" w:hAnsi="宋体" w:eastAsia="宋体" w:cs="宋体"/>
          <w:color w:val="auto"/>
          <w:spacing w:val="-3"/>
          <w:sz w:val="28"/>
          <w:highlight w:val="none"/>
        </w:rPr>
        <w:t>期</w:t>
      </w:r>
      <w:r>
        <w:rPr>
          <w:rFonts w:hint="eastAsia" w:ascii="宋体" w:hAnsi="宋体" w:eastAsia="宋体" w:cs="宋体"/>
          <w:color w:val="auto"/>
          <w:sz w:val="28"/>
          <w:highlight w:val="none"/>
        </w:rPr>
        <w:t>：</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年</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日</w:t>
      </w:r>
    </w:p>
    <w:p>
      <w:pPr>
        <w:spacing w:after="0"/>
        <w:jc w:val="center"/>
        <w:rPr>
          <w:rFonts w:hint="eastAsia" w:ascii="宋体" w:hAnsi="宋体" w:eastAsia="宋体" w:cs="宋体"/>
          <w:color w:val="auto"/>
          <w:sz w:val="28"/>
          <w:highlight w:val="none"/>
        </w:rPr>
        <w:sectPr>
          <w:pgSz w:w="11910" w:h="16840"/>
          <w:pgMar w:top="1120" w:right="460" w:bottom="1060" w:left="800" w:header="0" w:footer="871" w:gutter="0"/>
          <w:pgNumType w:fmt="decimal"/>
          <w:cols w:space="720" w:num="1"/>
        </w:sectPr>
      </w:pPr>
    </w:p>
    <w:p>
      <w:pPr>
        <w:spacing w:before="39"/>
        <w:ind w:left="575"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第二节资格证明文件格式</w:t>
      </w:r>
    </w:p>
    <w:p>
      <w:pPr>
        <w:pStyle w:val="7"/>
        <w:spacing w:before="2"/>
        <w:rPr>
          <w:rFonts w:hint="eastAsia" w:ascii="宋体" w:hAnsi="宋体" w:eastAsia="宋体" w:cs="宋体"/>
          <w:color w:val="auto"/>
          <w:highlight w:val="none"/>
        </w:rPr>
      </w:pPr>
    </w:p>
    <w:p>
      <w:pPr>
        <w:spacing w:before="0"/>
        <w:ind w:left="256"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资格证明文件目录</w:t>
      </w:r>
    </w:p>
    <w:p>
      <w:pPr>
        <w:pStyle w:val="7"/>
        <w:spacing w:before="12"/>
        <w:rPr>
          <w:rFonts w:hint="eastAsia" w:ascii="宋体" w:hAnsi="宋体" w:eastAsia="宋体" w:cs="宋体"/>
          <w:color w:val="auto"/>
          <w:sz w:val="40"/>
          <w:highlight w:val="none"/>
        </w:rPr>
      </w:pPr>
    </w:p>
    <w:p>
      <w:pPr>
        <w:pStyle w:val="7"/>
        <w:tabs>
          <w:tab w:val="left" w:leader="dot" w:pos="8922"/>
        </w:tabs>
        <w:spacing w:line="388" w:lineRule="auto"/>
        <w:ind w:left="332" w:right="780"/>
        <w:rPr>
          <w:rFonts w:hint="eastAsia" w:ascii="宋体" w:hAnsi="宋体" w:eastAsia="宋体" w:cs="宋体"/>
          <w:color w:val="auto"/>
          <w:highlight w:val="none"/>
        </w:rPr>
      </w:pPr>
      <w:r>
        <w:rPr>
          <w:rFonts w:hint="eastAsia" w:ascii="宋体" w:hAnsi="宋体" w:eastAsia="宋体" w:cs="宋体"/>
          <w:color w:val="auto"/>
          <w:spacing w:val="-3"/>
          <w:highlight w:val="none"/>
        </w:rPr>
        <w:t>一</w:t>
      </w:r>
      <w:r>
        <w:rPr>
          <w:rFonts w:hint="eastAsia" w:ascii="宋体" w:hAnsi="宋体" w:eastAsia="宋体" w:cs="宋体"/>
          <w:color w:val="auto"/>
          <w:highlight w:val="none"/>
        </w:rPr>
        <w:t>、</w:t>
      </w:r>
      <w:r>
        <w:rPr>
          <w:rFonts w:hint="eastAsia" w:ascii="宋体" w:hAnsi="宋体" w:eastAsia="宋体" w:cs="宋体"/>
          <w:color w:val="auto"/>
          <w:spacing w:val="-3"/>
          <w:highlight w:val="none"/>
        </w:rPr>
        <w:t xml:space="preserve"> 营业执</w:t>
      </w:r>
      <w:r>
        <w:rPr>
          <w:rFonts w:hint="eastAsia" w:ascii="宋体" w:hAnsi="宋体" w:eastAsia="宋体" w:cs="宋体"/>
          <w:color w:val="auto"/>
          <w:highlight w:val="none"/>
        </w:rPr>
        <w:t>照</w:t>
      </w:r>
      <w:r>
        <w:rPr>
          <w:rFonts w:hint="eastAsia" w:ascii="宋体" w:hAnsi="宋体" w:eastAsia="宋体" w:cs="宋体"/>
          <w:color w:val="auto"/>
          <w:spacing w:val="-3"/>
          <w:highlight w:val="none"/>
        </w:rPr>
        <w:t>(或事业</w:t>
      </w:r>
      <w:r>
        <w:rPr>
          <w:rFonts w:hint="eastAsia" w:ascii="宋体" w:hAnsi="宋体" w:eastAsia="宋体" w:cs="宋体"/>
          <w:color w:val="auto"/>
          <w:highlight w:val="none"/>
        </w:rPr>
        <w:t>法</w:t>
      </w:r>
      <w:r>
        <w:rPr>
          <w:rFonts w:hint="eastAsia" w:ascii="宋体" w:hAnsi="宋体" w:eastAsia="宋体" w:cs="宋体"/>
          <w:color w:val="auto"/>
          <w:spacing w:val="-3"/>
          <w:highlight w:val="none"/>
        </w:rPr>
        <w:t>人登记证或</w:t>
      </w:r>
      <w:r>
        <w:rPr>
          <w:rFonts w:hint="eastAsia" w:ascii="宋体" w:hAnsi="宋体" w:eastAsia="宋体" w:cs="宋体"/>
          <w:color w:val="auto"/>
          <w:highlight w:val="none"/>
        </w:rPr>
        <w:t>其</w:t>
      </w:r>
      <w:r>
        <w:rPr>
          <w:rFonts w:hint="eastAsia" w:ascii="宋体" w:hAnsi="宋体" w:eastAsia="宋体" w:cs="宋体"/>
          <w:color w:val="auto"/>
          <w:spacing w:val="-3"/>
          <w:highlight w:val="none"/>
        </w:rPr>
        <w:t>他工商等登</w:t>
      </w:r>
      <w:r>
        <w:rPr>
          <w:rFonts w:hint="eastAsia" w:ascii="宋体" w:hAnsi="宋体" w:eastAsia="宋体" w:cs="宋体"/>
          <w:color w:val="auto"/>
          <w:highlight w:val="none"/>
        </w:rPr>
        <w:t>记</w:t>
      </w:r>
      <w:r>
        <w:rPr>
          <w:rFonts w:hint="eastAsia" w:ascii="宋体" w:hAnsi="宋体" w:eastAsia="宋体" w:cs="宋体"/>
          <w:color w:val="auto"/>
          <w:spacing w:val="-3"/>
          <w:highlight w:val="none"/>
        </w:rPr>
        <w:t>证明材</w:t>
      </w:r>
      <w:r>
        <w:rPr>
          <w:rFonts w:hint="eastAsia" w:ascii="宋体" w:hAnsi="宋体" w:eastAsia="宋体" w:cs="宋体"/>
          <w:color w:val="auto"/>
          <w:highlight w:val="none"/>
        </w:rPr>
        <w:t>料</w:t>
      </w:r>
      <w:r>
        <w:rPr>
          <w:rFonts w:hint="eastAsia" w:ascii="宋体" w:hAnsi="宋体" w:eastAsia="宋体" w:cs="宋体"/>
          <w:color w:val="auto"/>
          <w:spacing w:val="-3"/>
          <w:highlight w:val="none"/>
        </w:rPr>
        <w:t>)复印</w:t>
      </w:r>
      <w:r>
        <w:rPr>
          <w:rFonts w:hint="eastAsia" w:ascii="宋体" w:hAnsi="宋体" w:eastAsia="宋体" w:cs="宋体"/>
          <w:color w:val="auto"/>
          <w:highlight w:val="none"/>
        </w:rPr>
        <w:t>件</w:t>
      </w:r>
      <w:r>
        <w:rPr>
          <w:rFonts w:hint="eastAsia" w:ascii="宋体" w:hAnsi="宋体" w:eastAsia="宋体" w:cs="宋体"/>
          <w:color w:val="auto"/>
          <w:spacing w:val="-3"/>
          <w:highlight w:val="none"/>
        </w:rPr>
        <w:t>(投标人</w:t>
      </w:r>
      <w:r>
        <w:rPr>
          <w:rFonts w:hint="eastAsia" w:ascii="宋体" w:hAnsi="宋体" w:eastAsia="宋体" w:cs="宋体"/>
          <w:color w:val="auto"/>
          <w:highlight w:val="none"/>
        </w:rPr>
        <w:t xml:space="preserve">为自然人的， </w:t>
      </w:r>
      <w:r>
        <w:rPr>
          <w:rFonts w:hint="eastAsia" w:ascii="宋体" w:hAnsi="宋体" w:eastAsia="宋体" w:cs="宋体"/>
          <w:color w:val="auto"/>
          <w:spacing w:val="7"/>
          <w:highlight w:val="none"/>
        </w:rPr>
        <w:t>须</w:t>
      </w:r>
      <w:r>
        <w:rPr>
          <w:rFonts w:hint="eastAsia" w:ascii="宋体" w:hAnsi="宋体" w:eastAsia="宋体" w:cs="宋体"/>
          <w:color w:val="auto"/>
          <w:spacing w:val="9"/>
          <w:highlight w:val="none"/>
        </w:rPr>
        <w:t>提</w:t>
      </w:r>
      <w:r>
        <w:rPr>
          <w:rFonts w:hint="eastAsia" w:ascii="宋体" w:hAnsi="宋体" w:eastAsia="宋体" w:cs="宋体"/>
          <w:color w:val="auto"/>
          <w:spacing w:val="7"/>
          <w:highlight w:val="none"/>
        </w:rPr>
        <w:t>供自</w:t>
      </w:r>
      <w:r>
        <w:rPr>
          <w:rFonts w:hint="eastAsia" w:ascii="宋体" w:hAnsi="宋体" w:eastAsia="宋体" w:cs="宋体"/>
          <w:color w:val="auto"/>
          <w:spacing w:val="9"/>
          <w:highlight w:val="none"/>
        </w:rPr>
        <w:t>然</w:t>
      </w:r>
      <w:r>
        <w:rPr>
          <w:rFonts w:hint="eastAsia" w:ascii="宋体" w:hAnsi="宋体" w:eastAsia="宋体" w:cs="宋体"/>
          <w:color w:val="auto"/>
          <w:spacing w:val="7"/>
          <w:highlight w:val="none"/>
        </w:rPr>
        <w:t>人的</w:t>
      </w:r>
      <w:r>
        <w:rPr>
          <w:rFonts w:hint="eastAsia" w:ascii="宋体" w:hAnsi="宋体" w:eastAsia="宋体" w:cs="宋体"/>
          <w:color w:val="auto"/>
          <w:spacing w:val="9"/>
          <w:highlight w:val="none"/>
        </w:rPr>
        <w:t>身</w:t>
      </w:r>
      <w:r>
        <w:rPr>
          <w:rFonts w:hint="eastAsia" w:ascii="宋体" w:hAnsi="宋体" w:eastAsia="宋体" w:cs="宋体"/>
          <w:color w:val="auto"/>
          <w:spacing w:val="7"/>
          <w:highlight w:val="none"/>
        </w:rPr>
        <w:t>份证</w:t>
      </w:r>
      <w:r>
        <w:rPr>
          <w:rFonts w:hint="eastAsia" w:ascii="宋体" w:hAnsi="宋体" w:eastAsia="宋体" w:cs="宋体"/>
          <w:color w:val="auto"/>
          <w:spacing w:val="9"/>
          <w:highlight w:val="none"/>
        </w:rPr>
        <w:t>明</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highlight w:val="none"/>
        </w:rPr>
        <w:t>码)</w:t>
      </w:r>
    </w:p>
    <w:p>
      <w:pPr>
        <w:pStyle w:val="7"/>
        <w:tabs>
          <w:tab w:val="left" w:leader="dot" w:pos="8648"/>
        </w:tabs>
        <w:spacing w:before="5"/>
        <w:ind w:left="332"/>
        <w:rPr>
          <w:rFonts w:hint="eastAsia" w:ascii="宋体" w:hAnsi="宋体" w:eastAsia="宋体" w:cs="宋体"/>
          <w:color w:val="auto"/>
          <w:highlight w:val="none"/>
        </w:rPr>
      </w:pPr>
      <w:r>
        <w:rPr>
          <w:rFonts w:hint="eastAsia" w:ascii="宋体" w:hAnsi="宋体" w:eastAsia="宋体" w:cs="宋体"/>
          <w:color w:val="auto"/>
          <w:spacing w:val="45"/>
          <w:highlight w:val="none"/>
        </w:rPr>
        <w:t>二</w:t>
      </w:r>
      <w:r>
        <w:rPr>
          <w:rFonts w:hint="eastAsia" w:ascii="宋体" w:hAnsi="宋体" w:eastAsia="宋体" w:cs="宋体"/>
          <w:color w:val="auto"/>
          <w:highlight w:val="none"/>
        </w:rPr>
        <w:t>、</w:t>
      </w:r>
      <w:r>
        <w:rPr>
          <w:rFonts w:hint="eastAsia" w:ascii="宋体" w:hAnsi="宋体" w:eastAsia="宋体" w:cs="宋体"/>
          <w:color w:val="auto"/>
          <w:spacing w:val="-77"/>
          <w:highlight w:val="none"/>
        </w:rPr>
        <w:t xml:space="preserve"> </w:t>
      </w:r>
      <w:r>
        <w:rPr>
          <w:rFonts w:hint="eastAsia" w:ascii="宋体" w:hAnsi="宋体" w:eastAsia="宋体" w:cs="宋体"/>
          <w:color w:val="auto"/>
          <w:spacing w:val="28"/>
          <w:highlight w:val="none"/>
        </w:rPr>
        <w:t>符</w:t>
      </w:r>
      <w:r>
        <w:rPr>
          <w:rFonts w:hint="eastAsia" w:ascii="宋体" w:hAnsi="宋体" w:eastAsia="宋体" w:cs="宋体"/>
          <w:color w:val="auto"/>
          <w:spacing w:val="21"/>
          <w:highlight w:val="none"/>
        </w:rPr>
        <w:t>合特定</w:t>
      </w:r>
      <w:r>
        <w:rPr>
          <w:rFonts w:hint="eastAsia" w:ascii="宋体" w:hAnsi="宋体" w:eastAsia="宋体" w:cs="宋体"/>
          <w:color w:val="auto"/>
          <w:spacing w:val="24"/>
          <w:highlight w:val="none"/>
        </w:rPr>
        <w:t>资</w:t>
      </w:r>
      <w:r>
        <w:rPr>
          <w:rFonts w:hint="eastAsia" w:ascii="宋体" w:hAnsi="宋体" w:eastAsia="宋体" w:cs="宋体"/>
          <w:color w:val="auto"/>
          <w:spacing w:val="21"/>
          <w:highlight w:val="none"/>
        </w:rPr>
        <w:t>格条件</w:t>
      </w:r>
      <w:r>
        <w:rPr>
          <w:rFonts w:hint="eastAsia" w:ascii="宋体" w:hAnsi="宋体" w:eastAsia="宋体" w:cs="宋体"/>
          <w:color w:val="auto"/>
          <w:spacing w:val="12"/>
          <w:highlight w:val="none"/>
        </w:rPr>
        <w:t>(</w:t>
      </w:r>
      <w:r>
        <w:rPr>
          <w:rFonts w:hint="eastAsia" w:ascii="宋体" w:hAnsi="宋体" w:eastAsia="宋体" w:cs="宋体"/>
          <w:color w:val="auto"/>
          <w:spacing w:val="21"/>
          <w:highlight w:val="none"/>
        </w:rPr>
        <w:t>如有</w:t>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的有关</w:t>
      </w:r>
      <w:r>
        <w:rPr>
          <w:rFonts w:hint="eastAsia" w:ascii="宋体" w:hAnsi="宋体" w:eastAsia="宋体" w:cs="宋体"/>
          <w:color w:val="auto"/>
          <w:spacing w:val="24"/>
          <w:highlight w:val="none"/>
        </w:rPr>
        <w:t>证</w:t>
      </w:r>
      <w:r>
        <w:rPr>
          <w:rFonts w:hint="eastAsia" w:ascii="宋体" w:hAnsi="宋体" w:eastAsia="宋体" w:cs="宋体"/>
          <w:color w:val="auto"/>
          <w:spacing w:val="21"/>
          <w:highlight w:val="none"/>
        </w:rPr>
        <w:t>明材</w:t>
      </w:r>
      <w:r>
        <w:rPr>
          <w:rFonts w:hint="eastAsia" w:ascii="宋体" w:hAnsi="宋体" w:eastAsia="宋体" w:cs="宋体"/>
          <w:color w:val="auto"/>
          <w:spacing w:val="24"/>
          <w:highlight w:val="none"/>
        </w:rPr>
        <w:t>料</w:t>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复印</w:t>
      </w:r>
      <w:r>
        <w:rPr>
          <w:rFonts w:hint="eastAsia" w:ascii="宋体" w:hAnsi="宋体" w:eastAsia="宋体" w:cs="宋体"/>
          <w:color w:val="auto"/>
          <w:spacing w:val="24"/>
          <w:highlight w:val="none"/>
        </w:rPr>
        <w:t>件</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页</w:t>
      </w:r>
      <w:r>
        <w:rPr>
          <w:rFonts w:hint="eastAsia" w:ascii="宋体" w:hAnsi="宋体" w:eastAsia="宋体" w:cs="宋体"/>
          <w:color w:val="auto"/>
          <w:spacing w:val="24"/>
          <w:highlight w:val="none"/>
        </w:rPr>
        <w:t>码</w:t>
      </w:r>
      <w:r>
        <w:rPr>
          <w:rFonts w:hint="eastAsia" w:ascii="宋体" w:hAnsi="宋体" w:eastAsia="宋体" w:cs="宋体"/>
          <w:color w:val="auto"/>
          <w:highlight w:val="none"/>
        </w:rPr>
        <w:t>)</w:t>
      </w:r>
    </w:p>
    <w:p>
      <w:pPr>
        <w:pStyle w:val="7"/>
        <w:spacing w:before="191"/>
        <w:ind w:right="320"/>
        <w:jc w:val="center"/>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注：以上目录是基本格式要求，各投标人可根据自身情况进一步向下增加内容或细化。</w:t>
      </w:r>
    </w:p>
    <w:p>
      <w:pPr>
        <w:spacing w:after="0"/>
        <w:jc w:val="center"/>
        <w:rPr>
          <w:rFonts w:hint="eastAsia" w:ascii="宋体" w:hAnsi="宋体" w:eastAsia="宋体" w:cs="宋体"/>
          <w:color w:val="auto"/>
          <w:highlight w:val="none"/>
        </w:rPr>
        <w:sectPr>
          <w:footerReference r:id="rId10" w:type="default"/>
          <w:pgSz w:w="11910" w:h="16840"/>
          <w:pgMar w:top="1420" w:right="460" w:bottom="1060" w:left="800" w:header="0" w:footer="871" w:gutter="0"/>
          <w:pgNumType w:fmt="decimal"/>
          <w:cols w:space="720" w:num="1"/>
        </w:sectPr>
      </w:pPr>
    </w:p>
    <w:p>
      <w:pPr>
        <w:pStyle w:val="5"/>
        <w:spacing w:before="32"/>
        <w:ind w:left="578"/>
        <w:rPr>
          <w:rFonts w:hint="eastAsia" w:ascii="宋体" w:hAnsi="宋体" w:eastAsia="宋体" w:cs="宋体"/>
          <w:color w:val="auto"/>
          <w:highlight w:val="none"/>
        </w:rPr>
      </w:pPr>
      <w:bookmarkStart w:id="14" w:name="第三节 商务文件格式"/>
      <w:bookmarkEnd w:id="14"/>
      <w:r>
        <w:rPr>
          <w:rFonts w:hint="eastAsia" w:ascii="宋体" w:hAnsi="宋体" w:eastAsia="宋体" w:cs="宋体"/>
          <w:color w:val="auto"/>
          <w:highlight w:val="none"/>
        </w:rPr>
        <w:t>第三节 商务文件格式</w:t>
      </w:r>
    </w:p>
    <w:p>
      <w:pPr>
        <w:pStyle w:val="7"/>
        <w:rPr>
          <w:rFonts w:hint="eastAsia" w:ascii="宋体" w:hAnsi="宋体" w:eastAsia="宋体" w:cs="宋体"/>
          <w:color w:val="auto"/>
          <w:sz w:val="28"/>
          <w:highlight w:val="none"/>
        </w:rPr>
      </w:pPr>
    </w:p>
    <w:p>
      <w:pPr>
        <w:spacing w:before="213"/>
        <w:ind w:left="585"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商务文件目录</w:t>
      </w:r>
    </w:p>
    <w:p>
      <w:pPr>
        <w:pStyle w:val="7"/>
        <w:tabs>
          <w:tab w:val="left" w:leader="dot" w:pos="8007"/>
        </w:tabs>
        <w:spacing w:before="157"/>
        <w:ind w:left="332"/>
        <w:rPr>
          <w:rFonts w:hint="eastAsia" w:ascii="宋体" w:hAnsi="宋体" w:eastAsia="宋体" w:cs="宋体"/>
          <w:color w:val="auto"/>
          <w:highlight w:val="none"/>
        </w:rPr>
      </w:pPr>
      <w:r>
        <w:rPr>
          <w:rFonts w:hint="eastAsia" w:ascii="宋体" w:hAnsi="宋体" w:eastAsia="宋体" w:cs="宋体"/>
          <w:color w:val="auto"/>
          <w:spacing w:val="33"/>
          <w:highlight w:val="none"/>
        </w:rPr>
        <w:t>一</w:t>
      </w:r>
      <w:r>
        <w:rPr>
          <w:rFonts w:hint="eastAsia" w:ascii="宋体" w:hAnsi="宋体" w:eastAsia="宋体" w:cs="宋体"/>
          <w:color w:val="auto"/>
          <w:spacing w:val="16"/>
          <w:highlight w:val="none"/>
        </w:rPr>
        <w:t>、</w:t>
      </w:r>
      <w:r>
        <w:rPr>
          <w:rFonts w:hint="eastAsia" w:ascii="宋体" w:hAnsi="宋体" w:eastAsia="宋体" w:cs="宋体"/>
          <w:color w:val="auto"/>
          <w:spacing w:val="19"/>
          <w:highlight w:val="none"/>
        </w:rPr>
        <w:t>无</w:t>
      </w:r>
      <w:r>
        <w:rPr>
          <w:rFonts w:hint="eastAsia" w:ascii="宋体" w:hAnsi="宋体" w:eastAsia="宋体" w:cs="宋体"/>
          <w:color w:val="auto"/>
          <w:spacing w:val="16"/>
          <w:highlight w:val="none"/>
        </w:rPr>
        <w:t>串</w:t>
      </w:r>
      <w:r>
        <w:rPr>
          <w:rFonts w:hint="eastAsia" w:ascii="宋体" w:hAnsi="宋体" w:eastAsia="宋体" w:cs="宋体"/>
          <w:color w:val="auto"/>
          <w:spacing w:val="19"/>
          <w:highlight w:val="none"/>
        </w:rPr>
        <w:t>标</w:t>
      </w:r>
      <w:r>
        <w:rPr>
          <w:rFonts w:hint="eastAsia" w:ascii="宋体" w:hAnsi="宋体" w:eastAsia="宋体" w:cs="宋体"/>
          <w:color w:val="auto"/>
          <w:spacing w:val="16"/>
          <w:highlight w:val="none"/>
        </w:rPr>
        <w:t>行</w:t>
      </w:r>
      <w:r>
        <w:rPr>
          <w:rFonts w:hint="eastAsia" w:ascii="宋体" w:hAnsi="宋体" w:eastAsia="宋体" w:cs="宋体"/>
          <w:color w:val="auto"/>
          <w:spacing w:val="19"/>
          <w:highlight w:val="none"/>
        </w:rPr>
        <w:t>为</w:t>
      </w:r>
      <w:r>
        <w:rPr>
          <w:rFonts w:hint="eastAsia" w:ascii="宋体" w:hAnsi="宋体" w:eastAsia="宋体" w:cs="宋体"/>
          <w:color w:val="auto"/>
          <w:spacing w:val="16"/>
          <w:highlight w:val="none"/>
        </w:rPr>
        <w:t>承</w:t>
      </w:r>
      <w:r>
        <w:rPr>
          <w:rFonts w:hint="eastAsia" w:ascii="宋体" w:hAnsi="宋体" w:eastAsia="宋体" w:cs="宋体"/>
          <w:color w:val="auto"/>
          <w:spacing w:val="19"/>
          <w:highlight w:val="none"/>
        </w:rPr>
        <w:t>诺</w:t>
      </w:r>
      <w:r>
        <w:rPr>
          <w:rFonts w:hint="eastAsia" w:ascii="宋体" w:hAnsi="宋体" w:eastAsia="宋体" w:cs="宋体"/>
          <w:color w:val="auto"/>
          <w:spacing w:val="16"/>
          <w:highlight w:val="none"/>
        </w:rPr>
        <w:t>函及</w:t>
      </w:r>
      <w:r>
        <w:rPr>
          <w:rFonts w:hint="eastAsia" w:ascii="宋体" w:hAnsi="宋体" w:eastAsia="宋体" w:cs="宋体"/>
          <w:color w:val="auto"/>
          <w:spacing w:val="19"/>
          <w:highlight w:val="none"/>
        </w:rPr>
        <w:t>投</w:t>
      </w:r>
      <w:r>
        <w:rPr>
          <w:rFonts w:hint="eastAsia" w:ascii="宋体" w:hAnsi="宋体" w:eastAsia="宋体" w:cs="宋体"/>
          <w:color w:val="auto"/>
          <w:spacing w:val="16"/>
          <w:highlight w:val="none"/>
        </w:rPr>
        <w:t>标</w:t>
      </w:r>
      <w:r>
        <w:rPr>
          <w:rFonts w:hint="eastAsia" w:ascii="宋体" w:hAnsi="宋体" w:eastAsia="宋体" w:cs="宋体"/>
          <w:color w:val="auto"/>
          <w:spacing w:val="19"/>
          <w:highlight w:val="none"/>
        </w:rPr>
        <w:t>资</w:t>
      </w:r>
      <w:r>
        <w:rPr>
          <w:rFonts w:hint="eastAsia" w:ascii="宋体" w:hAnsi="宋体" w:eastAsia="宋体" w:cs="宋体"/>
          <w:color w:val="auto"/>
          <w:spacing w:val="16"/>
          <w:highlight w:val="none"/>
        </w:rPr>
        <w:t>格</w:t>
      </w:r>
      <w:r>
        <w:rPr>
          <w:rFonts w:hint="eastAsia" w:ascii="宋体" w:hAnsi="宋体" w:eastAsia="宋体" w:cs="宋体"/>
          <w:color w:val="auto"/>
          <w:spacing w:val="19"/>
          <w:highlight w:val="none"/>
        </w:rPr>
        <w:t>申</w:t>
      </w:r>
      <w:r>
        <w:rPr>
          <w:rFonts w:hint="eastAsia" w:ascii="宋体" w:hAnsi="宋体" w:eastAsia="宋体" w:cs="宋体"/>
          <w:color w:val="auto"/>
          <w:spacing w:val="16"/>
          <w:highlight w:val="none"/>
        </w:rPr>
        <w:t>明</w:t>
      </w:r>
      <w:r>
        <w:rPr>
          <w:rFonts w:hint="eastAsia" w:ascii="宋体" w:hAnsi="宋体" w:eastAsia="宋体" w:cs="宋体"/>
          <w:color w:val="auto"/>
          <w:highlight w:val="none"/>
        </w:rPr>
        <w:t>函</w:t>
      </w:r>
      <w:r>
        <w:rPr>
          <w:rFonts w:hint="eastAsia" w:ascii="宋体" w:hAnsi="宋体" w:eastAsia="宋体" w:cs="宋体"/>
          <w:color w:val="auto"/>
          <w:highlight w:val="none"/>
        </w:rPr>
        <w:tab/>
      </w:r>
      <w:r>
        <w:rPr>
          <w:rFonts w:hint="eastAsia" w:ascii="宋体" w:hAnsi="宋体" w:eastAsia="宋体" w:cs="宋体"/>
          <w:color w:val="auto"/>
          <w:spacing w:val="7"/>
          <w:highlight w:val="none"/>
        </w:rPr>
        <w:t>(</w:t>
      </w:r>
      <w:r>
        <w:rPr>
          <w:rFonts w:hint="eastAsia" w:ascii="宋体" w:hAnsi="宋体" w:eastAsia="宋体" w:cs="宋体"/>
          <w:color w:val="auto"/>
          <w:spacing w:val="19"/>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7847"/>
        </w:tabs>
        <w:spacing w:before="194"/>
        <w:ind w:left="332"/>
        <w:rPr>
          <w:rFonts w:hint="eastAsia" w:ascii="宋体" w:hAnsi="宋体" w:eastAsia="宋体" w:cs="宋体"/>
          <w:color w:val="auto"/>
          <w:highlight w:val="none"/>
        </w:rPr>
      </w:pPr>
      <w:r>
        <w:rPr>
          <w:rFonts w:hint="eastAsia" w:ascii="宋体" w:hAnsi="宋体" w:eastAsia="宋体" w:cs="宋体"/>
          <w:color w:val="auto"/>
          <w:spacing w:val="-3"/>
          <w:highlight w:val="none"/>
        </w:rPr>
        <w:t>二</w:t>
      </w:r>
      <w:r>
        <w:rPr>
          <w:rFonts w:hint="eastAsia" w:ascii="宋体" w:hAnsi="宋体" w:eastAsia="宋体" w:cs="宋体"/>
          <w:color w:val="auto"/>
          <w:highlight w:val="none"/>
        </w:rPr>
        <w:t>、</w:t>
      </w:r>
      <w:r>
        <w:rPr>
          <w:rFonts w:hint="eastAsia" w:ascii="宋体" w:hAnsi="宋体" w:eastAsia="宋体" w:cs="宋体"/>
          <w:color w:val="auto"/>
          <w:spacing w:val="-3"/>
          <w:highlight w:val="none"/>
        </w:rPr>
        <w:t xml:space="preserve"> 法定代</w:t>
      </w:r>
      <w:r>
        <w:rPr>
          <w:rFonts w:hint="eastAsia" w:ascii="宋体" w:hAnsi="宋体" w:eastAsia="宋体" w:cs="宋体"/>
          <w:color w:val="auto"/>
          <w:highlight w:val="none"/>
        </w:rPr>
        <w:t>表</w:t>
      </w:r>
      <w:r>
        <w:rPr>
          <w:rFonts w:hint="eastAsia" w:ascii="宋体" w:hAnsi="宋体" w:eastAsia="宋体" w:cs="宋体"/>
          <w:color w:val="auto"/>
          <w:spacing w:val="-3"/>
          <w:highlight w:val="none"/>
        </w:rPr>
        <w:t>人身份证明</w:t>
      </w:r>
      <w:r>
        <w:rPr>
          <w:rFonts w:hint="eastAsia" w:ascii="宋体" w:hAnsi="宋体" w:eastAsia="宋体" w:cs="宋体"/>
          <w:color w:val="auto"/>
          <w:highlight w:val="none"/>
        </w:rPr>
        <w:t>及</w:t>
      </w: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有</w:t>
      </w:r>
      <w:r>
        <w:rPr>
          <w:rFonts w:hint="eastAsia" w:ascii="宋体" w:hAnsi="宋体" w:eastAsia="宋体" w:cs="宋体"/>
          <w:color w:val="auto"/>
          <w:spacing w:val="-3"/>
          <w:highlight w:val="none"/>
        </w:rPr>
        <w:t>效身份证</w:t>
      </w:r>
      <w:r>
        <w:rPr>
          <w:rFonts w:hint="eastAsia" w:ascii="宋体" w:hAnsi="宋体" w:eastAsia="宋体" w:cs="宋体"/>
          <w:color w:val="auto"/>
          <w:highlight w:val="none"/>
        </w:rPr>
        <w:t>正反面复印件</w:t>
      </w:r>
      <w:r>
        <w:rPr>
          <w:rFonts w:hint="eastAsia" w:ascii="宋体" w:hAnsi="宋体" w:eastAsia="宋体" w:cs="宋体"/>
          <w:color w:val="auto"/>
          <w:highlight w:val="none"/>
        </w:rPr>
        <w:tab/>
      </w:r>
      <w:r>
        <w:rPr>
          <w:rFonts w:hint="eastAsia" w:ascii="宋体" w:hAnsi="宋体" w:eastAsia="宋体" w:cs="宋体"/>
          <w:color w:val="auto"/>
          <w:highlight w:val="none"/>
        </w:rPr>
        <w:t>(页码)</w:t>
      </w:r>
    </w:p>
    <w:p>
      <w:pPr>
        <w:pStyle w:val="7"/>
        <w:tabs>
          <w:tab w:val="left" w:leader="dot" w:pos="7904"/>
        </w:tabs>
        <w:spacing w:before="191"/>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三</w:t>
      </w:r>
      <w:r>
        <w:rPr>
          <w:rFonts w:hint="eastAsia" w:ascii="宋体" w:hAnsi="宋体" w:eastAsia="宋体" w:cs="宋体"/>
          <w:color w:val="auto"/>
          <w:highlight w:val="none"/>
        </w:rPr>
        <w:t>、</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7"/>
          <w:highlight w:val="none"/>
        </w:rPr>
        <w:t>法</w:t>
      </w:r>
      <w:r>
        <w:rPr>
          <w:rFonts w:hint="eastAsia" w:ascii="宋体" w:hAnsi="宋体" w:eastAsia="宋体" w:cs="宋体"/>
          <w:color w:val="auto"/>
          <w:spacing w:val="9"/>
          <w:highlight w:val="none"/>
        </w:rPr>
        <w:t>定</w:t>
      </w:r>
      <w:r>
        <w:rPr>
          <w:rFonts w:hint="eastAsia" w:ascii="宋体" w:hAnsi="宋体" w:eastAsia="宋体" w:cs="宋体"/>
          <w:color w:val="auto"/>
          <w:spacing w:val="7"/>
          <w:highlight w:val="none"/>
        </w:rPr>
        <w:t>代</w:t>
      </w:r>
      <w:r>
        <w:rPr>
          <w:rFonts w:hint="eastAsia" w:ascii="宋体" w:hAnsi="宋体" w:eastAsia="宋体" w:cs="宋体"/>
          <w:color w:val="auto"/>
          <w:spacing w:val="9"/>
          <w:highlight w:val="none"/>
        </w:rPr>
        <w:t>表</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授</w:t>
      </w:r>
      <w:r>
        <w:rPr>
          <w:rFonts w:hint="eastAsia" w:ascii="宋体" w:hAnsi="宋体" w:eastAsia="宋体" w:cs="宋体"/>
          <w:color w:val="auto"/>
          <w:spacing w:val="4"/>
          <w:highlight w:val="none"/>
        </w:rPr>
        <w:t>权委</w:t>
      </w:r>
      <w:r>
        <w:rPr>
          <w:rFonts w:hint="eastAsia" w:ascii="宋体" w:hAnsi="宋体" w:eastAsia="宋体" w:cs="宋体"/>
          <w:color w:val="auto"/>
          <w:highlight w:val="none"/>
        </w:rPr>
        <w:t>托</w:t>
      </w:r>
      <w:r>
        <w:rPr>
          <w:rFonts w:hint="eastAsia" w:ascii="宋体" w:hAnsi="宋体" w:eastAsia="宋体" w:cs="宋体"/>
          <w:color w:val="auto"/>
          <w:spacing w:val="4"/>
          <w:highlight w:val="none"/>
        </w:rPr>
        <w:t>书</w:t>
      </w:r>
      <w:r>
        <w:rPr>
          <w:rFonts w:hint="eastAsia" w:ascii="宋体" w:hAnsi="宋体" w:eastAsia="宋体" w:cs="宋体"/>
          <w:color w:val="auto"/>
          <w:highlight w:val="none"/>
        </w:rPr>
        <w:t>(</w:t>
      </w:r>
      <w:r>
        <w:rPr>
          <w:rFonts w:hint="eastAsia" w:ascii="宋体" w:hAnsi="宋体" w:eastAsia="宋体" w:cs="宋体"/>
          <w:color w:val="auto"/>
          <w:spacing w:val="4"/>
          <w:highlight w:val="none"/>
        </w:rPr>
        <w:t>如</w:t>
      </w:r>
      <w:r>
        <w:rPr>
          <w:rFonts w:hint="eastAsia" w:ascii="宋体" w:hAnsi="宋体" w:eastAsia="宋体" w:cs="宋体"/>
          <w:color w:val="auto"/>
          <w:highlight w:val="none"/>
        </w:rPr>
        <w:t>有</w:t>
      </w:r>
      <w:r>
        <w:rPr>
          <w:rFonts w:hint="eastAsia" w:ascii="宋体" w:hAnsi="宋体" w:eastAsia="宋体" w:cs="宋体"/>
          <w:color w:val="auto"/>
          <w:spacing w:val="4"/>
          <w:highlight w:val="none"/>
        </w:rPr>
        <w:t>委托</w:t>
      </w:r>
      <w:r>
        <w:rPr>
          <w:rFonts w:hint="eastAsia" w:ascii="宋体" w:hAnsi="宋体" w:eastAsia="宋体" w:cs="宋体"/>
          <w:color w:val="auto"/>
          <w:highlight w:val="none"/>
        </w:rPr>
        <w:t>时)</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767"/>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四、商务条款偏离</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spacing w:val="4"/>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803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五、</w:t>
      </w:r>
      <w:r>
        <w:rPr>
          <w:rFonts w:hint="eastAsia" w:ascii="宋体" w:hAnsi="宋体" w:eastAsia="宋体" w:cs="宋体"/>
          <w:color w:val="auto"/>
          <w:spacing w:val="9"/>
          <w:highlight w:val="none"/>
        </w:rPr>
        <w:t>投</w:t>
      </w:r>
      <w:r>
        <w:rPr>
          <w:rFonts w:hint="eastAsia" w:ascii="宋体" w:hAnsi="宋体" w:eastAsia="宋体" w:cs="宋体"/>
          <w:color w:val="auto"/>
          <w:spacing w:val="4"/>
          <w:highlight w:val="none"/>
        </w:rPr>
        <w:t>标</w:t>
      </w:r>
      <w:r>
        <w:rPr>
          <w:rFonts w:hint="eastAsia" w:ascii="宋体" w:hAnsi="宋体" w:eastAsia="宋体" w:cs="宋体"/>
          <w:color w:val="auto"/>
          <w:spacing w:val="7"/>
          <w:highlight w:val="none"/>
        </w:rPr>
        <w:t>人</w:t>
      </w:r>
      <w:r>
        <w:rPr>
          <w:rFonts w:hint="eastAsia" w:ascii="宋体" w:hAnsi="宋体" w:eastAsia="宋体" w:cs="宋体"/>
          <w:color w:val="auto"/>
          <w:spacing w:val="4"/>
          <w:highlight w:val="none"/>
        </w:rPr>
        <w:t>情</w:t>
      </w:r>
      <w:r>
        <w:rPr>
          <w:rFonts w:hint="eastAsia" w:ascii="宋体" w:hAnsi="宋体" w:eastAsia="宋体" w:cs="宋体"/>
          <w:color w:val="auto"/>
          <w:spacing w:val="7"/>
          <w:highlight w:val="none"/>
        </w:rPr>
        <w:t>况</w:t>
      </w:r>
      <w:r>
        <w:rPr>
          <w:rFonts w:hint="eastAsia" w:ascii="宋体" w:hAnsi="宋体" w:eastAsia="宋体" w:cs="宋体"/>
          <w:color w:val="auto"/>
          <w:spacing w:val="4"/>
          <w:highlight w:val="none"/>
        </w:rPr>
        <w:t>介</w:t>
      </w:r>
      <w:r>
        <w:rPr>
          <w:rFonts w:hint="eastAsia" w:ascii="宋体" w:hAnsi="宋体" w:eastAsia="宋体" w:cs="宋体"/>
          <w:color w:val="auto"/>
          <w:highlight w:val="none"/>
        </w:rPr>
        <w:t>绍</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7"/>
          <w:highlight w:val="none"/>
        </w:rPr>
        <w:t>页</w:t>
      </w:r>
      <w:r>
        <w:rPr>
          <w:rFonts w:hint="eastAsia" w:ascii="宋体" w:hAnsi="宋体" w:eastAsia="宋体" w:cs="宋体"/>
          <w:color w:val="auto"/>
          <w:spacing w:val="-12"/>
          <w:highlight w:val="none"/>
        </w:rPr>
        <w:t>码</w:t>
      </w:r>
      <w:r>
        <w:rPr>
          <w:rFonts w:hint="eastAsia" w:ascii="宋体" w:hAnsi="宋体" w:eastAsia="宋体" w:cs="宋体"/>
          <w:color w:val="auto"/>
          <w:highlight w:val="none"/>
        </w:rPr>
        <w:t>)</w:t>
      </w:r>
    </w:p>
    <w:p>
      <w:pPr>
        <w:pStyle w:val="7"/>
        <w:tabs>
          <w:tab w:val="left" w:leader="dot" w:pos="7676"/>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人</w:t>
      </w:r>
      <w:r>
        <w:rPr>
          <w:rFonts w:hint="eastAsia" w:ascii="宋体" w:hAnsi="宋体" w:eastAsia="宋体" w:cs="宋体"/>
          <w:color w:val="auto"/>
          <w:spacing w:val="7"/>
          <w:highlight w:val="none"/>
        </w:rPr>
        <w:t>类似</w:t>
      </w:r>
      <w:r>
        <w:rPr>
          <w:rFonts w:hint="eastAsia" w:ascii="宋体" w:hAnsi="宋体" w:eastAsia="宋体" w:cs="宋体"/>
          <w:color w:val="auto"/>
          <w:spacing w:val="9"/>
          <w:highlight w:val="none"/>
        </w:rPr>
        <w:t>业</w:t>
      </w:r>
      <w:r>
        <w:rPr>
          <w:rFonts w:hint="eastAsia" w:ascii="宋体" w:hAnsi="宋体" w:eastAsia="宋体" w:cs="宋体"/>
          <w:color w:val="auto"/>
          <w:spacing w:val="7"/>
          <w:highlight w:val="none"/>
        </w:rPr>
        <w:t>绩的</w:t>
      </w:r>
      <w:r>
        <w:rPr>
          <w:rFonts w:hint="eastAsia" w:ascii="宋体" w:hAnsi="宋体" w:eastAsia="宋体" w:cs="宋体"/>
          <w:color w:val="auto"/>
          <w:spacing w:val="9"/>
          <w:highlight w:val="none"/>
        </w:rPr>
        <w:t>证</w:t>
      </w:r>
      <w:r>
        <w:rPr>
          <w:rFonts w:hint="eastAsia" w:ascii="宋体" w:hAnsi="宋体" w:eastAsia="宋体" w:cs="宋体"/>
          <w:color w:val="auto"/>
          <w:spacing w:val="7"/>
          <w:highlight w:val="none"/>
        </w:rPr>
        <w:t>明</w:t>
      </w:r>
      <w:r>
        <w:rPr>
          <w:rFonts w:hint="eastAsia" w:ascii="宋体" w:hAnsi="宋体" w:eastAsia="宋体" w:cs="宋体"/>
          <w:color w:val="auto"/>
          <w:spacing w:val="4"/>
          <w:highlight w:val="none"/>
        </w:rPr>
        <w:t>文件</w:t>
      </w:r>
      <w:r>
        <w:rPr>
          <w:rFonts w:hint="eastAsia" w:ascii="宋体" w:hAnsi="宋体" w:eastAsia="宋体" w:cs="宋体"/>
          <w:color w:val="auto"/>
          <w:highlight w:val="none"/>
        </w:rPr>
        <w:t>(</w:t>
      </w:r>
      <w:r>
        <w:rPr>
          <w:rFonts w:hint="eastAsia" w:ascii="宋体" w:hAnsi="宋体" w:eastAsia="宋体" w:cs="宋体"/>
          <w:color w:val="auto"/>
          <w:spacing w:val="4"/>
          <w:highlight w:val="none"/>
        </w:rPr>
        <w:t>如</w:t>
      </w:r>
      <w:r>
        <w:rPr>
          <w:rFonts w:hint="eastAsia" w:ascii="宋体" w:hAnsi="宋体" w:eastAsia="宋体" w:cs="宋体"/>
          <w:color w:val="auto"/>
          <w:highlight w:val="none"/>
        </w:rPr>
        <w:t>有)</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8269"/>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七</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中小</w:t>
      </w:r>
      <w:r>
        <w:rPr>
          <w:rFonts w:hint="eastAsia" w:ascii="宋体" w:hAnsi="宋体" w:eastAsia="宋体" w:cs="宋体"/>
          <w:color w:val="auto"/>
          <w:spacing w:val="9"/>
          <w:highlight w:val="none"/>
        </w:rPr>
        <w:t>企</w:t>
      </w:r>
      <w:r>
        <w:rPr>
          <w:rFonts w:hint="eastAsia" w:ascii="宋体" w:hAnsi="宋体" w:eastAsia="宋体" w:cs="宋体"/>
          <w:color w:val="auto"/>
          <w:spacing w:val="7"/>
          <w:highlight w:val="none"/>
        </w:rPr>
        <w:t>业声</w:t>
      </w:r>
      <w:r>
        <w:rPr>
          <w:rFonts w:hint="eastAsia" w:ascii="宋体" w:hAnsi="宋体" w:eastAsia="宋体" w:cs="宋体"/>
          <w:color w:val="auto"/>
          <w:spacing w:val="9"/>
          <w:highlight w:val="none"/>
        </w:rPr>
        <w:t>明</w:t>
      </w:r>
      <w:r>
        <w:rPr>
          <w:rFonts w:hint="eastAsia" w:ascii="宋体" w:hAnsi="宋体" w:eastAsia="宋体" w:cs="宋体"/>
          <w:color w:val="auto"/>
          <w:spacing w:val="7"/>
          <w:highlight w:val="none"/>
        </w:rPr>
        <w:t>函（</w:t>
      </w:r>
      <w:r>
        <w:rPr>
          <w:rFonts w:hint="eastAsia" w:ascii="宋体" w:hAnsi="宋体" w:eastAsia="宋体" w:cs="宋体"/>
          <w:color w:val="auto"/>
          <w:spacing w:val="9"/>
          <w:highlight w:val="none"/>
        </w:rPr>
        <w:t>如</w:t>
      </w:r>
      <w:r>
        <w:rPr>
          <w:rFonts w:hint="eastAsia" w:ascii="宋体" w:hAnsi="宋体" w:eastAsia="宋体" w:cs="宋体"/>
          <w:color w:val="auto"/>
          <w:spacing w:val="7"/>
          <w:highlight w:val="none"/>
        </w:rPr>
        <w:t>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4"/>
          <w:highlight w:val="none"/>
        </w:rPr>
        <w:t>(</w:t>
      </w:r>
      <w:r>
        <w:rPr>
          <w:rFonts w:hint="eastAsia" w:ascii="宋体" w:hAnsi="宋体" w:eastAsia="宋体" w:cs="宋体"/>
          <w:color w:val="auto"/>
          <w:spacing w:val="7"/>
          <w:highlight w:val="none"/>
        </w:rPr>
        <w:t>页码</w:t>
      </w:r>
      <w:r>
        <w:rPr>
          <w:rFonts w:hint="eastAsia" w:ascii="宋体" w:hAnsi="宋体" w:eastAsia="宋体" w:cs="宋体"/>
          <w:color w:val="auto"/>
          <w:highlight w:val="none"/>
        </w:rPr>
        <w:t>)</w:t>
      </w:r>
    </w:p>
    <w:p>
      <w:pPr>
        <w:pStyle w:val="7"/>
        <w:tabs>
          <w:tab w:val="left" w:leader="dot" w:pos="808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八、其他商</w:t>
      </w:r>
      <w:r>
        <w:rPr>
          <w:rFonts w:hint="eastAsia" w:ascii="宋体" w:hAnsi="宋体" w:eastAsia="宋体" w:cs="宋体"/>
          <w:color w:val="auto"/>
          <w:spacing w:val="-8"/>
          <w:highlight w:val="none"/>
        </w:rPr>
        <w:t>务文</w:t>
      </w:r>
      <w:r>
        <w:rPr>
          <w:rFonts w:hint="eastAsia" w:ascii="宋体" w:hAnsi="宋体" w:eastAsia="宋体" w:cs="宋体"/>
          <w:color w:val="auto"/>
          <w:spacing w:val="-5"/>
          <w:highlight w:val="none"/>
        </w:rPr>
        <w:t>件</w:t>
      </w:r>
      <w:r>
        <w:rPr>
          <w:rFonts w:hint="eastAsia" w:ascii="宋体" w:hAnsi="宋体" w:eastAsia="宋体" w:cs="宋体"/>
          <w:color w:val="auto"/>
          <w:spacing w:val="-8"/>
          <w:highlight w:val="none"/>
        </w:rPr>
        <w:t>或</w:t>
      </w:r>
      <w:r>
        <w:rPr>
          <w:rFonts w:hint="eastAsia" w:ascii="宋体" w:hAnsi="宋体" w:eastAsia="宋体" w:cs="宋体"/>
          <w:color w:val="auto"/>
          <w:spacing w:val="-5"/>
          <w:highlight w:val="none"/>
        </w:rPr>
        <w:t>说</w:t>
      </w:r>
      <w:r>
        <w:rPr>
          <w:rFonts w:hint="eastAsia" w:ascii="宋体" w:hAnsi="宋体" w:eastAsia="宋体" w:cs="宋体"/>
          <w:color w:val="auto"/>
          <w:highlight w:val="none"/>
        </w:rPr>
        <w:t>明</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spacing w:before="191"/>
        <w:ind w:left="332"/>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注：以上目录是基本格式要求，各投标人可根据自身情况进一步向下增加内容或细化。</w:t>
      </w:r>
    </w:p>
    <w:p>
      <w:pPr>
        <w:spacing w:after="0"/>
        <w:rPr>
          <w:rFonts w:hint="eastAsia" w:ascii="宋体" w:hAnsi="宋体" w:eastAsia="宋体" w:cs="宋体"/>
          <w:color w:val="auto"/>
          <w:highlight w:val="none"/>
        </w:rPr>
        <w:sectPr>
          <w:pgSz w:w="11910" w:h="16840"/>
          <w:pgMar w:top="1500" w:right="460" w:bottom="1060" w:left="800" w:header="0" w:footer="871" w:gutter="0"/>
          <w:pgNumType w:fmt="decimal"/>
          <w:cols w:space="720" w:num="1"/>
        </w:sectPr>
      </w:pPr>
    </w:p>
    <w:p>
      <w:pPr>
        <w:pStyle w:val="7"/>
        <w:spacing w:before="5"/>
        <w:rPr>
          <w:rFonts w:hint="eastAsia" w:ascii="宋体" w:hAnsi="宋体" w:eastAsia="宋体" w:cs="宋体"/>
          <w:color w:val="auto"/>
          <w:highlight w:val="none"/>
        </w:rPr>
      </w:pPr>
    </w:p>
    <w:p>
      <w:pPr>
        <w:spacing w:before="58"/>
        <w:ind w:left="1654" w:right="2870"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一、无串标行为承诺函</w:t>
      </w:r>
    </w:p>
    <w:p>
      <w:pPr>
        <w:spacing w:before="33"/>
        <w:ind w:left="1654" w:right="287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投标人参加本项目无围标串标行为的承诺函</w:t>
      </w:r>
    </w:p>
    <w:p>
      <w:pPr>
        <w:spacing w:before="43"/>
        <w:ind w:left="356"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 我方承诺无下列视为相互串通投标的情形：</w:t>
      </w:r>
    </w:p>
    <w:p>
      <w:pPr>
        <w:spacing w:before="139"/>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（一）不同投标人的投标文件由同一单位或者个人编制：</w:t>
      </w:r>
    </w:p>
    <w:p>
      <w:pPr>
        <w:pStyle w:val="13"/>
        <w:numPr>
          <w:ilvl w:val="0"/>
          <w:numId w:val="10"/>
        </w:numPr>
        <w:tabs>
          <w:tab w:val="left" w:pos="544"/>
        </w:tabs>
        <w:spacing w:before="170" w:after="0" w:line="393" w:lineRule="auto"/>
        <w:ind w:left="332" w:right="756" w:firstLine="0"/>
        <w:jc w:val="left"/>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采用电子招投标的，不同投标人编制电子投标文件或者资格预审申请文件使用的计算机网卡MAC地址、  CPU序列号和硬盘序列号等硬件识别信息均相同的；</w:t>
      </w:r>
    </w:p>
    <w:p>
      <w:pPr>
        <w:pStyle w:val="13"/>
        <w:numPr>
          <w:ilvl w:val="0"/>
          <w:numId w:val="10"/>
        </w:numPr>
        <w:tabs>
          <w:tab w:val="left" w:pos="544"/>
        </w:tabs>
        <w:spacing w:before="0" w:after="0" w:line="391" w:lineRule="auto"/>
        <w:ind w:left="332" w:right="756" w:firstLine="0"/>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 xml:space="preserve">采用电子招投标的，不同投标人的电子投标文件或者资格预审申请文件上传、解密计算机的网卡MAC地 </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址、CPU序列号和硬盘序列号等硬件识别信息均相同的（开标现场上传电子投标文件的除外）；</w:t>
      </w:r>
    </w:p>
    <w:p>
      <w:pPr>
        <w:spacing w:before="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3、不同投标人的投标文件异常一致或者投标报价呈规律性差异；</w:t>
      </w:r>
    </w:p>
    <w:p>
      <w:pPr>
        <w:pStyle w:val="13"/>
        <w:numPr>
          <w:ilvl w:val="0"/>
          <w:numId w:val="11"/>
        </w:numPr>
        <w:tabs>
          <w:tab w:val="left" w:pos="860"/>
        </w:tabs>
        <w:spacing w:before="170" w:after="0" w:line="240" w:lineRule="auto"/>
        <w:ind w:left="859" w:right="0"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不同投标人的投标文件经查重分析，存在两处及以上细节错误的；</w:t>
      </w:r>
    </w:p>
    <w:p>
      <w:pPr>
        <w:pStyle w:val="13"/>
        <w:numPr>
          <w:ilvl w:val="0"/>
          <w:numId w:val="11"/>
        </w:numPr>
        <w:tabs>
          <w:tab w:val="left" w:pos="860"/>
        </w:tabs>
        <w:spacing w:before="170" w:after="0" w:line="240" w:lineRule="auto"/>
        <w:ind w:left="859" w:right="0"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不同投标人的投标报价呈等差数列或者规律性的百分比；</w:t>
      </w:r>
    </w:p>
    <w:p>
      <w:pPr>
        <w:pStyle w:val="13"/>
        <w:numPr>
          <w:ilvl w:val="0"/>
          <w:numId w:val="11"/>
        </w:numPr>
        <w:tabs>
          <w:tab w:val="left" w:pos="860"/>
        </w:tabs>
        <w:spacing w:before="173" w:after="0" w:line="391" w:lineRule="auto"/>
        <w:ind w:left="332" w:right="3065"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不同投标人的投标文件异常一致或者投标报价呈规律性差异的其他情形。</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4、不同投标人的投标文件由同一投标人的附属设备打印、复印的。</w:t>
      </w:r>
    </w:p>
    <w:p>
      <w:pPr>
        <w:spacing w:before="1"/>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（一）不同投标人委托同一单位或者个人办理投标事宜；</w:t>
      </w:r>
    </w:p>
    <w:p>
      <w:pPr>
        <w:spacing w:before="17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（二）不同投标人的法定代表人、委托代理人、项目负责人等人员有在同一个单位缴纳社会保险；</w:t>
      </w:r>
    </w:p>
    <w:p>
      <w:pPr>
        <w:spacing w:before="171"/>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（三）不同投标人的投标文件载明的项目管理成员为同一人或同一单位；</w:t>
      </w:r>
    </w:p>
    <w:p>
      <w:pPr>
        <w:spacing w:before="170" w:line="396" w:lineRule="auto"/>
        <w:ind w:left="359" w:right="6742" w:hanging="27"/>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（四）不同投标人的投标文件相互混装</w:t>
      </w:r>
      <w:r>
        <w:rPr>
          <w:rFonts w:hint="eastAsia" w:ascii="宋体" w:hAnsi="宋体" w:eastAsia="宋体" w:cs="宋体"/>
          <w:color w:val="auto"/>
          <w:spacing w:val="-20"/>
          <w:sz w:val="21"/>
          <w:highlight w:val="none"/>
        </w:rPr>
        <w:t xml:space="preserve">二、 </w:t>
      </w:r>
      <w:r>
        <w:rPr>
          <w:rFonts w:hint="eastAsia" w:ascii="宋体" w:hAnsi="宋体" w:eastAsia="宋体" w:cs="宋体"/>
          <w:color w:val="auto"/>
          <w:sz w:val="21"/>
          <w:highlight w:val="none"/>
        </w:rPr>
        <w:t>我方承诺无下列恶意串通的情形</w:t>
      </w:r>
      <w:r>
        <w:rPr>
          <w:rFonts w:hint="eastAsia" w:ascii="宋体" w:hAnsi="宋体" w:eastAsia="宋体" w:cs="宋体"/>
          <w:color w:val="auto"/>
          <w:spacing w:val="-20"/>
          <w:sz w:val="21"/>
          <w:highlight w:val="none"/>
        </w:rPr>
        <w:t>：</w:t>
      </w:r>
    </w:p>
    <w:p>
      <w:pPr>
        <w:pStyle w:val="13"/>
        <w:numPr>
          <w:ilvl w:val="0"/>
          <w:numId w:val="12"/>
        </w:numPr>
        <w:tabs>
          <w:tab w:val="left" w:pos="650"/>
        </w:tabs>
        <w:spacing w:before="0" w:after="0" w:line="233" w:lineRule="exact"/>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供应商直接或者间接从采购人或者采购代理机构处获得其他供应商的相关信息并修改其响应文件；</w:t>
      </w:r>
    </w:p>
    <w:p>
      <w:pPr>
        <w:pStyle w:val="13"/>
        <w:numPr>
          <w:ilvl w:val="0"/>
          <w:numId w:val="12"/>
        </w:numPr>
        <w:tabs>
          <w:tab w:val="left" w:pos="650"/>
        </w:tabs>
        <w:spacing w:before="172"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供应商按照采购人或者采购代理机构的授意撤换、修改响应文件；</w:t>
      </w:r>
    </w:p>
    <w:p>
      <w:pPr>
        <w:pStyle w:val="13"/>
        <w:numPr>
          <w:ilvl w:val="0"/>
          <w:numId w:val="12"/>
        </w:numPr>
        <w:tabs>
          <w:tab w:val="left" w:pos="650"/>
        </w:tabs>
        <w:spacing w:before="170"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供应商之间协商报价、技术方案等响应文件或者响应文件的实质性内容；</w:t>
      </w:r>
    </w:p>
    <w:p>
      <w:pPr>
        <w:pStyle w:val="13"/>
        <w:numPr>
          <w:ilvl w:val="0"/>
          <w:numId w:val="12"/>
        </w:numPr>
        <w:tabs>
          <w:tab w:val="left" w:pos="650"/>
        </w:tabs>
        <w:spacing w:before="171"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属于同一集团、协会、商会等组织成员的供应商按照该组织要求协同参加政府采购活动；</w:t>
      </w:r>
    </w:p>
    <w:p>
      <w:pPr>
        <w:pStyle w:val="13"/>
        <w:numPr>
          <w:ilvl w:val="0"/>
          <w:numId w:val="12"/>
        </w:numPr>
        <w:tabs>
          <w:tab w:val="left" w:pos="650"/>
        </w:tabs>
        <w:spacing w:before="172" w:after="0" w:line="391" w:lineRule="auto"/>
        <w:ind w:left="332" w:right="665" w:firstLine="0"/>
        <w:jc w:val="left"/>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供应商之间事先约定一致抬高或者压低报价，或者在政府采购活动中事先约定轮流以 高价位或者低价位成交，或者事先约定由某一特定供应商成交，然后再参加竞标；</w:t>
      </w:r>
    </w:p>
    <w:p>
      <w:pPr>
        <w:pStyle w:val="13"/>
        <w:numPr>
          <w:ilvl w:val="0"/>
          <w:numId w:val="12"/>
        </w:numPr>
        <w:tabs>
          <w:tab w:val="left" w:pos="650"/>
        </w:tabs>
        <w:spacing w:before="1"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供应商之间商定部分供应商放弃参加政府采购活动或者放弃成交；</w:t>
      </w:r>
    </w:p>
    <w:p>
      <w:pPr>
        <w:pStyle w:val="13"/>
        <w:numPr>
          <w:ilvl w:val="0"/>
          <w:numId w:val="12"/>
        </w:numPr>
        <w:tabs>
          <w:tab w:val="left" w:pos="650"/>
        </w:tabs>
        <w:spacing w:before="173" w:after="0" w:line="391" w:lineRule="auto"/>
        <w:ind w:left="332" w:right="756" w:firstLine="0"/>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供应商与采购人或者采购代理机构之间、供应商相互之间，为谋求特定供应商成交或者排斥其他供应</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商的其他串通行为。</w:t>
      </w:r>
    </w:p>
    <w:p>
      <w:pPr>
        <w:spacing w:before="0" w:line="225" w:lineRule="exact"/>
        <w:ind w:left="788" w:right="0" w:firstLine="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以上情形一经核查属实， 我方愿意承担一切后果，接受政府采购监管部门对我方认定 存在围标串</w:t>
      </w:r>
    </w:p>
    <w:p>
      <w:pPr>
        <w:spacing w:before="60" w:line="417" w:lineRule="auto"/>
        <w:ind w:left="332" w:right="4599" w:firstLine="21"/>
        <w:jc w:val="left"/>
        <w:rPr>
          <w:rFonts w:hint="eastAsia" w:ascii="宋体" w:hAnsi="宋体" w:eastAsia="宋体" w:cs="宋体"/>
          <w:color w:val="auto"/>
          <w:sz w:val="21"/>
          <w:highlight w:val="none"/>
        </w:rPr>
      </w:pPr>
      <w:r>
        <w:rPr>
          <w:rFonts w:hint="eastAsia" w:ascii="宋体" w:hAnsi="宋体" w:eastAsia="宋体" w:cs="宋体"/>
          <w:b/>
          <w:color w:val="auto"/>
          <w:sz w:val="21"/>
          <w:highlight w:val="none"/>
        </w:rPr>
        <w:t>标行为，并不再寻求任何旨在减轻或者免除法律责任的辩解。</w:t>
      </w:r>
      <w:r>
        <w:rPr>
          <w:rFonts w:hint="eastAsia" w:ascii="宋体" w:hAnsi="宋体" w:eastAsia="宋体" w:cs="宋体"/>
          <w:color w:val="auto"/>
          <w:sz w:val="21"/>
          <w:highlight w:val="none"/>
        </w:rPr>
        <w:t>投标人名称(电子签章)：</w:t>
      </w:r>
    </w:p>
    <w:p>
      <w:pPr>
        <w:tabs>
          <w:tab w:val="left" w:pos="1278"/>
          <w:tab w:val="left" w:pos="1698"/>
          <w:tab w:val="left" w:pos="2223"/>
        </w:tabs>
        <w:spacing w:before="0" w:line="242" w:lineRule="exact"/>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月</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日</w:t>
      </w:r>
    </w:p>
    <w:p>
      <w:pPr>
        <w:spacing w:after="0" w:line="242" w:lineRule="exact"/>
        <w:jc w:val="left"/>
        <w:rPr>
          <w:rFonts w:hint="eastAsia" w:ascii="宋体" w:hAnsi="宋体" w:eastAsia="宋体" w:cs="宋体"/>
          <w:color w:val="auto"/>
          <w:sz w:val="21"/>
          <w:highlight w:val="none"/>
        </w:rPr>
        <w:sectPr>
          <w:pgSz w:w="11910" w:h="16840"/>
          <w:pgMar w:top="1580" w:right="460" w:bottom="1060" w:left="800" w:header="0" w:footer="871" w:gutter="0"/>
          <w:pgNumType w:fmt="decimal"/>
          <w:cols w:space="720" w:num="1"/>
        </w:sectPr>
      </w:pPr>
    </w:p>
    <w:p>
      <w:pPr>
        <w:pStyle w:val="3"/>
        <w:spacing w:before="28"/>
        <w:ind w:left="1654" w:right="2611"/>
        <w:rPr>
          <w:rFonts w:hint="eastAsia" w:ascii="宋体" w:hAnsi="宋体" w:eastAsia="宋体" w:cs="宋体"/>
          <w:color w:val="auto"/>
          <w:highlight w:val="none"/>
        </w:rPr>
      </w:pPr>
      <w:r>
        <w:rPr>
          <w:rFonts w:hint="eastAsia" w:ascii="宋体" w:hAnsi="宋体" w:eastAsia="宋体" w:cs="宋体"/>
          <w:color w:val="auto"/>
          <w:highlight w:val="none"/>
        </w:rPr>
        <w:t>投标资格声明函</w:t>
      </w:r>
    </w:p>
    <w:p>
      <w:pPr>
        <w:spacing w:before="136"/>
        <w:ind w:left="332" w:right="0" w:firstLine="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致：</w:t>
      </w:r>
      <w:r>
        <w:rPr>
          <w:rFonts w:hint="eastAsia" w:ascii="宋体" w:hAnsi="宋体" w:eastAsia="宋体" w:cs="宋体"/>
          <w:color w:val="auto"/>
          <w:sz w:val="21"/>
          <w:highlight w:val="none"/>
          <w:lang w:eastAsia="zh-CN"/>
        </w:rPr>
        <w:t>新疆慧通方舟工程管理服务有限公司</w:t>
      </w:r>
    </w:p>
    <w:p>
      <w:pPr>
        <w:spacing w:before="170" w:line="391" w:lineRule="auto"/>
        <w:ind w:left="332" w:right="715" w:firstLine="381"/>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我方愿意参加贵方组织的[</w:t>
      </w:r>
      <w:r>
        <w:rPr>
          <w:rFonts w:hint="eastAsia" w:ascii="宋体" w:hAnsi="宋体" w:eastAsia="宋体" w:cs="宋体"/>
          <w:color w:val="auto"/>
          <w:spacing w:val="-7"/>
          <w:sz w:val="21"/>
          <w:highlight w:val="none"/>
          <w:u w:val="single"/>
        </w:rPr>
        <w:t>项目名称] (项目编号)</w:t>
      </w:r>
      <w:r>
        <w:rPr>
          <w:rFonts w:hint="eastAsia" w:ascii="宋体" w:hAnsi="宋体" w:eastAsia="宋体" w:cs="宋体"/>
          <w:color w:val="auto"/>
          <w:sz w:val="21"/>
          <w:highlight w:val="none"/>
          <w:lang w:eastAsia="zh-CN"/>
        </w:rPr>
        <w:t>项目的投标，为便于贵方公正、择优地确定中标人，我方就本次投标有关事项郑重声明如下：</w:t>
      </w:r>
    </w:p>
    <w:p>
      <w:pPr>
        <w:pStyle w:val="13"/>
        <w:numPr>
          <w:ilvl w:val="1"/>
          <w:numId w:val="12"/>
        </w:numPr>
        <w:tabs>
          <w:tab w:val="left" w:pos="981"/>
        </w:tabs>
        <w:spacing w:before="4" w:after="0" w:line="391" w:lineRule="auto"/>
        <w:ind w:left="332" w:right="713" w:firstLine="436"/>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我方承诺已经具备《中华人民共和国政府采购法》第二十二条中规定的参加政府采购活动的供应商   应当具备的条件并按本项目投标文件“投标人须知前附表”中“资格证明文件组成”完整提供证明材料</w:t>
      </w:r>
      <w:r>
        <w:rPr>
          <w:rFonts w:hint="eastAsia" w:ascii="宋体" w:hAnsi="宋体" w:eastAsia="宋体" w:cs="宋体"/>
          <w:color w:val="auto"/>
          <w:w w:val="99"/>
          <w:sz w:val="21"/>
          <w:highlight w:val="none"/>
        </w:rPr>
        <w:t>。</w:t>
      </w:r>
    </w:p>
    <w:p>
      <w:pPr>
        <w:pStyle w:val="13"/>
        <w:numPr>
          <w:ilvl w:val="1"/>
          <w:numId w:val="12"/>
        </w:numPr>
        <w:tabs>
          <w:tab w:val="left" w:pos="943"/>
        </w:tabs>
        <w:spacing w:before="173" w:after="0" w:line="391" w:lineRule="auto"/>
        <w:ind w:left="332" w:right="670" w:firstLine="400"/>
        <w:jc w:val="both"/>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我方不是采购人的附属机构；不是为本次采购项目提供整体设计、规范编制或者项目管理、监理、检测等服务的供应商；在获知本项目采购信息后，与采购人聘请的为此项目提供咨询服务的公司及其附属机构没</w:t>
      </w:r>
      <w:r>
        <w:rPr>
          <w:rFonts w:hint="eastAsia" w:ascii="宋体" w:hAnsi="宋体" w:eastAsia="宋体" w:cs="宋体"/>
          <w:color w:val="auto"/>
          <w:spacing w:val="-3"/>
          <w:sz w:val="21"/>
          <w:highlight w:val="none"/>
        </w:rPr>
        <w:t>有任何联系。</w:t>
      </w:r>
    </w:p>
    <w:p>
      <w:pPr>
        <w:pStyle w:val="13"/>
        <w:numPr>
          <w:ilvl w:val="1"/>
          <w:numId w:val="12"/>
        </w:numPr>
        <w:tabs>
          <w:tab w:val="left" w:pos="943"/>
        </w:tabs>
        <w:spacing w:before="173" w:after="0" w:line="391" w:lineRule="auto"/>
        <w:ind w:left="332" w:right="670" w:firstLine="40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经查询，在“信用中国”和“中国政府采购网”网站我方未被列入失信被执行人、重大税收违法案件   当事人名单、政府采购严重违法失信行为记录名单。</w:t>
      </w:r>
    </w:p>
    <w:p>
      <w:pPr>
        <w:pStyle w:val="13"/>
        <w:numPr>
          <w:ilvl w:val="1"/>
          <w:numId w:val="12"/>
        </w:numPr>
        <w:tabs>
          <w:tab w:val="left" w:pos="943"/>
        </w:tabs>
        <w:spacing w:before="173" w:after="0" w:line="391" w:lineRule="auto"/>
        <w:ind w:left="332" w:right="670" w:firstLine="40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以上事项如有虚假或隐瞒，我方愿意承担一切后果，并不再寻求任何旨在减轻或免除法律责任的 辩解。</w:t>
      </w:r>
    </w:p>
    <w:p>
      <w:pPr>
        <w:pStyle w:val="13"/>
        <w:numPr>
          <w:ilvl w:val="0"/>
          <w:numId w:val="0"/>
        </w:numPr>
        <w:tabs>
          <w:tab w:val="left" w:pos="943"/>
        </w:tabs>
        <w:spacing w:before="173" w:after="0" w:line="391" w:lineRule="auto"/>
        <w:ind w:left="732" w:leftChars="0" w:right="670" w:rightChars="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说明：</w:t>
      </w:r>
    </w:p>
    <w:p>
      <w:pPr>
        <w:pStyle w:val="13"/>
        <w:numPr>
          <w:ilvl w:val="0"/>
          <w:numId w:val="13"/>
        </w:numPr>
        <w:tabs>
          <w:tab w:val="left" w:pos="926"/>
        </w:tabs>
        <w:spacing w:before="1" w:after="0" w:line="393" w:lineRule="auto"/>
        <w:ind w:left="332" w:right="655" w:firstLine="374"/>
        <w:jc w:val="left"/>
        <w:rPr>
          <w:rFonts w:hint="eastAsia" w:ascii="宋体" w:hAnsi="宋体" w:eastAsia="宋体" w:cs="宋体"/>
          <w:color w:val="auto"/>
          <w:spacing w:val="5"/>
          <w:sz w:val="21"/>
          <w:highlight w:val="none"/>
        </w:rPr>
      </w:pPr>
      <w:r>
        <w:rPr>
          <w:rFonts w:hint="eastAsia" w:ascii="宋体" w:hAnsi="宋体" w:eastAsia="宋体" w:cs="宋体"/>
          <w:color w:val="auto"/>
          <w:sz w:val="21"/>
          <w:szCs w:val="22"/>
          <w:highlight w:val="none"/>
          <w:lang w:val="zh-CN" w:eastAsia="zh-CN" w:bidi="zh-CN"/>
        </w:rPr>
        <w:t>投标人应当通过 “信用中国”(www.creditchina.gov.cn)和“中国政府采购网”</w:t>
      </w:r>
      <w:r>
        <w:rPr>
          <w:rFonts w:hint="eastAsia" w:ascii="宋体" w:hAnsi="宋体" w:eastAsia="宋体" w:cs="宋体"/>
          <w:color w:val="auto"/>
          <w:spacing w:val="5"/>
          <w:sz w:val="21"/>
          <w:highlight w:val="none"/>
        </w:rPr>
        <w:t>(www.ccgp.gov.cn</w:t>
      </w:r>
      <w:r>
        <w:rPr>
          <w:rFonts w:hint="eastAsia" w:ascii="宋体" w:hAnsi="宋体" w:eastAsia="宋体" w:cs="宋体"/>
          <w:color w:val="auto"/>
          <w:spacing w:val="-13"/>
          <w:sz w:val="21"/>
          <w:highlight w:val="none"/>
        </w:rPr>
        <w:t xml:space="preserve">) </w:t>
      </w:r>
      <w:r>
        <w:rPr>
          <w:rFonts w:hint="eastAsia" w:ascii="宋体" w:hAnsi="宋体" w:eastAsia="宋体" w:cs="宋体"/>
          <w:color w:val="auto"/>
          <w:spacing w:val="5"/>
          <w:sz w:val="21"/>
          <w:highlight w:val="none"/>
        </w:rPr>
        <w:t>查询投标人相关主体的信用记录。查询时间为本项目投标截止时间前10日至投标截止时间中任意</w:t>
      </w:r>
      <w:r>
        <w:rPr>
          <w:rFonts w:hint="eastAsia" w:ascii="宋体" w:hAnsi="宋体" w:eastAsia="宋体" w:cs="宋体"/>
          <w:color w:val="auto"/>
          <w:spacing w:val="-15"/>
          <w:sz w:val="21"/>
          <w:highlight w:val="none"/>
        </w:rPr>
        <w:t>一天。</w:t>
      </w:r>
      <w:r>
        <w:rPr>
          <w:rFonts w:hint="eastAsia" w:ascii="宋体" w:hAnsi="宋体" w:eastAsia="宋体" w:cs="宋体"/>
          <w:color w:val="auto"/>
          <w:spacing w:val="5"/>
          <w:sz w:val="21"/>
          <w:highlight w:val="none"/>
        </w:rPr>
        <w:t>对列入失信被执行人、重 大税收违法案件当事人名单、政府采购严重违法失信行为记录名单的投标人，将被拒绝参与本项目政府采购活动。</w:t>
      </w:r>
    </w:p>
    <w:p>
      <w:pPr>
        <w:pStyle w:val="13"/>
        <w:numPr>
          <w:ilvl w:val="0"/>
          <w:numId w:val="13"/>
        </w:numPr>
        <w:tabs>
          <w:tab w:val="left" w:pos="907"/>
        </w:tabs>
        <w:spacing w:before="0" w:after="0" w:line="391" w:lineRule="auto"/>
        <w:ind w:left="332" w:right="663" w:firstLine="362"/>
        <w:jc w:val="both"/>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pacing w:val="-3"/>
          <w:sz w:val="21"/>
          <w:highlight w:val="none"/>
        </w:rPr>
        <w:t>。</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1"/>
        <w:rPr>
          <w:rFonts w:hint="eastAsia" w:ascii="宋体" w:hAnsi="宋体" w:eastAsia="宋体" w:cs="宋体"/>
          <w:color w:val="auto"/>
          <w:sz w:val="23"/>
          <w:highlight w:val="none"/>
        </w:rPr>
      </w:pPr>
    </w:p>
    <w:p>
      <w:pPr>
        <w:tabs>
          <w:tab w:val="left" w:pos="995"/>
          <w:tab w:val="left" w:pos="1655"/>
        </w:tabs>
        <w:spacing w:before="0" w:line="391" w:lineRule="auto"/>
        <w:ind w:left="332" w:right="8023" w:firstLine="0"/>
        <w:jc w:val="left"/>
        <w:rPr>
          <w:rFonts w:hint="eastAsia" w:ascii="宋体" w:hAnsi="宋体" w:eastAsia="宋体" w:cs="宋体"/>
          <w:color w:val="auto"/>
          <w:sz w:val="21"/>
          <w:highlight w:val="none"/>
        </w:rPr>
      </w:pPr>
      <w:r>
        <w:rPr>
          <w:rFonts w:hint="eastAsia" w:ascii="宋体" w:hAnsi="宋体" w:eastAsia="宋体" w:cs="宋体"/>
          <w:color w:val="auto"/>
          <w:spacing w:val="5"/>
          <w:sz w:val="21"/>
          <w:szCs w:val="22"/>
          <w:highlight w:val="none"/>
          <w:lang w:val="zh-CN" w:eastAsia="zh-CN" w:bidi="zh-CN"/>
        </w:rPr>
        <w:t xml:space="preserve">投标人名称(电子签章)：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月</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日</w:t>
      </w:r>
    </w:p>
    <w:p>
      <w:pPr>
        <w:spacing w:after="0" w:line="391" w:lineRule="auto"/>
        <w:jc w:val="left"/>
        <w:rPr>
          <w:rFonts w:hint="eastAsia" w:ascii="宋体" w:hAnsi="宋体" w:eastAsia="宋体" w:cs="宋体"/>
          <w:color w:val="auto"/>
          <w:sz w:val="21"/>
          <w:highlight w:val="none"/>
        </w:rPr>
        <w:sectPr>
          <w:pgSz w:w="11910" w:h="16840"/>
          <w:pgMar w:top="1560" w:right="460" w:bottom="1060" w:left="800" w:header="0" w:footer="871" w:gutter="0"/>
          <w:pgNumType w:fmt="decimal"/>
          <w:cols w:space="720" w:num="1"/>
        </w:sectPr>
      </w:pPr>
    </w:p>
    <w:p>
      <w:pPr>
        <w:pStyle w:val="4"/>
        <w:spacing w:before="39" w:line="489" w:lineRule="auto"/>
        <w:ind w:left="3436" w:right="3886"/>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二、法定代表人身份证明法定代表人身份证明</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6"/>
          <w:highlight w:val="none"/>
        </w:rPr>
      </w:pPr>
    </w:p>
    <w:p>
      <w:pPr>
        <w:pStyle w:val="6"/>
        <w:spacing w:before="67"/>
        <w:ind w:left="4072"/>
        <w:rPr>
          <w:rFonts w:hint="eastAsia" w:ascii="宋体" w:hAnsi="宋体" w:eastAsia="宋体" w:cs="宋体"/>
          <w:color w:val="auto"/>
          <w:highlight w:val="none"/>
        </w:rPr>
      </w:pPr>
      <w:r>
        <w:rPr>
          <w:rFonts w:hint="eastAsia" w:ascii="宋体" w:hAnsi="宋体" w:eastAsia="宋体" w:cs="宋体"/>
          <w:color w:val="auto"/>
          <w:highlight w:val="none"/>
        </w:rPr>
        <w:t>法定代表人身份证明</w:t>
      </w:r>
    </w:p>
    <w:p>
      <w:pPr>
        <w:pStyle w:val="7"/>
        <w:spacing w:before="160" w:line="362" w:lineRule="auto"/>
        <w:ind w:left="332" w:right="8871"/>
        <w:rPr>
          <w:rFonts w:hint="eastAsia" w:ascii="宋体" w:hAnsi="宋体" w:eastAsia="宋体" w:cs="宋体"/>
          <w:color w:val="auto"/>
          <w:highlight w:val="none"/>
        </w:rPr>
      </w:pPr>
      <w:r>
        <w:rPr>
          <w:rFonts w:hint="eastAsia" w:ascii="宋体" w:hAnsi="宋体" w:eastAsia="宋体" w:cs="宋体"/>
          <w:color w:val="auto"/>
          <w:highlight w:val="none"/>
        </w:rPr>
        <w:t>供应商名称： 地址：</w:t>
      </w:r>
    </w:p>
    <w:p>
      <w:pPr>
        <w:pStyle w:val="7"/>
        <w:tabs>
          <w:tab w:val="left" w:pos="2372"/>
          <w:tab w:val="left" w:pos="4052"/>
          <w:tab w:val="left" w:pos="5732"/>
        </w:tabs>
        <w:spacing w:before="5"/>
        <w:ind w:left="332"/>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rPr>
        <w:tab/>
      </w:r>
      <w:r>
        <w:rPr>
          <w:rFonts w:hint="eastAsia" w:ascii="宋体" w:hAnsi="宋体" w:eastAsia="宋体" w:cs="宋体"/>
          <w:color w:val="auto"/>
          <w:highlight w:val="none"/>
        </w:rPr>
        <w:t>性别：</w:t>
      </w:r>
      <w:r>
        <w:rPr>
          <w:rFonts w:hint="eastAsia" w:ascii="宋体" w:hAnsi="宋体" w:eastAsia="宋体" w:cs="宋体"/>
          <w:color w:val="auto"/>
          <w:highlight w:val="none"/>
        </w:rPr>
        <w:tab/>
      </w:r>
      <w:r>
        <w:rPr>
          <w:rFonts w:hint="eastAsia" w:ascii="宋体" w:hAnsi="宋体" w:eastAsia="宋体" w:cs="宋体"/>
          <w:color w:val="auto"/>
          <w:highlight w:val="none"/>
        </w:rPr>
        <w:t>年龄：</w:t>
      </w:r>
      <w:r>
        <w:rPr>
          <w:rFonts w:hint="eastAsia" w:ascii="宋体" w:hAnsi="宋体" w:eastAsia="宋体" w:cs="宋体"/>
          <w:color w:val="auto"/>
          <w:highlight w:val="none"/>
        </w:rPr>
        <w:tab/>
      </w:r>
      <w:r>
        <w:rPr>
          <w:rFonts w:hint="eastAsia" w:ascii="宋体" w:hAnsi="宋体" w:eastAsia="宋体" w:cs="宋体"/>
          <w:color w:val="auto"/>
          <w:highlight w:val="none"/>
        </w:rPr>
        <w:t>职务：</w:t>
      </w:r>
    </w:p>
    <w:p>
      <w:pPr>
        <w:pStyle w:val="7"/>
        <w:tabs>
          <w:tab w:val="left" w:pos="4412"/>
        </w:tabs>
        <w:spacing w:before="158"/>
        <w:ind w:left="332"/>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rPr>
        <w:tab/>
      </w:r>
      <w:r>
        <w:rPr>
          <w:rFonts w:hint="eastAsia" w:ascii="宋体" w:hAnsi="宋体" w:eastAsia="宋体" w:cs="宋体"/>
          <w:color w:val="auto"/>
          <w:highlight w:val="none"/>
        </w:rPr>
        <w:t>（供应商名称）的法定代表人。</w:t>
      </w:r>
    </w:p>
    <w:p>
      <w:pPr>
        <w:pStyle w:val="7"/>
        <w:spacing w:before="161"/>
        <w:ind w:left="332"/>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7"/>
        <w:spacing w:before="160"/>
        <w:ind w:left="332"/>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pPr>
        <w:pStyle w:val="7"/>
        <w:rPr>
          <w:rFonts w:hint="eastAsia" w:ascii="宋体" w:hAnsi="宋体" w:eastAsia="宋体" w:cs="宋体"/>
          <w:color w:val="auto"/>
          <w:highlight w:val="none"/>
        </w:rPr>
      </w:pPr>
    </w:p>
    <w:p>
      <w:pPr>
        <w:pStyle w:val="7"/>
        <w:spacing w:before="10"/>
        <w:rPr>
          <w:rFonts w:hint="eastAsia" w:ascii="宋体" w:hAnsi="宋体" w:eastAsia="宋体" w:cs="宋体"/>
          <w:color w:val="auto"/>
          <w:sz w:val="20"/>
          <w:highlight w:val="none"/>
        </w:rPr>
      </w:pPr>
    </w:p>
    <w:p>
      <w:pPr>
        <w:pStyle w:val="7"/>
        <w:tabs>
          <w:tab w:val="left" w:pos="6332"/>
          <w:tab w:val="left" w:pos="7172"/>
          <w:tab w:val="left" w:pos="7652"/>
          <w:tab w:val="left" w:pos="8132"/>
        </w:tabs>
        <w:spacing w:line="362" w:lineRule="auto"/>
        <w:ind w:left="5612" w:right="2271" w:hanging="120"/>
        <w:rPr>
          <w:rFonts w:hint="eastAsia" w:ascii="宋体" w:hAnsi="宋体" w:eastAsia="宋体" w:cs="宋体"/>
          <w:color w:val="auto"/>
          <w:spacing w:val="-9"/>
          <w:highlight w:val="none"/>
        </w:rPr>
      </w:pPr>
      <w:r>
        <w:rPr>
          <w:rFonts w:hint="eastAsia" w:ascii="宋体" w:hAnsi="宋体" w:eastAsia="宋体" w:cs="宋体"/>
          <w:color w:val="auto"/>
          <w:highlight w:val="none"/>
        </w:rPr>
        <w:t>供应商名称（加盖公章</w:t>
      </w:r>
      <w:r>
        <w:rPr>
          <w:rFonts w:hint="eastAsia" w:ascii="宋体" w:hAnsi="宋体" w:eastAsia="宋体" w:cs="宋体"/>
          <w:color w:val="auto"/>
          <w:spacing w:val="-9"/>
          <w:highlight w:val="none"/>
        </w:rPr>
        <w:t xml:space="preserve">）： </w:t>
      </w:r>
    </w:p>
    <w:p>
      <w:pPr>
        <w:pStyle w:val="7"/>
        <w:tabs>
          <w:tab w:val="left" w:pos="6332"/>
          <w:tab w:val="left" w:pos="7172"/>
          <w:tab w:val="left" w:pos="7652"/>
          <w:tab w:val="left" w:pos="8132"/>
        </w:tabs>
        <w:spacing w:line="362" w:lineRule="auto"/>
        <w:ind w:left="5612" w:right="2271" w:hanging="120"/>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spacing w:val="-17"/>
          <w:highlight w:val="none"/>
        </w:rPr>
        <w:t>日</w:t>
      </w:r>
    </w:p>
    <w:p>
      <w:pPr>
        <w:spacing w:after="0" w:line="362"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spacing w:before="43"/>
        <w:ind w:left="573" w:right="905"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法定代表人授权委托书</w:t>
      </w:r>
    </w:p>
    <w:p>
      <w:pPr>
        <w:pStyle w:val="7"/>
        <w:rPr>
          <w:rFonts w:hint="eastAsia" w:ascii="宋体" w:hAnsi="宋体" w:eastAsia="宋体" w:cs="宋体"/>
          <w:b/>
          <w:color w:val="auto"/>
          <w:sz w:val="28"/>
          <w:highlight w:val="none"/>
        </w:rPr>
      </w:pPr>
    </w:p>
    <w:p>
      <w:pPr>
        <w:pStyle w:val="7"/>
        <w:spacing w:before="239"/>
        <w:ind w:left="332"/>
        <w:jc w:val="both"/>
        <w:rPr>
          <w:rFonts w:hint="eastAsia" w:ascii="宋体" w:hAnsi="宋体" w:eastAsia="宋体" w:cs="宋体"/>
          <w:color w:val="auto"/>
          <w:highlight w:val="none"/>
        </w:rPr>
      </w:pPr>
      <w:r>
        <w:rPr>
          <w:rFonts w:hint="eastAsia" w:ascii="宋体" w:hAnsi="宋体" w:eastAsia="宋体" w:cs="宋体"/>
          <w:color w:val="auto"/>
          <w:spacing w:val="-3"/>
          <w:highlight w:val="none"/>
          <w:lang w:val="en-US" w:eastAsia="zh-CN"/>
        </w:rPr>
        <w:t>新疆慧通方舟工程管理服务有限公司</w:t>
      </w:r>
      <w:r>
        <w:rPr>
          <w:rFonts w:hint="eastAsia" w:ascii="宋体" w:hAnsi="宋体" w:eastAsia="宋体" w:cs="宋体"/>
          <w:color w:val="auto"/>
          <w:spacing w:val="-3"/>
          <w:highlight w:val="none"/>
        </w:rPr>
        <w:t xml:space="preserve"> ：</w:t>
      </w:r>
    </w:p>
    <w:p>
      <w:pPr>
        <w:pStyle w:val="7"/>
        <w:tabs>
          <w:tab w:val="left" w:pos="4050"/>
        </w:tabs>
        <w:spacing w:before="161" w:line="364" w:lineRule="auto"/>
        <w:ind w:left="332" w:right="677" w:firstLine="372"/>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本</w:t>
      </w:r>
      <w:r>
        <w:rPr>
          <w:rFonts w:hint="eastAsia" w:ascii="宋体" w:hAnsi="宋体" w:eastAsia="宋体" w:cs="宋体"/>
          <w:color w:val="auto"/>
          <w:spacing w:val="9"/>
          <w:highlight w:val="none"/>
        </w:rPr>
        <w:t>人</w:t>
      </w:r>
      <w:r>
        <w:rPr>
          <w:rFonts w:hint="eastAsia" w:ascii="宋体" w:hAnsi="宋体" w:eastAsia="宋体" w:cs="宋体"/>
          <w:color w:val="auto"/>
          <w:spacing w:val="9"/>
          <w:highlight w:val="none"/>
          <w:u w:val="single"/>
        </w:rPr>
        <w:t xml:space="preserve">   </w:t>
      </w:r>
      <w:r>
        <w:rPr>
          <w:rFonts w:hint="eastAsia" w:ascii="宋体" w:hAnsi="宋体" w:eastAsia="宋体" w:cs="宋体"/>
          <w:color w:val="auto"/>
          <w:spacing w:val="125"/>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pacing w:val="4"/>
          <w:highlight w:val="none"/>
        </w:rPr>
        <w:t>姓名</w:t>
      </w:r>
      <w:r>
        <w:rPr>
          <w:rFonts w:hint="eastAsia" w:ascii="宋体" w:hAnsi="宋体" w:eastAsia="宋体" w:cs="宋体"/>
          <w:color w:val="auto"/>
          <w:highlight w:val="none"/>
        </w:rPr>
        <w:t>)</w:t>
      </w:r>
      <w:r>
        <w:rPr>
          <w:rFonts w:hint="eastAsia" w:ascii="宋体" w:hAnsi="宋体" w:eastAsia="宋体" w:cs="宋体"/>
          <w:color w:val="auto"/>
          <w:spacing w:val="4"/>
          <w:highlight w:val="none"/>
        </w:rPr>
        <w:t xml:space="preserve"> 系</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投</w:t>
      </w:r>
      <w:r>
        <w:rPr>
          <w:rFonts w:hint="eastAsia" w:ascii="宋体" w:hAnsi="宋体" w:eastAsia="宋体" w:cs="宋体"/>
          <w:color w:val="auto"/>
          <w:highlight w:val="none"/>
        </w:rPr>
        <w:t>标</w:t>
      </w:r>
      <w:r>
        <w:rPr>
          <w:rFonts w:hint="eastAsia" w:ascii="宋体" w:hAnsi="宋体" w:eastAsia="宋体" w:cs="宋体"/>
          <w:color w:val="auto"/>
          <w:spacing w:val="4"/>
          <w:highlight w:val="none"/>
        </w:rPr>
        <w:t>人名</w:t>
      </w:r>
      <w:r>
        <w:rPr>
          <w:rFonts w:hint="eastAsia" w:ascii="宋体" w:hAnsi="宋体" w:eastAsia="宋体" w:cs="宋体"/>
          <w:color w:val="auto"/>
          <w:highlight w:val="none"/>
        </w:rPr>
        <w:t>称)</w:t>
      </w:r>
      <w:r>
        <w:rPr>
          <w:rFonts w:hint="eastAsia" w:ascii="宋体" w:hAnsi="宋体" w:eastAsia="宋体" w:cs="宋体"/>
          <w:color w:val="auto"/>
          <w:spacing w:val="4"/>
          <w:highlight w:val="none"/>
        </w:rPr>
        <w:t>的</w:t>
      </w:r>
      <w:r>
        <w:rPr>
          <w:rFonts w:hint="eastAsia" w:ascii="宋体" w:hAnsi="宋体" w:eastAsia="宋体" w:cs="宋体"/>
          <w:color w:val="auto"/>
          <w:highlight w:val="none"/>
        </w:rPr>
        <w:t>法</w:t>
      </w:r>
      <w:r>
        <w:rPr>
          <w:rFonts w:hint="eastAsia" w:ascii="宋体" w:hAnsi="宋体" w:eastAsia="宋体" w:cs="宋体"/>
          <w:color w:val="auto"/>
          <w:spacing w:val="4"/>
          <w:highlight w:val="none"/>
        </w:rPr>
        <w:t>定代</w:t>
      </w:r>
      <w:r>
        <w:rPr>
          <w:rFonts w:hint="eastAsia" w:ascii="宋体" w:hAnsi="宋体" w:eastAsia="宋体" w:cs="宋体"/>
          <w:color w:val="auto"/>
          <w:highlight w:val="none"/>
        </w:rPr>
        <w:t>表</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现</w:t>
      </w:r>
      <w:r>
        <w:rPr>
          <w:rFonts w:hint="eastAsia" w:ascii="宋体" w:hAnsi="宋体" w:eastAsia="宋体" w:cs="宋体"/>
          <w:color w:val="auto"/>
          <w:spacing w:val="4"/>
          <w:highlight w:val="none"/>
        </w:rPr>
        <w:t>授权</w:t>
      </w:r>
      <w:r>
        <w:rPr>
          <w:rFonts w:hint="eastAsia" w:ascii="宋体" w:hAnsi="宋体" w:eastAsia="宋体" w:cs="宋体"/>
          <w:color w:val="auto"/>
          <w:highlight w:val="none"/>
        </w:rPr>
        <w:t>我</w:t>
      </w:r>
      <w:r>
        <w:rPr>
          <w:rFonts w:hint="eastAsia" w:ascii="宋体" w:hAnsi="宋体" w:eastAsia="宋体" w:cs="宋体"/>
          <w:color w:val="auto"/>
          <w:spacing w:val="4"/>
          <w:highlight w:val="none"/>
        </w:rPr>
        <w:t>单位</w:t>
      </w:r>
      <w:r>
        <w:rPr>
          <w:rFonts w:hint="eastAsia" w:ascii="宋体" w:hAnsi="宋体" w:eastAsia="宋体" w:cs="宋体"/>
          <w:color w:val="auto"/>
          <w:highlight w:val="none"/>
        </w:rPr>
        <w:t>在</w:t>
      </w:r>
      <w:r>
        <w:rPr>
          <w:rFonts w:hint="eastAsia" w:ascii="宋体" w:hAnsi="宋体" w:eastAsia="宋体" w:cs="宋体"/>
          <w:color w:val="auto"/>
          <w:spacing w:val="4"/>
          <w:highlight w:val="none"/>
        </w:rPr>
        <w:t>职正</w:t>
      </w:r>
      <w:r>
        <w:rPr>
          <w:rFonts w:hint="eastAsia" w:ascii="宋体" w:hAnsi="宋体" w:eastAsia="宋体" w:cs="宋体"/>
          <w:color w:val="auto"/>
          <w:highlight w:val="none"/>
        </w:rPr>
        <w:t>式员</w:t>
      </w:r>
      <w:r>
        <w:rPr>
          <w:rFonts w:hint="eastAsia" w:ascii="宋体" w:hAnsi="宋体" w:eastAsia="宋体" w:cs="宋体"/>
          <w:color w:val="auto"/>
          <w:spacing w:val="-25"/>
          <w:highlight w:val="none"/>
        </w:rPr>
        <w:t>工</w:t>
      </w:r>
      <w:r>
        <w:rPr>
          <w:rFonts w:hint="eastAsia" w:ascii="宋体" w:hAnsi="宋体" w:eastAsia="宋体" w:cs="宋体"/>
          <w:color w:val="auto"/>
          <w:spacing w:val="-25"/>
          <w:highlight w:val="none"/>
          <w:u w:val="single"/>
        </w:rPr>
        <w:t xml:space="preserve">   </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姓名和职务</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为我方代理人。代理人根据授权，以我方名义签署、澄清、说明、补</w:t>
      </w:r>
      <w:r>
        <w:rPr>
          <w:rFonts w:hint="eastAsia" w:ascii="宋体" w:hAnsi="宋体" w:eastAsia="宋体" w:cs="宋体"/>
          <w:color w:val="auto"/>
          <w:spacing w:val="-24"/>
          <w:highlight w:val="none"/>
        </w:rPr>
        <w:t>正、</w:t>
      </w:r>
      <w:r>
        <w:rPr>
          <w:rFonts w:hint="eastAsia" w:ascii="宋体" w:hAnsi="宋体" w:eastAsia="宋体" w:cs="宋体"/>
          <w:color w:val="auto"/>
          <w:highlight w:val="none"/>
        </w:rPr>
        <w:t>递</w:t>
      </w:r>
      <w:r>
        <w:rPr>
          <w:rFonts w:hint="eastAsia" w:ascii="宋体" w:hAnsi="宋体" w:eastAsia="宋体" w:cs="宋体"/>
          <w:color w:val="auto"/>
          <w:spacing w:val="-12"/>
          <w:highlight w:val="none"/>
        </w:rPr>
        <w:t>交、撤回、修改贵方组织</w:t>
      </w:r>
      <w:r>
        <w:rPr>
          <w:rFonts w:hint="eastAsia" w:ascii="宋体" w:hAnsi="宋体" w:eastAsia="宋体" w:cs="宋体"/>
          <w:color w:val="auto"/>
          <w:spacing w:val="-13"/>
          <w:highlight w:val="none"/>
        </w:rPr>
        <w:t>的</w:t>
      </w:r>
      <w:r>
        <w:rPr>
          <w:rFonts w:hint="eastAsia" w:ascii="宋体" w:hAnsi="宋体" w:eastAsia="宋体" w:cs="宋体"/>
          <w:color w:val="auto"/>
          <w:spacing w:val="-13"/>
          <w:highlight w:val="none"/>
          <w:u w:val="single"/>
        </w:rPr>
        <w:t xml:space="preserve"> </w:t>
      </w:r>
      <w:r>
        <w:rPr>
          <w:rFonts w:hint="eastAsia" w:ascii="宋体" w:hAnsi="宋体" w:eastAsia="宋体" w:cs="宋体"/>
          <w:color w:val="auto"/>
          <w:spacing w:val="-5"/>
          <w:highlight w:val="none"/>
          <w:u w:val="single"/>
        </w:rPr>
        <w:t>[</w:t>
      </w:r>
      <w:r>
        <w:rPr>
          <w:rFonts w:hint="eastAsia" w:ascii="宋体" w:hAnsi="宋体" w:eastAsia="宋体" w:cs="宋体"/>
          <w:color w:val="auto"/>
          <w:spacing w:val="-12"/>
          <w:highlight w:val="none"/>
          <w:u w:val="single"/>
        </w:rPr>
        <w:t>项目名称</w:t>
      </w:r>
      <w:r>
        <w:rPr>
          <w:rFonts w:hint="eastAsia" w:ascii="宋体" w:hAnsi="宋体" w:eastAsia="宋体" w:cs="宋体"/>
          <w:color w:val="auto"/>
          <w:highlight w:val="none"/>
          <w:u w:val="single"/>
        </w:rPr>
        <w:t>_]</w:t>
      </w:r>
      <w:r>
        <w:rPr>
          <w:rFonts w:hint="eastAsia" w:ascii="宋体" w:hAnsi="宋体" w:eastAsia="宋体" w:cs="宋体"/>
          <w:color w:val="auto"/>
          <w:spacing w:val="-23"/>
          <w:highlight w:val="none"/>
        </w:rPr>
        <w:t xml:space="preserve"> </w:t>
      </w:r>
      <w:r>
        <w:rPr>
          <w:rFonts w:hint="eastAsia" w:ascii="宋体" w:hAnsi="宋体" w:eastAsia="宋体" w:cs="宋体"/>
          <w:color w:val="auto"/>
          <w:spacing w:val="-12"/>
          <w:highlight w:val="none"/>
        </w:rPr>
        <w:t>项目</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项目编号</w:t>
      </w:r>
      <w:r>
        <w:rPr>
          <w:rFonts w:hint="eastAsia" w:ascii="宋体" w:hAnsi="宋体" w:eastAsia="宋体" w:cs="宋体"/>
          <w:color w:val="auto"/>
          <w:spacing w:val="-13"/>
          <w:highlight w:val="none"/>
        </w:rPr>
        <w:t>：</w:t>
      </w:r>
      <w:r>
        <w:rPr>
          <w:rFonts w:hint="eastAsia" w:ascii="宋体" w:hAnsi="宋体" w:eastAsia="宋体" w:cs="宋体"/>
          <w:color w:val="auto"/>
          <w:spacing w:val="-12"/>
          <w:highlight w:val="none"/>
          <w:u w:val="single"/>
        </w:rPr>
        <w:t xml:space="preserve"> </w:t>
      </w:r>
      <w:r>
        <w:rPr>
          <w:rFonts w:hint="eastAsia" w:ascii="宋体" w:hAnsi="宋体" w:eastAsia="宋体" w:cs="宋体"/>
          <w:color w:val="auto"/>
          <w:spacing w:val="-5"/>
          <w:highlight w:val="none"/>
          <w:u w:val="single"/>
        </w:rPr>
        <w:t>[</w:t>
      </w:r>
      <w:r>
        <w:rPr>
          <w:rFonts w:hint="eastAsia" w:ascii="宋体" w:hAnsi="宋体" w:eastAsia="宋体" w:cs="宋体"/>
          <w:color w:val="auto"/>
          <w:spacing w:val="-12"/>
          <w:highlight w:val="none"/>
          <w:u w:val="single"/>
        </w:rPr>
        <w:t>项目编</w:t>
      </w:r>
      <w:r>
        <w:rPr>
          <w:rFonts w:hint="eastAsia" w:ascii="宋体" w:hAnsi="宋体" w:eastAsia="宋体" w:cs="宋体"/>
          <w:color w:val="auto"/>
          <w:spacing w:val="-8"/>
          <w:highlight w:val="none"/>
          <w:u w:val="single"/>
        </w:rPr>
        <w:t>号</w:t>
      </w:r>
      <w:r>
        <w:rPr>
          <w:rFonts w:hint="eastAsia" w:ascii="宋体" w:hAnsi="宋体" w:eastAsia="宋体" w:cs="宋体"/>
          <w:color w:val="auto"/>
          <w:highlight w:val="none"/>
          <w:u w:val="single"/>
        </w:rPr>
        <w:t>]</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8"/>
          <w:highlight w:val="none"/>
        </w:rPr>
        <w:t>的</w:t>
      </w:r>
      <w:r>
        <w:rPr>
          <w:rFonts w:hint="eastAsia" w:ascii="宋体" w:hAnsi="宋体" w:eastAsia="宋体" w:cs="宋体"/>
          <w:color w:val="auto"/>
          <w:spacing w:val="-5"/>
          <w:highlight w:val="none"/>
        </w:rPr>
        <w:t>投</w:t>
      </w:r>
      <w:r>
        <w:rPr>
          <w:rFonts w:hint="eastAsia" w:ascii="宋体" w:hAnsi="宋体" w:eastAsia="宋体" w:cs="宋体"/>
          <w:color w:val="auto"/>
          <w:spacing w:val="-8"/>
          <w:highlight w:val="none"/>
        </w:rPr>
        <w:t>标</w:t>
      </w:r>
      <w:r>
        <w:rPr>
          <w:rFonts w:hint="eastAsia" w:ascii="宋体" w:hAnsi="宋体" w:eastAsia="宋体" w:cs="宋体"/>
          <w:color w:val="auto"/>
          <w:spacing w:val="-5"/>
          <w:highlight w:val="none"/>
        </w:rPr>
        <w:t>文</w:t>
      </w:r>
      <w:r>
        <w:rPr>
          <w:rFonts w:hint="eastAsia" w:ascii="宋体" w:hAnsi="宋体" w:eastAsia="宋体" w:cs="宋体"/>
          <w:color w:val="auto"/>
          <w:spacing w:val="-8"/>
          <w:highlight w:val="none"/>
        </w:rPr>
        <w:t>件</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签</w:t>
      </w:r>
      <w:r>
        <w:rPr>
          <w:rFonts w:hint="eastAsia" w:ascii="宋体" w:hAnsi="宋体" w:eastAsia="宋体" w:cs="宋体"/>
          <w:color w:val="auto"/>
          <w:spacing w:val="-5"/>
          <w:highlight w:val="none"/>
        </w:rPr>
        <w:t>订</w:t>
      </w:r>
      <w:r>
        <w:rPr>
          <w:rFonts w:hint="eastAsia" w:ascii="宋体" w:hAnsi="宋体" w:eastAsia="宋体" w:cs="宋体"/>
          <w:color w:val="auto"/>
          <w:highlight w:val="none"/>
        </w:rPr>
        <w:t>合</w:t>
      </w:r>
      <w:r>
        <w:rPr>
          <w:rFonts w:hint="eastAsia" w:ascii="宋体" w:hAnsi="宋体" w:eastAsia="宋体" w:cs="宋体"/>
          <w:color w:val="auto"/>
          <w:spacing w:val="-8"/>
          <w:highlight w:val="none"/>
        </w:rPr>
        <w:t>同</w:t>
      </w:r>
      <w:r>
        <w:rPr>
          <w:rFonts w:hint="eastAsia" w:ascii="宋体" w:hAnsi="宋体" w:eastAsia="宋体" w:cs="宋体"/>
          <w:color w:val="auto"/>
          <w:spacing w:val="-5"/>
          <w:highlight w:val="none"/>
        </w:rPr>
        <w:t>和</w:t>
      </w:r>
      <w:r>
        <w:rPr>
          <w:rFonts w:hint="eastAsia" w:ascii="宋体" w:hAnsi="宋体" w:eastAsia="宋体" w:cs="宋体"/>
          <w:color w:val="auto"/>
          <w:spacing w:val="-8"/>
          <w:highlight w:val="none"/>
        </w:rPr>
        <w:t>处</w:t>
      </w:r>
      <w:r>
        <w:rPr>
          <w:rFonts w:hint="eastAsia" w:ascii="宋体" w:hAnsi="宋体" w:eastAsia="宋体" w:cs="宋体"/>
          <w:color w:val="auto"/>
          <w:spacing w:val="-5"/>
          <w:highlight w:val="none"/>
        </w:rPr>
        <w:t>理</w:t>
      </w:r>
      <w:r>
        <w:rPr>
          <w:rFonts w:hint="eastAsia" w:ascii="宋体" w:hAnsi="宋体" w:eastAsia="宋体" w:cs="宋体"/>
          <w:color w:val="auto"/>
          <w:spacing w:val="-8"/>
          <w:highlight w:val="none"/>
        </w:rPr>
        <w:t>一</w:t>
      </w:r>
      <w:r>
        <w:rPr>
          <w:rFonts w:hint="eastAsia" w:ascii="宋体" w:hAnsi="宋体" w:eastAsia="宋体" w:cs="宋体"/>
          <w:color w:val="auto"/>
          <w:spacing w:val="-5"/>
          <w:highlight w:val="none"/>
        </w:rPr>
        <w:t>切</w:t>
      </w:r>
      <w:r>
        <w:rPr>
          <w:rFonts w:hint="eastAsia" w:ascii="宋体" w:hAnsi="宋体" w:eastAsia="宋体" w:cs="宋体"/>
          <w:color w:val="auto"/>
          <w:spacing w:val="-8"/>
          <w:highlight w:val="none"/>
        </w:rPr>
        <w:t>有</w:t>
      </w:r>
      <w:r>
        <w:rPr>
          <w:rFonts w:hint="eastAsia" w:ascii="宋体" w:hAnsi="宋体" w:eastAsia="宋体" w:cs="宋体"/>
          <w:color w:val="auto"/>
          <w:spacing w:val="-5"/>
          <w:highlight w:val="none"/>
        </w:rPr>
        <w:t>关</w:t>
      </w:r>
      <w:r>
        <w:rPr>
          <w:rFonts w:hint="eastAsia" w:ascii="宋体" w:hAnsi="宋体" w:eastAsia="宋体" w:cs="宋体"/>
          <w:color w:val="auto"/>
          <w:spacing w:val="-8"/>
          <w:highlight w:val="none"/>
        </w:rPr>
        <w:t>事</w:t>
      </w:r>
      <w:r>
        <w:rPr>
          <w:rFonts w:hint="eastAsia" w:ascii="宋体" w:hAnsi="宋体" w:eastAsia="宋体" w:cs="宋体"/>
          <w:color w:val="auto"/>
          <w:spacing w:val="-5"/>
          <w:highlight w:val="none"/>
        </w:rPr>
        <w:t>宜</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其</w:t>
      </w:r>
      <w:r>
        <w:rPr>
          <w:rFonts w:hint="eastAsia" w:ascii="宋体" w:hAnsi="宋体" w:eastAsia="宋体" w:cs="宋体"/>
          <w:color w:val="auto"/>
          <w:spacing w:val="-8"/>
          <w:highlight w:val="none"/>
        </w:rPr>
        <w:t>法</w:t>
      </w:r>
      <w:r>
        <w:rPr>
          <w:rFonts w:hint="eastAsia" w:ascii="宋体" w:hAnsi="宋体" w:eastAsia="宋体" w:cs="宋体"/>
          <w:color w:val="auto"/>
          <w:spacing w:val="-5"/>
          <w:highlight w:val="none"/>
        </w:rPr>
        <w:t>律</w:t>
      </w:r>
      <w:r>
        <w:rPr>
          <w:rFonts w:hint="eastAsia" w:ascii="宋体" w:hAnsi="宋体" w:eastAsia="宋体" w:cs="宋体"/>
          <w:color w:val="auto"/>
          <w:spacing w:val="-8"/>
          <w:highlight w:val="none"/>
        </w:rPr>
        <w:t>后</w:t>
      </w:r>
      <w:r>
        <w:rPr>
          <w:rFonts w:hint="eastAsia" w:ascii="宋体" w:hAnsi="宋体" w:eastAsia="宋体" w:cs="宋体"/>
          <w:color w:val="auto"/>
          <w:spacing w:val="-5"/>
          <w:highlight w:val="none"/>
        </w:rPr>
        <w:t>果</w:t>
      </w:r>
      <w:r>
        <w:rPr>
          <w:rFonts w:hint="eastAsia" w:ascii="宋体" w:hAnsi="宋体" w:eastAsia="宋体" w:cs="宋体"/>
          <w:color w:val="auto"/>
          <w:spacing w:val="-8"/>
          <w:highlight w:val="none"/>
        </w:rPr>
        <w:t>由</w:t>
      </w:r>
      <w:r>
        <w:rPr>
          <w:rFonts w:hint="eastAsia" w:ascii="宋体" w:hAnsi="宋体" w:eastAsia="宋体" w:cs="宋体"/>
          <w:color w:val="auto"/>
          <w:spacing w:val="-5"/>
          <w:highlight w:val="none"/>
        </w:rPr>
        <w:t>我</w:t>
      </w:r>
      <w:r>
        <w:rPr>
          <w:rFonts w:hint="eastAsia" w:ascii="宋体" w:hAnsi="宋体" w:eastAsia="宋体" w:cs="宋体"/>
          <w:color w:val="auto"/>
          <w:spacing w:val="-8"/>
          <w:highlight w:val="none"/>
        </w:rPr>
        <w:t>方</w:t>
      </w:r>
      <w:r>
        <w:rPr>
          <w:rFonts w:hint="eastAsia" w:ascii="宋体" w:hAnsi="宋体" w:eastAsia="宋体" w:cs="宋体"/>
          <w:color w:val="auto"/>
          <w:spacing w:val="-5"/>
          <w:highlight w:val="none"/>
        </w:rPr>
        <w:t>承</w:t>
      </w:r>
      <w:r>
        <w:rPr>
          <w:rFonts w:hint="eastAsia" w:ascii="宋体" w:hAnsi="宋体" w:eastAsia="宋体" w:cs="宋体"/>
          <w:color w:val="auto"/>
          <w:spacing w:val="-8"/>
          <w:highlight w:val="none"/>
        </w:rPr>
        <w:t>担</w:t>
      </w:r>
      <w:r>
        <w:rPr>
          <w:rFonts w:hint="eastAsia" w:ascii="宋体" w:hAnsi="宋体" w:eastAsia="宋体" w:cs="宋体"/>
          <w:color w:val="auto"/>
          <w:highlight w:val="none"/>
        </w:rPr>
        <w:t>。</w:t>
      </w:r>
    </w:p>
    <w:p>
      <w:pPr>
        <w:pStyle w:val="7"/>
        <w:spacing w:line="305" w:lineRule="exact"/>
        <w:ind w:left="332"/>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7"/>
        <w:tabs>
          <w:tab w:val="left" w:pos="6332"/>
        </w:tabs>
        <w:spacing w:before="158"/>
        <w:ind w:left="332"/>
        <w:jc w:val="both"/>
        <w:rPr>
          <w:rFonts w:hint="eastAsia" w:ascii="宋体" w:hAnsi="宋体" w:eastAsia="宋体" w:cs="宋体"/>
          <w:color w:val="auto"/>
          <w:highlight w:val="none"/>
        </w:rPr>
      </w:pPr>
      <w:r>
        <w:rPr>
          <w:rFonts w:hint="eastAsia" w:ascii="宋体" w:hAnsi="宋体" w:eastAsia="宋体" w:cs="宋体"/>
          <w:color w:val="auto"/>
          <w:highlight w:val="none"/>
        </w:rPr>
        <w:t>附：被授权人身份证</w:t>
      </w:r>
      <w:r>
        <w:rPr>
          <w:rFonts w:hint="eastAsia" w:ascii="宋体" w:hAnsi="宋体" w:eastAsia="宋体" w:cs="宋体"/>
          <w:color w:val="auto"/>
          <w:highlight w:val="none"/>
        </w:rPr>
        <w:tab/>
      </w:r>
      <w:r>
        <w:rPr>
          <w:rFonts w:hint="eastAsia" w:ascii="宋体" w:hAnsi="宋体" w:eastAsia="宋体" w:cs="宋体"/>
          <w:color w:val="auto"/>
          <w:highlight w:val="none"/>
        </w:rPr>
        <w:t>授权人身份证</w:t>
      </w:r>
    </w:p>
    <w:p>
      <w:pPr>
        <w:pStyle w:val="7"/>
        <w:tabs>
          <w:tab w:val="left" w:pos="6572"/>
        </w:tabs>
        <w:spacing w:before="160"/>
        <w:ind w:left="812"/>
        <w:rPr>
          <w:rFonts w:hint="eastAsia" w:ascii="宋体" w:hAnsi="宋体" w:eastAsia="宋体" w:cs="宋体"/>
          <w:color w:val="auto"/>
          <w:highlight w:val="none"/>
        </w:rPr>
      </w:pPr>
      <w:r>
        <w:rPr>
          <w:rFonts w:hint="eastAsia" w:ascii="宋体" w:hAnsi="宋体" w:eastAsia="宋体" w:cs="宋体"/>
          <w:color w:val="auto"/>
          <w:highlight w:val="none"/>
        </w:rPr>
        <w:t>正反面复印件</w:t>
      </w:r>
      <w:r>
        <w:rPr>
          <w:rFonts w:hint="eastAsia" w:ascii="宋体" w:hAnsi="宋体" w:eastAsia="宋体" w:cs="宋体"/>
          <w:color w:val="auto"/>
          <w:highlight w:val="none"/>
        </w:rPr>
        <w:tab/>
      </w:r>
      <w:r>
        <w:rPr>
          <w:rFonts w:hint="eastAsia" w:ascii="宋体" w:hAnsi="宋体" w:eastAsia="宋体" w:cs="宋体"/>
          <w:color w:val="auto"/>
          <w:highlight w:val="none"/>
        </w:rPr>
        <w:t>正反面复印件</w:t>
      </w: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20"/>
          <w:highlight w:val="none"/>
        </w:rPr>
      </w:pPr>
    </w:p>
    <w:p>
      <w:pPr>
        <w:pStyle w:val="7"/>
        <w:tabs>
          <w:tab w:val="left" w:pos="5732"/>
        </w:tabs>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被授权人签名（投标代表）：</w:t>
      </w:r>
      <w:r>
        <w:rPr>
          <w:rFonts w:hint="eastAsia" w:ascii="宋体" w:hAnsi="宋体" w:eastAsia="宋体" w:cs="宋体"/>
          <w:color w:val="auto"/>
          <w:highlight w:val="none"/>
        </w:rPr>
        <w:tab/>
      </w:r>
      <w:r>
        <w:rPr>
          <w:rFonts w:hint="eastAsia" w:ascii="宋体" w:hAnsi="宋体" w:eastAsia="宋体" w:cs="宋体"/>
          <w:color w:val="auto"/>
          <w:highlight w:val="none"/>
        </w:rPr>
        <w:t>授权人签名（法定代表）：</w:t>
      </w:r>
    </w:p>
    <w:p>
      <w:pPr>
        <w:pStyle w:val="7"/>
        <w:tabs>
          <w:tab w:val="left" w:pos="1532"/>
          <w:tab w:val="left" w:pos="5612"/>
          <w:tab w:val="left" w:pos="6572"/>
        </w:tabs>
        <w:spacing w:before="158"/>
        <w:ind w:left="332"/>
        <w:rPr>
          <w:rFonts w:hint="eastAsia" w:ascii="宋体" w:hAnsi="宋体" w:eastAsia="宋体" w:cs="宋体"/>
          <w:color w:val="auto"/>
          <w:highlight w:val="none"/>
        </w:rPr>
      </w:pP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务：</w:t>
      </w:r>
      <w:r>
        <w:rPr>
          <w:rFonts w:hint="eastAsia" w:ascii="宋体" w:hAnsi="宋体" w:eastAsia="宋体" w:cs="宋体"/>
          <w:color w:val="auto"/>
          <w:highlight w:val="none"/>
        </w:rPr>
        <w:tab/>
      </w: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务：</w:t>
      </w:r>
    </w:p>
    <w:p>
      <w:pPr>
        <w:pStyle w:val="7"/>
        <w:spacing w:before="160"/>
        <w:ind w:left="332"/>
        <w:rPr>
          <w:rFonts w:hint="eastAsia" w:ascii="宋体" w:hAnsi="宋体" w:eastAsia="宋体" w:cs="宋体"/>
          <w:color w:val="auto"/>
          <w:highlight w:val="none"/>
        </w:rPr>
      </w:pPr>
      <w:r>
        <w:rPr>
          <w:rFonts w:hint="eastAsia" w:ascii="宋体" w:hAnsi="宋体" w:eastAsia="宋体" w:cs="宋体"/>
          <w:color w:val="auto"/>
          <w:highlight w:val="none"/>
        </w:rPr>
        <w:t>联 系 电 话：</w:t>
      </w:r>
    </w:p>
    <w:p>
      <w:pPr>
        <w:pStyle w:val="7"/>
        <w:tabs>
          <w:tab w:val="left" w:pos="7938"/>
          <w:tab w:val="left" w:pos="8778"/>
          <w:tab w:val="left" w:pos="9258"/>
          <w:tab w:val="left" w:pos="9738"/>
        </w:tabs>
        <w:spacing w:before="161" w:line="362" w:lineRule="auto"/>
        <w:ind w:left="7218" w:right="665" w:hanging="166"/>
        <w:jc w:val="right"/>
        <w:rPr>
          <w:rFonts w:hint="eastAsia" w:ascii="宋体" w:hAnsi="宋体" w:eastAsia="宋体" w:cs="宋体"/>
          <w:color w:val="auto"/>
          <w:highlight w:val="none"/>
        </w:rPr>
      </w:pPr>
      <w:r>
        <w:rPr>
          <w:rFonts w:hint="eastAsia" w:ascii="宋体" w:hAnsi="宋体" w:eastAsia="宋体" w:cs="宋体"/>
          <w:color w:val="auto"/>
          <w:highlight w:val="none"/>
        </w:rPr>
        <w:t>供应商名称（加盖公章）：日</w:t>
      </w:r>
      <w:r>
        <w:rPr>
          <w:rFonts w:hint="eastAsia" w:ascii="宋体" w:hAnsi="宋体" w:eastAsia="宋体" w:cs="宋体"/>
          <w:color w:val="auto"/>
          <w:highlight w:val="none"/>
        </w:rPr>
        <w:tab/>
      </w:r>
      <w:r>
        <w:rPr>
          <w:rFonts w:hint="eastAsia" w:ascii="宋体" w:hAnsi="宋体" w:eastAsia="宋体" w:cs="宋体"/>
          <w:color w:val="auto"/>
          <w:highlight w:val="none"/>
        </w:rPr>
        <w:t>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spacing w:val="-17"/>
          <w:highlight w:val="none"/>
        </w:rPr>
        <w:t>日</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33"/>
          <w:highlight w:val="none"/>
        </w:rPr>
      </w:pPr>
    </w:p>
    <w:p>
      <w:pPr>
        <w:pStyle w:val="7"/>
        <w:spacing w:line="364" w:lineRule="auto"/>
        <w:ind w:left="332" w:right="665"/>
        <w:rPr>
          <w:rFonts w:hint="eastAsia" w:ascii="宋体" w:hAnsi="宋体" w:eastAsia="宋体" w:cs="宋体"/>
          <w:color w:val="auto"/>
          <w:highlight w:val="none"/>
        </w:rPr>
      </w:pPr>
      <w:r>
        <w:rPr>
          <w:rFonts w:hint="eastAsia" w:ascii="宋体" w:hAnsi="宋体" w:eastAsia="宋体" w:cs="宋体"/>
          <w:color w:val="auto"/>
          <w:spacing w:val="-4"/>
          <w:highlight w:val="none"/>
        </w:rPr>
        <w:t>说明：</w:t>
      </w:r>
      <w:r>
        <w:rPr>
          <w:rFonts w:hint="eastAsia" w:ascii="宋体" w:hAnsi="宋体" w:eastAsia="宋体" w:cs="宋体"/>
          <w:color w:val="auto"/>
          <w:spacing w:val="-11"/>
          <w:highlight w:val="none"/>
        </w:rPr>
        <w:t>1</w:t>
      </w:r>
      <w:r>
        <w:rPr>
          <w:rFonts w:hint="eastAsia" w:ascii="宋体" w:hAnsi="宋体" w:eastAsia="宋体" w:cs="宋体"/>
          <w:color w:val="auto"/>
          <w:spacing w:val="-9"/>
          <w:highlight w:val="none"/>
        </w:rPr>
        <w:t>、如法定代表人参加采购招标的，响应文件中不需提供授权委托书，但必须提供法定</w:t>
      </w:r>
      <w:r>
        <w:rPr>
          <w:rFonts w:hint="eastAsia" w:ascii="宋体" w:hAnsi="宋体" w:eastAsia="宋体" w:cs="宋体"/>
          <w:color w:val="auto"/>
          <w:highlight w:val="none"/>
        </w:rPr>
        <w:t>代表人身份证明；</w:t>
      </w:r>
    </w:p>
    <w:p>
      <w:pPr>
        <w:pStyle w:val="7"/>
        <w:spacing w:before="11"/>
        <w:rPr>
          <w:rFonts w:hint="eastAsia" w:ascii="宋体" w:hAnsi="宋体" w:eastAsia="宋体" w:cs="宋体"/>
          <w:color w:val="auto"/>
          <w:sz w:val="21"/>
          <w:highlight w:val="none"/>
        </w:rPr>
      </w:pPr>
    </w:p>
    <w:p>
      <w:pPr>
        <w:pStyle w:val="7"/>
        <w:spacing w:line="379" w:lineRule="auto"/>
        <w:ind w:left="332" w:right="665"/>
        <w:rPr>
          <w:rFonts w:hint="eastAsia" w:ascii="宋体" w:hAnsi="宋体" w:eastAsia="宋体" w:cs="宋体"/>
          <w:color w:val="auto"/>
          <w:highlight w:val="none"/>
        </w:rPr>
      </w:pPr>
      <w:r>
        <w:rPr>
          <w:rFonts w:hint="eastAsia" w:ascii="宋体" w:hAnsi="宋体" w:eastAsia="宋体" w:cs="宋体"/>
          <w:color w:val="auto"/>
          <w:highlight w:val="none"/>
        </w:rPr>
        <w:t>2</w:t>
      </w:r>
      <w:bookmarkStart w:id="15" w:name="2、如委托代理人参加采购招标的，响应文件中必须提供法定代表人身份证明和法定代表人"/>
      <w:bookmarkEnd w:id="15"/>
      <w:r>
        <w:rPr>
          <w:rFonts w:hint="eastAsia" w:ascii="宋体" w:hAnsi="宋体" w:eastAsia="宋体" w:cs="宋体"/>
          <w:color w:val="auto"/>
          <w:spacing w:val="-7"/>
          <w:highlight w:val="none"/>
        </w:rPr>
        <w:t>、如委托代理人参加采购招标的，响应文件中必须提供法定代表人身份证明和法定代表人授</w:t>
      </w:r>
      <w:r>
        <w:rPr>
          <w:rFonts w:hint="eastAsia" w:ascii="宋体" w:hAnsi="宋体" w:eastAsia="宋体" w:cs="宋体"/>
          <w:color w:val="auto"/>
          <w:highlight w:val="none"/>
        </w:rPr>
        <w:t>权委托书。</w:t>
      </w:r>
    </w:p>
    <w:p>
      <w:pPr>
        <w:spacing w:after="0" w:line="379"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pStyle w:val="7"/>
        <w:spacing w:before="1"/>
        <w:rPr>
          <w:rFonts w:hint="eastAsia" w:ascii="宋体" w:hAnsi="宋体" w:eastAsia="宋体" w:cs="宋体"/>
          <w:color w:val="auto"/>
          <w:sz w:val="14"/>
          <w:highlight w:val="none"/>
        </w:rPr>
      </w:pPr>
    </w:p>
    <w:p>
      <w:pPr>
        <w:pStyle w:val="4"/>
        <w:ind w:left="76"/>
        <w:rPr>
          <w:rFonts w:hint="eastAsia" w:ascii="宋体" w:hAnsi="宋体" w:eastAsia="宋体" w:cs="宋体"/>
          <w:color w:val="auto"/>
          <w:highlight w:val="none"/>
        </w:rPr>
      </w:pPr>
      <w:r>
        <w:rPr>
          <w:rFonts w:hint="eastAsia" w:ascii="宋体" w:hAnsi="宋体" w:eastAsia="宋体" w:cs="宋体"/>
          <w:color w:val="auto"/>
          <w:highlight w:val="none"/>
        </w:rPr>
        <w:t>四、商务条款偏离表</w:t>
      </w:r>
    </w:p>
    <w:p>
      <w:pPr>
        <w:pStyle w:val="5"/>
        <w:spacing w:before="170"/>
        <w:ind w:left="1654" w:right="2767"/>
        <w:rPr>
          <w:rFonts w:hint="eastAsia" w:ascii="宋体" w:hAnsi="宋体" w:eastAsia="宋体" w:cs="宋体"/>
          <w:color w:val="auto"/>
          <w:highlight w:val="none"/>
        </w:rPr>
      </w:pPr>
      <w:r>
        <w:rPr>
          <w:rFonts w:hint="eastAsia" w:ascii="宋体" w:hAnsi="宋体" w:eastAsia="宋体" w:cs="宋体"/>
          <w:color w:val="auto"/>
          <w:sz w:val="30"/>
          <w:highlight w:val="none"/>
        </w:rPr>
        <w:t>(</w:t>
      </w:r>
      <w:r>
        <w:rPr>
          <w:rFonts w:hint="eastAsia" w:ascii="宋体" w:hAnsi="宋体" w:eastAsia="宋体" w:cs="宋体"/>
          <w:color w:val="auto"/>
          <w:highlight w:val="none"/>
        </w:rPr>
        <w:t>注：按项目需求表具体项目修改)</w:t>
      </w:r>
    </w:p>
    <w:p>
      <w:pPr>
        <w:pStyle w:val="7"/>
        <w:tabs>
          <w:tab w:val="left" w:pos="2522"/>
        </w:tabs>
        <w:spacing w:before="74"/>
        <w:ind w:right="7014"/>
        <w:jc w:val="center"/>
        <w:rPr>
          <w:rFonts w:hint="eastAsia" w:ascii="宋体" w:hAnsi="宋体" w:eastAsia="宋体" w:cs="宋体"/>
          <w:color w:val="auto"/>
          <w:highlight w:val="none"/>
        </w:rPr>
      </w:pPr>
      <w:r>
        <w:rPr>
          <w:rFonts w:hint="eastAsia" w:ascii="宋体" w:hAnsi="宋体" w:eastAsia="宋体" w:cs="宋体"/>
          <w:color w:val="auto"/>
          <w:spacing w:val="-20"/>
          <w:highlight w:val="none"/>
        </w:rPr>
        <w:t>采</w:t>
      </w:r>
      <w:r>
        <w:rPr>
          <w:rFonts w:hint="eastAsia" w:ascii="宋体" w:hAnsi="宋体" w:eastAsia="宋体" w:cs="宋体"/>
          <w:color w:val="auto"/>
          <w:spacing w:val="-22"/>
          <w:highlight w:val="none"/>
        </w:rPr>
        <w:t>购</w:t>
      </w:r>
      <w:r>
        <w:rPr>
          <w:rFonts w:hint="eastAsia" w:ascii="宋体" w:hAnsi="宋体" w:eastAsia="宋体" w:cs="宋体"/>
          <w:color w:val="auto"/>
          <w:spacing w:val="-17"/>
          <w:highlight w:val="none"/>
        </w:rPr>
        <w:t>项</w:t>
      </w:r>
      <w:r>
        <w:rPr>
          <w:rFonts w:hint="eastAsia" w:ascii="宋体" w:hAnsi="宋体" w:eastAsia="宋体" w:cs="宋体"/>
          <w:color w:val="auto"/>
          <w:spacing w:val="-10"/>
          <w:highlight w:val="none"/>
        </w:rPr>
        <w:t>目编</w:t>
      </w:r>
      <w:r>
        <w:rPr>
          <w:rFonts w:hint="eastAsia" w:ascii="宋体" w:hAnsi="宋体" w:eastAsia="宋体" w:cs="宋体"/>
          <w:color w:val="auto"/>
          <w:spacing w:val="-12"/>
          <w:highlight w:val="none"/>
        </w:rPr>
        <w:t>号</w:t>
      </w:r>
      <w:r>
        <w:rPr>
          <w:rFonts w:hint="eastAsia" w:ascii="宋体" w:hAnsi="宋体" w:eastAsia="宋体" w:cs="宋体"/>
          <w:color w:val="auto"/>
          <w:spacing w:val="-10"/>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spacing w:before="7"/>
        <w:rPr>
          <w:rFonts w:hint="eastAsia" w:ascii="宋体" w:hAnsi="宋体" w:eastAsia="宋体" w:cs="宋体"/>
          <w:color w:val="auto"/>
          <w:sz w:val="18"/>
          <w:highlight w:val="none"/>
        </w:rPr>
      </w:pPr>
    </w:p>
    <w:p>
      <w:pPr>
        <w:pStyle w:val="7"/>
        <w:tabs>
          <w:tab w:val="left" w:pos="3295"/>
        </w:tabs>
        <w:spacing w:before="74" w:after="50"/>
        <w:ind w:left="560"/>
        <w:rPr>
          <w:rFonts w:hint="eastAsia" w:ascii="宋体" w:hAnsi="宋体" w:eastAsia="宋体" w:cs="宋体"/>
          <w:color w:val="auto"/>
          <w:highlight w:val="none"/>
        </w:rPr>
      </w:pPr>
      <w:r>
        <w:rPr>
          <w:rFonts w:hint="eastAsia" w:ascii="宋体" w:hAnsi="宋体" w:eastAsia="宋体" w:cs="宋体"/>
          <w:color w:val="auto"/>
          <w:spacing w:val="-12"/>
          <w:highlight w:val="none"/>
        </w:rPr>
        <w:t>采购项目名称</w:t>
      </w:r>
      <w:r>
        <w:rPr>
          <w:rFonts w:hint="eastAsia" w:ascii="宋体" w:hAnsi="宋体" w:eastAsia="宋体" w:cs="宋体"/>
          <w:color w:val="auto"/>
          <w:spacing w:val="-13"/>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tbl>
      <w:tblPr>
        <w:tblStyle w:val="10"/>
        <w:tblW w:w="0" w:type="auto"/>
        <w:tblInd w:w="6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3752"/>
        <w:gridCol w:w="2513"/>
        <w:gridCol w:w="2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6" w:type="dxa"/>
            <w:tcBorders>
              <w:left w:val="single" w:color="000000" w:sz="4" w:space="0"/>
              <w:right w:val="single" w:color="000000" w:sz="4" w:space="0"/>
            </w:tcBorders>
            <w:noWrap w:val="0"/>
            <w:vAlign w:val="top"/>
          </w:tcPr>
          <w:p>
            <w:pPr>
              <w:pStyle w:val="12"/>
              <w:spacing w:before="76"/>
              <w:ind w:left="144"/>
              <w:rPr>
                <w:rFonts w:hint="eastAsia" w:ascii="宋体" w:hAnsi="宋体" w:eastAsia="宋体" w:cs="宋体"/>
                <w:color w:val="auto"/>
                <w:sz w:val="21"/>
                <w:highlight w:val="none"/>
              </w:rPr>
            </w:pPr>
            <w:r>
              <w:rPr>
                <w:rFonts w:hint="eastAsia" w:ascii="宋体" w:hAnsi="宋体" w:eastAsia="宋体" w:cs="宋体"/>
                <w:color w:val="auto"/>
                <w:sz w:val="21"/>
                <w:highlight w:val="none"/>
              </w:rPr>
              <w:t>项号</w:t>
            </w:r>
          </w:p>
        </w:tc>
        <w:tc>
          <w:tcPr>
            <w:tcW w:w="3752" w:type="dxa"/>
            <w:tcBorders>
              <w:left w:val="single" w:color="000000" w:sz="4" w:space="0"/>
              <w:right w:val="single" w:color="000000" w:sz="4" w:space="0"/>
            </w:tcBorders>
            <w:noWrap w:val="0"/>
            <w:vAlign w:val="top"/>
          </w:tcPr>
          <w:p>
            <w:pPr>
              <w:pStyle w:val="12"/>
              <w:spacing w:before="76"/>
              <w:ind w:left="938"/>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招标文件的商务需求</w:t>
            </w:r>
          </w:p>
        </w:tc>
        <w:tc>
          <w:tcPr>
            <w:tcW w:w="2513" w:type="dxa"/>
            <w:tcBorders>
              <w:left w:val="single" w:color="000000" w:sz="4" w:space="0"/>
              <w:right w:val="single" w:color="000000" w:sz="4" w:space="0"/>
            </w:tcBorders>
            <w:noWrap w:val="0"/>
            <w:vAlign w:val="top"/>
          </w:tcPr>
          <w:p>
            <w:pPr>
              <w:pStyle w:val="12"/>
              <w:spacing w:before="97" w:line="261" w:lineRule="auto"/>
              <w:ind w:left="1161" w:right="204" w:hanging="946"/>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投标文件承诺的商务条</w:t>
            </w:r>
            <w:r>
              <w:rPr>
                <w:rFonts w:hint="eastAsia" w:ascii="宋体" w:hAnsi="宋体" w:eastAsia="宋体" w:cs="宋体"/>
                <w:color w:val="auto"/>
                <w:sz w:val="21"/>
                <w:highlight w:val="none"/>
              </w:rPr>
              <w:t>款</w:t>
            </w:r>
          </w:p>
        </w:tc>
        <w:tc>
          <w:tcPr>
            <w:tcW w:w="2528" w:type="dxa"/>
            <w:tcBorders>
              <w:left w:val="single" w:color="000000" w:sz="4" w:space="0"/>
              <w:right w:val="single" w:color="000000" w:sz="4" w:space="0"/>
            </w:tcBorders>
            <w:noWrap w:val="0"/>
            <w:vAlign w:val="top"/>
          </w:tcPr>
          <w:p>
            <w:pPr>
              <w:pStyle w:val="12"/>
              <w:spacing w:before="45"/>
              <w:ind w:left="856"/>
              <w:rPr>
                <w:rFonts w:hint="eastAsia" w:ascii="宋体" w:hAnsi="宋体" w:eastAsia="宋体" w:cs="宋体"/>
                <w:color w:val="auto"/>
                <w:sz w:val="21"/>
                <w:highlight w:val="none"/>
              </w:rPr>
            </w:pPr>
            <w:r>
              <w:rPr>
                <w:rFonts w:hint="eastAsia" w:ascii="宋体" w:hAnsi="宋体" w:eastAsia="宋体" w:cs="宋体"/>
                <w:color w:val="auto"/>
                <w:sz w:val="21"/>
                <w:highlight w:val="no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96"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8"/>
                <w:highlight w:val="none"/>
              </w:rPr>
            </w:pPr>
          </w:p>
          <w:p>
            <w:pPr>
              <w:pStyle w:val="12"/>
              <w:spacing w:before="2"/>
              <w:rPr>
                <w:rFonts w:hint="eastAsia" w:ascii="宋体" w:hAnsi="宋体" w:eastAsia="宋体" w:cs="宋体"/>
                <w:color w:val="auto"/>
                <w:sz w:val="9"/>
                <w:highlight w:val="none"/>
              </w:rPr>
            </w:pPr>
          </w:p>
          <w:p>
            <w:pPr>
              <w:pStyle w:val="12"/>
              <w:ind w:left="118"/>
              <w:rPr>
                <w:rFonts w:hint="eastAsia" w:ascii="宋体" w:hAnsi="宋体" w:eastAsia="宋体" w:cs="宋体"/>
                <w:color w:val="auto"/>
                <w:sz w:val="9"/>
                <w:highlight w:val="none"/>
              </w:rPr>
            </w:pPr>
            <w:r>
              <w:rPr>
                <w:rFonts w:hint="eastAsia" w:ascii="宋体" w:hAnsi="宋体" w:eastAsia="宋体" w:cs="宋体"/>
                <w:color w:val="auto"/>
                <w:w w:val="98"/>
                <w:sz w:val="9"/>
                <w:highlight w:val="none"/>
              </w:rPr>
              <w:t>一</w:t>
            </w:r>
          </w:p>
        </w:tc>
        <w:tc>
          <w:tcPr>
            <w:tcW w:w="3752" w:type="dxa"/>
            <w:tcBorders>
              <w:left w:val="single" w:color="000000" w:sz="4" w:space="0"/>
              <w:right w:val="single" w:color="000000" w:sz="4" w:space="0"/>
            </w:tcBorders>
            <w:noWrap w:val="0"/>
            <w:vAlign w:val="top"/>
          </w:tcPr>
          <w:p>
            <w:pPr>
              <w:pStyle w:val="12"/>
              <w:spacing w:before="1"/>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1"/>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4"/>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3"/>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96" w:type="dxa"/>
            <w:vMerge w:val="restart"/>
            <w:tcBorders>
              <w:left w:val="single" w:color="000000" w:sz="4" w:space="0"/>
              <w:right w:val="single" w:color="000000" w:sz="4" w:space="0"/>
            </w:tcBorders>
            <w:noWrap w:val="0"/>
            <w:vAlign w:val="top"/>
          </w:tcPr>
          <w:p>
            <w:pPr>
              <w:pStyle w:val="12"/>
              <w:spacing w:before="81"/>
              <w:ind w:left="120"/>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二</w:t>
            </w:r>
          </w:p>
        </w:tc>
        <w:tc>
          <w:tcPr>
            <w:tcW w:w="3752" w:type="dxa"/>
            <w:tcBorders>
              <w:left w:val="single" w:color="000000" w:sz="4" w:space="0"/>
              <w:right w:val="single" w:color="000000" w:sz="4" w:space="0"/>
            </w:tcBorders>
            <w:noWrap w:val="0"/>
            <w:vAlign w:val="top"/>
          </w:tcPr>
          <w:p>
            <w:pPr>
              <w:pStyle w:val="12"/>
              <w:spacing w:before="5"/>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5"/>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8"/>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6"/>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96" w:type="dxa"/>
            <w:vMerge w:val="restart"/>
            <w:tcBorders>
              <w:left w:val="single" w:color="000000" w:sz="4" w:space="0"/>
              <w:right w:val="single" w:color="000000" w:sz="4" w:space="0"/>
            </w:tcBorders>
            <w:noWrap w:val="0"/>
            <w:vAlign w:val="top"/>
          </w:tcPr>
          <w:p>
            <w:pPr>
              <w:pStyle w:val="12"/>
              <w:spacing w:before="127"/>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752" w:type="dxa"/>
            <w:tcBorders>
              <w:left w:val="single" w:color="000000" w:sz="4" w:space="0"/>
              <w:right w:val="single" w:color="000000" w:sz="4" w:space="0"/>
            </w:tcBorders>
            <w:noWrap w:val="0"/>
            <w:vAlign w:val="top"/>
          </w:tcPr>
          <w:p>
            <w:pPr>
              <w:pStyle w:val="12"/>
              <w:spacing w:before="7"/>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7"/>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7"/>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6"/>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bl>
    <w:p>
      <w:pPr>
        <w:pStyle w:val="7"/>
        <w:rPr>
          <w:rFonts w:hint="eastAsia" w:ascii="宋体" w:hAnsi="宋体" w:eastAsia="宋体" w:cs="宋体"/>
          <w:color w:val="auto"/>
          <w:sz w:val="26"/>
          <w:highlight w:val="none"/>
        </w:rPr>
      </w:pPr>
    </w:p>
    <w:p>
      <w:pPr>
        <w:spacing w:before="161"/>
        <w:ind w:left="515"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p>
    <w:p>
      <w:pPr>
        <w:spacing w:before="170"/>
        <w:ind w:left="721"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1.表格内容均需按要求填写并盖章，不得留空，否则按投标无效处理。</w:t>
      </w:r>
    </w:p>
    <w:p>
      <w:pPr>
        <w:pStyle w:val="7"/>
        <w:rPr>
          <w:rFonts w:hint="eastAsia" w:ascii="宋体" w:hAnsi="宋体" w:eastAsia="宋体" w:cs="宋体"/>
          <w:color w:val="auto"/>
          <w:sz w:val="22"/>
          <w:highlight w:val="none"/>
        </w:rPr>
      </w:pPr>
    </w:p>
    <w:p>
      <w:pPr>
        <w:pStyle w:val="7"/>
        <w:rPr>
          <w:rFonts w:hint="eastAsia" w:ascii="宋体" w:hAnsi="宋体" w:eastAsia="宋体" w:cs="宋体"/>
          <w:color w:val="auto"/>
          <w:sz w:val="22"/>
          <w:highlight w:val="none"/>
        </w:rPr>
      </w:pPr>
    </w:p>
    <w:p>
      <w:pPr>
        <w:pStyle w:val="7"/>
        <w:rPr>
          <w:rFonts w:hint="eastAsia" w:ascii="宋体" w:hAnsi="宋体" w:eastAsia="宋体" w:cs="宋体"/>
          <w:color w:val="auto"/>
          <w:sz w:val="22"/>
          <w:highlight w:val="none"/>
        </w:rPr>
      </w:pPr>
    </w:p>
    <w:p>
      <w:pPr>
        <w:pStyle w:val="6"/>
        <w:tabs>
          <w:tab w:val="left" w:pos="1304"/>
          <w:tab w:val="left" w:pos="2276"/>
        </w:tabs>
        <w:spacing w:before="178" w:line="343" w:lineRule="auto"/>
        <w:ind w:right="7791"/>
        <w:rPr>
          <w:rFonts w:hint="eastAsia" w:ascii="宋体" w:hAnsi="宋体" w:eastAsia="宋体" w:cs="宋体"/>
          <w:color w:val="auto"/>
          <w:highlight w:val="none"/>
        </w:rPr>
      </w:pPr>
      <w:bookmarkStart w:id="16" w:name="投标人名称(电子签章)： "/>
      <w:bookmarkEnd w:id="16"/>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bookmarkStart w:id="17" w:name="日期：   年  月   日"/>
      <w:bookmarkEnd w:id="17"/>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43"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spacing w:before="39"/>
        <w:ind w:left="1170"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五、投标人情况介绍</w:t>
      </w:r>
    </w:p>
    <w:p>
      <w:pPr>
        <w:pStyle w:val="7"/>
        <w:spacing w:before="17"/>
        <w:ind w:left="414" w:right="905"/>
        <w:jc w:val="center"/>
        <w:rPr>
          <w:rFonts w:hint="eastAsia" w:ascii="宋体" w:hAnsi="宋体" w:eastAsia="宋体" w:cs="宋体"/>
          <w:color w:val="auto"/>
          <w:highlight w:val="none"/>
        </w:rPr>
      </w:pPr>
      <w:r>
        <w:rPr>
          <w:rFonts w:hint="eastAsia" w:ascii="宋体" w:hAnsi="宋体" w:eastAsia="宋体" w:cs="宋体"/>
          <w:color w:val="auto"/>
          <w:highlight w:val="none"/>
        </w:rPr>
        <w:t>(格式自拟)</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2"/>
        <w:rPr>
          <w:rFonts w:hint="eastAsia" w:ascii="宋体" w:hAnsi="宋体" w:eastAsia="宋体" w:cs="宋体"/>
          <w:color w:val="auto"/>
          <w:sz w:val="19"/>
          <w:highlight w:val="none"/>
        </w:rPr>
      </w:pPr>
    </w:p>
    <w:p>
      <w:pPr>
        <w:pStyle w:val="7"/>
        <w:tabs>
          <w:tab w:val="left" w:pos="6500"/>
          <w:tab w:val="left" w:pos="7467"/>
        </w:tabs>
        <w:spacing w:line="535" w:lineRule="auto"/>
        <w:ind w:left="5533" w:right="2638" w:hanging="147"/>
        <w:rPr>
          <w:rFonts w:hint="eastAsia" w:ascii="宋体" w:hAnsi="宋体" w:eastAsia="宋体" w:cs="宋体"/>
          <w:color w:val="auto"/>
          <w:highlight w:val="none"/>
        </w:rPr>
      </w:pPr>
      <w:r>
        <w:rPr>
          <w:rFonts w:hint="eastAsia" w:ascii="宋体" w:hAnsi="宋体" w:eastAsia="宋体" w:cs="宋体"/>
          <w:color w:val="auto"/>
          <w:spacing w:val="-3"/>
          <w:highlight w:val="none"/>
        </w:rPr>
        <w:t>投标人名称</w:t>
      </w:r>
      <w:r>
        <w:rPr>
          <w:rFonts w:hint="eastAsia" w:ascii="宋体" w:hAnsi="宋体" w:eastAsia="宋体" w:cs="宋体"/>
          <w:color w:val="auto"/>
          <w:highlight w:val="none"/>
        </w:rPr>
        <w:t>(</w:t>
      </w:r>
      <w:r>
        <w:rPr>
          <w:rFonts w:hint="eastAsia" w:ascii="宋体" w:hAnsi="宋体" w:eastAsia="宋体" w:cs="宋体"/>
          <w:color w:val="auto"/>
          <w:spacing w:val="-3"/>
          <w:highlight w:val="none"/>
        </w:rPr>
        <w:t>电子签</w:t>
      </w:r>
      <w:r>
        <w:rPr>
          <w:rFonts w:hint="eastAsia" w:ascii="宋体" w:hAnsi="宋体" w:eastAsia="宋体" w:cs="宋体"/>
          <w:color w:val="auto"/>
          <w:highlight w:val="none"/>
        </w:rPr>
        <w:t>章</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3"/>
          <w:highlight w:val="none"/>
        </w:rPr>
        <w:t>日期：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535"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pStyle w:val="4"/>
        <w:spacing w:before="37"/>
        <w:ind w:left="569"/>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六、投标人类似的业绩证明文件(如有)</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10"/>
        <w:rPr>
          <w:rFonts w:hint="eastAsia" w:ascii="宋体" w:hAnsi="宋体" w:eastAsia="宋体" w:cs="宋体"/>
          <w:color w:val="auto"/>
          <w:sz w:val="22"/>
          <w:highlight w:val="none"/>
        </w:rPr>
      </w:pPr>
    </w:p>
    <w:tbl>
      <w:tblPr>
        <w:tblStyle w:val="10"/>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425"/>
        <w:gridCol w:w="1900"/>
        <w:gridCol w:w="1238"/>
        <w:gridCol w:w="1462"/>
        <w:gridCol w:w="1125"/>
        <w:gridCol w:w="1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245"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33"/>
                <w:highlight w:val="none"/>
              </w:rPr>
            </w:pPr>
          </w:p>
          <w:p>
            <w:pPr>
              <w:pStyle w:val="12"/>
              <w:ind w:left="2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425" w:type="dxa"/>
            <w:tcBorders>
              <w:left w:val="single" w:color="000000" w:sz="4" w:space="0"/>
              <w:right w:val="single" w:color="000000" w:sz="4" w:space="0"/>
            </w:tcBorders>
            <w:noWrap w:val="0"/>
            <w:vAlign w:val="top"/>
          </w:tcPr>
          <w:p>
            <w:pPr>
              <w:pStyle w:val="12"/>
              <w:spacing w:before="6"/>
              <w:rPr>
                <w:rFonts w:hint="eastAsia" w:ascii="宋体" w:hAnsi="宋体" w:eastAsia="宋体" w:cs="宋体"/>
                <w:color w:val="auto"/>
                <w:sz w:val="33"/>
                <w:highlight w:val="none"/>
              </w:rPr>
            </w:pPr>
          </w:p>
          <w:p>
            <w:pPr>
              <w:pStyle w:val="12"/>
              <w:ind w:left="24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900" w:type="dxa"/>
            <w:tcBorders>
              <w:left w:val="single" w:color="000000" w:sz="4" w:space="0"/>
              <w:right w:val="single" w:color="000000" w:sz="4" w:space="0"/>
            </w:tcBorders>
            <w:noWrap w:val="0"/>
            <w:vAlign w:val="top"/>
          </w:tcPr>
          <w:p>
            <w:pPr>
              <w:pStyle w:val="12"/>
              <w:spacing w:before="184"/>
              <w:ind w:left="42"/>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 万元)</w:t>
            </w:r>
          </w:p>
        </w:tc>
        <w:tc>
          <w:tcPr>
            <w:tcW w:w="1238" w:type="dxa"/>
            <w:tcBorders>
              <w:left w:val="single" w:color="000000" w:sz="4" w:space="0"/>
              <w:bottom w:val="single" w:color="000000" w:sz="4" w:space="0"/>
              <w:right w:val="single" w:color="000000" w:sz="4" w:space="0"/>
            </w:tcBorders>
            <w:noWrap w:val="0"/>
            <w:vAlign w:val="top"/>
          </w:tcPr>
          <w:p>
            <w:pPr>
              <w:pStyle w:val="12"/>
              <w:spacing w:before="4"/>
              <w:rPr>
                <w:rFonts w:hint="eastAsia" w:ascii="宋体" w:hAnsi="宋体" w:eastAsia="宋体" w:cs="宋体"/>
                <w:color w:val="auto"/>
                <w:sz w:val="20"/>
                <w:highlight w:val="none"/>
              </w:rPr>
            </w:pPr>
          </w:p>
          <w:p>
            <w:pPr>
              <w:pStyle w:val="12"/>
              <w:ind w:left="384"/>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462" w:type="dxa"/>
            <w:tcBorders>
              <w:left w:val="single" w:color="000000" w:sz="4" w:space="0"/>
              <w:bottom w:val="single" w:color="000000" w:sz="4" w:space="0"/>
              <w:right w:val="single" w:color="000000" w:sz="4" w:space="0"/>
            </w:tcBorders>
            <w:noWrap w:val="0"/>
            <w:vAlign w:val="top"/>
          </w:tcPr>
          <w:p>
            <w:pPr>
              <w:pStyle w:val="12"/>
              <w:spacing w:before="12"/>
              <w:rPr>
                <w:rFonts w:hint="eastAsia" w:ascii="宋体" w:hAnsi="宋体" w:eastAsia="宋体" w:cs="宋体"/>
                <w:color w:val="auto"/>
                <w:sz w:val="19"/>
                <w:highlight w:val="none"/>
              </w:rPr>
            </w:pPr>
          </w:p>
          <w:p>
            <w:pPr>
              <w:pStyle w:val="12"/>
              <w:ind w:left="25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125" w:type="dxa"/>
            <w:tcBorders>
              <w:left w:val="single" w:color="000000" w:sz="4" w:space="0"/>
              <w:right w:val="single" w:color="000000" w:sz="4" w:space="0"/>
            </w:tcBorders>
            <w:noWrap w:val="0"/>
            <w:vAlign w:val="top"/>
          </w:tcPr>
          <w:p>
            <w:pPr>
              <w:pStyle w:val="12"/>
              <w:spacing w:before="12"/>
              <w:rPr>
                <w:rFonts w:hint="eastAsia" w:ascii="宋体" w:hAnsi="宋体" w:eastAsia="宋体" w:cs="宋体"/>
                <w:color w:val="auto"/>
                <w:sz w:val="19"/>
                <w:highlight w:val="none"/>
              </w:rPr>
            </w:pPr>
          </w:p>
          <w:p>
            <w:pPr>
              <w:pStyle w:val="12"/>
              <w:ind w:left="91"/>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488" w:type="dxa"/>
            <w:tcBorders>
              <w:left w:val="single" w:color="000000" w:sz="4" w:space="0"/>
              <w:right w:val="single" w:color="000000" w:sz="4" w:space="0"/>
            </w:tcBorders>
            <w:noWrap w:val="0"/>
            <w:vAlign w:val="top"/>
          </w:tcPr>
          <w:p>
            <w:pPr>
              <w:pStyle w:val="12"/>
              <w:spacing w:before="5"/>
              <w:rPr>
                <w:rFonts w:hint="eastAsia" w:ascii="宋体" w:hAnsi="宋体" w:eastAsia="宋体" w:cs="宋体"/>
                <w:color w:val="auto"/>
                <w:sz w:val="25"/>
                <w:highlight w:val="none"/>
              </w:rPr>
            </w:pPr>
          </w:p>
          <w:p>
            <w:pPr>
              <w:pStyle w:val="12"/>
              <w:spacing w:line="206" w:lineRule="auto"/>
              <w:ind w:left="154" w:right="3" w:hanging="123"/>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top w:val="single" w:color="000000" w:sz="4" w:space="0"/>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top w:val="single" w:color="000000" w:sz="4" w:space="0"/>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bl>
    <w:p>
      <w:pPr>
        <w:pStyle w:val="7"/>
        <w:spacing w:before="5"/>
        <w:rPr>
          <w:rFonts w:hint="eastAsia" w:ascii="宋体" w:hAnsi="宋体" w:eastAsia="宋体" w:cs="宋体"/>
          <w:color w:val="auto"/>
          <w:sz w:val="9"/>
          <w:highlight w:val="none"/>
        </w:rPr>
      </w:pPr>
    </w:p>
    <w:p>
      <w:pPr>
        <w:spacing w:before="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注：投标人可按上述的格式自行编制，须随表提交相应的合同复印件和用户单位验收证明。</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5"/>
        <w:rPr>
          <w:rFonts w:hint="eastAsia" w:ascii="宋体" w:hAnsi="宋体" w:eastAsia="宋体" w:cs="宋体"/>
          <w:color w:val="auto"/>
          <w:sz w:val="23"/>
          <w:highlight w:val="none"/>
        </w:rPr>
      </w:pPr>
    </w:p>
    <w:p>
      <w:pPr>
        <w:pStyle w:val="6"/>
        <w:tabs>
          <w:tab w:val="left" w:pos="1304"/>
          <w:tab w:val="left" w:pos="2276"/>
        </w:tabs>
        <w:spacing w:line="607" w:lineRule="auto"/>
        <w:ind w:right="7791"/>
        <w:rPr>
          <w:rFonts w:hint="eastAsia" w:ascii="宋体" w:hAnsi="宋体" w:eastAsia="宋体" w:cs="宋体"/>
          <w:color w:val="auto"/>
          <w:highlight w:val="none"/>
        </w:rPr>
      </w:pPr>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22"/>
          <w:highlight w:val="none"/>
        </w:rPr>
      </w:pPr>
    </w:p>
    <w:p>
      <w:pPr>
        <w:spacing w:before="0"/>
        <w:ind w:left="332" w:right="0" w:firstLine="0"/>
        <w:jc w:val="center"/>
        <w:rPr>
          <w:rFonts w:hint="eastAsia" w:ascii="宋体" w:hAnsi="宋体" w:eastAsia="宋体" w:cs="宋体"/>
          <w:color w:val="auto"/>
          <w:sz w:val="30"/>
          <w:highlight w:val="none"/>
        </w:rPr>
      </w:pPr>
      <w:bookmarkStart w:id="18" w:name="七、供应商认为需要提供的其他有关资料。"/>
      <w:bookmarkEnd w:id="18"/>
      <w:r>
        <w:rPr>
          <w:rFonts w:hint="eastAsia" w:ascii="宋体" w:hAnsi="宋体" w:eastAsia="宋体" w:cs="宋体"/>
          <w:color w:val="auto"/>
          <w:sz w:val="30"/>
          <w:highlight w:val="none"/>
        </w:rPr>
        <w:t>七、供应商认为需要提供的其他有关资料。</w:t>
      </w:r>
    </w:p>
    <w:p>
      <w:pPr>
        <w:spacing w:after="0"/>
        <w:jc w:val="left"/>
        <w:rPr>
          <w:rFonts w:hint="eastAsia" w:ascii="宋体" w:hAnsi="宋体" w:eastAsia="宋体" w:cs="宋体"/>
          <w:color w:val="auto"/>
          <w:sz w:val="30"/>
          <w:highlight w:val="none"/>
        </w:rPr>
        <w:sectPr>
          <w:pgSz w:w="11910" w:h="16840"/>
          <w:pgMar w:top="1520" w:right="460" w:bottom="1060" w:left="800" w:header="0" w:footer="871" w:gutter="0"/>
          <w:pgNumType w:fmt="decimal"/>
          <w:cols w:space="720" w:num="1"/>
        </w:sectPr>
      </w:pPr>
    </w:p>
    <w:p>
      <w:pPr>
        <w:spacing w:before="40"/>
        <w:ind w:left="575" w:right="905"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第四节 技术文件格式</w:t>
      </w:r>
    </w:p>
    <w:p>
      <w:pPr>
        <w:pStyle w:val="7"/>
        <w:spacing w:before="11"/>
        <w:rPr>
          <w:rFonts w:hint="eastAsia" w:ascii="宋体" w:hAnsi="宋体" w:eastAsia="宋体" w:cs="宋体"/>
          <w:b/>
          <w:color w:val="auto"/>
          <w:sz w:val="36"/>
          <w:highlight w:val="none"/>
        </w:rPr>
      </w:pPr>
    </w:p>
    <w:p>
      <w:pPr>
        <w:spacing w:before="0"/>
        <w:ind w:left="580"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技术文件目录</w:t>
      </w:r>
    </w:p>
    <w:p>
      <w:pPr>
        <w:pStyle w:val="7"/>
        <w:tabs>
          <w:tab w:val="left" w:leader="dot" w:pos="7424"/>
        </w:tabs>
        <w:spacing w:before="154"/>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服</w:t>
      </w:r>
      <w:r>
        <w:rPr>
          <w:rFonts w:hint="eastAsia" w:ascii="宋体" w:hAnsi="宋体" w:eastAsia="宋体" w:cs="宋体"/>
          <w:color w:val="auto"/>
          <w:spacing w:val="7"/>
          <w:highlight w:val="none"/>
        </w:rPr>
        <w:t>务技</w:t>
      </w:r>
      <w:r>
        <w:rPr>
          <w:rFonts w:hint="eastAsia" w:ascii="宋体" w:hAnsi="宋体" w:eastAsia="宋体" w:cs="宋体"/>
          <w:color w:val="auto"/>
          <w:spacing w:val="9"/>
          <w:highlight w:val="none"/>
        </w:rPr>
        <w:t>术</w:t>
      </w:r>
      <w:r>
        <w:rPr>
          <w:rFonts w:hint="eastAsia" w:ascii="宋体" w:hAnsi="宋体" w:eastAsia="宋体" w:cs="宋体"/>
          <w:color w:val="auto"/>
          <w:spacing w:val="7"/>
          <w:highlight w:val="none"/>
        </w:rPr>
        <w:t>需</w:t>
      </w:r>
      <w:r>
        <w:rPr>
          <w:rFonts w:hint="eastAsia" w:ascii="宋体" w:hAnsi="宋体" w:eastAsia="宋体" w:cs="宋体"/>
          <w:color w:val="auto"/>
          <w:spacing w:val="9"/>
          <w:highlight w:val="none"/>
        </w:rPr>
        <w:t>求</w:t>
      </w:r>
      <w:r>
        <w:rPr>
          <w:rFonts w:hint="eastAsia" w:ascii="宋体" w:hAnsi="宋体" w:eastAsia="宋体" w:cs="宋体"/>
          <w:color w:val="auto"/>
          <w:spacing w:val="7"/>
          <w:highlight w:val="none"/>
        </w:rPr>
        <w:t>偏离</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407"/>
        </w:tabs>
        <w:spacing w:before="194"/>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二</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组织</w:t>
      </w:r>
      <w:r>
        <w:rPr>
          <w:rFonts w:hint="eastAsia" w:ascii="宋体" w:hAnsi="宋体" w:eastAsia="宋体" w:cs="宋体"/>
          <w:color w:val="auto"/>
          <w:spacing w:val="9"/>
          <w:highlight w:val="none"/>
        </w:rPr>
        <w:t>服</w:t>
      </w:r>
      <w:r>
        <w:rPr>
          <w:rFonts w:hint="eastAsia" w:ascii="宋体" w:hAnsi="宋体" w:eastAsia="宋体" w:cs="宋体"/>
          <w:color w:val="auto"/>
          <w:spacing w:val="7"/>
          <w:highlight w:val="none"/>
        </w:rPr>
        <w:t>务方</w:t>
      </w:r>
      <w:r>
        <w:rPr>
          <w:rFonts w:hint="eastAsia" w:ascii="宋体" w:hAnsi="宋体" w:eastAsia="宋体" w:cs="宋体"/>
          <w:color w:val="auto"/>
          <w:highlight w:val="none"/>
        </w:rPr>
        <w:t>案</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359"/>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三、售后服务方</w:t>
      </w:r>
      <w:r>
        <w:rPr>
          <w:rFonts w:hint="eastAsia" w:ascii="宋体" w:hAnsi="宋体" w:eastAsia="宋体" w:cs="宋体"/>
          <w:color w:val="auto"/>
          <w:highlight w:val="none"/>
        </w:rPr>
        <w:t>案</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tabs>
          <w:tab w:val="left" w:leader="dot" w:pos="7352"/>
        </w:tabs>
        <w:spacing w:before="191"/>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四</w:t>
      </w:r>
      <w:r>
        <w:rPr>
          <w:rFonts w:hint="eastAsia" w:ascii="宋体" w:hAnsi="宋体" w:eastAsia="宋体" w:cs="宋体"/>
          <w:color w:val="auto"/>
          <w:highlight w:val="none"/>
        </w:rPr>
        <w:t>、</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项</w:t>
      </w:r>
      <w:r>
        <w:rPr>
          <w:rFonts w:hint="eastAsia" w:ascii="宋体" w:hAnsi="宋体" w:eastAsia="宋体" w:cs="宋体"/>
          <w:color w:val="auto"/>
          <w:spacing w:val="-10"/>
          <w:highlight w:val="none"/>
        </w:rPr>
        <w:t>目</w:t>
      </w:r>
      <w:r>
        <w:rPr>
          <w:rFonts w:hint="eastAsia" w:ascii="宋体" w:hAnsi="宋体" w:eastAsia="宋体" w:cs="宋体"/>
          <w:color w:val="auto"/>
          <w:spacing w:val="-8"/>
          <w:highlight w:val="none"/>
        </w:rPr>
        <w:t>实施</w:t>
      </w:r>
      <w:r>
        <w:rPr>
          <w:rFonts w:hint="eastAsia" w:ascii="宋体" w:hAnsi="宋体" w:eastAsia="宋体" w:cs="宋体"/>
          <w:color w:val="auto"/>
          <w:spacing w:val="-10"/>
          <w:highlight w:val="none"/>
        </w:rPr>
        <w:t>人</w:t>
      </w:r>
      <w:r>
        <w:rPr>
          <w:rFonts w:hint="eastAsia" w:ascii="宋体" w:hAnsi="宋体" w:eastAsia="宋体" w:cs="宋体"/>
          <w:color w:val="auto"/>
          <w:spacing w:val="-8"/>
          <w:highlight w:val="none"/>
        </w:rPr>
        <w:t>员一</w:t>
      </w:r>
      <w:r>
        <w:rPr>
          <w:rFonts w:hint="eastAsia" w:ascii="宋体" w:hAnsi="宋体" w:eastAsia="宋体" w:cs="宋体"/>
          <w:color w:val="auto"/>
          <w:spacing w:val="-10"/>
          <w:highlight w:val="none"/>
        </w:rPr>
        <w:t>览</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spacing w:val="-3"/>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7340"/>
        </w:tabs>
        <w:spacing w:before="194"/>
        <w:ind w:left="332"/>
        <w:rPr>
          <w:rFonts w:hint="eastAsia" w:ascii="宋体" w:hAnsi="宋体" w:eastAsia="宋体" w:cs="宋体"/>
          <w:color w:val="auto"/>
          <w:highlight w:val="none"/>
        </w:rPr>
      </w:pPr>
      <w:r>
        <w:rPr>
          <w:rFonts w:hint="eastAsia" w:ascii="宋体" w:hAnsi="宋体" w:eastAsia="宋体" w:cs="宋体"/>
          <w:color w:val="auto"/>
          <w:spacing w:val="-8"/>
          <w:highlight w:val="none"/>
        </w:rPr>
        <w:t>五</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技术</w:t>
      </w:r>
      <w:r>
        <w:rPr>
          <w:rFonts w:hint="eastAsia" w:ascii="宋体" w:hAnsi="宋体" w:eastAsia="宋体" w:cs="宋体"/>
          <w:color w:val="auto"/>
          <w:spacing w:val="-10"/>
          <w:highlight w:val="none"/>
        </w:rPr>
        <w:t>服</w:t>
      </w:r>
      <w:r>
        <w:rPr>
          <w:rFonts w:hint="eastAsia" w:ascii="宋体" w:hAnsi="宋体" w:eastAsia="宋体" w:cs="宋体"/>
          <w:color w:val="auto"/>
          <w:spacing w:val="-8"/>
          <w:highlight w:val="none"/>
        </w:rPr>
        <w:t>务内容</w:t>
      </w:r>
      <w:r>
        <w:rPr>
          <w:rFonts w:hint="eastAsia" w:ascii="宋体" w:hAnsi="宋体" w:eastAsia="宋体" w:cs="宋体"/>
          <w:color w:val="auto"/>
          <w:spacing w:val="-12"/>
          <w:highlight w:val="none"/>
        </w:rPr>
        <w:t>、技术培训内</w:t>
      </w:r>
      <w:r>
        <w:rPr>
          <w:rFonts w:hint="eastAsia" w:ascii="宋体" w:hAnsi="宋体" w:eastAsia="宋体" w:cs="宋体"/>
          <w:color w:val="auto"/>
          <w:highlight w:val="none"/>
        </w:rPr>
        <w:t>容</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tabs>
          <w:tab w:val="left" w:leader="dot" w:pos="7328"/>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六</w:t>
      </w:r>
      <w:r>
        <w:rPr>
          <w:rFonts w:hint="eastAsia" w:ascii="宋体" w:hAnsi="宋体" w:eastAsia="宋体" w:cs="宋体"/>
          <w:color w:val="auto"/>
          <w:spacing w:val="4"/>
          <w:highlight w:val="none"/>
        </w:rPr>
        <w:t>、</w:t>
      </w:r>
      <w:r>
        <w:rPr>
          <w:rFonts w:hint="eastAsia" w:ascii="宋体" w:hAnsi="宋体" w:eastAsia="宋体" w:cs="宋体"/>
          <w:color w:val="auto"/>
          <w:spacing w:val="-8"/>
          <w:highlight w:val="none"/>
        </w:rPr>
        <w:t>其</w:t>
      </w:r>
      <w:r>
        <w:rPr>
          <w:rFonts w:hint="eastAsia" w:ascii="宋体" w:hAnsi="宋体" w:eastAsia="宋体" w:cs="宋体"/>
          <w:color w:val="auto"/>
          <w:spacing w:val="-5"/>
          <w:highlight w:val="none"/>
        </w:rPr>
        <w:t>他</w:t>
      </w:r>
      <w:r>
        <w:rPr>
          <w:rFonts w:hint="eastAsia" w:ascii="宋体" w:hAnsi="宋体" w:eastAsia="宋体" w:cs="宋体"/>
          <w:color w:val="auto"/>
          <w:highlight w:val="none"/>
        </w:rPr>
        <w:t>优</w:t>
      </w:r>
      <w:r>
        <w:rPr>
          <w:rFonts w:hint="eastAsia" w:ascii="宋体" w:hAnsi="宋体" w:eastAsia="宋体" w:cs="宋体"/>
          <w:color w:val="auto"/>
          <w:spacing w:val="-12"/>
          <w:highlight w:val="none"/>
        </w:rPr>
        <w:t>惠条件及特殊承诺</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280"/>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七、投标人对项目的合理化建议和改进措</w:t>
      </w:r>
      <w:r>
        <w:rPr>
          <w:rFonts w:hint="eastAsia" w:ascii="宋体" w:hAnsi="宋体" w:eastAsia="宋体" w:cs="宋体"/>
          <w:color w:val="auto"/>
          <w:highlight w:val="none"/>
        </w:rPr>
        <w:t>施</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00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八、培训计划</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587"/>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九、认为需要的其他技术文件或说明</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spacing w:before="191"/>
        <w:ind w:left="332"/>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 各投标人可根据自身情况进一步向下增加内容或细化。</w:t>
      </w:r>
    </w:p>
    <w:p>
      <w:pPr>
        <w:spacing w:after="0"/>
        <w:rPr>
          <w:rFonts w:hint="eastAsia" w:ascii="宋体" w:hAnsi="宋体" w:eastAsia="宋体" w:cs="宋体"/>
          <w:color w:val="auto"/>
          <w:highlight w:val="none"/>
        </w:rPr>
        <w:sectPr>
          <w:pgSz w:w="11910" w:h="16840"/>
          <w:pgMar w:top="1100" w:right="460" w:bottom="1060" w:left="800" w:header="0" w:footer="871" w:gutter="0"/>
          <w:pgNumType w:fmt="decimal"/>
          <w:cols w:space="720" w:num="1"/>
        </w:sectPr>
      </w:pPr>
    </w:p>
    <w:p>
      <w:pPr>
        <w:pStyle w:val="4"/>
        <w:spacing w:before="47"/>
        <w:ind w:right="3269"/>
        <w:jc w:val="right"/>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w:t>
      </w:r>
    </w:p>
    <w:p>
      <w:pPr>
        <w:pStyle w:val="7"/>
        <w:spacing w:before="5"/>
        <w:rPr>
          <w:rFonts w:hint="eastAsia" w:ascii="宋体" w:hAnsi="宋体" w:eastAsia="宋体" w:cs="宋体"/>
          <w:color w:val="auto"/>
          <w:sz w:val="43"/>
          <w:highlight w:val="none"/>
        </w:rPr>
      </w:pPr>
    </w:p>
    <w:p>
      <w:pPr>
        <w:pStyle w:val="7"/>
        <w:spacing w:after="11"/>
        <w:ind w:right="3228"/>
        <w:jc w:val="right"/>
        <w:rPr>
          <w:rFonts w:hint="eastAsia" w:ascii="宋体" w:hAnsi="宋体" w:eastAsia="宋体" w:cs="宋体"/>
          <w:color w:val="auto"/>
          <w:highlight w:val="none"/>
        </w:rPr>
      </w:pPr>
      <w:r>
        <w:rPr>
          <w:rFonts w:hint="eastAsia" w:ascii="宋体" w:hAnsi="宋体" w:eastAsia="宋体" w:cs="宋体"/>
          <w:color w:val="auto"/>
          <w:highlight w:val="none"/>
        </w:rPr>
        <w:t>( 注 ： 按 采 购 需 求 具 体 条 款 修 改 )</w:t>
      </w:r>
    </w:p>
    <w:tbl>
      <w:tblPr>
        <w:tblStyle w:val="10"/>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259"/>
        <w:gridCol w:w="2308"/>
        <w:gridCol w:w="1514"/>
        <w:gridCol w:w="313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8" w:type="dxa"/>
            <w:vMerge w:val="restart"/>
            <w:tcBorders>
              <w:left w:val="single" w:color="000000" w:sz="4" w:space="0"/>
              <w:right w:val="single" w:color="000000" w:sz="4" w:space="0"/>
            </w:tcBorders>
            <w:noWrap w:val="0"/>
            <w:textDirection w:val="tbRl"/>
            <w:vAlign w:val="top"/>
          </w:tcPr>
          <w:p>
            <w:pPr>
              <w:pStyle w:val="12"/>
              <w:spacing w:before="7"/>
              <w:rPr>
                <w:rFonts w:hint="eastAsia" w:ascii="宋体" w:hAnsi="宋体" w:eastAsia="宋体" w:cs="宋体"/>
                <w:color w:val="auto"/>
                <w:sz w:val="17"/>
                <w:highlight w:val="none"/>
              </w:rPr>
            </w:pPr>
          </w:p>
          <w:p>
            <w:pPr>
              <w:pStyle w:val="12"/>
              <w:ind w:left="257"/>
              <w:rPr>
                <w:rFonts w:hint="eastAsia" w:ascii="宋体" w:hAnsi="宋体" w:eastAsia="宋体" w:cs="宋体"/>
                <w:color w:val="auto"/>
                <w:sz w:val="21"/>
                <w:highlight w:val="none"/>
              </w:rPr>
            </w:pPr>
            <w:r>
              <w:rPr>
                <w:rFonts w:hint="eastAsia" w:ascii="宋体" w:hAnsi="宋体" w:eastAsia="宋体" w:cs="宋体"/>
                <w:color w:val="auto"/>
                <w:sz w:val="21"/>
                <w:highlight w:val="none"/>
              </w:rPr>
              <w:t>项 号</w:t>
            </w:r>
          </w:p>
        </w:tc>
        <w:tc>
          <w:tcPr>
            <w:tcW w:w="3567" w:type="dxa"/>
            <w:gridSpan w:val="2"/>
            <w:tcBorders>
              <w:left w:val="single" w:color="000000" w:sz="4" w:space="0"/>
              <w:right w:val="single" w:color="000000" w:sz="4" w:space="0"/>
            </w:tcBorders>
            <w:noWrap w:val="0"/>
            <w:vAlign w:val="top"/>
          </w:tcPr>
          <w:p>
            <w:pPr>
              <w:pStyle w:val="12"/>
              <w:spacing w:before="86"/>
              <w:ind w:left="1160"/>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招标文件需求</w:t>
            </w:r>
          </w:p>
        </w:tc>
        <w:tc>
          <w:tcPr>
            <w:tcW w:w="4648" w:type="dxa"/>
            <w:gridSpan w:val="2"/>
            <w:tcBorders>
              <w:left w:val="single" w:color="000000" w:sz="4" w:space="0"/>
              <w:right w:val="single" w:color="000000" w:sz="4" w:space="0"/>
            </w:tcBorders>
            <w:noWrap w:val="0"/>
            <w:vAlign w:val="top"/>
          </w:tcPr>
          <w:p>
            <w:pPr>
              <w:pStyle w:val="12"/>
              <w:spacing w:before="86"/>
              <w:ind w:left="1755" w:right="15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投标文件承诺</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p>
            <w:pPr>
              <w:pStyle w:val="12"/>
              <w:spacing w:before="170"/>
              <w:ind w:left="121"/>
              <w:rPr>
                <w:rFonts w:hint="eastAsia" w:ascii="宋体" w:hAnsi="宋体" w:eastAsia="宋体" w:cs="宋体"/>
                <w:color w:val="auto"/>
                <w:sz w:val="21"/>
                <w:highlight w:val="none"/>
              </w:rPr>
            </w:pPr>
            <w:r>
              <w:rPr>
                <w:rFonts w:hint="eastAsia" w:ascii="宋体" w:hAnsi="宋体" w:eastAsia="宋体" w:cs="宋体"/>
                <w:color w:val="auto"/>
                <w:sz w:val="21"/>
                <w:highlight w:val="no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38" w:type="dxa"/>
            <w:vMerge w:val="continue"/>
            <w:tcBorders>
              <w:top w:val="nil"/>
              <w:left w:val="single" w:color="000000" w:sz="4" w:space="0"/>
              <w:right w:val="single" w:color="000000" w:sz="4" w:space="0"/>
            </w:tcBorders>
            <w:noWrap w:val="0"/>
            <w:textDirection w:val="tbRl"/>
            <w:vAlign w:val="top"/>
          </w:tcPr>
          <w:p>
            <w:pPr>
              <w:rPr>
                <w:rFonts w:hint="eastAsia" w:ascii="宋体" w:hAnsi="宋体" w:eastAsia="宋体" w:cs="宋体"/>
                <w:color w:val="auto"/>
                <w:sz w:val="2"/>
                <w:szCs w:val="2"/>
                <w:highlight w:val="none"/>
              </w:rPr>
            </w:pPr>
          </w:p>
        </w:tc>
        <w:tc>
          <w:tcPr>
            <w:tcW w:w="1259"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214"/>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2308"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741"/>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货物参数</w:t>
            </w:r>
          </w:p>
        </w:tc>
        <w:tc>
          <w:tcPr>
            <w:tcW w:w="1514"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346"/>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3134"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816"/>
              <w:rPr>
                <w:rFonts w:hint="eastAsia" w:ascii="宋体" w:hAnsi="宋体" w:eastAsia="宋体" w:cs="宋体"/>
                <w:color w:val="auto"/>
                <w:sz w:val="21"/>
                <w:highlight w:val="none"/>
              </w:rPr>
            </w:pPr>
            <w:r>
              <w:rPr>
                <w:rFonts w:hint="eastAsia" w:ascii="宋体" w:hAnsi="宋体" w:eastAsia="宋体" w:cs="宋体"/>
                <w:color w:val="auto"/>
                <w:sz w:val="21"/>
                <w:highlight w:val="none"/>
              </w:rPr>
              <w:t>所提供货物的内容</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8"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bottom w:val="nil"/>
              <w:right w:val="single" w:color="000000" w:sz="4" w:space="0"/>
            </w:tcBorders>
            <w:noWrap w:val="0"/>
            <w:vAlign w:val="top"/>
          </w:tcPr>
          <w:p>
            <w:pPr>
              <w:pStyle w:val="12"/>
              <w:spacing w:before="35"/>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514"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bottom w:val="nil"/>
              <w:right w:val="single" w:color="000000" w:sz="4" w:space="0"/>
            </w:tcBorders>
            <w:noWrap w:val="0"/>
            <w:vAlign w:val="top"/>
          </w:tcPr>
          <w:p>
            <w:pPr>
              <w:pStyle w:val="12"/>
              <w:spacing w:before="35"/>
              <w:ind w:left="132"/>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38" w:type="dxa"/>
            <w:tcBorders>
              <w:top w:val="nil"/>
              <w:left w:val="single" w:color="000000" w:sz="4" w:space="0"/>
              <w:bottom w:val="nil"/>
              <w:right w:val="single" w:color="000000" w:sz="4" w:space="0"/>
            </w:tcBorders>
            <w:noWrap w:val="0"/>
            <w:vAlign w:val="top"/>
          </w:tcPr>
          <w:p>
            <w:pPr>
              <w:pStyle w:val="12"/>
              <w:spacing w:before="6"/>
              <w:rPr>
                <w:rFonts w:hint="eastAsia" w:ascii="宋体" w:hAnsi="宋体" w:eastAsia="宋体" w:cs="宋体"/>
                <w:color w:val="auto"/>
                <w:sz w:val="16"/>
                <w:highlight w:val="none"/>
              </w:rPr>
            </w:pPr>
          </w:p>
          <w:p>
            <w:pPr>
              <w:pStyle w:val="12"/>
              <w:ind w:left="132"/>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1259"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308" w:type="dxa"/>
            <w:tcBorders>
              <w:top w:val="nil"/>
              <w:left w:val="single" w:color="000000" w:sz="4" w:space="0"/>
              <w:bottom w:val="nil"/>
              <w:right w:val="single" w:color="000000" w:sz="4" w:space="0"/>
            </w:tcBorders>
            <w:noWrap w:val="0"/>
            <w:vAlign w:val="top"/>
          </w:tcPr>
          <w:p>
            <w:pPr>
              <w:pStyle w:val="12"/>
              <w:tabs>
                <w:tab w:val="left" w:pos="426"/>
              </w:tabs>
              <w:spacing w:before="4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26"/>
              </w:tabs>
              <w:spacing w:before="60"/>
              <w:ind w:left="117"/>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514"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134" w:type="dxa"/>
            <w:tcBorders>
              <w:top w:val="nil"/>
              <w:left w:val="single" w:color="000000" w:sz="4" w:space="0"/>
              <w:bottom w:val="nil"/>
              <w:right w:val="single" w:color="000000" w:sz="4" w:space="0"/>
            </w:tcBorders>
            <w:noWrap w:val="0"/>
            <w:vAlign w:val="top"/>
          </w:tcPr>
          <w:p>
            <w:pPr>
              <w:pStyle w:val="12"/>
              <w:tabs>
                <w:tab w:val="left" w:pos="432"/>
              </w:tabs>
              <w:spacing w:before="4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30"/>
              </w:tabs>
              <w:spacing w:before="60"/>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8"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top w:val="nil"/>
              <w:left w:val="single" w:color="000000" w:sz="4" w:space="0"/>
              <w:right w:val="single" w:color="000000" w:sz="4" w:space="0"/>
            </w:tcBorders>
            <w:noWrap w:val="0"/>
            <w:vAlign w:val="top"/>
          </w:tcPr>
          <w:p>
            <w:pPr>
              <w:pStyle w:val="12"/>
              <w:spacing w:before="27" w:line="257" w:lineRule="exact"/>
              <w:ind w:left="126"/>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14"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top w:val="nil"/>
              <w:left w:val="single" w:color="000000" w:sz="4" w:space="0"/>
              <w:right w:val="single" w:color="000000" w:sz="4" w:space="0"/>
            </w:tcBorders>
            <w:noWrap w:val="0"/>
            <w:vAlign w:val="top"/>
          </w:tcPr>
          <w:p>
            <w:pPr>
              <w:pStyle w:val="12"/>
              <w:spacing w:before="27" w:line="257" w:lineRule="exact"/>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38"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bottom w:val="nil"/>
              <w:right w:val="single" w:color="000000" w:sz="4" w:space="0"/>
            </w:tcBorders>
            <w:noWrap w:val="0"/>
            <w:vAlign w:val="top"/>
          </w:tcPr>
          <w:p>
            <w:pPr>
              <w:pStyle w:val="12"/>
              <w:spacing w:before="37"/>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514"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bottom w:val="nil"/>
              <w:right w:val="single" w:color="000000" w:sz="4" w:space="0"/>
            </w:tcBorders>
            <w:noWrap w:val="0"/>
            <w:vAlign w:val="top"/>
          </w:tcPr>
          <w:p>
            <w:pPr>
              <w:pStyle w:val="12"/>
              <w:spacing w:before="37"/>
              <w:ind w:left="132"/>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38" w:type="dxa"/>
            <w:tcBorders>
              <w:top w:val="nil"/>
              <w:left w:val="single" w:color="000000" w:sz="4" w:space="0"/>
              <w:bottom w:val="nil"/>
              <w:right w:val="single" w:color="000000" w:sz="4" w:space="0"/>
            </w:tcBorders>
            <w:noWrap w:val="0"/>
            <w:vAlign w:val="top"/>
          </w:tcPr>
          <w:p>
            <w:pPr>
              <w:pStyle w:val="12"/>
              <w:spacing w:before="6"/>
              <w:rPr>
                <w:rFonts w:hint="eastAsia" w:ascii="宋体" w:hAnsi="宋体" w:eastAsia="宋体" w:cs="宋体"/>
                <w:color w:val="auto"/>
                <w:sz w:val="16"/>
                <w:highlight w:val="none"/>
              </w:rPr>
            </w:pPr>
          </w:p>
          <w:p>
            <w:pPr>
              <w:pStyle w:val="12"/>
              <w:ind w:left="118"/>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1259"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308" w:type="dxa"/>
            <w:tcBorders>
              <w:top w:val="nil"/>
              <w:left w:val="single" w:color="000000" w:sz="4" w:space="0"/>
              <w:bottom w:val="nil"/>
              <w:right w:val="single" w:color="000000" w:sz="4" w:space="0"/>
            </w:tcBorders>
            <w:noWrap w:val="0"/>
            <w:vAlign w:val="top"/>
          </w:tcPr>
          <w:p>
            <w:pPr>
              <w:pStyle w:val="12"/>
              <w:tabs>
                <w:tab w:val="left" w:pos="426"/>
              </w:tabs>
              <w:spacing w:before="4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26"/>
              </w:tabs>
              <w:spacing w:before="60"/>
              <w:ind w:left="117"/>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514"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134" w:type="dxa"/>
            <w:tcBorders>
              <w:top w:val="nil"/>
              <w:left w:val="single" w:color="000000" w:sz="4" w:space="0"/>
              <w:bottom w:val="nil"/>
              <w:right w:val="single" w:color="000000" w:sz="4" w:space="0"/>
            </w:tcBorders>
            <w:noWrap w:val="0"/>
            <w:vAlign w:val="top"/>
          </w:tcPr>
          <w:p>
            <w:pPr>
              <w:pStyle w:val="12"/>
              <w:tabs>
                <w:tab w:val="left" w:pos="432"/>
              </w:tabs>
              <w:spacing w:before="4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30"/>
              </w:tabs>
              <w:spacing w:before="60"/>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38"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top w:val="nil"/>
              <w:left w:val="single" w:color="000000" w:sz="4" w:space="0"/>
              <w:right w:val="single" w:color="000000" w:sz="4" w:space="0"/>
            </w:tcBorders>
            <w:noWrap w:val="0"/>
            <w:vAlign w:val="top"/>
          </w:tcPr>
          <w:p>
            <w:pPr>
              <w:pStyle w:val="12"/>
              <w:spacing w:before="27" w:line="256" w:lineRule="exact"/>
              <w:ind w:left="126"/>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14"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top w:val="nil"/>
              <w:left w:val="single" w:color="000000" w:sz="4" w:space="0"/>
              <w:right w:val="single" w:color="000000" w:sz="4" w:space="0"/>
            </w:tcBorders>
            <w:noWrap w:val="0"/>
            <w:vAlign w:val="top"/>
          </w:tcPr>
          <w:p>
            <w:pPr>
              <w:pStyle w:val="12"/>
              <w:spacing w:before="27" w:line="256" w:lineRule="exact"/>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38" w:type="dxa"/>
            <w:tcBorders>
              <w:left w:val="single" w:color="000000" w:sz="4" w:space="0"/>
              <w:right w:val="single" w:color="000000" w:sz="4" w:space="0"/>
            </w:tcBorders>
            <w:noWrap w:val="0"/>
            <w:vAlign w:val="top"/>
          </w:tcPr>
          <w:p>
            <w:pPr>
              <w:pStyle w:val="12"/>
              <w:spacing w:before="67" w:line="250" w:lineRule="exact"/>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25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51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01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bl>
    <w:p>
      <w:pPr>
        <w:spacing w:before="42"/>
        <w:ind w:left="625"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p>
    <w:p>
      <w:pPr>
        <w:pStyle w:val="7"/>
        <w:spacing w:before="7"/>
        <w:rPr>
          <w:rFonts w:hint="eastAsia" w:ascii="宋体" w:hAnsi="宋体" w:eastAsia="宋体" w:cs="宋体"/>
          <w:color w:val="auto"/>
          <w:sz w:val="14"/>
          <w:highlight w:val="none"/>
        </w:rPr>
      </w:pPr>
    </w:p>
    <w:p>
      <w:pPr>
        <w:pStyle w:val="13"/>
        <w:numPr>
          <w:ilvl w:val="0"/>
          <w:numId w:val="14"/>
        </w:numPr>
        <w:tabs>
          <w:tab w:val="left" w:pos="645"/>
        </w:tabs>
        <w:spacing w:before="0" w:after="0" w:line="240" w:lineRule="auto"/>
        <w:ind w:left="644" w:right="0" w:hanging="298"/>
        <w:jc w:val="left"/>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表格内容均需按要求填写并盖章，不得留空，否则按投标无效处理。</w:t>
      </w:r>
    </w:p>
    <w:p>
      <w:pPr>
        <w:pStyle w:val="7"/>
        <w:rPr>
          <w:rFonts w:hint="eastAsia" w:ascii="宋体" w:hAnsi="宋体" w:eastAsia="宋体" w:cs="宋体"/>
          <w:color w:val="auto"/>
          <w:sz w:val="18"/>
          <w:highlight w:val="none"/>
        </w:rPr>
      </w:pPr>
    </w:p>
    <w:p>
      <w:pPr>
        <w:pStyle w:val="13"/>
        <w:numPr>
          <w:ilvl w:val="0"/>
          <w:numId w:val="14"/>
        </w:numPr>
        <w:tabs>
          <w:tab w:val="left" w:pos="645"/>
        </w:tabs>
        <w:spacing w:before="0" w:after="0" w:line="240" w:lineRule="auto"/>
        <w:ind w:left="644" w:right="0" w:hanging="298"/>
        <w:jc w:val="left"/>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当投标文件的服务内容低于招标文件要求时，投标人应当如实写明，否则视为虚假应标。</w:t>
      </w:r>
    </w:p>
    <w:p>
      <w:pPr>
        <w:pStyle w:val="7"/>
        <w:spacing w:before="2"/>
        <w:rPr>
          <w:rFonts w:hint="eastAsia" w:ascii="宋体" w:hAnsi="宋体" w:eastAsia="宋体" w:cs="宋体"/>
          <w:color w:val="auto"/>
          <w:sz w:val="25"/>
          <w:highlight w:val="none"/>
        </w:rPr>
      </w:pPr>
    </w:p>
    <w:p>
      <w:pPr>
        <w:pStyle w:val="6"/>
        <w:tabs>
          <w:tab w:val="left" w:pos="1304"/>
          <w:tab w:val="left" w:pos="2276"/>
        </w:tabs>
        <w:spacing w:line="609" w:lineRule="auto"/>
        <w:ind w:right="7791"/>
        <w:rPr>
          <w:rFonts w:hint="eastAsia" w:ascii="宋体" w:hAnsi="宋体" w:eastAsia="宋体" w:cs="宋体"/>
          <w:color w:val="auto"/>
          <w:highlight w:val="none"/>
        </w:rPr>
      </w:pPr>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609" w:lineRule="auto"/>
        <w:rPr>
          <w:rFonts w:hint="eastAsia" w:ascii="宋体" w:hAnsi="宋体" w:eastAsia="宋体" w:cs="宋体"/>
          <w:color w:val="auto"/>
          <w:highlight w:val="none"/>
        </w:rPr>
        <w:sectPr>
          <w:footerReference r:id="rId11" w:type="default"/>
          <w:pgSz w:w="11910" w:h="16840"/>
          <w:pgMar w:top="1520" w:right="460" w:bottom="1060" w:left="800" w:header="0" w:footer="871" w:gutter="0"/>
          <w:pgNumType w:fmt="decimal"/>
          <w:cols w:space="720" w:num="1"/>
        </w:sectPr>
      </w:pPr>
    </w:p>
    <w:p>
      <w:pPr>
        <w:spacing w:before="47"/>
        <w:ind w:left="1191"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二、 组织服务方案</w:t>
      </w:r>
    </w:p>
    <w:tbl>
      <w:tblPr>
        <w:tblStyle w:val="10"/>
        <w:tblpPr w:leftFromText="180" w:rightFromText="180" w:vertAnchor="text" w:horzAnchor="page" w:tblpX="1085" w:tblpY="1176"/>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1"/>
        <w:gridCol w:w="552"/>
        <w:gridCol w:w="552"/>
        <w:gridCol w:w="551"/>
        <w:gridCol w:w="551"/>
        <w:gridCol w:w="551"/>
        <w:gridCol w:w="553"/>
        <w:gridCol w:w="552"/>
        <w:gridCol w:w="553"/>
        <w:gridCol w:w="552"/>
        <w:gridCol w:w="554"/>
        <w:gridCol w:w="551"/>
        <w:gridCol w:w="554"/>
        <w:gridCol w:w="551"/>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1192" w:type="dxa"/>
            <w:tcBorders>
              <w:left w:val="single" w:color="000000" w:sz="4" w:space="0"/>
              <w:right w:val="single" w:color="000000" w:sz="4" w:space="0"/>
            </w:tcBorders>
            <w:noWrap w:val="0"/>
            <w:vAlign w:val="top"/>
          </w:tcPr>
          <w:p>
            <w:pPr>
              <w:pStyle w:val="12"/>
              <w:spacing w:before="123"/>
              <w:ind w:right="38"/>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工</w:t>
            </w:r>
          </w:p>
          <w:p>
            <w:pPr>
              <w:pStyle w:val="12"/>
              <w:spacing w:before="43"/>
              <w:ind w:left="334"/>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作</w:t>
            </w:r>
          </w:p>
          <w:p>
            <w:pPr>
              <w:pStyle w:val="12"/>
              <w:spacing w:before="33"/>
              <w:ind w:left="780"/>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日</w:t>
            </w:r>
          </w:p>
          <w:p>
            <w:pPr>
              <w:pStyle w:val="12"/>
              <w:rPr>
                <w:rFonts w:hint="eastAsia" w:ascii="宋体" w:hAnsi="宋体" w:eastAsia="宋体" w:cs="宋体"/>
                <w:color w:val="auto"/>
                <w:sz w:val="22"/>
                <w:highlight w:val="none"/>
              </w:rPr>
            </w:pPr>
          </w:p>
          <w:p>
            <w:pPr>
              <w:pStyle w:val="12"/>
              <w:spacing w:line="292" w:lineRule="exact"/>
              <w:ind w:left="151"/>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8"/>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1"/>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2"/>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7"/>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6"/>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7"/>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5"/>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5"/>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3"/>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rPr>
                <w:rFonts w:hint="eastAsia" w:ascii="宋体" w:hAnsi="宋体" w:eastAsia="宋体" w:cs="宋体"/>
                <w:color w:val="auto"/>
                <w:sz w:val="24"/>
                <w:highlight w:val="none"/>
              </w:rPr>
            </w:pPr>
          </w:p>
          <w:p>
            <w:pPr>
              <w:pStyle w:val="12"/>
              <w:spacing w:before="160"/>
              <w:ind w:left="15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r>
    </w:tbl>
    <w:p>
      <w:pPr>
        <w:pStyle w:val="7"/>
        <w:spacing w:before="9" w:line="703" w:lineRule="auto"/>
        <w:ind w:left="731" w:right="2721" w:firstLine="2272"/>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1" allowOverlap="1">
                <wp:simplePos x="0" y="0"/>
                <wp:positionH relativeFrom="page">
                  <wp:posOffset>720090</wp:posOffset>
                </wp:positionH>
                <wp:positionV relativeFrom="paragraph">
                  <wp:posOffset>773430</wp:posOffset>
                </wp:positionV>
                <wp:extent cx="758190" cy="1191895"/>
                <wp:effectExtent l="0" t="0" r="3810" b="8255"/>
                <wp:wrapNone/>
                <wp:docPr id="5" name="任意多边形 5"/>
                <wp:cNvGraphicFramePr/>
                <a:graphic xmlns:a="http://schemas.openxmlformats.org/drawingml/2006/main">
                  <a:graphicData uri="http://schemas.microsoft.com/office/word/2010/wordprocessingShape">
                    <wps:wsp>
                      <wps:cNvSpPr/>
                      <wps:spPr>
                        <a:xfrm>
                          <a:off x="0" y="0"/>
                          <a:ext cx="758190" cy="1191895"/>
                        </a:xfrm>
                        <a:custGeom>
                          <a:avLst/>
                          <a:gdLst/>
                          <a:ahLst/>
                          <a:cxnLst/>
                          <a:pathLst>
                            <a:path w="1194" h="1877">
                              <a:moveTo>
                                <a:pt x="1183" y="1877"/>
                              </a:moveTo>
                              <a:lnTo>
                                <a:pt x="0" y="7"/>
                              </a:lnTo>
                              <a:lnTo>
                                <a:pt x="10" y="0"/>
                              </a:lnTo>
                              <a:lnTo>
                                <a:pt x="1193" y="1870"/>
                              </a:lnTo>
                              <a:lnTo>
                                <a:pt x="1183" y="187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60.9pt;height:93.85pt;width:59.7pt;mso-position-horizontal-relative:page;z-index:-251657216;mso-width-relative:page;mso-height-relative:page;" fillcolor="#000000" filled="t" stroked="f" coordsize="1194,1877" o:gfxdata="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iYAjDZAAAACwEAAA8AAAAAAAAAAQAgAAAAIgAAAGRycy9k&#10;b3ducmV2LnhtbFBLAQIUABQAAAAIAIdO4kDMYHCHAQIAADwEAAAOAAAAAAAAAAEAIAAAACgBAABk&#10;cnMvZTJvRG9jLnhtbFBLBQYAAAAABgAGAFkBAACbBQAAAAA=&#10;" path="m1183,1877l0,7,10,0,1193,1870,1183,1877xe">
                <v:fill on="t" focussize="0,0"/>
                <v:stroke on="f"/>
                <v:imagedata o:title=""/>
                <o:lock v:ext="edit" aspectratio="f"/>
              </v:shape>
            </w:pict>
          </mc:Fallback>
        </mc:AlternateContent>
      </w:r>
      <w:r>
        <w:rPr>
          <w:rFonts w:hint="eastAsia" w:ascii="宋体" w:hAnsi="宋体" w:eastAsia="宋体" w:cs="宋体"/>
          <w:color w:val="auto"/>
          <w:highlight w:val="none"/>
        </w:rPr>
        <w:t>( 由投标人根据采购需求及招标文件要求编制) 附表:项目实施进度计划表(以生效日算起)</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
        <w:rPr>
          <w:rFonts w:hint="eastAsia" w:ascii="宋体" w:hAnsi="宋体" w:eastAsia="宋体" w:cs="宋体"/>
          <w:color w:val="auto"/>
          <w:sz w:val="31"/>
          <w:highlight w:val="none"/>
        </w:rPr>
      </w:pPr>
    </w:p>
    <w:p>
      <w:pPr>
        <w:pStyle w:val="7"/>
        <w:ind w:left="719"/>
        <w:rPr>
          <w:rFonts w:hint="eastAsia" w:ascii="宋体" w:hAnsi="宋体" w:eastAsia="宋体" w:cs="宋体"/>
          <w:color w:val="auto"/>
          <w:highlight w:val="none"/>
        </w:rPr>
      </w:pPr>
      <w:r>
        <w:rPr>
          <w:rFonts w:hint="eastAsia" w:ascii="宋体" w:hAnsi="宋体" w:eastAsia="宋体" w:cs="宋体"/>
          <w:color w:val="auto"/>
          <w:highlight w:val="none"/>
        </w:rPr>
        <w:t>注：投标人可按上述时间表的格式自行编制切合实际的具体时间表。</w:t>
      </w:r>
    </w:p>
    <w:p>
      <w:pPr>
        <w:pStyle w:val="7"/>
        <w:tabs>
          <w:tab w:val="left" w:pos="6164"/>
          <w:tab w:val="left" w:pos="7131"/>
        </w:tabs>
        <w:spacing w:before="204" w:line="516" w:lineRule="auto"/>
        <w:ind w:left="5197" w:right="2573" w:hanging="41"/>
        <w:rPr>
          <w:rFonts w:hint="eastAsia" w:ascii="宋体" w:hAnsi="宋体" w:eastAsia="宋体" w:cs="宋体"/>
          <w:color w:val="auto"/>
          <w:highlight w:val="none"/>
        </w:rPr>
      </w:pPr>
      <w:r>
        <w:rPr>
          <w:rFonts w:hint="eastAsia" w:ascii="宋体" w:hAnsi="宋体" w:eastAsia="宋体" w:cs="宋体"/>
          <w:color w:val="auto"/>
          <w:spacing w:val="38"/>
          <w:highlight w:val="none"/>
        </w:rPr>
        <w:t>投</w:t>
      </w:r>
      <w:r>
        <w:rPr>
          <w:rFonts w:hint="eastAsia" w:ascii="宋体" w:hAnsi="宋体" w:eastAsia="宋体" w:cs="宋体"/>
          <w:color w:val="auto"/>
          <w:spacing w:val="26"/>
          <w:highlight w:val="none"/>
        </w:rPr>
        <w:t>标人</w:t>
      </w:r>
      <w:r>
        <w:rPr>
          <w:rFonts w:hint="eastAsia" w:ascii="宋体" w:hAnsi="宋体" w:eastAsia="宋体" w:cs="宋体"/>
          <w:color w:val="auto"/>
          <w:spacing w:val="24"/>
          <w:highlight w:val="none"/>
        </w:rPr>
        <w:t>名</w:t>
      </w:r>
      <w:r>
        <w:rPr>
          <w:rFonts w:hint="eastAsia" w:ascii="宋体" w:hAnsi="宋体" w:eastAsia="宋体" w:cs="宋体"/>
          <w:color w:val="auto"/>
          <w:spacing w:val="28"/>
          <w:highlight w:val="none"/>
        </w:rPr>
        <w:t>称</w:t>
      </w:r>
      <w:r>
        <w:rPr>
          <w:rFonts w:hint="eastAsia" w:ascii="宋体" w:hAnsi="宋体" w:eastAsia="宋体" w:cs="宋体"/>
          <w:color w:val="auto"/>
          <w:spacing w:val="12"/>
          <w:highlight w:val="none"/>
        </w:rPr>
        <w:t>(</w:t>
      </w:r>
      <w:r>
        <w:rPr>
          <w:rFonts w:hint="eastAsia" w:ascii="宋体" w:hAnsi="宋体" w:eastAsia="宋体" w:cs="宋体"/>
          <w:color w:val="auto"/>
          <w:spacing w:val="26"/>
          <w:highlight w:val="none"/>
        </w:rPr>
        <w:t>电子</w:t>
      </w:r>
      <w:r>
        <w:rPr>
          <w:rFonts w:hint="eastAsia" w:ascii="宋体" w:hAnsi="宋体" w:eastAsia="宋体" w:cs="宋体"/>
          <w:color w:val="auto"/>
          <w:spacing w:val="24"/>
          <w:highlight w:val="none"/>
        </w:rPr>
        <w:t>签</w:t>
      </w:r>
      <w:r>
        <w:rPr>
          <w:rFonts w:hint="eastAsia" w:ascii="宋体" w:hAnsi="宋体" w:eastAsia="宋体" w:cs="宋体"/>
          <w:color w:val="auto"/>
          <w:spacing w:val="26"/>
          <w:highlight w:val="none"/>
        </w:rPr>
        <w:t>章</w:t>
      </w:r>
      <w:r>
        <w:rPr>
          <w:rFonts w:hint="eastAsia" w:ascii="宋体" w:hAnsi="宋体" w:eastAsia="宋体" w:cs="宋体"/>
          <w:color w:val="auto"/>
          <w:highlight w:val="none"/>
        </w:rPr>
        <w:t xml:space="preserve">)： </w:t>
      </w:r>
      <w:r>
        <w:rPr>
          <w:rFonts w:hint="eastAsia" w:ascii="宋体" w:hAnsi="宋体" w:eastAsia="宋体" w:cs="宋体"/>
          <w:color w:val="auto"/>
          <w:spacing w:val="-32"/>
          <w:highlight w:val="none"/>
        </w:rPr>
        <w:t>日</w:t>
      </w:r>
      <w:r>
        <w:rPr>
          <w:rFonts w:hint="eastAsia" w:cs="宋体"/>
          <w:color w:val="auto"/>
          <w:spacing w:val="-32"/>
          <w:highlight w:val="none"/>
          <w:lang w:val="en-US" w:eastAsia="zh-CN"/>
        </w:rPr>
        <w:t xml:space="preserve"> </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516"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pStyle w:val="4"/>
        <w:spacing w:before="33"/>
        <w:ind w:left="1189"/>
        <w:rPr>
          <w:rFonts w:hint="eastAsia" w:ascii="宋体" w:hAnsi="宋体" w:eastAsia="宋体" w:cs="宋体"/>
          <w:color w:val="auto"/>
          <w:highlight w:val="none"/>
        </w:rPr>
      </w:pPr>
      <w:r>
        <w:rPr>
          <w:rFonts w:hint="eastAsia" w:ascii="宋体" w:hAnsi="宋体" w:eastAsia="宋体" w:cs="宋体"/>
          <w:color w:val="auto"/>
          <w:highlight w:val="none"/>
        </w:rPr>
        <w:t>三、 售后服务方案</w:t>
      </w:r>
    </w:p>
    <w:p>
      <w:pPr>
        <w:pStyle w:val="7"/>
        <w:spacing w:before="9"/>
        <w:ind w:left="1187"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由投标人根据采购需求及招标文件要求编制)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
        <w:rPr>
          <w:rFonts w:hint="eastAsia" w:ascii="宋体" w:hAnsi="宋体" w:eastAsia="宋体" w:cs="宋体"/>
          <w:color w:val="auto"/>
          <w:sz w:val="23"/>
          <w:highlight w:val="none"/>
        </w:rPr>
      </w:pPr>
    </w:p>
    <w:p>
      <w:pPr>
        <w:pStyle w:val="5"/>
        <w:spacing w:line="348" w:lineRule="exact"/>
        <w:ind w:left="1163"/>
        <w:rPr>
          <w:rFonts w:hint="eastAsia" w:ascii="宋体" w:hAnsi="宋体" w:eastAsia="宋体" w:cs="宋体"/>
          <w:color w:val="auto"/>
          <w:highlight w:val="none"/>
        </w:rPr>
      </w:pPr>
      <w:r>
        <w:rPr>
          <w:rFonts w:hint="eastAsia" w:ascii="宋体" w:hAnsi="宋体" w:eastAsia="宋体" w:cs="宋体"/>
          <w:color w:val="auto"/>
          <w:highlight w:val="none"/>
        </w:rPr>
        <w:t>1、售后服务承诺</w:t>
      </w:r>
    </w:p>
    <w:p>
      <w:pPr>
        <w:pStyle w:val="7"/>
        <w:spacing w:line="297" w:lineRule="exact"/>
        <w:ind w:left="731"/>
        <w:rPr>
          <w:rFonts w:hint="eastAsia" w:ascii="宋体" w:hAnsi="宋体" w:eastAsia="宋体" w:cs="宋体"/>
          <w:color w:val="auto"/>
          <w:highlight w:val="none"/>
        </w:rPr>
      </w:pPr>
      <w:r>
        <w:rPr>
          <w:rFonts w:hint="eastAsia" w:ascii="宋体" w:hAnsi="宋体" w:eastAsia="宋体" w:cs="宋体"/>
          <w:color w:val="auto"/>
          <w:highlight w:val="none"/>
        </w:rPr>
        <w:t>附表A:售后服务机构情况表(按此格式自制)</w:t>
      </w:r>
    </w:p>
    <w:p>
      <w:pPr>
        <w:pStyle w:val="7"/>
        <w:spacing w:before="4"/>
        <w:rPr>
          <w:rFonts w:hint="eastAsia" w:ascii="宋体" w:hAnsi="宋体" w:eastAsia="宋体" w:cs="宋体"/>
          <w:color w:val="auto"/>
          <w:sz w:val="9"/>
          <w:highlight w:val="none"/>
        </w:rPr>
      </w:pPr>
    </w:p>
    <w:tbl>
      <w:tblPr>
        <w:tblStyle w:val="10"/>
        <w:tblW w:w="0" w:type="auto"/>
        <w:tblInd w:w="7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05"/>
        <w:gridCol w:w="1200"/>
        <w:gridCol w:w="1219"/>
        <w:gridCol w:w="2231"/>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32" w:type="dxa"/>
            <w:tcBorders>
              <w:left w:val="single" w:color="000000" w:sz="4" w:space="0"/>
              <w:right w:val="single" w:color="000000" w:sz="4" w:space="0"/>
            </w:tcBorders>
            <w:noWrap w:val="0"/>
            <w:vAlign w:val="top"/>
          </w:tcPr>
          <w:p>
            <w:pPr>
              <w:pStyle w:val="12"/>
              <w:spacing w:before="29"/>
              <w:ind w:left="181"/>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05" w:type="dxa"/>
            <w:tcBorders>
              <w:left w:val="single" w:color="000000" w:sz="4" w:space="0"/>
              <w:right w:val="single" w:color="000000" w:sz="4" w:space="0"/>
            </w:tcBorders>
            <w:noWrap w:val="0"/>
            <w:vAlign w:val="top"/>
          </w:tcPr>
          <w:p>
            <w:pPr>
              <w:pStyle w:val="12"/>
              <w:spacing w:before="29"/>
              <w:ind w:left="693"/>
              <w:rPr>
                <w:rFonts w:hint="eastAsia" w:ascii="宋体" w:hAnsi="宋体" w:eastAsia="宋体" w:cs="宋体"/>
                <w:color w:val="auto"/>
                <w:sz w:val="24"/>
                <w:highlight w:val="none"/>
              </w:rPr>
            </w:pPr>
            <w:r>
              <w:rPr>
                <w:rFonts w:hint="eastAsia" w:ascii="宋体" w:hAnsi="宋体" w:eastAsia="宋体" w:cs="宋体"/>
                <w:color w:val="auto"/>
                <w:sz w:val="24"/>
                <w:highlight w:val="none"/>
              </w:rPr>
              <w:t>机构名称</w:t>
            </w:r>
          </w:p>
        </w:tc>
        <w:tc>
          <w:tcPr>
            <w:tcW w:w="1200" w:type="dxa"/>
            <w:tcBorders>
              <w:left w:val="single" w:color="000000" w:sz="4" w:space="0"/>
              <w:right w:val="single" w:color="000000" w:sz="4" w:space="0"/>
            </w:tcBorders>
            <w:noWrap w:val="0"/>
            <w:vAlign w:val="top"/>
          </w:tcPr>
          <w:p>
            <w:pPr>
              <w:pStyle w:val="12"/>
              <w:spacing w:before="48" w:line="218" w:lineRule="auto"/>
              <w:ind w:right="135"/>
              <w:rPr>
                <w:rFonts w:hint="eastAsia" w:ascii="宋体" w:hAnsi="宋体" w:eastAsia="宋体" w:cs="宋体"/>
                <w:color w:val="auto"/>
                <w:sz w:val="24"/>
                <w:highlight w:val="none"/>
              </w:rPr>
            </w:pPr>
            <w:r>
              <w:rPr>
                <w:rFonts w:hint="eastAsia" w:ascii="宋体" w:hAnsi="宋体" w:eastAsia="宋体" w:cs="宋体"/>
                <w:color w:val="auto"/>
                <w:sz w:val="24"/>
                <w:highlight w:val="none"/>
              </w:rPr>
              <w:t>机构性质</w:t>
            </w:r>
          </w:p>
        </w:tc>
        <w:tc>
          <w:tcPr>
            <w:tcW w:w="1219" w:type="dxa"/>
            <w:tcBorders>
              <w:left w:val="single" w:color="000000" w:sz="4" w:space="0"/>
              <w:right w:val="single" w:color="000000" w:sz="4" w:space="0"/>
            </w:tcBorders>
            <w:noWrap w:val="0"/>
            <w:vAlign w:val="top"/>
          </w:tcPr>
          <w:p>
            <w:pPr>
              <w:pStyle w:val="12"/>
              <w:spacing w:before="31"/>
              <w:ind w:left="158"/>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2231" w:type="dxa"/>
            <w:tcBorders>
              <w:left w:val="single" w:color="000000" w:sz="4" w:space="0"/>
              <w:right w:val="single" w:color="000000" w:sz="4" w:space="0"/>
            </w:tcBorders>
            <w:noWrap w:val="0"/>
            <w:vAlign w:val="top"/>
          </w:tcPr>
          <w:p>
            <w:pPr>
              <w:pStyle w:val="12"/>
              <w:spacing w:before="50" w:line="218" w:lineRule="auto"/>
              <w:ind w:left="173" w:right="92"/>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货物技术人员数量</w:t>
            </w:r>
          </w:p>
        </w:tc>
        <w:tc>
          <w:tcPr>
            <w:tcW w:w="1170" w:type="dxa"/>
            <w:tcBorders>
              <w:left w:val="single" w:color="000000" w:sz="4" w:space="0"/>
              <w:right w:val="single" w:color="000000" w:sz="4" w:space="0"/>
            </w:tcBorders>
            <w:noWrap w:val="0"/>
            <w:vAlign w:val="top"/>
          </w:tcPr>
          <w:p>
            <w:pPr>
              <w:pStyle w:val="12"/>
              <w:spacing w:before="31"/>
              <w:ind w:left="168"/>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r>
    </w:tbl>
    <w:p>
      <w:pPr>
        <w:pStyle w:val="7"/>
        <w:rPr>
          <w:rFonts w:hint="eastAsia" w:ascii="宋体" w:hAnsi="宋体" w:eastAsia="宋体" w:cs="宋体"/>
          <w:color w:val="auto"/>
          <w:sz w:val="22"/>
          <w:highlight w:val="none"/>
        </w:rPr>
      </w:pPr>
    </w:p>
    <w:p>
      <w:pPr>
        <w:pStyle w:val="6"/>
        <w:spacing w:line="379" w:lineRule="auto"/>
        <w:ind w:right="665"/>
        <w:rPr>
          <w:rFonts w:hint="eastAsia" w:ascii="宋体" w:hAnsi="宋体" w:eastAsia="宋体" w:cs="宋体"/>
          <w:color w:val="auto"/>
          <w:highlight w:val="none"/>
        </w:rPr>
      </w:pPr>
      <w:bookmarkStart w:id="19" w:name="注：关于项目涉及的所有售后服务机构均在本表注明，包括投标人本单位和符合条件的第三"/>
      <w:bookmarkEnd w:id="19"/>
      <w:r>
        <w:rPr>
          <w:rFonts w:hint="eastAsia" w:ascii="宋体" w:hAnsi="宋体" w:eastAsia="宋体" w:cs="宋体"/>
          <w:color w:val="auto"/>
          <w:highlight w:val="none"/>
        </w:rPr>
        <w:t>注：关于项目涉及的所有售后服务机构均在本表注明，包括投标人本单位和符合条件的第三方服务机构；</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32"/>
          <w:highlight w:val="none"/>
        </w:rPr>
      </w:pPr>
    </w:p>
    <w:p>
      <w:pPr>
        <w:pStyle w:val="7"/>
        <w:ind w:left="731"/>
        <w:rPr>
          <w:rFonts w:hint="eastAsia" w:ascii="宋体" w:hAnsi="宋体" w:eastAsia="宋体" w:cs="宋体"/>
          <w:color w:val="auto"/>
          <w:highlight w:val="none"/>
        </w:rPr>
      </w:pPr>
      <w:r>
        <w:rPr>
          <w:rFonts w:hint="eastAsia" w:ascii="宋体" w:hAnsi="宋体" w:eastAsia="宋体" w:cs="宋体"/>
          <w:color w:val="auto"/>
          <w:highlight w:val="none"/>
        </w:rPr>
        <w:t>附表B：售后服务人员情况表 (按此格式自制)</w:t>
      </w:r>
    </w:p>
    <w:p>
      <w:pPr>
        <w:pStyle w:val="7"/>
        <w:spacing w:before="4"/>
        <w:rPr>
          <w:rFonts w:hint="eastAsia" w:ascii="宋体" w:hAnsi="宋体" w:eastAsia="宋体" w:cs="宋体"/>
          <w:color w:val="auto"/>
          <w:sz w:val="9"/>
          <w:highlight w:val="none"/>
        </w:rPr>
      </w:pPr>
    </w:p>
    <w:tbl>
      <w:tblPr>
        <w:tblStyle w:val="10"/>
        <w:tblW w:w="0" w:type="auto"/>
        <w:tblInd w:w="5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44"/>
        <w:gridCol w:w="787"/>
        <w:gridCol w:w="560"/>
        <w:gridCol w:w="750"/>
        <w:gridCol w:w="1078"/>
        <w:gridCol w:w="1078"/>
        <w:gridCol w:w="1079"/>
        <w:gridCol w:w="1258"/>
        <w:gridCol w:w="899"/>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52" w:type="dxa"/>
            <w:tcBorders>
              <w:left w:val="single" w:color="000000" w:sz="6" w:space="0"/>
              <w:right w:val="single" w:color="000000" w:sz="4" w:space="0"/>
            </w:tcBorders>
            <w:noWrap w:val="0"/>
            <w:textDirection w:val="tbLrV"/>
            <w:vAlign w:val="center"/>
          </w:tcPr>
          <w:p>
            <w:pPr>
              <w:pStyle w:val="12"/>
              <w:tabs>
                <w:tab w:val="left" w:pos="559"/>
              </w:tabs>
              <w:spacing w:before="76"/>
              <w:ind w:left="55" w:leftChars="0"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号</w:t>
            </w:r>
          </w:p>
        </w:tc>
        <w:tc>
          <w:tcPr>
            <w:tcW w:w="744" w:type="dxa"/>
            <w:tcBorders>
              <w:left w:val="single" w:color="000000" w:sz="4"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560" w:type="dxa"/>
            <w:tcBorders>
              <w:left w:val="single" w:color="000000" w:sz="6" w:space="0"/>
              <w:right w:val="single" w:color="000000" w:sz="6" w:space="0"/>
            </w:tcBorders>
            <w:noWrap w:val="0"/>
            <w:textDirection w:val="tbLrV"/>
            <w:vAlign w:val="center"/>
          </w:tcPr>
          <w:p>
            <w:pPr>
              <w:pStyle w:val="12"/>
              <w:tabs>
                <w:tab w:val="left" w:pos="784"/>
              </w:tabs>
              <w:spacing w:line="236" w:lineRule="exact"/>
              <w:ind w:left="280" w:leftChars="0"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50"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8"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78"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79" w:type="dxa"/>
            <w:tcBorders>
              <w:left w:val="single" w:color="000000" w:sz="6" w:space="0"/>
              <w:right w:val="single" w:color="000000" w:sz="6" w:space="0"/>
            </w:tcBorders>
            <w:noWrap w:val="0"/>
            <w:vAlign w:val="center"/>
          </w:tcPr>
          <w:p>
            <w:pPr>
              <w:pStyle w:val="12"/>
              <w:spacing w:before="19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58" w:type="dxa"/>
            <w:tcBorders>
              <w:left w:val="single" w:color="000000" w:sz="6" w:space="0"/>
              <w:right w:val="single" w:color="000000" w:sz="6" w:space="0"/>
            </w:tcBorders>
            <w:noWrap w:val="0"/>
            <w:vAlign w:val="center"/>
          </w:tcPr>
          <w:p>
            <w:pPr>
              <w:pStyle w:val="12"/>
              <w:spacing w:before="90" w:line="500" w:lineRule="atLeast"/>
              <w:ind w:right="8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899" w:type="dxa"/>
            <w:tcBorders>
              <w:left w:val="single" w:color="000000" w:sz="6" w:space="0"/>
              <w:right w:val="single" w:color="000000" w:sz="6" w:space="0"/>
            </w:tcBorders>
            <w:noWrap w:val="0"/>
            <w:vAlign w:val="center"/>
          </w:tcPr>
          <w:p>
            <w:pPr>
              <w:pStyle w:val="12"/>
              <w:spacing w:before="1" w:line="396" w:lineRule="auto"/>
              <w:ind w:right="126"/>
              <w:jc w:val="center"/>
              <w:rPr>
                <w:rFonts w:hint="eastAsia" w:ascii="宋体" w:hAnsi="宋体" w:eastAsia="宋体" w:cs="宋体"/>
                <w:color w:val="auto"/>
                <w:sz w:val="24"/>
                <w:highlight w:val="none"/>
              </w:rPr>
            </w:pPr>
          </w:p>
          <w:p>
            <w:pPr>
              <w:pStyle w:val="12"/>
              <w:spacing w:before="1" w:line="396" w:lineRule="auto"/>
              <w:ind w:right="12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pPr>
              <w:pStyle w:val="12"/>
              <w:spacing w:before="1" w:line="396" w:lineRule="auto"/>
              <w:ind w:right="12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1132" w:type="dxa"/>
            <w:tcBorders>
              <w:left w:val="single" w:color="000000" w:sz="6" w:space="0"/>
              <w:right w:val="single" w:color="000000" w:sz="6" w:space="0"/>
            </w:tcBorders>
            <w:noWrap w:val="0"/>
            <w:vAlign w:val="center"/>
          </w:tcPr>
          <w:p>
            <w:pPr>
              <w:pStyle w:val="12"/>
              <w:spacing w:before="90" w:line="500" w:lineRule="atLeast"/>
              <w:ind w:right="1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bl>
    <w:p>
      <w:pPr>
        <w:pStyle w:val="7"/>
        <w:rPr>
          <w:rFonts w:hint="eastAsia" w:ascii="宋体" w:hAnsi="宋体" w:eastAsia="宋体" w:cs="宋体"/>
          <w:color w:val="auto"/>
          <w:highlight w:val="none"/>
        </w:rPr>
      </w:pPr>
    </w:p>
    <w:p>
      <w:pPr>
        <w:pStyle w:val="7"/>
        <w:spacing w:before="7"/>
        <w:rPr>
          <w:rFonts w:hint="eastAsia" w:ascii="宋体" w:hAnsi="宋体" w:eastAsia="宋体" w:cs="宋体"/>
          <w:color w:val="auto"/>
          <w:sz w:val="33"/>
          <w:highlight w:val="none"/>
        </w:rPr>
      </w:pP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pPr>
      <w:r>
        <w:rPr>
          <w:rFonts w:hint="eastAsia" w:ascii="宋体" w:hAnsi="宋体" w:eastAsia="宋体" w:cs="宋体"/>
          <w:color w:val="auto"/>
          <w:spacing w:val="38"/>
          <w:highlight w:val="none"/>
        </w:rPr>
        <w:t>投标人名称(电子签章)： 日期：</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年 月</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日</w:t>
      </w:r>
    </w:p>
    <w:p>
      <w:pPr>
        <w:spacing w:after="0" w:line="669" w:lineRule="auto"/>
        <w:jc w:val="left"/>
        <w:rPr>
          <w:rFonts w:hint="eastAsia" w:ascii="宋体" w:hAnsi="宋体" w:eastAsia="宋体" w:cs="宋体"/>
          <w:color w:val="auto"/>
          <w:sz w:val="24"/>
          <w:highlight w:val="none"/>
        </w:rPr>
        <w:sectPr>
          <w:pgSz w:w="11910" w:h="16840"/>
          <w:pgMar w:top="1080" w:right="460" w:bottom="1060" w:left="800" w:header="0" w:footer="871" w:gutter="0"/>
          <w:pgNumType w:fmt="decimal"/>
          <w:cols w:space="720" w:num="1"/>
        </w:sectPr>
      </w:pPr>
    </w:p>
    <w:p>
      <w:pPr>
        <w:pStyle w:val="7"/>
        <w:spacing w:before="3"/>
        <w:rPr>
          <w:rFonts w:hint="eastAsia" w:ascii="宋体" w:hAnsi="宋体" w:eastAsia="宋体" w:cs="宋体"/>
          <w:b/>
          <w:color w:val="auto"/>
          <w:sz w:val="15"/>
          <w:highlight w:val="none"/>
        </w:rPr>
      </w:pPr>
    </w:p>
    <w:p>
      <w:pPr>
        <w:pStyle w:val="3"/>
        <w:spacing w:before="55"/>
        <w:ind w:left="731"/>
        <w:rPr>
          <w:rFonts w:hint="eastAsia" w:ascii="宋体" w:hAnsi="宋体" w:eastAsia="宋体" w:cs="宋体"/>
          <w:color w:val="auto"/>
          <w:highlight w:val="none"/>
        </w:rPr>
      </w:pPr>
      <w:r>
        <w:rPr>
          <w:rFonts w:hint="eastAsia" w:ascii="宋体" w:hAnsi="宋体" w:eastAsia="宋体" w:cs="宋体"/>
          <w:color w:val="auto"/>
          <w:highlight w:val="none"/>
        </w:rPr>
        <w:t>四、项目实施人员一览表</w:t>
      </w:r>
    </w:p>
    <w:p>
      <w:pPr>
        <w:pStyle w:val="7"/>
        <w:spacing w:before="13" w:line="609" w:lineRule="auto"/>
        <w:ind w:left="848" w:right="3081" w:firstLine="179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page">
                  <wp:posOffset>720725</wp:posOffset>
                </wp:positionH>
                <wp:positionV relativeFrom="paragraph">
                  <wp:posOffset>774700</wp:posOffset>
                </wp:positionV>
                <wp:extent cx="5247005" cy="16840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247005" cy="1684020"/>
                        </a:xfrm>
                        <a:prstGeom prst="rect">
                          <a:avLst/>
                        </a:prstGeom>
                        <a:noFill/>
                        <a:ln>
                          <a:noFill/>
                        </a:ln>
                      </wps:spPr>
                      <wps:txbx>
                        <w:txbxContent>
                          <w:tbl>
                            <w:tblPr>
                              <w:tblStyle w:val="10"/>
                              <w:tblW w:w="0" w:type="auto"/>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1800"/>
                              <w:gridCol w:w="3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66" w:type="dxa"/>
                                  <w:tcBorders>
                                    <w:left w:val="single" w:color="000000" w:sz="6" w:space="0"/>
                                    <w:right w:val="single" w:color="000000" w:sz="6" w:space="0"/>
                                  </w:tcBorders>
                                  <w:shd w:val="clear" w:color="auto" w:fill="auto"/>
                                  <w:noWrap w:val="0"/>
                                  <w:vAlign w:val="top"/>
                                </w:tcPr>
                                <w:p>
                                  <w:pPr>
                                    <w:pStyle w:val="12"/>
                                    <w:spacing w:before="57"/>
                                    <w:ind w:left="976" w:right="955"/>
                                    <w:jc w:val="center"/>
                                    <w:rPr>
                                      <w:rFonts w:hint="eastAsia" w:ascii="仿宋" w:eastAsia="仿宋"/>
                                      <w:sz w:val="24"/>
                                    </w:rPr>
                                  </w:pPr>
                                  <w:r>
                                    <w:rPr>
                                      <w:rFonts w:hint="eastAsia" w:ascii="仿宋" w:eastAsia="仿宋"/>
                                      <w:sz w:val="24"/>
                                    </w:rPr>
                                    <w:t>姓名</w:t>
                                  </w:r>
                                </w:p>
                              </w:tc>
                              <w:tc>
                                <w:tcPr>
                                  <w:tcW w:w="1800" w:type="dxa"/>
                                  <w:tcBorders>
                                    <w:left w:val="single" w:color="000000" w:sz="6" w:space="0"/>
                                    <w:right w:val="single" w:color="000000" w:sz="6" w:space="0"/>
                                  </w:tcBorders>
                                  <w:shd w:val="clear" w:color="auto" w:fill="B3B3B3"/>
                                  <w:noWrap w:val="0"/>
                                  <w:vAlign w:val="top"/>
                                </w:tcPr>
                                <w:p>
                                  <w:pPr>
                                    <w:pStyle w:val="12"/>
                                    <w:rPr>
                                      <w:rFonts w:ascii="Times New Roman"/>
                                      <w:sz w:val="24"/>
                                    </w:rPr>
                                  </w:pPr>
                                </w:p>
                              </w:tc>
                              <w:tc>
                                <w:tcPr>
                                  <w:tcW w:w="3975" w:type="dxa"/>
                                  <w:tcBorders>
                                    <w:left w:val="single" w:color="000000" w:sz="6" w:space="0"/>
                                    <w:right w:val="single" w:color="000000" w:sz="6" w:space="0"/>
                                  </w:tcBorders>
                                  <w:noWrap w:val="0"/>
                                  <w:vAlign w:val="top"/>
                                </w:tcPr>
                                <w:p>
                                  <w:pPr>
                                    <w:pStyle w:val="12"/>
                                    <w:spacing w:before="54"/>
                                    <w:ind w:left="122"/>
                                    <w:rPr>
                                      <w:rFonts w:hint="eastAsia" w:ascii="仿宋" w:eastAsia="仿宋"/>
                                      <w:sz w:val="24"/>
                                    </w:rPr>
                                  </w:pPr>
                                  <w:r>
                                    <w:rPr>
                                      <w:rFonts w:hint="eastAsia" w:ascii="仿宋" w:eastAsia="仿宋"/>
                                      <w:sz w:val="2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24" w:line="297" w:lineRule="exact"/>
                                    <w:ind w:left="805"/>
                                    <w:rPr>
                                      <w:rFonts w:hint="eastAsia" w:ascii="仿宋" w:eastAsia="仿宋"/>
                                      <w:sz w:val="24"/>
                                    </w:rPr>
                                  </w:pPr>
                                  <w:r>
                                    <w:rPr>
                                      <w:rFonts w:hint="eastAsia" w:ascii="仿宋" w:eastAsia="仿宋"/>
                                      <w:sz w:val="24"/>
                                    </w:rPr>
                                    <w:t>性别</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restart"/>
                                  <w:tcBorders>
                                    <w:left w:val="single" w:color="000000" w:sz="6" w:space="0"/>
                                    <w:right w:val="single" w:color="000000" w:sz="6" w:space="0"/>
                                  </w:tcBorders>
                                  <w:noWrap w:val="0"/>
                                  <w:vAlign w:val="top"/>
                                </w:tcPr>
                                <w:p>
                                  <w:pPr>
                                    <w:pStyle w:val="12"/>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8" w:line="293" w:lineRule="exact"/>
                                    <w:ind w:left="803"/>
                                    <w:rPr>
                                      <w:rFonts w:hint="eastAsia" w:ascii="仿宋" w:eastAsia="仿宋"/>
                                      <w:sz w:val="24"/>
                                    </w:rPr>
                                  </w:pPr>
                                  <w:r>
                                    <w:rPr>
                                      <w:rFonts w:hint="eastAsia" w:ascii="仿宋" w:eastAsia="仿宋"/>
                                      <w:sz w:val="24"/>
                                    </w:rPr>
                                    <w:t>年龄</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5" w:line="296" w:lineRule="exact"/>
                                    <w:ind w:left="810"/>
                                    <w:rPr>
                                      <w:rFonts w:hint="eastAsia" w:ascii="仿宋" w:eastAsia="仿宋"/>
                                      <w:sz w:val="24"/>
                                    </w:rPr>
                                  </w:pPr>
                                  <w:r>
                                    <w:rPr>
                                      <w:rFonts w:hint="eastAsia" w:ascii="仿宋" w:eastAsia="仿宋"/>
                                      <w:sz w:val="24"/>
                                    </w:rPr>
                                    <w:t>职称</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6" w:type="dxa"/>
                                  <w:tcBorders>
                                    <w:left w:val="single" w:color="000000" w:sz="6" w:space="0"/>
                                    <w:right w:val="single" w:color="000000" w:sz="6" w:space="0"/>
                                  </w:tcBorders>
                                  <w:noWrap w:val="0"/>
                                  <w:vAlign w:val="top"/>
                                </w:tcPr>
                                <w:p>
                                  <w:pPr>
                                    <w:pStyle w:val="12"/>
                                    <w:spacing w:before="37" w:line="293" w:lineRule="exact"/>
                                    <w:ind w:left="330"/>
                                    <w:rPr>
                                      <w:rFonts w:hint="eastAsia" w:ascii="仿宋" w:eastAsia="仿宋"/>
                                      <w:sz w:val="24"/>
                                    </w:rPr>
                                  </w:pPr>
                                  <w:r>
                                    <w:rPr>
                                      <w:rFonts w:hint="eastAsia" w:ascii="仿宋" w:eastAsia="仿宋"/>
                                      <w:sz w:val="24"/>
                                    </w:rPr>
                                    <w:t>资质证书编号</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30" w:line="291" w:lineRule="exact"/>
                                    <w:ind w:left="320"/>
                                    <w:rPr>
                                      <w:rFonts w:hint="eastAsia" w:ascii="仿宋" w:eastAsia="仿宋"/>
                                      <w:sz w:val="24"/>
                                    </w:rPr>
                                  </w:pPr>
                                  <w:r>
                                    <w:rPr>
                                      <w:rFonts w:hint="eastAsia" w:ascii="仿宋" w:eastAsia="仿宋"/>
                                      <w:sz w:val="24"/>
                                    </w:rPr>
                                    <w:t>其他资质情况</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66" w:type="dxa"/>
                                  <w:tcBorders>
                                    <w:left w:val="single" w:color="000000" w:sz="6" w:space="0"/>
                                    <w:right w:val="single" w:color="000000" w:sz="6" w:space="0"/>
                                  </w:tcBorders>
                                  <w:noWrap w:val="0"/>
                                  <w:vAlign w:val="top"/>
                                </w:tcPr>
                                <w:p>
                                  <w:pPr>
                                    <w:pStyle w:val="12"/>
                                    <w:spacing w:before="32" w:line="297" w:lineRule="exact"/>
                                    <w:ind w:left="560"/>
                                    <w:rPr>
                                      <w:rFonts w:hint="eastAsia" w:ascii="仿宋" w:eastAsia="仿宋"/>
                                      <w:sz w:val="24"/>
                                    </w:rPr>
                                  </w:pPr>
                                  <w:r>
                                    <w:rPr>
                                      <w:rFonts w:hint="eastAsia" w:ascii="仿宋" w:eastAsia="仿宋"/>
                                      <w:sz w:val="24"/>
                                    </w:rPr>
                                    <w:t>联系电话</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6.75pt;margin-top:61pt;height:132.6pt;width:413.15pt;mso-position-horizontal-relative:page;z-index:251662336;mso-width-relative:page;mso-height-relative:page;" filled="f" stroked="f" coordsize="21600,21600" o:gfxdata="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0di8HZAAAACwEAAA8AAAAA&#10;AAAAAQAgAAAAIgAAAGRycy9kb3ducmV2LnhtbFBLAQIUABQAAAAIAIdO4kA/8ZQioQEAACUDAAAO&#10;AAAAAAAAAAEAIAAAACgBAABkcnMvZTJvRG9jLnhtbFBLBQYAAAAABgAGAFkBAAA7BQAAAAA=&#10;">
                <v:fill on="f" focussize="0,0"/>
                <v:stroke on="f"/>
                <v:imagedata o:title=""/>
                <o:lock v:ext="edit" aspectratio="f"/>
                <v:textbox inset="0mm,0mm,0mm,0mm">
                  <w:txbxContent>
                    <w:tbl>
                      <w:tblPr>
                        <w:tblStyle w:val="10"/>
                        <w:tblW w:w="0" w:type="auto"/>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1800"/>
                        <w:gridCol w:w="3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66" w:type="dxa"/>
                            <w:tcBorders>
                              <w:left w:val="single" w:color="000000" w:sz="6" w:space="0"/>
                              <w:right w:val="single" w:color="000000" w:sz="6" w:space="0"/>
                            </w:tcBorders>
                            <w:shd w:val="clear" w:color="auto" w:fill="auto"/>
                            <w:noWrap w:val="0"/>
                            <w:vAlign w:val="top"/>
                          </w:tcPr>
                          <w:p>
                            <w:pPr>
                              <w:pStyle w:val="12"/>
                              <w:spacing w:before="57"/>
                              <w:ind w:left="976" w:right="955"/>
                              <w:jc w:val="center"/>
                              <w:rPr>
                                <w:rFonts w:hint="eastAsia" w:ascii="仿宋" w:eastAsia="仿宋"/>
                                <w:sz w:val="24"/>
                              </w:rPr>
                            </w:pPr>
                            <w:r>
                              <w:rPr>
                                <w:rFonts w:hint="eastAsia" w:ascii="仿宋" w:eastAsia="仿宋"/>
                                <w:sz w:val="24"/>
                              </w:rPr>
                              <w:t>姓名</w:t>
                            </w:r>
                          </w:p>
                        </w:tc>
                        <w:tc>
                          <w:tcPr>
                            <w:tcW w:w="1800" w:type="dxa"/>
                            <w:tcBorders>
                              <w:left w:val="single" w:color="000000" w:sz="6" w:space="0"/>
                              <w:right w:val="single" w:color="000000" w:sz="6" w:space="0"/>
                            </w:tcBorders>
                            <w:shd w:val="clear" w:color="auto" w:fill="B3B3B3"/>
                            <w:noWrap w:val="0"/>
                            <w:vAlign w:val="top"/>
                          </w:tcPr>
                          <w:p>
                            <w:pPr>
                              <w:pStyle w:val="12"/>
                              <w:rPr>
                                <w:rFonts w:ascii="Times New Roman"/>
                                <w:sz w:val="24"/>
                              </w:rPr>
                            </w:pPr>
                          </w:p>
                        </w:tc>
                        <w:tc>
                          <w:tcPr>
                            <w:tcW w:w="3975" w:type="dxa"/>
                            <w:tcBorders>
                              <w:left w:val="single" w:color="000000" w:sz="6" w:space="0"/>
                              <w:right w:val="single" w:color="000000" w:sz="6" w:space="0"/>
                            </w:tcBorders>
                            <w:noWrap w:val="0"/>
                            <w:vAlign w:val="top"/>
                          </w:tcPr>
                          <w:p>
                            <w:pPr>
                              <w:pStyle w:val="12"/>
                              <w:spacing w:before="54"/>
                              <w:ind w:left="122"/>
                              <w:rPr>
                                <w:rFonts w:hint="eastAsia" w:ascii="仿宋" w:eastAsia="仿宋"/>
                                <w:sz w:val="24"/>
                              </w:rPr>
                            </w:pPr>
                            <w:r>
                              <w:rPr>
                                <w:rFonts w:hint="eastAsia" w:ascii="仿宋" w:eastAsia="仿宋"/>
                                <w:sz w:val="2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24" w:line="297" w:lineRule="exact"/>
                              <w:ind w:left="805"/>
                              <w:rPr>
                                <w:rFonts w:hint="eastAsia" w:ascii="仿宋" w:eastAsia="仿宋"/>
                                <w:sz w:val="24"/>
                              </w:rPr>
                            </w:pPr>
                            <w:r>
                              <w:rPr>
                                <w:rFonts w:hint="eastAsia" w:ascii="仿宋" w:eastAsia="仿宋"/>
                                <w:sz w:val="24"/>
                              </w:rPr>
                              <w:t>性别</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restart"/>
                            <w:tcBorders>
                              <w:left w:val="single" w:color="000000" w:sz="6" w:space="0"/>
                              <w:right w:val="single" w:color="000000" w:sz="6" w:space="0"/>
                            </w:tcBorders>
                            <w:noWrap w:val="0"/>
                            <w:vAlign w:val="top"/>
                          </w:tcPr>
                          <w:p>
                            <w:pPr>
                              <w:pStyle w:val="12"/>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8" w:line="293" w:lineRule="exact"/>
                              <w:ind w:left="803"/>
                              <w:rPr>
                                <w:rFonts w:hint="eastAsia" w:ascii="仿宋" w:eastAsia="仿宋"/>
                                <w:sz w:val="24"/>
                              </w:rPr>
                            </w:pPr>
                            <w:r>
                              <w:rPr>
                                <w:rFonts w:hint="eastAsia" w:ascii="仿宋" w:eastAsia="仿宋"/>
                                <w:sz w:val="24"/>
                              </w:rPr>
                              <w:t>年龄</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5" w:line="296" w:lineRule="exact"/>
                              <w:ind w:left="810"/>
                              <w:rPr>
                                <w:rFonts w:hint="eastAsia" w:ascii="仿宋" w:eastAsia="仿宋"/>
                                <w:sz w:val="24"/>
                              </w:rPr>
                            </w:pPr>
                            <w:r>
                              <w:rPr>
                                <w:rFonts w:hint="eastAsia" w:ascii="仿宋" w:eastAsia="仿宋"/>
                                <w:sz w:val="24"/>
                              </w:rPr>
                              <w:t>职称</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6" w:type="dxa"/>
                            <w:tcBorders>
                              <w:left w:val="single" w:color="000000" w:sz="6" w:space="0"/>
                              <w:right w:val="single" w:color="000000" w:sz="6" w:space="0"/>
                            </w:tcBorders>
                            <w:noWrap w:val="0"/>
                            <w:vAlign w:val="top"/>
                          </w:tcPr>
                          <w:p>
                            <w:pPr>
                              <w:pStyle w:val="12"/>
                              <w:spacing w:before="37" w:line="293" w:lineRule="exact"/>
                              <w:ind w:left="330"/>
                              <w:rPr>
                                <w:rFonts w:hint="eastAsia" w:ascii="仿宋" w:eastAsia="仿宋"/>
                                <w:sz w:val="24"/>
                              </w:rPr>
                            </w:pPr>
                            <w:r>
                              <w:rPr>
                                <w:rFonts w:hint="eastAsia" w:ascii="仿宋" w:eastAsia="仿宋"/>
                                <w:sz w:val="24"/>
                              </w:rPr>
                              <w:t>资质证书编号</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30" w:line="291" w:lineRule="exact"/>
                              <w:ind w:left="320"/>
                              <w:rPr>
                                <w:rFonts w:hint="eastAsia" w:ascii="仿宋" w:eastAsia="仿宋"/>
                                <w:sz w:val="24"/>
                              </w:rPr>
                            </w:pPr>
                            <w:r>
                              <w:rPr>
                                <w:rFonts w:hint="eastAsia" w:ascii="仿宋" w:eastAsia="仿宋"/>
                                <w:sz w:val="24"/>
                              </w:rPr>
                              <w:t>其他资质情况</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66" w:type="dxa"/>
                            <w:tcBorders>
                              <w:left w:val="single" w:color="000000" w:sz="6" w:space="0"/>
                              <w:right w:val="single" w:color="000000" w:sz="6" w:space="0"/>
                            </w:tcBorders>
                            <w:noWrap w:val="0"/>
                            <w:vAlign w:val="top"/>
                          </w:tcPr>
                          <w:p>
                            <w:pPr>
                              <w:pStyle w:val="12"/>
                              <w:spacing w:before="32" w:line="297" w:lineRule="exact"/>
                              <w:ind w:left="560"/>
                              <w:rPr>
                                <w:rFonts w:hint="eastAsia" w:ascii="仿宋" w:eastAsia="仿宋"/>
                                <w:sz w:val="24"/>
                              </w:rPr>
                            </w:pPr>
                            <w:r>
                              <w:rPr>
                                <w:rFonts w:hint="eastAsia" w:ascii="仿宋" w:eastAsia="仿宋"/>
                                <w:sz w:val="24"/>
                              </w:rPr>
                              <w:t>联系电话</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bl>
                    <w:p>
                      <w:pPr>
                        <w:pStyle w:val="7"/>
                      </w:pPr>
                    </w:p>
                  </w:txbxContent>
                </v:textbox>
              </v:shape>
            </w:pict>
          </mc:Fallback>
        </mc:AlternateContent>
      </w:r>
      <w:r>
        <w:rPr>
          <w:rFonts w:hint="eastAsia" w:ascii="宋体" w:hAnsi="宋体" w:eastAsia="宋体" w:cs="宋体"/>
          <w:color w:val="auto"/>
          <w:highlight w:val="none"/>
        </w:rPr>
        <w:t>( 由投标人根据采购需求及招标文件要求编制) 附表A:本项目的项目负责人情况表</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1"/>
        <w:rPr>
          <w:rFonts w:hint="eastAsia" w:ascii="宋体" w:hAnsi="宋体" w:eastAsia="宋体" w:cs="宋体"/>
          <w:color w:val="auto"/>
          <w:sz w:val="35"/>
          <w:highlight w:val="none"/>
        </w:rPr>
      </w:pPr>
    </w:p>
    <w:p>
      <w:pPr>
        <w:pStyle w:val="7"/>
        <w:ind w:left="359"/>
        <w:rPr>
          <w:rFonts w:hint="eastAsia" w:ascii="宋体" w:hAnsi="宋体" w:eastAsia="宋体" w:cs="宋体"/>
          <w:color w:val="auto"/>
          <w:highlight w:val="none"/>
        </w:rPr>
      </w:pPr>
      <w:r>
        <w:rPr>
          <w:rFonts w:hint="eastAsia" w:ascii="宋体" w:hAnsi="宋体" w:eastAsia="宋体" w:cs="宋体"/>
          <w:color w:val="auto"/>
          <w:highlight w:val="none"/>
        </w:rPr>
        <w:t>注：须随表提交相应的证书复印件。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27"/>
          <w:highlight w:val="none"/>
        </w:rPr>
      </w:pP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pPr>
      <w:r>
        <w:rPr>
          <w:rFonts w:hint="eastAsia" w:ascii="宋体" w:hAnsi="宋体" w:eastAsia="宋体" w:cs="宋体"/>
          <w:color w:val="auto"/>
          <w:spacing w:val="38"/>
          <w:highlight w:val="none"/>
        </w:rPr>
        <w:t>投标人名称(电子签章)： 日期：</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年 月</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日</w:t>
      </w: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sectPr>
          <w:pgSz w:w="11910" w:h="16840"/>
          <w:pgMar w:top="1580" w:right="460" w:bottom="1060" w:left="800" w:header="0" w:footer="871" w:gutter="0"/>
          <w:pgNumType w:fmt="decimal"/>
          <w:cols w:space="720" w:num="1"/>
        </w:sectPr>
      </w:pPr>
    </w:p>
    <w:p>
      <w:pPr>
        <w:pStyle w:val="7"/>
        <w:rPr>
          <w:rFonts w:hint="eastAsia" w:ascii="宋体" w:hAnsi="宋体" w:eastAsia="宋体" w:cs="宋体"/>
          <w:b/>
          <w:color w:val="auto"/>
          <w:sz w:val="20"/>
          <w:highlight w:val="none"/>
        </w:rPr>
      </w:pPr>
    </w:p>
    <w:p>
      <w:pPr>
        <w:pStyle w:val="7"/>
        <w:spacing w:before="5"/>
        <w:rPr>
          <w:rFonts w:hint="eastAsia" w:ascii="宋体" w:hAnsi="宋体" w:eastAsia="宋体" w:cs="宋体"/>
          <w:b/>
          <w:color w:val="auto"/>
          <w:sz w:val="25"/>
          <w:highlight w:val="none"/>
        </w:rPr>
      </w:pPr>
    </w:p>
    <w:p>
      <w:pPr>
        <w:spacing w:before="55"/>
        <w:ind w:left="332" w:right="0" w:firstLine="0"/>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五、技术服务内容</w:t>
      </w:r>
    </w:p>
    <w:p>
      <w:pPr>
        <w:pStyle w:val="7"/>
        <w:spacing w:before="95"/>
        <w:ind w:left="824"/>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由投标人根据采购需求及招标文件要求编制)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29"/>
          <w:highlight w:val="none"/>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t>六、优惠条件及特殊承诺</w:t>
      </w:r>
    </w:p>
    <w:p>
      <w:pPr>
        <w:pStyle w:val="7"/>
        <w:spacing w:before="117"/>
        <w:ind w:left="453"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由投标人根据采购需求自行编制)</w:t>
      </w: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21"/>
          <w:highlight w:val="none"/>
        </w:rPr>
      </w:pPr>
    </w:p>
    <w:p>
      <w:pPr>
        <w:pStyle w:val="7"/>
        <w:tabs>
          <w:tab w:val="left" w:pos="6541"/>
          <w:tab w:val="left" w:pos="7508"/>
        </w:tabs>
        <w:spacing w:line="367" w:lineRule="auto"/>
        <w:ind w:left="5557" w:right="2583" w:hanging="411"/>
        <w:rPr>
          <w:rFonts w:hint="eastAsia" w:ascii="宋体" w:hAnsi="宋体" w:eastAsia="宋体" w:cs="宋体"/>
          <w:color w:val="auto"/>
          <w:highlight w:val="none"/>
        </w:rPr>
      </w:pPr>
      <w:r>
        <w:rPr>
          <w:rFonts w:hint="eastAsia" w:ascii="宋体" w:hAnsi="宋体" w:eastAsia="宋体" w:cs="宋体"/>
          <w:color w:val="auto"/>
          <w:spacing w:val="40"/>
          <w:highlight w:val="none"/>
        </w:rPr>
        <w:t>投</w:t>
      </w:r>
      <w:r>
        <w:rPr>
          <w:rFonts w:hint="eastAsia" w:ascii="宋体" w:hAnsi="宋体" w:eastAsia="宋体" w:cs="宋体"/>
          <w:color w:val="auto"/>
          <w:spacing w:val="26"/>
          <w:highlight w:val="none"/>
        </w:rPr>
        <w:t>标人</w:t>
      </w:r>
      <w:r>
        <w:rPr>
          <w:rFonts w:hint="eastAsia" w:ascii="宋体" w:hAnsi="宋体" w:eastAsia="宋体" w:cs="宋体"/>
          <w:color w:val="auto"/>
          <w:spacing w:val="24"/>
          <w:highlight w:val="none"/>
        </w:rPr>
        <w:t>名</w:t>
      </w:r>
      <w:r>
        <w:rPr>
          <w:rFonts w:hint="eastAsia" w:ascii="宋体" w:hAnsi="宋体" w:eastAsia="宋体" w:cs="宋体"/>
          <w:color w:val="auto"/>
          <w:spacing w:val="26"/>
          <w:highlight w:val="none"/>
        </w:rPr>
        <w:t>称</w:t>
      </w:r>
      <w:r>
        <w:rPr>
          <w:rFonts w:hint="eastAsia" w:ascii="宋体" w:hAnsi="宋体" w:eastAsia="宋体" w:cs="宋体"/>
          <w:color w:val="auto"/>
          <w:spacing w:val="14"/>
          <w:highlight w:val="none"/>
        </w:rPr>
        <w:t>(</w:t>
      </w:r>
      <w:r>
        <w:rPr>
          <w:rFonts w:hint="eastAsia" w:ascii="宋体" w:hAnsi="宋体" w:eastAsia="宋体" w:cs="宋体"/>
          <w:color w:val="auto"/>
          <w:spacing w:val="26"/>
          <w:highlight w:val="none"/>
        </w:rPr>
        <w:t>电子</w:t>
      </w:r>
      <w:r>
        <w:rPr>
          <w:rFonts w:hint="eastAsia" w:ascii="宋体" w:hAnsi="宋体" w:eastAsia="宋体" w:cs="宋体"/>
          <w:color w:val="auto"/>
          <w:spacing w:val="24"/>
          <w:highlight w:val="none"/>
        </w:rPr>
        <w:t>签</w:t>
      </w:r>
      <w:r>
        <w:rPr>
          <w:rFonts w:hint="eastAsia" w:ascii="宋体" w:hAnsi="宋体" w:eastAsia="宋体" w:cs="宋体"/>
          <w:color w:val="auto"/>
          <w:spacing w:val="26"/>
          <w:highlight w:val="none"/>
        </w:rPr>
        <w:t>章</w:t>
      </w:r>
      <w:r>
        <w:rPr>
          <w:rFonts w:hint="eastAsia" w:ascii="宋体" w:hAnsi="宋体" w:eastAsia="宋体" w:cs="宋体"/>
          <w:color w:val="auto"/>
          <w:highlight w:val="none"/>
        </w:rPr>
        <w:t xml:space="preserve">)： </w:t>
      </w:r>
      <w:r>
        <w:rPr>
          <w:rFonts w:hint="eastAsia" w:ascii="宋体" w:hAnsi="宋体" w:eastAsia="宋体" w:cs="宋体"/>
          <w:color w:val="auto"/>
          <w:spacing w:val="-17"/>
          <w:highlight w:val="none"/>
        </w:rPr>
        <w:t>日</w:t>
      </w:r>
      <w:r>
        <w:rPr>
          <w:rFonts w:hint="eastAsia" w:ascii="宋体" w:hAnsi="宋体" w:eastAsia="宋体" w:cs="宋体"/>
          <w:color w:val="auto"/>
          <w:spacing w:val="-15"/>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7"/>
        <w:spacing w:before="8"/>
        <w:rPr>
          <w:rFonts w:hint="eastAsia" w:ascii="宋体" w:hAnsi="宋体" w:eastAsia="宋体" w:cs="宋体"/>
          <w:color w:val="auto"/>
          <w:sz w:val="17"/>
          <w:highlight w:val="none"/>
        </w:rPr>
      </w:pPr>
    </w:p>
    <w:p>
      <w:pPr>
        <w:pStyle w:val="2"/>
        <w:spacing w:line="220" w:lineRule="auto"/>
        <w:ind w:right="530" w:rightChars="0"/>
        <w:rPr>
          <w:rFonts w:hint="eastAsia" w:ascii="宋体" w:hAnsi="宋体" w:eastAsia="宋体" w:cs="宋体"/>
          <w:color w:val="auto"/>
          <w:highlight w:val="none"/>
        </w:rPr>
      </w:pPr>
      <w:r>
        <w:rPr>
          <w:rFonts w:hint="eastAsia" w:ascii="宋体" w:hAnsi="宋体" w:eastAsia="宋体" w:cs="宋体"/>
          <w:color w:val="auto"/>
          <w:spacing w:val="-1"/>
          <w:w w:val="95"/>
          <w:highlight w:val="none"/>
        </w:rPr>
        <w:t>七、投标人对本项目的合理化建议和供应商认为需要提供的其他有关</w:t>
      </w:r>
      <w:r>
        <w:rPr>
          <w:rFonts w:hint="eastAsia" w:ascii="宋体" w:hAnsi="宋体" w:eastAsia="宋体" w:cs="宋体"/>
          <w:color w:val="auto"/>
          <w:highlight w:val="none"/>
        </w:rPr>
        <w:t>资料</w:t>
      </w:r>
    </w:p>
    <w:p>
      <w:pPr>
        <w:pStyle w:val="7"/>
        <w:spacing w:before="126"/>
        <w:jc w:val="center"/>
        <w:rPr>
          <w:rFonts w:hint="eastAsia" w:ascii="宋体" w:hAnsi="宋体" w:eastAsia="宋体" w:cs="宋体"/>
          <w:color w:val="auto"/>
          <w:highlight w:val="none"/>
        </w:rPr>
      </w:pPr>
      <w:r>
        <w:rPr>
          <w:rFonts w:hint="eastAsia" w:ascii="宋体" w:hAnsi="宋体" w:eastAsia="宋体" w:cs="宋体"/>
          <w:color w:val="auto"/>
          <w:highlight w:val="none"/>
        </w:rPr>
        <w:t>(格式自拟 )</w:t>
      </w:r>
    </w:p>
    <w:p>
      <w:pPr>
        <w:pStyle w:val="7"/>
        <w:rPr>
          <w:rFonts w:hint="eastAsia" w:ascii="宋体" w:hAnsi="宋体" w:eastAsia="宋体" w:cs="宋体"/>
          <w:color w:val="auto"/>
          <w:sz w:val="20"/>
          <w:highlight w:val="none"/>
        </w:rPr>
      </w:pPr>
    </w:p>
    <w:p>
      <w:pPr>
        <w:pStyle w:val="7"/>
        <w:spacing w:before="12"/>
        <w:rPr>
          <w:rFonts w:hint="eastAsia" w:ascii="宋体" w:hAnsi="宋体" w:eastAsia="宋体" w:cs="宋体"/>
          <w:color w:val="auto"/>
          <w:sz w:val="15"/>
          <w:highlight w:val="none"/>
        </w:rPr>
      </w:pPr>
    </w:p>
    <w:p>
      <w:pPr>
        <w:spacing w:after="0"/>
        <w:rPr>
          <w:rFonts w:hint="eastAsia" w:ascii="宋体" w:hAnsi="宋体" w:eastAsia="宋体" w:cs="宋体"/>
          <w:color w:val="auto"/>
          <w:sz w:val="15"/>
          <w:highlight w:val="none"/>
        </w:rPr>
        <w:sectPr>
          <w:pgSz w:w="11910" w:h="16840"/>
          <w:pgMar w:top="1580" w:right="460" w:bottom="1060" w:left="800" w:header="0" w:footer="871" w:gutter="0"/>
          <w:pgNumType w:fmt="decimal"/>
          <w:cols w:space="720" w:num="1"/>
        </w:sectPr>
      </w:pPr>
    </w:p>
    <w:p>
      <w:pPr>
        <w:pStyle w:val="2"/>
        <w:spacing w:before="54"/>
        <w:rPr>
          <w:rFonts w:hint="eastAsia" w:ascii="宋体" w:hAnsi="宋体" w:eastAsia="宋体" w:cs="宋体"/>
          <w:color w:val="auto"/>
          <w:highlight w:val="none"/>
        </w:rPr>
      </w:pPr>
      <w:r>
        <w:rPr>
          <w:rFonts w:hint="eastAsia" w:ascii="宋体" w:hAnsi="宋体" w:eastAsia="宋体" w:cs="宋体"/>
          <w:color w:val="auto"/>
          <w:spacing w:val="-30"/>
          <w:highlight w:val="none"/>
        </w:rPr>
        <w:t>八、培训计划</w:t>
      </w:r>
    </w:p>
    <w:p>
      <w:pPr>
        <w:pStyle w:val="7"/>
        <w:rPr>
          <w:rFonts w:hint="eastAsia" w:ascii="宋体" w:hAnsi="宋体" w:eastAsia="宋体" w:cs="宋体"/>
          <w:b/>
          <w:color w:val="auto"/>
          <w:highlight w:val="none"/>
        </w:rPr>
      </w:pPr>
      <w:r>
        <w:rPr>
          <w:rFonts w:hint="eastAsia" w:ascii="宋体" w:hAnsi="宋体" w:eastAsia="宋体" w:cs="宋体"/>
          <w:color w:val="auto"/>
          <w:highlight w:val="none"/>
        </w:rPr>
        <w:br w:type="column"/>
      </w:r>
    </w:p>
    <w:p>
      <w:pPr>
        <w:pStyle w:val="7"/>
        <w:spacing w:before="126"/>
        <w:jc w:val="both"/>
        <w:rPr>
          <w:rFonts w:hint="eastAsia" w:ascii="宋体" w:hAnsi="宋体" w:eastAsia="宋体" w:cs="宋体"/>
          <w:color w:val="auto"/>
          <w:highlight w:val="none"/>
        </w:rPr>
      </w:pPr>
      <w:r>
        <w:rPr>
          <w:rFonts w:hint="eastAsia" w:ascii="宋体" w:hAnsi="宋体" w:eastAsia="宋体" w:cs="宋体"/>
          <w:color w:val="auto"/>
          <w:highlight w:val="none"/>
        </w:rPr>
        <w:t>(格式自拟 )</w:t>
      </w:r>
    </w:p>
    <w:p>
      <w:pPr>
        <w:pStyle w:val="7"/>
        <w:spacing w:before="126"/>
        <w:jc w:val="center"/>
        <w:rPr>
          <w:rFonts w:hint="eastAsia" w:ascii="宋体" w:hAnsi="宋体" w:eastAsia="宋体" w:cs="宋体"/>
          <w:color w:val="auto"/>
          <w:highlight w:val="none"/>
        </w:rPr>
        <w:sectPr>
          <w:type w:val="continuous"/>
          <w:pgSz w:w="11910" w:h="16840"/>
          <w:pgMar w:top="1200" w:right="460" w:bottom="980" w:left="800" w:header="720" w:footer="720" w:gutter="0"/>
          <w:pgNumType w:fmt="decimal"/>
          <w:cols w:equalWidth="0" w:num="2">
            <w:col w:w="2108" w:space="1943"/>
            <w:col w:w="6599"/>
          </w:cols>
        </w:sect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6"/>
          <w:highlight w:val="none"/>
        </w:rPr>
      </w:pPr>
    </w:p>
    <w:p>
      <w:pPr>
        <w:pStyle w:val="2"/>
        <w:spacing w:before="54"/>
        <w:rPr>
          <w:rFonts w:hint="eastAsia" w:ascii="宋体" w:hAnsi="宋体" w:eastAsia="宋体" w:cs="宋体"/>
          <w:color w:val="auto"/>
          <w:highlight w:val="none"/>
        </w:rPr>
      </w:pPr>
      <w:r>
        <w:rPr>
          <w:rFonts w:hint="eastAsia" w:ascii="宋体" w:hAnsi="宋体" w:eastAsia="宋体" w:cs="宋体"/>
          <w:color w:val="auto"/>
          <w:highlight w:val="none"/>
        </w:rPr>
        <w:t>九、 认为需要的其他技术文件或说明(如有)</w:t>
      </w:r>
    </w:p>
    <w:p>
      <w:pPr>
        <w:pStyle w:val="7"/>
        <w:spacing w:before="121"/>
        <w:ind w:left="468"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由投标人根据采购需求自行编制)</w:t>
      </w:r>
    </w:p>
    <w:p>
      <w:pPr>
        <w:pStyle w:val="7"/>
        <w:rPr>
          <w:rFonts w:hint="eastAsia" w:ascii="宋体" w:hAnsi="宋体" w:eastAsia="宋体" w:cs="宋体"/>
          <w:color w:val="auto"/>
          <w:highlight w:val="none"/>
        </w:rPr>
      </w:pPr>
    </w:p>
    <w:p>
      <w:pPr>
        <w:pStyle w:val="7"/>
        <w:tabs>
          <w:tab w:val="left" w:pos="4628"/>
          <w:tab w:val="left" w:pos="5595"/>
        </w:tabs>
        <w:spacing w:before="203" w:line="307" w:lineRule="auto"/>
        <w:ind w:left="3661" w:right="4389" w:hanging="24"/>
        <w:rPr>
          <w:rFonts w:hint="eastAsia" w:ascii="宋体" w:hAnsi="宋体" w:eastAsia="宋体" w:cs="宋体"/>
          <w:color w:val="auto"/>
          <w:highlight w:val="none"/>
        </w:rPr>
      </w:pPr>
      <w:r>
        <w:rPr>
          <w:rFonts w:hint="eastAsia" w:ascii="宋体" w:hAnsi="宋体" w:eastAsia="宋体" w:cs="宋体"/>
          <w:color w:val="auto"/>
          <w:spacing w:val="-5"/>
          <w:highlight w:val="none"/>
        </w:rPr>
        <w:t>投</w:t>
      </w:r>
      <w:r>
        <w:rPr>
          <w:rFonts w:hint="eastAsia" w:ascii="宋体" w:hAnsi="宋体" w:eastAsia="宋体" w:cs="宋体"/>
          <w:color w:val="auto"/>
          <w:spacing w:val="-3"/>
          <w:highlight w:val="none"/>
        </w:rPr>
        <w:t>标人名</w:t>
      </w:r>
      <w:r>
        <w:rPr>
          <w:rFonts w:hint="eastAsia" w:ascii="宋体" w:hAnsi="宋体" w:eastAsia="宋体" w:cs="宋体"/>
          <w:color w:val="auto"/>
          <w:highlight w:val="none"/>
        </w:rPr>
        <w:t>称(</w:t>
      </w:r>
      <w:r>
        <w:rPr>
          <w:rFonts w:hint="eastAsia" w:ascii="宋体" w:hAnsi="宋体" w:eastAsia="宋体" w:cs="宋体"/>
          <w:color w:val="auto"/>
          <w:spacing w:val="-3"/>
          <w:highlight w:val="none"/>
        </w:rPr>
        <w:t>电子签章</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07" w:lineRule="auto"/>
        <w:rPr>
          <w:rFonts w:hint="eastAsia" w:ascii="宋体" w:hAnsi="宋体" w:eastAsia="宋体" w:cs="宋体"/>
          <w:color w:val="auto"/>
          <w:highlight w:val="none"/>
        </w:rPr>
        <w:sectPr>
          <w:type w:val="continuous"/>
          <w:pgSz w:w="11910" w:h="16840"/>
          <w:pgMar w:top="1200" w:right="460" w:bottom="980" w:left="800" w:header="720" w:footer="720" w:gutter="0"/>
          <w:pgNumType w:fmt="decimal"/>
          <w:cols w:space="720" w:num="1"/>
        </w:sectPr>
      </w:pPr>
    </w:p>
    <w:p>
      <w:pPr>
        <w:pStyle w:val="7"/>
        <w:rPr>
          <w:rFonts w:hint="eastAsia" w:ascii="宋体" w:hAnsi="宋体" w:eastAsia="宋体" w:cs="宋体"/>
          <w:color w:val="auto"/>
          <w:sz w:val="20"/>
          <w:highlight w:val="none"/>
        </w:rPr>
      </w:pPr>
    </w:p>
    <w:p>
      <w:pPr>
        <w:pStyle w:val="7"/>
        <w:spacing w:before="7"/>
        <w:rPr>
          <w:rFonts w:hint="eastAsia" w:ascii="宋体" w:hAnsi="宋体" w:eastAsia="宋体" w:cs="宋体"/>
          <w:color w:val="auto"/>
          <w:sz w:val="22"/>
          <w:highlight w:val="none"/>
        </w:rPr>
      </w:pPr>
    </w:p>
    <w:p>
      <w:pPr>
        <w:pStyle w:val="5"/>
        <w:spacing w:before="62"/>
        <w:ind w:left="578"/>
        <w:rPr>
          <w:rFonts w:hint="eastAsia" w:ascii="宋体" w:hAnsi="宋体" w:eastAsia="宋体" w:cs="宋体"/>
          <w:color w:val="auto"/>
          <w:highlight w:val="none"/>
        </w:rPr>
      </w:pPr>
      <w:bookmarkStart w:id="20" w:name="第五节 报价文件格式"/>
      <w:bookmarkEnd w:id="20"/>
      <w:r>
        <w:rPr>
          <w:rFonts w:hint="eastAsia" w:ascii="宋体" w:hAnsi="宋体" w:eastAsia="宋体" w:cs="宋体"/>
          <w:color w:val="auto"/>
          <w:highlight w:val="none"/>
        </w:rPr>
        <w:t>第五节 报价文件格式</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10"/>
        <w:rPr>
          <w:rFonts w:hint="eastAsia" w:ascii="宋体" w:hAnsi="宋体" w:eastAsia="宋体" w:cs="宋体"/>
          <w:color w:val="auto"/>
          <w:sz w:val="33"/>
          <w:highlight w:val="none"/>
        </w:rPr>
      </w:pPr>
    </w:p>
    <w:p>
      <w:pPr>
        <w:spacing w:before="0"/>
        <w:ind w:left="570"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报价文件目录</w:t>
      </w:r>
    </w:p>
    <w:p>
      <w:pPr>
        <w:pStyle w:val="7"/>
        <w:spacing w:before="4"/>
        <w:rPr>
          <w:rFonts w:hint="eastAsia" w:ascii="宋体" w:hAnsi="宋体" w:eastAsia="宋体" w:cs="宋体"/>
          <w:color w:val="auto"/>
          <w:sz w:val="29"/>
          <w:highlight w:val="none"/>
        </w:rPr>
      </w:pPr>
    </w:p>
    <w:p>
      <w:pPr>
        <w:pStyle w:val="7"/>
        <w:tabs>
          <w:tab w:val="left" w:leader="dot" w:pos="6702"/>
        </w:tabs>
        <w:ind w:left="359"/>
        <w:rPr>
          <w:rFonts w:hint="eastAsia" w:ascii="宋体" w:hAnsi="宋体" w:eastAsia="宋体" w:cs="宋体"/>
          <w:color w:val="auto"/>
          <w:highlight w:val="none"/>
        </w:rPr>
      </w:pPr>
      <w:r>
        <w:rPr>
          <w:rFonts w:hint="eastAsia" w:ascii="宋体" w:hAnsi="宋体" w:eastAsia="宋体" w:cs="宋体"/>
          <w:color w:val="auto"/>
          <w:spacing w:val="12"/>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投</w:t>
      </w:r>
      <w:r>
        <w:rPr>
          <w:rFonts w:hint="eastAsia" w:ascii="宋体" w:hAnsi="宋体" w:eastAsia="宋体" w:cs="宋体"/>
          <w:color w:val="auto"/>
          <w:spacing w:val="7"/>
          <w:highlight w:val="none"/>
        </w:rPr>
        <w:t>标</w:t>
      </w:r>
      <w:r>
        <w:rPr>
          <w:rFonts w:hint="eastAsia" w:ascii="宋体" w:hAnsi="宋体" w:eastAsia="宋体" w:cs="宋体"/>
          <w:color w:val="auto"/>
          <w:highlight w:val="none"/>
        </w:rPr>
        <w:t>函</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spacing w:val="7"/>
          <w:highlight w:val="none"/>
        </w:rPr>
        <w:t>码</w:t>
      </w:r>
      <w:r>
        <w:rPr>
          <w:rFonts w:hint="eastAsia" w:ascii="宋体" w:hAnsi="宋体" w:eastAsia="宋体" w:cs="宋体"/>
          <w:color w:val="auto"/>
          <w:highlight w:val="none"/>
        </w:rPr>
        <w:t>)</w:t>
      </w:r>
    </w:p>
    <w:p>
      <w:pPr>
        <w:pStyle w:val="7"/>
        <w:tabs>
          <w:tab w:val="left" w:leader="dot" w:pos="6711"/>
        </w:tabs>
        <w:spacing w:before="21"/>
        <w:ind w:left="356"/>
        <w:rPr>
          <w:rFonts w:hint="eastAsia" w:ascii="宋体" w:hAnsi="宋体" w:eastAsia="宋体" w:cs="宋体"/>
          <w:color w:val="auto"/>
          <w:highlight w:val="none"/>
        </w:rPr>
      </w:pPr>
      <w:r>
        <w:rPr>
          <w:rFonts w:hint="eastAsia" w:ascii="宋体" w:hAnsi="宋体" w:eastAsia="宋体" w:cs="宋体"/>
          <w:color w:val="auto"/>
          <w:spacing w:val="12"/>
          <w:highlight w:val="none"/>
        </w:rPr>
        <w:t>二、</w:t>
      </w:r>
      <w:r>
        <w:rPr>
          <w:rFonts w:hint="eastAsia" w:ascii="宋体" w:hAnsi="宋体" w:eastAsia="宋体" w:cs="宋体"/>
          <w:color w:val="auto"/>
          <w:spacing w:val="9"/>
          <w:highlight w:val="none"/>
        </w:rPr>
        <w:t>开</w:t>
      </w:r>
      <w:r>
        <w:rPr>
          <w:rFonts w:hint="eastAsia" w:ascii="宋体" w:hAnsi="宋体" w:eastAsia="宋体" w:cs="宋体"/>
          <w:color w:val="auto"/>
          <w:spacing w:val="4"/>
          <w:highlight w:val="none"/>
        </w:rPr>
        <w:t>标</w:t>
      </w:r>
      <w:r>
        <w:rPr>
          <w:rFonts w:hint="eastAsia" w:ascii="宋体" w:hAnsi="宋体" w:eastAsia="宋体" w:cs="宋体"/>
          <w:color w:val="auto"/>
          <w:spacing w:val="7"/>
          <w:highlight w:val="none"/>
        </w:rPr>
        <w:t>一</w:t>
      </w:r>
      <w:r>
        <w:rPr>
          <w:rFonts w:hint="eastAsia" w:ascii="宋体" w:hAnsi="宋体" w:eastAsia="宋体" w:cs="宋体"/>
          <w:color w:val="auto"/>
          <w:spacing w:val="4"/>
          <w:highlight w:val="none"/>
        </w:rPr>
        <w:t>览</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spacing w:val="7"/>
          <w:highlight w:val="none"/>
        </w:rPr>
        <w:t>码</w:t>
      </w:r>
      <w:r>
        <w:rPr>
          <w:rFonts w:hint="eastAsia" w:ascii="宋体" w:hAnsi="宋体" w:eastAsia="宋体" w:cs="宋体"/>
          <w:color w:val="auto"/>
          <w:highlight w:val="none"/>
        </w:rPr>
        <w:t>)</w:t>
      </w:r>
    </w:p>
    <w:p>
      <w:pPr>
        <w:spacing w:after="0"/>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spacing w:before="112"/>
        <w:ind w:left="575"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一、投标函</w:t>
      </w:r>
    </w:p>
    <w:p>
      <w:pPr>
        <w:spacing w:before="132"/>
        <w:ind w:left="332" w:right="0" w:firstLine="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致：</w:t>
      </w:r>
      <w:r>
        <w:rPr>
          <w:rFonts w:hint="eastAsia" w:ascii="宋体" w:hAnsi="宋体" w:eastAsia="宋体" w:cs="宋体"/>
          <w:color w:val="auto"/>
          <w:sz w:val="21"/>
          <w:highlight w:val="none"/>
          <w:u w:val="single"/>
          <w:lang w:eastAsia="zh-CN"/>
        </w:rPr>
        <w:t>新疆慧通方舟工程管理服务有限公司</w:t>
      </w:r>
    </w:p>
    <w:p>
      <w:pPr>
        <w:tabs>
          <w:tab w:val="left" w:pos="10029"/>
        </w:tabs>
        <w:spacing w:before="173"/>
        <w:ind w:left="755"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4"/>
          <w:sz w:val="21"/>
          <w:highlight w:val="none"/>
        </w:rPr>
        <w:t>我方已</w:t>
      </w:r>
      <w:r>
        <w:rPr>
          <w:rFonts w:hint="eastAsia" w:ascii="宋体" w:hAnsi="宋体" w:eastAsia="宋体" w:cs="宋体"/>
          <w:color w:val="auto"/>
          <w:spacing w:val="7"/>
          <w:sz w:val="21"/>
          <w:highlight w:val="none"/>
        </w:rPr>
        <w:t>仔</w:t>
      </w:r>
      <w:r>
        <w:rPr>
          <w:rFonts w:hint="eastAsia" w:ascii="宋体" w:hAnsi="宋体" w:eastAsia="宋体" w:cs="宋体"/>
          <w:color w:val="auto"/>
          <w:spacing w:val="4"/>
          <w:sz w:val="21"/>
          <w:highlight w:val="none"/>
        </w:rPr>
        <w:t>细阅读了贵</w:t>
      </w:r>
      <w:r>
        <w:rPr>
          <w:rFonts w:hint="eastAsia" w:ascii="宋体" w:hAnsi="宋体" w:eastAsia="宋体" w:cs="宋体"/>
          <w:color w:val="auto"/>
          <w:spacing w:val="7"/>
          <w:sz w:val="21"/>
          <w:highlight w:val="none"/>
        </w:rPr>
        <w:t>方</w:t>
      </w:r>
      <w:r>
        <w:rPr>
          <w:rFonts w:hint="eastAsia" w:ascii="宋体" w:hAnsi="宋体" w:eastAsia="宋体" w:cs="宋体"/>
          <w:color w:val="auto"/>
          <w:spacing w:val="4"/>
          <w:sz w:val="21"/>
          <w:highlight w:val="none"/>
        </w:rPr>
        <w:t>组织的</w:t>
      </w:r>
      <w:r>
        <w:rPr>
          <w:rFonts w:hint="eastAsia" w:ascii="宋体" w:hAnsi="宋体" w:eastAsia="宋体" w:cs="宋体"/>
          <w:color w:val="auto"/>
          <w:sz w:val="21"/>
          <w:highlight w:val="none"/>
          <w:u w:val="single"/>
        </w:rPr>
        <w:t>[</w:t>
      </w:r>
      <w:r>
        <w:rPr>
          <w:rFonts w:hint="eastAsia" w:ascii="宋体" w:hAnsi="宋体" w:eastAsia="宋体" w:cs="宋体"/>
          <w:color w:val="auto"/>
          <w:spacing w:val="4"/>
          <w:sz w:val="21"/>
          <w:highlight w:val="none"/>
          <w:u w:val="single"/>
        </w:rPr>
        <w:t>项目名</w:t>
      </w:r>
      <w:r>
        <w:rPr>
          <w:rFonts w:hint="eastAsia" w:ascii="宋体" w:hAnsi="宋体" w:eastAsia="宋体" w:cs="宋体"/>
          <w:color w:val="auto"/>
          <w:spacing w:val="7"/>
          <w:sz w:val="21"/>
          <w:highlight w:val="none"/>
          <w:u w:val="single"/>
        </w:rPr>
        <w:t>称</w:t>
      </w:r>
      <w:r>
        <w:rPr>
          <w:rFonts w:hint="eastAsia" w:ascii="宋体" w:hAnsi="宋体" w:eastAsia="宋体" w:cs="宋体"/>
          <w:color w:val="auto"/>
          <w:sz w:val="21"/>
          <w:highlight w:val="none"/>
          <w:u w:val="single"/>
        </w:rPr>
        <w:t>]</w:t>
      </w:r>
      <w:r>
        <w:rPr>
          <w:rFonts w:hint="eastAsia" w:ascii="宋体" w:hAnsi="宋体" w:eastAsia="宋体" w:cs="宋体"/>
          <w:color w:val="auto"/>
          <w:spacing w:val="30"/>
          <w:sz w:val="21"/>
          <w:highlight w:val="none"/>
        </w:rPr>
        <w:t xml:space="preserve"> </w:t>
      </w:r>
      <w:r>
        <w:rPr>
          <w:rFonts w:hint="eastAsia" w:ascii="宋体" w:hAnsi="宋体" w:eastAsia="宋体" w:cs="宋体"/>
          <w:color w:val="auto"/>
          <w:spacing w:val="4"/>
          <w:sz w:val="21"/>
          <w:highlight w:val="none"/>
        </w:rPr>
        <w:t>项目</w:t>
      </w:r>
      <w:r>
        <w:rPr>
          <w:rFonts w:hint="eastAsia" w:ascii="宋体" w:hAnsi="宋体" w:eastAsia="宋体" w:cs="宋体"/>
          <w:color w:val="auto"/>
          <w:sz w:val="21"/>
          <w:highlight w:val="none"/>
        </w:rPr>
        <w:t>(</w:t>
      </w:r>
      <w:r>
        <w:rPr>
          <w:rFonts w:hint="eastAsia" w:ascii="宋体" w:hAnsi="宋体" w:eastAsia="宋体" w:cs="宋体"/>
          <w:color w:val="auto"/>
          <w:spacing w:val="4"/>
          <w:sz w:val="21"/>
          <w:highlight w:val="none"/>
        </w:rPr>
        <w:t>项目编</w:t>
      </w:r>
      <w:r>
        <w:rPr>
          <w:rFonts w:hint="eastAsia" w:ascii="宋体" w:hAnsi="宋体" w:eastAsia="宋体" w:cs="宋体"/>
          <w:color w:val="auto"/>
          <w:spacing w:val="7"/>
          <w:sz w:val="21"/>
          <w:highlight w:val="none"/>
        </w:rPr>
        <w:t>号</w:t>
      </w:r>
      <w:r>
        <w:rPr>
          <w:rFonts w:hint="eastAsia" w:ascii="宋体" w:hAnsi="宋体" w:eastAsia="宋体" w:cs="宋体"/>
          <w:color w:val="auto"/>
          <w:spacing w:val="2"/>
          <w:sz w:val="21"/>
          <w:highlight w:val="none"/>
        </w:rPr>
        <w:t>：)</w:t>
      </w:r>
      <w:r>
        <w:rPr>
          <w:rFonts w:hint="eastAsia" w:ascii="宋体" w:hAnsi="宋体" w:eastAsia="宋体" w:cs="宋体"/>
          <w:color w:val="auto"/>
          <w:sz w:val="21"/>
          <w:highlight w:val="none"/>
        </w:rPr>
        <w:t>的</w:t>
      </w:r>
      <w:r>
        <w:rPr>
          <w:rFonts w:hint="eastAsia" w:ascii="宋体" w:hAnsi="宋体" w:eastAsia="宋体" w:cs="宋体"/>
          <w:color w:val="auto"/>
          <w:spacing w:val="-21"/>
          <w:sz w:val="21"/>
          <w:highlight w:val="none"/>
        </w:rPr>
        <w:t xml:space="preserve"> </w:t>
      </w:r>
      <w:r>
        <w:rPr>
          <w:rFonts w:hint="eastAsia" w:ascii="宋体" w:hAnsi="宋体" w:eastAsia="宋体" w:cs="宋体"/>
          <w:color w:val="auto"/>
          <w:sz w:val="21"/>
          <w:highlight w:val="none"/>
        </w:rPr>
        <w:t>招</w:t>
      </w:r>
      <w:r>
        <w:rPr>
          <w:rFonts w:hint="eastAsia" w:ascii="宋体" w:hAnsi="宋体" w:eastAsia="宋体" w:cs="宋体"/>
          <w:color w:val="auto"/>
          <w:spacing w:val="-3"/>
          <w:sz w:val="21"/>
          <w:highlight w:val="none"/>
        </w:rPr>
        <w:t>标</w:t>
      </w:r>
      <w:r>
        <w:rPr>
          <w:rFonts w:hint="eastAsia" w:ascii="宋体" w:hAnsi="宋体" w:eastAsia="宋体" w:cs="宋体"/>
          <w:color w:val="auto"/>
          <w:sz w:val="21"/>
          <w:highlight w:val="none"/>
        </w:rPr>
        <w:t>文件</w:t>
      </w:r>
      <w:r>
        <w:rPr>
          <w:rFonts w:hint="eastAsia" w:ascii="宋体" w:hAnsi="宋体" w:eastAsia="宋体" w:cs="宋体"/>
          <w:color w:val="auto"/>
          <w:spacing w:val="-3"/>
          <w:sz w:val="21"/>
          <w:highlight w:val="none"/>
        </w:rPr>
        <w:t>的</w:t>
      </w:r>
      <w:r>
        <w:rPr>
          <w:rFonts w:hint="eastAsia" w:ascii="宋体" w:hAnsi="宋体" w:eastAsia="宋体" w:cs="宋体"/>
          <w:color w:val="auto"/>
          <w:sz w:val="21"/>
          <w:highlight w:val="none"/>
        </w:rPr>
        <w:t>全部</w:t>
      </w:r>
      <w:r>
        <w:rPr>
          <w:rFonts w:hint="eastAsia" w:ascii="宋体" w:hAnsi="宋体" w:eastAsia="宋体" w:cs="宋体"/>
          <w:color w:val="auto"/>
          <w:spacing w:val="-3"/>
          <w:sz w:val="21"/>
          <w:highlight w:val="none"/>
        </w:rPr>
        <w:t>内</w:t>
      </w:r>
      <w:r>
        <w:rPr>
          <w:rFonts w:hint="eastAsia" w:ascii="宋体" w:hAnsi="宋体" w:eastAsia="宋体" w:cs="宋体"/>
          <w:color w:val="auto"/>
          <w:sz w:val="21"/>
          <w:highlight w:val="none"/>
        </w:rPr>
        <w:t>容，</w:t>
      </w:r>
      <w:r>
        <w:rPr>
          <w:rFonts w:hint="eastAsia" w:ascii="宋体" w:hAnsi="宋体" w:eastAsia="宋体" w:cs="宋体"/>
          <w:color w:val="auto"/>
          <w:spacing w:val="-3"/>
          <w:sz w:val="21"/>
          <w:highlight w:val="none"/>
        </w:rPr>
        <w:t>授</w:t>
      </w:r>
      <w:r>
        <w:rPr>
          <w:rFonts w:hint="eastAsia" w:ascii="宋体" w:hAnsi="宋体" w:eastAsia="宋体" w:cs="宋体"/>
          <w:color w:val="auto"/>
          <w:sz w:val="21"/>
          <w:highlight w:val="none"/>
        </w:rPr>
        <w:t>权</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p>
    <w:p>
      <w:pPr>
        <w:tabs>
          <w:tab w:val="left" w:pos="2418"/>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(全</w:t>
      </w:r>
      <w:r>
        <w:rPr>
          <w:rFonts w:hint="eastAsia" w:ascii="宋体" w:hAnsi="宋体" w:eastAsia="宋体" w:cs="宋体"/>
          <w:color w:val="auto"/>
          <w:spacing w:val="-3"/>
          <w:sz w:val="21"/>
          <w:highlight w:val="none"/>
        </w:rPr>
        <w:t>权</w:t>
      </w:r>
      <w:r>
        <w:rPr>
          <w:rFonts w:hint="eastAsia" w:ascii="宋体" w:hAnsi="宋体" w:eastAsia="宋体" w:cs="宋体"/>
          <w:color w:val="auto"/>
          <w:sz w:val="21"/>
          <w:highlight w:val="none"/>
        </w:rPr>
        <w:t>代表</w:t>
      </w:r>
      <w:r>
        <w:rPr>
          <w:rFonts w:hint="eastAsia" w:ascii="宋体" w:hAnsi="宋体" w:eastAsia="宋体" w:cs="宋体"/>
          <w:color w:val="auto"/>
          <w:spacing w:val="-3"/>
          <w:sz w:val="21"/>
          <w:highlight w:val="none"/>
        </w:rPr>
        <w:t>姓</w:t>
      </w:r>
      <w:r>
        <w:rPr>
          <w:rFonts w:hint="eastAsia" w:ascii="宋体" w:hAnsi="宋体" w:eastAsia="宋体" w:cs="宋体"/>
          <w:color w:val="auto"/>
          <w:sz w:val="21"/>
          <w:highlight w:val="none"/>
        </w:rPr>
        <w:t>名)</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(职务、职称)为全权代表，现正式递交下述</w:t>
      </w:r>
      <w:r>
        <w:rPr>
          <w:rFonts w:hint="eastAsia" w:ascii="宋体" w:hAnsi="宋体" w:eastAsia="宋体" w:cs="宋体"/>
          <w:color w:val="auto"/>
          <w:spacing w:val="-3"/>
          <w:sz w:val="21"/>
          <w:highlight w:val="none"/>
        </w:rPr>
        <w:t>文</w:t>
      </w:r>
      <w:r>
        <w:rPr>
          <w:rFonts w:hint="eastAsia" w:ascii="宋体" w:hAnsi="宋体" w:eastAsia="宋体" w:cs="宋体"/>
          <w:color w:val="auto"/>
          <w:sz w:val="21"/>
          <w:highlight w:val="none"/>
        </w:rPr>
        <w:t>件参</w:t>
      </w:r>
      <w:r>
        <w:rPr>
          <w:rFonts w:hint="eastAsia" w:ascii="宋体" w:hAnsi="宋体" w:eastAsia="宋体" w:cs="宋体"/>
          <w:color w:val="auto"/>
          <w:spacing w:val="-3"/>
          <w:sz w:val="21"/>
          <w:highlight w:val="none"/>
        </w:rPr>
        <w:t>加</w:t>
      </w:r>
      <w:r>
        <w:rPr>
          <w:rFonts w:hint="eastAsia" w:ascii="宋体" w:hAnsi="宋体" w:eastAsia="宋体" w:cs="宋体"/>
          <w:color w:val="auto"/>
          <w:sz w:val="21"/>
          <w:highlight w:val="none"/>
        </w:rPr>
        <w:t>贵方</w:t>
      </w:r>
      <w:r>
        <w:rPr>
          <w:rFonts w:hint="eastAsia" w:ascii="宋体" w:hAnsi="宋体" w:eastAsia="宋体" w:cs="宋体"/>
          <w:color w:val="auto"/>
          <w:spacing w:val="-3"/>
          <w:sz w:val="21"/>
          <w:highlight w:val="none"/>
        </w:rPr>
        <w:t>组</w:t>
      </w:r>
      <w:r>
        <w:rPr>
          <w:rFonts w:hint="eastAsia" w:ascii="宋体" w:hAnsi="宋体" w:eastAsia="宋体" w:cs="宋体"/>
          <w:color w:val="auto"/>
          <w:sz w:val="21"/>
          <w:highlight w:val="none"/>
        </w:rPr>
        <w:t>织的本次政府采购活动</w:t>
      </w:r>
    </w:p>
    <w:p>
      <w:pPr>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p>
      <w:pPr>
        <w:spacing w:before="173" w:line="312" w:lineRule="auto"/>
        <w:ind w:left="332" w:right="4258"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一、报价文件 (包含按投标人须知前附表要求提交的全部文件)； 二、资格文件 (包含按投标人须知前附表要求提交的全部文件)；</w:t>
      </w:r>
    </w:p>
    <w:p>
      <w:pPr>
        <w:spacing w:before="179" w:line="393" w:lineRule="auto"/>
        <w:ind w:left="332" w:right="4308" w:firstLine="0"/>
        <w:jc w:val="both"/>
        <w:rPr>
          <w:rFonts w:hint="eastAsia" w:ascii="宋体" w:hAnsi="宋体" w:eastAsia="宋体" w:cs="宋体"/>
          <w:color w:val="auto"/>
          <w:sz w:val="21"/>
          <w:highlight w:val="none"/>
        </w:rPr>
      </w:pPr>
      <w:r>
        <w:rPr>
          <w:rFonts w:hint="eastAsia" w:ascii="宋体" w:hAnsi="宋体" w:eastAsia="宋体" w:cs="宋体"/>
          <w:color w:val="auto"/>
          <w:spacing w:val="-8"/>
          <w:sz w:val="21"/>
          <w:highlight w:val="none"/>
        </w:rPr>
        <w:t xml:space="preserve">三、 </w:t>
      </w:r>
      <w:r>
        <w:rPr>
          <w:rFonts w:hint="eastAsia" w:ascii="宋体" w:hAnsi="宋体" w:eastAsia="宋体" w:cs="宋体"/>
          <w:color w:val="auto"/>
          <w:sz w:val="21"/>
          <w:highlight w:val="none"/>
        </w:rPr>
        <w:t>技术文件 (包含按投标人须知前附表要求提交的全部文件)</w:t>
      </w:r>
      <w:r>
        <w:rPr>
          <w:rFonts w:hint="eastAsia" w:ascii="宋体" w:hAnsi="宋体" w:eastAsia="宋体" w:cs="宋体"/>
          <w:color w:val="auto"/>
          <w:spacing w:val="-8"/>
          <w:sz w:val="21"/>
          <w:highlight w:val="none"/>
        </w:rPr>
        <w:t xml:space="preserve">； 四、 </w:t>
      </w:r>
      <w:r>
        <w:rPr>
          <w:rFonts w:hint="eastAsia" w:ascii="宋体" w:hAnsi="宋体" w:eastAsia="宋体" w:cs="宋体"/>
          <w:color w:val="auto"/>
          <w:sz w:val="21"/>
          <w:highlight w:val="none"/>
        </w:rPr>
        <w:t>商务文件 (包含按投标人须知前附表要求提交的全部文件</w:t>
      </w:r>
      <w:r>
        <w:rPr>
          <w:rFonts w:hint="eastAsia" w:ascii="宋体" w:hAnsi="宋体" w:eastAsia="宋体" w:cs="宋体"/>
          <w:color w:val="auto"/>
          <w:spacing w:val="-8"/>
          <w:sz w:val="21"/>
          <w:highlight w:val="none"/>
        </w:rPr>
        <w:t xml:space="preserve">)； </w:t>
      </w:r>
      <w:r>
        <w:rPr>
          <w:rFonts w:hint="eastAsia" w:ascii="宋体" w:hAnsi="宋体" w:eastAsia="宋体" w:cs="宋体"/>
          <w:color w:val="auto"/>
          <w:spacing w:val="-3"/>
          <w:sz w:val="21"/>
          <w:highlight w:val="none"/>
        </w:rPr>
        <w:t>据</w:t>
      </w:r>
      <w:r>
        <w:rPr>
          <w:rFonts w:hint="eastAsia" w:ascii="宋体" w:hAnsi="宋体" w:eastAsia="宋体" w:cs="宋体"/>
          <w:color w:val="auto"/>
          <w:sz w:val="21"/>
          <w:highlight w:val="none"/>
        </w:rPr>
        <w:t>此函，签字人兹宣布</w:t>
      </w:r>
      <w:r>
        <w:rPr>
          <w:rFonts w:hint="eastAsia" w:ascii="宋体" w:hAnsi="宋体" w:eastAsia="宋体" w:cs="宋体"/>
          <w:color w:val="auto"/>
          <w:spacing w:val="-3"/>
          <w:sz w:val="21"/>
          <w:highlight w:val="none"/>
        </w:rPr>
        <w:t>：</w:t>
      </w:r>
    </w:p>
    <w:p>
      <w:pPr>
        <w:tabs>
          <w:tab w:val="left" w:pos="2401"/>
          <w:tab w:val="left" w:pos="5007"/>
          <w:tab w:val="left" w:pos="6767"/>
        </w:tabs>
        <w:spacing w:before="0" w:line="393" w:lineRule="auto"/>
        <w:ind w:left="332" w:right="761" w:firstLine="420"/>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1</w:t>
      </w:r>
      <w:r>
        <w:rPr>
          <w:rFonts w:hint="eastAsia" w:ascii="宋体" w:hAnsi="宋体" w:eastAsia="宋体" w:cs="宋体"/>
          <w:color w:val="auto"/>
          <w:spacing w:val="7"/>
          <w:sz w:val="21"/>
          <w:highlight w:val="none"/>
        </w:rPr>
        <w:t>、</w:t>
      </w:r>
      <w:r>
        <w:rPr>
          <w:rFonts w:hint="eastAsia" w:ascii="宋体" w:hAnsi="宋体" w:eastAsia="宋体" w:cs="宋体"/>
          <w:color w:val="auto"/>
          <w:sz w:val="21"/>
          <w:highlight w:val="none"/>
        </w:rPr>
        <w:t>我方愿意以(大写)人民币</w:t>
      </w:r>
      <w:r>
        <w:rPr>
          <w:rFonts w:hint="eastAsia" w:ascii="宋体" w:hAnsi="宋体" w:eastAsia="宋体" w:cs="宋体"/>
          <w:color w:val="auto"/>
          <w:spacing w:val="6"/>
          <w:sz w:val="21"/>
          <w:highlight w:val="none"/>
          <w:u w:val="single"/>
        </w:rPr>
        <w:t xml:space="preserve"> </w:t>
      </w:r>
      <w:r>
        <w:rPr>
          <w:rFonts w:hint="eastAsia" w:ascii="宋体" w:hAnsi="宋体" w:eastAsia="宋体" w:cs="宋体"/>
          <w:color w:val="auto"/>
          <w:spacing w:val="6"/>
          <w:sz w:val="21"/>
          <w:highlight w:val="none"/>
          <w:u w:val="single"/>
        </w:rPr>
        <w:tab/>
      </w:r>
      <w:r>
        <w:rPr>
          <w:rFonts w:hint="eastAsia" w:ascii="宋体" w:hAnsi="宋体" w:eastAsia="宋体" w:cs="宋体"/>
          <w:color w:val="auto"/>
          <w:sz w:val="21"/>
          <w:highlight w:val="none"/>
        </w:rPr>
        <w:t>元</w:t>
      </w:r>
      <w:r>
        <w:rPr>
          <w:rFonts w:hint="eastAsia" w:ascii="宋体" w:hAnsi="宋体" w:eastAsia="宋体" w:cs="宋体"/>
          <w:color w:val="auto"/>
          <w:spacing w:val="11"/>
          <w:sz w:val="21"/>
          <w:highlight w:val="none"/>
        </w:rPr>
        <w:t xml:space="preserve"> </w:t>
      </w:r>
      <w:r>
        <w:rPr>
          <w:rFonts w:hint="eastAsia" w:ascii="宋体" w:hAnsi="宋体" w:eastAsia="宋体" w:cs="宋体"/>
          <w:color w:val="auto"/>
          <w:spacing w:val="4"/>
          <w:sz w:val="21"/>
          <w:highlight w:val="none"/>
        </w:rPr>
        <w:t>(￥</w:t>
      </w:r>
      <w:r>
        <w:rPr>
          <w:rFonts w:hint="eastAsia" w:ascii="宋体" w:hAnsi="宋体" w:eastAsia="宋体" w:cs="宋体"/>
          <w:color w:val="auto"/>
          <w:spacing w:val="4"/>
          <w:sz w:val="21"/>
          <w:highlight w:val="none"/>
          <w:u w:val="single"/>
        </w:rPr>
        <w:t xml:space="preserve"> </w:t>
      </w:r>
      <w:r>
        <w:rPr>
          <w:rFonts w:hint="eastAsia" w:ascii="宋体" w:hAnsi="宋体" w:eastAsia="宋体" w:cs="宋体"/>
          <w:color w:val="auto"/>
          <w:spacing w:val="4"/>
          <w:sz w:val="21"/>
          <w:highlight w:val="none"/>
          <w:u w:val="single"/>
        </w:rPr>
        <w:tab/>
      </w:r>
      <w:r>
        <w:rPr>
          <w:rFonts w:hint="eastAsia" w:ascii="宋体" w:hAnsi="宋体" w:eastAsia="宋体" w:cs="宋体"/>
          <w:color w:val="auto"/>
          <w:spacing w:val="7"/>
          <w:sz w:val="21"/>
          <w:highlight w:val="none"/>
        </w:rPr>
        <w:t>元</w:t>
      </w:r>
      <w:r>
        <w:rPr>
          <w:rFonts w:hint="eastAsia" w:ascii="宋体" w:hAnsi="宋体" w:eastAsia="宋体" w:cs="宋体"/>
          <w:color w:val="auto"/>
          <w:spacing w:val="3"/>
          <w:sz w:val="21"/>
          <w:highlight w:val="none"/>
        </w:rPr>
        <w:t>)</w:t>
      </w:r>
      <w:r>
        <w:rPr>
          <w:rFonts w:hint="eastAsia" w:ascii="宋体" w:hAnsi="宋体" w:eastAsia="宋体" w:cs="宋体"/>
          <w:color w:val="auto"/>
          <w:sz w:val="21"/>
          <w:highlight w:val="none"/>
        </w:rPr>
        <w:t>的投标总报价，提交服务成果时</w:t>
      </w:r>
      <w:r>
        <w:rPr>
          <w:rFonts w:hint="eastAsia" w:ascii="宋体" w:hAnsi="宋体" w:eastAsia="宋体" w:cs="宋体"/>
          <w:color w:val="auto"/>
          <w:spacing w:val="1"/>
          <w:sz w:val="21"/>
          <w:highlight w:val="none"/>
        </w:rPr>
        <w:t xml:space="preserve"> </w:t>
      </w:r>
      <w:r>
        <w:rPr>
          <w:rFonts w:hint="eastAsia" w:ascii="宋体" w:hAnsi="宋体" w:eastAsia="宋体" w:cs="宋体"/>
          <w:color w:val="auto"/>
          <w:spacing w:val="-3"/>
          <w:sz w:val="21"/>
          <w:highlight w:val="none"/>
        </w:rPr>
        <w:t>间</w:t>
      </w:r>
      <w:r>
        <w:rPr>
          <w:rFonts w:hint="eastAsia" w:ascii="宋体" w:hAnsi="宋体" w:eastAsia="宋体" w:cs="宋体"/>
          <w:color w:val="auto"/>
          <w:spacing w:val="-3"/>
          <w:sz w:val="21"/>
          <w:highlight w:val="none"/>
          <w:u w:val="single"/>
        </w:rPr>
        <w:t xml:space="preserve"> </w:t>
      </w:r>
      <w:r>
        <w:rPr>
          <w:rFonts w:hint="eastAsia" w:ascii="宋体" w:hAnsi="宋体" w:eastAsia="宋体" w:cs="宋体"/>
          <w:color w:val="auto"/>
          <w:spacing w:val="-3"/>
          <w:sz w:val="21"/>
          <w:highlight w:val="none"/>
          <w:u w:val="single"/>
        </w:rPr>
        <w:tab/>
      </w:r>
      <w:r>
        <w:rPr>
          <w:rFonts w:hint="eastAsia" w:ascii="宋体" w:hAnsi="宋体" w:eastAsia="宋体" w:cs="宋体"/>
          <w:color w:val="auto"/>
          <w:sz w:val="21"/>
          <w:highlight w:val="none"/>
        </w:rPr>
        <w:t>，提供本项目招标文件第</w:t>
      </w:r>
      <w:r>
        <w:rPr>
          <w:rFonts w:hint="eastAsia" w:cs="宋体"/>
          <w:color w:val="auto"/>
          <w:sz w:val="21"/>
          <w:highlight w:val="none"/>
          <w:lang w:val="en-US" w:eastAsia="zh-CN"/>
        </w:rPr>
        <w:t>三</w:t>
      </w:r>
      <w:r>
        <w:rPr>
          <w:rFonts w:hint="eastAsia" w:ascii="宋体" w:hAnsi="宋体" w:eastAsia="宋体" w:cs="宋体"/>
          <w:color w:val="auto"/>
          <w:sz w:val="21"/>
          <w:highlight w:val="none"/>
        </w:rPr>
        <w:t>章 “</w:t>
      </w:r>
      <w:r>
        <w:rPr>
          <w:rFonts w:hint="eastAsia" w:cs="宋体"/>
          <w:color w:val="auto"/>
          <w:sz w:val="21"/>
          <w:highlight w:val="none"/>
          <w:lang w:val="en-US" w:eastAsia="zh-CN"/>
        </w:rPr>
        <w:t>采购</w:t>
      </w:r>
      <w:r>
        <w:rPr>
          <w:rFonts w:hint="eastAsia" w:ascii="宋体" w:hAnsi="宋体" w:eastAsia="宋体" w:cs="宋体"/>
          <w:color w:val="auto"/>
          <w:sz w:val="21"/>
          <w:highlight w:val="none"/>
        </w:rPr>
        <w:t>需求”中的相应的采购内容。</w:t>
      </w:r>
    </w:p>
    <w:p>
      <w:pPr>
        <w:spacing w:before="0" w:line="391" w:lineRule="auto"/>
        <w:ind w:left="332" w:right="670" w:firstLine="424"/>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pacing w:val="-15"/>
          <w:sz w:val="21"/>
          <w:highlight w:val="none"/>
        </w:rPr>
        <w:t>、</w:t>
      </w:r>
      <w:r>
        <w:rPr>
          <w:rFonts w:hint="eastAsia" w:ascii="宋体" w:hAnsi="宋体" w:eastAsia="宋体" w:cs="宋体"/>
          <w:color w:val="auto"/>
          <w:sz w:val="21"/>
          <w:highlight w:val="none"/>
        </w:rPr>
        <w:t>我方同意自本项目招标文件“ 投标人须知”第一节投标人须知前附表规定的投标截止时间(开标时间)起遵循本投标函，并承诺在“投标人须知前附表”规定的投标有效期内不修改、撤销投标文件。</w:t>
      </w:r>
    </w:p>
    <w:p>
      <w:pPr>
        <w:spacing w:before="0"/>
        <w:ind w:left="721"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3、我方所递交的投标文件及有关资料都是内容完整、真实和准确的。</w:t>
      </w:r>
    </w:p>
    <w:p>
      <w:pPr>
        <w:spacing w:before="168" w:line="391" w:lineRule="auto"/>
        <w:ind w:left="332" w:right="661" w:firstLine="417"/>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4</w:t>
      </w:r>
      <w:r>
        <w:rPr>
          <w:rFonts w:hint="eastAsia" w:ascii="宋体" w:hAnsi="宋体" w:eastAsia="宋体" w:cs="宋体"/>
          <w:color w:val="auto"/>
          <w:spacing w:val="-10"/>
          <w:w w:val="95"/>
          <w:sz w:val="21"/>
          <w:highlight w:val="none"/>
        </w:rPr>
        <w:t>、</w:t>
      </w:r>
      <w:r>
        <w:rPr>
          <w:rFonts w:hint="eastAsia" w:ascii="宋体" w:hAnsi="宋体" w:eastAsia="宋体" w:cs="宋体"/>
          <w:color w:val="auto"/>
          <w:sz w:val="21"/>
          <w:highlight w:val="none"/>
        </w:rPr>
        <w:t>如本项目采购内容涉及须符合国家强制规定的，我方承诺我方本次投标(包括资格条件和所投产品)   均符合国家有关强制规定。</w:t>
      </w:r>
    </w:p>
    <w:p>
      <w:pPr>
        <w:spacing w:before="3" w:line="391" w:lineRule="auto"/>
        <w:ind w:left="332" w:right="660" w:firstLine="427"/>
        <w:jc w:val="both"/>
        <w:rPr>
          <w:rFonts w:hint="eastAsia" w:ascii="宋体" w:hAnsi="宋体" w:eastAsia="宋体" w:cs="宋体"/>
          <w:color w:val="auto"/>
          <w:sz w:val="21"/>
          <w:highlight w:val="none"/>
        </w:rPr>
      </w:pPr>
      <w:r>
        <w:rPr>
          <w:rFonts w:hint="eastAsia" w:ascii="宋体" w:hAnsi="宋体" w:eastAsia="宋体" w:cs="宋体"/>
          <w:color w:val="auto"/>
          <w:spacing w:val="-19"/>
          <w:w w:val="95"/>
          <w:sz w:val="21"/>
          <w:highlight w:val="none"/>
        </w:rPr>
        <w:t>5</w:t>
      </w:r>
      <w:r>
        <w:rPr>
          <w:rFonts w:hint="eastAsia" w:ascii="宋体" w:hAnsi="宋体" w:eastAsia="宋体" w:cs="宋体"/>
          <w:color w:val="auto"/>
          <w:spacing w:val="-22"/>
          <w:w w:val="95"/>
          <w:sz w:val="21"/>
          <w:highlight w:val="none"/>
        </w:rPr>
        <w:t>、</w:t>
      </w:r>
      <w:r>
        <w:rPr>
          <w:rFonts w:hint="eastAsia" w:ascii="宋体" w:hAnsi="宋体" w:eastAsia="宋体" w:cs="宋体"/>
          <w:color w:val="auto"/>
          <w:sz w:val="21"/>
          <w:highlight w:val="none"/>
        </w:rPr>
        <w:t>如我方中标，我方承诺在收到中标通知书后，在中标通知书规定的期限内，根据招标文件、我方的投标文件及有关澄清承诺书的要求按“拟签订的合同文本”与采购人订立书面合同，并按照合同约定承担完</w:t>
      </w:r>
      <w:r>
        <w:rPr>
          <w:rFonts w:hint="eastAsia" w:ascii="宋体" w:hAnsi="宋体" w:eastAsia="宋体" w:cs="宋体"/>
          <w:color w:val="auto"/>
          <w:spacing w:val="-5"/>
          <w:sz w:val="21"/>
          <w:highlight w:val="none"/>
        </w:rPr>
        <w:t>成合同的责任和义务。</w:t>
      </w:r>
    </w:p>
    <w:p>
      <w:pPr>
        <w:spacing w:before="5"/>
        <w:ind w:left="740"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6、我方已详细审核招标文件，我方知道必须放弃提出含糊不清或误解问题的权利。</w:t>
      </w:r>
    </w:p>
    <w:p>
      <w:pPr>
        <w:spacing w:before="170" w:line="391" w:lineRule="auto"/>
        <w:ind w:left="332" w:right="664" w:firstLine="422"/>
        <w:jc w:val="left"/>
        <w:rPr>
          <w:rFonts w:hint="eastAsia" w:ascii="宋体" w:hAnsi="宋体" w:eastAsia="宋体" w:cs="宋体"/>
          <w:color w:val="auto"/>
          <w:sz w:val="21"/>
          <w:highlight w:val="none"/>
        </w:rPr>
      </w:pPr>
      <w:r>
        <w:rPr>
          <w:rFonts w:hint="eastAsia" w:ascii="宋体" w:hAnsi="宋体" w:eastAsia="宋体" w:cs="宋体"/>
          <w:color w:val="auto"/>
          <w:spacing w:val="-9"/>
          <w:w w:val="95"/>
          <w:sz w:val="21"/>
          <w:highlight w:val="none"/>
        </w:rPr>
        <w:t>7</w:t>
      </w:r>
      <w:r>
        <w:rPr>
          <w:rFonts w:hint="eastAsia" w:ascii="宋体" w:hAnsi="宋体" w:eastAsia="宋体" w:cs="宋体"/>
          <w:color w:val="auto"/>
          <w:spacing w:val="-18"/>
          <w:w w:val="95"/>
          <w:sz w:val="21"/>
          <w:highlight w:val="none"/>
        </w:rPr>
        <w:t>、</w:t>
      </w:r>
      <w:r>
        <w:rPr>
          <w:rFonts w:hint="eastAsia" w:ascii="宋体" w:hAnsi="宋体" w:eastAsia="宋体" w:cs="宋体"/>
          <w:color w:val="auto"/>
          <w:sz w:val="21"/>
          <w:highlight w:val="none"/>
        </w:rPr>
        <w:t>我方同意应贵方要求提供与本投标有关的任何数据或资料。若贵方需要，我方愿意提供我方作出的一切   承诺的证明材料。</w:t>
      </w:r>
    </w:p>
    <w:p>
      <w:pPr>
        <w:spacing w:before="4"/>
        <w:ind w:left="750"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8、我方完全理解贵方不一定接受投标报价最低的投标人为中标供应商的行为。</w:t>
      </w:r>
    </w:p>
    <w:p>
      <w:pPr>
        <w:spacing w:before="170" w:line="393" w:lineRule="auto"/>
        <w:ind w:left="332" w:right="648" w:firstLine="422"/>
        <w:jc w:val="left"/>
        <w:rPr>
          <w:rFonts w:hint="eastAsia" w:ascii="宋体" w:hAnsi="宋体" w:eastAsia="宋体" w:cs="宋体"/>
          <w:color w:val="auto"/>
          <w:sz w:val="21"/>
          <w:highlight w:val="none"/>
        </w:rPr>
      </w:pPr>
      <w:r>
        <w:rPr>
          <w:rFonts w:hint="eastAsia" w:ascii="宋体" w:hAnsi="宋体" w:eastAsia="宋体" w:cs="宋体"/>
          <w:color w:val="auto"/>
          <w:spacing w:val="-16"/>
          <w:w w:val="95"/>
          <w:sz w:val="21"/>
          <w:highlight w:val="none"/>
        </w:rPr>
        <w:t>9</w:t>
      </w:r>
      <w:r>
        <w:rPr>
          <w:rFonts w:hint="eastAsia" w:ascii="宋体" w:hAnsi="宋体" w:eastAsia="宋体" w:cs="宋体"/>
          <w:color w:val="auto"/>
          <w:spacing w:val="-23"/>
          <w:w w:val="95"/>
          <w:sz w:val="21"/>
          <w:highlight w:val="none"/>
        </w:rPr>
        <w:t>、</w:t>
      </w:r>
      <w:r>
        <w:rPr>
          <w:rFonts w:hint="eastAsia" w:ascii="宋体" w:hAnsi="宋体" w:eastAsia="宋体" w:cs="宋体"/>
          <w:color w:val="auto"/>
          <w:sz w:val="21"/>
          <w:highlight w:val="none"/>
        </w:rPr>
        <w:t>我方将严格遵守《中华人民共和国政府采购法》第七十七条的规定，即供应商有下列情形之一的，处以采   购金额千分之五以</w:t>
      </w:r>
      <w:r>
        <w:rPr>
          <w:rFonts w:hint="eastAsia" w:ascii="宋体" w:hAnsi="宋体" w:eastAsia="宋体" w:cs="宋体"/>
          <w:color w:val="auto"/>
          <w:spacing w:val="3"/>
          <w:sz w:val="21"/>
          <w:highlight w:val="none"/>
        </w:rPr>
        <w:t>上千分之十以下的罚款，列入不良行为记录名单，在一至三年内禁止参加政府采购</w:t>
      </w:r>
      <w:r>
        <w:rPr>
          <w:rFonts w:hint="eastAsia" w:ascii="宋体" w:hAnsi="宋体" w:eastAsia="宋体" w:cs="宋体"/>
          <w:color w:val="auto"/>
          <w:spacing w:val="-6"/>
          <w:sz w:val="21"/>
          <w:highlight w:val="none"/>
        </w:rPr>
        <w:t>活动，有违法所得的，并处没收违法所得，情节严重的，由工商行政管理机关吊销营业执照；构成犯罪的</w:t>
      </w:r>
    </w:p>
    <w:p>
      <w:pPr>
        <w:spacing w:before="0" w:line="265" w:lineRule="exact"/>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，依法追究刑事责任：</w:t>
      </w:r>
    </w:p>
    <w:p>
      <w:pPr>
        <w:pStyle w:val="13"/>
        <w:numPr>
          <w:ilvl w:val="1"/>
          <w:numId w:val="14"/>
        </w:numPr>
        <w:tabs>
          <w:tab w:val="left" w:pos="1192"/>
        </w:tabs>
        <w:spacing w:before="170"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提供虚假材料谋取中标、成交的；</w:t>
      </w:r>
    </w:p>
    <w:p>
      <w:pPr>
        <w:pStyle w:val="13"/>
        <w:numPr>
          <w:ilvl w:val="1"/>
          <w:numId w:val="14"/>
        </w:numPr>
        <w:tabs>
          <w:tab w:val="left" w:pos="1192"/>
        </w:tabs>
        <w:spacing w:before="172"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采取不正当手段诋毁、排挤其他供应商的；</w:t>
      </w:r>
    </w:p>
    <w:p>
      <w:pPr>
        <w:pStyle w:val="13"/>
        <w:numPr>
          <w:ilvl w:val="1"/>
          <w:numId w:val="14"/>
        </w:numPr>
        <w:tabs>
          <w:tab w:val="left" w:pos="1192"/>
        </w:tabs>
        <w:spacing w:before="170"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与采购人、其他供应商或者采购代理机构恶意串通的；</w:t>
      </w:r>
    </w:p>
    <w:p>
      <w:pPr>
        <w:pStyle w:val="13"/>
        <w:numPr>
          <w:ilvl w:val="1"/>
          <w:numId w:val="14"/>
        </w:numPr>
        <w:tabs>
          <w:tab w:val="left" w:pos="1192"/>
        </w:tabs>
        <w:spacing w:before="171"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向采购人、采购代理机构行贿或者提供其他不正当利益的；</w:t>
      </w:r>
    </w:p>
    <w:p>
      <w:pPr>
        <w:pStyle w:val="13"/>
        <w:numPr>
          <w:ilvl w:val="1"/>
          <w:numId w:val="14"/>
        </w:numPr>
        <w:tabs>
          <w:tab w:val="left" w:pos="1192"/>
        </w:tabs>
        <w:spacing w:before="58"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在招标采购过程中与采购人进行协商谈判的；</w:t>
      </w:r>
    </w:p>
    <w:p>
      <w:pPr>
        <w:pStyle w:val="13"/>
        <w:numPr>
          <w:ilvl w:val="1"/>
          <w:numId w:val="14"/>
        </w:numPr>
        <w:tabs>
          <w:tab w:val="left" w:pos="1204"/>
        </w:tabs>
        <w:spacing w:before="172" w:after="0" w:line="240" w:lineRule="auto"/>
        <w:ind w:left="1204" w:right="0" w:hanging="435"/>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拒绝有关部门监督检查或提供虚假情况的。</w:t>
      </w:r>
    </w:p>
    <w:p>
      <w:pPr>
        <w:tabs>
          <w:tab w:val="left" w:pos="9067"/>
        </w:tabs>
        <w:spacing w:before="170"/>
        <w:ind w:left="762" w:right="0" w:firstLine="0"/>
        <w:jc w:val="left"/>
        <w:rPr>
          <w:rFonts w:hint="eastAsia" w:ascii="宋体" w:hAnsi="宋体" w:eastAsia="宋体" w:cs="宋体"/>
          <w:color w:val="auto"/>
          <w:sz w:val="21"/>
          <w:highlight w:val="none"/>
        </w:rPr>
      </w:pPr>
      <w:bookmarkStart w:id="21" w:name="10、我方及由本人担任法定代表人的其他机构最近三年内被处罚的违法行为有：    "/>
      <w:bookmarkEnd w:id="21"/>
      <w:r>
        <w:rPr>
          <w:rFonts w:hint="eastAsia" w:ascii="宋体" w:hAnsi="宋体" w:eastAsia="宋体" w:cs="宋体"/>
          <w:color w:val="auto"/>
          <w:w w:val="95"/>
          <w:sz w:val="21"/>
          <w:highlight w:val="none"/>
        </w:rPr>
        <w:t>10</w:t>
      </w:r>
      <w:r>
        <w:rPr>
          <w:rFonts w:hint="eastAsia" w:ascii="宋体" w:hAnsi="宋体" w:eastAsia="宋体" w:cs="宋体"/>
          <w:color w:val="auto"/>
          <w:spacing w:val="4"/>
          <w:w w:val="95"/>
          <w:sz w:val="21"/>
          <w:highlight w:val="none"/>
        </w:rPr>
        <w:t>、</w:t>
      </w:r>
      <w:r>
        <w:rPr>
          <w:rFonts w:hint="eastAsia" w:ascii="宋体" w:hAnsi="宋体" w:eastAsia="宋体" w:cs="宋体"/>
          <w:color w:val="auto"/>
          <w:sz w:val="21"/>
          <w:szCs w:val="22"/>
          <w:highlight w:val="none"/>
          <w:lang w:val="zh-CN" w:eastAsia="zh-CN" w:bidi="zh-CN"/>
        </w:rPr>
        <w:t>我方及由本人担任法定代表人的其他机构最近三年内被处罚的违法行为有</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pStyle w:val="7"/>
        <w:spacing w:before="9"/>
        <w:rPr>
          <w:rFonts w:hint="eastAsia" w:ascii="宋体" w:hAnsi="宋体" w:eastAsia="宋体" w:cs="宋体"/>
          <w:color w:val="auto"/>
          <w:sz w:val="8"/>
          <w:highlight w:val="none"/>
        </w:rPr>
      </w:pPr>
    </w:p>
    <w:p>
      <w:pPr>
        <w:spacing w:before="69" w:line="393" w:lineRule="auto"/>
        <w:ind w:left="332" w:right="684" w:firstLine="429"/>
        <w:jc w:val="left"/>
        <w:rPr>
          <w:rFonts w:hint="eastAsia" w:ascii="宋体" w:hAnsi="宋体" w:eastAsia="宋体" w:cs="宋体"/>
          <w:color w:val="auto"/>
          <w:spacing w:val="3"/>
          <w:sz w:val="21"/>
          <w:szCs w:val="22"/>
          <w:highlight w:val="none"/>
          <w:lang w:val="zh-CN" w:eastAsia="zh-CN" w:bidi="zh-CN"/>
        </w:rPr>
      </w:pPr>
      <w:bookmarkStart w:id="22" w:name="11、以上事项如有虚假或隐瞒，我方愿意承担一切后果，并不再寻求任何旨在减轻或免除"/>
      <w:bookmarkEnd w:id="22"/>
      <w:r>
        <w:rPr>
          <w:rFonts w:hint="eastAsia" w:ascii="宋体" w:hAnsi="宋体" w:eastAsia="宋体" w:cs="宋体"/>
          <w:color w:val="auto"/>
          <w:w w:val="95"/>
          <w:sz w:val="21"/>
          <w:highlight w:val="none"/>
        </w:rPr>
        <w:t>11</w:t>
      </w:r>
      <w:r>
        <w:rPr>
          <w:rFonts w:hint="eastAsia" w:ascii="宋体" w:hAnsi="宋体" w:eastAsia="宋体" w:cs="宋体"/>
          <w:color w:val="auto"/>
          <w:spacing w:val="3"/>
          <w:w w:val="95"/>
          <w:sz w:val="21"/>
          <w:highlight w:val="none"/>
        </w:rPr>
        <w:t>、</w:t>
      </w:r>
      <w:r>
        <w:rPr>
          <w:rFonts w:hint="eastAsia" w:ascii="宋体" w:hAnsi="宋体" w:eastAsia="宋体" w:cs="宋体"/>
          <w:color w:val="auto"/>
          <w:spacing w:val="3"/>
          <w:sz w:val="21"/>
          <w:szCs w:val="22"/>
          <w:highlight w:val="none"/>
          <w:lang w:val="zh-CN" w:eastAsia="zh-CN" w:bidi="zh-CN"/>
        </w:rPr>
        <w:t>以上事项如有虚假或隐瞒，我方愿意承担一切后果，并不再寻求任何旨在减轻或免除法律责任的辩解。</w:t>
      </w:r>
    </w:p>
    <w:p>
      <w:pPr>
        <w:spacing w:before="0" w:line="267" w:lineRule="exact"/>
        <w:ind w:left="76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12、与本投标有关的一切正式往来信函请寄：</w:t>
      </w:r>
    </w:p>
    <w:p>
      <w:pPr>
        <w:pStyle w:val="7"/>
        <w:rPr>
          <w:rFonts w:hint="eastAsia" w:ascii="宋体" w:hAnsi="宋体" w:eastAsia="宋体" w:cs="宋体"/>
          <w:color w:val="auto"/>
          <w:sz w:val="20"/>
          <w:highlight w:val="none"/>
        </w:rPr>
      </w:pPr>
    </w:p>
    <w:p>
      <w:pPr>
        <w:pStyle w:val="7"/>
        <w:spacing w:before="10"/>
        <w:rPr>
          <w:rFonts w:hint="eastAsia" w:ascii="宋体" w:hAnsi="宋体" w:eastAsia="宋体" w:cs="宋体"/>
          <w:color w:val="auto"/>
          <w:sz w:val="27"/>
          <w:highlight w:val="none"/>
        </w:rPr>
      </w:pPr>
    </w:p>
    <w:p>
      <w:pPr>
        <w:tabs>
          <w:tab w:val="left" w:pos="7168"/>
        </w:tabs>
        <w:spacing w:before="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地址</w:t>
      </w:r>
      <w:r>
        <w:rPr>
          <w:rFonts w:hint="eastAsia" w:ascii="宋体" w:hAnsi="宋体" w:eastAsia="宋体" w:cs="宋体"/>
          <w:color w:val="auto"/>
          <w:spacing w:val="7"/>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35"/>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22"/>
          <w:w w:val="95"/>
          <w:sz w:val="21"/>
          <w:highlight w:val="none"/>
        </w:rPr>
        <w:t>电</w:t>
      </w:r>
      <w:r>
        <w:rPr>
          <w:rFonts w:hint="eastAsia" w:ascii="宋体" w:hAnsi="宋体" w:eastAsia="宋体" w:cs="宋体"/>
          <w:color w:val="auto"/>
          <w:spacing w:val="-20"/>
          <w:w w:val="95"/>
          <w:sz w:val="21"/>
          <w:highlight w:val="none"/>
        </w:rPr>
        <w:t>话：</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83"/>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5"/>
          <w:w w:val="95"/>
          <w:sz w:val="21"/>
          <w:highlight w:val="none"/>
        </w:rPr>
        <w:t>传</w:t>
      </w:r>
      <w:r>
        <w:rPr>
          <w:rFonts w:hint="eastAsia" w:ascii="宋体" w:hAnsi="宋体" w:eastAsia="宋体" w:cs="宋体"/>
          <w:color w:val="auto"/>
          <w:spacing w:val="-3"/>
          <w:w w:val="95"/>
          <w:sz w:val="21"/>
          <w:highlight w:val="none"/>
        </w:rPr>
        <w:t>真</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50"/>
        </w:tabs>
        <w:spacing w:before="173"/>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10"/>
          <w:w w:val="95"/>
          <w:sz w:val="21"/>
          <w:highlight w:val="none"/>
        </w:rPr>
        <w:t>邮</w:t>
      </w:r>
      <w:r>
        <w:rPr>
          <w:rFonts w:hint="eastAsia" w:ascii="宋体" w:hAnsi="宋体" w:eastAsia="宋体" w:cs="宋体"/>
          <w:color w:val="auto"/>
          <w:spacing w:val="-8"/>
          <w:w w:val="95"/>
          <w:sz w:val="21"/>
          <w:highlight w:val="none"/>
        </w:rPr>
        <w:t>政</w:t>
      </w:r>
      <w:r>
        <w:rPr>
          <w:rFonts w:hint="eastAsia" w:ascii="宋体" w:hAnsi="宋体" w:eastAsia="宋体" w:cs="宋体"/>
          <w:color w:val="auto"/>
          <w:spacing w:val="-10"/>
          <w:w w:val="95"/>
          <w:sz w:val="21"/>
          <w:highlight w:val="none"/>
        </w:rPr>
        <w:t>编码</w:t>
      </w:r>
      <w:r>
        <w:rPr>
          <w:rFonts w:hint="eastAsia" w:ascii="宋体" w:hAnsi="宋体" w:eastAsia="宋体" w:cs="宋体"/>
          <w:color w:val="auto"/>
          <w:spacing w:val="-8"/>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71"/>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8"/>
          <w:w w:val="95"/>
          <w:sz w:val="21"/>
          <w:highlight w:val="none"/>
        </w:rPr>
        <w:t>开</w:t>
      </w:r>
      <w:r>
        <w:rPr>
          <w:rFonts w:hint="eastAsia" w:ascii="宋体" w:hAnsi="宋体" w:eastAsia="宋体" w:cs="宋体"/>
          <w:color w:val="auto"/>
          <w:spacing w:val="-5"/>
          <w:w w:val="95"/>
          <w:sz w:val="21"/>
          <w:highlight w:val="none"/>
        </w:rPr>
        <w:t>户</w:t>
      </w:r>
      <w:r>
        <w:rPr>
          <w:rFonts w:hint="eastAsia" w:ascii="宋体" w:hAnsi="宋体" w:eastAsia="宋体" w:cs="宋体"/>
          <w:color w:val="auto"/>
          <w:spacing w:val="-3"/>
          <w:w w:val="95"/>
          <w:sz w:val="21"/>
          <w:highlight w:val="none"/>
        </w:rPr>
        <w:t>名称</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818"/>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37"/>
          <w:w w:val="95"/>
          <w:sz w:val="21"/>
          <w:highlight w:val="none"/>
        </w:rPr>
        <w:t>开户</w:t>
      </w:r>
      <w:r>
        <w:rPr>
          <w:rFonts w:hint="eastAsia" w:ascii="宋体" w:hAnsi="宋体" w:eastAsia="宋体" w:cs="宋体"/>
          <w:color w:val="auto"/>
          <w:spacing w:val="-34"/>
          <w:w w:val="95"/>
          <w:sz w:val="21"/>
          <w:highlight w:val="none"/>
        </w:rPr>
        <w:t>银</w:t>
      </w:r>
      <w:r>
        <w:rPr>
          <w:rFonts w:hint="eastAsia" w:ascii="宋体" w:hAnsi="宋体" w:eastAsia="宋体" w:cs="宋体"/>
          <w:color w:val="auto"/>
          <w:spacing w:val="-37"/>
          <w:w w:val="95"/>
          <w:sz w:val="21"/>
          <w:highlight w:val="none"/>
        </w:rPr>
        <w:t>行</w:t>
      </w:r>
      <w:r>
        <w:rPr>
          <w:rFonts w:hint="eastAsia" w:ascii="宋体" w:hAnsi="宋体" w:eastAsia="宋体" w:cs="宋体"/>
          <w:color w:val="auto"/>
          <w:spacing w:val="-35"/>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827"/>
        </w:tabs>
        <w:spacing w:before="17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34"/>
          <w:w w:val="95"/>
          <w:sz w:val="21"/>
          <w:highlight w:val="none"/>
        </w:rPr>
        <w:t>银行</w:t>
      </w:r>
      <w:r>
        <w:rPr>
          <w:rFonts w:hint="eastAsia" w:ascii="宋体" w:hAnsi="宋体" w:eastAsia="宋体" w:cs="宋体"/>
          <w:color w:val="auto"/>
          <w:spacing w:val="-32"/>
          <w:w w:val="95"/>
          <w:sz w:val="21"/>
          <w:highlight w:val="none"/>
        </w:rPr>
        <w:t>账</w:t>
      </w:r>
      <w:r>
        <w:rPr>
          <w:rFonts w:hint="eastAsia" w:ascii="宋体" w:hAnsi="宋体" w:eastAsia="宋体" w:cs="宋体"/>
          <w:color w:val="auto"/>
          <w:spacing w:val="-34"/>
          <w:w w:val="95"/>
          <w:sz w:val="21"/>
          <w:highlight w:val="none"/>
        </w:rPr>
        <w:t>号：</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8"/>
          <w:highlight w:val="none"/>
        </w:rPr>
      </w:pPr>
    </w:p>
    <w:p>
      <w:pPr>
        <w:pStyle w:val="7"/>
        <w:tabs>
          <w:tab w:val="left" w:pos="1299"/>
          <w:tab w:val="left" w:pos="2267"/>
        </w:tabs>
        <w:spacing w:before="66" w:line="405" w:lineRule="auto"/>
        <w:ind w:left="332" w:right="7692"/>
        <w:rPr>
          <w:rFonts w:hint="eastAsia" w:ascii="宋体" w:hAnsi="宋体" w:eastAsia="宋体" w:cs="宋体"/>
          <w:color w:val="auto"/>
          <w:highlight w:val="none"/>
        </w:rPr>
      </w:pPr>
      <w:r>
        <w:rPr>
          <w:rFonts w:hint="eastAsia" w:ascii="宋体" w:hAnsi="宋体" w:eastAsia="宋体" w:cs="宋体"/>
          <w:color w:val="auto"/>
          <w:spacing w:val="-3"/>
          <w:highlight w:val="none"/>
        </w:rPr>
        <w:t>投标人名称</w:t>
      </w:r>
      <w:r>
        <w:rPr>
          <w:rFonts w:hint="eastAsia" w:ascii="宋体" w:hAnsi="宋体" w:eastAsia="宋体" w:cs="宋体"/>
          <w:color w:val="auto"/>
          <w:highlight w:val="none"/>
        </w:rPr>
        <w:t>(</w:t>
      </w:r>
      <w:r>
        <w:rPr>
          <w:rFonts w:hint="eastAsia" w:ascii="宋体" w:hAnsi="宋体" w:eastAsia="宋体" w:cs="宋体"/>
          <w:color w:val="auto"/>
          <w:spacing w:val="-3"/>
          <w:highlight w:val="none"/>
        </w:rPr>
        <w:t>电子签</w:t>
      </w:r>
      <w:r>
        <w:rPr>
          <w:rFonts w:hint="eastAsia" w:ascii="宋体" w:hAnsi="宋体" w:eastAsia="宋体" w:cs="宋体"/>
          <w:color w:val="auto"/>
          <w:highlight w:val="none"/>
        </w:rPr>
        <w:t>章</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405" w:lineRule="auto"/>
        <w:rPr>
          <w:rFonts w:hint="eastAsia" w:ascii="宋体" w:hAnsi="宋体" w:eastAsia="宋体" w:cs="宋体"/>
          <w:color w:val="auto"/>
          <w:highlight w:val="none"/>
        </w:rPr>
        <w:sectPr>
          <w:pgSz w:w="11910" w:h="16840"/>
          <w:pgMar w:top="1220" w:right="460" w:bottom="1060" w:left="800" w:header="0" w:footer="871" w:gutter="0"/>
          <w:pgNumType w:fmt="decimal"/>
          <w:cols w:space="720" w:num="1"/>
        </w:sectPr>
      </w:pPr>
    </w:p>
    <w:p>
      <w:pPr>
        <w:spacing w:before="87" w:line="393" w:lineRule="exact"/>
        <w:ind w:left="3044" w:right="0" w:firstLine="0"/>
        <w:jc w:val="left"/>
        <w:rPr>
          <w:rFonts w:hint="eastAsia" w:ascii="宋体" w:hAnsi="宋体" w:eastAsia="宋体" w:cs="宋体"/>
          <w:color w:val="auto"/>
          <w:sz w:val="24"/>
          <w:highlight w:val="none"/>
        </w:rPr>
      </w:pPr>
      <w:r>
        <w:rPr>
          <w:rFonts w:hint="eastAsia" w:ascii="宋体" w:hAnsi="宋体" w:eastAsia="宋体" w:cs="宋体"/>
          <w:color w:val="auto"/>
          <w:sz w:val="30"/>
          <w:highlight w:val="none"/>
        </w:rPr>
        <w:t xml:space="preserve">二、 </w:t>
      </w:r>
      <w:r>
        <w:rPr>
          <w:rFonts w:hint="eastAsia" w:ascii="宋体" w:hAnsi="宋体" w:eastAsia="宋体" w:cs="宋体"/>
          <w:color w:val="auto"/>
          <w:position w:val="1"/>
          <w:sz w:val="30"/>
          <w:highlight w:val="none"/>
        </w:rPr>
        <w:t>开标一览表</w:t>
      </w:r>
      <w:r>
        <w:rPr>
          <w:rFonts w:hint="eastAsia" w:ascii="宋体" w:hAnsi="宋体" w:eastAsia="宋体" w:cs="宋体"/>
          <w:color w:val="auto"/>
          <w:position w:val="1"/>
          <w:sz w:val="24"/>
          <w:highlight w:val="none"/>
        </w:rPr>
        <w:t>(人民币元)</w:t>
      </w:r>
    </w:p>
    <w:p>
      <w:pPr>
        <w:pStyle w:val="7"/>
        <w:spacing w:before="1" w:line="237" w:lineRule="auto"/>
        <w:ind w:left="349" w:right="9033"/>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pPr>
        <w:pStyle w:val="7"/>
        <w:spacing w:before="109"/>
        <w:ind w:left="352"/>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pStyle w:val="7"/>
        <w:spacing w:before="10" w:after="1"/>
        <w:rPr>
          <w:rFonts w:hint="eastAsia" w:ascii="宋体" w:hAnsi="宋体" w:eastAsia="宋体" w:cs="宋体"/>
          <w:color w:val="auto"/>
          <w:sz w:val="7"/>
          <w:highlight w:val="none"/>
        </w:rPr>
      </w:pPr>
    </w:p>
    <w:tbl>
      <w:tblPr>
        <w:tblStyle w:val="10"/>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258"/>
        <w:gridCol w:w="1826"/>
        <w:gridCol w:w="1300"/>
        <w:gridCol w:w="1100"/>
        <w:gridCol w:w="1162"/>
        <w:gridCol w:w="1288"/>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724" w:type="dxa"/>
            <w:tcBorders>
              <w:left w:val="single" w:color="000000" w:sz="4" w:space="0"/>
              <w:right w:val="single" w:color="000000" w:sz="4" w:space="0"/>
            </w:tcBorders>
            <w:noWrap w:val="0"/>
            <w:vAlign w:val="top"/>
          </w:tcPr>
          <w:p>
            <w:pPr>
              <w:pStyle w:val="12"/>
              <w:spacing w:before="1"/>
              <w:rPr>
                <w:rFonts w:hint="eastAsia" w:ascii="宋体" w:hAnsi="宋体" w:eastAsia="宋体" w:cs="宋体"/>
                <w:color w:val="auto"/>
                <w:sz w:val="23"/>
                <w:highlight w:val="none"/>
              </w:rPr>
            </w:pPr>
          </w:p>
          <w:p>
            <w:pPr>
              <w:pStyle w:val="12"/>
              <w:ind w:right="298"/>
              <w:jc w:val="righ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序号</w:t>
            </w:r>
          </w:p>
        </w:tc>
        <w:tc>
          <w:tcPr>
            <w:tcW w:w="1258"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9"/>
                <w:highlight w:val="none"/>
              </w:rPr>
            </w:pPr>
          </w:p>
          <w:p>
            <w:pPr>
              <w:pStyle w:val="12"/>
              <w:spacing w:before="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1826"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9"/>
                <w:highlight w:val="none"/>
              </w:rPr>
            </w:pPr>
          </w:p>
          <w:p>
            <w:pPr>
              <w:pStyle w:val="12"/>
              <w:spacing w:before="1"/>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货物规格型号</w:t>
            </w:r>
          </w:p>
        </w:tc>
        <w:tc>
          <w:tcPr>
            <w:tcW w:w="1300" w:type="dxa"/>
            <w:tcBorders>
              <w:top w:val="single" w:color="000000" w:sz="4" w:space="0"/>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8"/>
                <w:highlight w:val="none"/>
              </w:rPr>
            </w:pPr>
          </w:p>
          <w:p>
            <w:pPr>
              <w:pStyle w:val="12"/>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品牌(如有)</w:t>
            </w:r>
          </w:p>
        </w:tc>
        <w:tc>
          <w:tcPr>
            <w:tcW w:w="1100" w:type="dxa"/>
            <w:tcBorders>
              <w:top w:val="single" w:color="000000" w:sz="4" w:space="0"/>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8"/>
                <w:highlight w:val="none"/>
              </w:rPr>
            </w:pPr>
          </w:p>
          <w:p>
            <w:pPr>
              <w:pStyle w:val="12"/>
              <w:ind w:left="232"/>
              <w:rPr>
                <w:rFonts w:hint="eastAsia" w:ascii="宋体" w:hAnsi="宋体" w:eastAsia="宋体" w:cs="宋体"/>
                <w:color w:val="auto"/>
                <w:sz w:val="21"/>
                <w:highlight w:val="none"/>
              </w:rPr>
            </w:pPr>
            <w:r>
              <w:rPr>
                <w:rFonts w:hint="eastAsia" w:ascii="宋体" w:hAnsi="宋体" w:eastAsia="宋体" w:cs="宋体"/>
                <w:color w:val="auto"/>
                <w:sz w:val="21"/>
                <w:highlight w:val="none"/>
              </w:rPr>
              <w:t>数量</w:t>
            </w:r>
          </w:p>
        </w:tc>
        <w:tc>
          <w:tcPr>
            <w:tcW w:w="1162"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5"/>
                <w:highlight w:val="none"/>
              </w:rPr>
            </w:pPr>
          </w:p>
          <w:p>
            <w:pPr>
              <w:pStyle w:val="12"/>
              <w:ind w:left="119"/>
              <w:rPr>
                <w:rFonts w:hint="eastAsia" w:ascii="宋体" w:hAnsi="宋体" w:eastAsia="宋体" w:cs="宋体"/>
                <w:color w:val="auto"/>
                <w:sz w:val="21"/>
                <w:highlight w:val="none"/>
              </w:rPr>
            </w:pPr>
            <w:r>
              <w:rPr>
                <w:rFonts w:hint="eastAsia" w:ascii="宋体" w:hAnsi="宋体" w:eastAsia="宋体" w:cs="宋体"/>
                <w:color w:val="auto"/>
                <w:sz w:val="21"/>
                <w:highlight w:val="none"/>
              </w:rPr>
              <w:t>单价(元)</w:t>
            </w:r>
          </w:p>
        </w:tc>
        <w:tc>
          <w:tcPr>
            <w:tcW w:w="1288" w:type="dxa"/>
            <w:tcBorders>
              <w:left w:val="single" w:color="000000" w:sz="4" w:space="0"/>
              <w:right w:val="single" w:color="000000" w:sz="4" w:space="0"/>
            </w:tcBorders>
            <w:noWrap w:val="0"/>
            <w:vAlign w:val="top"/>
          </w:tcPr>
          <w:p>
            <w:pPr>
              <w:pStyle w:val="12"/>
              <w:spacing w:before="7"/>
              <w:rPr>
                <w:rFonts w:hint="eastAsia" w:ascii="宋体" w:hAnsi="宋体" w:eastAsia="宋体" w:cs="宋体"/>
                <w:color w:val="auto"/>
                <w:sz w:val="24"/>
                <w:highlight w:val="none"/>
              </w:rPr>
            </w:pPr>
          </w:p>
          <w:p>
            <w:pPr>
              <w:pStyle w:val="12"/>
              <w:spacing w:before="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总价（元）</w:t>
            </w:r>
          </w:p>
        </w:tc>
        <w:tc>
          <w:tcPr>
            <w:tcW w:w="1165"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3"/>
                <w:highlight w:val="none"/>
              </w:rPr>
            </w:pPr>
          </w:p>
          <w:p>
            <w:pPr>
              <w:pStyle w:val="12"/>
              <w:spacing w:before="1"/>
              <w:ind w:left="124"/>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24" w:type="dxa"/>
            <w:tcBorders>
              <w:left w:val="single" w:color="000000" w:sz="4" w:space="0"/>
              <w:right w:val="single" w:color="000000" w:sz="4" w:space="0"/>
            </w:tcBorders>
            <w:noWrap w:val="0"/>
            <w:vAlign w:val="top"/>
          </w:tcPr>
          <w:p>
            <w:pPr>
              <w:pStyle w:val="12"/>
              <w:spacing w:before="102"/>
              <w:ind w:left="132"/>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4" w:type="dxa"/>
            <w:tcBorders>
              <w:left w:val="single" w:color="000000" w:sz="4" w:space="0"/>
              <w:right w:val="single" w:color="000000" w:sz="4" w:space="0"/>
            </w:tcBorders>
            <w:noWrap w:val="0"/>
            <w:vAlign w:val="top"/>
          </w:tcPr>
          <w:p>
            <w:pPr>
              <w:pStyle w:val="12"/>
              <w:spacing w:before="107"/>
              <w:ind w:left="118"/>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4" w:type="dxa"/>
            <w:tcBorders>
              <w:left w:val="single" w:color="000000" w:sz="4" w:space="0"/>
              <w:right w:val="single" w:color="000000" w:sz="4" w:space="0"/>
            </w:tcBorders>
            <w:noWrap w:val="0"/>
            <w:vAlign w:val="top"/>
          </w:tcPr>
          <w:p>
            <w:pPr>
              <w:pStyle w:val="12"/>
              <w:spacing w:before="67" w:line="250" w:lineRule="exact"/>
              <w:ind w:right="282"/>
              <w:jc w:val="righ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823" w:type="dxa"/>
            <w:gridSpan w:val="8"/>
            <w:tcBorders>
              <w:left w:val="single" w:color="000000" w:sz="4" w:space="0"/>
              <w:right w:val="single" w:color="000000" w:sz="4" w:space="0"/>
            </w:tcBorders>
            <w:noWrap w:val="0"/>
            <w:vAlign w:val="top"/>
          </w:tcPr>
          <w:p>
            <w:pPr>
              <w:pStyle w:val="12"/>
              <w:tabs>
                <w:tab w:val="left" w:pos="5646"/>
                <w:tab w:val="left" w:pos="6814"/>
              </w:tabs>
              <w:spacing w:before="41"/>
              <w:ind w:left="113"/>
              <w:rPr>
                <w:rFonts w:hint="eastAsia" w:ascii="宋体" w:hAnsi="宋体" w:eastAsia="宋体" w:cs="宋体"/>
                <w:color w:val="auto"/>
                <w:sz w:val="21"/>
                <w:highlight w:val="none"/>
              </w:rPr>
            </w:pPr>
            <w:r>
              <w:rPr>
                <w:rFonts w:hint="eastAsia" w:ascii="宋体" w:hAnsi="宋体" w:eastAsia="宋体" w:cs="宋体"/>
                <w:color w:val="auto"/>
                <w:spacing w:val="26"/>
                <w:sz w:val="21"/>
                <w:highlight w:val="none"/>
              </w:rPr>
              <w:t>报</w:t>
            </w:r>
            <w:r>
              <w:rPr>
                <w:rFonts w:hint="eastAsia" w:ascii="宋体" w:hAnsi="宋体" w:eastAsia="宋体" w:cs="宋体"/>
                <w:color w:val="auto"/>
                <w:spacing w:val="28"/>
                <w:sz w:val="21"/>
                <w:highlight w:val="none"/>
              </w:rPr>
              <w:t>价</w:t>
            </w:r>
            <w:r>
              <w:rPr>
                <w:rFonts w:hint="eastAsia" w:ascii="宋体" w:hAnsi="宋体" w:eastAsia="宋体" w:cs="宋体"/>
                <w:color w:val="auto"/>
                <w:spacing w:val="26"/>
                <w:sz w:val="21"/>
                <w:highlight w:val="none"/>
              </w:rPr>
              <w:t>合</w:t>
            </w:r>
            <w:r>
              <w:rPr>
                <w:rFonts w:hint="eastAsia" w:ascii="宋体" w:hAnsi="宋体" w:eastAsia="宋体" w:cs="宋体"/>
                <w:color w:val="auto"/>
                <w:spacing w:val="28"/>
                <w:sz w:val="21"/>
                <w:highlight w:val="none"/>
              </w:rPr>
              <w:t>计</w:t>
            </w:r>
            <w:r>
              <w:rPr>
                <w:rFonts w:hint="eastAsia" w:ascii="宋体" w:hAnsi="宋体" w:eastAsia="宋体" w:cs="宋体"/>
                <w:color w:val="auto"/>
                <w:spacing w:val="13"/>
                <w:sz w:val="21"/>
                <w:highlight w:val="none"/>
              </w:rPr>
              <w:t>(</w:t>
            </w:r>
            <w:r>
              <w:rPr>
                <w:rFonts w:hint="eastAsia" w:ascii="宋体" w:hAnsi="宋体" w:eastAsia="宋体" w:cs="宋体"/>
                <w:color w:val="auto"/>
                <w:spacing w:val="26"/>
                <w:sz w:val="21"/>
                <w:highlight w:val="none"/>
              </w:rPr>
              <w:t>包</w:t>
            </w:r>
            <w:r>
              <w:rPr>
                <w:rFonts w:hint="eastAsia" w:ascii="宋体" w:hAnsi="宋体" w:eastAsia="宋体" w:cs="宋体"/>
                <w:color w:val="auto"/>
                <w:spacing w:val="28"/>
                <w:sz w:val="21"/>
                <w:highlight w:val="none"/>
              </w:rPr>
              <w:t>含</w:t>
            </w:r>
            <w:r>
              <w:rPr>
                <w:rFonts w:hint="eastAsia" w:ascii="宋体" w:hAnsi="宋体" w:eastAsia="宋体" w:cs="宋体"/>
                <w:color w:val="auto"/>
                <w:spacing w:val="26"/>
                <w:sz w:val="21"/>
                <w:highlight w:val="none"/>
              </w:rPr>
              <w:t>税费</w:t>
            </w:r>
            <w:r>
              <w:rPr>
                <w:rFonts w:hint="eastAsia" w:ascii="宋体" w:hAnsi="宋体" w:eastAsia="宋体" w:cs="宋体"/>
                <w:color w:val="auto"/>
                <w:spacing w:val="28"/>
                <w:sz w:val="21"/>
                <w:highlight w:val="none"/>
              </w:rPr>
              <w:t>等</w:t>
            </w:r>
            <w:r>
              <w:rPr>
                <w:rFonts w:hint="eastAsia" w:ascii="宋体" w:hAnsi="宋体" w:eastAsia="宋体" w:cs="宋体"/>
                <w:color w:val="auto"/>
                <w:spacing w:val="26"/>
                <w:sz w:val="21"/>
                <w:highlight w:val="none"/>
              </w:rPr>
              <w:t>所有</w:t>
            </w:r>
            <w:r>
              <w:rPr>
                <w:rFonts w:hint="eastAsia" w:ascii="宋体" w:hAnsi="宋体" w:eastAsia="宋体" w:cs="宋体"/>
                <w:color w:val="auto"/>
                <w:spacing w:val="28"/>
                <w:sz w:val="21"/>
                <w:highlight w:val="none"/>
              </w:rPr>
              <w:t>费</w:t>
            </w:r>
            <w:r>
              <w:rPr>
                <w:rFonts w:hint="eastAsia" w:ascii="宋体" w:hAnsi="宋体" w:eastAsia="宋体" w:cs="宋体"/>
                <w:color w:val="auto"/>
                <w:spacing w:val="26"/>
                <w:sz w:val="21"/>
                <w:highlight w:val="none"/>
              </w:rPr>
              <w:t>用</w:t>
            </w:r>
            <w:r>
              <w:rPr>
                <w:rFonts w:hint="eastAsia" w:ascii="宋体" w:hAnsi="宋体" w:eastAsia="宋体" w:cs="宋体"/>
                <w:color w:val="auto"/>
                <w:spacing w:val="6"/>
                <w:sz w:val="21"/>
                <w:highlight w:val="none"/>
              </w:rPr>
              <w:t>)：</w:t>
            </w:r>
            <w:r>
              <w:rPr>
                <w:rFonts w:hint="eastAsia" w:ascii="宋体" w:hAnsi="宋体" w:eastAsia="宋体" w:cs="宋体"/>
                <w:color w:val="auto"/>
                <w:spacing w:val="-83"/>
                <w:sz w:val="21"/>
                <w:highlight w:val="none"/>
              </w:rPr>
              <w:t xml:space="preserve"> </w:t>
            </w:r>
            <w:r>
              <w:rPr>
                <w:rFonts w:hint="eastAsia" w:ascii="宋体" w:hAnsi="宋体" w:eastAsia="宋体" w:cs="宋体"/>
                <w:color w:val="auto"/>
                <w:spacing w:val="15"/>
                <w:sz w:val="21"/>
                <w:highlight w:val="none"/>
              </w:rPr>
              <w:t>(</w:t>
            </w:r>
            <w:r>
              <w:rPr>
                <w:rFonts w:hint="eastAsia" w:ascii="宋体" w:hAnsi="宋体" w:eastAsia="宋体" w:cs="宋体"/>
                <w:color w:val="auto"/>
                <w:spacing w:val="26"/>
                <w:sz w:val="21"/>
                <w:highlight w:val="none"/>
              </w:rPr>
              <w:t>大写</w:t>
            </w:r>
            <w:r>
              <w:rPr>
                <w:rFonts w:hint="eastAsia" w:ascii="宋体" w:hAnsi="宋体" w:eastAsia="宋体" w:cs="宋体"/>
                <w:color w:val="auto"/>
                <w:spacing w:val="13"/>
                <w:sz w:val="21"/>
                <w:highlight w:val="none"/>
              </w:rPr>
              <w:t>)</w:t>
            </w:r>
            <w:r>
              <w:rPr>
                <w:rFonts w:hint="eastAsia" w:ascii="宋体" w:hAnsi="宋体" w:eastAsia="宋体" w:cs="宋体"/>
                <w:color w:val="auto"/>
                <w:spacing w:val="26"/>
                <w:sz w:val="21"/>
                <w:highlight w:val="none"/>
              </w:rPr>
              <w:t>人</w:t>
            </w:r>
            <w:r>
              <w:rPr>
                <w:rFonts w:hint="eastAsia" w:ascii="宋体" w:hAnsi="宋体" w:eastAsia="宋体" w:cs="宋体"/>
                <w:color w:val="auto"/>
                <w:spacing w:val="28"/>
                <w:sz w:val="21"/>
                <w:highlight w:val="none"/>
              </w:rPr>
              <w:t>民</w:t>
            </w:r>
            <w:r>
              <w:rPr>
                <w:rFonts w:hint="eastAsia" w:ascii="宋体" w:hAnsi="宋体" w:eastAsia="宋体" w:cs="宋体"/>
                <w:color w:val="auto"/>
                <w:spacing w:val="25"/>
                <w:sz w:val="21"/>
                <w:highlight w:val="none"/>
              </w:rPr>
              <w:t>币</w:t>
            </w:r>
            <w:r>
              <w:rPr>
                <w:rFonts w:hint="eastAsia" w:ascii="宋体" w:hAnsi="宋体" w:eastAsia="宋体" w:cs="宋体"/>
                <w:color w:val="auto"/>
                <w:spacing w:val="25"/>
                <w:sz w:val="21"/>
                <w:highlight w:val="none"/>
                <w:u w:val="single"/>
              </w:rPr>
              <w:t xml:space="preserve"> </w:t>
            </w:r>
            <w:r>
              <w:rPr>
                <w:rFonts w:hint="eastAsia" w:ascii="宋体" w:hAnsi="宋体" w:eastAsia="宋体" w:cs="宋体"/>
                <w:color w:val="auto"/>
                <w:spacing w:val="25"/>
                <w:sz w:val="21"/>
                <w:highlight w:val="none"/>
                <w:u w:val="single"/>
              </w:rPr>
              <w:tab/>
            </w:r>
            <w:r>
              <w:rPr>
                <w:rFonts w:hint="eastAsia" w:ascii="宋体" w:hAnsi="宋体" w:eastAsia="宋体" w:cs="宋体"/>
                <w:color w:val="auto"/>
                <w:spacing w:val="15"/>
                <w:sz w:val="21"/>
                <w:highlight w:val="none"/>
              </w:rPr>
              <w:t>(</w:t>
            </w:r>
            <w:r>
              <w:rPr>
                <w:rFonts w:hint="eastAsia" w:ascii="宋体" w:hAnsi="宋体" w:eastAsia="宋体" w:cs="宋体"/>
                <w:color w:val="auto"/>
                <w:spacing w:val="26"/>
                <w:sz w:val="21"/>
                <w:highlight w:val="none"/>
              </w:rPr>
              <w:t>小</w:t>
            </w:r>
            <w:r>
              <w:rPr>
                <w:rFonts w:hint="eastAsia" w:ascii="宋体" w:hAnsi="宋体" w:eastAsia="宋体" w:cs="宋体"/>
                <w:color w:val="auto"/>
                <w:spacing w:val="28"/>
                <w:sz w:val="21"/>
                <w:highlight w:val="none"/>
              </w:rPr>
              <w:t>写</w:t>
            </w:r>
            <w:r>
              <w:rPr>
                <w:rFonts w:hint="eastAsia" w:ascii="宋体" w:hAnsi="宋体" w:eastAsia="宋体" w:cs="宋体"/>
                <w:color w:val="auto"/>
                <w:sz w:val="21"/>
                <w:highlight w:val="none"/>
              </w:rPr>
              <w:t>：</w:t>
            </w:r>
            <w:r>
              <w:rPr>
                <w:rFonts w:hint="eastAsia" w:ascii="宋体" w:hAnsi="宋体" w:eastAsia="宋体" w:cs="宋体"/>
                <w:color w:val="auto"/>
                <w:sz w:val="21"/>
                <w:highlight w:val="none"/>
              </w:rPr>
              <w:tab/>
            </w:r>
            <w:r>
              <w:rPr>
                <w:rFonts w:hint="eastAsia" w:ascii="宋体" w:hAnsi="宋体" w:eastAsia="宋体" w:cs="宋体"/>
                <w:color w:val="auto"/>
                <w:spacing w:val="26"/>
                <w:sz w:val="21"/>
                <w:highlight w:val="none"/>
              </w:rPr>
              <w:t>元</w:t>
            </w:r>
            <w:r>
              <w:rPr>
                <w:rFonts w:hint="eastAsia" w:ascii="宋体" w:hAnsi="宋体" w:eastAsia="宋体" w:cs="宋体"/>
                <w:color w:val="auto"/>
                <w:sz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823" w:type="dxa"/>
            <w:gridSpan w:val="8"/>
            <w:tcBorders>
              <w:left w:val="single" w:color="000000" w:sz="4" w:space="0"/>
              <w:right w:val="single" w:color="000000" w:sz="4" w:space="0"/>
            </w:tcBorders>
            <w:noWrap w:val="0"/>
            <w:vAlign w:val="top"/>
          </w:tcPr>
          <w:p>
            <w:pPr>
              <w:pStyle w:val="12"/>
              <w:spacing w:before="42"/>
              <w:ind w:left="113"/>
              <w:rPr>
                <w:rFonts w:hint="eastAsia" w:ascii="宋体" w:hAnsi="宋体" w:eastAsia="宋体" w:cs="宋体"/>
                <w:color w:val="auto"/>
                <w:sz w:val="21"/>
                <w:highlight w:val="none"/>
              </w:rPr>
            </w:pPr>
            <w:r>
              <w:rPr>
                <w:rFonts w:hint="eastAsia" w:ascii="宋体" w:hAnsi="宋体" w:eastAsia="宋体" w:cs="宋体"/>
                <w:color w:val="auto"/>
                <w:sz w:val="21"/>
                <w:highlight w:val="none"/>
              </w:rPr>
              <w:t>优惠及其它（如有）：</w:t>
            </w:r>
          </w:p>
        </w:tc>
      </w:tr>
    </w:tbl>
    <w:p>
      <w:pPr>
        <w:pStyle w:val="7"/>
        <w:spacing w:before="34"/>
        <w:ind w:left="834"/>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7"/>
        <w:spacing w:before="117" w:line="290" w:lineRule="auto"/>
        <w:ind w:left="347" w:right="886" w:firstLine="496"/>
        <w:rPr>
          <w:rFonts w:hint="eastAsia" w:ascii="宋体" w:hAnsi="宋体" w:eastAsia="宋体" w:cs="宋体"/>
          <w:color w:val="auto"/>
          <w:highlight w:val="none"/>
        </w:rPr>
      </w:pPr>
      <w:r>
        <w:rPr>
          <w:rFonts w:hint="eastAsia" w:ascii="宋体" w:hAnsi="宋体" w:eastAsia="宋体" w:cs="宋体"/>
          <w:color w:val="auto"/>
          <w:spacing w:val="-10"/>
          <w:highlight w:val="none"/>
        </w:rPr>
        <w:t>1</w:t>
      </w:r>
      <w:r>
        <w:rPr>
          <w:rFonts w:hint="eastAsia" w:ascii="宋体" w:hAnsi="宋体" w:eastAsia="宋体" w:cs="宋体"/>
          <w:color w:val="auto"/>
          <w:spacing w:val="-24"/>
          <w:highlight w:val="none"/>
        </w:rPr>
        <w:t>、</w:t>
      </w:r>
      <w:r>
        <w:rPr>
          <w:rFonts w:hint="eastAsia" w:ascii="宋体" w:hAnsi="宋体" w:eastAsia="宋体" w:cs="宋体"/>
          <w:color w:val="auto"/>
          <w:highlight w:val="none"/>
        </w:rPr>
        <w:t>投标人需按本表格式填写，不得自行更改，必须加盖投标人有效电子公章，否则其投标作无效标处理</w:t>
      </w:r>
      <w:r>
        <w:rPr>
          <w:rFonts w:hint="eastAsia" w:ascii="宋体" w:hAnsi="宋体" w:eastAsia="宋体" w:cs="宋体"/>
          <w:color w:val="auto"/>
          <w:spacing w:val="-9"/>
          <w:highlight w:val="none"/>
        </w:rPr>
        <w:t>。</w:t>
      </w:r>
    </w:p>
    <w:p>
      <w:pPr>
        <w:pStyle w:val="7"/>
        <w:spacing w:before="24" w:line="280" w:lineRule="auto"/>
        <w:ind w:left="354" w:right="852" w:firstLine="482"/>
        <w:rPr>
          <w:rFonts w:hint="eastAsia" w:ascii="宋体" w:hAnsi="宋体" w:eastAsia="宋体" w:cs="宋体"/>
          <w:color w:val="auto"/>
          <w:highlight w:val="none"/>
        </w:rPr>
      </w:pPr>
      <w:r>
        <w:rPr>
          <w:rFonts w:hint="eastAsia" w:ascii="宋体" w:hAnsi="宋体" w:eastAsia="宋体" w:cs="宋体"/>
          <w:color w:val="auto"/>
          <w:spacing w:val="-10"/>
          <w:highlight w:val="none"/>
        </w:rPr>
        <w:t>2</w:t>
      </w:r>
      <w:r>
        <w:rPr>
          <w:rFonts w:hint="eastAsia" w:ascii="宋体" w:hAnsi="宋体" w:eastAsia="宋体" w:cs="宋体"/>
          <w:color w:val="auto"/>
          <w:spacing w:val="-21"/>
          <w:highlight w:val="none"/>
        </w:rPr>
        <w:t>、</w:t>
      </w:r>
      <w:r>
        <w:rPr>
          <w:rFonts w:hint="eastAsia" w:ascii="宋体" w:hAnsi="宋体" w:eastAsia="宋体" w:cs="宋体"/>
          <w:color w:val="auto"/>
          <w:highlight w:val="none"/>
        </w:rPr>
        <w:t>以上表格要求细分项目及报价，在“具体货物内容”一栏中，填写具体货物，否则其投标作无效标处理。</w:t>
      </w:r>
    </w:p>
    <w:p>
      <w:pPr>
        <w:pStyle w:val="7"/>
        <w:spacing w:before="1" w:line="280" w:lineRule="auto"/>
        <w:ind w:left="359" w:right="864" w:firstLine="480"/>
        <w:rPr>
          <w:rFonts w:hint="eastAsia" w:ascii="宋体" w:hAnsi="宋体" w:eastAsia="宋体" w:cs="宋体"/>
          <w:color w:val="auto"/>
          <w:highlight w:val="none"/>
        </w:rPr>
      </w:pP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highlight w:val="none"/>
        </w:rPr>
        <w:t>特别提示：采购机构将对项目名称和项目编号，中标供应商名称、地址和中标金额， 主要中标标的的名称、规格型号、数量、单价、货物要求等予以公示。</w:t>
      </w:r>
    </w:p>
    <w:p>
      <w:pPr>
        <w:pStyle w:val="7"/>
        <w:spacing w:line="278" w:lineRule="auto"/>
        <w:ind w:left="340" w:right="783" w:firstLine="499"/>
        <w:rPr>
          <w:rFonts w:hint="eastAsia" w:ascii="宋体" w:hAnsi="宋体" w:eastAsia="宋体" w:cs="宋体"/>
          <w:color w:val="auto"/>
          <w:highlight w:val="none"/>
        </w:rPr>
      </w:pPr>
      <w:r>
        <w:rPr>
          <w:rFonts w:hint="eastAsia" w:ascii="宋体" w:hAnsi="宋体" w:eastAsia="宋体" w:cs="宋体"/>
          <w:color w:val="auto"/>
          <w:spacing w:val="-3"/>
          <w:highlight w:val="none"/>
        </w:rPr>
        <w:t>4</w:t>
      </w:r>
      <w:r>
        <w:rPr>
          <w:rFonts w:hint="eastAsia" w:ascii="宋体" w:hAnsi="宋体" w:eastAsia="宋体" w:cs="宋体"/>
          <w:color w:val="auto"/>
          <w:spacing w:val="-8"/>
          <w:highlight w:val="none"/>
        </w:rPr>
        <w:t>、</w:t>
      </w:r>
      <w:r>
        <w:rPr>
          <w:rFonts w:hint="eastAsia" w:ascii="宋体" w:hAnsi="宋体" w:eastAsia="宋体" w:cs="宋体"/>
          <w:color w:val="auto"/>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
        <w:spacing w:before="11"/>
        <w:rPr>
          <w:rFonts w:hint="eastAsia" w:ascii="宋体" w:hAnsi="宋体" w:eastAsia="宋体" w:cs="宋体"/>
          <w:color w:val="auto"/>
          <w:sz w:val="25"/>
          <w:highlight w:val="none"/>
        </w:rPr>
      </w:pPr>
    </w:p>
    <w:p>
      <w:pPr>
        <w:pStyle w:val="7"/>
        <w:tabs>
          <w:tab w:val="left" w:pos="6356"/>
          <w:tab w:val="left" w:pos="7326"/>
        </w:tabs>
        <w:spacing w:line="343" w:lineRule="auto"/>
        <w:ind w:left="5392" w:right="2633"/>
        <w:rPr>
          <w:rFonts w:hint="eastAsia" w:ascii="宋体" w:hAnsi="宋体" w:eastAsia="宋体" w:cs="宋体"/>
          <w:color w:val="auto"/>
          <w:highlight w:val="none"/>
        </w:rPr>
      </w:pPr>
      <w:r>
        <w:rPr>
          <w:rFonts w:hint="eastAsia" w:ascii="宋体" w:hAnsi="宋体" w:eastAsia="宋体" w:cs="宋体"/>
          <w:color w:val="auto"/>
          <w:spacing w:val="-5"/>
          <w:highlight w:val="none"/>
        </w:rPr>
        <w:t>投</w:t>
      </w:r>
      <w:r>
        <w:rPr>
          <w:rFonts w:hint="eastAsia" w:ascii="宋体" w:hAnsi="宋体" w:eastAsia="宋体" w:cs="宋体"/>
          <w:color w:val="auto"/>
          <w:spacing w:val="-3"/>
          <w:highlight w:val="none"/>
        </w:rPr>
        <w:t>标人名</w:t>
      </w:r>
      <w:r>
        <w:rPr>
          <w:rFonts w:hint="eastAsia" w:ascii="宋体" w:hAnsi="宋体" w:eastAsia="宋体" w:cs="宋体"/>
          <w:color w:val="auto"/>
          <w:highlight w:val="none"/>
        </w:rPr>
        <w:t>称(</w:t>
      </w:r>
      <w:r>
        <w:rPr>
          <w:rFonts w:hint="eastAsia" w:ascii="宋体" w:hAnsi="宋体" w:eastAsia="宋体" w:cs="宋体"/>
          <w:color w:val="auto"/>
          <w:spacing w:val="-3"/>
          <w:highlight w:val="none"/>
        </w:rPr>
        <w:t>电子签章</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43"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pStyle w:val="4"/>
        <w:spacing w:before="33"/>
        <w:ind w:left="573"/>
        <w:rPr>
          <w:rFonts w:hint="eastAsia" w:ascii="宋体" w:hAnsi="宋体" w:eastAsia="宋体" w:cs="宋体"/>
          <w:color w:val="auto"/>
          <w:highlight w:val="none"/>
        </w:rPr>
      </w:pPr>
      <w:r>
        <w:rPr>
          <w:rFonts w:hint="eastAsia" w:ascii="宋体" w:hAnsi="宋体" w:eastAsia="宋体" w:cs="宋体"/>
          <w:color w:val="auto"/>
          <w:highlight w:val="none"/>
        </w:rPr>
        <w:t>三、中小企业声明函</w:t>
      </w:r>
    </w:p>
    <w:p>
      <w:pPr>
        <w:pStyle w:val="7"/>
        <w:rPr>
          <w:rFonts w:hint="eastAsia" w:ascii="宋体" w:hAnsi="宋体" w:eastAsia="宋体" w:cs="宋体"/>
          <w:color w:val="auto"/>
          <w:sz w:val="32"/>
          <w:highlight w:val="none"/>
        </w:rPr>
      </w:pPr>
    </w:p>
    <w:p>
      <w:pPr>
        <w:pStyle w:val="7"/>
        <w:ind w:left="575" w:right="905"/>
        <w:jc w:val="center"/>
        <w:rPr>
          <w:rFonts w:hint="eastAsia" w:ascii="宋体" w:hAnsi="宋体" w:eastAsia="宋体" w:cs="宋体"/>
          <w:color w:val="auto"/>
          <w:highlight w:val="none"/>
        </w:rPr>
      </w:pPr>
      <w:r>
        <w:rPr>
          <w:rFonts w:hint="eastAsia" w:ascii="宋体" w:hAnsi="宋体" w:eastAsia="宋体" w:cs="宋体"/>
          <w:color w:val="auto"/>
          <w:highlight w:val="none"/>
        </w:rPr>
        <w:t>（中小微企业适用）</w:t>
      </w:r>
    </w:p>
    <w:p>
      <w:pPr>
        <w:pStyle w:val="7"/>
        <w:spacing w:before="158"/>
        <w:ind w:left="812"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 2020</w:t>
      </w:r>
    </w:p>
    <w:p>
      <w:pPr>
        <w:pStyle w:val="7"/>
        <w:spacing w:before="158"/>
        <w:ind w:left="812"/>
        <w:jc w:val="both"/>
        <w:rPr>
          <w:rFonts w:hint="eastAsia" w:ascii="宋体" w:hAnsi="宋体" w:eastAsia="宋体" w:cs="宋体"/>
          <w:color w:val="auto"/>
          <w:highlight w:val="none"/>
        </w:rPr>
      </w:pPr>
      <w:r>
        <w:rPr>
          <w:rFonts w:hint="eastAsia" w:ascii="宋体" w:hAnsi="宋体" w:eastAsia="宋体" w:cs="宋体"/>
          <w:color w:val="auto"/>
          <w:highlight w:val="none"/>
        </w:rPr>
        <w:t>﹞ 46 号）的规定， 本公司（联合体） 参加</w:t>
      </w:r>
      <w:r>
        <w:rPr>
          <w:rFonts w:hint="eastAsia" w:ascii="宋体" w:hAnsi="宋体" w:eastAsia="宋体" w:cs="宋体"/>
          <w:color w:val="auto"/>
          <w:highlight w:val="none"/>
          <w:u w:val="single"/>
        </w:rPr>
        <w:t>（单位名称）</w:t>
      </w:r>
      <w:r>
        <w:rPr>
          <w:rFonts w:hint="eastAsia" w:ascii="宋体" w:hAnsi="宋体" w:eastAsia="宋体" w:cs="宋体"/>
          <w:color w:val="auto"/>
          <w:spacing w:val="-24"/>
          <w:highlight w:val="none"/>
        </w:rPr>
        <w:t xml:space="preserve"> 的</w:t>
      </w:r>
      <w:r>
        <w:rPr>
          <w:rFonts w:hint="eastAsia" w:ascii="宋体" w:hAnsi="宋体" w:eastAsia="宋体" w:cs="宋体"/>
          <w:color w:val="auto"/>
          <w:highlight w:val="none"/>
          <w:u w:val="single"/>
        </w:rPr>
        <w:t>（项目名称）</w:t>
      </w:r>
      <w:r>
        <w:rPr>
          <w:rFonts w:hint="eastAsia" w:ascii="宋体" w:hAnsi="宋体" w:eastAsia="宋体" w:cs="宋体"/>
          <w:color w:val="auto"/>
          <w:spacing w:val="-10"/>
          <w:highlight w:val="none"/>
        </w:rPr>
        <w:t xml:space="preserve"> </w:t>
      </w:r>
      <w:r>
        <w:rPr>
          <w:rFonts w:hint="eastAsia" w:ascii="宋体" w:hAnsi="宋体" w:eastAsia="宋体" w:cs="宋体"/>
          <w:color w:val="auto"/>
          <w:highlight w:val="none"/>
        </w:rPr>
        <w:t>采购活动， 提供的货物全部由符合政策要求的中小企业制造。相关企业（含联合体中的中小企业、 签订分包意向协议的中小企业）的具体情况如下：</w:t>
      </w:r>
    </w:p>
    <w:p>
      <w:pPr>
        <w:pStyle w:val="13"/>
        <w:numPr>
          <w:ilvl w:val="0"/>
          <w:numId w:val="15"/>
        </w:numPr>
        <w:tabs>
          <w:tab w:val="left" w:pos="1135"/>
        </w:tabs>
        <w:spacing w:before="0" w:after="0" w:line="307" w:lineRule="exact"/>
        <w:ind w:left="1134" w:right="0" w:hanging="32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（采购文件中明确的所属行业）行业</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企业名称）</w:t>
      </w:r>
    </w:p>
    <w:p>
      <w:pPr>
        <w:pStyle w:val="7"/>
        <w:tabs>
          <w:tab w:val="left" w:pos="2372"/>
          <w:tab w:val="left" w:pos="7292"/>
        </w:tabs>
        <w:spacing w:before="158" w:line="364" w:lineRule="auto"/>
        <w:ind w:left="332" w:right="624"/>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
          <w:highlight w:val="none"/>
        </w:rPr>
        <w:t>万元</w:t>
      </w:r>
      <w:r>
        <w:rPr>
          <w:rFonts w:hint="eastAsia" w:ascii="宋体" w:hAnsi="宋体" w:eastAsia="宋体" w:cs="宋体"/>
          <w:color w:val="auto"/>
          <w:position w:val="8"/>
          <w:sz w:val="15"/>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w:t>
      </w:r>
      <w:r>
        <w:rPr>
          <w:rFonts w:hint="eastAsia" w:ascii="宋体" w:hAnsi="宋体" w:eastAsia="宋体" w:cs="宋体"/>
          <w:color w:val="auto"/>
          <w:spacing w:val="-16"/>
          <w:highlight w:val="none"/>
          <w:u w:val="single"/>
        </w:rPr>
        <w:t>、</w:t>
      </w:r>
      <w:r>
        <w:rPr>
          <w:rFonts w:hint="eastAsia" w:ascii="宋体" w:hAnsi="宋体" w:eastAsia="宋体" w:cs="宋体"/>
          <w:color w:val="auto"/>
          <w:spacing w:val="-220"/>
          <w:highlight w:val="none"/>
          <w:u w:val="single"/>
        </w:rPr>
        <w:t>小</w:t>
      </w:r>
      <w:r>
        <w:rPr>
          <w:rFonts w:hint="eastAsia" w:ascii="宋体" w:hAnsi="宋体" w:eastAsia="宋体" w:cs="宋体"/>
          <w:color w:val="auto"/>
          <w:highlight w:val="none"/>
          <w:u w:val="single"/>
        </w:rPr>
        <w:t>型企业、 微型企业</w:t>
      </w:r>
      <w:r>
        <w:rPr>
          <w:rFonts w:hint="eastAsia" w:ascii="宋体" w:hAnsi="宋体" w:eastAsia="宋体" w:cs="宋体"/>
          <w:color w:val="auto"/>
          <w:highlight w:val="none"/>
        </w:rPr>
        <w:t>）；</w:t>
      </w:r>
    </w:p>
    <w:p>
      <w:pPr>
        <w:pStyle w:val="13"/>
        <w:numPr>
          <w:ilvl w:val="0"/>
          <w:numId w:val="15"/>
        </w:numPr>
        <w:tabs>
          <w:tab w:val="left" w:pos="1135"/>
        </w:tabs>
        <w:spacing w:before="0" w:after="0" w:line="306" w:lineRule="exact"/>
        <w:ind w:left="1134" w:right="0" w:hanging="32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 企业名称）</w:t>
      </w:r>
    </w:p>
    <w:p>
      <w:pPr>
        <w:pStyle w:val="7"/>
        <w:tabs>
          <w:tab w:val="left" w:pos="2360"/>
          <w:tab w:val="left" w:pos="4508"/>
        </w:tabs>
        <w:spacing w:before="158" w:line="364" w:lineRule="auto"/>
        <w:ind w:left="332" w:right="665"/>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人</w:t>
      </w:r>
      <w:r>
        <w:rPr>
          <w:rFonts w:hint="eastAsia" w:ascii="宋体" w:hAnsi="宋体" w:eastAsia="宋体" w:cs="宋体"/>
          <w:color w:val="auto"/>
          <w:spacing w:val="-12"/>
          <w:highlight w:val="none"/>
        </w:rPr>
        <w:t>，</w:t>
      </w:r>
      <w:r>
        <w:rPr>
          <w:rFonts w:hint="eastAsia" w:ascii="宋体" w:hAnsi="宋体" w:eastAsia="宋体" w:cs="宋体"/>
          <w:color w:val="auto"/>
          <w:highlight w:val="none"/>
        </w:rPr>
        <w:t>营业收为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万元</w:t>
      </w:r>
      <w:r>
        <w:rPr>
          <w:rFonts w:hint="eastAsia" w:ascii="宋体" w:hAnsi="宋体" w:eastAsia="宋体" w:cs="宋体"/>
          <w:color w:val="auto"/>
          <w:spacing w:val="-12"/>
          <w:highlight w:val="none"/>
        </w:rPr>
        <w:t>，</w:t>
      </w:r>
      <w:r>
        <w:rPr>
          <w:rFonts w:hint="eastAsia" w:ascii="宋体" w:hAnsi="宋体" w:eastAsia="宋体" w:cs="宋体"/>
          <w:color w:val="auto"/>
          <w:highlight w:val="none"/>
        </w:rPr>
        <w:t>资产总额为</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rPr>
        <w:t>万元</w:t>
      </w:r>
      <w:r>
        <w:rPr>
          <w:rFonts w:hint="eastAsia" w:ascii="宋体" w:hAnsi="宋体" w:eastAsia="宋体" w:cs="宋体"/>
          <w:color w:val="auto"/>
          <w:spacing w:val="-12"/>
          <w:highlight w:val="none"/>
        </w:rPr>
        <w:t>，</w:t>
      </w:r>
      <w:r>
        <w:rPr>
          <w:rFonts w:hint="eastAsia" w:ascii="宋体" w:hAnsi="宋体" w:eastAsia="宋体" w:cs="宋体"/>
          <w:color w:val="auto"/>
          <w:highlight w:val="none"/>
        </w:rPr>
        <w:t>属</w:t>
      </w:r>
      <w:r>
        <w:rPr>
          <w:rFonts w:hint="eastAsia" w:ascii="宋体" w:hAnsi="宋体" w:eastAsia="宋体" w:cs="宋体"/>
          <w:color w:val="auto"/>
          <w:spacing w:val="-12"/>
          <w:highlight w:val="none"/>
        </w:rPr>
        <w:t>于</w:t>
      </w:r>
      <w:r>
        <w:rPr>
          <w:rFonts w:hint="eastAsia" w:ascii="宋体" w:hAnsi="宋体" w:eastAsia="宋体" w:cs="宋体"/>
          <w:color w:val="auto"/>
          <w:spacing w:val="-3"/>
          <w:highlight w:val="none"/>
          <w:u w:val="single"/>
        </w:rPr>
        <w:t>（</w:t>
      </w:r>
      <w:r>
        <w:rPr>
          <w:rFonts w:hint="eastAsia" w:ascii="宋体" w:hAnsi="宋体" w:eastAsia="宋体" w:cs="宋体"/>
          <w:color w:val="auto"/>
          <w:highlight w:val="none"/>
          <w:u w:val="single"/>
        </w:rPr>
        <w:t>中型企业、</w:t>
      </w:r>
      <w:r>
        <w:rPr>
          <w:rFonts w:hint="eastAsia" w:ascii="宋体" w:hAnsi="宋体" w:eastAsia="宋体" w:cs="宋体"/>
          <w:color w:val="auto"/>
          <w:spacing w:val="-13"/>
          <w:highlight w:val="none"/>
          <w:u w:val="single"/>
        </w:rPr>
        <w:t xml:space="preserve"> </w:t>
      </w:r>
      <w:r>
        <w:rPr>
          <w:rFonts w:hint="eastAsia" w:ascii="宋体" w:hAnsi="宋体" w:eastAsia="宋体" w:cs="宋体"/>
          <w:color w:val="auto"/>
          <w:highlight w:val="none"/>
          <w:u w:val="single"/>
        </w:rPr>
        <w:t>小</w:t>
      </w:r>
      <w:r>
        <w:rPr>
          <w:rFonts w:hint="eastAsia" w:ascii="宋体" w:hAnsi="宋体" w:eastAsia="宋体" w:cs="宋体"/>
          <w:color w:val="auto"/>
          <w:spacing w:val="-14"/>
          <w:highlight w:val="none"/>
          <w:u w:val="single"/>
        </w:rPr>
        <w:t>型</w:t>
      </w:r>
      <w:r>
        <w:rPr>
          <w:rFonts w:hint="eastAsia" w:ascii="宋体" w:hAnsi="宋体" w:eastAsia="宋体" w:cs="宋体"/>
          <w:color w:val="auto"/>
          <w:highlight w:val="none"/>
          <w:u w:val="single"/>
        </w:rPr>
        <w:t>企业、 微型企业）</w:t>
      </w:r>
      <w:r>
        <w:rPr>
          <w:rFonts w:hint="eastAsia" w:ascii="宋体" w:hAnsi="宋体" w:eastAsia="宋体" w:cs="宋体"/>
          <w:color w:val="auto"/>
          <w:highlight w:val="none"/>
        </w:rPr>
        <w:t>；</w:t>
      </w:r>
    </w:p>
    <w:p>
      <w:pPr>
        <w:pStyle w:val="7"/>
        <w:spacing w:before="1"/>
        <w:ind w:left="81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7"/>
        <w:spacing w:before="158" w:line="364" w:lineRule="auto"/>
        <w:ind w:left="332" w:right="665" w:firstLine="480"/>
        <w:rPr>
          <w:rFonts w:hint="eastAsia" w:ascii="宋体" w:hAnsi="宋体" w:eastAsia="宋体" w:cs="宋体"/>
          <w:color w:val="auto"/>
          <w:highlight w:val="none"/>
        </w:rPr>
      </w:pPr>
      <w:r>
        <w:rPr>
          <w:rFonts w:hint="eastAsia" w:ascii="宋体" w:hAnsi="宋体" w:eastAsia="宋体" w:cs="宋体"/>
          <w:color w:val="auto"/>
          <w:spacing w:val="-9"/>
          <w:highlight w:val="none"/>
        </w:rPr>
        <w:t>以上企业，不属于大企业的分支机构，不存在控股股东为大企业的情形， 也不存在与大</w:t>
      </w:r>
      <w:r>
        <w:rPr>
          <w:rFonts w:hint="eastAsia" w:ascii="宋体" w:hAnsi="宋体" w:eastAsia="宋体" w:cs="宋体"/>
          <w:color w:val="auto"/>
          <w:highlight w:val="none"/>
        </w:rPr>
        <w:t>企业的负责人为同一人的情形。</w:t>
      </w:r>
    </w:p>
    <w:p>
      <w:pPr>
        <w:pStyle w:val="7"/>
        <w:spacing w:line="306" w:lineRule="exact"/>
        <w:ind w:left="812"/>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 如有虚假， 将依法承担相应责任。</w:t>
      </w:r>
    </w:p>
    <w:p>
      <w:pPr>
        <w:pStyle w:val="7"/>
        <w:rPr>
          <w:rFonts w:hint="eastAsia" w:ascii="宋体" w:hAnsi="宋体" w:eastAsia="宋体" w:cs="宋体"/>
          <w:color w:val="auto"/>
          <w:highlight w:val="none"/>
        </w:rPr>
      </w:pPr>
    </w:p>
    <w:p>
      <w:pPr>
        <w:pStyle w:val="7"/>
        <w:spacing w:before="10"/>
        <w:rPr>
          <w:rFonts w:hint="eastAsia" w:ascii="宋体" w:hAnsi="宋体" w:eastAsia="宋体" w:cs="宋体"/>
          <w:color w:val="auto"/>
          <w:sz w:val="20"/>
          <w:highlight w:val="none"/>
        </w:rPr>
      </w:pPr>
    </w:p>
    <w:p>
      <w:pPr>
        <w:pStyle w:val="7"/>
        <w:spacing w:line="364" w:lineRule="auto"/>
        <w:ind w:right="1320" w:rightChars="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企业名称（盖章）： </w:t>
      </w:r>
    </w:p>
    <w:p>
      <w:pPr>
        <w:pStyle w:val="7"/>
        <w:spacing w:line="364" w:lineRule="auto"/>
        <w:ind w:right="2640" w:rightChars="0"/>
        <w:jc w:val="right"/>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19"/>
          <w:highlight w:val="none"/>
        </w:rPr>
      </w:pPr>
    </w:p>
    <w:p>
      <w:pPr>
        <w:pStyle w:val="6"/>
        <w:spacing w:line="379" w:lineRule="auto"/>
        <w:ind w:right="684"/>
        <w:rPr>
          <w:rFonts w:hint="eastAsia" w:ascii="宋体" w:hAnsi="宋体" w:eastAsia="宋体" w:cs="宋体"/>
          <w:color w:val="auto"/>
          <w:spacing w:val="-19"/>
          <w:highlight w:val="none"/>
        </w:rPr>
      </w:pPr>
      <w:bookmarkStart w:id="23" w:name="注： 享受《政府采购促进中小企业发展管理办法》(财库〔2020〕46 号)规定的"/>
      <w:bookmarkEnd w:id="23"/>
      <w:r>
        <w:rPr>
          <w:rFonts w:hint="eastAsia" w:ascii="宋体" w:hAnsi="宋体" w:eastAsia="宋体" w:cs="宋体"/>
          <w:color w:val="auto"/>
          <w:spacing w:val="-19"/>
          <w:highlight w:val="none"/>
        </w:rPr>
        <w:t>注： 享受《政府采购促进中小企业发展管理办法》</w:t>
      </w:r>
      <w:r>
        <w:rPr>
          <w:rFonts w:hint="eastAsia" w:ascii="宋体" w:hAnsi="宋体" w:eastAsia="宋体" w:cs="宋体"/>
          <w:color w:val="auto"/>
          <w:spacing w:val="-6"/>
          <w:highlight w:val="none"/>
        </w:rPr>
        <w:t>(</w:t>
      </w:r>
      <w:r>
        <w:rPr>
          <w:rFonts w:hint="eastAsia" w:ascii="宋体" w:hAnsi="宋体" w:eastAsia="宋体" w:cs="宋体"/>
          <w:color w:val="auto"/>
          <w:spacing w:val="-12"/>
          <w:highlight w:val="none"/>
        </w:rPr>
        <w:t>财库〔</w:t>
      </w:r>
      <w:r>
        <w:rPr>
          <w:rFonts w:hint="eastAsia" w:ascii="宋体" w:hAnsi="宋体" w:eastAsia="宋体" w:cs="宋体"/>
          <w:color w:val="auto"/>
          <w:spacing w:val="-7"/>
          <w:highlight w:val="none"/>
        </w:rPr>
        <w:t>2020</w:t>
      </w:r>
      <w:r>
        <w:rPr>
          <w:rFonts w:hint="eastAsia" w:ascii="宋体" w:hAnsi="宋体" w:eastAsia="宋体" w:cs="宋体"/>
          <w:color w:val="auto"/>
          <w:spacing w:val="-12"/>
          <w:highlight w:val="none"/>
        </w:rPr>
        <w:t>〕</w:t>
      </w:r>
      <w:r>
        <w:rPr>
          <w:rFonts w:hint="eastAsia" w:ascii="宋体" w:hAnsi="宋体" w:eastAsia="宋体" w:cs="宋体"/>
          <w:color w:val="auto"/>
          <w:highlight w:val="none"/>
        </w:rPr>
        <w:t xml:space="preserve">46 </w:t>
      </w:r>
      <w:r>
        <w:rPr>
          <w:rFonts w:hint="eastAsia" w:ascii="宋体" w:hAnsi="宋体" w:eastAsia="宋体" w:cs="宋体"/>
          <w:color w:val="auto"/>
          <w:spacing w:val="-10"/>
          <w:highlight w:val="none"/>
        </w:rPr>
        <w:t>号</w:t>
      </w:r>
      <w:r>
        <w:rPr>
          <w:rFonts w:hint="eastAsia" w:ascii="宋体" w:hAnsi="宋体" w:eastAsia="宋体" w:cs="宋体"/>
          <w:color w:val="auto"/>
          <w:spacing w:val="-8"/>
          <w:highlight w:val="none"/>
        </w:rPr>
        <w:t>)</w:t>
      </w:r>
      <w:r>
        <w:rPr>
          <w:rFonts w:hint="eastAsia" w:ascii="宋体" w:hAnsi="宋体" w:eastAsia="宋体" w:cs="宋体"/>
          <w:color w:val="auto"/>
          <w:spacing w:val="-11"/>
          <w:highlight w:val="none"/>
        </w:rPr>
        <w:t>规定的中小企业扶持政</w:t>
      </w:r>
      <w:r>
        <w:rPr>
          <w:rFonts w:hint="eastAsia" w:ascii="宋体" w:hAnsi="宋体" w:eastAsia="宋体" w:cs="宋体"/>
          <w:color w:val="auto"/>
          <w:spacing w:val="-12"/>
          <w:w w:val="95"/>
          <w:highlight w:val="none"/>
        </w:rPr>
        <w:t>策的</w:t>
      </w:r>
      <w:r>
        <w:rPr>
          <w:rFonts w:hint="eastAsia" w:ascii="宋体" w:hAnsi="宋体" w:eastAsia="宋体" w:cs="宋体"/>
          <w:color w:val="auto"/>
          <w:spacing w:val="-19"/>
          <w:highlight w:val="none"/>
        </w:rPr>
        <w:t>，采购人、采购代理机构应当随成交结果公开成交供应商的《中小企业声明函》。从业人员</w:t>
      </w:r>
    </w:p>
    <w:p>
      <w:pPr>
        <w:pStyle w:val="6"/>
        <w:spacing w:line="379" w:lineRule="auto"/>
        <w:ind w:right="684"/>
        <w:rPr>
          <w:rFonts w:hint="eastAsia" w:ascii="宋体" w:hAnsi="宋体" w:eastAsia="宋体" w:cs="宋体"/>
          <w:color w:val="auto"/>
          <w:spacing w:val="-19"/>
          <w:highlight w:val="none"/>
        </w:rPr>
      </w:pPr>
      <w:r>
        <w:rPr>
          <w:rFonts w:hint="eastAsia" w:ascii="宋体" w:hAnsi="宋体" w:eastAsia="宋体" w:cs="宋体"/>
          <w:color w:val="auto"/>
          <w:spacing w:val="-19"/>
          <w:highlight w:val="none"/>
        </w:rPr>
        <w:t>、营业收入、资产总额填报上一年度数据，无上一年度数据的新成立企业可不填报</w:t>
      </w:r>
    </w:p>
    <w:p>
      <w:pPr>
        <w:spacing w:after="0"/>
        <w:jc w:val="left"/>
        <w:rPr>
          <w:rFonts w:hint="eastAsia" w:ascii="宋体" w:hAnsi="宋体" w:eastAsia="宋体" w:cs="宋体"/>
          <w:color w:val="auto"/>
          <w:sz w:val="24"/>
          <w:highlight w:val="none"/>
        </w:rPr>
        <w:sectPr>
          <w:pgSz w:w="11910" w:h="16840"/>
          <w:pgMar w:top="1080" w:right="990" w:bottom="1060" w:left="800" w:header="0" w:footer="871" w:gutter="0"/>
          <w:pgNumType w:fmt="decimal"/>
          <w:cols w:space="720" w:num="1"/>
        </w:sectPr>
      </w:pPr>
    </w:p>
    <w:p>
      <w:pPr>
        <w:spacing w:before="32"/>
        <w:ind w:left="551" w:right="905" w:firstLine="0"/>
        <w:jc w:val="center"/>
        <w:rPr>
          <w:rFonts w:hint="eastAsia" w:ascii="宋体" w:hAnsi="宋体" w:eastAsia="宋体" w:cs="宋体"/>
          <w:color w:val="auto"/>
          <w:sz w:val="28"/>
          <w:highlight w:val="none"/>
        </w:rPr>
      </w:pPr>
      <w:bookmarkStart w:id="24" w:name="第六节 其他文书、文件格式"/>
      <w:bookmarkEnd w:id="24"/>
      <w:r>
        <w:rPr>
          <w:rFonts w:hint="eastAsia" w:ascii="宋体" w:hAnsi="宋体" w:eastAsia="宋体" w:cs="宋体"/>
          <w:color w:val="auto"/>
          <w:sz w:val="28"/>
          <w:highlight w:val="none"/>
        </w:rPr>
        <w:t>第六节 其他文书、文件格式</w:t>
      </w:r>
    </w:p>
    <w:p>
      <w:pPr>
        <w:pStyle w:val="7"/>
        <w:spacing w:before="7"/>
        <w:rPr>
          <w:rFonts w:hint="eastAsia" w:ascii="宋体" w:hAnsi="宋体" w:eastAsia="宋体" w:cs="宋体"/>
          <w:color w:val="auto"/>
          <w:sz w:val="23"/>
          <w:highlight w:val="none"/>
        </w:rPr>
      </w:pPr>
    </w:p>
    <w:p>
      <w:pPr>
        <w:spacing w:before="0"/>
        <w:ind w:left="575"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知识产权合规性声明</w:t>
      </w:r>
    </w:p>
    <w:p>
      <w:pPr>
        <w:pStyle w:val="7"/>
        <w:rPr>
          <w:rFonts w:hint="eastAsia" w:ascii="宋体" w:hAnsi="宋体" w:eastAsia="宋体" w:cs="宋体"/>
          <w:color w:val="auto"/>
          <w:sz w:val="32"/>
          <w:highlight w:val="none"/>
        </w:rPr>
      </w:pPr>
    </w:p>
    <w:p>
      <w:pPr>
        <w:pStyle w:val="7"/>
        <w:spacing w:before="246" w:line="391" w:lineRule="auto"/>
        <w:ind w:left="332" w:right="648" w:firstLine="616"/>
        <w:jc w:val="both"/>
        <w:rPr>
          <w:rFonts w:hint="eastAsia" w:ascii="宋体" w:hAnsi="宋体" w:eastAsia="宋体" w:cs="宋体"/>
          <w:color w:val="auto"/>
          <w:sz w:val="28"/>
          <w:highlight w:val="none"/>
        </w:rPr>
      </w:pPr>
      <w:r>
        <w:rPr>
          <w:rFonts w:hint="eastAsia" w:ascii="宋体" w:hAnsi="宋体" w:eastAsia="宋体" w:cs="宋体"/>
          <w:color w:val="auto"/>
          <w:spacing w:val="-2"/>
          <w:highlight w:val="none"/>
        </w:rPr>
        <w:t>本企业自愿参与政府投资政府采购的</w:t>
      </w:r>
      <w:r>
        <w:rPr>
          <w:rFonts w:hint="eastAsia" w:ascii="宋体" w:hAnsi="宋体" w:eastAsia="宋体" w:cs="宋体"/>
          <w:color w:val="auto"/>
          <w:highlight w:val="none"/>
          <w:u w:val="single"/>
        </w:rPr>
        <w:t>[项目名称]</w:t>
      </w:r>
      <w:r>
        <w:rPr>
          <w:rFonts w:hint="eastAsia" w:ascii="宋体" w:hAnsi="宋体" w:eastAsia="宋体" w:cs="宋体"/>
          <w:color w:val="auto"/>
          <w:spacing w:val="-21"/>
          <w:highlight w:val="none"/>
        </w:rPr>
        <w:t>项目，</w:t>
      </w:r>
      <w:r>
        <w:rPr>
          <w:rFonts w:hint="eastAsia" w:ascii="宋体" w:hAnsi="宋体" w:eastAsia="宋体" w:cs="宋体"/>
          <w:color w:val="auto"/>
          <w:spacing w:val="-2"/>
          <w:highlight w:val="none"/>
        </w:rPr>
        <w:t>在此郑重承诺：遵守中国知识产权法律、法规、规章、规范性文件及在中国 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w:t>
      </w:r>
      <w:r>
        <w:rPr>
          <w:rFonts w:hint="eastAsia" w:ascii="宋体" w:hAnsi="宋体" w:eastAsia="宋体" w:cs="宋体"/>
          <w:color w:val="auto"/>
          <w:highlight w:val="none"/>
        </w:rPr>
        <w:t>。如经核查确有违反上述承诺应遵守的行为，本企业将承担由此产生的全部责任</w:t>
      </w:r>
      <w:r>
        <w:rPr>
          <w:rFonts w:hint="eastAsia" w:ascii="宋体" w:hAnsi="宋体" w:eastAsia="宋体" w:cs="宋体"/>
          <w:color w:val="auto"/>
          <w:sz w:val="28"/>
          <w:highlight w:val="none"/>
        </w:rPr>
        <w:t>。</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4"/>
        <w:rPr>
          <w:rFonts w:hint="eastAsia" w:ascii="宋体" w:hAnsi="宋体" w:eastAsia="宋体" w:cs="宋体"/>
          <w:color w:val="auto"/>
          <w:sz w:val="30"/>
          <w:highlight w:val="none"/>
        </w:rPr>
      </w:pPr>
    </w:p>
    <w:p>
      <w:pPr>
        <w:pStyle w:val="7"/>
        <w:ind w:left="332"/>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投标人名称(电子签章)：</w:t>
      </w:r>
    </w:p>
    <w:p>
      <w:pPr>
        <w:pStyle w:val="7"/>
        <w:spacing w:before="7"/>
        <w:rPr>
          <w:rFonts w:hint="eastAsia" w:ascii="宋体" w:hAnsi="宋体" w:eastAsia="宋体" w:cs="宋体"/>
          <w:color w:val="auto"/>
          <w:highlight w:val="none"/>
        </w:rPr>
      </w:pPr>
    </w:p>
    <w:p>
      <w:pPr>
        <w:pStyle w:val="7"/>
        <w:ind w:left="332"/>
        <w:jc w:val="center"/>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rPr>
        <w:tab/>
      </w:r>
      <w:r>
        <w:rPr>
          <w:rFonts w:hint="eastAsia" w:ascii="宋体" w:hAnsi="宋体" w:eastAsia="宋体" w:cs="宋体"/>
          <w:color w:val="auto"/>
          <w:highlight w:val="none"/>
        </w:rPr>
        <w:t>年 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jc w:val="right"/>
        <w:rPr>
          <w:rFonts w:hint="eastAsia" w:ascii="宋体" w:hAnsi="宋体" w:eastAsia="宋体" w:cs="宋体"/>
          <w:color w:val="auto"/>
          <w:highlight w:val="none"/>
        </w:rPr>
        <w:sectPr>
          <w:footerReference r:id="rId12" w:type="default"/>
          <w:pgSz w:w="11910" w:h="16840"/>
          <w:pgMar w:top="1080" w:right="460" w:bottom="1060" w:left="800" w:header="0" w:footer="871" w:gutter="0"/>
          <w:pgNumType w:fmt="decimal"/>
          <w:cols w:space="720" w:num="1"/>
        </w:sectPr>
      </w:pPr>
    </w:p>
    <w:p>
      <w:pPr>
        <w:spacing w:before="39"/>
        <w:ind w:left="3832"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监狱企业声明函（如有）</w:t>
      </w:r>
    </w:p>
    <w:p>
      <w:pPr>
        <w:pStyle w:val="7"/>
        <w:spacing w:before="159" w:line="362" w:lineRule="auto"/>
        <w:ind w:left="332" w:right="664" w:firstLine="540"/>
        <w:rPr>
          <w:rFonts w:hint="eastAsia" w:ascii="宋体" w:hAnsi="宋体" w:eastAsia="宋体" w:cs="宋体"/>
          <w:color w:val="auto"/>
          <w:highlight w:val="none"/>
        </w:rPr>
      </w:pPr>
      <w:r>
        <w:rPr>
          <w:rFonts w:hint="eastAsia" w:ascii="宋体" w:hAnsi="宋体" w:eastAsia="宋体" w:cs="宋体"/>
          <w:color w:val="auto"/>
          <w:spacing w:val="-17"/>
          <w:highlight w:val="none"/>
        </w:rPr>
        <w:t>本公司郑重声明，根据《关于政府采购支持监狱企业发展有关问题的通知</w:t>
      </w:r>
      <w:r>
        <w:rPr>
          <w:rFonts w:hint="eastAsia" w:ascii="宋体" w:hAnsi="宋体" w:eastAsia="宋体" w:cs="宋体"/>
          <w:color w:val="auto"/>
          <w:spacing w:val="-233"/>
          <w:highlight w:val="none"/>
        </w:rPr>
        <w:t>》</w:t>
      </w:r>
      <w:r>
        <w:rPr>
          <w:rFonts w:hint="eastAsia" w:ascii="宋体" w:hAnsi="宋体" w:eastAsia="宋体" w:cs="宋体"/>
          <w:color w:val="auto"/>
          <w:spacing w:val="-3"/>
          <w:highlight w:val="none"/>
        </w:rPr>
        <w:t>（</w:t>
      </w:r>
      <w:r>
        <w:rPr>
          <w:rFonts w:hint="eastAsia" w:ascii="宋体" w:hAnsi="宋体" w:eastAsia="宋体" w:cs="宋体"/>
          <w:color w:val="auto"/>
          <w:highlight w:val="none"/>
        </w:rPr>
        <w:t>财库</w:t>
      </w:r>
      <w:r>
        <w:rPr>
          <w:rFonts w:hint="eastAsia" w:ascii="宋体" w:hAnsi="宋体" w:eastAsia="宋体" w:cs="宋体"/>
          <w:color w:val="auto"/>
          <w:spacing w:val="-3"/>
          <w:highlight w:val="none"/>
        </w:rPr>
        <w:t xml:space="preserve">[2014]68 </w:t>
      </w:r>
      <w:r>
        <w:rPr>
          <w:rFonts w:hint="eastAsia" w:ascii="宋体" w:hAnsi="宋体" w:eastAsia="宋体" w:cs="宋体"/>
          <w:color w:val="auto"/>
          <w:highlight w:val="none"/>
        </w:rPr>
        <w:t>号）的规定，本公司为监狱企业。</w:t>
      </w:r>
    </w:p>
    <w:p>
      <w:pPr>
        <w:pStyle w:val="7"/>
        <w:tabs>
          <w:tab w:val="left" w:pos="2874"/>
          <w:tab w:val="left" w:pos="4395"/>
        </w:tabs>
        <w:spacing w:before="5" w:line="364" w:lineRule="auto"/>
        <w:ind w:left="332" w:right="729" w:firstLine="540"/>
        <w:rPr>
          <w:rFonts w:hint="eastAsia" w:ascii="宋体" w:hAnsi="宋体" w:eastAsia="宋体" w:cs="宋体"/>
          <w:color w:val="auto"/>
          <w:highlight w:val="none"/>
        </w:rPr>
      </w:pPr>
      <w:r>
        <w:rPr>
          <w:rFonts w:hint="eastAsia" w:ascii="宋体" w:hAnsi="宋体" w:eastAsia="宋体" w:cs="宋体"/>
          <w:color w:val="auto"/>
          <w:highlight w:val="none"/>
        </w:rPr>
        <w:t>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项目采购活动，采购活动提供本企业（填写制造的</w:t>
      </w:r>
      <w:r>
        <w:rPr>
          <w:rFonts w:hint="eastAsia" w:ascii="宋体" w:hAnsi="宋体" w:eastAsia="宋体" w:cs="宋体"/>
          <w:color w:val="auto"/>
          <w:spacing w:val="-18"/>
          <w:highlight w:val="none"/>
        </w:rPr>
        <w:t>货</w:t>
      </w:r>
      <w:r>
        <w:rPr>
          <w:rFonts w:hint="eastAsia" w:ascii="宋体" w:hAnsi="宋体" w:eastAsia="宋体" w:cs="宋体"/>
          <w:color w:val="auto"/>
          <w:highlight w:val="none"/>
        </w:rPr>
        <w:t>物，由本企业承担工程、提供服务）。</w:t>
      </w:r>
    </w:p>
    <w:p>
      <w:pPr>
        <w:pStyle w:val="7"/>
        <w:spacing w:line="306" w:lineRule="exact"/>
        <w:ind w:left="872"/>
        <w:rPr>
          <w:rFonts w:hint="eastAsia" w:ascii="宋体" w:hAnsi="宋体" w:eastAsia="宋体" w:cs="宋体"/>
          <w:color w:val="auto"/>
          <w:highlight w:val="none"/>
        </w:rPr>
      </w:pPr>
      <w:r>
        <w:rPr>
          <w:rFonts w:hint="eastAsia" w:ascii="宋体" w:hAnsi="宋体" w:eastAsia="宋体" w:cs="宋体"/>
          <w:color w:val="auto"/>
          <w:highlight w:val="none"/>
        </w:rPr>
        <w:t>本条所称货物不包括使用大型企业注册商标的货物和服务。</w:t>
      </w:r>
    </w:p>
    <w:p>
      <w:pPr>
        <w:pStyle w:val="7"/>
        <w:spacing w:before="160"/>
        <w:ind w:left="872"/>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20"/>
          <w:highlight w:val="none"/>
        </w:rPr>
      </w:pPr>
    </w:p>
    <w:p>
      <w:pPr>
        <w:pStyle w:val="7"/>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企业名称（盖公章）：</w:t>
      </w:r>
    </w:p>
    <w:p>
      <w:pPr>
        <w:pStyle w:val="7"/>
        <w:spacing w:before="158" w:line="482" w:lineRule="auto"/>
        <w:ind w:left="332" w:right="5590"/>
        <w:rPr>
          <w:rFonts w:hint="eastAsia" w:ascii="宋体" w:hAnsi="宋体" w:eastAsia="宋体" w:cs="宋体"/>
          <w:color w:val="auto"/>
          <w:highlight w:val="none"/>
        </w:rPr>
      </w:pPr>
      <w:r>
        <w:rPr>
          <w:rFonts w:hint="eastAsia" w:ascii="宋体" w:hAnsi="宋体" w:eastAsia="宋体" w:cs="宋体"/>
          <w:color w:val="auto"/>
          <w:highlight w:val="none"/>
        </w:rPr>
        <w:t>法定代表人（负责人）或其授权代表(签字)： 日期：</w:t>
      </w:r>
    </w:p>
    <w:p>
      <w:pPr>
        <w:pStyle w:val="7"/>
        <w:rPr>
          <w:rFonts w:hint="eastAsia" w:ascii="宋体" w:hAnsi="宋体" w:eastAsia="宋体" w:cs="宋体"/>
          <w:color w:val="auto"/>
          <w:highlight w:val="none"/>
        </w:rPr>
      </w:pPr>
    </w:p>
    <w:p>
      <w:pPr>
        <w:pStyle w:val="7"/>
        <w:spacing w:before="3"/>
        <w:rPr>
          <w:rFonts w:hint="eastAsia" w:ascii="宋体" w:hAnsi="宋体" w:eastAsia="宋体" w:cs="宋体"/>
          <w:color w:val="auto"/>
          <w:sz w:val="22"/>
          <w:highlight w:val="none"/>
        </w:rPr>
      </w:pPr>
    </w:p>
    <w:p>
      <w:pPr>
        <w:pStyle w:val="6"/>
        <w:ind w:left="558" w:right="905"/>
        <w:jc w:val="center"/>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19"/>
          <w:highlight w:val="none"/>
        </w:rPr>
      </w:pPr>
    </w:p>
    <w:p>
      <w:pPr>
        <w:pStyle w:val="7"/>
        <w:tabs>
          <w:tab w:val="left" w:pos="3644"/>
          <w:tab w:val="left" w:pos="5515"/>
        </w:tabs>
        <w:spacing w:line="343" w:lineRule="auto"/>
        <w:ind w:left="332" w:right="677" w:firstLine="504"/>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本单位郑重声明，根据《财政</w:t>
      </w:r>
      <w:r>
        <w:rPr>
          <w:rFonts w:hint="eastAsia" w:ascii="宋体" w:hAnsi="宋体" w:eastAsia="宋体" w:cs="宋体"/>
          <w:color w:val="auto"/>
          <w:highlight w:val="none"/>
        </w:rPr>
        <w:t>部</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12"/>
          <w:highlight w:val="none"/>
        </w:rPr>
        <w:t>民政</w:t>
      </w:r>
      <w:r>
        <w:rPr>
          <w:rFonts w:hint="eastAsia" w:ascii="宋体" w:hAnsi="宋体" w:eastAsia="宋体" w:cs="宋体"/>
          <w:color w:val="auto"/>
          <w:highlight w:val="none"/>
        </w:rPr>
        <w:t>部</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12"/>
          <w:highlight w:val="none"/>
        </w:rPr>
        <w:t>中国残疾人联合会关于促进残疾人就业</w:t>
      </w:r>
      <w:r>
        <w:rPr>
          <w:rFonts w:hint="eastAsia" w:ascii="宋体" w:hAnsi="宋体" w:eastAsia="宋体" w:cs="宋体"/>
          <w:color w:val="auto"/>
          <w:highlight w:val="none"/>
        </w:rPr>
        <w:t>政</w:t>
      </w:r>
      <w:r>
        <w:rPr>
          <w:rFonts w:hint="eastAsia" w:ascii="宋体" w:hAnsi="宋体" w:eastAsia="宋体" w:cs="宋体"/>
          <w:color w:val="auto"/>
          <w:spacing w:val="12"/>
          <w:highlight w:val="none"/>
        </w:rPr>
        <w:t>府采购政策的通知》（财库〔</w:t>
      </w:r>
      <w:r>
        <w:rPr>
          <w:rFonts w:hint="eastAsia" w:ascii="宋体" w:hAnsi="宋体" w:eastAsia="宋体" w:cs="宋体"/>
          <w:color w:val="auto"/>
          <w:spacing w:val="5"/>
          <w:highlight w:val="none"/>
        </w:rPr>
        <w:t>2017</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141</w:t>
      </w:r>
      <w:r>
        <w:rPr>
          <w:rFonts w:hint="eastAsia" w:ascii="宋体" w:hAnsi="宋体" w:eastAsia="宋体" w:cs="宋体"/>
          <w:color w:val="auto"/>
          <w:spacing w:val="12"/>
          <w:highlight w:val="none"/>
        </w:rPr>
        <w:t>号）的规定，本单位为符合条件的残疾人福</w:t>
      </w:r>
      <w:r>
        <w:rPr>
          <w:rFonts w:hint="eastAsia" w:ascii="宋体" w:hAnsi="宋体" w:eastAsia="宋体" w:cs="宋体"/>
          <w:color w:val="auto"/>
          <w:highlight w:val="none"/>
        </w:rPr>
        <w:t>利</w:t>
      </w:r>
      <w:r>
        <w:rPr>
          <w:rFonts w:hint="eastAsia" w:ascii="宋体" w:hAnsi="宋体" w:eastAsia="宋体" w:cs="宋体"/>
          <w:color w:val="auto"/>
          <w:spacing w:val="12"/>
          <w:highlight w:val="none"/>
        </w:rPr>
        <w:t>性单位，且本单位参</w:t>
      </w:r>
      <w:r>
        <w:rPr>
          <w:rFonts w:hint="eastAsia" w:ascii="宋体" w:hAnsi="宋体" w:eastAsia="宋体" w:cs="宋体"/>
          <w:color w:val="auto"/>
          <w:spacing w:val="11"/>
          <w:highlight w:val="none"/>
        </w:rPr>
        <w:t>加</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12"/>
          <w:highlight w:val="none"/>
        </w:rPr>
        <w:t>单位</w:t>
      </w:r>
      <w:r>
        <w:rPr>
          <w:rFonts w:hint="eastAsia" w:ascii="宋体" w:hAnsi="宋体" w:eastAsia="宋体" w:cs="宋体"/>
          <w:color w:val="auto"/>
          <w:spacing w:val="11"/>
          <w:highlight w:val="none"/>
        </w:rPr>
        <w:t>的</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12"/>
          <w:highlight w:val="none"/>
        </w:rPr>
        <w:t>项目采购活动提供本单位制造的货物</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由本单位承担工程</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提供服务），或者提供其他残疾人福利性单位制造的货</w:t>
      </w:r>
      <w:r>
        <w:rPr>
          <w:rFonts w:hint="eastAsia" w:ascii="宋体" w:hAnsi="宋体" w:eastAsia="宋体" w:cs="宋体"/>
          <w:color w:val="auto"/>
          <w:spacing w:val="9"/>
          <w:highlight w:val="none"/>
        </w:rPr>
        <w:t>物</w:t>
      </w:r>
      <w:r>
        <w:rPr>
          <w:rFonts w:hint="eastAsia" w:ascii="宋体" w:hAnsi="宋体" w:eastAsia="宋体" w:cs="宋体"/>
          <w:color w:val="auto"/>
          <w:spacing w:val="12"/>
          <w:highlight w:val="none"/>
        </w:rPr>
        <w:t>（不包括</w:t>
      </w:r>
      <w:r>
        <w:rPr>
          <w:rFonts w:hint="eastAsia" w:ascii="宋体" w:hAnsi="宋体" w:eastAsia="宋体" w:cs="宋体"/>
          <w:color w:val="auto"/>
          <w:spacing w:val="-16"/>
          <w:highlight w:val="none"/>
        </w:rPr>
        <w:t>使</w:t>
      </w:r>
      <w:r>
        <w:rPr>
          <w:rFonts w:hint="eastAsia" w:ascii="宋体" w:hAnsi="宋体" w:eastAsia="宋体" w:cs="宋体"/>
          <w:color w:val="auto"/>
          <w:spacing w:val="12"/>
          <w:highlight w:val="none"/>
        </w:rPr>
        <w:t>用非残疾人福利性单位注册商标的货物）</w:t>
      </w:r>
      <w:r>
        <w:rPr>
          <w:rFonts w:hint="eastAsia" w:ascii="宋体" w:hAnsi="宋体" w:eastAsia="宋体" w:cs="宋体"/>
          <w:color w:val="auto"/>
          <w:highlight w:val="none"/>
        </w:rPr>
        <w:t>。</w:t>
      </w:r>
    </w:p>
    <w:p>
      <w:pPr>
        <w:pStyle w:val="7"/>
        <w:spacing w:before="2" w:line="686" w:lineRule="auto"/>
        <w:ind w:left="332" w:right="606" w:rightChars="0" w:firstLine="504"/>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本单位对上述声明的真实性负责。如有虚假，将依法承担相应责任。单位名称（盖章）</w:t>
      </w: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2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20"/>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9"/>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85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38" w:hanging="527"/>
      </w:pPr>
      <w:rPr>
        <w:rFonts w:hint="default"/>
        <w:lang w:val="zh-CN" w:eastAsia="zh-CN" w:bidi="zh-CN"/>
      </w:rPr>
    </w:lvl>
    <w:lvl w:ilvl="2" w:tentative="0">
      <w:start w:val="0"/>
      <w:numFmt w:val="bullet"/>
      <w:lvlText w:val="•"/>
      <w:lvlJc w:val="left"/>
      <w:pPr>
        <w:ind w:left="2817" w:hanging="527"/>
      </w:pPr>
      <w:rPr>
        <w:rFonts w:hint="default"/>
        <w:lang w:val="zh-CN" w:eastAsia="zh-CN" w:bidi="zh-CN"/>
      </w:rPr>
    </w:lvl>
    <w:lvl w:ilvl="3" w:tentative="0">
      <w:start w:val="0"/>
      <w:numFmt w:val="bullet"/>
      <w:lvlText w:val="•"/>
      <w:lvlJc w:val="left"/>
      <w:pPr>
        <w:ind w:left="3795" w:hanging="527"/>
      </w:pPr>
      <w:rPr>
        <w:rFonts w:hint="default"/>
        <w:lang w:val="zh-CN" w:eastAsia="zh-CN" w:bidi="zh-CN"/>
      </w:rPr>
    </w:lvl>
    <w:lvl w:ilvl="4" w:tentative="0">
      <w:start w:val="0"/>
      <w:numFmt w:val="bullet"/>
      <w:lvlText w:val="•"/>
      <w:lvlJc w:val="left"/>
      <w:pPr>
        <w:ind w:left="4774"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31" w:hanging="527"/>
      </w:pPr>
      <w:rPr>
        <w:rFonts w:hint="default"/>
        <w:lang w:val="zh-CN" w:eastAsia="zh-CN" w:bidi="zh-CN"/>
      </w:rPr>
    </w:lvl>
    <w:lvl w:ilvl="7" w:tentative="0">
      <w:start w:val="0"/>
      <w:numFmt w:val="bullet"/>
      <w:lvlText w:val="•"/>
      <w:lvlJc w:val="left"/>
      <w:pPr>
        <w:ind w:left="7710" w:hanging="527"/>
      </w:pPr>
      <w:rPr>
        <w:rFonts w:hint="default"/>
        <w:lang w:val="zh-CN" w:eastAsia="zh-CN" w:bidi="zh-CN"/>
      </w:rPr>
    </w:lvl>
    <w:lvl w:ilvl="8" w:tentative="0">
      <w:start w:val="0"/>
      <w:numFmt w:val="bullet"/>
      <w:lvlText w:val="•"/>
      <w:lvlJc w:val="left"/>
      <w:pPr>
        <w:ind w:left="8688" w:hanging="527"/>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644" w:hanging="298"/>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192" w:hanging="43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49" w:hanging="430"/>
      </w:pPr>
      <w:rPr>
        <w:rFonts w:hint="default"/>
        <w:lang w:val="zh-CN" w:eastAsia="zh-CN" w:bidi="zh-CN"/>
      </w:rPr>
    </w:lvl>
    <w:lvl w:ilvl="3" w:tentative="0">
      <w:start w:val="0"/>
      <w:numFmt w:val="bullet"/>
      <w:lvlText w:val="•"/>
      <w:lvlJc w:val="left"/>
      <w:pPr>
        <w:ind w:left="3299" w:hanging="430"/>
      </w:pPr>
      <w:rPr>
        <w:rFonts w:hint="default"/>
        <w:lang w:val="zh-CN" w:eastAsia="zh-CN" w:bidi="zh-CN"/>
      </w:rPr>
    </w:lvl>
    <w:lvl w:ilvl="4" w:tentative="0">
      <w:start w:val="0"/>
      <w:numFmt w:val="bullet"/>
      <w:lvlText w:val="•"/>
      <w:lvlJc w:val="left"/>
      <w:pPr>
        <w:ind w:left="4348" w:hanging="430"/>
      </w:pPr>
      <w:rPr>
        <w:rFonts w:hint="default"/>
        <w:lang w:val="zh-CN" w:eastAsia="zh-CN" w:bidi="zh-CN"/>
      </w:rPr>
    </w:lvl>
    <w:lvl w:ilvl="5" w:tentative="0">
      <w:start w:val="0"/>
      <w:numFmt w:val="bullet"/>
      <w:lvlText w:val="•"/>
      <w:lvlJc w:val="left"/>
      <w:pPr>
        <w:ind w:left="5398" w:hanging="430"/>
      </w:pPr>
      <w:rPr>
        <w:rFonts w:hint="default"/>
        <w:lang w:val="zh-CN" w:eastAsia="zh-CN" w:bidi="zh-CN"/>
      </w:rPr>
    </w:lvl>
    <w:lvl w:ilvl="6" w:tentative="0">
      <w:start w:val="0"/>
      <w:numFmt w:val="bullet"/>
      <w:lvlText w:val="•"/>
      <w:lvlJc w:val="left"/>
      <w:pPr>
        <w:ind w:left="6447" w:hanging="430"/>
      </w:pPr>
      <w:rPr>
        <w:rFonts w:hint="default"/>
        <w:lang w:val="zh-CN" w:eastAsia="zh-CN" w:bidi="zh-CN"/>
      </w:rPr>
    </w:lvl>
    <w:lvl w:ilvl="7" w:tentative="0">
      <w:start w:val="0"/>
      <w:numFmt w:val="bullet"/>
      <w:lvlText w:val="•"/>
      <w:lvlJc w:val="left"/>
      <w:pPr>
        <w:ind w:left="7497" w:hanging="430"/>
      </w:pPr>
      <w:rPr>
        <w:rFonts w:hint="default"/>
        <w:lang w:val="zh-CN" w:eastAsia="zh-CN" w:bidi="zh-CN"/>
      </w:rPr>
    </w:lvl>
    <w:lvl w:ilvl="8" w:tentative="0">
      <w:start w:val="0"/>
      <w:numFmt w:val="bullet"/>
      <w:lvlText w:val="•"/>
      <w:lvlJc w:val="left"/>
      <w:pPr>
        <w:ind w:left="8546" w:hanging="430"/>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3" w:hanging="241"/>
      </w:pPr>
      <w:rPr>
        <w:rFonts w:hint="default"/>
        <w:lang w:val="zh-CN" w:eastAsia="zh-CN" w:bidi="zh-CN"/>
      </w:rPr>
    </w:lvl>
    <w:lvl w:ilvl="3" w:tentative="0">
      <w:start w:val="0"/>
      <w:numFmt w:val="bullet"/>
      <w:lvlText w:val="•"/>
      <w:lvlJc w:val="left"/>
      <w:pPr>
        <w:ind w:left="2325" w:hanging="241"/>
      </w:pPr>
      <w:rPr>
        <w:rFonts w:hint="default"/>
        <w:lang w:val="zh-CN" w:eastAsia="zh-CN" w:bidi="zh-CN"/>
      </w:rPr>
    </w:lvl>
    <w:lvl w:ilvl="4" w:tentative="0">
      <w:start w:val="0"/>
      <w:numFmt w:val="bullet"/>
      <w:lvlText w:val="•"/>
      <w:lvlJc w:val="left"/>
      <w:pPr>
        <w:ind w:left="2987" w:hanging="241"/>
      </w:pPr>
      <w:rPr>
        <w:rFonts w:hint="default"/>
        <w:lang w:val="zh-CN" w:eastAsia="zh-CN" w:bidi="zh-CN"/>
      </w:rPr>
    </w:lvl>
    <w:lvl w:ilvl="5" w:tentative="0">
      <w:start w:val="0"/>
      <w:numFmt w:val="bullet"/>
      <w:lvlText w:val="•"/>
      <w:lvlJc w:val="left"/>
      <w:pPr>
        <w:ind w:left="3649" w:hanging="241"/>
      </w:pPr>
      <w:rPr>
        <w:rFonts w:hint="default"/>
        <w:lang w:val="zh-CN" w:eastAsia="zh-CN" w:bidi="zh-CN"/>
      </w:rPr>
    </w:lvl>
    <w:lvl w:ilvl="6" w:tentative="0">
      <w:start w:val="0"/>
      <w:numFmt w:val="bullet"/>
      <w:lvlText w:val="•"/>
      <w:lvlJc w:val="left"/>
      <w:pPr>
        <w:ind w:left="4311" w:hanging="241"/>
      </w:pPr>
      <w:rPr>
        <w:rFonts w:hint="default"/>
        <w:lang w:val="zh-CN" w:eastAsia="zh-CN" w:bidi="zh-CN"/>
      </w:rPr>
    </w:lvl>
    <w:lvl w:ilvl="7" w:tentative="0">
      <w:start w:val="0"/>
      <w:numFmt w:val="bullet"/>
      <w:lvlText w:val="•"/>
      <w:lvlJc w:val="left"/>
      <w:pPr>
        <w:ind w:left="4973" w:hanging="241"/>
      </w:pPr>
      <w:rPr>
        <w:rFonts w:hint="default"/>
        <w:lang w:val="zh-CN" w:eastAsia="zh-CN" w:bidi="zh-CN"/>
      </w:rPr>
    </w:lvl>
    <w:lvl w:ilvl="8" w:tentative="0">
      <w:start w:val="0"/>
      <w:numFmt w:val="bullet"/>
      <w:lvlText w:val="•"/>
      <w:lvlJc w:val="left"/>
      <w:pPr>
        <w:ind w:left="5635" w:hanging="241"/>
      </w:pPr>
      <w:rPr>
        <w:rFonts w:hint="default"/>
        <w:lang w:val="zh-CN" w:eastAsia="zh-CN" w:bidi="zh-CN"/>
      </w:rPr>
    </w:lvl>
  </w:abstractNum>
  <w:abstractNum w:abstractNumId="5">
    <w:nsid w:val="CFE47094"/>
    <w:multiLevelType w:val="singleLevel"/>
    <w:tmpl w:val="CFE47094"/>
    <w:lvl w:ilvl="0" w:tentative="0">
      <w:start w:val="2"/>
      <w:numFmt w:val="decimal"/>
      <w:lvlText w:val="(%1)"/>
      <w:lvlJc w:val="left"/>
      <w:pPr>
        <w:tabs>
          <w:tab w:val="left" w:pos="312"/>
        </w:tabs>
      </w:pPr>
    </w:lvl>
  </w:abstractNum>
  <w:abstractNum w:abstractNumId="6">
    <w:nsid w:val="0053208E"/>
    <w:multiLevelType w:val="multilevel"/>
    <w:tmpl w:val="0053208E"/>
    <w:lvl w:ilvl="0" w:tentative="0">
      <w:start w:val="1"/>
      <w:numFmt w:val="decimal"/>
      <w:lvlText w:val="%1."/>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275" w:hanging="241"/>
      </w:pPr>
      <w:rPr>
        <w:rFonts w:hint="default"/>
        <w:lang w:val="zh-CN" w:eastAsia="zh-CN" w:bidi="zh-CN"/>
      </w:rPr>
    </w:lvl>
    <w:lvl w:ilvl="2" w:tentative="0">
      <w:start w:val="0"/>
      <w:numFmt w:val="bullet"/>
      <w:lvlText w:val="•"/>
      <w:lvlJc w:val="left"/>
      <w:pPr>
        <w:ind w:left="2211" w:hanging="241"/>
      </w:pPr>
      <w:rPr>
        <w:rFonts w:hint="default"/>
        <w:lang w:val="zh-CN" w:eastAsia="zh-CN" w:bidi="zh-CN"/>
      </w:rPr>
    </w:lvl>
    <w:lvl w:ilvl="3" w:tentative="0">
      <w:start w:val="0"/>
      <w:numFmt w:val="bullet"/>
      <w:lvlText w:val="•"/>
      <w:lvlJc w:val="left"/>
      <w:pPr>
        <w:ind w:left="3147" w:hanging="241"/>
      </w:pPr>
      <w:rPr>
        <w:rFonts w:hint="default"/>
        <w:lang w:val="zh-CN" w:eastAsia="zh-CN" w:bidi="zh-CN"/>
      </w:rPr>
    </w:lvl>
    <w:lvl w:ilvl="4" w:tentative="0">
      <w:start w:val="0"/>
      <w:numFmt w:val="bullet"/>
      <w:lvlText w:val="•"/>
      <w:lvlJc w:val="left"/>
      <w:pPr>
        <w:ind w:left="4083" w:hanging="241"/>
      </w:pPr>
      <w:rPr>
        <w:rFonts w:hint="default"/>
        <w:lang w:val="zh-CN" w:eastAsia="zh-CN" w:bidi="zh-CN"/>
      </w:rPr>
    </w:lvl>
    <w:lvl w:ilvl="5" w:tentative="0">
      <w:start w:val="0"/>
      <w:numFmt w:val="bullet"/>
      <w:lvlText w:val="•"/>
      <w:lvlJc w:val="left"/>
      <w:pPr>
        <w:ind w:left="5019" w:hanging="241"/>
      </w:pPr>
      <w:rPr>
        <w:rFonts w:hint="default"/>
        <w:lang w:val="zh-CN" w:eastAsia="zh-CN" w:bidi="zh-CN"/>
      </w:rPr>
    </w:lvl>
    <w:lvl w:ilvl="6" w:tentative="0">
      <w:start w:val="0"/>
      <w:numFmt w:val="bullet"/>
      <w:lvlText w:val="•"/>
      <w:lvlJc w:val="left"/>
      <w:pPr>
        <w:ind w:left="5954" w:hanging="241"/>
      </w:pPr>
      <w:rPr>
        <w:rFonts w:hint="default"/>
        <w:lang w:val="zh-CN" w:eastAsia="zh-CN" w:bidi="zh-CN"/>
      </w:rPr>
    </w:lvl>
    <w:lvl w:ilvl="7" w:tentative="0">
      <w:start w:val="0"/>
      <w:numFmt w:val="bullet"/>
      <w:lvlText w:val="•"/>
      <w:lvlJc w:val="left"/>
      <w:pPr>
        <w:ind w:left="6890" w:hanging="241"/>
      </w:pPr>
      <w:rPr>
        <w:rFonts w:hint="default"/>
        <w:lang w:val="zh-CN" w:eastAsia="zh-CN" w:bidi="zh-CN"/>
      </w:rPr>
    </w:lvl>
    <w:lvl w:ilvl="8" w:tentative="0">
      <w:start w:val="0"/>
      <w:numFmt w:val="bullet"/>
      <w:lvlText w:val="•"/>
      <w:lvlJc w:val="left"/>
      <w:pPr>
        <w:ind w:left="7826" w:hanging="24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332"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70" w:hanging="212"/>
      </w:pPr>
      <w:rPr>
        <w:rFonts w:hint="default"/>
        <w:lang w:val="zh-CN" w:eastAsia="zh-CN" w:bidi="zh-CN"/>
      </w:rPr>
    </w:lvl>
    <w:lvl w:ilvl="2" w:tentative="0">
      <w:start w:val="0"/>
      <w:numFmt w:val="bullet"/>
      <w:lvlText w:val="•"/>
      <w:lvlJc w:val="left"/>
      <w:pPr>
        <w:ind w:left="2401" w:hanging="212"/>
      </w:pPr>
      <w:rPr>
        <w:rFonts w:hint="default"/>
        <w:lang w:val="zh-CN" w:eastAsia="zh-CN" w:bidi="zh-CN"/>
      </w:rPr>
    </w:lvl>
    <w:lvl w:ilvl="3" w:tentative="0">
      <w:start w:val="0"/>
      <w:numFmt w:val="bullet"/>
      <w:lvlText w:val="•"/>
      <w:lvlJc w:val="left"/>
      <w:pPr>
        <w:ind w:left="3431" w:hanging="212"/>
      </w:pPr>
      <w:rPr>
        <w:rFonts w:hint="default"/>
        <w:lang w:val="zh-CN" w:eastAsia="zh-CN" w:bidi="zh-CN"/>
      </w:rPr>
    </w:lvl>
    <w:lvl w:ilvl="4" w:tentative="0">
      <w:start w:val="0"/>
      <w:numFmt w:val="bullet"/>
      <w:lvlText w:val="•"/>
      <w:lvlJc w:val="left"/>
      <w:pPr>
        <w:ind w:left="4462" w:hanging="212"/>
      </w:pPr>
      <w:rPr>
        <w:rFonts w:hint="default"/>
        <w:lang w:val="zh-CN" w:eastAsia="zh-CN" w:bidi="zh-CN"/>
      </w:rPr>
    </w:lvl>
    <w:lvl w:ilvl="5" w:tentative="0">
      <w:start w:val="0"/>
      <w:numFmt w:val="bullet"/>
      <w:lvlText w:val="•"/>
      <w:lvlJc w:val="left"/>
      <w:pPr>
        <w:ind w:left="5493" w:hanging="212"/>
      </w:pPr>
      <w:rPr>
        <w:rFonts w:hint="default"/>
        <w:lang w:val="zh-CN" w:eastAsia="zh-CN" w:bidi="zh-CN"/>
      </w:rPr>
    </w:lvl>
    <w:lvl w:ilvl="6" w:tentative="0">
      <w:start w:val="0"/>
      <w:numFmt w:val="bullet"/>
      <w:lvlText w:val="•"/>
      <w:lvlJc w:val="left"/>
      <w:pPr>
        <w:ind w:left="6523" w:hanging="212"/>
      </w:pPr>
      <w:rPr>
        <w:rFonts w:hint="default"/>
        <w:lang w:val="zh-CN" w:eastAsia="zh-CN" w:bidi="zh-CN"/>
      </w:rPr>
    </w:lvl>
    <w:lvl w:ilvl="7" w:tentative="0">
      <w:start w:val="0"/>
      <w:numFmt w:val="bullet"/>
      <w:lvlText w:val="•"/>
      <w:lvlJc w:val="left"/>
      <w:pPr>
        <w:ind w:left="7554" w:hanging="212"/>
      </w:pPr>
      <w:rPr>
        <w:rFonts w:hint="default"/>
        <w:lang w:val="zh-CN" w:eastAsia="zh-CN" w:bidi="zh-CN"/>
      </w:rPr>
    </w:lvl>
    <w:lvl w:ilvl="8" w:tentative="0">
      <w:start w:val="0"/>
      <w:numFmt w:val="bullet"/>
      <w:lvlText w:val="•"/>
      <w:lvlJc w:val="left"/>
      <w:pPr>
        <w:ind w:left="8584" w:hanging="212"/>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798" w:hanging="466"/>
      </w:pPr>
      <w:rPr>
        <w:rFonts w:hint="default"/>
        <w:lang w:val="zh-CN" w:eastAsia="zh-CN" w:bidi="zh-CN"/>
      </w:rPr>
    </w:lvl>
    <w:lvl w:ilvl="1" w:tentative="0">
      <w:start w:val="1"/>
      <w:numFmt w:val="decimal"/>
      <w:lvlText w:val="%1.%2"/>
      <w:lvlJc w:val="left"/>
      <w:pPr>
        <w:ind w:left="798" w:hanging="466"/>
      </w:pPr>
      <w:rPr>
        <w:rFonts w:hint="default" w:ascii="宋体" w:hAnsi="宋体" w:eastAsia="宋体" w:cs="宋体"/>
        <w:spacing w:val="-5"/>
        <w:w w:val="100"/>
        <w:sz w:val="24"/>
        <w:szCs w:val="24"/>
        <w:lang w:val="zh-CN" w:eastAsia="zh-CN" w:bidi="zh-CN"/>
      </w:rPr>
    </w:lvl>
    <w:lvl w:ilvl="2" w:tentative="0">
      <w:start w:val="1"/>
      <w:numFmt w:val="decimal"/>
      <w:lvlText w:val="%1.%2.%3"/>
      <w:lvlJc w:val="left"/>
      <w:pPr>
        <w:ind w:left="1000" w:hanging="668"/>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1000" w:hanging="668"/>
      </w:pPr>
      <w:rPr>
        <w:rFonts w:hint="default"/>
        <w:lang w:val="zh-CN" w:eastAsia="zh-CN" w:bidi="zh-CN"/>
      </w:rPr>
    </w:lvl>
    <w:lvl w:ilvl="4" w:tentative="0">
      <w:start w:val="0"/>
      <w:numFmt w:val="bullet"/>
      <w:lvlText w:val="•"/>
      <w:lvlJc w:val="left"/>
      <w:pPr>
        <w:ind w:left="1240" w:hanging="668"/>
      </w:pPr>
      <w:rPr>
        <w:rFonts w:hint="default"/>
        <w:lang w:val="zh-CN" w:eastAsia="zh-CN" w:bidi="zh-CN"/>
      </w:rPr>
    </w:lvl>
    <w:lvl w:ilvl="5" w:tentative="0">
      <w:start w:val="0"/>
      <w:numFmt w:val="bullet"/>
      <w:lvlText w:val="•"/>
      <w:lvlJc w:val="left"/>
      <w:pPr>
        <w:ind w:left="1460" w:hanging="668"/>
      </w:pPr>
      <w:rPr>
        <w:rFonts w:hint="default"/>
        <w:lang w:val="zh-CN" w:eastAsia="zh-CN" w:bidi="zh-CN"/>
      </w:rPr>
    </w:lvl>
    <w:lvl w:ilvl="6" w:tentative="0">
      <w:start w:val="0"/>
      <w:numFmt w:val="bullet"/>
      <w:lvlText w:val="•"/>
      <w:lvlJc w:val="left"/>
      <w:pPr>
        <w:ind w:left="3297" w:hanging="668"/>
      </w:pPr>
      <w:rPr>
        <w:rFonts w:hint="default"/>
        <w:lang w:val="zh-CN" w:eastAsia="zh-CN" w:bidi="zh-CN"/>
      </w:rPr>
    </w:lvl>
    <w:lvl w:ilvl="7" w:tentative="0">
      <w:start w:val="0"/>
      <w:numFmt w:val="bullet"/>
      <w:lvlText w:val="•"/>
      <w:lvlJc w:val="left"/>
      <w:pPr>
        <w:ind w:left="5134" w:hanging="668"/>
      </w:pPr>
      <w:rPr>
        <w:rFonts w:hint="default"/>
        <w:lang w:val="zh-CN" w:eastAsia="zh-CN" w:bidi="zh-CN"/>
      </w:rPr>
    </w:lvl>
    <w:lvl w:ilvl="8" w:tentative="0">
      <w:start w:val="0"/>
      <w:numFmt w:val="bullet"/>
      <w:lvlText w:val="•"/>
      <w:lvlJc w:val="left"/>
      <w:pPr>
        <w:ind w:left="6971" w:hanging="668"/>
      </w:pPr>
      <w:rPr>
        <w:rFonts w:hint="default"/>
        <w:lang w:val="zh-CN" w:eastAsia="zh-CN" w:bidi="zh-CN"/>
      </w:rPr>
    </w:lvl>
  </w:abstractNum>
  <w:abstractNum w:abstractNumId="9">
    <w:nsid w:val="25B654F3"/>
    <w:multiLevelType w:val="multilevel"/>
    <w:tmpl w:val="25B654F3"/>
    <w:lvl w:ilvl="0" w:tentative="0">
      <w:start w:val="2"/>
      <w:numFmt w:val="decimal"/>
      <w:lvlText w:val="%1"/>
      <w:lvlJc w:val="left"/>
      <w:pPr>
        <w:ind w:left="1240" w:hanging="420"/>
      </w:pPr>
      <w:rPr>
        <w:rFonts w:hint="default"/>
        <w:lang w:val="zh-CN" w:eastAsia="zh-CN" w:bidi="zh-CN"/>
      </w:rPr>
    </w:lvl>
    <w:lvl w:ilvl="1" w:tentative="0">
      <w:start w:val="1"/>
      <w:numFmt w:val="decimal"/>
      <w:lvlText w:val="%1.%2"/>
      <w:lvlJc w:val="left"/>
      <w:pPr>
        <w:ind w:left="1240" w:hanging="420"/>
      </w:pPr>
      <w:rPr>
        <w:rFonts w:hint="default" w:ascii="宋体" w:hAnsi="宋体" w:eastAsia="宋体" w:cs="宋体"/>
        <w:spacing w:val="-12"/>
        <w:w w:val="100"/>
        <w:sz w:val="24"/>
        <w:szCs w:val="24"/>
        <w:lang w:val="zh-CN" w:eastAsia="zh-CN" w:bidi="zh-CN"/>
      </w:rPr>
    </w:lvl>
    <w:lvl w:ilvl="2" w:tentative="0">
      <w:start w:val="1"/>
      <w:numFmt w:val="decimal"/>
      <w:lvlText w:val="%1.%2.%3"/>
      <w:lvlJc w:val="left"/>
      <w:pPr>
        <w:ind w:left="332" w:hanging="636"/>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1460" w:hanging="636"/>
      </w:pPr>
      <w:rPr>
        <w:rFonts w:hint="default"/>
        <w:lang w:val="zh-CN" w:eastAsia="zh-CN" w:bidi="zh-CN"/>
      </w:rPr>
    </w:lvl>
    <w:lvl w:ilvl="4" w:tentative="0">
      <w:start w:val="0"/>
      <w:numFmt w:val="bullet"/>
      <w:lvlText w:val="•"/>
      <w:lvlJc w:val="left"/>
      <w:pPr>
        <w:ind w:left="1560" w:hanging="636"/>
      </w:pPr>
      <w:rPr>
        <w:rFonts w:hint="default"/>
        <w:lang w:val="zh-CN" w:eastAsia="zh-CN" w:bidi="zh-CN"/>
      </w:rPr>
    </w:lvl>
    <w:lvl w:ilvl="5" w:tentative="0">
      <w:start w:val="0"/>
      <w:numFmt w:val="bullet"/>
      <w:lvlText w:val="•"/>
      <w:lvlJc w:val="left"/>
      <w:pPr>
        <w:ind w:left="1589" w:hanging="636"/>
      </w:pPr>
      <w:rPr>
        <w:rFonts w:hint="default"/>
        <w:lang w:val="zh-CN" w:eastAsia="zh-CN" w:bidi="zh-CN"/>
      </w:rPr>
    </w:lvl>
    <w:lvl w:ilvl="6" w:tentative="0">
      <w:start w:val="0"/>
      <w:numFmt w:val="bullet"/>
      <w:lvlText w:val="•"/>
      <w:lvlJc w:val="left"/>
      <w:pPr>
        <w:ind w:left="1618" w:hanging="636"/>
      </w:pPr>
      <w:rPr>
        <w:rFonts w:hint="default"/>
        <w:lang w:val="zh-CN" w:eastAsia="zh-CN" w:bidi="zh-CN"/>
      </w:rPr>
    </w:lvl>
    <w:lvl w:ilvl="7" w:tentative="0">
      <w:start w:val="0"/>
      <w:numFmt w:val="bullet"/>
      <w:lvlText w:val="•"/>
      <w:lvlJc w:val="left"/>
      <w:pPr>
        <w:ind w:left="1648" w:hanging="636"/>
      </w:pPr>
      <w:rPr>
        <w:rFonts w:hint="default"/>
        <w:lang w:val="zh-CN" w:eastAsia="zh-CN" w:bidi="zh-CN"/>
      </w:rPr>
    </w:lvl>
    <w:lvl w:ilvl="8" w:tentative="0">
      <w:start w:val="0"/>
      <w:numFmt w:val="bullet"/>
      <w:lvlText w:val="•"/>
      <w:lvlJc w:val="left"/>
      <w:pPr>
        <w:ind w:left="1677" w:hanging="636"/>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649" w:hanging="317"/>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332" w:hanging="212"/>
      </w:pPr>
      <w:rPr>
        <w:rFonts w:hint="default" w:ascii="宋体" w:hAnsi="宋体" w:eastAsia="宋体" w:cs="宋体"/>
        <w:spacing w:val="-4"/>
        <w:w w:val="99"/>
        <w:sz w:val="19"/>
        <w:szCs w:val="19"/>
        <w:lang w:val="zh-CN" w:eastAsia="zh-CN" w:bidi="zh-CN"/>
      </w:rPr>
    </w:lvl>
    <w:lvl w:ilvl="2" w:tentative="0">
      <w:start w:val="0"/>
      <w:numFmt w:val="bullet"/>
      <w:lvlText w:val="•"/>
      <w:lvlJc w:val="left"/>
      <w:pPr>
        <w:ind w:left="1751" w:hanging="212"/>
      </w:pPr>
      <w:rPr>
        <w:rFonts w:hint="default"/>
        <w:lang w:val="zh-CN" w:eastAsia="zh-CN" w:bidi="zh-CN"/>
      </w:rPr>
    </w:lvl>
    <w:lvl w:ilvl="3" w:tentative="0">
      <w:start w:val="0"/>
      <w:numFmt w:val="bullet"/>
      <w:lvlText w:val="•"/>
      <w:lvlJc w:val="left"/>
      <w:pPr>
        <w:ind w:left="2863" w:hanging="212"/>
      </w:pPr>
      <w:rPr>
        <w:rFonts w:hint="default"/>
        <w:lang w:val="zh-CN" w:eastAsia="zh-CN" w:bidi="zh-CN"/>
      </w:rPr>
    </w:lvl>
    <w:lvl w:ilvl="4" w:tentative="0">
      <w:start w:val="0"/>
      <w:numFmt w:val="bullet"/>
      <w:lvlText w:val="•"/>
      <w:lvlJc w:val="left"/>
      <w:pPr>
        <w:ind w:left="3975" w:hanging="212"/>
      </w:pPr>
      <w:rPr>
        <w:rFonts w:hint="default"/>
        <w:lang w:val="zh-CN" w:eastAsia="zh-CN" w:bidi="zh-CN"/>
      </w:rPr>
    </w:lvl>
    <w:lvl w:ilvl="5" w:tentative="0">
      <w:start w:val="0"/>
      <w:numFmt w:val="bullet"/>
      <w:lvlText w:val="•"/>
      <w:lvlJc w:val="left"/>
      <w:pPr>
        <w:ind w:left="5087" w:hanging="212"/>
      </w:pPr>
      <w:rPr>
        <w:rFonts w:hint="default"/>
        <w:lang w:val="zh-CN" w:eastAsia="zh-CN" w:bidi="zh-CN"/>
      </w:rPr>
    </w:lvl>
    <w:lvl w:ilvl="6" w:tentative="0">
      <w:start w:val="0"/>
      <w:numFmt w:val="bullet"/>
      <w:lvlText w:val="•"/>
      <w:lvlJc w:val="left"/>
      <w:pPr>
        <w:ind w:left="6198" w:hanging="212"/>
      </w:pPr>
      <w:rPr>
        <w:rFonts w:hint="default"/>
        <w:lang w:val="zh-CN" w:eastAsia="zh-CN" w:bidi="zh-CN"/>
      </w:rPr>
    </w:lvl>
    <w:lvl w:ilvl="7" w:tentative="0">
      <w:start w:val="0"/>
      <w:numFmt w:val="bullet"/>
      <w:lvlText w:val="•"/>
      <w:lvlJc w:val="left"/>
      <w:pPr>
        <w:ind w:left="7310" w:hanging="212"/>
      </w:pPr>
      <w:rPr>
        <w:rFonts w:hint="default"/>
        <w:lang w:val="zh-CN" w:eastAsia="zh-CN" w:bidi="zh-CN"/>
      </w:rPr>
    </w:lvl>
    <w:lvl w:ilvl="8" w:tentative="0">
      <w:start w:val="0"/>
      <w:numFmt w:val="bullet"/>
      <w:lvlText w:val="•"/>
      <w:lvlJc w:val="left"/>
      <w:pPr>
        <w:ind w:left="8422" w:hanging="212"/>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1134" w:hanging="322"/>
      </w:pPr>
      <w:rPr>
        <w:rFonts w:hint="default" w:ascii="Arial" w:hAnsi="Arial" w:eastAsia="Arial" w:cs="Arial"/>
        <w:spacing w:val="-13"/>
        <w:w w:val="100"/>
        <w:sz w:val="24"/>
        <w:szCs w:val="24"/>
        <w:lang w:val="zh-CN" w:eastAsia="zh-CN" w:bidi="zh-CN"/>
      </w:rPr>
    </w:lvl>
    <w:lvl w:ilvl="1" w:tentative="0">
      <w:start w:val="0"/>
      <w:numFmt w:val="bullet"/>
      <w:lvlText w:val="•"/>
      <w:lvlJc w:val="left"/>
      <w:pPr>
        <w:ind w:left="2090" w:hanging="322"/>
      </w:pPr>
      <w:rPr>
        <w:rFonts w:hint="default"/>
        <w:lang w:val="zh-CN" w:eastAsia="zh-CN" w:bidi="zh-CN"/>
      </w:rPr>
    </w:lvl>
    <w:lvl w:ilvl="2" w:tentative="0">
      <w:start w:val="0"/>
      <w:numFmt w:val="bullet"/>
      <w:lvlText w:val="•"/>
      <w:lvlJc w:val="left"/>
      <w:pPr>
        <w:ind w:left="3041" w:hanging="322"/>
      </w:pPr>
      <w:rPr>
        <w:rFonts w:hint="default"/>
        <w:lang w:val="zh-CN" w:eastAsia="zh-CN" w:bidi="zh-CN"/>
      </w:rPr>
    </w:lvl>
    <w:lvl w:ilvl="3" w:tentative="0">
      <w:start w:val="0"/>
      <w:numFmt w:val="bullet"/>
      <w:lvlText w:val="•"/>
      <w:lvlJc w:val="left"/>
      <w:pPr>
        <w:ind w:left="3991" w:hanging="322"/>
      </w:pPr>
      <w:rPr>
        <w:rFonts w:hint="default"/>
        <w:lang w:val="zh-CN" w:eastAsia="zh-CN" w:bidi="zh-CN"/>
      </w:rPr>
    </w:lvl>
    <w:lvl w:ilvl="4" w:tentative="0">
      <w:start w:val="0"/>
      <w:numFmt w:val="bullet"/>
      <w:lvlText w:val="•"/>
      <w:lvlJc w:val="left"/>
      <w:pPr>
        <w:ind w:left="4942" w:hanging="322"/>
      </w:pPr>
      <w:rPr>
        <w:rFonts w:hint="default"/>
        <w:lang w:val="zh-CN" w:eastAsia="zh-CN" w:bidi="zh-CN"/>
      </w:rPr>
    </w:lvl>
    <w:lvl w:ilvl="5" w:tentative="0">
      <w:start w:val="0"/>
      <w:numFmt w:val="bullet"/>
      <w:lvlText w:val="•"/>
      <w:lvlJc w:val="left"/>
      <w:pPr>
        <w:ind w:left="5893" w:hanging="322"/>
      </w:pPr>
      <w:rPr>
        <w:rFonts w:hint="default"/>
        <w:lang w:val="zh-CN" w:eastAsia="zh-CN" w:bidi="zh-CN"/>
      </w:rPr>
    </w:lvl>
    <w:lvl w:ilvl="6" w:tentative="0">
      <w:start w:val="0"/>
      <w:numFmt w:val="bullet"/>
      <w:lvlText w:val="•"/>
      <w:lvlJc w:val="left"/>
      <w:pPr>
        <w:ind w:left="6843" w:hanging="322"/>
      </w:pPr>
      <w:rPr>
        <w:rFonts w:hint="default"/>
        <w:lang w:val="zh-CN" w:eastAsia="zh-CN" w:bidi="zh-CN"/>
      </w:rPr>
    </w:lvl>
    <w:lvl w:ilvl="7" w:tentative="0">
      <w:start w:val="0"/>
      <w:numFmt w:val="bullet"/>
      <w:lvlText w:val="•"/>
      <w:lvlJc w:val="left"/>
      <w:pPr>
        <w:ind w:left="7794" w:hanging="322"/>
      </w:pPr>
      <w:rPr>
        <w:rFonts w:hint="default"/>
        <w:lang w:val="zh-CN" w:eastAsia="zh-CN" w:bidi="zh-CN"/>
      </w:rPr>
    </w:lvl>
    <w:lvl w:ilvl="8" w:tentative="0">
      <w:start w:val="0"/>
      <w:numFmt w:val="bullet"/>
      <w:lvlText w:val="•"/>
      <w:lvlJc w:val="left"/>
      <w:pPr>
        <w:ind w:left="8744" w:hanging="322"/>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332" w:hanging="219"/>
      </w:pPr>
      <w:rPr>
        <w:rFonts w:hint="default" w:ascii="宋体" w:hAnsi="宋体" w:eastAsia="宋体" w:cs="宋体"/>
        <w:spacing w:val="3"/>
        <w:w w:val="99"/>
        <w:sz w:val="19"/>
        <w:szCs w:val="19"/>
        <w:lang w:val="zh-CN" w:eastAsia="zh-CN" w:bidi="zh-CN"/>
      </w:rPr>
    </w:lvl>
    <w:lvl w:ilvl="1" w:tentative="0">
      <w:start w:val="0"/>
      <w:numFmt w:val="bullet"/>
      <w:lvlText w:val="•"/>
      <w:lvlJc w:val="left"/>
      <w:pPr>
        <w:ind w:left="1370" w:hanging="219"/>
      </w:pPr>
      <w:rPr>
        <w:rFonts w:hint="default"/>
        <w:lang w:val="zh-CN" w:eastAsia="zh-CN" w:bidi="zh-CN"/>
      </w:rPr>
    </w:lvl>
    <w:lvl w:ilvl="2" w:tentative="0">
      <w:start w:val="0"/>
      <w:numFmt w:val="bullet"/>
      <w:lvlText w:val="•"/>
      <w:lvlJc w:val="left"/>
      <w:pPr>
        <w:ind w:left="2401" w:hanging="219"/>
      </w:pPr>
      <w:rPr>
        <w:rFonts w:hint="default"/>
        <w:lang w:val="zh-CN" w:eastAsia="zh-CN" w:bidi="zh-CN"/>
      </w:rPr>
    </w:lvl>
    <w:lvl w:ilvl="3" w:tentative="0">
      <w:start w:val="0"/>
      <w:numFmt w:val="bullet"/>
      <w:lvlText w:val="•"/>
      <w:lvlJc w:val="left"/>
      <w:pPr>
        <w:ind w:left="3431" w:hanging="219"/>
      </w:pPr>
      <w:rPr>
        <w:rFonts w:hint="default"/>
        <w:lang w:val="zh-CN" w:eastAsia="zh-CN" w:bidi="zh-CN"/>
      </w:rPr>
    </w:lvl>
    <w:lvl w:ilvl="4" w:tentative="0">
      <w:start w:val="0"/>
      <w:numFmt w:val="bullet"/>
      <w:lvlText w:val="•"/>
      <w:lvlJc w:val="left"/>
      <w:pPr>
        <w:ind w:left="4462" w:hanging="219"/>
      </w:pPr>
      <w:rPr>
        <w:rFonts w:hint="default"/>
        <w:lang w:val="zh-CN" w:eastAsia="zh-CN" w:bidi="zh-CN"/>
      </w:rPr>
    </w:lvl>
    <w:lvl w:ilvl="5" w:tentative="0">
      <w:start w:val="0"/>
      <w:numFmt w:val="bullet"/>
      <w:lvlText w:val="•"/>
      <w:lvlJc w:val="left"/>
      <w:pPr>
        <w:ind w:left="5493" w:hanging="219"/>
      </w:pPr>
      <w:rPr>
        <w:rFonts w:hint="default"/>
        <w:lang w:val="zh-CN" w:eastAsia="zh-CN" w:bidi="zh-CN"/>
      </w:rPr>
    </w:lvl>
    <w:lvl w:ilvl="6" w:tentative="0">
      <w:start w:val="0"/>
      <w:numFmt w:val="bullet"/>
      <w:lvlText w:val="•"/>
      <w:lvlJc w:val="left"/>
      <w:pPr>
        <w:ind w:left="6523" w:hanging="219"/>
      </w:pPr>
      <w:rPr>
        <w:rFonts w:hint="default"/>
        <w:lang w:val="zh-CN" w:eastAsia="zh-CN" w:bidi="zh-CN"/>
      </w:rPr>
    </w:lvl>
    <w:lvl w:ilvl="7" w:tentative="0">
      <w:start w:val="0"/>
      <w:numFmt w:val="bullet"/>
      <w:lvlText w:val="•"/>
      <w:lvlJc w:val="left"/>
      <w:pPr>
        <w:ind w:left="7554" w:hanging="219"/>
      </w:pPr>
      <w:rPr>
        <w:rFonts w:hint="default"/>
        <w:lang w:val="zh-CN" w:eastAsia="zh-CN" w:bidi="zh-CN"/>
      </w:rPr>
    </w:lvl>
    <w:lvl w:ilvl="8" w:tentative="0">
      <w:start w:val="0"/>
      <w:numFmt w:val="bullet"/>
      <w:lvlText w:val="•"/>
      <w:lvlJc w:val="left"/>
      <w:pPr>
        <w:ind w:left="8584" w:hanging="219"/>
      </w:pPr>
      <w:rPr>
        <w:rFonts w:hint="default"/>
        <w:lang w:val="zh-CN" w:eastAsia="zh-CN" w:bidi="zh-CN"/>
      </w:rPr>
    </w:lvl>
  </w:abstractNum>
  <w:abstractNum w:abstractNumId="14">
    <w:nsid w:val="72183CF9"/>
    <w:multiLevelType w:val="multilevel"/>
    <w:tmpl w:val="72183CF9"/>
    <w:lvl w:ilvl="0" w:tentative="0">
      <w:start w:val="3"/>
      <w:numFmt w:val="decimal"/>
      <w:lvlText w:val="%1"/>
      <w:lvlJc w:val="left"/>
      <w:pPr>
        <w:ind w:left="1288" w:hanging="444"/>
      </w:pPr>
      <w:rPr>
        <w:rFonts w:hint="default"/>
        <w:lang w:val="zh-CN" w:eastAsia="zh-CN" w:bidi="zh-CN"/>
      </w:rPr>
    </w:lvl>
    <w:lvl w:ilvl="1" w:tentative="0">
      <w:start w:val="1"/>
      <w:numFmt w:val="decimal"/>
      <w:lvlText w:val="%1.%2"/>
      <w:lvlJc w:val="left"/>
      <w:pPr>
        <w:ind w:left="1288" w:hanging="444"/>
      </w:pPr>
      <w:rPr>
        <w:rFonts w:hint="default" w:ascii="宋体" w:hAnsi="宋体" w:eastAsia="宋体" w:cs="宋体"/>
        <w:spacing w:val="-12"/>
        <w:w w:val="100"/>
        <w:sz w:val="24"/>
        <w:szCs w:val="24"/>
        <w:lang w:val="zh-CN" w:eastAsia="zh-CN" w:bidi="zh-CN"/>
      </w:rPr>
    </w:lvl>
    <w:lvl w:ilvl="2" w:tentative="0">
      <w:start w:val="1"/>
      <w:numFmt w:val="decimal"/>
      <w:lvlText w:val="%1.%2.%3"/>
      <w:lvlJc w:val="left"/>
      <w:pPr>
        <w:ind w:left="332" w:hanging="665"/>
      </w:pPr>
      <w:rPr>
        <w:rFonts w:hint="default" w:ascii="宋体" w:hAnsi="宋体" w:eastAsia="宋体" w:cs="宋体"/>
        <w:spacing w:val="-10"/>
        <w:w w:val="100"/>
        <w:sz w:val="24"/>
        <w:szCs w:val="24"/>
        <w:lang w:val="zh-CN" w:eastAsia="zh-CN" w:bidi="zh-CN"/>
      </w:rPr>
    </w:lvl>
    <w:lvl w:ilvl="3" w:tentative="0">
      <w:start w:val="0"/>
      <w:numFmt w:val="bullet"/>
      <w:lvlText w:val="•"/>
      <w:lvlJc w:val="left"/>
      <w:pPr>
        <w:ind w:left="2695" w:hanging="665"/>
      </w:pPr>
      <w:rPr>
        <w:rFonts w:hint="default"/>
        <w:lang w:val="zh-CN" w:eastAsia="zh-CN" w:bidi="zh-CN"/>
      </w:rPr>
    </w:lvl>
    <w:lvl w:ilvl="4" w:tentative="0">
      <w:start w:val="0"/>
      <w:numFmt w:val="bullet"/>
      <w:lvlText w:val="•"/>
      <w:lvlJc w:val="left"/>
      <w:pPr>
        <w:ind w:left="3831" w:hanging="665"/>
      </w:pPr>
      <w:rPr>
        <w:rFonts w:hint="default"/>
        <w:lang w:val="zh-CN" w:eastAsia="zh-CN" w:bidi="zh-CN"/>
      </w:rPr>
    </w:lvl>
    <w:lvl w:ilvl="5" w:tentative="0">
      <w:start w:val="0"/>
      <w:numFmt w:val="bullet"/>
      <w:lvlText w:val="•"/>
      <w:lvlJc w:val="left"/>
      <w:pPr>
        <w:ind w:left="4967" w:hanging="665"/>
      </w:pPr>
      <w:rPr>
        <w:rFonts w:hint="default"/>
        <w:lang w:val="zh-CN" w:eastAsia="zh-CN" w:bidi="zh-CN"/>
      </w:rPr>
    </w:lvl>
    <w:lvl w:ilvl="6" w:tentative="0">
      <w:start w:val="0"/>
      <w:numFmt w:val="bullet"/>
      <w:lvlText w:val="•"/>
      <w:lvlJc w:val="left"/>
      <w:pPr>
        <w:ind w:left="6103" w:hanging="665"/>
      </w:pPr>
      <w:rPr>
        <w:rFonts w:hint="default"/>
        <w:lang w:val="zh-CN" w:eastAsia="zh-CN" w:bidi="zh-CN"/>
      </w:rPr>
    </w:lvl>
    <w:lvl w:ilvl="7" w:tentative="0">
      <w:start w:val="0"/>
      <w:numFmt w:val="bullet"/>
      <w:lvlText w:val="•"/>
      <w:lvlJc w:val="left"/>
      <w:pPr>
        <w:ind w:left="7238" w:hanging="665"/>
      </w:pPr>
      <w:rPr>
        <w:rFonts w:hint="default"/>
        <w:lang w:val="zh-CN" w:eastAsia="zh-CN" w:bidi="zh-CN"/>
      </w:rPr>
    </w:lvl>
    <w:lvl w:ilvl="8" w:tentative="0">
      <w:start w:val="0"/>
      <w:numFmt w:val="bullet"/>
      <w:lvlText w:val="•"/>
      <w:lvlJc w:val="left"/>
      <w:pPr>
        <w:ind w:left="8374" w:hanging="665"/>
      </w:pPr>
      <w:rPr>
        <w:rFonts w:hint="default"/>
        <w:lang w:val="zh-CN" w:eastAsia="zh-CN" w:bidi="zh-CN"/>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5"/>
  </w:num>
  <w:num w:numId="10">
    <w:abstractNumId w:val="7"/>
  </w:num>
  <w:num w:numId="11">
    <w:abstractNumId w:val="0"/>
  </w:num>
  <w:num w:numId="12">
    <w:abstractNumId w:val="1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964DD"/>
    <w:rsid w:val="1BE964DD"/>
    <w:rsid w:val="22DC5F7B"/>
    <w:rsid w:val="2A3464FF"/>
    <w:rsid w:val="2F3D74D8"/>
    <w:rsid w:val="377B5B1D"/>
    <w:rsid w:val="3A73117F"/>
    <w:rsid w:val="43EF085B"/>
    <w:rsid w:val="45A50F31"/>
    <w:rsid w:val="4CEA15D9"/>
    <w:rsid w:val="4EAC62FC"/>
    <w:rsid w:val="6FF7644E"/>
    <w:rsid w:val="72F728B6"/>
    <w:rsid w:val="7C04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32"/>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575" w:right="905"/>
      <w:jc w:val="center"/>
      <w:outlineLvl w:val="2"/>
    </w:pPr>
    <w:rPr>
      <w:rFonts w:ascii="宋体" w:hAnsi="宋体" w:eastAsia="宋体" w:cs="宋体"/>
      <w:sz w:val="32"/>
      <w:szCs w:val="32"/>
      <w:lang w:val="zh-CN" w:eastAsia="zh-CN" w:bidi="zh-CN"/>
    </w:rPr>
  </w:style>
  <w:style w:type="paragraph" w:styleId="4">
    <w:name w:val="heading 3"/>
    <w:basedOn w:val="1"/>
    <w:next w:val="1"/>
    <w:qFormat/>
    <w:uiPriority w:val="1"/>
    <w:pPr>
      <w:spacing w:before="58"/>
      <w:ind w:right="905"/>
      <w:jc w:val="center"/>
      <w:outlineLvl w:val="3"/>
    </w:pPr>
    <w:rPr>
      <w:rFonts w:ascii="宋体" w:hAnsi="宋体" w:eastAsia="宋体" w:cs="宋体"/>
      <w:sz w:val="30"/>
      <w:szCs w:val="30"/>
      <w:lang w:val="zh-CN" w:eastAsia="zh-CN" w:bidi="zh-CN"/>
    </w:rPr>
  </w:style>
  <w:style w:type="paragraph" w:styleId="5">
    <w:name w:val="heading 4"/>
    <w:basedOn w:val="1"/>
    <w:next w:val="1"/>
    <w:qFormat/>
    <w:uiPriority w:val="1"/>
    <w:pPr>
      <w:ind w:left="332" w:right="905"/>
      <w:jc w:val="center"/>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332"/>
      <w:outlineLvl w:val="5"/>
    </w:pPr>
    <w:rPr>
      <w:rFonts w:ascii="仿宋" w:hAnsi="仿宋" w:eastAsia="仿宋" w:cs="仿宋"/>
      <w:b/>
      <w:bCs/>
      <w:sz w:val="24"/>
      <w:szCs w:val="2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332" w:firstLine="48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2024-08-28T07:01:00Z</dcterms:created>
  <dc:creator>左上、</dc:creator>
  <cp:lastModifiedBy>左上、</cp:lastModifiedBy>
  <dcterms:modified xsi:type="dcterms:W3CDTF">2024-09-14T07:51:32Z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