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1687" w:firstLineChars="200"/>
        <w:jc w:val="both"/>
        <w:rPr>
          <w:rFonts w:hint="eastAsia" w:eastAsia="黑体"/>
          <w:b/>
          <w:bCs/>
          <w:sz w:val="84"/>
        </w:rPr>
      </w:pPr>
      <w:bookmarkStart w:id="249" w:name="_GoBack"/>
      <w:bookmarkEnd w:id="249"/>
    </w:p>
    <w:p>
      <w:pPr>
        <w:pStyle w:val="22"/>
        <w:ind w:firstLine="1687" w:firstLineChars="200"/>
        <w:jc w:val="both"/>
        <w:rPr>
          <w:rFonts w:hint="eastAsia" w:eastAsia="黑体"/>
          <w:b/>
          <w:bCs/>
          <w:sz w:val="84"/>
        </w:rPr>
      </w:pPr>
    </w:p>
    <w:p>
      <w:pPr>
        <w:pStyle w:val="22"/>
        <w:ind w:firstLine="1687" w:firstLineChars="200"/>
        <w:jc w:val="both"/>
        <w:rPr>
          <w:rFonts w:hint="eastAsia" w:eastAsia="黑体"/>
          <w:b/>
          <w:bCs/>
          <w:sz w:val="84"/>
        </w:rPr>
      </w:pPr>
      <w:r>
        <w:rPr>
          <w:rFonts w:hint="eastAsia" w:eastAsia="黑体"/>
          <w:b/>
          <w:bCs/>
          <w:sz w:val="84"/>
        </w:rPr>
        <w:t>招　标　文　件</w:t>
      </w:r>
    </w:p>
    <w:p>
      <w:pPr>
        <w:pStyle w:val="22"/>
        <w:ind w:firstLine="0"/>
        <w:rPr>
          <w:b/>
          <w:bCs/>
          <w:sz w:val="32"/>
        </w:rPr>
      </w:pPr>
    </w:p>
    <w:p>
      <w:pPr>
        <w:pStyle w:val="22"/>
        <w:ind w:left="1605" w:leftChars="458" w:hanging="643" w:hangingChars="200"/>
        <w:jc w:val="both"/>
        <w:rPr>
          <w:rFonts w:hint="default" w:eastAsia="宋体" w:cs="Times New Roman"/>
          <w:b/>
          <w:bCs/>
          <w:sz w:val="32"/>
          <w:lang w:val="en-US" w:eastAsia="zh-CN"/>
        </w:rPr>
      </w:pPr>
      <w:r>
        <w:rPr>
          <w:rFonts w:hint="eastAsia"/>
          <w:b/>
          <w:bCs/>
          <w:sz w:val="32"/>
        </w:rPr>
        <w:t>项</w:t>
      </w:r>
      <w:r>
        <w:rPr>
          <w:rFonts w:hint="eastAsia" w:ascii="Arial" w:hAnsi="Arial"/>
          <w:b/>
          <w:bCs/>
          <w:sz w:val="32"/>
        </w:rPr>
        <w:t>目名称：</w:t>
      </w:r>
      <w:r>
        <w:rPr>
          <w:rFonts w:hint="eastAsia"/>
          <w:b/>
          <w:bCs/>
          <w:sz w:val="32"/>
          <w:lang w:val="en-US" w:eastAsia="zh-CN"/>
        </w:rPr>
        <w:t>昌吉州公共体育场地设施建设项目（二次）</w:t>
      </w:r>
    </w:p>
    <w:p>
      <w:pPr>
        <w:pStyle w:val="22"/>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53-1</w:t>
      </w:r>
    </w:p>
    <w:p>
      <w:pPr>
        <w:pStyle w:val="22"/>
        <w:spacing w:before="0" w:after="0"/>
        <w:ind w:firstLine="0"/>
        <w:rPr>
          <w:rFonts w:hint="eastAsia" w:ascii="宋体" w:hAnsi="宋体"/>
        </w:rPr>
      </w:pPr>
      <w:r>
        <w:rPr>
          <w:rFonts w:hint="eastAsia" w:ascii="宋体" w:hAnsi="宋体"/>
        </w:rPr>
        <w:t xml:space="preserve">                     </w:t>
      </w:r>
    </w:p>
    <w:p>
      <w:pPr>
        <w:pStyle w:val="22"/>
        <w:ind w:firstLine="0"/>
        <w:jc w:val="center"/>
        <w:rPr>
          <w:rFonts w:hint="eastAsia"/>
          <w:b/>
          <w:bCs/>
          <w:sz w:val="32"/>
        </w:rPr>
      </w:pPr>
    </w:p>
    <w:p>
      <w:pPr>
        <w:pStyle w:val="22"/>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2"/>
        <w:tabs>
          <w:tab w:val="left" w:pos="1131"/>
        </w:tabs>
        <w:ind w:firstLine="0"/>
        <w:jc w:val="left"/>
        <w:rPr>
          <w:rFonts w:hint="eastAsia"/>
          <w:b/>
          <w:bCs/>
          <w:sz w:val="32"/>
          <w:lang w:eastAsia="zh-CN"/>
        </w:rPr>
      </w:pPr>
      <w:r>
        <w:rPr>
          <w:rFonts w:hint="eastAsia"/>
          <w:b/>
          <w:bCs/>
          <w:sz w:val="32"/>
          <w:lang w:eastAsia="zh-CN"/>
        </w:rPr>
        <w:tab/>
      </w:r>
    </w:p>
    <w:p>
      <w:pPr>
        <w:pStyle w:val="22"/>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2"/>
        <w:ind w:firstLine="0"/>
        <w:jc w:val="center"/>
        <w:rPr>
          <w:rFonts w:hint="eastAsia"/>
          <w:b/>
          <w:bCs/>
          <w:sz w:val="32"/>
        </w:rPr>
      </w:pPr>
    </w:p>
    <w:p>
      <w:pPr>
        <w:pStyle w:val="22"/>
        <w:ind w:firstLine="0"/>
        <w:jc w:val="center"/>
        <w:rPr>
          <w:rFonts w:hint="eastAsia"/>
          <w:b/>
          <w:bCs/>
          <w:sz w:val="32"/>
        </w:rPr>
      </w:pPr>
    </w:p>
    <w:p>
      <w:pPr>
        <w:pStyle w:val="22"/>
        <w:ind w:firstLine="0"/>
        <w:jc w:val="center"/>
        <w:rPr>
          <w:rFonts w:hint="eastAsia"/>
          <w:b/>
          <w:bCs/>
          <w:sz w:val="32"/>
        </w:rPr>
      </w:pPr>
    </w:p>
    <w:p>
      <w:pPr>
        <w:pStyle w:val="22"/>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2"/>
        <w:ind w:firstLine="0"/>
        <w:jc w:val="center"/>
        <w:rPr>
          <w:rFonts w:hint="eastAsia"/>
        </w:rPr>
      </w:pPr>
      <w:r>
        <w:rPr>
          <w:rFonts w:hint="eastAsia" w:cs="Times New Roman"/>
          <w:b/>
          <w:bCs/>
          <w:sz w:val="32"/>
          <w:lang w:val="en-US" w:eastAsia="zh-CN"/>
        </w:rPr>
        <w:t>2025</w:t>
      </w:r>
      <w:r>
        <w:rPr>
          <w:rFonts w:hint="eastAsia" w:ascii="Arial" w:hAnsi="Arial" w:eastAsia="宋体" w:cs="Times New Roman"/>
          <w:b/>
          <w:bCs/>
          <w:sz w:val="32"/>
        </w:rPr>
        <w:t>年</w:t>
      </w:r>
      <w:r>
        <w:rPr>
          <w:rFonts w:hint="eastAsia" w:cs="Times New Roman"/>
          <w:b/>
          <w:bCs/>
          <w:sz w:val="32"/>
          <w:lang w:val="en-US" w:eastAsia="zh-CN"/>
        </w:rPr>
        <w:t>1</w:t>
      </w:r>
      <w:r>
        <w:rPr>
          <w:rFonts w:hint="eastAsia" w:ascii="Arial" w:hAnsi="Arial" w:eastAsia="宋体" w:cs="Times New Roman"/>
          <w:b/>
          <w:bCs/>
          <w:sz w:val="32"/>
        </w:rPr>
        <w:t>月</w:t>
      </w:r>
      <w:r>
        <w:rPr>
          <w:rFonts w:hint="eastAsia" w:cs="Times New Roman"/>
          <w:b/>
          <w:bCs/>
          <w:sz w:val="32"/>
          <w:lang w:val="en-US" w:eastAsia="zh-CN"/>
        </w:rPr>
        <w:t>6</w:t>
      </w:r>
      <w:r>
        <w:rPr>
          <w:b/>
          <w:bCs/>
          <w:sz w:val="32"/>
        </w:rPr>
        <w:t>日</w:t>
      </w:r>
    </w:p>
    <w:p>
      <w:pPr>
        <w:rPr>
          <w:rFonts w:hint="eastAsia"/>
        </w:rPr>
      </w:pPr>
      <w:r>
        <w:br w:type="page"/>
      </w:r>
      <w:bookmarkStart w:id="0" w:name="_Toc120614210"/>
      <w:bookmarkStart w:id="1" w:name="_Toc494375077"/>
      <w:bookmarkStart w:id="2" w:name="_Toc479757206"/>
      <w:bookmarkStart w:id="3" w:name="_Toc20823272"/>
      <w:bookmarkStart w:id="4" w:name="_Toc16938516"/>
      <w:bookmarkStart w:id="5" w:name="_Toc513029200"/>
      <w:bookmarkStart w:id="6" w:name="_Toc523127445"/>
    </w:p>
    <w:p>
      <w:pPr>
        <w:pStyle w:val="23"/>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4"/>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第一章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第二章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第三章</w:t>
      </w:r>
      <w:r>
        <w:rPr>
          <w:rStyle w:val="21"/>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第四章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第五章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第六章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rPr>
      </w:pPr>
      <w:bookmarkStart w:id="7" w:name="_Toc534816625"/>
      <w:bookmarkStart w:id="8" w:name="_Toc534725596"/>
      <w:r>
        <w:rPr>
          <w:rFonts w:hint="eastAsia"/>
        </w:rPr>
        <w:t xml:space="preserve">第一章  </w:t>
      </w:r>
      <w:bookmarkEnd w:id="0"/>
      <w:r>
        <w:rPr>
          <w:rFonts w:hint="eastAsia"/>
        </w:rPr>
        <w:t>投标邀请</w:t>
      </w:r>
      <w:bookmarkEnd w:id="1"/>
      <w:bookmarkEnd w:id="7"/>
      <w:bookmarkEnd w:id="8"/>
    </w:p>
    <w:p>
      <w:pPr>
        <w:pStyle w:val="22"/>
        <w:pageBreakBefore w:val="0"/>
        <w:widowControl w:val="0"/>
        <w:kinsoku/>
        <w:overflowPunct/>
        <w:topLinePunct w:val="0"/>
        <w:bidi w:val="0"/>
        <w:spacing w:line="460" w:lineRule="exact"/>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中心现就</w:t>
      </w:r>
      <w:r>
        <w:rPr>
          <w:rFonts w:hint="eastAsia" w:hAnsi="宋体" w:eastAsia="宋体" w:cs="Times New Roman"/>
          <w:b w:val="0"/>
          <w:bCs w:val="0"/>
          <w:color w:val="auto"/>
          <w:highlight w:val="none"/>
          <w:u w:val="single"/>
          <w:lang w:eastAsia="zh-CN"/>
        </w:rPr>
        <w:t>（</w:t>
      </w:r>
      <w:r>
        <w:rPr>
          <w:rFonts w:hint="eastAsia" w:hAnsi="宋体" w:eastAsia="宋体" w:cs="Times New Roman"/>
          <w:b w:val="0"/>
          <w:bCs w:val="0"/>
          <w:color w:val="auto"/>
          <w:highlight w:val="none"/>
          <w:u w:val="single"/>
          <w:lang w:val="en-US" w:eastAsia="zh-CN"/>
        </w:rPr>
        <w:t>CJZFCG－GK-20240</w:t>
      </w:r>
      <w:r>
        <w:rPr>
          <w:rFonts w:hint="eastAsia" w:hAnsi="宋体" w:cs="Times New Roman"/>
          <w:b w:val="0"/>
          <w:bCs w:val="0"/>
          <w:color w:val="auto"/>
          <w:highlight w:val="none"/>
          <w:u w:val="single"/>
          <w:lang w:val="en-US" w:eastAsia="zh-CN"/>
        </w:rPr>
        <w:t>53-1）</w:t>
      </w:r>
      <w:r>
        <w:rPr>
          <w:rFonts w:hint="eastAsia" w:hAnsi="宋体" w:eastAsia="宋体" w:cs="Times New Roman"/>
          <w:b w:val="0"/>
          <w:bCs w:val="0"/>
          <w:color w:val="auto"/>
          <w:highlight w:val="none"/>
          <w:u w:val="single"/>
          <w:lang w:val="en-US" w:eastAsia="zh-CN"/>
        </w:rPr>
        <w:t>昌吉州公共体育场地设施建设项目</w:t>
      </w:r>
      <w:r>
        <w:rPr>
          <w:rFonts w:hint="eastAsia" w:hAnsi="宋体" w:cs="Times New Roman"/>
          <w:b w:val="0"/>
          <w:bCs w:val="0"/>
          <w:color w:val="auto"/>
          <w:highlight w:val="none"/>
          <w:u w:val="single"/>
          <w:lang w:val="en-US" w:eastAsia="zh-CN"/>
        </w:rPr>
        <w:t>（二次）</w:t>
      </w:r>
      <w:r>
        <w:rPr>
          <w:rFonts w:hint="eastAsia" w:hAnsi="宋体" w:eastAsia="宋体" w:cs="Times New Roman"/>
          <w:b w:val="0"/>
          <w:bCs w:val="0"/>
          <w:color w:val="auto"/>
          <w:highlight w:val="none"/>
          <w:u w:val="single"/>
          <w:lang w:val="en-US" w:eastAsia="zh-CN"/>
        </w:rPr>
        <w:t>，</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highlight w:val="none"/>
          <w:u w:val="single"/>
          <w:lang w:val="en-US" w:eastAsia="zh-CN"/>
        </w:rPr>
        <w:t>昌吉州公共体育场地设施建设项目</w:t>
      </w:r>
      <w:r>
        <w:rPr>
          <w:rFonts w:hint="eastAsia" w:ascii="宋体" w:hAnsi="宋体" w:cs="Times New Roman"/>
          <w:sz w:val="24"/>
          <w:szCs w:val="24"/>
          <w:highlight w:val="none"/>
          <w:u w:val="single"/>
          <w:lang w:val="en-US" w:eastAsia="zh-CN"/>
        </w:rPr>
        <w:t>（二次），</w:t>
      </w:r>
      <w:r>
        <w:rPr>
          <w:rFonts w:hint="eastAsia" w:ascii="宋体" w:hAnsi="宋体" w:eastAsia="宋体" w:cs="Times New Roman"/>
          <w:sz w:val="24"/>
          <w:szCs w:val="24"/>
          <w:highlight w:val="none"/>
          <w:u w:val="single"/>
          <w:lang w:val="en-US" w:eastAsia="zh-CN"/>
        </w:rPr>
        <w:t>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r>
        <w:rPr>
          <w:rFonts w:hint="eastAsia" w:ascii="宋体" w:hAnsi="宋体" w:cs="Times New Roman"/>
          <w:sz w:val="24"/>
          <w:szCs w:val="24"/>
          <w:highlight w:val="none"/>
          <w:u w:val="single"/>
          <w:lang w:val="en-US" w:eastAsia="zh-CN"/>
        </w:rPr>
        <w:t>等设施</w:t>
      </w:r>
      <w:r>
        <w:rPr>
          <w:rFonts w:hint="eastAsia" w:ascii="宋体" w:hAnsi="宋体" w:eastAsia="宋体" w:cs="Times New Roman"/>
          <w:sz w:val="24"/>
          <w:szCs w:val="24"/>
          <w:highlight w:val="none"/>
          <w:u w:val="single"/>
          <w:lang w:val="en-US" w:eastAsia="zh-CN"/>
        </w:rPr>
        <w:t>进行采购，</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5</w:t>
      </w:r>
      <w:r>
        <w:rPr>
          <w:rFonts w:hint="eastAsia" w:ascii="宋体" w:hAnsi="宋体"/>
          <w:bCs/>
          <w:sz w:val="24"/>
          <w:szCs w:val="24"/>
          <w:u w:val="single"/>
        </w:rPr>
        <w:t xml:space="preserve">年 </w:t>
      </w:r>
      <w:r>
        <w:rPr>
          <w:rFonts w:hint="eastAsia" w:ascii="宋体" w:hAnsi="宋体"/>
          <w:bCs/>
          <w:sz w:val="24"/>
          <w:szCs w:val="24"/>
          <w:u w:val="single"/>
          <w:lang w:val="en-US" w:eastAsia="zh-CN"/>
        </w:rPr>
        <w:t>2</w:t>
      </w:r>
      <w:r>
        <w:rPr>
          <w:rFonts w:hint="eastAsia" w:ascii="宋体" w:hAnsi="宋体"/>
          <w:bCs/>
          <w:sz w:val="24"/>
          <w:szCs w:val="24"/>
          <w:u w:val="single"/>
        </w:rPr>
        <w:t>月</w:t>
      </w:r>
      <w:r>
        <w:rPr>
          <w:rFonts w:hint="eastAsia" w:ascii="宋体" w:hAnsi="宋体"/>
          <w:bCs/>
          <w:sz w:val="24"/>
          <w:szCs w:val="24"/>
          <w:u w:val="single"/>
          <w:lang w:val="en-US" w:eastAsia="zh-CN"/>
        </w:rPr>
        <w:t>06</w:t>
      </w:r>
      <w:r>
        <w:rPr>
          <w:rFonts w:hint="eastAsia" w:ascii="宋体" w:hAnsi="宋体"/>
          <w:bCs/>
          <w:sz w:val="24"/>
          <w:szCs w:val="24"/>
          <w:u w:val="single"/>
        </w:rPr>
        <w:t xml:space="preserve">日 </w:t>
      </w:r>
      <w:r>
        <w:rPr>
          <w:rFonts w:hint="eastAsia" w:ascii="宋体" w:hAnsi="宋体"/>
          <w:bCs/>
          <w:sz w:val="24"/>
          <w:szCs w:val="24"/>
          <w:u w:val="single"/>
          <w:lang w:val="en-US" w:eastAsia="zh-CN"/>
        </w:rPr>
        <w:t>10</w:t>
      </w:r>
      <w:r>
        <w:rPr>
          <w:rFonts w:hint="eastAsia" w:ascii="宋体" w:hAnsi="宋体"/>
          <w:bCs/>
          <w:sz w:val="24"/>
          <w:szCs w:val="24"/>
          <w:u w:val="single"/>
        </w:rPr>
        <w:t xml:space="preserve">点 </w:t>
      </w:r>
      <w:r>
        <w:rPr>
          <w:rFonts w:hint="eastAsia" w:ascii="宋体" w:hAnsi="宋体"/>
          <w:bCs/>
          <w:sz w:val="24"/>
          <w:szCs w:val="24"/>
          <w:u w:val="single"/>
          <w:lang w:val="en-US" w:eastAsia="zh-CN"/>
        </w:rPr>
        <w:t>30</w:t>
      </w:r>
      <w:r>
        <w:rPr>
          <w:rFonts w:hint="eastAsia" w:ascii="宋体" w:hAnsi="宋体"/>
          <w:bCs/>
          <w:sz w:val="24"/>
          <w:szCs w:val="24"/>
          <w:u w:val="single"/>
        </w:rPr>
        <w:t>分（北京时间）</w:t>
      </w:r>
      <w:r>
        <w:rPr>
          <w:rFonts w:hint="eastAsia" w:ascii="宋体" w:hAnsi="宋体"/>
          <w:bCs/>
          <w:sz w:val="24"/>
          <w:szCs w:val="24"/>
          <w:lang w:eastAsia="zh-CN"/>
        </w:rPr>
        <w:t>；</w:t>
      </w:r>
    </w:p>
    <w:p>
      <w:pPr>
        <w:pStyle w:val="22"/>
        <w:pageBreakBefore w:val="0"/>
        <w:widowControl w:val="0"/>
        <w:kinsoku/>
        <w:overflowPunct/>
        <w:topLinePunct w:val="0"/>
        <w:bidi w:val="0"/>
        <w:spacing w:line="460" w:lineRule="exact"/>
        <w:rPr>
          <w:rFonts w:hint="eastAsia" w:hAnsi="宋体"/>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sz w:val="24"/>
          <w:szCs w:val="24"/>
          <w:highlight w:val="none"/>
          <w:u w:val="single"/>
          <w:lang w:val="en-US" w:eastAsia="zh-CN"/>
        </w:rPr>
      </w:pPr>
      <w:r>
        <w:rPr>
          <w:rFonts w:hint="eastAsia" w:ascii="宋体" w:hAnsi="宋体"/>
          <w:sz w:val="24"/>
          <w:szCs w:val="24"/>
        </w:rPr>
        <w:t>1.</w:t>
      </w:r>
      <w:r>
        <w:rPr>
          <w:rFonts w:hint="eastAsia" w:hAnsi="宋体"/>
          <w:sz w:val="24"/>
          <w:szCs w:val="24"/>
        </w:rPr>
        <w:t>项目名称：</w:t>
      </w:r>
      <w:r>
        <w:rPr>
          <w:rFonts w:hint="eastAsia" w:ascii="宋体" w:hAnsi="宋体" w:eastAsia="宋体" w:cs="Times New Roman"/>
          <w:sz w:val="24"/>
          <w:szCs w:val="24"/>
          <w:highlight w:val="none"/>
          <w:u w:val="single"/>
          <w:lang w:val="en-US" w:eastAsia="zh-CN"/>
        </w:rPr>
        <w:t>昌吉州公共体育场地设施建设项目</w:t>
      </w:r>
      <w:r>
        <w:rPr>
          <w:rFonts w:hint="eastAsia" w:ascii="宋体" w:hAnsi="宋体" w:cs="Times New Roman"/>
          <w:sz w:val="24"/>
          <w:szCs w:val="24"/>
          <w:highlight w:val="none"/>
          <w:u w:val="single"/>
          <w:lang w:val="en-US" w:eastAsia="zh-CN"/>
        </w:rPr>
        <w:t>（二次）</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highlight w:val="none"/>
        </w:rPr>
        <w:t>2.</w:t>
      </w:r>
      <w:r>
        <w:rPr>
          <w:rFonts w:hint="eastAsia" w:hAnsi="宋体"/>
          <w:sz w:val="24"/>
          <w:szCs w:val="24"/>
          <w:highlight w:val="none"/>
        </w:rPr>
        <w:t>项目</w:t>
      </w:r>
      <w:r>
        <w:rPr>
          <w:rFonts w:hint="eastAsia" w:ascii="宋体" w:hAnsi="宋体"/>
          <w:sz w:val="24"/>
          <w:highlight w:val="none"/>
        </w:rPr>
        <w:t>编号：</w:t>
      </w:r>
      <w:r>
        <w:rPr>
          <w:rFonts w:hint="eastAsia" w:hAnsi="宋体"/>
          <w:sz w:val="24"/>
          <w:szCs w:val="24"/>
          <w:highlight w:val="none"/>
          <w:u w:val="single"/>
        </w:rPr>
        <w:t>CJZFCG－GK-20240</w:t>
      </w:r>
      <w:r>
        <w:rPr>
          <w:rFonts w:hint="eastAsia" w:hAnsi="宋体"/>
          <w:sz w:val="24"/>
          <w:szCs w:val="24"/>
          <w:highlight w:val="none"/>
          <w:u w:val="single"/>
          <w:lang w:val="en-US" w:eastAsia="zh-CN"/>
        </w:rPr>
        <w:t>53-1</w:t>
      </w:r>
    </w:p>
    <w:p>
      <w:pPr>
        <w:pageBreakBefore w:val="0"/>
        <w:widowControl w:val="0"/>
        <w:kinsoku/>
        <w:overflowPunct/>
        <w:topLinePunct w:val="0"/>
        <w:bidi w:val="0"/>
        <w:spacing w:line="460" w:lineRule="exact"/>
        <w:ind w:firstLine="480" w:firstLineChars="200"/>
        <w:rPr>
          <w:rFonts w:hint="eastAsia" w:ascii="宋体" w:hAnsi="宋体"/>
          <w:i/>
          <w:iCs/>
          <w:sz w:val="24"/>
          <w:szCs w:val="24"/>
          <w:highlight w:val="none"/>
          <w:u w:val="single"/>
        </w:rPr>
      </w:pPr>
      <w:r>
        <w:rPr>
          <w:rFonts w:hint="eastAsia" w:ascii="宋体" w:hAnsi="宋体"/>
          <w:sz w:val="24"/>
          <w:szCs w:val="24"/>
          <w:highlight w:val="none"/>
        </w:rPr>
        <w:t>3.预算金额：</w:t>
      </w:r>
      <w:r>
        <w:rPr>
          <w:rFonts w:hint="eastAsia" w:ascii="宋体" w:hAnsi="宋体"/>
          <w:i/>
          <w:iCs/>
          <w:sz w:val="24"/>
          <w:szCs w:val="24"/>
          <w:highlight w:val="none"/>
          <w:u w:val="single"/>
          <w:lang w:val="en-US" w:eastAsia="zh-CN"/>
        </w:rPr>
        <w:t>3580000</w:t>
      </w:r>
      <w:r>
        <w:rPr>
          <w:rFonts w:hint="eastAsia" w:ascii="宋体" w:hAnsi="宋体"/>
          <w:i/>
          <w:iCs/>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default" w:ascii="宋体" w:hAnsi="宋体" w:eastAsia="宋体" w:cs="宋体"/>
          <w:b w:val="0"/>
          <w:bCs w:val="0"/>
          <w:i/>
          <w:i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最高限价：</w:t>
      </w:r>
      <w:r>
        <w:rPr>
          <w:rFonts w:hint="eastAsia" w:ascii="宋体" w:hAnsi="宋体"/>
          <w:b w:val="0"/>
          <w:bCs/>
          <w:i/>
          <w:iCs/>
          <w:sz w:val="24"/>
          <w:szCs w:val="24"/>
          <w:highlight w:val="none"/>
          <w:u w:val="single"/>
          <w:lang w:val="en-US" w:eastAsia="zh-CN"/>
        </w:rPr>
        <w:t>3580000</w:t>
      </w:r>
      <w:r>
        <w:rPr>
          <w:rFonts w:hint="eastAsia" w:ascii="宋体" w:hAnsi="宋体"/>
          <w:b w:val="0"/>
          <w:bCs/>
          <w:i/>
          <w:iCs/>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对采购需求进行概述</w:t>
      </w:r>
    </w:p>
    <w:p>
      <w:pPr>
        <w:pStyle w:val="2"/>
        <w:pageBreakBefore w:val="0"/>
        <w:widowControl w:val="0"/>
        <w:kinsoku/>
        <w:overflowPunct/>
        <w:topLinePunct w:val="0"/>
        <w:bidi w:val="0"/>
        <w:spacing w:line="460" w:lineRule="exact"/>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single"/>
          <w:lang w:val="en-US" w:eastAsia="zh-CN"/>
        </w:rPr>
        <w:t xml:space="preserve">    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p>
    <w:p>
      <w:pPr>
        <w:pageBreakBefore w:val="0"/>
        <w:widowControl w:val="0"/>
        <w:numPr>
          <w:ilvl w:val="0"/>
          <w:numId w:val="0"/>
        </w:numPr>
        <w:kinsoku/>
        <w:overflowPunct/>
        <w:topLinePunct w:val="0"/>
        <w:bidi w:val="0"/>
        <w:spacing w:line="46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6.</w:t>
      </w:r>
      <w:r>
        <w:rPr>
          <w:rFonts w:hint="eastAsia" w:ascii="宋体" w:hAnsi="宋体"/>
          <w:sz w:val="24"/>
          <w:szCs w:val="24"/>
        </w:rPr>
        <w:t>合同履行期限：</w:t>
      </w:r>
      <w:r>
        <w:rPr>
          <w:rFonts w:hint="eastAsia" w:ascii="宋体" w:hAnsi="宋体"/>
          <w:i/>
          <w:iCs/>
          <w:sz w:val="24"/>
          <w:szCs w:val="24"/>
          <w:u w:val="single"/>
          <w:lang w:val="en-US" w:eastAsia="zh-CN"/>
        </w:rPr>
        <w:t>合同签订后180天内完成供货安装。</w:t>
      </w:r>
    </w:p>
    <w:p>
      <w:pPr>
        <w:pageBreakBefore w:val="0"/>
        <w:widowControl w:val="0"/>
        <w:numPr>
          <w:ilvl w:val="0"/>
          <w:numId w:val="0"/>
        </w:numPr>
        <w:kinsoku/>
        <w:overflowPunct/>
        <w:topLinePunct w:val="0"/>
        <w:bidi w:val="0"/>
        <w:spacing w:line="460" w:lineRule="exact"/>
        <w:ind w:firstLine="480" w:firstLineChars="200"/>
        <w:rPr>
          <w:rFonts w:ascii="宋体" w:hAnsi="宋体" w:cs="宋体"/>
          <w:color w:val="FF0000"/>
          <w:kern w:val="0"/>
          <w:sz w:val="24"/>
          <w:szCs w:val="24"/>
        </w:rPr>
      </w:pPr>
      <w:r>
        <w:rPr>
          <w:rFonts w:hint="eastAsia" w:ascii="宋体" w:hAnsi="宋体"/>
          <w:sz w:val="24"/>
          <w:szCs w:val="24"/>
          <w:lang w:val="en-US" w:eastAsia="zh-CN"/>
        </w:rPr>
        <w:t>7</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9.本项目属于</w:t>
      </w:r>
      <w:r>
        <w:rPr>
          <w:rFonts w:hint="eastAsia" w:ascii="宋体" w:hAnsi="宋体"/>
          <w:color w:val="FF0000"/>
          <w:sz w:val="24"/>
          <w:szCs w:val="24"/>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u w:val="single"/>
          <w:lang w:val="en-US" w:eastAsia="zh-CN"/>
        </w:rPr>
        <w:t xml:space="preserve">类 </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lang w:val="en-US" w:eastAsia="zh-CN"/>
        </w:rPr>
        <w:t>10.</w:t>
      </w:r>
      <w:r>
        <w:rPr>
          <w:rFonts w:hint="eastAsia" w:ascii="宋体" w:hAnsi="宋体"/>
          <w:sz w:val="24"/>
          <w:szCs w:val="24"/>
          <w:highlight w:val="none"/>
          <w:lang w:val="en-US" w:eastAsia="zh-CN"/>
        </w:rPr>
        <w:t>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w:t>
      </w:r>
      <w:r>
        <w:rPr>
          <w:rFonts w:hint="eastAsia" w:ascii="宋体" w:hAnsi="宋体"/>
          <w:color w:val="000000"/>
          <w:sz w:val="24"/>
          <w:szCs w:val="24"/>
          <w:highlight w:val="none"/>
          <w:lang w:val="en-US" w:eastAsia="zh-CN"/>
        </w:rPr>
        <w:t>。</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w:t>
      </w: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6"/>
        <w:pageBreakBefore w:val="0"/>
        <w:widowControl w:val="0"/>
        <w:kinsoku/>
        <w:wordWrap/>
        <w:overflowPunct/>
        <w:topLinePunct w:val="0"/>
        <w:bidi w:val="0"/>
        <w:spacing w:before="145" w:beforeLines="50" w:after="145" w:afterLines="50" w:line="460" w:lineRule="exact"/>
        <w:ind w:firstLine="498" w:firstLineChars="155"/>
        <w:textAlignment w:val="auto"/>
        <w:rPr>
          <w:rFonts w:hint="eastAsia"/>
        </w:rPr>
      </w:pPr>
      <w:r>
        <w:rPr>
          <w:rFonts w:hint="eastAsia"/>
        </w:rPr>
        <w:t>二、申请人的资格要求：</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Style w:val="16"/>
        <w:spacing w:line="360" w:lineRule="auto"/>
        <w:ind w:left="0" w:firstLine="480" w:firstLineChars="200"/>
        <w:rPr>
          <w:sz w:val="24"/>
          <w:szCs w:val="24"/>
          <w:lang w:val="en-US" w:bidi="ar-SA"/>
        </w:rPr>
      </w:pPr>
      <w:r>
        <w:rPr>
          <w:rFonts w:hint="eastAsia" w:ascii="宋体" w:hAnsi="宋体" w:eastAsia="宋体" w:cs="Times New Roman"/>
          <w:kern w:val="2"/>
          <w:sz w:val="24"/>
          <w:szCs w:val="24"/>
          <w:lang w:val="en-US" w:eastAsia="zh-CN" w:bidi="ar-SA"/>
        </w:rPr>
        <w:t>1.1法人或者其他组织的营业执照等证明文件，自然人的身份证明（身份证为正反面）；</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具有良好的商业信誉和健全的财务会计制度，提供上一年度的财务状况报告（成立不满一年不需提供）；（注：2023年至今）</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1.3有依法缴纳税收和社会保障资金的良好记录，提供参加本次政府采购活动近六个月（至少一个月）依法缴纳税收和社会保障资金的相关材料（根据国家相关政策免缴或迟缴的需提供相关证明材料）；</w:t>
      </w:r>
    </w:p>
    <w:p>
      <w:pPr>
        <w:ind w:firstLine="480" w:firstLineChars="200"/>
        <w:rPr>
          <w:rFonts w:hint="eastAsia" w:ascii="宋体" w:hAnsi="宋体"/>
          <w:sz w:val="24"/>
          <w:szCs w:val="24"/>
        </w:rPr>
      </w:pPr>
      <w:r>
        <w:rPr>
          <w:rFonts w:hint="eastAsia" w:ascii="宋体" w:hAnsi="宋体"/>
          <w:sz w:val="24"/>
          <w:szCs w:val="24"/>
        </w:rPr>
        <w:t>1.4具有履行合同所必需的设备和专业技术能力（根据项目需求提供履行合同所必需的设备和专业技术能力的声明或证明材料）；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w:t>
      </w:r>
    </w:p>
    <w:p>
      <w:pPr>
        <w:pageBreakBefore w:val="0"/>
        <w:widowControl w:val="0"/>
        <w:kinsoku/>
        <w:overflowPunct/>
        <w:topLinePunct w:val="0"/>
        <w:bidi w:val="0"/>
        <w:spacing w:line="460" w:lineRule="exact"/>
        <w:ind w:firstLine="480" w:firstLineChars="200"/>
        <w:jc w:val="left"/>
        <w:rPr>
          <w:rFonts w:hint="eastAsia" w:ascii="宋体" w:hAnsi="宋体" w:eastAsia="宋体"/>
          <w:color w:val="FF0000"/>
          <w:sz w:val="24"/>
          <w:szCs w:val="24"/>
          <w:lang w:eastAsia="zh-CN"/>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olor w:val="FF0000"/>
          <w:sz w:val="24"/>
          <w:szCs w:val="24"/>
          <w:lang w:val="en-US" w:eastAsia="zh-CN"/>
        </w:rPr>
        <w:t>3.本项目专门面向中小企业采购，投标供应商须上传《中小企业声明函》；</w:t>
      </w:r>
    </w:p>
    <w:p>
      <w:pPr>
        <w:pStyle w:val="2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本项目的特定资格要求：</w:t>
      </w:r>
      <w:r>
        <w:rPr>
          <w:rFonts w:hint="eastAsia" w:ascii="宋体" w:hAnsi="宋体" w:eastAsia="宋体" w:cs="Times New Roman"/>
          <w:sz w:val="24"/>
          <w:szCs w:val="24"/>
          <w:highlight w:val="none"/>
        </w:rPr>
        <w:t>无。</w:t>
      </w:r>
    </w:p>
    <w:p>
      <w:pPr>
        <w:pStyle w:val="6"/>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5</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2</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06</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6"/>
        <w:pageBreakBefore w:val="0"/>
        <w:widowControl w:val="0"/>
        <w:kinsoku/>
        <w:overflowPunct/>
        <w:topLinePunct w:val="0"/>
        <w:bidi w:val="0"/>
        <w:spacing w:before="145" w:beforeLines="50" w:after="145" w:afterLines="50" w:line="460" w:lineRule="exact"/>
        <w:ind w:firstLine="498" w:firstLineChars="155"/>
      </w:pPr>
      <w:bookmarkStart w:id="9" w:name="_Toc35393625"/>
      <w:bookmarkStart w:id="10" w:name="_Toc28359084"/>
      <w:bookmarkStart w:id="11" w:name="_Toc35393794"/>
      <w:bookmarkStart w:id="12" w:name="_Toc28359007"/>
      <w:bookmarkStart w:id="13" w:name="_Toc38985267"/>
      <w:r>
        <w:rPr>
          <w:rFonts w:hint="eastAsia"/>
        </w:rPr>
        <w:t>五、公告期限</w:t>
      </w:r>
      <w:bookmarkEnd w:id="9"/>
      <w:bookmarkEnd w:id="10"/>
      <w:bookmarkEnd w:id="11"/>
      <w:bookmarkEnd w:id="12"/>
      <w:bookmarkEnd w:id="13"/>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6"/>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项目清单及详细参数11操作终端为核心产品，投标人提供的操作终端为相同品牌且通过资格审查、符合性审查的不同投标人参加同一合同项下投标的，按一家投标人计算，评审后得分最高的同品牌投标人获得投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投标代表务必于开标当日保持手机联系畅通。</w:t>
      </w:r>
    </w:p>
    <w:p>
      <w:pPr>
        <w:pStyle w:val="6"/>
        <w:pageBreakBefore w:val="0"/>
        <w:widowControl w:val="0"/>
        <w:kinsoku/>
        <w:overflowPunct/>
        <w:topLinePunct w:val="0"/>
        <w:bidi w:val="0"/>
        <w:spacing w:before="145" w:beforeLines="50" w:after="145" w:afterLines="50" w:line="460" w:lineRule="exact"/>
        <w:ind w:firstLine="498" w:firstLineChars="155"/>
      </w:pPr>
      <w:bookmarkStart w:id="14" w:name="_Toc35393627"/>
      <w:bookmarkStart w:id="15" w:name="_Toc28359085"/>
      <w:bookmarkStart w:id="16" w:name="_Toc35393796"/>
      <w:bookmarkStart w:id="17" w:name="_Toc28359008"/>
      <w:bookmarkStart w:id="18" w:name="_Toc38985269"/>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sz w:val="24"/>
          <w:szCs w:val="24"/>
          <w:highlight w:val="none"/>
          <w:lang w:val="en-US"/>
        </w:rPr>
      </w:pPr>
      <w:r>
        <w:rPr>
          <w:rFonts w:hint="eastAsia" w:ascii="宋体" w:hAnsi="宋体"/>
          <w:sz w:val="24"/>
          <w:szCs w:val="24"/>
          <w:highlight w:val="none"/>
        </w:rPr>
        <w:t>名 称：</w:t>
      </w:r>
      <w:r>
        <w:rPr>
          <w:rFonts w:hint="eastAsia" w:ascii="宋体" w:hAnsi="宋体"/>
          <w:sz w:val="24"/>
          <w:szCs w:val="24"/>
          <w:highlight w:val="none"/>
          <w:lang w:val="en-US" w:eastAsia="zh-CN"/>
        </w:rPr>
        <w:t>昌吉州文旅局</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eastAsia="宋体" w:cs="宋体"/>
          <w:sz w:val="24"/>
          <w:szCs w:val="24"/>
        </w:rPr>
        <w:t>昌吉市南公园西路129号传媒大厦</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刘老师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联系电话：</w:t>
      </w:r>
      <w:r>
        <w:rPr>
          <w:rFonts w:hint="eastAsia" w:ascii="宋体" w:hAnsi="宋体"/>
          <w:sz w:val="24"/>
          <w:szCs w:val="24"/>
          <w:highlight w:val="none"/>
          <w:lang w:val="en-US" w:eastAsia="zh-CN"/>
        </w:rPr>
        <w:t>0994-2707937</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6"/>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6"/>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5"/>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816626"/>
      <w:bookmarkStart w:id="21" w:name="_Toc534725597"/>
      <w:bookmarkStart w:id="22" w:name="_Toc120614221"/>
      <w:bookmarkStart w:id="23" w:name="_Toc513029242"/>
      <w:bookmarkStart w:id="24" w:name="_Toc479757207"/>
      <w:bookmarkStart w:id="25" w:name="_Toc16938558"/>
      <w:bookmarkStart w:id="26" w:name="_Toc20823314"/>
      <w:bookmarkStart w:id="27" w:name="_Toc494375079"/>
      <w:r>
        <w:rPr>
          <w:rFonts w:hint="eastAsia" w:ascii="黑体"/>
        </w:rPr>
        <w:t xml:space="preserve">第二章  </w:t>
      </w:r>
      <w:bookmarkEnd w:id="19"/>
      <w:bookmarkStart w:id="28" w:name="_Toc16938518"/>
      <w:bookmarkStart w:id="29" w:name="_Toc20823274"/>
      <w:bookmarkStart w:id="30" w:name="_Toc120614213"/>
      <w:bookmarkStart w:id="31" w:name="_Toc513029202"/>
      <w:r>
        <w:rPr>
          <w:rFonts w:hint="eastAsia" w:ascii="黑体"/>
        </w:rPr>
        <w:t>投标人须知</w:t>
      </w:r>
      <w:bookmarkEnd w:id="20"/>
      <w:bookmarkEnd w:id="21"/>
      <w:bookmarkEnd w:id="28"/>
      <w:bookmarkEnd w:id="29"/>
      <w:bookmarkEnd w:id="30"/>
      <w:bookmarkEnd w:id="31"/>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534816627"/>
      <w:bookmarkStart w:id="33" w:name="_Toc16938519"/>
      <w:bookmarkStart w:id="34" w:name="_Toc120614214"/>
      <w:bookmarkStart w:id="35" w:name="_Toc534725598"/>
      <w:bookmarkStart w:id="36" w:name="_Toc513029203"/>
      <w:bookmarkStart w:id="37" w:name="_Toc20823275"/>
      <w:r>
        <w:rPr>
          <w:rFonts w:hint="eastAsia"/>
        </w:rPr>
        <w:t>一、总则</w:t>
      </w:r>
      <w:bookmarkEnd w:id="32"/>
      <w:bookmarkEnd w:id="33"/>
      <w:bookmarkEnd w:id="34"/>
      <w:bookmarkEnd w:id="35"/>
      <w:bookmarkEnd w:id="36"/>
      <w:bookmarkEnd w:id="37"/>
    </w:p>
    <w:p>
      <w:pPr>
        <w:pStyle w:val="7"/>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513029204"/>
      <w:bookmarkStart w:id="41" w:name="_Toc20823276"/>
      <w:bookmarkStart w:id="42" w:name="_Toc16938520"/>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7"/>
        <w:pageBreakBefore w:val="0"/>
        <w:widowControl w:val="0"/>
        <w:kinsoku/>
        <w:overflowPunct/>
        <w:topLinePunct w:val="0"/>
        <w:bidi w:val="0"/>
        <w:spacing w:line="460" w:lineRule="exact"/>
        <w:rPr>
          <w:rFonts w:hint="eastAsia"/>
          <w:b w:val="0"/>
        </w:rPr>
      </w:pPr>
      <w:bookmarkStart w:id="43" w:name="_Toc20823277"/>
      <w:bookmarkStart w:id="44" w:name="_Toc16938521"/>
      <w:bookmarkStart w:id="45" w:name="_Toc513029205"/>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7"/>
        <w:pageBreakBefore w:val="0"/>
        <w:widowControl w:val="0"/>
        <w:kinsoku/>
        <w:overflowPunct/>
        <w:topLinePunct w:val="0"/>
        <w:bidi w:val="0"/>
        <w:spacing w:line="460" w:lineRule="exact"/>
        <w:rPr>
          <w:rFonts w:hint="eastAsia"/>
          <w:b w:val="0"/>
        </w:rPr>
      </w:pPr>
      <w:bookmarkStart w:id="46" w:name="_Toc16938522"/>
      <w:bookmarkStart w:id="47" w:name="_Toc513029206"/>
      <w:bookmarkStart w:id="48" w:name="_Toc20823278"/>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7"/>
        <w:pageBreakBefore w:val="0"/>
        <w:widowControl w:val="0"/>
        <w:kinsoku/>
        <w:overflowPunct/>
        <w:topLinePunct w:val="0"/>
        <w:bidi w:val="0"/>
        <w:spacing w:line="460" w:lineRule="exact"/>
        <w:rPr>
          <w:rFonts w:hint="eastAsia"/>
          <w:b w:val="0"/>
        </w:rPr>
      </w:pPr>
      <w:bookmarkStart w:id="49" w:name="_Toc513029207"/>
      <w:bookmarkStart w:id="50" w:name="_Toc16938523"/>
      <w:bookmarkStart w:id="51" w:name="_Toc462564067"/>
      <w:bookmarkStart w:id="52" w:name="_Toc20823279"/>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7"/>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6"/>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13029209"/>
      <w:bookmarkStart w:id="54" w:name="_Toc16938525"/>
      <w:bookmarkStart w:id="55" w:name="_Toc20823281"/>
      <w:bookmarkStart w:id="56" w:name="_Toc534725599"/>
      <w:bookmarkStart w:id="57" w:name="_Toc120614215"/>
      <w:bookmarkStart w:id="58" w:name="_Toc534816628"/>
      <w:r>
        <w:rPr>
          <w:rFonts w:hint="eastAsia"/>
        </w:rPr>
        <w:t>二、招标文件</w:t>
      </w:r>
      <w:bookmarkEnd w:id="53"/>
      <w:bookmarkEnd w:id="54"/>
      <w:bookmarkEnd w:id="55"/>
      <w:bookmarkEnd w:id="56"/>
      <w:bookmarkEnd w:id="57"/>
      <w:bookmarkEnd w:id="58"/>
    </w:p>
    <w:p>
      <w:pPr>
        <w:pStyle w:val="7"/>
        <w:pageBreakBefore w:val="0"/>
        <w:widowControl w:val="0"/>
        <w:kinsoku/>
        <w:overflowPunct/>
        <w:topLinePunct w:val="0"/>
        <w:bidi w:val="0"/>
        <w:spacing w:line="460" w:lineRule="exact"/>
        <w:rPr>
          <w:b w:val="0"/>
        </w:rPr>
      </w:pPr>
      <w:bookmarkStart w:id="59" w:name="_Toc16938526"/>
      <w:bookmarkStart w:id="60" w:name="_Toc20823282"/>
      <w:bookmarkStart w:id="61" w:name="_Toc513029210"/>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widowControl w:val="0"/>
        <w:kinsoku/>
        <w:overflowPunct/>
        <w:topLinePunct w:val="0"/>
        <w:bidi w:val="0"/>
        <w:spacing w:line="460" w:lineRule="exact"/>
        <w:ind w:firstLine="560" w:firstLineChars="200"/>
        <w:rPr>
          <w:rFonts w:hint="eastAsia"/>
          <w:b w:val="0"/>
        </w:rPr>
      </w:pPr>
      <w:bookmarkStart w:id="62" w:name="_Toc20823283"/>
      <w:bookmarkStart w:id="63" w:name="_Toc16938527"/>
      <w:bookmarkStart w:id="64" w:name="_Toc462564070"/>
      <w:bookmarkStart w:id="65" w:name="_Toc513029211"/>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7"/>
        <w:pageBreakBefore w:val="0"/>
        <w:widowControl w:val="0"/>
        <w:kinsoku/>
        <w:overflowPunct/>
        <w:topLinePunct w:val="0"/>
        <w:bidi w:val="0"/>
        <w:spacing w:line="460" w:lineRule="exact"/>
        <w:ind w:firstLine="560" w:firstLineChars="200"/>
        <w:rPr>
          <w:rFonts w:hint="eastAsia"/>
          <w:b w:val="0"/>
        </w:rPr>
      </w:pPr>
      <w:bookmarkStart w:id="66" w:name="_Toc16938528"/>
      <w:bookmarkStart w:id="67" w:name="_Toc20823284"/>
      <w:bookmarkStart w:id="68" w:name="_Toc513029212"/>
      <w:bookmarkStart w:id="69" w:name="_Toc462564071"/>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513029213"/>
      <w:bookmarkStart w:id="71" w:name="_Toc534816629"/>
      <w:bookmarkStart w:id="72" w:name="_Toc16938529"/>
      <w:bookmarkStart w:id="73" w:name="_Toc20823285"/>
      <w:bookmarkStart w:id="74" w:name="_Toc462564072"/>
      <w:bookmarkStart w:id="75" w:name="_Toc534725600"/>
      <w:bookmarkStart w:id="76" w:name="_Toc120614216"/>
      <w:r>
        <w:rPr>
          <w:rFonts w:hint="eastAsia"/>
        </w:rPr>
        <w:t>三、投标文件的编制</w:t>
      </w:r>
      <w:bookmarkEnd w:id="70"/>
      <w:bookmarkEnd w:id="71"/>
      <w:bookmarkEnd w:id="72"/>
      <w:bookmarkEnd w:id="73"/>
      <w:bookmarkEnd w:id="74"/>
      <w:bookmarkEnd w:id="75"/>
      <w:bookmarkEnd w:id="76"/>
    </w:p>
    <w:p>
      <w:pPr>
        <w:pStyle w:val="7"/>
        <w:pageBreakBefore w:val="0"/>
        <w:widowControl w:val="0"/>
        <w:kinsoku/>
        <w:overflowPunct/>
        <w:topLinePunct w:val="0"/>
        <w:bidi w:val="0"/>
        <w:spacing w:line="460" w:lineRule="exact"/>
        <w:ind w:firstLine="560" w:firstLineChars="200"/>
      </w:pPr>
      <w:bookmarkStart w:id="77" w:name="_Toc462564073"/>
      <w:bookmarkStart w:id="78" w:name="_Toc513029214"/>
      <w:bookmarkStart w:id="79" w:name="_Toc20823286"/>
      <w:bookmarkStart w:id="80" w:name="_Toc16938530"/>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7"/>
        <w:pageBreakBefore w:val="0"/>
        <w:widowControl w:val="0"/>
        <w:kinsoku/>
        <w:overflowPunct/>
        <w:topLinePunct w:val="0"/>
        <w:bidi w:val="0"/>
        <w:spacing w:line="460" w:lineRule="exact"/>
        <w:rPr>
          <w:rFonts w:hint="eastAsia"/>
          <w:b w:val="0"/>
        </w:rPr>
      </w:pPr>
      <w:bookmarkStart w:id="81" w:name="_Toc20823287"/>
      <w:bookmarkStart w:id="82" w:name="_Toc513029215"/>
      <w:bookmarkStart w:id="83" w:name="_Toc16938531"/>
      <w:bookmarkStart w:id="84" w:name="_Toc462564074"/>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7"/>
        <w:pageBreakBefore w:val="0"/>
        <w:widowControl w:val="0"/>
        <w:kinsoku/>
        <w:overflowPunct/>
        <w:topLinePunct w:val="0"/>
        <w:bidi w:val="0"/>
        <w:spacing w:line="460" w:lineRule="exact"/>
        <w:rPr>
          <w:rFonts w:hint="eastAsia" w:eastAsia="黑体"/>
          <w:b w:val="0"/>
        </w:rPr>
      </w:pPr>
      <w:bookmarkStart w:id="85" w:name="_Hlt26670360"/>
      <w:bookmarkEnd w:id="85"/>
      <w:bookmarkStart w:id="86" w:name="_Hlt26668975"/>
      <w:bookmarkEnd w:id="86"/>
      <w:bookmarkStart w:id="87" w:name="_Hlt26954838"/>
      <w:bookmarkEnd w:id="87"/>
      <w:bookmarkStart w:id="88" w:name="_Toc14577357"/>
      <w:bookmarkStart w:id="89" w:name="_Toc49090509"/>
      <w:bookmarkStart w:id="90" w:name="_Toc513029219"/>
      <w:bookmarkStart w:id="91" w:name="_Toc49090507"/>
      <w:bookmarkStart w:id="92" w:name="_Toc14577354"/>
      <w:bookmarkStart w:id="93" w:name="_Toc513029216"/>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7"/>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954842"/>
      <w:bookmarkEnd w:id="100"/>
      <w:bookmarkStart w:id="101" w:name="_Hlt26668983"/>
      <w:bookmarkEnd w:id="101"/>
      <w:bookmarkStart w:id="102" w:name="_Hlt26670403"/>
      <w:bookmarkEnd w:id="102"/>
      <w:bookmarkStart w:id="103" w:name="_Hlt26954844"/>
      <w:bookmarkEnd w:id="103"/>
      <w:bookmarkStart w:id="104" w:name="_Hlt26670425"/>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7"/>
        <w:pageBreakBefore w:val="0"/>
        <w:widowControl w:val="0"/>
        <w:kinsoku/>
        <w:overflowPunct/>
        <w:topLinePunct w:val="0"/>
        <w:bidi w:val="0"/>
        <w:spacing w:line="460" w:lineRule="exact"/>
        <w:rPr>
          <w:rFonts w:hint="eastAsia"/>
          <w:b w:val="0"/>
          <w:bCs/>
        </w:rPr>
      </w:pPr>
      <w:bookmarkStart w:id="105" w:name="_Hlt26954846"/>
      <w:bookmarkEnd w:id="105"/>
      <w:bookmarkStart w:id="106" w:name="_Hlt26954731"/>
      <w:bookmarkEnd w:id="106"/>
      <w:bookmarkStart w:id="107" w:name="_Hlt26954848"/>
      <w:bookmarkEnd w:id="107"/>
      <w:bookmarkStart w:id="108" w:name="_Hlt26670482"/>
      <w:bookmarkEnd w:id="108"/>
      <w:bookmarkStart w:id="109" w:name="_Hlt26670486"/>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7"/>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7"/>
        <w:pageBreakBefore w:val="0"/>
        <w:widowControl w:val="0"/>
        <w:kinsoku/>
        <w:overflowPunct/>
        <w:topLinePunct w:val="0"/>
        <w:bidi w:val="0"/>
        <w:spacing w:line="460" w:lineRule="exact"/>
        <w:rPr>
          <w:rFonts w:hint="eastAsia"/>
          <w:b w:val="0"/>
        </w:rPr>
      </w:pPr>
      <w:bookmarkStart w:id="110" w:name="_Toc14577359"/>
      <w:bookmarkStart w:id="111" w:name="_Toc49090510"/>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7"/>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954850"/>
      <w:bookmarkEnd w:id="112"/>
      <w:bookmarkStart w:id="113" w:name="_Hlt26954734"/>
      <w:bookmarkEnd w:id="113"/>
      <w:bookmarkStart w:id="114" w:name="_Hlt26670489"/>
      <w:bookmarkEnd w:id="114"/>
      <w:bookmarkStart w:id="115" w:name="_Toc49090511"/>
      <w:bookmarkStart w:id="116" w:name="_Toc14577360"/>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9"/>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7"/>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7"/>
        <w:pageBreakBefore w:val="0"/>
        <w:widowControl w:val="0"/>
        <w:kinsoku/>
        <w:overflowPunct/>
        <w:topLinePunct w:val="0"/>
        <w:bidi w:val="0"/>
        <w:spacing w:line="460" w:lineRule="exact"/>
        <w:rPr>
          <w:b w:val="0"/>
          <w:bCs/>
        </w:rPr>
      </w:pPr>
      <w:bookmarkStart w:id="117" w:name="_Hlt26954852"/>
      <w:bookmarkEnd w:id="117"/>
      <w:bookmarkStart w:id="118" w:name="_Hlt26954739"/>
      <w:bookmarkEnd w:id="118"/>
      <w:bookmarkStart w:id="119" w:name="_Toc14577361"/>
      <w:bookmarkStart w:id="120" w:name="_Toc49090512"/>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534725601"/>
      <w:bookmarkStart w:id="122" w:name="_Toc513029224"/>
      <w:bookmarkStart w:id="123" w:name="_Toc120614217"/>
      <w:bookmarkStart w:id="124" w:name="_Toc16938540"/>
      <w:bookmarkStart w:id="125" w:name="_Toc534816630"/>
      <w:bookmarkStart w:id="126" w:name="_Toc20823296"/>
      <w:r>
        <w:rPr>
          <w:rFonts w:hint="eastAsia"/>
        </w:rPr>
        <w:t>四、投标文件的递交</w:t>
      </w:r>
      <w:bookmarkEnd w:id="121"/>
      <w:bookmarkEnd w:id="122"/>
      <w:bookmarkEnd w:id="123"/>
      <w:bookmarkEnd w:id="124"/>
      <w:bookmarkEnd w:id="125"/>
      <w:bookmarkEnd w:id="126"/>
    </w:p>
    <w:p>
      <w:pPr>
        <w:pStyle w:val="7"/>
        <w:pageBreakBefore w:val="0"/>
        <w:widowControl w:val="0"/>
        <w:kinsoku/>
        <w:overflowPunct/>
        <w:topLinePunct w:val="0"/>
        <w:bidi w:val="0"/>
        <w:spacing w:line="460" w:lineRule="exact"/>
        <w:ind w:firstLine="560" w:firstLineChars="200"/>
        <w:rPr>
          <w:rFonts w:ascii="黑体"/>
          <w:b w:val="0"/>
        </w:rPr>
      </w:pPr>
      <w:bookmarkStart w:id="127" w:name="_Toc20823297"/>
      <w:bookmarkStart w:id="128" w:name="_Toc513029225"/>
      <w:bookmarkStart w:id="129" w:name="_Toc462564084"/>
      <w:bookmarkStart w:id="130" w:name="_Toc16938541"/>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7"/>
        <w:pageBreakBefore w:val="0"/>
        <w:widowControl w:val="0"/>
        <w:kinsoku/>
        <w:overflowPunct/>
        <w:topLinePunct w:val="0"/>
        <w:bidi w:val="0"/>
        <w:spacing w:line="460" w:lineRule="exact"/>
        <w:rPr>
          <w:rFonts w:hint="eastAsia"/>
          <w:b w:val="0"/>
          <w:bCs/>
        </w:rPr>
      </w:pPr>
      <w:bookmarkStart w:id="131" w:name="_Toc513029226"/>
      <w:bookmarkStart w:id="132" w:name="_Toc16938542"/>
      <w:bookmarkStart w:id="133" w:name="_Toc20823298"/>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overflowPunct/>
        <w:topLinePunct w:val="0"/>
        <w:bidi w:val="0"/>
        <w:spacing w:line="460" w:lineRule="exact"/>
        <w:rPr>
          <w:rFonts w:hint="eastAsia"/>
          <w:b w:val="0"/>
          <w:bCs/>
        </w:rPr>
      </w:pPr>
      <w:bookmarkStart w:id="134" w:name="_Toc513029227"/>
      <w:bookmarkStart w:id="135" w:name="_Toc16938543"/>
      <w:bookmarkStart w:id="136" w:name="_Toc20823299"/>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7"/>
        <w:pageBreakBefore w:val="0"/>
        <w:widowControl w:val="0"/>
        <w:kinsoku/>
        <w:overflowPunct/>
        <w:topLinePunct w:val="0"/>
        <w:bidi w:val="0"/>
        <w:spacing w:line="460" w:lineRule="exact"/>
        <w:rPr>
          <w:rFonts w:hint="eastAsia"/>
          <w:b w:val="0"/>
          <w:bCs/>
        </w:rPr>
      </w:pPr>
      <w:bookmarkStart w:id="137" w:name="_Toc513029228"/>
      <w:bookmarkStart w:id="138" w:name="_Toc20823300"/>
      <w:bookmarkStart w:id="139" w:name="_Toc16938544"/>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20823301"/>
      <w:bookmarkStart w:id="141" w:name="_Toc534816631"/>
      <w:bookmarkStart w:id="142" w:name="_Toc513029229"/>
      <w:bookmarkStart w:id="143" w:name="_Toc16938545"/>
      <w:bookmarkStart w:id="144" w:name="_Toc534725602"/>
      <w:bookmarkStart w:id="145" w:name="_Toc120614218"/>
      <w:r>
        <w:rPr>
          <w:rFonts w:hint="eastAsia"/>
        </w:rPr>
        <w:t>五、开标与评标</w:t>
      </w:r>
      <w:bookmarkEnd w:id="140"/>
      <w:bookmarkEnd w:id="141"/>
      <w:bookmarkEnd w:id="142"/>
      <w:bookmarkEnd w:id="143"/>
      <w:bookmarkEnd w:id="144"/>
      <w:bookmarkEnd w:id="145"/>
    </w:p>
    <w:p>
      <w:pPr>
        <w:pStyle w:val="7"/>
        <w:pageBreakBefore w:val="0"/>
        <w:widowControl w:val="0"/>
        <w:kinsoku/>
        <w:overflowPunct/>
        <w:topLinePunct w:val="0"/>
        <w:bidi w:val="0"/>
        <w:spacing w:line="460" w:lineRule="exact"/>
        <w:rPr>
          <w:b w:val="0"/>
        </w:rPr>
      </w:pPr>
      <w:bookmarkStart w:id="146" w:name="_Toc20823302"/>
      <w:bookmarkStart w:id="147" w:name="_Toc16938546"/>
      <w:bookmarkStart w:id="148" w:name="_Toc513029230"/>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7"/>
        <w:pageBreakBefore w:val="0"/>
        <w:widowControl w:val="0"/>
        <w:kinsoku/>
        <w:overflowPunct/>
        <w:topLinePunct w:val="0"/>
        <w:bidi w:val="0"/>
        <w:spacing w:line="460" w:lineRule="exact"/>
        <w:rPr>
          <w:rFonts w:hint="eastAsia"/>
          <w:b w:val="0"/>
        </w:rPr>
      </w:pPr>
      <w:bookmarkStart w:id="149" w:name="_Toc20823303"/>
      <w:bookmarkStart w:id="150" w:name="_Toc16938547"/>
      <w:bookmarkStart w:id="151" w:name="_Toc513029231"/>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7"/>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7"/>
        <w:pageBreakBefore w:val="0"/>
        <w:widowControl w:val="0"/>
        <w:kinsoku/>
        <w:overflowPunct/>
        <w:topLinePunct w:val="0"/>
        <w:bidi w:val="0"/>
        <w:spacing w:line="460" w:lineRule="exact"/>
        <w:rPr>
          <w:rFonts w:hint="eastAsia"/>
          <w:b w:val="0"/>
        </w:rPr>
      </w:pPr>
      <w:bookmarkStart w:id="152" w:name="_Toc513029232"/>
      <w:bookmarkStart w:id="153" w:name="_Toc20823304"/>
      <w:bookmarkStart w:id="154" w:name="_Toc16938548"/>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7"/>
        <w:pageBreakBefore w:val="0"/>
        <w:widowControl w:val="0"/>
        <w:kinsoku/>
        <w:overflowPunct/>
        <w:topLinePunct w:val="0"/>
        <w:bidi w:val="0"/>
        <w:spacing w:line="460" w:lineRule="exact"/>
        <w:rPr>
          <w:rFonts w:hint="eastAsia"/>
          <w:b w:val="0"/>
        </w:rPr>
      </w:pPr>
      <w:bookmarkStart w:id="155" w:name="_Toc513029233"/>
      <w:bookmarkStart w:id="156" w:name="_Toc16938549"/>
      <w:bookmarkStart w:id="157" w:name="_Toc20823305"/>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20823306"/>
      <w:bookmarkStart w:id="159" w:name="_Toc16938550"/>
      <w:bookmarkStart w:id="160" w:name="_Toc513029234"/>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7"/>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16938551"/>
      <w:bookmarkStart w:id="162" w:name="_Toc20823307"/>
      <w:bookmarkStart w:id="163" w:name="_Toc513029235"/>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120614219"/>
      <w:bookmarkStart w:id="165" w:name="_Toc534816632"/>
      <w:bookmarkStart w:id="166" w:name="_Toc534725603"/>
      <w:r>
        <w:rPr>
          <w:rFonts w:hint="eastAsia"/>
        </w:rPr>
        <w:t>六、</w:t>
      </w:r>
      <w:bookmarkEnd w:id="161"/>
      <w:bookmarkEnd w:id="162"/>
      <w:bookmarkEnd w:id="163"/>
      <w:r>
        <w:rPr>
          <w:rFonts w:hint="eastAsia"/>
        </w:rPr>
        <w:t>定标</w:t>
      </w:r>
      <w:bookmarkEnd w:id="164"/>
      <w:bookmarkEnd w:id="165"/>
      <w:bookmarkEnd w:id="166"/>
    </w:p>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16938554"/>
      <w:bookmarkStart w:id="169" w:name="_Toc20823310"/>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7"/>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120614220"/>
      <w:bookmarkStart w:id="172" w:name="_Toc534725604"/>
      <w:bookmarkStart w:id="173" w:name="_Toc534816633"/>
      <w:bookmarkStart w:id="174" w:name="_Toc513029236"/>
      <w:bookmarkStart w:id="175" w:name="_Toc20823308"/>
      <w:bookmarkStart w:id="176" w:name="_Toc16938552"/>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6"/>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16938553"/>
      <w:bookmarkStart w:id="178" w:name="_Toc20823309"/>
      <w:bookmarkStart w:id="179" w:name="_Toc513029237"/>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7"/>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5"/>
        <w:pageBreakBefore w:val="0"/>
        <w:widowControl w:val="0"/>
        <w:kinsoku/>
        <w:overflowPunct/>
        <w:topLinePunct w:val="0"/>
        <w:bidi w:val="0"/>
        <w:spacing w:line="460" w:lineRule="exact"/>
        <w:rPr>
          <w:rFonts w:hint="eastAsia"/>
        </w:rPr>
      </w:pPr>
      <w:bookmarkStart w:id="180" w:name="_Toc534816635"/>
      <w:bookmarkStart w:id="181" w:name="_Toc534725606"/>
      <w:r>
        <w:rPr>
          <w:rFonts w:hint="eastAsia"/>
        </w:rPr>
        <w:t>第三章  合同</w:t>
      </w:r>
      <w:bookmarkEnd w:id="22"/>
      <w:bookmarkEnd w:id="23"/>
      <w:bookmarkEnd w:id="24"/>
      <w:bookmarkEnd w:id="25"/>
      <w:bookmarkEnd w:id="26"/>
      <w:r>
        <w:rPr>
          <w:rFonts w:hint="eastAsia"/>
        </w:rPr>
        <w:t>文本</w:t>
      </w:r>
      <w:bookmarkEnd w:id="27"/>
      <w:bookmarkEnd w:id="180"/>
      <w:bookmarkEnd w:id="181"/>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20823315"/>
      <w:bookmarkStart w:id="183" w:name="_Toc513029243"/>
      <w:bookmarkStart w:id="184" w:name="_Toc16938559"/>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2"/>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2"/>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2"/>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2"/>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2"/>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2"/>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2"/>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2"/>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2"/>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2"/>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2"/>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2"/>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6938590"/>
      <w:bookmarkStart w:id="188" w:name="_Toc120614244"/>
      <w:bookmarkStart w:id="189" w:name="_Toc20823346"/>
      <w:bookmarkStart w:id="190" w:name="_Toc462564139"/>
      <w:bookmarkStart w:id="191" w:name="_Toc479757211"/>
    </w:p>
    <w:p>
      <w:pPr>
        <w:pStyle w:val="12"/>
        <w:pageBreakBefore w:val="0"/>
        <w:widowControl w:val="0"/>
        <w:kinsoku/>
        <w:overflowPunct/>
        <w:topLinePunct w:val="0"/>
        <w:bidi w:val="0"/>
        <w:snapToGrid w:val="0"/>
        <w:spacing w:before="120" w:after="120" w:line="460" w:lineRule="exact"/>
        <w:jc w:val="center"/>
        <w:rPr>
          <w:rFonts w:hint="eastAsia"/>
        </w:rPr>
      </w:pPr>
    </w:p>
    <w:p>
      <w:pPr>
        <w:pStyle w:val="12"/>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5"/>
        <w:pageBreakBefore w:val="0"/>
        <w:widowControl w:val="0"/>
        <w:kinsoku/>
        <w:overflowPunct/>
        <w:topLinePunct w:val="0"/>
        <w:bidi w:val="0"/>
        <w:spacing w:line="460" w:lineRule="exact"/>
        <w:rPr>
          <w:rFonts w:hint="eastAsia"/>
        </w:rPr>
      </w:pPr>
      <w:bookmarkStart w:id="192" w:name="_Toc494375080"/>
      <w:bookmarkStart w:id="193" w:name="_Toc534816636"/>
      <w:bookmarkStart w:id="194" w:name="_Toc534725607"/>
      <w:r>
        <w:rPr>
          <w:rFonts w:hint="eastAsia"/>
        </w:rPr>
        <w:t>第</w:t>
      </w:r>
      <w:bookmarkEnd w:id="186"/>
      <w:r>
        <w:rPr>
          <w:rFonts w:hint="eastAsia"/>
        </w:rPr>
        <w:t>四章  项目需求</w:t>
      </w:r>
      <w:bookmarkEnd w:id="187"/>
      <w:bookmarkEnd w:id="188"/>
      <w:bookmarkEnd w:id="189"/>
      <w:bookmarkEnd w:id="192"/>
      <w:bookmarkEnd w:id="193"/>
      <w:bookmarkEnd w:id="194"/>
    </w:p>
    <w:p>
      <w:pPr>
        <w:pStyle w:val="8"/>
        <w:pageBreakBefore w:val="0"/>
        <w:widowControl w:val="0"/>
        <w:kinsoku/>
        <w:overflowPunct/>
        <w:topLinePunct w:val="0"/>
        <w:bidi w:val="0"/>
        <w:spacing w:line="460" w:lineRule="exact"/>
        <w:rPr>
          <w:rFonts w:hint="eastAsia"/>
          <w:lang w:val="en-US" w:eastAsia="zh-CN"/>
        </w:rPr>
      </w:pPr>
      <w:bookmarkStart w:id="195" w:name="_Toc49090575"/>
      <w:bookmarkStart w:id="196" w:name="_Toc26554093"/>
    </w:p>
    <w:p>
      <w:pPr>
        <w:pStyle w:val="6"/>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816638"/>
      <w:bookmarkStart w:id="198" w:name="_Toc534725609"/>
      <w:r>
        <w:rPr>
          <w:rFonts w:hint="eastAsia" w:ascii="仿宋" w:hAnsi="仿宋" w:eastAsia="宋体" w:cs="仿宋"/>
          <w:b/>
          <w:bCs/>
          <w:kern w:val="2"/>
          <w:sz w:val="30"/>
          <w:szCs w:val="30"/>
          <w:lang w:val="en-US" w:eastAsia="zh-CN" w:bidi="ar-SA"/>
        </w:rPr>
        <w:t>一、商务条款</w:t>
      </w:r>
      <w:bookmarkEnd w:id="197"/>
      <w:bookmarkEnd w:id="198"/>
    </w:p>
    <w:p>
      <w:pPr>
        <w:pStyle w:val="12"/>
        <w:pageBreakBefore w:val="0"/>
        <w:widowControl w:val="0"/>
        <w:kinsoku/>
        <w:overflowPunct/>
        <w:topLinePunct w:val="0"/>
        <w:bidi w:val="0"/>
        <w:snapToGrid w:val="0"/>
        <w:spacing w:before="120" w:after="120" w:line="460" w:lineRule="exact"/>
        <w:ind w:left="315" w:leftChars="150" w:firstLine="240" w:firstLineChars="1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sz w:val="24"/>
          <w:szCs w:val="24"/>
          <w:highlight w:val="none"/>
          <w:u w:val="single"/>
        </w:rPr>
        <w:t>1.质保期</w:t>
      </w:r>
      <w:r>
        <w:rPr>
          <w:rFonts w:hint="eastAsia" w:hAnsi="宋体" w:cs="宋体"/>
          <w:b w:val="0"/>
          <w:bCs w:val="0"/>
          <w:i/>
          <w:iCs/>
          <w:color w:val="auto"/>
          <w:sz w:val="24"/>
          <w:szCs w:val="24"/>
          <w:highlight w:val="none"/>
          <w:u w:val="single"/>
          <w:lang w:eastAsia="zh-CN"/>
        </w:rPr>
        <w:t>：</w:t>
      </w:r>
      <w:r>
        <w:rPr>
          <w:rFonts w:hint="eastAsia" w:ascii="宋体" w:hAnsi="宋体" w:eastAsia="宋体" w:cs="宋体"/>
          <w:b w:val="0"/>
          <w:bCs w:val="0"/>
          <w:i/>
          <w:iCs/>
          <w:color w:val="auto"/>
          <w:sz w:val="24"/>
          <w:szCs w:val="24"/>
          <w:highlight w:val="none"/>
          <w:u w:val="single"/>
          <w:lang w:eastAsia="zh-CN"/>
        </w:rPr>
        <w:t>自验收合格之日起质保期不低于一年。</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2．项目实施期限、交付方式及交付地点</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项目实施期限：合同签订后180天内完成供货安装。</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交付方式：采购人指定。</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交付地点：采购人指定。</w:t>
      </w:r>
    </w:p>
    <w:p>
      <w:pPr>
        <w:pStyle w:val="7"/>
        <w:pageBreakBefore w:val="0"/>
        <w:widowControl w:val="0"/>
        <w:numPr>
          <w:ilvl w:val="3"/>
          <w:numId w:val="0"/>
        </w:numPr>
        <w:kinsoku/>
        <w:overflowPunct/>
        <w:topLinePunct w:val="0"/>
        <w:bidi w:val="0"/>
        <w:spacing w:line="460" w:lineRule="exact"/>
        <w:ind w:left="422" w:leftChars="0" w:firstLine="240" w:firstLineChars="1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w:t>
      </w:r>
      <w:r>
        <w:rPr>
          <w:rFonts w:hint="eastAsia" w:ascii="宋体" w:hAnsi="宋体" w:cs="宋体"/>
          <w:b w:val="0"/>
          <w:bCs w:val="0"/>
          <w:i/>
          <w:iCs/>
          <w:color w:val="auto"/>
          <w:kern w:val="2"/>
          <w:sz w:val="24"/>
          <w:szCs w:val="24"/>
          <w:highlight w:val="none"/>
          <w:u w:val="single"/>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spacing w:before="246" w:line="219" w:lineRule="auto"/>
        <w:ind w:left="426"/>
        <w:rPr>
          <w:rFonts w:ascii="宋体" w:hAnsi="宋体" w:eastAsia="宋体" w:cs="宋体"/>
          <w:b/>
          <w:bCs/>
          <w:spacing w:val="-8"/>
          <w:sz w:val="44"/>
          <w:szCs w:val="44"/>
        </w:rPr>
      </w:pPr>
      <w:bookmarkStart w:id="199" w:name="_Toc534725610"/>
      <w:bookmarkStart w:id="200" w:name="_Toc534816639"/>
      <w:bookmarkStart w:id="201" w:name="_Toc120614281"/>
      <w:bookmarkStart w:id="202" w:name="_Toc494375081"/>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方正小标宋_GBK" w:hAnsi="方正小标宋_GBK" w:eastAsia="方正小标宋_GBK" w:cs="方正小标宋_GBK"/>
          <w:b w:val="0"/>
          <w:bCs w:val="0"/>
          <w:sz w:val="44"/>
          <w:szCs w:val="44"/>
        </w:rPr>
      </w:pPr>
      <w:r>
        <w:rPr>
          <w:rFonts w:ascii="宋体" w:hAnsi="宋体" w:eastAsia="宋体" w:cs="宋体"/>
          <w:b/>
          <w:bCs/>
          <w:spacing w:val="-8"/>
          <w:sz w:val="44"/>
          <w:szCs w:val="44"/>
        </w:rPr>
        <w:t>二、</w:t>
      </w:r>
      <w:r>
        <w:rPr>
          <w:rFonts w:ascii="宋体" w:hAnsi="宋体" w:eastAsia="宋体" w:cs="宋体"/>
          <w:spacing w:val="-71"/>
          <w:sz w:val="30"/>
          <w:szCs w:val="30"/>
        </w:rPr>
        <w:t xml:space="preserve"> </w:t>
      </w:r>
      <w:bookmarkEnd w:id="190"/>
      <w:bookmarkEnd w:id="191"/>
      <w:bookmarkEnd w:id="195"/>
      <w:bookmarkEnd w:id="196"/>
      <w:bookmarkEnd w:id="199"/>
      <w:bookmarkEnd w:id="200"/>
      <w:bookmarkEnd w:id="201"/>
      <w:bookmarkEnd w:id="202"/>
      <w:r>
        <w:rPr>
          <w:rFonts w:hint="eastAsia" w:ascii="方正小标宋_GBK" w:hAnsi="方正小标宋_GBK" w:eastAsia="方正小标宋_GBK" w:cs="方正小标宋_GBK"/>
          <w:b w:val="0"/>
          <w:bCs w:val="0"/>
          <w:spacing w:val="-8"/>
          <w:sz w:val="44"/>
          <w:szCs w:val="44"/>
        </w:rPr>
        <w:t>昌吉州公共体育场地设施建设采购项目</w:t>
      </w:r>
    </w:p>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为全州（玛纳斯县、呼图壁县、昌吉市、阜康市、吉木萨尔县、奇台县、木垒县）171个社区（村）配置130套体育健身路径（单杠、腰背按摩器、钟摆器、伸腰展背架、扭腰背肌训练器、 压腿勾腿训练器、伸展扭腰器、双位压腿腿部按摩器）、55副篮球架、185张室内外乒乓球桌、116 副羽毛球网架、10 套篮球场悬浮地板、5张台球桌和1副单杠。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二、项目预算：</w:t>
      </w:r>
      <w:r>
        <w:rPr>
          <w:rFonts w:hint="eastAsia" w:ascii="仿宋_GB2312" w:hAnsi="仿宋_GB2312" w:eastAsia="仿宋_GB2312" w:cs="仿宋_GB2312"/>
          <w:sz w:val="32"/>
          <w:szCs w:val="32"/>
        </w:rPr>
        <w:t>3580000元，最高限价：3580000元。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三、项目实施期限：</w:t>
      </w:r>
      <w:r>
        <w:rPr>
          <w:rFonts w:hint="eastAsia" w:ascii="仿宋_GB2312" w:hAnsi="仿宋_GB2312" w:eastAsia="仿宋_GB2312" w:cs="仿宋_GB2312"/>
          <w:sz w:val="32"/>
          <w:szCs w:val="32"/>
        </w:rPr>
        <w:t>合同签订后180天内完成供货安装。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四、质保期限：</w:t>
      </w:r>
      <w:r>
        <w:rPr>
          <w:rFonts w:hint="eastAsia" w:ascii="仿宋_GB2312" w:hAnsi="仿宋_GB2312" w:eastAsia="仿宋_GB2312" w:cs="仿宋_GB2312"/>
          <w:sz w:val="32"/>
          <w:szCs w:val="32"/>
        </w:rPr>
        <w:t>自验收合格之日起质保期不低于一年。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五、付款方式：</w:t>
      </w:r>
      <w:r>
        <w:rPr>
          <w:rFonts w:hint="eastAsia" w:ascii="仿宋_GB2312" w:hAnsi="仿宋_GB2312" w:eastAsia="仿宋_GB2312" w:cs="仿宋_GB2312"/>
          <w:sz w:val="32"/>
          <w:szCs w:val="32"/>
        </w:rPr>
        <w:t>合同签订后支付中标价 60％，验收合格支付尾款40％。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六、服务内容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包含昌吉州辖区范围内（玛纳斯县、呼图壁县、昌吉市、阜康市、吉木萨尔县、奇台县、木垒县）171 个社区（村）配送安装调试和售后服务。所有器材须喷涂昌吉州文化体育广播电视和 旅游局资助及中国体育彩票宣传标识。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七、设施安装要求：</w:t>
      </w:r>
      <w:r>
        <w:rPr>
          <w:rFonts w:hint="eastAsia" w:ascii="仿宋_GB2312" w:hAnsi="仿宋_GB2312" w:eastAsia="仿宋_GB2312" w:cs="仿宋_GB2312"/>
          <w:sz w:val="32"/>
          <w:szCs w:val="32"/>
        </w:rPr>
        <w:t>安装方式方法及具体要求（健身路径直埋式，挖坑尺寸：长500mm×宽500mm×高600mm 填充混凝土等级不低于≥c20）。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八、售后服务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（一）质保期内，如果设备发生故障，供货商需于 48 小时内提供处理意见，72小时内进行修复；在非人为破坏的前提下， 所有设备、材料及人工服务均免费。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质保期外，中标供应商应提供设施易损部件的备品、 备件，在需要更换时，需于48小时内以不高于市场价8.5折的优惠进行更换维修。</w:t>
      </w:r>
    </w:p>
    <w:p>
      <w:pPr>
        <w:pStyle w:val="2"/>
        <w:numPr>
          <w:ilvl w:val="0"/>
          <w:numId w:val="2"/>
        </w:numPr>
        <w:sectPr>
          <w:headerReference r:id="rId3" w:type="default"/>
          <w:footerReference r:id="rId4" w:type="default"/>
          <w:pgSz w:w="11906" w:h="16839"/>
          <w:pgMar w:top="400" w:right="1486" w:bottom="1244" w:left="1374" w:header="0" w:footer="1083" w:gutter="0"/>
          <w:cols w:space="720" w:num="1"/>
        </w:sectPr>
      </w:pPr>
    </w:p>
    <w:p>
      <w:pPr>
        <w:spacing w:before="345" w:line="186" w:lineRule="auto"/>
        <w:ind w:firstLine="632" w:firstLineChars="200"/>
      </w:pPr>
      <w:bookmarkStart w:id="203" w:name="bookmark12"/>
      <w:bookmarkEnd w:id="203"/>
      <w:r>
        <w:rPr>
          <w:rFonts w:ascii="微软雅黑" w:hAnsi="微软雅黑" w:eastAsia="微软雅黑" w:cs="微软雅黑"/>
          <w:spacing w:val="-2"/>
          <w:sz w:val="32"/>
          <w:szCs w:val="32"/>
        </w:rPr>
        <w:t>九、采购清单及参数要求</w:t>
      </w:r>
    </w:p>
    <w:tbl>
      <w:tblPr>
        <w:tblStyle w:val="25"/>
        <w:tblpPr w:leftFromText="180" w:rightFromText="180" w:vertAnchor="text" w:horzAnchor="page" w:tblpX="1322" w:tblpY="243"/>
        <w:tblOverlap w:val="never"/>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224"/>
        <w:gridCol w:w="5652"/>
        <w:gridCol w:w="72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798" w:type="dxa"/>
            <w:tcBorders>
              <w:bottom w:val="single" w:color="auto" w:sz="4" w:space="0"/>
            </w:tcBorders>
            <w:noWrap w:val="0"/>
            <w:vAlign w:val="top"/>
          </w:tcPr>
          <w:p>
            <w:pPr>
              <w:spacing w:before="65" w:line="240" w:lineRule="auto"/>
              <w:ind w:left="214"/>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序号</w:t>
            </w:r>
          </w:p>
        </w:tc>
        <w:tc>
          <w:tcPr>
            <w:tcW w:w="1224" w:type="dxa"/>
            <w:tcBorders>
              <w:bottom w:val="single" w:color="auto" w:sz="4" w:space="0"/>
            </w:tcBorders>
            <w:noWrap w:val="0"/>
            <w:vAlign w:val="top"/>
          </w:tcPr>
          <w:p>
            <w:pPr>
              <w:spacing w:before="65" w:line="240" w:lineRule="auto"/>
              <w:ind w:left="113" w:right="110" w:firstLine="10"/>
              <w:jc w:val="both"/>
              <w:rPr>
                <w:rFonts w:hint="default"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产品名称</w:t>
            </w:r>
          </w:p>
        </w:tc>
        <w:tc>
          <w:tcPr>
            <w:tcW w:w="5652" w:type="dxa"/>
            <w:tcBorders>
              <w:bottom w:val="single" w:color="auto" w:sz="4" w:space="0"/>
            </w:tcBorders>
            <w:noWrap w:val="0"/>
            <w:vAlign w:val="top"/>
          </w:tcPr>
          <w:p>
            <w:pPr>
              <w:spacing w:before="34" w:line="240" w:lineRule="auto"/>
              <w:ind w:left="115" w:right="98" w:firstLine="2209" w:firstLineChars="1100"/>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技术参数</w:t>
            </w:r>
          </w:p>
        </w:tc>
        <w:tc>
          <w:tcPr>
            <w:tcW w:w="720" w:type="dxa"/>
            <w:tcBorders>
              <w:bottom w:val="single" w:color="auto" w:sz="4" w:space="0"/>
            </w:tcBorders>
            <w:noWrap w:val="0"/>
            <w:vAlign w:val="top"/>
          </w:tcPr>
          <w:p>
            <w:pPr>
              <w:spacing w:before="65" w:line="240" w:lineRule="auto"/>
              <w:ind w:left="214"/>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数量</w:t>
            </w:r>
          </w:p>
        </w:tc>
        <w:tc>
          <w:tcPr>
            <w:tcW w:w="696" w:type="dxa"/>
            <w:tcBorders>
              <w:bottom w:val="single" w:color="auto" w:sz="4" w:space="0"/>
            </w:tcBorders>
            <w:noWrap w:val="0"/>
            <w:vAlign w:val="top"/>
          </w:tcPr>
          <w:p>
            <w:pPr>
              <w:spacing w:before="65" w:line="240" w:lineRule="auto"/>
              <w:ind w:firstLine="201" w:firstLineChars="100"/>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1" w:hRule="atLeast"/>
        </w:trPr>
        <w:tc>
          <w:tcPr>
            <w:tcW w:w="798" w:type="dxa"/>
            <w:tcBorders>
              <w:top w:val="single" w:color="auto" w:sz="4" w:space="0"/>
            </w:tcBorders>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8" w:lineRule="auto"/>
              <w:ind w:left="214" w:leftChars="0" w:firstLine="195" w:firstLineChars="100"/>
              <w:rPr>
                <w:rFonts w:ascii="仿宋" w:hAnsi="仿宋" w:eastAsia="仿宋" w:cs="仿宋"/>
                <w:b/>
                <w:bCs/>
                <w:color w:val="000000" w:themeColor="text1"/>
                <w:spacing w:val="-3"/>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1</w:t>
            </w:r>
          </w:p>
        </w:tc>
        <w:tc>
          <w:tcPr>
            <w:tcW w:w="1224" w:type="dxa"/>
            <w:tcBorders>
              <w:top w:val="single" w:color="auto" w:sz="4" w:space="0"/>
            </w:tcBorders>
            <w:noWrap w:val="0"/>
            <w:vAlign w:val="top"/>
          </w:tcPr>
          <w:p>
            <w:pPr>
              <w:spacing w:line="270" w:lineRule="auto"/>
              <w:rPr>
                <w:rFonts w:ascii="Arial"/>
                <w:color w:val="000000" w:themeColor="text1"/>
                <w:sz w:val="21"/>
                <w:highlight w:val="none"/>
                <w14:textFill>
                  <w14:solidFill>
                    <w14:schemeClr w14:val="tx1"/>
                  </w14:solidFill>
                </w14:textFill>
              </w:rPr>
            </w:pPr>
          </w:p>
          <w:p>
            <w:pPr>
              <w:spacing w:line="270" w:lineRule="auto"/>
              <w:rPr>
                <w:rFonts w:ascii="Arial"/>
                <w:color w:val="000000" w:themeColor="text1"/>
                <w:sz w:val="21"/>
                <w:highlight w:val="none"/>
                <w14:textFill>
                  <w14:solidFill>
                    <w14:schemeClr w14:val="tx1"/>
                  </w14:solidFill>
                </w14:textFill>
              </w:rPr>
            </w:pPr>
          </w:p>
          <w:p>
            <w:pPr>
              <w:spacing w:line="271" w:lineRule="auto"/>
              <w:rPr>
                <w:rFonts w:ascii="Arial"/>
                <w:color w:val="000000" w:themeColor="text1"/>
                <w:sz w:val="21"/>
                <w:highlight w:val="none"/>
                <w14:textFill>
                  <w14:solidFill>
                    <w14:schemeClr w14:val="tx1"/>
                  </w14:solidFill>
                </w14:textFill>
              </w:rPr>
            </w:pPr>
          </w:p>
          <w:p>
            <w:pPr>
              <w:spacing w:line="271" w:lineRule="auto"/>
              <w:rPr>
                <w:rFonts w:ascii="Arial"/>
                <w:color w:val="000000" w:themeColor="text1"/>
                <w:sz w:val="21"/>
                <w:highlight w:val="none"/>
                <w14:textFill>
                  <w14:solidFill>
                    <w14:schemeClr w14:val="tx1"/>
                  </w14:solidFill>
                </w14:textFill>
              </w:rPr>
            </w:pPr>
          </w:p>
          <w:p>
            <w:pPr>
              <w:spacing w:before="65" w:line="275" w:lineRule="auto"/>
              <w:ind w:left="113" w:leftChars="0" w:right="110" w:rightChars="0" w:firstLine="10" w:firstLineChars="0"/>
              <w:rPr>
                <w:rFonts w:ascii="仿宋" w:hAnsi="仿宋" w:eastAsia="仿宋" w:cs="仿宋"/>
                <w:color w:val="000000" w:themeColor="text1"/>
                <w:spacing w:val="-7"/>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室外乒</w:t>
            </w:r>
            <w:r>
              <w:rPr>
                <w:rFonts w:ascii="仿宋" w:hAnsi="仿宋" w:eastAsia="仿宋" w:cs="仿宋"/>
                <w:color w:val="000000" w:themeColor="text1"/>
                <w:spacing w:val="-4"/>
                <w:sz w:val="20"/>
                <w:szCs w:val="20"/>
                <w:highlight w:val="none"/>
                <w14:textFill>
                  <w14:solidFill>
                    <w14:schemeClr w14:val="tx1"/>
                  </w14:solidFill>
                </w14:textFill>
              </w:rPr>
              <w:t>乓球桌</w:t>
            </w:r>
          </w:p>
        </w:tc>
        <w:tc>
          <w:tcPr>
            <w:tcW w:w="5652" w:type="dxa"/>
            <w:tcBorders>
              <w:top w:val="single" w:color="auto" w:sz="4" w:space="0"/>
            </w:tcBorders>
            <w:noWrap w:val="0"/>
            <w:vAlign w:val="top"/>
          </w:tcPr>
          <w:p>
            <w:pPr>
              <w:spacing w:before="59"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ascii="仿宋" w:hAnsi="仿宋" w:eastAsia="仿宋" w:cs="仿宋"/>
                <w:color w:val="000000" w:themeColor="text1"/>
                <w:spacing w:val="-3"/>
                <w:sz w:val="20"/>
                <w:szCs w:val="20"/>
                <w:highlight w:val="none"/>
                <w14:textFill>
                  <w14:solidFill>
                    <w14:schemeClr w14:val="tx1"/>
                  </w14:solidFill>
                </w14:textFill>
              </w:rPr>
              <w:t>2740mm×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1525</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760</w:t>
            </w:r>
            <w:r>
              <w:rPr>
                <w:rFonts w:ascii="仿宋" w:hAnsi="仿宋" w:eastAsia="仿宋" w:cs="仿宋"/>
                <w:color w:val="000000" w:themeColor="text1"/>
                <w:spacing w:val="-3"/>
                <w:sz w:val="20"/>
                <w:szCs w:val="20"/>
                <w:highlight w:val="none"/>
                <w14:textFill>
                  <w14:solidFill>
                    <w14:schemeClr w14:val="tx1"/>
                  </w14:solidFill>
                </w14:textFill>
              </w:rPr>
              <w:t>mm；</w:t>
            </w:r>
          </w:p>
          <w:p>
            <w:pPr>
              <w:spacing w:before="34" w:line="283" w:lineRule="auto"/>
              <w:ind w:left="115" w:leftChars="0" w:right="98" w:rightChars="0"/>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彩虹腿采用≥φ60mm×3mm</w:t>
            </w:r>
            <w:r>
              <w:rPr>
                <w:rFonts w:ascii="仿宋" w:hAnsi="仿宋" w:eastAsia="仿宋" w:cs="仿宋"/>
                <w:color w:val="000000" w:themeColor="text1"/>
                <w:spacing w:val="-29"/>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钢管，在专用弯管机上弯管成形，</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主承载横梁采用≥20mm×30mm×2mm</w:t>
            </w:r>
            <w:r>
              <w:rPr>
                <w:rFonts w:ascii="仿宋" w:hAnsi="仿宋" w:eastAsia="仿宋" w:cs="仿宋"/>
                <w:color w:val="000000" w:themeColor="text1"/>
                <w:spacing w:val="-35"/>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钢管组焊而成或等强度规格</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的管材；球台台面采用材质为</w:t>
            </w:r>
            <w:r>
              <w:rPr>
                <w:rFonts w:ascii="仿宋" w:hAnsi="仿宋" w:eastAsia="仿宋" w:cs="仿宋"/>
                <w:color w:val="000000" w:themeColor="text1"/>
                <w:spacing w:val="-32"/>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SMC</w:t>
            </w:r>
            <w:r>
              <w:rPr>
                <w:rFonts w:ascii="仿宋" w:hAnsi="仿宋" w:eastAsia="仿宋" w:cs="仿宋"/>
                <w:color w:val="000000" w:themeColor="text1"/>
                <w:spacing w:val="-40"/>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材料整体高温模压一次成型，台板厚度为</w:t>
            </w:r>
            <w:r>
              <w:rPr>
                <w:rFonts w:ascii="仿宋" w:hAnsi="仿宋" w:eastAsia="仿宋" w:cs="仿宋"/>
                <w:color w:val="000000" w:themeColor="text1"/>
                <w:spacing w:val="-27"/>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51mm，台高</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760mm；表面处理工艺为：脱脂-抛丸-静</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电喷涂；器材采用预埋的安装方式。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tcBorders>
              <w:top w:val="single" w:color="auto" w:sz="4" w:space="0"/>
            </w:tcBorders>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8" w:lineRule="auto"/>
              <w:ind w:left="214"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144</w:t>
            </w:r>
          </w:p>
        </w:tc>
        <w:tc>
          <w:tcPr>
            <w:tcW w:w="696" w:type="dxa"/>
            <w:tcBorders>
              <w:top w:val="single" w:color="auto" w:sz="4" w:space="0"/>
            </w:tcBorders>
            <w:noWrap w:val="0"/>
            <w:vAlign w:val="top"/>
          </w:tcPr>
          <w:p>
            <w:pPr>
              <w:spacing w:line="247" w:lineRule="auto"/>
              <w:rPr>
                <w:rFonts w:ascii="Arial"/>
                <w:color w:val="000000" w:themeColor="text1"/>
                <w:sz w:val="21"/>
                <w:highlight w:val="none"/>
                <w14:textFill>
                  <w14:solidFill>
                    <w14:schemeClr w14:val="tx1"/>
                  </w14:solidFill>
                </w14:textFill>
              </w:rPr>
            </w:pPr>
          </w:p>
          <w:p>
            <w:pPr>
              <w:spacing w:line="247"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before="65" w:line="218" w:lineRule="auto"/>
              <w:ind w:left="238"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8"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8" w:lineRule="auto"/>
              <w:ind w:left="209"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2</w:t>
            </w:r>
          </w:p>
        </w:tc>
        <w:tc>
          <w:tcPr>
            <w:tcW w:w="1224" w:type="dxa"/>
            <w:noWrap w:val="0"/>
            <w:vAlign w:val="top"/>
          </w:tcPr>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before="65" w:line="275" w:lineRule="auto"/>
              <w:ind w:left="113" w:right="110" w:firstLine="1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室内乒</w:t>
            </w:r>
            <w:r>
              <w:rPr>
                <w:rFonts w:ascii="仿宋" w:hAnsi="仿宋" w:eastAsia="仿宋" w:cs="仿宋"/>
                <w:color w:val="000000" w:themeColor="text1"/>
                <w:spacing w:val="-4"/>
                <w:sz w:val="20"/>
                <w:szCs w:val="20"/>
                <w:highlight w:val="none"/>
                <w14:textFill>
                  <w14:solidFill>
                    <w14:schemeClr w14:val="tx1"/>
                  </w14:solidFill>
                </w14:textFill>
              </w:rPr>
              <w:t>乓球桌</w:t>
            </w:r>
          </w:p>
        </w:tc>
        <w:tc>
          <w:tcPr>
            <w:tcW w:w="5652" w:type="dxa"/>
            <w:noWrap w:val="0"/>
            <w:vAlign w:val="top"/>
          </w:tcPr>
          <w:p>
            <w:pPr>
              <w:spacing w:before="32" w:line="279" w:lineRule="auto"/>
              <w:ind w:left="106" w:right="98" w:firstLine="9"/>
              <w:jc w:val="left"/>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2740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1525</w:t>
            </w:r>
            <w:r>
              <w:rPr>
                <w:rFonts w:ascii="仿宋" w:hAnsi="仿宋" w:eastAsia="仿宋" w:cs="仿宋"/>
                <w:color w:val="000000" w:themeColor="text1"/>
                <w:spacing w:val="-3"/>
                <w:sz w:val="20"/>
                <w:szCs w:val="20"/>
                <w:highlight w:val="none"/>
                <w14:textFill>
                  <w14:solidFill>
                    <w14:schemeClr w14:val="tx1"/>
                  </w14:solidFill>
                </w14:textFill>
              </w:rPr>
              <w:t>mm×760mm；</w:t>
            </w:r>
          </w:p>
          <w:p>
            <w:pPr>
              <w:spacing w:before="32" w:line="279" w:lineRule="auto"/>
              <w:ind w:left="106" w:right="98" w:firstLine="9"/>
              <w:jc w:val="left"/>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ascii="仿宋" w:hAnsi="仿宋" w:eastAsia="仿宋" w:cs="仿宋"/>
                <w:color w:val="000000" w:themeColor="text1"/>
                <w:sz w:val="20"/>
                <w:szCs w:val="20"/>
                <w:highlight w:val="none"/>
                <w14:textFill>
                  <w14:solidFill>
                    <w14:schemeClr w14:val="tx1"/>
                  </w14:solidFill>
                </w14:textFill>
              </w:rPr>
              <w:t>主要承载立柱≥</w:t>
            </w: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0mm×</w:t>
            </w: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0mm×</w:t>
            </w: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ascii="仿宋" w:hAnsi="仿宋" w:eastAsia="仿宋" w:cs="仿宋"/>
                <w:color w:val="000000" w:themeColor="text1"/>
                <w:spacing w:val="-1"/>
                <w:sz w:val="20"/>
                <w:szCs w:val="20"/>
                <w:highlight w:val="none"/>
                <w14:textFill>
                  <w14:solidFill>
                    <w14:schemeClr w14:val="tx1"/>
                  </w14:solidFill>
                </w14:textFill>
              </w:rPr>
              <w:t>mm，主要承载横梁≥</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4</w:t>
            </w:r>
            <w:r>
              <w:rPr>
                <w:rFonts w:ascii="仿宋" w:hAnsi="仿宋" w:eastAsia="仿宋" w:cs="仿宋"/>
                <w:color w:val="000000" w:themeColor="text1"/>
                <w:spacing w:val="-1"/>
                <w:sz w:val="20"/>
                <w:szCs w:val="20"/>
                <w:highlight w:val="none"/>
                <w14:textFill>
                  <w14:solidFill>
                    <w14:schemeClr w14:val="tx1"/>
                  </w14:solidFill>
                </w14:textFill>
              </w:rPr>
              <w:t>0mm×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2</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mm×1.0mm</w:t>
            </w:r>
            <w:r>
              <w:rPr>
                <w:rFonts w:ascii="仿宋" w:hAnsi="仿宋" w:eastAsia="仿宋" w:cs="仿宋"/>
                <w:color w:val="000000" w:themeColor="text1"/>
                <w:spacing w:val="-43"/>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或等强度规格的管材；表面处理工艺</w:t>
            </w:r>
            <w:r>
              <w:rPr>
                <w:rFonts w:ascii="仿宋" w:hAnsi="仿宋" w:eastAsia="仿宋" w:cs="仿宋"/>
                <w:color w:val="000000" w:themeColor="text1"/>
                <w:spacing w:val="-4"/>
                <w:sz w:val="20"/>
                <w:szCs w:val="20"/>
                <w:highlight w:val="none"/>
                <w14:textFill>
                  <w14:solidFill>
                    <w14:schemeClr w14:val="tx1"/>
                  </w14:solidFill>
                </w14:textFill>
              </w:rPr>
              <w:t>为：脱脂-抛丸</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-静电喷涂；单折可移动式。</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产品</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符合</w:t>
            </w:r>
            <w:r>
              <w:rPr>
                <w:rFonts w:ascii="仿宋" w:hAnsi="仿宋" w:eastAsia="仿宋" w:cs="仿宋"/>
                <w:color w:val="000000" w:themeColor="text1"/>
                <w:spacing w:val="-41"/>
                <w:sz w:val="20"/>
                <w:szCs w:val="20"/>
                <w:highlight w:val="none"/>
                <w:shd w:val="clear" w:fill="FFFFFF" w:themeFill="background1"/>
                <w14:textFill>
                  <w14:solidFill>
                    <w14:schemeClr w14:val="tx1"/>
                  </w14:solidFill>
                </w14:textFill>
              </w:rPr>
              <w:t xml:space="preserve"> </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QB/T2700-2005</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乒乓球台</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国家</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p>
        </w:tc>
        <w:tc>
          <w:tcPr>
            <w:tcW w:w="720"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8" w:lineRule="auto"/>
              <w:ind w:left="25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41</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before="65" w:line="218" w:lineRule="auto"/>
              <w:ind w:left="23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9" w:hRule="atLeast"/>
        </w:trPr>
        <w:tc>
          <w:tcPr>
            <w:tcW w:w="79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7"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3</w:t>
            </w:r>
          </w:p>
        </w:tc>
        <w:tc>
          <w:tcPr>
            <w:tcW w:w="1224"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16" w:lineRule="auto"/>
              <w:ind w:left="216"/>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单杠</w:t>
            </w:r>
          </w:p>
        </w:tc>
        <w:tc>
          <w:tcPr>
            <w:tcW w:w="5652" w:type="dxa"/>
            <w:noWrap w:val="0"/>
            <w:vAlign w:val="top"/>
          </w:tcPr>
          <w:p>
            <w:pPr>
              <w:spacing w:before="58"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2700</w:t>
            </w:r>
            <w:r>
              <w:rPr>
                <w:rFonts w:ascii="仿宋" w:hAnsi="仿宋" w:eastAsia="仿宋" w:cs="仿宋"/>
                <w:color w:val="000000" w:themeColor="text1"/>
                <w:spacing w:val="-3"/>
                <w:sz w:val="20"/>
                <w:szCs w:val="20"/>
                <w:highlight w:val="none"/>
                <w14:textFill>
                  <w14:solidFill>
                    <w14:schemeClr w14:val="tx1"/>
                  </w14:solidFill>
                </w14:textFill>
              </w:rPr>
              <w:t>mm×114mm×2100mm；</w:t>
            </w:r>
          </w:p>
          <w:p>
            <w:pPr>
              <w:spacing w:before="31" w:line="280" w:lineRule="auto"/>
              <w:ind w:left="107" w:right="98" w:firstLine="8"/>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w:t>
            </w:r>
            <w:r>
              <w:rPr>
                <w:rFonts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钢管，杠面为≥φ28</w:t>
            </w:r>
            <w:r>
              <w:rPr>
                <w:rFonts w:ascii="仿宋" w:hAnsi="仿宋" w:eastAsia="仿宋" w:cs="仿宋"/>
                <w:color w:val="000000" w:themeColor="text1"/>
                <w:spacing w:val="-36"/>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无缝</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圆钢</w:t>
            </w:r>
            <w:r>
              <w:rPr>
                <w:rFonts w:ascii="仿宋" w:hAnsi="仿宋" w:eastAsia="仿宋" w:cs="仿宋"/>
                <w:color w:val="000000" w:themeColor="text1"/>
                <w:spacing w:val="-2"/>
                <w:sz w:val="20"/>
                <w:szCs w:val="20"/>
                <w:highlight w:val="none"/>
                <w14:textFill>
                  <w14:solidFill>
                    <w14:schemeClr w14:val="tx1"/>
                  </w14:solidFill>
                </w14:textFill>
              </w:rPr>
              <w:t>或等强</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度规格的管材；表面处理工艺为：脱脂-抛丸-静电喷涂；器材采</w:t>
            </w:r>
            <w:r>
              <w:rPr>
                <w:rFonts w:ascii="仿宋" w:hAnsi="仿宋" w:eastAsia="仿宋" w:cs="仿宋"/>
                <w:color w:val="000000" w:themeColor="text1"/>
                <w:spacing w:val="-5"/>
                <w:sz w:val="20"/>
                <w:szCs w:val="20"/>
                <w:highlight w:val="none"/>
                <w14:textFill>
                  <w14:solidFill>
                    <w14:schemeClr w14:val="tx1"/>
                  </w14:solidFill>
                </w14:textFill>
              </w:rPr>
              <w:t>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131</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20" w:lineRule="auto"/>
              <w:ind w:left="24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8" w:lineRule="auto"/>
              <w:ind w:left="208"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4</w:t>
            </w:r>
          </w:p>
        </w:tc>
        <w:tc>
          <w:tcPr>
            <w:tcW w:w="1224" w:type="dxa"/>
            <w:noWrap w:val="0"/>
            <w:vAlign w:val="top"/>
          </w:tcPr>
          <w:p>
            <w:pPr>
              <w:spacing w:line="257" w:lineRule="auto"/>
              <w:rPr>
                <w:rFonts w:ascii="Arial"/>
                <w:color w:val="000000" w:themeColor="text1"/>
                <w:sz w:val="21"/>
                <w:highlight w:val="none"/>
                <w14:textFill>
                  <w14:solidFill>
                    <w14:schemeClr w14:val="tx1"/>
                  </w14:solidFill>
                </w14:textFill>
              </w:rPr>
            </w:pPr>
          </w:p>
          <w:p>
            <w:pPr>
              <w:spacing w:line="257" w:lineRule="auto"/>
              <w:rPr>
                <w:rFonts w:ascii="Arial"/>
                <w:color w:val="000000" w:themeColor="text1"/>
                <w:sz w:val="21"/>
                <w:highlight w:val="none"/>
                <w14:textFill>
                  <w14:solidFill>
                    <w14:schemeClr w14:val="tx1"/>
                  </w14:solidFill>
                </w14:textFill>
              </w:rPr>
            </w:pPr>
          </w:p>
          <w:p>
            <w:pPr>
              <w:spacing w:line="258" w:lineRule="auto"/>
              <w:rPr>
                <w:rFonts w:ascii="Arial"/>
                <w:color w:val="000000" w:themeColor="text1"/>
                <w:sz w:val="21"/>
                <w:highlight w:val="none"/>
                <w14:textFill>
                  <w14:solidFill>
                    <w14:schemeClr w14:val="tx1"/>
                  </w14:solidFill>
                </w14:textFill>
              </w:rPr>
            </w:pPr>
          </w:p>
          <w:p>
            <w:pPr>
              <w:spacing w:before="65" w:line="275" w:lineRule="auto"/>
              <w:ind w:left="211" w:right="110" w:hanging="10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腰背按摩器</w:t>
            </w:r>
          </w:p>
        </w:tc>
        <w:tc>
          <w:tcPr>
            <w:tcW w:w="5652" w:type="dxa"/>
            <w:noWrap w:val="0"/>
            <w:vAlign w:val="top"/>
          </w:tcPr>
          <w:p>
            <w:pPr>
              <w:spacing w:before="59"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规格：≥91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760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1350</w:t>
            </w:r>
            <w:r>
              <w:rPr>
                <w:rFonts w:ascii="仿宋" w:hAnsi="仿宋" w:eastAsia="仿宋" w:cs="仿宋"/>
                <w:color w:val="000000" w:themeColor="text1"/>
                <w:spacing w:val="-3"/>
                <w:sz w:val="20"/>
                <w:szCs w:val="20"/>
                <w:highlight w:val="none"/>
                <w14:textFill>
                  <w14:solidFill>
                    <w14:schemeClr w14:val="tx1"/>
                  </w14:solidFill>
                </w14:textFill>
              </w:rPr>
              <w:t>mm；</w:t>
            </w:r>
          </w:p>
          <w:p>
            <w:pPr>
              <w:spacing w:before="31" w:line="281" w:lineRule="auto"/>
              <w:ind w:left="107" w:right="98" w:firstLine="7"/>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w:t>
            </w:r>
            <w:r>
              <w:rPr>
                <w:rFonts w:ascii="仿宋" w:hAnsi="仿宋" w:eastAsia="仿宋" w:cs="仿宋"/>
                <w:color w:val="000000" w:themeColor="text1"/>
                <w:spacing w:val="-4"/>
                <w:sz w:val="20"/>
                <w:szCs w:val="20"/>
                <w:highlight w:val="none"/>
                <w14:textFill>
                  <w14:solidFill>
                    <w14:schemeClr w14:val="tx1"/>
                  </w14:solidFill>
                </w14:textFill>
              </w:rPr>
              <w:t>采用≥φ</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38</w:t>
            </w:r>
            <w:r>
              <w:rPr>
                <w:rFonts w:ascii="仿宋" w:hAnsi="仿宋" w:eastAsia="仿宋" w:cs="仿宋"/>
                <w:color w:val="000000" w:themeColor="text1"/>
                <w:spacing w:val="-4"/>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2.5</w:t>
            </w:r>
            <w:r>
              <w:rPr>
                <w:rFonts w:ascii="仿宋" w:hAnsi="仿宋" w:eastAsia="仿宋" w:cs="仿宋"/>
                <w:color w:val="000000" w:themeColor="text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钢管或等强度规格的管材；按摩棒为</w:t>
            </w:r>
            <w:r>
              <w:rPr>
                <w:rFonts w:ascii="仿宋" w:hAnsi="仿宋" w:eastAsia="仿宋" w:cs="仿宋"/>
                <w:color w:val="000000" w:themeColor="text1"/>
                <w:sz w:val="20"/>
                <w:szCs w:val="20"/>
                <w:highlight w:val="none"/>
                <w14:textFill>
                  <w14:solidFill>
                    <w14:schemeClr w14:val="tx1"/>
                  </w14:solidFill>
                </w14:textFill>
              </w:rPr>
              <w:t>ABS</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材质；内置</w:t>
            </w:r>
            <w:r>
              <w:rPr>
                <w:rFonts w:ascii="仿宋" w:hAnsi="仿宋" w:eastAsia="仿宋" w:cs="仿宋"/>
                <w:color w:val="000000" w:themeColor="text1"/>
                <w:sz w:val="20"/>
                <w:szCs w:val="20"/>
                <w:highlight w:val="none"/>
                <w14:textFill>
                  <w14:solidFill>
                    <w14:schemeClr w14:val="tx1"/>
                  </w14:solidFill>
                </w14:textFill>
              </w:rPr>
              <w:t>限位</w:t>
            </w:r>
            <w:r>
              <w:rPr>
                <w:rFonts w:ascii="仿宋" w:hAnsi="仿宋" w:eastAsia="仿宋" w:cs="仿宋"/>
                <w:color w:val="000000" w:themeColor="text1"/>
                <w:spacing w:val="-11"/>
                <w:sz w:val="20"/>
                <w:szCs w:val="20"/>
                <w:highlight w:val="none"/>
                <w14:textFill>
                  <w14:solidFill>
                    <w14:schemeClr w14:val="tx1"/>
                  </w14:solidFill>
                </w14:textFill>
              </w:rPr>
              <w:t>装置。</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8" w:hRule="atLeast"/>
        </w:trPr>
        <w:tc>
          <w:tcPr>
            <w:tcW w:w="798" w:type="dxa"/>
            <w:noWrap w:val="0"/>
            <w:vAlign w:val="top"/>
          </w:tcPr>
          <w:p>
            <w:pPr>
              <w:rPr>
                <w:rFonts w:ascii="Arial"/>
                <w:color w:val="000000" w:themeColor="text1"/>
                <w:sz w:val="21"/>
                <w:highlight w:val="none"/>
                <w14:textFill>
                  <w14:solidFill>
                    <w14:schemeClr w14:val="tx1"/>
                  </w14:solidFill>
                </w14:textFill>
              </w:rPr>
            </w:pPr>
          </w:p>
          <w:p>
            <w:pPr>
              <w:rPr>
                <w:rFonts w:ascii="Arial"/>
                <w:color w:val="000000" w:themeColor="text1"/>
                <w:sz w:val="21"/>
                <w:highlight w:val="none"/>
                <w14:textFill>
                  <w14:solidFill>
                    <w14:schemeClr w14:val="tx1"/>
                  </w14:solidFill>
                </w14:textFill>
              </w:rPr>
            </w:pPr>
          </w:p>
          <w:p>
            <w:pPr>
              <w:rPr>
                <w:rFonts w:ascii="Arial"/>
                <w:color w:val="000000" w:themeColor="text1"/>
                <w:sz w:val="21"/>
                <w:highlight w:val="none"/>
                <w14:textFill>
                  <w14:solidFill>
                    <w14:schemeClr w14:val="tx1"/>
                  </w14:solidFill>
                </w14:textFill>
              </w:rPr>
            </w:pPr>
          </w:p>
          <w:p>
            <w:pPr>
              <w:spacing w:line="241" w:lineRule="auto"/>
              <w:rPr>
                <w:rFonts w:ascii="Arial"/>
                <w:color w:val="000000" w:themeColor="text1"/>
                <w:sz w:val="21"/>
                <w:highlight w:val="none"/>
                <w14:textFill>
                  <w14:solidFill>
                    <w14:schemeClr w14:val="tx1"/>
                  </w14:solidFill>
                </w14:textFill>
              </w:rPr>
            </w:pPr>
          </w:p>
          <w:p>
            <w:pPr>
              <w:spacing w:before="65" w:line="176" w:lineRule="auto"/>
              <w:ind w:left="212"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5</w:t>
            </w:r>
          </w:p>
        </w:tc>
        <w:tc>
          <w:tcPr>
            <w:tcW w:w="1224"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9" w:lineRule="auto"/>
              <w:ind w:left="1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钟摆器</w:t>
            </w:r>
          </w:p>
        </w:tc>
        <w:tc>
          <w:tcPr>
            <w:tcW w:w="5652" w:type="dxa"/>
            <w:noWrap w:val="0"/>
            <w:vAlign w:val="top"/>
          </w:tcPr>
          <w:p>
            <w:pPr>
              <w:spacing w:before="62"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规格：≥1100mm×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700</w:t>
            </w:r>
            <w:r>
              <w:rPr>
                <w:rFonts w:ascii="仿宋" w:hAnsi="仿宋" w:eastAsia="仿宋" w:cs="仿宋"/>
                <w:color w:val="000000" w:themeColor="text1"/>
                <w:spacing w:val="-3"/>
                <w:sz w:val="20"/>
                <w:szCs w:val="20"/>
                <w:highlight w:val="none"/>
                <w14:textFill>
                  <w14:solidFill>
                    <w14:schemeClr w14:val="tx1"/>
                  </w14:solidFill>
                </w14:textFill>
              </w:rPr>
              <w:t>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00mm；</w:t>
            </w:r>
          </w:p>
          <w:p>
            <w:pPr>
              <w:spacing w:before="31" w:line="275" w:lineRule="auto"/>
              <w:ind w:left="157" w:right="98" w:hanging="42"/>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60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40</w:t>
            </w:r>
            <w:r>
              <w:rPr>
                <w:rFonts w:ascii="仿宋" w:hAnsi="仿宋" w:eastAsia="仿宋" w:cs="仿宋"/>
                <w:color w:val="000000" w:themeColor="text1"/>
                <w:spacing w:val="-4"/>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钢管或等强度规格的管材；内置限位装</w:t>
            </w:r>
            <w:r>
              <w:rPr>
                <w:rFonts w:ascii="仿宋" w:hAnsi="仿宋" w:eastAsia="仿宋" w:cs="仿宋"/>
                <w:color w:val="000000" w:themeColor="text1"/>
                <w:spacing w:val="-3"/>
                <w:sz w:val="20"/>
                <w:szCs w:val="20"/>
                <w:highlight w:val="none"/>
                <w14:textFill>
                  <w14:solidFill>
                    <w14:schemeClr w14:val="tx1"/>
                  </w14:solidFill>
                </w14:textFill>
              </w:rPr>
              <w:t>置；表面处理工艺</w:t>
            </w:r>
            <w:r>
              <w:rPr>
                <w:rFonts w:ascii="仿宋" w:hAnsi="仿宋" w:eastAsia="仿宋" w:cs="仿宋"/>
                <w:color w:val="000000" w:themeColor="text1"/>
                <w:spacing w:val="-2"/>
                <w:sz w:val="20"/>
                <w:szCs w:val="20"/>
                <w:highlight w:val="none"/>
                <w14:textFill>
                  <w14:solidFill>
                    <w14:schemeClr w14:val="tx1"/>
                  </w14:solidFill>
                </w14:textFill>
              </w:rPr>
              <w:t>为：脱脂-抛丸-静电喷涂；器材采用直埋的安</w:t>
            </w:r>
            <w:r>
              <w:rPr>
                <w:rFonts w:ascii="仿宋" w:hAnsi="仿宋" w:eastAsia="仿宋" w:cs="仿宋"/>
                <w:color w:val="000000" w:themeColor="text1"/>
                <w:spacing w:val="-3"/>
                <w:sz w:val="20"/>
                <w:szCs w:val="20"/>
                <w:highlight w:val="none"/>
                <w14:textFill>
                  <w14:solidFill>
                    <w14:schemeClr w14:val="tx1"/>
                  </w14:solidFill>
                </w14:textFill>
              </w:rPr>
              <w:t>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bl>
    <w:tbl>
      <w:tblPr>
        <w:tblStyle w:val="25"/>
        <w:tblW w:w="9072"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236"/>
        <w:gridCol w:w="5723"/>
        <w:gridCol w:w="649"/>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768" w:type="dxa"/>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9" w:lineRule="auto"/>
              <w:ind w:firstLine="390" w:firstLineChars="2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6</w:t>
            </w:r>
          </w:p>
        </w:tc>
        <w:tc>
          <w:tcPr>
            <w:tcW w:w="1236" w:type="dxa"/>
            <w:noWrap w:val="0"/>
            <w:vAlign w:val="top"/>
          </w:tcPr>
          <w:p>
            <w:pPr>
              <w:spacing w:line="270" w:lineRule="auto"/>
              <w:rPr>
                <w:rFonts w:ascii="Arial"/>
                <w:color w:val="000000" w:themeColor="text1"/>
                <w:sz w:val="21"/>
                <w:highlight w:val="none"/>
                <w14:textFill>
                  <w14:solidFill>
                    <w14:schemeClr w14:val="tx1"/>
                  </w14:solidFill>
                </w14:textFill>
              </w:rPr>
            </w:pPr>
          </w:p>
          <w:p>
            <w:pPr>
              <w:spacing w:line="270" w:lineRule="auto"/>
              <w:rPr>
                <w:rFonts w:ascii="Arial"/>
                <w:color w:val="000000" w:themeColor="text1"/>
                <w:sz w:val="21"/>
                <w:highlight w:val="none"/>
                <w14:textFill>
                  <w14:solidFill>
                    <w14:schemeClr w14:val="tx1"/>
                  </w14:solidFill>
                </w14:textFill>
              </w:rPr>
            </w:pPr>
          </w:p>
          <w:p>
            <w:pPr>
              <w:spacing w:before="65" w:line="275" w:lineRule="auto"/>
              <w:ind w:right="11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伸腰</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展</w:t>
            </w:r>
            <w:r>
              <w:rPr>
                <w:rFonts w:ascii="仿宋" w:hAnsi="仿宋" w:eastAsia="仿宋" w:cs="仿宋"/>
                <w:color w:val="000000" w:themeColor="text1"/>
                <w:spacing w:val="-5"/>
                <w:sz w:val="20"/>
                <w:szCs w:val="20"/>
                <w:highlight w:val="none"/>
                <w14:textFill>
                  <w14:solidFill>
                    <w14:schemeClr w14:val="tx1"/>
                  </w14:solidFill>
                </w14:textFill>
              </w:rPr>
              <w:t>背架</w:t>
            </w:r>
          </w:p>
        </w:tc>
        <w:tc>
          <w:tcPr>
            <w:tcW w:w="5723" w:type="dxa"/>
            <w:noWrap w:val="0"/>
            <w:vAlign w:val="top"/>
          </w:tcPr>
          <w:p>
            <w:pPr>
              <w:spacing w:before="59"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750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500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900</w:t>
            </w:r>
            <w:r>
              <w:rPr>
                <w:rFonts w:ascii="仿宋" w:hAnsi="仿宋" w:eastAsia="仿宋" w:cs="仿宋"/>
                <w:color w:val="000000" w:themeColor="text1"/>
                <w:spacing w:val="-3"/>
                <w:sz w:val="20"/>
                <w:szCs w:val="20"/>
                <w:highlight w:val="none"/>
                <w14:textFill>
                  <w14:solidFill>
                    <w14:schemeClr w14:val="tx1"/>
                  </w14:solidFill>
                </w14:textFill>
              </w:rPr>
              <w:t>mm；</w:t>
            </w:r>
          </w:p>
          <w:p>
            <w:pPr>
              <w:pStyle w:val="26"/>
              <w:spacing w:before="34" w:line="283" w:lineRule="auto"/>
              <w:ind w:left="110" w:right="44" w:firstLine="5"/>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38</w:t>
            </w:r>
            <w:r>
              <w:rPr>
                <w:rFonts w:ascii="仿宋" w:hAnsi="仿宋" w:eastAsia="仿宋" w:cs="仿宋"/>
                <w:color w:val="000000" w:themeColor="text1"/>
                <w:spacing w:val="-4"/>
                <w:sz w:val="20"/>
                <w:szCs w:val="20"/>
                <w:highlight w:val="none"/>
                <w14:textFill>
                  <w14:solidFill>
                    <w14:schemeClr w14:val="tx1"/>
                  </w14:solidFill>
                </w14:textFill>
              </w:rPr>
              <w:t>mm×2mm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钢管或等强度规格的管材；</w:t>
            </w:r>
            <w:r>
              <w:rPr>
                <w:rFonts w:ascii="仿宋" w:hAnsi="仿宋" w:eastAsia="仿宋" w:cs="仿宋"/>
                <w:color w:val="000000" w:themeColor="text1"/>
                <w:spacing w:val="-2"/>
                <w:sz w:val="20"/>
                <w:szCs w:val="20"/>
                <w:highlight w:val="none"/>
                <w14:textFill>
                  <w14:solidFill>
                    <w14:schemeClr w14:val="tx1"/>
                  </w14:solidFill>
                </w14:textFill>
              </w:rPr>
              <w:t>表面处理工艺为：脱脂-抛丸-静电喷涂；器材采用直埋</w:t>
            </w:r>
            <w:r>
              <w:rPr>
                <w:rFonts w:ascii="仿宋" w:hAnsi="仿宋" w:eastAsia="仿宋" w:cs="仿宋"/>
                <w:color w:val="000000" w:themeColor="text1"/>
                <w:spacing w:val="-8"/>
                <w:sz w:val="20"/>
                <w:szCs w:val="20"/>
                <w:highlight w:val="none"/>
                <w14:textFill>
                  <w14:solidFill>
                    <w14:schemeClr w14:val="tx1"/>
                  </w14:solidFill>
                </w14:textFill>
              </w:rPr>
              <w:t>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4"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247" w:lineRule="auto"/>
              <w:rPr>
                <w:rFonts w:ascii="Arial"/>
                <w:color w:val="000000" w:themeColor="text1"/>
                <w:sz w:val="21"/>
                <w:highlight w:val="none"/>
                <w14:textFill>
                  <w14:solidFill>
                    <w14:schemeClr w14:val="tx1"/>
                  </w14:solidFill>
                </w14:textFill>
              </w:rPr>
            </w:pPr>
          </w:p>
          <w:p>
            <w:pPr>
              <w:spacing w:line="247"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9" w:hRule="atLeast"/>
        </w:trPr>
        <w:tc>
          <w:tcPr>
            <w:tcW w:w="768" w:type="dxa"/>
            <w:noWrap w:val="0"/>
            <w:vAlign w:val="top"/>
          </w:tcPr>
          <w:p>
            <w:pPr>
              <w:spacing w:line="318" w:lineRule="auto"/>
              <w:rPr>
                <w:rFonts w:hint="eastAsia" w:ascii="Arial" w:eastAsia="宋体"/>
                <w:color w:val="000000" w:themeColor="text1"/>
                <w:sz w:val="21"/>
                <w:highlight w:val="none"/>
                <w:lang w:eastAsia="zh-CN"/>
                <w14:textFill>
                  <w14:solidFill>
                    <w14:schemeClr w14:val="tx1"/>
                  </w14:solidFill>
                </w14:textFill>
              </w:rPr>
            </w:pPr>
            <w:r>
              <w:rPr>
                <w:rFonts w:hint="eastAsia" w:ascii="Arial"/>
                <w:color w:val="000000" w:themeColor="text1"/>
                <w:sz w:val="21"/>
                <w:highlight w:val="none"/>
                <w:lang w:eastAsia="zh-CN"/>
                <w14:textFill>
                  <w14:solidFill>
                    <w14:schemeClr w14:val="tx1"/>
                  </w14:solidFill>
                </w14:textFill>
              </w:rPr>
              <w:t xml:space="preserve"> </w:t>
            </w:r>
          </w:p>
          <w:p>
            <w:pPr>
              <w:spacing w:line="318" w:lineRule="auto"/>
              <w:rPr>
                <w:rFonts w:ascii="Arial"/>
                <w:color w:val="000000" w:themeColor="text1"/>
                <w:sz w:val="21"/>
                <w:highlight w:val="none"/>
                <w14:textFill>
                  <w14:solidFill>
                    <w14:schemeClr w14:val="tx1"/>
                  </w14:solidFill>
                </w14:textFill>
              </w:rPr>
            </w:pPr>
          </w:p>
          <w:p>
            <w:pPr>
              <w:spacing w:line="319" w:lineRule="auto"/>
              <w:rPr>
                <w:rFonts w:hint="eastAsia" w:ascii="Arial" w:eastAsia="宋体"/>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p>
          <w:p>
            <w:pPr>
              <w:spacing w:before="65" w:line="176"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7</w:t>
            </w:r>
          </w:p>
        </w:tc>
        <w:tc>
          <w:tcPr>
            <w:tcW w:w="1236" w:type="dxa"/>
            <w:noWrap w:val="0"/>
            <w:vAlign w:val="top"/>
          </w:tcPr>
          <w:p>
            <w:pPr>
              <w:spacing w:line="306" w:lineRule="auto"/>
              <w:rPr>
                <w:rFonts w:ascii="Arial"/>
                <w:color w:val="000000" w:themeColor="text1"/>
                <w:sz w:val="21"/>
                <w:highlight w:val="none"/>
                <w14:textFill>
                  <w14:solidFill>
                    <w14:schemeClr w14:val="tx1"/>
                  </w14:solidFill>
                </w14:textFill>
              </w:rPr>
            </w:pPr>
          </w:p>
          <w:p>
            <w:pPr>
              <w:spacing w:line="307" w:lineRule="auto"/>
              <w:rPr>
                <w:rFonts w:ascii="Arial"/>
                <w:color w:val="000000" w:themeColor="text1"/>
                <w:sz w:val="21"/>
                <w:highlight w:val="none"/>
                <w14:textFill>
                  <w14:solidFill>
                    <w14:schemeClr w14:val="tx1"/>
                  </w14:solidFill>
                </w14:textFill>
              </w:rPr>
            </w:pPr>
          </w:p>
          <w:p>
            <w:pPr>
              <w:spacing w:before="65" w:line="217" w:lineRule="auto"/>
              <w:ind w:left="116"/>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扭腰背</w:t>
            </w:r>
          </w:p>
          <w:p>
            <w:pPr>
              <w:spacing w:before="77" w:line="218" w:lineRule="auto"/>
              <w:ind w:left="112"/>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肌训练</w:t>
            </w:r>
          </w:p>
          <w:p>
            <w:pPr>
              <w:spacing w:before="76" w:line="220" w:lineRule="auto"/>
              <w:ind w:left="30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器</w:t>
            </w:r>
          </w:p>
        </w:tc>
        <w:tc>
          <w:tcPr>
            <w:tcW w:w="5723" w:type="dxa"/>
            <w:noWrap w:val="0"/>
            <w:vAlign w:val="top"/>
          </w:tcPr>
          <w:p>
            <w:pPr>
              <w:spacing w:before="56"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1400</w:t>
            </w:r>
            <w:r>
              <w:rPr>
                <w:rFonts w:ascii="仿宋" w:hAnsi="仿宋" w:eastAsia="仿宋" w:cs="仿宋"/>
                <w:color w:val="000000" w:themeColor="text1"/>
                <w:spacing w:val="-3"/>
                <w:sz w:val="20"/>
                <w:szCs w:val="20"/>
                <w:highlight w:val="none"/>
                <w14:textFill>
                  <w14:solidFill>
                    <w14:schemeClr w14:val="tx1"/>
                  </w14:solidFill>
                </w14:textFill>
              </w:rPr>
              <w:t>mm×550mm×1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00mm；</w:t>
            </w:r>
          </w:p>
          <w:p>
            <w:pPr>
              <w:spacing w:before="32" w:line="273" w:lineRule="auto"/>
              <w:ind w:left="122" w:right="107" w:hanging="7"/>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主立柱采用≥φ114mm×3mm</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钢管；主承载横梁≥Φ</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48</w:t>
            </w:r>
            <w:r>
              <w:rPr>
                <w:rFonts w:ascii="仿宋" w:hAnsi="仿宋" w:eastAsia="仿宋" w:cs="仿宋"/>
                <w:color w:val="000000" w:themeColor="text1"/>
                <w:spacing w:val="-1"/>
                <w:sz w:val="20"/>
                <w:szCs w:val="20"/>
                <w:highlight w:val="none"/>
                <w14:textFill>
                  <w14:solidFill>
                    <w14:schemeClr w14:val="tx1"/>
                  </w14:solidFill>
                </w14:textFill>
              </w:rPr>
              <w:t>mm×</w:t>
            </w:r>
            <w:r>
              <w:rPr>
                <w:rFonts w:hint="eastAsia" w:ascii="仿宋" w:hAnsi="仿宋" w:eastAsia="仿宋" w:cs="仿宋"/>
                <w:color w:val="000000" w:themeColor="text1"/>
                <w:sz w:val="20"/>
                <w:szCs w:val="20"/>
                <w:highlight w:val="none"/>
                <w:lang w:val="en-US" w:eastAsia="zh-CN"/>
                <w14:textFill>
                  <w14:solidFill>
                    <w14:schemeClr w14:val="tx1"/>
                  </w14:solidFill>
                </w14:textFill>
              </w:rPr>
              <w:t>2.5</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钢管或等强度规格的管材；转动部位加装阻尼；表面处</w:t>
            </w:r>
            <w:r>
              <w:rPr>
                <w:rFonts w:ascii="仿宋" w:hAnsi="仿宋" w:eastAsia="仿宋" w:cs="仿宋"/>
                <w:color w:val="000000" w:themeColor="text1"/>
                <w:spacing w:val="-2"/>
                <w:sz w:val="20"/>
                <w:szCs w:val="20"/>
                <w:highlight w:val="none"/>
                <w14:textFill>
                  <w14:solidFill>
                    <w14:schemeClr w14:val="tx1"/>
                  </w14:solidFill>
                </w14:textFill>
              </w:rPr>
              <w:t>理工</w:t>
            </w:r>
            <w:r>
              <w:rPr>
                <w:rFonts w:ascii="仿宋" w:hAnsi="仿宋" w:eastAsia="仿宋" w:cs="仿宋"/>
                <w:color w:val="000000" w:themeColor="text1"/>
                <w:spacing w:val="-3"/>
                <w:sz w:val="20"/>
                <w:szCs w:val="20"/>
                <w:highlight w:val="none"/>
                <w14:textFill>
                  <w14:solidFill>
                    <w14:schemeClr w14:val="tx1"/>
                  </w14:solidFill>
                </w14:textFill>
              </w:rPr>
              <w:t>艺为：脱脂-抛丸-静电喷涂；器材采用直埋的安装方式。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trPr>
        <w:tc>
          <w:tcPr>
            <w:tcW w:w="76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8</w:t>
            </w:r>
          </w:p>
        </w:tc>
        <w:tc>
          <w:tcPr>
            <w:tcW w:w="1236" w:type="dxa"/>
            <w:noWrap w:val="0"/>
            <w:vAlign w:val="top"/>
          </w:tcPr>
          <w:p>
            <w:pPr>
              <w:spacing w:line="307" w:lineRule="auto"/>
              <w:rPr>
                <w:rFonts w:ascii="Arial"/>
                <w:color w:val="000000" w:themeColor="text1"/>
                <w:sz w:val="21"/>
                <w:highlight w:val="none"/>
                <w14:textFill>
                  <w14:solidFill>
                    <w14:schemeClr w14:val="tx1"/>
                  </w14:solidFill>
                </w14:textFill>
              </w:rPr>
            </w:pPr>
          </w:p>
          <w:p>
            <w:pPr>
              <w:spacing w:before="65" w:line="219" w:lineRule="auto"/>
              <w:ind w:left="109"/>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压腿勾</w:t>
            </w:r>
          </w:p>
          <w:p>
            <w:pPr>
              <w:spacing w:before="75" w:line="218" w:lineRule="auto"/>
              <w:ind w:left="111"/>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腿训练</w:t>
            </w:r>
          </w:p>
          <w:p>
            <w:pPr>
              <w:spacing w:before="76" w:line="220" w:lineRule="auto"/>
              <w:ind w:left="30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器</w:t>
            </w:r>
          </w:p>
        </w:tc>
        <w:tc>
          <w:tcPr>
            <w:tcW w:w="5723" w:type="dxa"/>
            <w:noWrap w:val="0"/>
            <w:vAlign w:val="top"/>
          </w:tcPr>
          <w:p>
            <w:pPr>
              <w:spacing w:before="58"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规格：≥939mm×114mm×830mm；</w:t>
            </w:r>
          </w:p>
          <w:p>
            <w:pPr>
              <w:spacing w:before="32" w:line="273" w:lineRule="auto"/>
              <w:ind w:left="122" w:right="107" w:hanging="7"/>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主立柱采用≥Φ114mm×3mm</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38</w:t>
            </w:r>
            <w:r>
              <w:rPr>
                <w:rFonts w:ascii="仿宋" w:hAnsi="仿宋" w:eastAsia="仿宋" w:cs="仿宋"/>
                <w:color w:val="000000" w:themeColor="text1"/>
                <w:spacing w:val="-1"/>
                <w:sz w:val="20"/>
                <w:szCs w:val="20"/>
                <w:highlight w:val="none"/>
                <w14:textFill>
                  <w14:solidFill>
                    <w14:schemeClr w14:val="tx1"/>
                  </w14:solidFill>
                </w14:textFill>
              </w:rPr>
              <w:t>mm×</w:t>
            </w: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钢管或等强度规格的管材；表面处</w:t>
            </w:r>
            <w:r>
              <w:rPr>
                <w:rFonts w:ascii="仿宋" w:hAnsi="仿宋" w:eastAsia="仿宋" w:cs="仿宋"/>
                <w:color w:val="000000" w:themeColor="text1"/>
                <w:spacing w:val="-2"/>
                <w:sz w:val="20"/>
                <w:szCs w:val="20"/>
                <w:highlight w:val="none"/>
                <w14:textFill>
                  <w14:solidFill>
                    <w14:schemeClr w14:val="tx1"/>
                  </w14:solidFill>
                </w14:textFill>
              </w:rPr>
              <w:t>理工</w:t>
            </w:r>
            <w:r>
              <w:rPr>
                <w:rFonts w:ascii="仿宋" w:hAnsi="仿宋" w:eastAsia="仿宋" w:cs="仿宋"/>
                <w:color w:val="000000" w:themeColor="text1"/>
                <w:spacing w:val="-3"/>
                <w:sz w:val="20"/>
                <w:szCs w:val="20"/>
                <w:highlight w:val="none"/>
                <w14:textFill>
                  <w14:solidFill>
                    <w14:schemeClr w14:val="tx1"/>
                  </w14:solidFill>
                </w14:textFill>
              </w:rPr>
              <w:t>艺为：脱脂-抛丸-静电喷涂；器材采用直埋的安装方式。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76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9</w:t>
            </w:r>
          </w:p>
        </w:tc>
        <w:tc>
          <w:tcPr>
            <w:tcW w:w="1236" w:type="dxa"/>
            <w:noWrap w:val="0"/>
            <w:vAlign w:val="top"/>
          </w:tcPr>
          <w:p>
            <w:pPr>
              <w:spacing w:line="257" w:lineRule="auto"/>
              <w:rPr>
                <w:rFonts w:ascii="Arial"/>
                <w:color w:val="000000" w:themeColor="text1"/>
                <w:sz w:val="21"/>
                <w:highlight w:val="none"/>
                <w14:textFill>
                  <w14:solidFill>
                    <w14:schemeClr w14:val="tx1"/>
                  </w14:solidFill>
                </w14:textFill>
              </w:rPr>
            </w:pPr>
          </w:p>
          <w:p>
            <w:pPr>
              <w:spacing w:line="257" w:lineRule="auto"/>
              <w:rPr>
                <w:rFonts w:ascii="Arial"/>
                <w:color w:val="000000" w:themeColor="text1"/>
                <w:sz w:val="21"/>
                <w:highlight w:val="none"/>
                <w14:textFill>
                  <w14:solidFill>
                    <w14:schemeClr w14:val="tx1"/>
                  </w14:solidFill>
                </w14:textFill>
              </w:rPr>
            </w:pPr>
          </w:p>
          <w:p>
            <w:pPr>
              <w:spacing w:line="258" w:lineRule="auto"/>
              <w:rPr>
                <w:rFonts w:ascii="Arial"/>
                <w:color w:val="000000" w:themeColor="text1"/>
                <w:sz w:val="21"/>
                <w:highlight w:val="none"/>
                <w14:textFill>
                  <w14:solidFill>
                    <w14:schemeClr w14:val="tx1"/>
                  </w14:solidFill>
                </w14:textFill>
              </w:rPr>
            </w:pPr>
          </w:p>
          <w:p>
            <w:pPr>
              <w:spacing w:before="65" w:line="275" w:lineRule="auto"/>
              <w:ind w:left="207" w:right="110" w:hanging="101"/>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伸展扭腰器</w:t>
            </w:r>
          </w:p>
        </w:tc>
        <w:tc>
          <w:tcPr>
            <w:tcW w:w="5723" w:type="dxa"/>
            <w:noWrap w:val="0"/>
            <w:vAlign w:val="top"/>
          </w:tcPr>
          <w:p>
            <w:pPr>
              <w:spacing w:before="59"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1640</w:t>
            </w:r>
            <w:r>
              <w:rPr>
                <w:rFonts w:ascii="仿宋" w:hAnsi="仿宋" w:eastAsia="仿宋" w:cs="仿宋"/>
                <w:color w:val="000000" w:themeColor="text1"/>
                <w:spacing w:val="-3"/>
                <w:sz w:val="20"/>
                <w:szCs w:val="20"/>
                <w:highlight w:val="none"/>
                <w14:textFill>
                  <w14:solidFill>
                    <w14:schemeClr w14:val="tx1"/>
                  </w14:solidFill>
                </w14:textFill>
              </w:rPr>
              <w:t>mm×470mm×1140mm；</w:t>
            </w:r>
          </w:p>
          <w:p>
            <w:pPr>
              <w:spacing w:before="31" w:line="280" w:lineRule="auto"/>
              <w:ind w:left="106" w:right="98" w:firstLine="9"/>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Φ1</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14</w:t>
            </w:r>
            <w:r>
              <w:rPr>
                <w:rFonts w:ascii="仿宋" w:hAnsi="仿宋" w:eastAsia="仿宋" w:cs="仿宋"/>
                <w:color w:val="000000" w:themeColor="text1"/>
                <w:spacing w:val="-1"/>
                <w:sz w:val="20"/>
                <w:szCs w:val="20"/>
                <w:highlight w:val="none"/>
                <w14:textFill>
                  <w14:solidFill>
                    <w14:schemeClr w14:val="tx1"/>
                  </w14:solidFill>
                </w14:textFill>
              </w:rPr>
              <w:t>mm×3mm</w:t>
            </w:r>
            <w:r>
              <w:rPr>
                <w:rFonts w:ascii="仿宋" w:hAnsi="仿宋" w:eastAsia="仿宋" w:cs="仿宋"/>
                <w:color w:val="000000" w:themeColor="text1"/>
                <w:spacing w:val="-3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钢管，主承载横梁采用</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60mm×</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钢管；转动部位加装阻尼；表面处理工艺为：脱脂-抛丸-静电喷</w:t>
            </w:r>
            <w:r>
              <w:rPr>
                <w:rFonts w:ascii="仿宋" w:hAnsi="仿宋" w:eastAsia="仿宋" w:cs="仿宋"/>
                <w:color w:val="000000" w:themeColor="text1"/>
                <w:spacing w:val="-4"/>
                <w:sz w:val="20"/>
                <w:szCs w:val="20"/>
                <w:highlight w:val="none"/>
                <w14:textFill>
                  <w14:solidFill>
                    <w14:schemeClr w14:val="tx1"/>
                  </w14:solidFill>
                </w14:textFill>
              </w:rPr>
              <w:t>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3" w:hRule="atLeast"/>
        </w:trPr>
        <w:tc>
          <w:tcPr>
            <w:tcW w:w="768"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164" w:firstLine="18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10</w:t>
            </w:r>
          </w:p>
        </w:tc>
        <w:tc>
          <w:tcPr>
            <w:tcW w:w="123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80" w:lineRule="auto"/>
              <w:ind w:left="111" w:right="110" w:firstLine="2"/>
              <w:jc w:val="both"/>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双位压</w:t>
            </w:r>
            <w:r>
              <w:rPr>
                <w:rFonts w:ascii="仿宋" w:hAnsi="仿宋" w:eastAsia="仿宋" w:cs="仿宋"/>
                <w:color w:val="000000" w:themeColor="text1"/>
                <w:spacing w:val="-3"/>
                <w:sz w:val="20"/>
                <w:szCs w:val="20"/>
                <w:highlight w:val="none"/>
                <w14:textFill>
                  <w14:solidFill>
                    <w14:schemeClr w14:val="tx1"/>
                  </w14:solidFill>
                </w14:textFill>
              </w:rPr>
              <w:t>腿腿部按摩器</w:t>
            </w:r>
          </w:p>
        </w:tc>
        <w:tc>
          <w:tcPr>
            <w:tcW w:w="5723" w:type="dxa"/>
            <w:noWrap w:val="0"/>
            <w:vAlign w:val="top"/>
          </w:tcPr>
          <w:p>
            <w:pPr>
              <w:spacing w:before="62"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830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105</w:t>
            </w:r>
            <w:r>
              <w:rPr>
                <w:rFonts w:ascii="仿宋" w:hAnsi="仿宋" w:eastAsia="仿宋" w:cs="仿宋"/>
                <w:color w:val="000000" w:themeColor="text1"/>
                <w:spacing w:val="-3"/>
                <w:sz w:val="20"/>
                <w:szCs w:val="20"/>
                <w:highlight w:val="none"/>
                <w14:textFill>
                  <w14:solidFill>
                    <w14:schemeClr w14:val="tx1"/>
                  </w14:solidFill>
                </w14:textFill>
              </w:rPr>
              <w:t>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w:t>
            </w:r>
            <w:r>
              <w:rPr>
                <w:rFonts w:ascii="仿宋" w:hAnsi="仿宋" w:eastAsia="仿宋" w:cs="仿宋"/>
                <w:color w:val="000000" w:themeColor="text1"/>
                <w:spacing w:val="-3"/>
                <w:sz w:val="20"/>
                <w:szCs w:val="20"/>
                <w:highlight w:val="none"/>
                <w14:textFill>
                  <w14:solidFill>
                    <w14:schemeClr w14:val="tx1"/>
                  </w14:solidFill>
                </w14:textFill>
              </w:rPr>
              <w:t>0mm；</w:t>
            </w:r>
          </w:p>
          <w:p>
            <w:pPr>
              <w:spacing w:before="31" w:line="280" w:lineRule="auto"/>
              <w:ind w:left="110" w:right="98" w:firstLine="5"/>
              <w:jc w:val="both"/>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2、</w:t>
            </w:r>
            <w:r>
              <w:rPr>
                <w:rFonts w:ascii="仿宋" w:hAnsi="仿宋" w:eastAsia="仿宋" w:cs="仿宋"/>
                <w:color w:val="000000" w:themeColor="text1"/>
                <w:spacing w:val="-2"/>
                <w:sz w:val="20"/>
                <w:szCs w:val="20"/>
                <w:highlight w:val="none"/>
                <w14:textFill>
                  <w14:solidFill>
                    <w14:schemeClr w14:val="tx1"/>
                  </w14:solidFill>
                </w14:textFill>
              </w:rPr>
              <w:t>主立柱采用</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φ</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48</w:t>
            </w:r>
            <w:r>
              <w:rPr>
                <w:rFonts w:ascii="仿宋" w:hAnsi="仿宋" w:eastAsia="仿宋" w:cs="仿宋"/>
                <w:color w:val="000000" w:themeColor="text1"/>
                <w:spacing w:val="-2"/>
                <w:sz w:val="20"/>
                <w:szCs w:val="20"/>
                <w:highlight w:val="none"/>
                <w14:textFill>
                  <w14:solidFill>
                    <w14:schemeClr w14:val="tx1"/>
                  </w14:solidFill>
                </w14:textFill>
              </w:rPr>
              <w:t>mm</w:t>
            </w:r>
            <w:r>
              <w:rPr>
                <w:rFonts w:ascii="仿宋" w:hAnsi="仿宋" w:eastAsia="仿宋" w:cs="仿宋"/>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mm</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钢管；表面处理工艺为：脱脂-抛丸-静电喷涂。器</w:t>
            </w:r>
            <w:r>
              <w:rPr>
                <w:rFonts w:ascii="仿宋" w:hAnsi="仿宋" w:eastAsia="仿宋" w:cs="仿宋"/>
                <w:color w:val="000000" w:themeColor="text1"/>
                <w:spacing w:val="-5"/>
                <w:sz w:val="20"/>
                <w:szCs w:val="20"/>
                <w:highlight w:val="none"/>
                <w14:textFill>
                  <w14:solidFill>
                    <w14:schemeClr w14:val="tx1"/>
                  </w14:solidFill>
                </w14:textFill>
              </w:rPr>
              <w:t>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3" w:hRule="atLeast"/>
        </w:trPr>
        <w:tc>
          <w:tcPr>
            <w:tcW w:w="768" w:type="dxa"/>
            <w:noWrap w:val="0"/>
            <w:vAlign w:val="top"/>
          </w:tcPr>
          <w:p>
            <w:pPr>
              <w:spacing w:line="299"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before="65" w:line="178" w:lineRule="auto"/>
              <w:ind w:left="164" w:leftChars="0" w:firstLine="185" w:firstLineChars="1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11</w:t>
            </w:r>
          </w:p>
        </w:tc>
        <w:tc>
          <w:tcPr>
            <w:tcW w:w="1236" w:type="dxa"/>
            <w:noWrap w:val="0"/>
            <w:vAlign w:val="top"/>
          </w:tcPr>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before="65" w:line="218" w:lineRule="auto"/>
              <w:ind w:left="116" w:leftChars="0" w:firstLine="194"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篮球架</w:t>
            </w:r>
          </w:p>
        </w:tc>
        <w:tc>
          <w:tcPr>
            <w:tcW w:w="5723" w:type="dxa"/>
            <w:noWrap w:val="0"/>
            <w:vAlign w:val="top"/>
          </w:tcPr>
          <w:p>
            <w:pPr>
              <w:numPr>
                <w:ilvl w:val="0"/>
                <w:numId w:val="3"/>
              </w:numPr>
              <w:spacing w:before="41" w:line="215" w:lineRule="auto"/>
              <w:ind w:left="120" w:leftChars="0"/>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外形尺寸（长×宽×高）：≥4490mm×1800mm×3940mm</w:t>
            </w:r>
            <w:r>
              <w:rPr>
                <w:rFonts w:ascii="仿宋" w:hAnsi="仿宋" w:eastAsia="仿宋" w:cs="仿宋"/>
                <w:color w:val="000000" w:themeColor="text1"/>
                <w:spacing w:val="-3"/>
                <w:sz w:val="20"/>
                <w:szCs w:val="20"/>
                <w:highlight w:val="none"/>
                <w14:textFill>
                  <w14:solidFill>
                    <w14:schemeClr w14:val="tx1"/>
                  </w14:solidFill>
                </w14:textFill>
              </w:rPr>
              <w:t>；</w:t>
            </w:r>
          </w:p>
          <w:p>
            <w:pPr>
              <w:numPr>
                <w:ilvl w:val="0"/>
                <w:numId w:val="0"/>
              </w:numPr>
              <w:spacing w:before="41" w:line="215" w:lineRule="auto"/>
              <w:ind w:firstLine="198" w:firstLineChars="10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伸臂长度2250mm，篮圈高度3050mm，篮圈内径450mm，高弹篮圈。箱体长×宽：</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2000mm×1000mm，板材厚度为2.5mm，箱体内附框架结构，提高了箱体整体强度。主立柱采用</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150mm×150mm×4mm钢管，横梁采用</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100mm×150mm×4mm钢管。篮板采用高分子片状模塑料（SMC）经过特殊的制造工艺所制造，具有材料稳定性优良、耐候性强、防腐、防晒、防雨、阻燃，环保不易变形，零收缩，耐老化等优点。产品符合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299"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before="65" w:line="176" w:lineRule="auto"/>
              <w:ind w:left="261"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55</w:t>
            </w:r>
          </w:p>
        </w:tc>
        <w:tc>
          <w:tcPr>
            <w:tcW w:w="696" w:type="dxa"/>
            <w:noWrap w:val="0"/>
            <w:vAlign w:val="top"/>
          </w:tcPr>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before="65" w:line="220" w:lineRule="auto"/>
              <w:ind w:left="243"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3" w:hRule="atLeast"/>
        </w:trPr>
        <w:tc>
          <w:tcPr>
            <w:tcW w:w="768" w:type="dxa"/>
            <w:noWrap w:val="0"/>
            <w:vAlign w:val="top"/>
          </w:tcPr>
          <w:p>
            <w:pPr>
              <w:spacing w:line="266" w:lineRule="auto"/>
              <w:jc w:val="center"/>
              <w:rPr>
                <w:rFonts w:ascii="Arial"/>
                <w:color w:val="000000" w:themeColor="text1"/>
                <w:sz w:val="21"/>
                <w:highlight w:val="none"/>
                <w14:textFill>
                  <w14:solidFill>
                    <w14:schemeClr w14:val="tx1"/>
                  </w14:solidFill>
                </w14:textFill>
              </w:rPr>
            </w:pPr>
          </w:p>
          <w:p>
            <w:pPr>
              <w:spacing w:line="266" w:lineRule="auto"/>
              <w:jc w:val="center"/>
              <w:rPr>
                <w:rFonts w:ascii="Arial"/>
                <w:color w:val="000000" w:themeColor="text1"/>
                <w:sz w:val="21"/>
                <w:highlight w:val="none"/>
                <w14:textFill>
                  <w14:solidFill>
                    <w14:schemeClr w14:val="tx1"/>
                  </w14:solidFill>
                </w14:textFill>
              </w:rPr>
            </w:pPr>
          </w:p>
          <w:p>
            <w:pPr>
              <w:spacing w:before="65" w:line="178" w:lineRule="auto"/>
              <w:ind w:firstLine="370" w:firstLineChars="200"/>
              <w:jc w:val="both"/>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jc w:val="both"/>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12</w:t>
            </w:r>
          </w:p>
        </w:tc>
        <w:tc>
          <w:tcPr>
            <w:tcW w:w="1236" w:type="dxa"/>
            <w:noWrap w:val="0"/>
            <w:vAlign w:val="top"/>
          </w:tcPr>
          <w:p>
            <w:pPr>
              <w:spacing w:line="291" w:lineRule="auto"/>
              <w:jc w:val="center"/>
              <w:rPr>
                <w:rFonts w:ascii="Arial"/>
                <w:color w:val="000000" w:themeColor="text1"/>
                <w:sz w:val="21"/>
                <w:highlight w:val="none"/>
                <w14:textFill>
                  <w14:solidFill>
                    <w14:schemeClr w14:val="tx1"/>
                  </w14:solidFill>
                </w14:textFill>
              </w:rPr>
            </w:pPr>
          </w:p>
          <w:p>
            <w:pPr>
              <w:spacing w:line="291" w:lineRule="auto"/>
              <w:jc w:val="center"/>
              <w:rPr>
                <w:rFonts w:ascii="Arial"/>
                <w:color w:val="000000" w:themeColor="text1"/>
                <w:sz w:val="21"/>
                <w:highlight w:val="none"/>
                <w14:textFill>
                  <w14:solidFill>
                    <w14:schemeClr w14:val="tx1"/>
                  </w14:solidFill>
                </w14:textFill>
              </w:rPr>
            </w:pPr>
          </w:p>
          <w:p>
            <w:pPr>
              <w:spacing w:before="65" w:line="245" w:lineRule="auto"/>
              <w:ind w:right="110" w:rightChars="0"/>
              <w:jc w:val="center"/>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羽毛球</w:t>
            </w:r>
            <w:r>
              <w:rPr>
                <w:rFonts w:ascii="仿宋" w:hAnsi="仿宋" w:eastAsia="仿宋" w:cs="仿宋"/>
                <w:color w:val="000000" w:themeColor="text1"/>
                <w:spacing w:val="-8"/>
                <w:sz w:val="20"/>
                <w:szCs w:val="20"/>
                <w:highlight w:val="none"/>
                <w14:textFill>
                  <w14:solidFill>
                    <w14:schemeClr w14:val="tx1"/>
                  </w14:solidFill>
                </w14:textFill>
              </w:rPr>
              <w:t>网</w:t>
            </w:r>
            <w:r>
              <w:rPr>
                <w:rFonts w:hint="eastAsia" w:ascii="仿宋" w:hAnsi="仿宋" w:eastAsia="仿宋" w:cs="仿宋"/>
                <w:color w:val="000000" w:themeColor="text1"/>
                <w:spacing w:val="-8"/>
                <w:sz w:val="20"/>
                <w:szCs w:val="20"/>
                <w:highlight w:val="none"/>
                <w:lang w:eastAsia="zh-CN"/>
                <w14:textFill>
                  <w14:solidFill>
                    <w14:schemeClr w14:val="tx1"/>
                  </w14:solidFill>
                </w14:textFill>
              </w:rPr>
              <w:t>架</w:t>
            </w:r>
          </w:p>
        </w:tc>
        <w:tc>
          <w:tcPr>
            <w:tcW w:w="5723" w:type="dxa"/>
            <w:noWrap w:val="0"/>
            <w:vAlign w:val="top"/>
          </w:tcPr>
          <w:p>
            <w:pPr>
              <w:numPr>
                <w:ilvl w:val="0"/>
                <w:numId w:val="0"/>
              </w:numPr>
              <w:spacing w:before="38" w:line="217"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605mm</w:t>
            </w:r>
            <w:r>
              <w:rPr>
                <w:rFonts w:ascii="仿宋" w:hAnsi="仿宋" w:eastAsia="仿宋" w:cs="仿宋"/>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420mm</w:t>
            </w:r>
            <w:r>
              <w:rPr>
                <w:rFonts w:ascii="仿宋" w:hAnsi="仿宋" w:eastAsia="仿宋" w:cs="仿宋"/>
                <w:color w:val="000000" w:themeColor="text1"/>
                <w:spacing w:val="-3"/>
                <w:sz w:val="20"/>
                <w:szCs w:val="20"/>
                <w:highlight w:val="none"/>
                <w14:textFill>
                  <w14:solidFill>
                    <w14:schemeClr w14:val="tx1"/>
                  </w14:solidFill>
                </w14:textFill>
              </w:rPr>
              <w:t>×1550mm；</w:t>
            </w:r>
          </w:p>
          <w:p>
            <w:pPr>
              <w:numPr>
                <w:ilvl w:val="0"/>
                <w:numId w:val="0"/>
              </w:numPr>
              <w:spacing w:before="38" w:line="217" w:lineRule="auto"/>
              <w:ind w:firstLine="198" w:firstLineChars="10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★2、主立柱采用Φ48mm×3mm钢管。底座使用HT200一次铸造成型，坚固耐用。紧线器装置采用防倒转棘轮结构，调节方便，不易滑脱，顶部滑轮采用ABS高强度树脂材料 质地轻便耐用，能有效减少与网线的磨损。表面处理工艺为：脱脂-抛丸-静电喷涂。移动式。产品符合 GB/T19851.13-2007 标准（提供相关证明材料）。</w:t>
            </w:r>
          </w:p>
        </w:tc>
        <w:tc>
          <w:tcPr>
            <w:tcW w:w="649" w:type="dxa"/>
            <w:noWrap w:val="0"/>
            <w:vAlign w:val="top"/>
          </w:tcPr>
          <w:p>
            <w:pPr>
              <w:spacing w:line="266"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before="65" w:line="179" w:lineRule="auto"/>
              <w:ind w:firstLine="190" w:firstLineChars="10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116</w:t>
            </w:r>
          </w:p>
        </w:tc>
        <w:tc>
          <w:tcPr>
            <w:tcW w:w="696" w:type="dxa"/>
            <w:noWrap w:val="0"/>
            <w:vAlign w:val="top"/>
          </w:tcPr>
          <w:p>
            <w:pPr>
              <w:spacing w:line="261" w:lineRule="auto"/>
              <w:rPr>
                <w:rFonts w:ascii="Arial"/>
                <w:color w:val="000000" w:themeColor="text1"/>
                <w:sz w:val="21"/>
                <w:highlight w:val="none"/>
                <w14:textFill>
                  <w14:solidFill>
                    <w14:schemeClr w14:val="tx1"/>
                  </w14:solidFill>
                </w14:textFill>
              </w:rPr>
            </w:pPr>
          </w:p>
          <w:p>
            <w:pPr>
              <w:spacing w:line="261" w:lineRule="auto"/>
              <w:rPr>
                <w:rFonts w:ascii="Arial"/>
                <w:color w:val="000000" w:themeColor="text1"/>
                <w:sz w:val="21"/>
                <w:highlight w:val="none"/>
                <w14:textFill>
                  <w14:solidFill>
                    <w14:schemeClr w14:val="tx1"/>
                  </w14:solidFill>
                </w14:textFill>
              </w:rPr>
            </w:pPr>
          </w:p>
          <w:p>
            <w:pPr>
              <w:spacing w:line="261" w:lineRule="auto"/>
              <w:rPr>
                <w:rFonts w:ascii="Arial"/>
                <w:color w:val="000000" w:themeColor="text1"/>
                <w:sz w:val="21"/>
                <w:highlight w:val="none"/>
                <w14:textFill>
                  <w14:solidFill>
                    <w14:schemeClr w14:val="tx1"/>
                  </w14:solidFill>
                </w14:textFill>
              </w:rPr>
            </w:pPr>
          </w:p>
          <w:p>
            <w:pPr>
              <w:spacing w:before="65" w:line="220" w:lineRule="auto"/>
              <w:ind w:firstLine="200"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768" w:type="dxa"/>
            <w:noWrap w:val="0"/>
            <w:vAlign w:val="top"/>
          </w:tcPr>
          <w:p>
            <w:pPr>
              <w:spacing w:line="350" w:lineRule="auto"/>
              <w:rPr>
                <w:rFonts w:ascii="Arial"/>
                <w:color w:val="000000" w:themeColor="text1"/>
                <w:sz w:val="21"/>
                <w:highlight w:val="none"/>
                <w14:textFill>
                  <w14:solidFill>
                    <w14:schemeClr w14:val="tx1"/>
                  </w14:solidFill>
                </w14:textFill>
              </w:rPr>
            </w:pPr>
          </w:p>
          <w:p>
            <w:pPr>
              <w:spacing w:before="65" w:line="179" w:lineRule="auto"/>
              <w:ind w:left="164" w:leftChars="0" w:firstLine="185" w:firstLineChars="1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13</w:t>
            </w:r>
          </w:p>
        </w:tc>
        <w:tc>
          <w:tcPr>
            <w:tcW w:w="1236" w:type="dxa"/>
            <w:noWrap w:val="0"/>
            <w:vAlign w:val="top"/>
          </w:tcPr>
          <w:p>
            <w:pPr>
              <w:spacing w:line="335" w:lineRule="auto"/>
              <w:rPr>
                <w:rFonts w:ascii="Arial"/>
                <w:color w:val="000000" w:themeColor="text1"/>
                <w:sz w:val="21"/>
                <w:highlight w:val="none"/>
                <w14:textFill>
                  <w14:solidFill>
                    <w14:schemeClr w14:val="tx1"/>
                  </w14:solidFill>
                </w14:textFill>
              </w:rPr>
            </w:pPr>
          </w:p>
          <w:p>
            <w:pPr>
              <w:spacing w:before="65" w:line="216" w:lineRule="auto"/>
              <w:ind w:firstLine="186"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台球桌</w:t>
            </w:r>
          </w:p>
        </w:tc>
        <w:tc>
          <w:tcPr>
            <w:tcW w:w="5723" w:type="dxa"/>
            <w:noWrap w:val="0"/>
            <w:vAlign w:val="top"/>
          </w:tcPr>
          <w:p>
            <w:pPr>
              <w:numPr>
                <w:ilvl w:val="0"/>
                <w:numId w:val="0"/>
              </w:numPr>
              <w:spacing w:before="39" w:line="254" w:lineRule="auto"/>
              <w:ind w:left="119" w:leftChars="0" w:right="98" w:rightChars="0" w:firstLine="0" w:firstLineChars="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★1、</w:t>
            </w:r>
            <w:r>
              <w:rPr>
                <w:rFonts w:ascii="仿宋" w:hAnsi="仿宋" w:eastAsia="仿宋" w:cs="仿宋"/>
                <w:color w:val="000000" w:themeColor="text1"/>
                <w:spacing w:val="-1"/>
                <w:sz w:val="20"/>
                <w:szCs w:val="20"/>
                <w:highlight w:val="none"/>
                <w14:textFill>
                  <w14:solidFill>
                    <w14:schemeClr w14:val="tx1"/>
                  </w14:solidFill>
                </w14:textFill>
              </w:rPr>
              <w:t>采用国产优质木材，高强度密度桌腿；1.0</w:t>
            </w:r>
            <w:r>
              <w:rPr>
                <w:rFonts w:ascii="仿宋" w:hAnsi="仿宋" w:eastAsia="仿宋" w:cs="仿宋"/>
                <w:color w:val="000000" w:themeColor="text1"/>
                <w:spacing w:val="-4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钢库，4.5</w:t>
            </w:r>
            <w:r>
              <w:rPr>
                <w:rFonts w:ascii="仿宋" w:hAnsi="仿宋" w:eastAsia="仿宋" w:cs="仿宋"/>
                <w:color w:val="000000" w:themeColor="text1"/>
                <w:spacing w:val="-27"/>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青石板，美林胶边，上邦橡木，牛皮带口</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百利文</w:t>
            </w:r>
            <w:r>
              <w:rPr>
                <w:rFonts w:ascii="仿宋" w:hAnsi="仿宋" w:eastAsia="仿宋" w:cs="仿宋"/>
                <w:color w:val="000000" w:themeColor="text1"/>
                <w:spacing w:val="-6"/>
                <w:sz w:val="20"/>
                <w:szCs w:val="20"/>
                <w:highlight w:val="none"/>
                <w14:textFill>
                  <w14:solidFill>
                    <w14:schemeClr w14:val="tx1"/>
                  </w14:solidFill>
                </w14:textFill>
              </w:rPr>
              <w:t>台泥，美式打杆</w:t>
            </w:r>
            <w:r>
              <w:rPr>
                <w:rFonts w:ascii="仿宋" w:hAnsi="仿宋" w:eastAsia="仿宋" w:cs="仿宋"/>
                <w:color w:val="000000" w:themeColor="text1"/>
                <w:spacing w:val="-16"/>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2</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支</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20"/>
                <w:szCs w:val="20"/>
                <w:highlight w:val="none"/>
                <w14:textFill>
                  <w14:solidFill>
                    <w14:schemeClr w14:val="tx1"/>
                  </w14:solidFill>
                </w14:textFill>
              </w:rPr>
              <w:t>架杆</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支</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20"/>
                <w:szCs w:val="20"/>
                <w:highlight w:val="none"/>
                <w14:textFill>
                  <w14:solidFill>
                    <w14:schemeClr w14:val="tx1"/>
                  </w14:solidFill>
                </w14:textFill>
              </w:rPr>
              <w:t>美式台球</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16</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彩</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盒三角架</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12"/>
                <w:sz w:val="20"/>
                <w:szCs w:val="20"/>
                <w:highlight w:val="none"/>
                <w14:textFill>
                  <w14:solidFill>
                    <w14:schemeClr w14:val="tx1"/>
                  </w14:solidFill>
                </w14:textFill>
              </w:rPr>
              <w:t>支。</w:t>
            </w:r>
            <w:r>
              <w:rPr>
                <w:rFonts w:ascii="仿宋" w:hAnsi="仿宋" w:eastAsia="仿宋" w:cs="仿宋"/>
                <w:color w:val="000000" w:themeColor="text1"/>
                <w:spacing w:val="-6"/>
                <w:sz w:val="20"/>
                <w:szCs w:val="20"/>
                <w:highlight w:val="none"/>
                <w14:textFill>
                  <w14:solidFill>
                    <w14:schemeClr w14:val="tx1"/>
                  </w14:solidFill>
                </w14:textFill>
              </w:rPr>
              <w:t>产品符合</w:t>
            </w:r>
            <w:r>
              <w:rPr>
                <w:rFonts w:hint="eastAsia" w:ascii="仿宋" w:hAnsi="仿宋" w:eastAsia="仿宋" w:cs="仿宋"/>
                <w:color w:val="000000" w:themeColor="text1"/>
                <w:spacing w:val="-6"/>
                <w:sz w:val="20"/>
                <w:szCs w:val="20"/>
                <w:highlight w:val="none"/>
                <w:lang w:val="en-US" w:eastAsia="zh-CN"/>
                <w14:textFill>
                  <w14:solidFill>
                    <w14:schemeClr w14:val="tx1"/>
                  </w14:solidFill>
                </w14:textFill>
              </w:rPr>
              <w:t>GB/T22751-2008</w:t>
            </w:r>
            <w:r>
              <w:rPr>
                <w:rFonts w:ascii="仿宋" w:hAnsi="仿宋" w:eastAsia="仿宋" w:cs="仿宋"/>
                <w:color w:val="000000" w:themeColor="text1"/>
                <w:spacing w:val="-6"/>
                <w:sz w:val="20"/>
                <w:szCs w:val="20"/>
                <w:highlight w:val="none"/>
                <w14:textFill>
                  <w14:solidFill>
                    <w14:schemeClr w14:val="tx1"/>
                  </w14:solidFill>
                </w14:textFill>
              </w:rPr>
              <w:t>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32"/>
                <w:szCs w:val="32"/>
                <w:highlight w:val="none"/>
                <w14:textFill>
                  <w14:solidFill>
                    <w14:schemeClr w14:val="tx1"/>
                  </w14:solidFill>
                </w14:textFill>
              </w:rPr>
              <w:t xml:space="preserve"> </w:t>
            </w:r>
          </w:p>
        </w:tc>
        <w:tc>
          <w:tcPr>
            <w:tcW w:w="649" w:type="dxa"/>
            <w:noWrap w:val="0"/>
            <w:vAlign w:val="top"/>
          </w:tcPr>
          <w:p>
            <w:pPr>
              <w:spacing w:line="351" w:lineRule="auto"/>
              <w:rPr>
                <w:rFonts w:ascii="Arial"/>
                <w:color w:val="000000" w:themeColor="text1"/>
                <w:sz w:val="21"/>
                <w:highlight w:val="none"/>
                <w14:textFill>
                  <w14:solidFill>
                    <w14:schemeClr w14:val="tx1"/>
                  </w14:solidFill>
                </w14:textFill>
              </w:rPr>
            </w:pPr>
          </w:p>
          <w:p>
            <w:pPr>
              <w:spacing w:before="65" w:line="176" w:lineRule="auto"/>
              <w:ind w:firstLine="200" w:firstLineChars="10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5</w:t>
            </w:r>
          </w:p>
        </w:tc>
        <w:tc>
          <w:tcPr>
            <w:tcW w:w="696" w:type="dxa"/>
            <w:noWrap w:val="0"/>
            <w:vAlign w:val="top"/>
          </w:tcPr>
          <w:p>
            <w:pPr>
              <w:spacing w:line="336" w:lineRule="auto"/>
              <w:rPr>
                <w:rFonts w:ascii="Arial"/>
                <w:color w:val="000000" w:themeColor="text1"/>
                <w:sz w:val="21"/>
                <w:highlight w:val="none"/>
                <w14:textFill>
                  <w14:solidFill>
                    <w14:schemeClr w14:val="tx1"/>
                  </w14:solidFill>
                </w14:textFill>
              </w:rPr>
            </w:pPr>
          </w:p>
          <w:p>
            <w:pPr>
              <w:spacing w:before="65" w:line="218" w:lineRule="auto"/>
              <w:ind w:firstLine="200"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768" w:type="dxa"/>
            <w:noWrap w:val="0"/>
            <w:vAlign w:val="top"/>
          </w:tcPr>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14</w:t>
            </w:r>
          </w:p>
        </w:tc>
        <w:tc>
          <w:tcPr>
            <w:tcW w:w="1236" w:type="dxa"/>
            <w:noWrap w:val="0"/>
            <w:vAlign w:val="top"/>
          </w:tcPr>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篮球场</w:t>
            </w:r>
          </w:p>
          <w:p>
            <w:pPr>
              <w:spacing w:before="43" w:line="219" w:lineRule="auto"/>
              <w:ind w:firstLine="192"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悬浮地</w:t>
            </w:r>
            <w:r>
              <w:rPr>
                <w:rFonts w:ascii="仿宋" w:hAnsi="仿宋" w:eastAsia="仿宋" w:cs="仿宋"/>
                <w:color w:val="000000" w:themeColor="text1"/>
                <w:sz w:val="20"/>
                <w:szCs w:val="20"/>
                <w:highlight w:val="none"/>
                <w14:textFill>
                  <w14:solidFill>
                    <w14:schemeClr w14:val="tx1"/>
                  </w14:solidFill>
                </w14:textFill>
              </w:rPr>
              <w:t>板</w:t>
            </w:r>
          </w:p>
        </w:tc>
        <w:tc>
          <w:tcPr>
            <w:tcW w:w="5723" w:type="dxa"/>
            <w:noWrap w:val="0"/>
            <w:vAlign w:val="top"/>
          </w:tcPr>
          <w:p>
            <w:pPr>
              <w:spacing w:before="43" w:line="245" w:lineRule="auto"/>
              <w:ind w:left="112" w:right="44" w:firstLine="9"/>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1、</w:t>
            </w:r>
            <w:r>
              <w:rPr>
                <w:rFonts w:ascii="仿宋" w:hAnsi="仿宋" w:eastAsia="仿宋" w:cs="仿宋"/>
                <w:color w:val="000000" w:themeColor="text1"/>
                <w:spacing w:val="2"/>
                <w:sz w:val="20"/>
                <w:szCs w:val="20"/>
                <w:highlight w:val="none"/>
                <w14:textFill>
                  <w14:solidFill>
                    <w14:schemeClr w14:val="tx1"/>
                  </w14:solidFill>
                </w14:textFill>
              </w:rPr>
              <w:t>铺装面积：560-730</w:t>
            </w:r>
            <w:r>
              <w:rPr>
                <w:color w:val="000000" w:themeColor="text1"/>
                <w:spacing w:val="2"/>
                <w:sz w:val="20"/>
                <w:szCs w:val="20"/>
                <w:highlight w:val="none"/>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。地板规格：</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302.3*302.3*13.7</w:t>
            </w:r>
            <w:r>
              <w:rPr>
                <w:rFonts w:ascii="仿宋" w:hAnsi="仿宋" w:eastAsia="仿宋" w:cs="仿宋"/>
                <w:color w:val="000000" w:themeColor="text1"/>
                <w:sz w:val="20"/>
                <w:szCs w:val="20"/>
                <w:highlight w:val="none"/>
                <w14:textFill>
                  <w14:solidFill>
                    <w14:schemeClr w14:val="tx1"/>
                  </w14:solidFill>
                </w14:textFill>
              </w:rPr>
              <w:t>mm</w:t>
            </w:r>
            <w:r>
              <w:rPr>
                <w:rFonts w:ascii="仿宋" w:hAnsi="仿宋" w:eastAsia="仿宋" w:cs="仿宋"/>
                <w:color w:val="000000" w:themeColor="text1"/>
                <w:spacing w:val="-16"/>
                <w:sz w:val="20"/>
                <w:szCs w:val="20"/>
                <w:highlight w:val="none"/>
                <w14:textFill>
                  <w14:solidFill>
                    <w14:schemeClr w14:val="tx1"/>
                  </w14:solidFill>
                </w14:textFill>
              </w:rPr>
              <w:t>，</w:t>
            </w:r>
            <w:r>
              <w:rPr>
                <w:rFonts w:ascii="仿宋" w:hAnsi="仿宋" w:eastAsia="仿宋" w:cs="仿宋"/>
                <w:color w:val="000000" w:themeColor="text1"/>
                <w:spacing w:val="-4"/>
                <w:sz w:val="20"/>
                <w:szCs w:val="20"/>
                <w:highlight w:val="none"/>
                <w14:textFill>
                  <w14:solidFill>
                    <w14:schemeClr w14:val="tx1"/>
                  </w14:solidFill>
                </w14:textFill>
              </w:rPr>
              <w:t>单块产品重量</w:t>
            </w:r>
            <w:r>
              <w:rPr>
                <w:rFonts w:ascii="仿宋" w:hAnsi="仿宋" w:eastAsia="仿宋" w:cs="仿宋"/>
                <w:color w:val="000000" w:themeColor="text1"/>
                <w:spacing w:val="-35"/>
                <w:sz w:val="20"/>
                <w:szCs w:val="20"/>
                <w:highlight w:val="none"/>
                <w14:textFill>
                  <w14:solidFill>
                    <w14:schemeClr w14:val="tx1"/>
                  </w14:solidFill>
                </w14:textFill>
              </w:rPr>
              <w:t xml:space="preserve"> </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4"/>
                <w:sz w:val="20"/>
                <w:szCs w:val="20"/>
                <w:highlight w:val="none"/>
                <w14:textFill>
                  <w14:solidFill>
                    <w14:schemeClr w14:val="tx1"/>
                  </w14:solidFill>
                </w14:textFill>
              </w:rPr>
              <w:t>285g/片</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1"/>
                <w:sz w:val="20"/>
                <w:szCs w:val="20"/>
                <w:highlight w:val="none"/>
                <w14:textFill>
                  <w14:solidFill>
                    <w14:schemeClr w14:val="tx1"/>
                  </w14:solidFill>
                </w14:textFill>
              </w:rPr>
              <w:t>依据</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GB/T14833-2020</w:t>
            </w:r>
            <w:r>
              <w:rPr>
                <w:rFonts w:hint="eastAsia" w:ascii="仿宋" w:hAnsi="仿宋" w:eastAsia="仿宋" w:cs="仿宋"/>
                <w:color w:val="000000" w:themeColor="text1"/>
                <w:spacing w:val="-1"/>
                <w:sz w:val="20"/>
                <w:szCs w:val="20"/>
                <w:highlight w:val="none"/>
                <w14:textFill>
                  <w14:solidFill>
                    <w14:schemeClr w14:val="tx1"/>
                  </w14:solidFill>
                </w14:textFill>
              </w:rPr>
              <w:t>标准</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hint="eastAsia"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43" w:line="245" w:lineRule="auto"/>
              <w:ind w:left="121" w:leftChars="0" w:right="44" w:rightChars="0"/>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为保证产品的耐久性，提供</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7"/>
                <w:sz w:val="20"/>
                <w:szCs w:val="20"/>
                <w:highlight w:val="none"/>
                <w:lang w:val="en-US" w:eastAsia="zh-CN"/>
                <w14:textFill>
                  <w14:solidFill>
                    <w14:schemeClr w14:val="tx1"/>
                  </w14:solidFill>
                </w14:textFill>
              </w:rPr>
              <w:t xml:space="preserve">168 </w:t>
            </w:r>
            <w:r>
              <w:rPr>
                <w:rFonts w:ascii="仿宋" w:hAnsi="仿宋" w:eastAsia="仿宋" w:cs="仿宋"/>
                <w:color w:val="000000" w:themeColor="text1"/>
                <w:spacing w:val="-7"/>
                <w:sz w:val="20"/>
                <w:szCs w:val="20"/>
                <w:highlight w:val="none"/>
                <w14:textFill>
                  <w14:solidFill>
                    <w14:schemeClr w14:val="tx1"/>
                  </w14:solidFill>
                </w14:textFill>
              </w:rPr>
              <w:t>h</w:t>
            </w:r>
            <w:r>
              <w:rPr>
                <w:rFonts w:hint="eastAsia" w:ascii="仿宋" w:hAnsi="仿宋" w:eastAsia="仿宋" w:cs="仿宋"/>
                <w:color w:val="000000" w:themeColor="text1"/>
                <w:sz w:val="20"/>
                <w:szCs w:val="20"/>
                <w:highlight w:val="none"/>
                <w:lang w:val="en-US" w:eastAsia="zh-CN"/>
                <w14:textFill>
                  <w14:solidFill>
                    <w14:schemeClr w14:val="tx1"/>
                  </w14:solidFill>
                </w14:textFill>
              </w:rPr>
              <w:t>的老化试验</w:t>
            </w:r>
            <w:r>
              <w:rPr>
                <w:rFonts w:ascii="仿宋" w:hAnsi="仿宋" w:eastAsia="仿宋" w:cs="仿宋"/>
                <w:color w:val="000000" w:themeColor="text1"/>
                <w:spacing w:val="-7"/>
                <w:sz w:val="20"/>
                <w:szCs w:val="20"/>
                <w:highlight w:val="none"/>
                <w14:textFill>
                  <w14:solidFill>
                    <w14:schemeClr w14:val="tx1"/>
                  </w14:solidFill>
                </w14:textFill>
              </w:rPr>
              <w:t>，</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试验后地板颜色均匀一致，无明显色差</w:t>
            </w:r>
            <w:r>
              <w:rPr>
                <w:rFonts w:hint="eastAsia" w:ascii="仿宋" w:hAnsi="仿宋" w:eastAsia="仿宋" w:cs="仿宋"/>
                <w:color w:val="000000" w:themeColor="text1"/>
                <w:spacing w:val="-7"/>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产品阻燃性等级：I级</w:t>
            </w:r>
            <w:r>
              <w:rPr>
                <w:rFonts w:ascii="仿宋" w:hAnsi="仿宋" w:eastAsia="仿宋" w:cs="仿宋"/>
                <w:color w:val="000000" w:themeColor="text1"/>
                <w:spacing w:val="-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3、</w:t>
            </w:r>
            <w:r>
              <w:rPr>
                <w:rFonts w:ascii="仿宋" w:hAnsi="仿宋" w:eastAsia="仿宋" w:cs="仿宋"/>
                <w:color w:val="000000" w:themeColor="text1"/>
                <w:spacing w:val="-2"/>
                <w:sz w:val="20"/>
                <w:szCs w:val="20"/>
                <w:highlight w:val="none"/>
                <w14:textFill>
                  <w14:solidFill>
                    <w14:schemeClr w14:val="tx1"/>
                  </w14:solidFill>
                </w14:textFill>
              </w:rPr>
              <w:t>为保证产品在季节变化条件下性能稳定，需完成环境适应性试</w:t>
            </w:r>
            <w:r>
              <w:rPr>
                <w:rFonts w:ascii="仿宋" w:hAnsi="仿宋" w:eastAsia="仿宋" w:cs="仿宋"/>
                <w:color w:val="000000" w:themeColor="text1"/>
                <w:spacing w:val="-6"/>
                <w:sz w:val="20"/>
                <w:szCs w:val="20"/>
                <w:highlight w:val="none"/>
                <w14:textFill>
                  <w14:solidFill>
                    <w14:schemeClr w14:val="tx1"/>
                  </w14:solidFill>
                </w14:textFill>
              </w:rPr>
              <w:t>验,包括（高温、低温）</w:t>
            </w:r>
            <w:r>
              <w:rPr>
                <w:rFonts w:hint="eastAsia" w:ascii="仿宋" w:hAnsi="仿宋" w:eastAsia="仿宋" w:cs="仿宋"/>
                <w:color w:val="000000" w:themeColor="text1"/>
                <w:spacing w:val="-6"/>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7"/>
                <w:sz w:val="20"/>
                <w:szCs w:val="20"/>
                <w:highlight w:val="none"/>
                <w:lang w:val="en-US" w:eastAsia="zh-CN"/>
                <w14:textFill>
                  <w14:solidFill>
                    <w14:schemeClr w14:val="tx1"/>
                  </w14:solidFill>
                </w14:textFill>
              </w:rPr>
              <w:t xml:space="preserve">24 </w:t>
            </w:r>
            <w:r>
              <w:rPr>
                <w:rFonts w:ascii="仿宋" w:hAnsi="仿宋" w:eastAsia="仿宋" w:cs="仿宋"/>
                <w:color w:val="000000" w:themeColor="text1"/>
                <w:spacing w:val="-7"/>
                <w:sz w:val="20"/>
                <w:szCs w:val="20"/>
                <w:highlight w:val="none"/>
                <w14:textFill>
                  <w14:solidFill>
                    <w14:schemeClr w14:val="tx1"/>
                  </w14:solidFill>
                </w14:textFill>
              </w:rPr>
              <w:t>h</w:t>
            </w:r>
            <w:r>
              <w:rPr>
                <w:rFonts w:hint="eastAsia" w:ascii="仿宋" w:hAnsi="仿宋" w:eastAsia="仿宋" w:cs="仿宋"/>
                <w:color w:val="000000" w:themeColor="text1"/>
                <w:sz w:val="20"/>
                <w:szCs w:val="20"/>
                <w:highlight w:val="none"/>
                <w:lang w:val="en-US" w:eastAsia="zh-CN"/>
                <w14:textFill>
                  <w14:solidFill>
                    <w14:schemeClr w14:val="tx1"/>
                  </w14:solidFill>
                </w14:textFill>
              </w:rPr>
              <w:t>的高低温实验</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（≥70℃，≥-40℃）</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试验后无融化、无</w:t>
            </w:r>
            <w:r>
              <w:rPr>
                <w:rFonts w:ascii="仿宋" w:hAnsi="仿宋" w:eastAsia="仿宋" w:cs="仿宋"/>
                <w:color w:val="000000" w:themeColor="text1"/>
                <w:spacing w:val="-7"/>
                <w:sz w:val="20"/>
                <w:szCs w:val="20"/>
                <w:highlight w:val="none"/>
                <w14:textFill>
                  <w14:solidFill>
                    <w14:schemeClr w14:val="tx1"/>
                  </w14:solidFill>
                </w14:textFill>
              </w:rPr>
              <w:t>龟裂，</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无明显色差</w:t>
            </w:r>
            <w:r>
              <w:rPr>
                <w:rFonts w:ascii="仿宋" w:hAnsi="仿宋" w:eastAsia="仿宋" w:cs="仿宋"/>
                <w:color w:val="000000" w:themeColor="text1"/>
                <w:spacing w:val="-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3"/>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8"/>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4</w:t>
            </w:r>
            <w:r>
              <w:rPr>
                <w:rFonts w:hint="eastAsia" w:ascii="仿宋" w:hAnsi="仿宋" w:eastAsia="仿宋" w:cs="仿宋"/>
                <w:color w:val="000000" w:themeColor="text1"/>
                <w:spacing w:val="-5"/>
                <w:sz w:val="20"/>
                <w:szCs w:val="20"/>
                <w:highlight w:val="none"/>
                <w:lang w:eastAsia="zh-CN"/>
                <w14:textFill>
                  <w14:solidFill>
                    <w14:schemeClr w14:val="tx1"/>
                  </w14:solidFill>
                </w14:textFill>
              </w:rPr>
              <w:t>、</w:t>
            </w:r>
            <w:r>
              <w:rPr>
                <w:rFonts w:ascii="仿宋" w:hAnsi="仿宋" w:eastAsia="仿宋" w:cs="仿宋"/>
                <w:color w:val="000000" w:themeColor="text1"/>
                <w:spacing w:val="-5"/>
                <w:sz w:val="20"/>
                <w:szCs w:val="20"/>
                <w:highlight w:val="none"/>
                <w14:textFill>
                  <w14:solidFill>
                    <w14:schemeClr w14:val="tx1"/>
                  </w14:solidFill>
                </w14:textFill>
              </w:rPr>
              <w:t>为保证产品的环保性能，提供</w:t>
            </w:r>
            <w:r>
              <w:rPr>
                <w:rFonts w:ascii="仿宋" w:hAnsi="仿宋" w:eastAsia="仿宋" w:cs="仿宋"/>
                <w:color w:val="000000" w:themeColor="text1"/>
                <w:spacing w:val="-29"/>
                <w:sz w:val="20"/>
                <w:szCs w:val="20"/>
                <w:highlight w:val="none"/>
                <w14:textFill>
                  <w14:solidFill>
                    <w14:schemeClr w14:val="tx1"/>
                  </w14:solidFill>
                </w14:textFill>
              </w:rPr>
              <w:t xml:space="preserve"> </w:t>
            </w:r>
            <w:r>
              <w:rPr>
                <w:rFonts w:ascii="仿宋" w:hAnsi="仿宋" w:eastAsia="仿宋" w:cs="仿宋"/>
                <w:color w:val="000000" w:themeColor="text1"/>
                <w:spacing w:val="-5"/>
                <w:sz w:val="20"/>
                <w:szCs w:val="20"/>
                <w:highlight w:val="none"/>
                <w14:textFill>
                  <w14:solidFill>
                    <w14:schemeClr w14:val="tx1"/>
                  </w14:solidFill>
                </w14:textFill>
              </w:rPr>
              <w:t>甲醛、甲苯</w:t>
            </w:r>
            <w:r>
              <w:rPr>
                <w:rFonts w:hint="eastAsia" w:ascii="仿宋" w:hAnsi="仿宋" w:eastAsia="仿宋" w:cs="仿宋"/>
                <w:color w:val="000000" w:themeColor="text1"/>
                <w:spacing w:val="-5"/>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5"/>
                <w:sz w:val="20"/>
                <w:szCs w:val="20"/>
                <w:highlight w:val="none"/>
                <w:lang w:val="en-US" w:eastAsia="zh-CN"/>
                <w14:textFill>
                  <w14:solidFill>
                    <w14:schemeClr w14:val="tx1"/>
                  </w14:solidFill>
                </w14:textFill>
              </w:rPr>
              <w:t>苯、二甲苯、乙苯等</w:t>
            </w:r>
            <w:r>
              <w:rPr>
                <w:rFonts w:ascii="仿宋" w:hAnsi="仿宋" w:eastAsia="仿宋" w:cs="仿宋"/>
                <w:color w:val="000000" w:themeColor="text1"/>
                <w:spacing w:val="-2"/>
                <w:sz w:val="20"/>
                <w:szCs w:val="20"/>
                <w:highlight w:val="none"/>
                <w14:textFill>
                  <w14:solidFill>
                    <w14:schemeClr w14:val="tx1"/>
                  </w14:solidFill>
                </w14:textFill>
              </w:rPr>
              <w:t>有害物质释放量≤0.5mg/</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㎡·h；提供二硫化碳有害物质释放量</w:t>
            </w:r>
            <w:r>
              <w:rPr>
                <w:rFonts w:ascii="仿宋" w:hAnsi="仿宋" w:eastAsia="仿宋" w:cs="仿宋"/>
                <w:color w:val="000000" w:themeColor="text1"/>
                <w:spacing w:val="-2"/>
                <w:sz w:val="20"/>
                <w:szCs w:val="20"/>
                <w:highlight w:val="none"/>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7.0</w:t>
            </w:r>
            <w:r>
              <w:rPr>
                <w:rFonts w:ascii="仿宋" w:hAnsi="仿宋" w:eastAsia="仿宋" w:cs="仿宋"/>
                <w:color w:val="000000" w:themeColor="text1"/>
                <w:spacing w:val="-2"/>
                <w:sz w:val="20"/>
                <w:szCs w:val="20"/>
                <w:highlight w:val="none"/>
                <w14:textFill>
                  <w14:solidFill>
                    <w14:schemeClr w14:val="tx1"/>
                  </w14:solidFill>
                </w14:textFill>
              </w:rPr>
              <w:t>mg/</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㎡·h</w:t>
            </w:r>
            <w:r>
              <w:rPr>
                <w:rFonts w:ascii="仿宋" w:hAnsi="仿宋" w:eastAsia="仿宋" w:cs="仿宋"/>
                <w:color w:val="000000" w:themeColor="text1"/>
                <w:spacing w:val="-2"/>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1"/>
                <w:sz w:val="20"/>
                <w:szCs w:val="20"/>
                <w:highlight w:val="none"/>
                <w14:textFill>
                  <w14:solidFill>
                    <w14:schemeClr w14:val="tx1"/>
                  </w14:solidFill>
                </w14:textFill>
              </w:rPr>
              <w:t>5</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依据</w:t>
            </w:r>
            <w:r>
              <w:rPr>
                <w:rFonts w:ascii="仿宋" w:hAnsi="仿宋" w:eastAsia="仿宋" w:cs="仿宋"/>
                <w:color w:val="000000" w:themeColor="text1"/>
                <w:spacing w:val="-4"/>
                <w:sz w:val="20"/>
                <w:szCs w:val="20"/>
                <w:highlight w:val="none"/>
                <w14:textFill>
                  <w14:solidFill>
                    <w14:schemeClr w14:val="tx1"/>
                  </w14:solidFill>
                </w14:textFill>
              </w:rPr>
              <w:t>GB</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36246-2018，提供3种邻苯二甲酸酯类化合物（DBP、BBP、DEHP）及（DNOP、DINP、DIDP）有害物质含量≤1g/kg，18种多环芳烃总和≤50mg/kg，苯并[a]芘有害物质含量≤1mg/kg，游离甲苯二异氰酸酯（TDI）和游离六亚甲基二异氰酸酯（HDI）总和≤0.2g/kg，游离二苯基甲烷二异氰酸酯（MDI）≤1g/kg</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4"/>
                <w:sz w:val="20"/>
                <w:szCs w:val="20"/>
                <w:highlight w:val="none"/>
                <w14:textFill>
                  <w14:solidFill>
                    <w14:schemeClr w14:val="tx1"/>
                  </w14:solidFill>
                </w14:textFill>
              </w:rPr>
              <w:t>）。</w:t>
            </w:r>
          </w:p>
          <w:p>
            <w:pPr>
              <w:numPr>
                <w:ilvl w:val="0"/>
                <w:numId w:val="0"/>
              </w:numPr>
              <w:spacing w:before="32" w:line="217" w:lineRule="auto"/>
              <w:ind w:left="120" w:leftChars="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ascii="仿宋" w:hAnsi="仿宋" w:eastAsia="仿宋" w:cs="仿宋"/>
                <w:color w:val="000000" w:themeColor="text1"/>
                <w:spacing w:val="-9"/>
                <w:sz w:val="20"/>
                <w:szCs w:val="20"/>
                <w:highlight w:val="none"/>
                <w14:textFill>
                  <w14:solidFill>
                    <w14:schemeClr w14:val="tx1"/>
                  </w14:solidFill>
                </w14:textFill>
              </w:rPr>
              <w:t>6</w:t>
            </w:r>
            <w:r>
              <w:rPr>
                <w:rFonts w:hint="eastAsia" w:ascii="仿宋" w:hAnsi="仿宋" w:eastAsia="仿宋" w:cs="仿宋"/>
                <w:color w:val="000000" w:themeColor="text1"/>
                <w:spacing w:val="-9"/>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依据</w:t>
            </w:r>
            <w:r>
              <w:rPr>
                <w:rFonts w:ascii="仿宋" w:hAnsi="仿宋" w:eastAsia="仿宋" w:cs="仿宋"/>
                <w:color w:val="000000" w:themeColor="text1"/>
                <w:spacing w:val="-4"/>
                <w:sz w:val="20"/>
                <w:szCs w:val="20"/>
                <w:highlight w:val="none"/>
                <w14:textFill>
                  <w14:solidFill>
                    <w14:schemeClr w14:val="tx1"/>
                  </w14:solidFill>
                </w14:textFill>
              </w:rPr>
              <w:t>GB</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36246-2018，提供可溶性铅≤50mg/kg，可溶性镉≤10mg/kg，可溶性铬≤10mg/kg，可溶性汞≤2mg/kg</w:t>
            </w:r>
            <w:r>
              <w:rPr>
                <w:rFonts w:ascii="仿宋" w:hAnsi="仿宋" w:eastAsia="仿宋" w:cs="仿宋"/>
                <w:color w:val="000000" w:themeColor="text1"/>
                <w:spacing w:val="6"/>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1"/>
                <w:sz w:val="20"/>
                <w:szCs w:val="20"/>
                <w:highlight w:val="none"/>
                <w14:textFill>
                  <w14:solidFill>
                    <w14:schemeClr w14:val="tx1"/>
                  </w14:solidFill>
                </w14:textFill>
              </w:rPr>
              <w:t>）。</w:t>
            </w:r>
          </w:p>
        </w:tc>
        <w:tc>
          <w:tcPr>
            <w:tcW w:w="649" w:type="dxa"/>
            <w:noWrap w:val="0"/>
            <w:vAlign w:val="top"/>
          </w:tcPr>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before="65" w:line="179" w:lineRule="auto"/>
              <w:ind w:left="264"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6"/>
                <w:sz w:val="20"/>
                <w:szCs w:val="20"/>
                <w:highlight w:val="none"/>
                <w14:textFill>
                  <w14:solidFill>
                    <w14:schemeClr w14:val="tx1"/>
                  </w14:solidFill>
                </w14:textFill>
              </w:rPr>
              <w:t>10</w:t>
            </w:r>
          </w:p>
        </w:tc>
        <w:tc>
          <w:tcPr>
            <w:tcW w:w="696" w:type="dxa"/>
            <w:noWrap w:val="0"/>
            <w:vAlign w:val="top"/>
          </w:tcPr>
          <w:p>
            <w:pPr>
              <w:spacing w:line="252" w:lineRule="auto"/>
              <w:rPr>
                <w:rFonts w:ascii="Arial"/>
                <w:color w:val="000000" w:themeColor="text1"/>
                <w:sz w:val="21"/>
                <w:highlight w:val="none"/>
                <w14:textFill>
                  <w14:solidFill>
                    <w14:schemeClr w14:val="tx1"/>
                  </w14:solidFill>
                </w14:textFill>
              </w:rPr>
            </w:pPr>
          </w:p>
          <w:p>
            <w:pPr>
              <w:spacing w:line="252" w:lineRule="auto"/>
              <w:rPr>
                <w:rFonts w:ascii="Arial"/>
                <w:color w:val="000000" w:themeColor="text1"/>
                <w:sz w:val="21"/>
                <w:highlight w:val="none"/>
                <w14:textFill>
                  <w14:solidFill>
                    <w14:schemeClr w14:val="tx1"/>
                  </w14:solidFill>
                </w14:textFill>
              </w:rPr>
            </w:pPr>
          </w:p>
          <w:p>
            <w:pPr>
              <w:spacing w:line="252"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221" w:lineRule="auto"/>
              <w:ind w:left="228"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套</w:t>
            </w:r>
          </w:p>
        </w:tc>
      </w:tr>
    </w:tbl>
    <w:p>
      <w:pPr>
        <w:rPr>
          <w:color w:val="auto"/>
          <w:highlight w:val="none"/>
        </w:rPr>
      </w:pP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十、安全要求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新疆维吾尔自治区体育局关于做好2024年全民健身场地设施项目建设管理的通知》要求，健身设施应符合应急、疏散和消防安全标准，包括但不限于:《公共体育设施室外健身设施的配置与管理》(GB/T34290-2017)、《公共体育设施室外健身设施应用场所安全要求》(GB/T34284-2017)、《室外健身器材的安全通用要求》(GB19272-2011)、《健身器材和健身场所安全标志和标签》(GB/T34289-2017)。</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投标资格要求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（一）满足《中华人民共和国政府采购法》第二十二条规定。</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（二）落实政府采购政策需满足的资格要求：本项目专门面向中小企业，即：提供的货物全部由符合政策要求的中小 /小微企业制造。投标时须提交《中小企业声明函</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（三）本项目不接受联合体参与投标。</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（四）本项目不接受进口产品参与投标。</w:t>
      </w:r>
    </w:p>
    <w:p>
      <w:pPr>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）本项目的特定资格要求：</w:t>
      </w:r>
      <w:r>
        <w:rPr>
          <w:rFonts w:hint="eastAsia" w:ascii="仿宋_GB2312" w:hAnsi="仿宋_GB2312" w:eastAsia="仿宋_GB2312" w:cs="仿宋_GB2312"/>
          <w:sz w:val="32"/>
          <w:szCs w:val="32"/>
          <w:highlight w:val="none"/>
          <w:lang w:val="en-US" w:eastAsia="zh-CN"/>
        </w:rPr>
        <w:t>无</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十二、</w:t>
      </w:r>
      <w:r>
        <w:rPr>
          <w:rFonts w:hint="eastAsia" w:ascii="仿宋_GB2312" w:hAnsi="仿宋_GB2312" w:eastAsia="仿宋_GB2312" w:cs="仿宋_GB2312"/>
          <w:sz w:val="32"/>
          <w:szCs w:val="32"/>
          <w:highlight w:val="none"/>
        </w:rPr>
        <w:t>本项目为交钥匙项目，投标报价应包含货物价格、税 金、安装、人工、运输等费用。</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十三、其他要求：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val="en-US" w:eastAsia="zh-CN"/>
        </w:rPr>
        <w:t>采购清单中的产品名称不做硬性规定，投标人可根据器材使用功能及参数符合即可</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器材进场时须提供责任险、质量险、团体 意外伤害险证明材料加盖供应商公章，未提供，采购人将对所供应的器材不予验收。</w:t>
      </w:r>
    </w:p>
    <w:p>
      <w:pPr>
        <w:spacing w:before="41" w:line="215" w:lineRule="auto"/>
        <w:ind w:firstLine="628" w:firstLineChars="200"/>
        <w:rPr>
          <w:rFonts w:hint="eastAsia" w:ascii="仿宋_GB2312" w:hAnsi="仿宋_GB2312" w:eastAsia="仿宋_GB2312" w:cs="仿宋_GB2312"/>
          <w:i/>
          <w:iCs/>
          <w:color w:val="000000" w:themeColor="text1"/>
          <w:sz w:val="32"/>
          <w:szCs w:val="32"/>
          <w:highlight w:val="none"/>
          <w:u w:val="single"/>
          <w:lang w:eastAsia="zh-CN"/>
          <w14:textFill>
            <w14:solidFill>
              <w14:schemeClr w14:val="tx1"/>
            </w14:solidFill>
          </w14:textFill>
        </w:rPr>
      </w:pP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hint="eastAsia" w:ascii="仿宋" w:hAnsi="仿宋" w:eastAsia="仿宋" w:cs="仿宋"/>
          <w:i/>
          <w:iCs/>
          <w:color w:val="000000" w:themeColor="text1"/>
          <w:spacing w:val="-3"/>
          <w:sz w:val="32"/>
          <w:szCs w:val="32"/>
          <w:highlight w:val="none"/>
          <w:u w:val="single"/>
          <w:lang w:val="en-US" w:eastAsia="zh-CN"/>
          <w14:textFill>
            <w14:solidFill>
              <w14:schemeClr w14:val="tx1"/>
            </w14:solidFill>
          </w14:textFill>
        </w:rPr>
        <w:t>为保证器材质量和安全，按照《体育总局 财政部 市场监管总局关于印发＜关于加强公共场所全民健身器材配建管理工作的意见＞的通知》要求，</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室内乒乓球桌、室外乒乓球桌、单杠</w:t>
      </w:r>
      <w:r>
        <w:rPr>
          <w:rFonts w:hint="eastAsia" w:ascii="仿宋" w:hAnsi="仿宋" w:eastAsia="仿宋" w:cs="仿宋"/>
          <w:i/>
          <w:iCs/>
          <w:color w:val="000000" w:themeColor="text1"/>
          <w:spacing w:val="-3"/>
          <w:sz w:val="32"/>
          <w:szCs w:val="32"/>
          <w:highlight w:val="none"/>
          <w:u w:val="single"/>
          <w:lang w:val="en-US" w:eastAsia="zh-CN"/>
          <w14:textFill>
            <w14:solidFill>
              <w14:schemeClr w14:val="tx1"/>
            </w14:solidFill>
          </w14:textFill>
        </w:rPr>
        <w:t>、</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腰背按摩器</w:t>
      </w:r>
      <w:r>
        <w:rPr>
          <w:rFonts w:hint="eastAsia" w:ascii="仿宋" w:hAnsi="仿宋" w:eastAsia="仿宋" w:cs="仿宋"/>
          <w:i/>
          <w:iCs/>
          <w:color w:val="000000" w:themeColor="text1"/>
          <w:spacing w:val="-2"/>
          <w:sz w:val="32"/>
          <w:szCs w:val="32"/>
          <w:highlight w:val="none"/>
          <w:u w:val="single"/>
          <w:lang w:eastAsia="zh-CN"/>
          <w14:textFill>
            <w14:solidFill>
              <w14:schemeClr w14:val="tx1"/>
            </w14:solidFill>
          </w14:textFill>
        </w:rPr>
        <w:t>、</w:t>
      </w:r>
      <w:r>
        <w:rPr>
          <w:rFonts w:ascii="仿宋" w:hAnsi="仿宋" w:eastAsia="仿宋" w:cs="仿宋"/>
          <w:i/>
          <w:iCs/>
          <w:color w:val="000000" w:themeColor="text1"/>
          <w:spacing w:val="-3"/>
          <w:sz w:val="32"/>
          <w:szCs w:val="32"/>
          <w:highlight w:val="none"/>
          <w:u w:val="single"/>
          <w14:textFill>
            <w14:solidFill>
              <w14:schemeClr w14:val="tx1"/>
            </w14:solidFill>
          </w14:textFill>
        </w:rPr>
        <w:t>钟摆器</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w:t>
      </w:r>
      <w:r>
        <w:rPr>
          <w:rFonts w:ascii="仿宋" w:hAnsi="仿宋" w:eastAsia="仿宋" w:cs="仿宋"/>
          <w:i/>
          <w:iCs/>
          <w:color w:val="000000" w:themeColor="text1"/>
          <w:spacing w:val="-2"/>
          <w:sz w:val="32"/>
          <w:szCs w:val="32"/>
          <w:highlight w:val="none"/>
          <w:u w:val="single"/>
          <w14:textFill>
            <w14:solidFill>
              <w14:schemeClr w14:val="tx1"/>
            </w14:solidFill>
          </w14:textFill>
        </w:rPr>
        <w:t>伸腰</w:t>
      </w:r>
      <w:r>
        <w:rPr>
          <w:rFonts w:hint="eastAsia" w:ascii="仿宋" w:hAnsi="仿宋" w:eastAsia="仿宋" w:cs="仿宋"/>
          <w:i/>
          <w:iCs/>
          <w:color w:val="000000" w:themeColor="text1"/>
          <w:spacing w:val="-2"/>
          <w:sz w:val="32"/>
          <w:szCs w:val="32"/>
          <w:highlight w:val="none"/>
          <w:u w:val="single"/>
          <w:lang w:val="en-US" w:eastAsia="zh-CN"/>
          <w14:textFill>
            <w14:solidFill>
              <w14:schemeClr w14:val="tx1"/>
            </w14:solidFill>
          </w14:textFill>
        </w:rPr>
        <w:t>展</w:t>
      </w:r>
      <w:r>
        <w:rPr>
          <w:rFonts w:ascii="仿宋" w:hAnsi="仿宋" w:eastAsia="仿宋" w:cs="仿宋"/>
          <w:i/>
          <w:iCs/>
          <w:color w:val="000000" w:themeColor="text1"/>
          <w:spacing w:val="-5"/>
          <w:sz w:val="32"/>
          <w:szCs w:val="32"/>
          <w:highlight w:val="none"/>
          <w:u w:val="single"/>
          <w14:textFill>
            <w14:solidFill>
              <w14:schemeClr w14:val="tx1"/>
            </w14:solidFill>
          </w14:textFill>
        </w:rPr>
        <w:t>背架</w:t>
      </w:r>
      <w:r>
        <w:rPr>
          <w:rFonts w:hint="eastAsia" w:ascii="仿宋" w:hAnsi="仿宋" w:eastAsia="仿宋" w:cs="仿宋"/>
          <w:i/>
          <w:iCs/>
          <w:color w:val="000000" w:themeColor="text1"/>
          <w:spacing w:val="-5"/>
          <w:sz w:val="32"/>
          <w:szCs w:val="32"/>
          <w:highlight w:val="none"/>
          <w:u w:val="single"/>
          <w:lang w:eastAsia="zh-CN"/>
          <w14:textFill>
            <w14:solidFill>
              <w14:schemeClr w14:val="tx1"/>
            </w14:solidFill>
          </w14:textFill>
        </w:rPr>
        <w:t>、</w:t>
      </w:r>
      <w:r>
        <w:rPr>
          <w:rFonts w:ascii="仿宋" w:hAnsi="仿宋" w:eastAsia="仿宋" w:cs="仿宋"/>
          <w:i/>
          <w:iCs/>
          <w:color w:val="000000" w:themeColor="text1"/>
          <w:spacing w:val="-3"/>
          <w:sz w:val="32"/>
          <w:szCs w:val="32"/>
          <w:highlight w:val="none"/>
          <w:u w:val="single"/>
          <w14:textFill>
            <w14:solidFill>
              <w14:schemeClr w14:val="tx1"/>
            </w14:solidFill>
          </w14:textFill>
        </w:rPr>
        <w:t>扭腰背</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肌训练器、</w:t>
      </w:r>
      <w:r>
        <w:rPr>
          <w:rFonts w:ascii="仿宋" w:hAnsi="仿宋" w:eastAsia="仿宋" w:cs="仿宋"/>
          <w:i/>
          <w:iCs/>
          <w:color w:val="000000" w:themeColor="text1"/>
          <w:spacing w:val="-2"/>
          <w:sz w:val="32"/>
          <w:szCs w:val="32"/>
          <w:highlight w:val="none"/>
          <w:u w:val="single"/>
          <w14:textFill>
            <w14:solidFill>
              <w14:schemeClr w14:val="tx1"/>
            </w14:solidFill>
          </w14:textFill>
        </w:rPr>
        <w:t>压腿勾</w:t>
      </w:r>
      <w:r>
        <w:rPr>
          <w:rFonts w:hint="eastAsia" w:ascii="仿宋" w:hAnsi="仿宋" w:eastAsia="仿宋" w:cs="仿宋"/>
          <w:i/>
          <w:iCs/>
          <w:color w:val="000000" w:themeColor="text1"/>
          <w:spacing w:val="-2"/>
          <w:sz w:val="32"/>
          <w:szCs w:val="32"/>
          <w:highlight w:val="none"/>
          <w:u w:val="single"/>
          <w:lang w:eastAsia="zh-CN"/>
          <w14:textFill>
            <w14:solidFill>
              <w14:schemeClr w14:val="tx1"/>
            </w14:solidFill>
          </w14:textFill>
        </w:rPr>
        <w:t>腿训练器、</w:t>
      </w:r>
      <w:r>
        <w:rPr>
          <w:rFonts w:ascii="仿宋" w:hAnsi="仿宋" w:eastAsia="仿宋" w:cs="仿宋"/>
          <w:i/>
          <w:iCs/>
          <w:color w:val="000000" w:themeColor="text1"/>
          <w:spacing w:val="-2"/>
          <w:sz w:val="32"/>
          <w:szCs w:val="32"/>
          <w:highlight w:val="none"/>
          <w:u w:val="single"/>
          <w14:textFill>
            <w14:solidFill>
              <w14:schemeClr w14:val="tx1"/>
            </w14:solidFill>
          </w14:textFill>
        </w:rPr>
        <w:t>伸展扭腰器</w:t>
      </w:r>
      <w:r>
        <w:rPr>
          <w:rFonts w:hint="eastAsia" w:ascii="仿宋" w:hAnsi="仿宋" w:eastAsia="仿宋" w:cs="仿宋"/>
          <w:i/>
          <w:iCs/>
          <w:color w:val="000000" w:themeColor="text1"/>
          <w:spacing w:val="-2"/>
          <w:sz w:val="32"/>
          <w:szCs w:val="32"/>
          <w:highlight w:val="none"/>
          <w:u w:val="single"/>
          <w:lang w:eastAsia="zh-CN"/>
          <w14:textFill>
            <w14:solidFill>
              <w14:schemeClr w14:val="tx1"/>
            </w14:solidFill>
          </w14:textFill>
        </w:rPr>
        <w:t>、</w:t>
      </w:r>
      <w:r>
        <w:rPr>
          <w:rFonts w:ascii="仿宋" w:hAnsi="仿宋" w:eastAsia="仿宋" w:cs="仿宋"/>
          <w:i/>
          <w:iCs/>
          <w:color w:val="000000" w:themeColor="text1"/>
          <w:spacing w:val="-4"/>
          <w:sz w:val="32"/>
          <w:szCs w:val="32"/>
          <w:highlight w:val="none"/>
          <w:u w:val="single"/>
          <w14:textFill>
            <w14:solidFill>
              <w14:schemeClr w14:val="tx1"/>
            </w14:solidFill>
          </w14:textFill>
        </w:rPr>
        <w:t>双位压</w:t>
      </w:r>
      <w:r>
        <w:rPr>
          <w:rFonts w:ascii="仿宋" w:hAnsi="仿宋" w:eastAsia="仿宋" w:cs="仿宋"/>
          <w:i/>
          <w:iCs/>
          <w:color w:val="000000" w:themeColor="text1"/>
          <w:spacing w:val="-3"/>
          <w:sz w:val="32"/>
          <w:szCs w:val="32"/>
          <w:highlight w:val="none"/>
          <w:u w:val="single"/>
          <w14:textFill>
            <w14:solidFill>
              <w14:schemeClr w14:val="tx1"/>
            </w14:solidFill>
          </w14:textFill>
        </w:rPr>
        <w:t>腿腿</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部按摩器、</w:t>
      </w:r>
      <w:r>
        <w:rPr>
          <w:rFonts w:ascii="仿宋" w:hAnsi="仿宋" w:eastAsia="仿宋" w:cs="仿宋"/>
          <w:i/>
          <w:iCs/>
          <w:color w:val="000000" w:themeColor="text1"/>
          <w:spacing w:val="-3"/>
          <w:sz w:val="32"/>
          <w:szCs w:val="32"/>
          <w:highlight w:val="none"/>
          <w:u w:val="single"/>
          <w14:textFill>
            <w14:solidFill>
              <w14:schemeClr w14:val="tx1"/>
            </w14:solidFill>
          </w14:textFill>
        </w:rPr>
        <w:t>篮球架</w:t>
      </w:r>
      <w:r>
        <w:rPr>
          <w:rFonts w:hint="eastAsia" w:ascii="仿宋" w:hAnsi="仿宋" w:eastAsia="仿宋" w:cs="仿宋"/>
          <w:i/>
          <w:iCs/>
          <w:color w:val="000000" w:themeColor="text1"/>
          <w:spacing w:val="-3"/>
          <w:sz w:val="32"/>
          <w:szCs w:val="32"/>
          <w:highlight w:val="none"/>
          <w:u w:val="single"/>
          <w:lang w:eastAsia="zh-CN"/>
          <w14:textFill>
            <w14:solidFill>
              <w14:schemeClr w14:val="tx1"/>
            </w14:solidFill>
          </w14:textFill>
        </w:rPr>
        <w:t>、</w:t>
      </w:r>
      <w:r>
        <w:rPr>
          <w:rFonts w:ascii="仿宋" w:hAnsi="仿宋" w:eastAsia="仿宋" w:cs="仿宋"/>
          <w:i/>
          <w:iCs/>
          <w:color w:val="000000" w:themeColor="text1"/>
          <w:spacing w:val="-7"/>
          <w:sz w:val="32"/>
          <w:szCs w:val="32"/>
          <w:highlight w:val="none"/>
          <w:u w:val="single"/>
          <w14:textFill>
            <w14:solidFill>
              <w14:schemeClr w14:val="tx1"/>
            </w14:solidFill>
          </w14:textFill>
        </w:rPr>
        <w:t>羽毛球</w:t>
      </w:r>
      <w:r>
        <w:rPr>
          <w:rFonts w:ascii="仿宋" w:hAnsi="仿宋" w:eastAsia="仿宋" w:cs="仿宋"/>
          <w:i/>
          <w:iCs/>
          <w:color w:val="000000" w:themeColor="text1"/>
          <w:spacing w:val="-8"/>
          <w:sz w:val="32"/>
          <w:szCs w:val="32"/>
          <w:highlight w:val="none"/>
          <w:u w:val="single"/>
          <w14:textFill>
            <w14:solidFill>
              <w14:schemeClr w14:val="tx1"/>
            </w14:solidFill>
          </w14:textFill>
        </w:rPr>
        <w:t>网</w:t>
      </w:r>
      <w:r>
        <w:rPr>
          <w:rFonts w:hint="eastAsia" w:ascii="仿宋" w:hAnsi="仿宋" w:eastAsia="仿宋" w:cs="仿宋"/>
          <w:i/>
          <w:iCs/>
          <w:color w:val="000000" w:themeColor="text1"/>
          <w:spacing w:val="-8"/>
          <w:sz w:val="32"/>
          <w:szCs w:val="32"/>
          <w:highlight w:val="none"/>
          <w:u w:val="single"/>
          <w:lang w:eastAsia="zh-CN"/>
          <w14:textFill>
            <w14:solidFill>
              <w14:schemeClr w14:val="tx1"/>
            </w14:solidFill>
          </w14:textFill>
        </w:rPr>
        <w:t>架</w:t>
      </w:r>
      <w:r>
        <w:rPr>
          <w:rFonts w:hint="eastAsia" w:ascii="仿宋_GB2312" w:hAnsi="仿宋_GB2312" w:eastAsia="仿宋_GB2312" w:cs="仿宋_GB2312"/>
          <w:i/>
          <w:iCs/>
          <w:color w:val="FF0000"/>
          <w:sz w:val="32"/>
          <w:szCs w:val="32"/>
          <w:highlight w:val="none"/>
          <w:u w:val="single"/>
          <w:lang w:val="en-US" w:eastAsia="zh-CN"/>
        </w:rPr>
        <w:t>须</w:t>
      </w:r>
      <w:r>
        <w:rPr>
          <w:rFonts w:hint="eastAsia" w:ascii="仿宋" w:hAnsi="仿宋" w:eastAsia="仿宋" w:cs="仿宋"/>
          <w:i/>
          <w:iCs/>
          <w:color w:val="FF0000"/>
          <w:spacing w:val="-3"/>
          <w:sz w:val="32"/>
          <w:szCs w:val="32"/>
          <w:highlight w:val="none"/>
          <w:u w:val="single"/>
          <w:lang w:val="en-US" w:eastAsia="zh-CN"/>
        </w:rPr>
        <w:t>提供经国家批准的器材质量认证机构的产品质量认证证书（提供相关证明材料）。</w:t>
      </w:r>
      <w:r>
        <w:rPr>
          <w:rFonts w:hint="eastAsia" w:ascii="仿宋" w:hAnsi="仿宋" w:eastAsia="仿宋" w:cs="仿宋"/>
          <w:i/>
          <w:iCs/>
          <w:color w:val="000000" w:themeColor="text1"/>
          <w:spacing w:val="-3"/>
          <w:sz w:val="32"/>
          <w:szCs w:val="32"/>
          <w:highlight w:val="none"/>
          <w:u w:val="single"/>
          <w:lang w:val="en-US" w:eastAsia="zh-CN"/>
          <w14:textFill>
            <w14:solidFill>
              <w14:schemeClr w14:val="tx1"/>
            </w14:solidFill>
          </w14:textFill>
        </w:rPr>
        <w:t>此项</w:t>
      </w:r>
      <w:r>
        <w:rPr>
          <w:rFonts w:hint="eastAsia" w:ascii="仿宋" w:hAnsi="仿宋" w:eastAsia="仿宋" w:cs="仿宋"/>
          <w:i/>
          <w:iCs/>
          <w:color w:val="000000" w:themeColor="text1"/>
          <w:spacing w:val="-2"/>
          <w:sz w:val="32"/>
          <w:szCs w:val="32"/>
          <w:highlight w:val="none"/>
          <w:u w:val="single"/>
          <w:lang w:val="en-US" w:eastAsia="zh-CN"/>
          <w14:textFill>
            <w14:solidFill>
              <w14:schemeClr w14:val="tx1"/>
            </w14:solidFill>
          </w14:textFill>
        </w:rPr>
        <w:t>为必须满足项，如未提供按废标处理。</w:t>
      </w:r>
    </w:p>
    <w:p>
      <w:pP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对提供虚假材料谋取中标的，评标时发现投标参数与实际参数不符时视为无效标书；对通过虚假材料中标者，货到验收技术参数与招标文件不符时，</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中标无效，采购方可以拒收货，拒付款，并且供货方承担相应的法律责任。</w:t>
      </w:r>
    </w:p>
    <w:p>
      <w:pPr>
        <w:bidi w:val="0"/>
        <w:rPr>
          <w:highlight w:val="none"/>
          <w:lang w:val="en-US" w:eastAsia="zh-CN"/>
        </w:rPr>
      </w:pPr>
    </w:p>
    <w:p>
      <w:pPr>
        <w:bidi w:val="0"/>
        <w:rPr>
          <w:highlight w:val="none"/>
          <w:lang w:val="en-US" w:eastAsia="zh-CN"/>
        </w:rPr>
      </w:pPr>
    </w:p>
    <w:p>
      <w:pPr>
        <w:tabs>
          <w:tab w:val="right" w:pos="9066"/>
        </w:tabs>
        <w:bidi w:val="0"/>
        <w:jc w:val="left"/>
        <w:rPr>
          <w:highlight w:val="none"/>
          <w:lang w:val="en-US" w:eastAsia="zh-CN"/>
        </w:rPr>
        <w:sectPr>
          <w:footerReference r:id="rId5" w:type="default"/>
          <w:pgSz w:w="11906" w:h="16839"/>
          <w:pgMar w:top="400" w:right="1492" w:bottom="400" w:left="1348" w:header="0" w:footer="0" w:gutter="0"/>
          <w:cols w:space="720" w:num="1"/>
        </w:sectPr>
      </w:pPr>
    </w:p>
    <w:p>
      <w:pPr>
        <w:pStyle w:val="5"/>
        <w:keepNext/>
        <w:keepLines/>
        <w:pageBreakBefore w:val="0"/>
        <w:widowControl w:val="0"/>
        <w:kinsoku/>
        <w:wordWrap/>
        <w:overflowPunct/>
        <w:topLinePunct w:val="0"/>
        <w:autoSpaceDE/>
        <w:autoSpaceDN/>
        <w:bidi w:val="0"/>
        <w:adjustRightInd/>
        <w:snapToGrid/>
        <w:spacing w:before="0" w:after="0" w:line="640" w:lineRule="exact"/>
        <w:ind w:firstLine="0" w:firstLineChars="0"/>
        <w:jc w:val="center"/>
        <w:textAlignment w:val="auto"/>
        <w:rPr>
          <w:rFonts w:hint="eastAsia" w:ascii="方正小标宋_GBK" w:hAnsi="方正小标宋_GBK" w:eastAsia="方正小标宋_GBK" w:cs="方正小标宋_GBK"/>
          <w:b w:val="0"/>
          <w:bCs w:val="0"/>
          <w:highlight w:val="none"/>
        </w:rPr>
      </w:pPr>
      <w:r>
        <w:rPr>
          <w:rFonts w:hint="eastAsia" w:ascii="方正小标宋_GBK" w:hAnsi="方正小标宋_GBK" w:eastAsia="方正小标宋_GBK" w:cs="方正小标宋_GBK"/>
          <w:b w:val="0"/>
          <w:bCs w:val="0"/>
          <w:highlight w:val="none"/>
        </w:rPr>
        <w:t>评标方法与评标标准</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黑体" w:hAnsi="黑体" w:eastAsia="黑体" w:cs="黑体"/>
          <w:sz w:val="32"/>
          <w:szCs w:val="32"/>
          <w:highlight w:val="none"/>
          <w:lang w:val="en-US" w:eastAsia="zh-CN"/>
        </w:rPr>
      </w:pP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一、评标办法</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本项目专门面向中小企业采购，即：提供的货物全部由符合政策要求的中小/小微企业制造，投标时需</w:t>
      </w:r>
      <w:r>
        <w:rPr>
          <w:rFonts w:hint="eastAsia" w:ascii="仿宋_GB2312" w:hAnsi="仿宋_GB2312" w:eastAsia="仿宋_GB2312" w:cs="仿宋_GB2312"/>
          <w:color w:val="auto"/>
          <w:sz w:val="32"/>
          <w:szCs w:val="32"/>
          <w:highlight w:val="none"/>
          <w:lang w:val="en-US" w:eastAsia="zh-CN"/>
        </w:rPr>
        <w:t>提交《中小企业声明函》。</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二、评分表</w:t>
      </w:r>
    </w:p>
    <w:tbl>
      <w:tblPr>
        <w:tblStyle w:val="18"/>
        <w:tblpPr w:leftFromText="180" w:rightFromText="180" w:vertAnchor="text" w:horzAnchor="page" w:tblpX="1919" w:tblpY="1156"/>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635"/>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价格</w:t>
            </w:r>
            <w:r>
              <w:rPr>
                <w:rFonts w:hint="eastAsia" w:ascii="宋体" w:hAnsi="宋体" w:eastAsia="宋体" w:cs="宋体"/>
                <w:color w:val="auto"/>
                <w:sz w:val="21"/>
                <w:szCs w:val="21"/>
                <w:highlight w:val="none"/>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color w:val="auto"/>
                <w:sz w:val="21"/>
                <w:szCs w:val="21"/>
                <w:highlight w:val="none"/>
                <w:lang w:eastAsia="zh-CN"/>
              </w:rPr>
              <w:t>即满足招标文件要求且投标价格最低的投标报价为评标基准价，其价格得分为满分。其他投标人的价格得分统一按照下列公式计算：价格得分=（评标基准价/投标报价）*30%*100。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商务部分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highlight w:val="none"/>
              </w:rPr>
            </w:pPr>
            <w:r>
              <w:rPr>
                <w:rFonts w:hint="eastAsia" w:ascii="宋体" w:hAnsi="宋体" w:eastAsia="宋体" w:cs="宋体"/>
                <w:sz w:val="21"/>
                <w:szCs w:val="21"/>
                <w:highlight w:val="none"/>
                <w:lang w:val="en-US" w:eastAsia="zh-CN"/>
              </w:rPr>
              <w:t>提供2021年1月1日至开标之日业绩，每提供一项得3分，满分得6分，须提供合同或中标（成交）通知书复印件加盖投标人公章，缺项或不提供不得分。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cs="宋体"/>
                <w:color w:val="auto"/>
                <w:sz w:val="21"/>
                <w:szCs w:val="21"/>
                <w:highlight w:val="none"/>
                <w:lang w:eastAsia="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须提供</w:t>
            </w:r>
            <w:r>
              <w:rPr>
                <w:rFonts w:hint="eastAsia" w:ascii="宋体" w:hAnsi="宋体" w:cs="宋体"/>
                <w:color w:val="auto"/>
                <w:sz w:val="21"/>
                <w:szCs w:val="21"/>
                <w:highlight w:val="none"/>
                <w:lang w:val="en-US" w:eastAsia="zh-CN"/>
              </w:rPr>
              <w:t>昌吉州本地化服务承诺函和备品备件承诺函</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eastAsia="zh-CN"/>
              </w:rPr>
              <w:t>提供一项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须加盖投标人公章</w:t>
            </w:r>
            <w:r>
              <w:rPr>
                <w:rFonts w:hint="eastAsia" w:ascii="宋体" w:hAnsi="宋体" w:cs="宋体"/>
                <w:b/>
                <w:bCs/>
                <w:color w:val="auto"/>
                <w:sz w:val="21"/>
                <w:szCs w:val="21"/>
                <w:highlight w:val="none"/>
                <w:lang w:val="en-US" w:eastAsia="zh-CN"/>
              </w:rPr>
              <w:t>并注明联系人及联系方式</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105" w:rightChars="5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技术</w:t>
            </w:r>
            <w:r>
              <w:rPr>
                <w:rFonts w:hint="eastAsia" w:ascii="宋体" w:hAnsi="宋体" w:eastAsia="宋体" w:cs="宋体"/>
                <w:color w:val="auto"/>
                <w:sz w:val="21"/>
                <w:szCs w:val="21"/>
                <w:highlight w:val="none"/>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eastAsia="宋体"/>
                <w:highlight w:val="none"/>
                <w:lang w:val="en-US" w:eastAsia="zh-CN"/>
              </w:rPr>
            </w:pPr>
            <w:r>
              <w:rPr>
                <w:rFonts w:hint="eastAsia" w:asciiTheme="minorEastAsia" w:hAnsiTheme="minorEastAsia" w:eastAsiaTheme="minorEastAsia" w:cstheme="minorEastAsia"/>
                <w:sz w:val="21"/>
                <w:szCs w:val="21"/>
                <w:highlight w:val="none"/>
                <w:lang w:eastAsia="zh-CN"/>
              </w:rPr>
              <w:t>带</w:t>
            </w:r>
            <w:r>
              <w:rPr>
                <w:rFonts w:hint="eastAsia" w:asciiTheme="minorEastAsia" w:hAnsiTheme="minorEastAsia" w:eastAsiaTheme="minorEastAsia" w:cstheme="minorEastAsia"/>
                <w:sz w:val="21"/>
                <w:szCs w:val="21"/>
                <w:highlight w:val="none"/>
                <w:lang w:val="en-US" w:eastAsia="zh-CN"/>
              </w:rPr>
              <w:t>“★”参数完全</w:t>
            </w:r>
            <w:r>
              <w:rPr>
                <w:rFonts w:hint="eastAsia" w:asciiTheme="minorEastAsia" w:hAnsiTheme="minorEastAsia" w:eastAsiaTheme="minorEastAsia" w:cstheme="minorEastAsia"/>
                <w:sz w:val="21"/>
                <w:szCs w:val="21"/>
                <w:highlight w:val="none"/>
              </w:rPr>
              <w:t>符合、响应招标文件</w:t>
            </w:r>
            <w:r>
              <w:rPr>
                <w:rFonts w:hint="eastAsia" w:asciiTheme="minorEastAsia" w:hAnsiTheme="minorEastAsia" w:eastAsiaTheme="minorEastAsia" w:cstheme="minorEastAsia"/>
                <w:sz w:val="21"/>
                <w:szCs w:val="21"/>
                <w:highlight w:val="none"/>
                <w:lang w:val="en-US" w:eastAsia="zh-CN"/>
              </w:rPr>
              <w:t>技术规格、参数及要求，技术成熟、安全可靠，参数清楚、阐述详尽，</w:t>
            </w:r>
            <w:r>
              <w:rPr>
                <w:rFonts w:hint="eastAsia" w:asciiTheme="minorEastAsia" w:hAnsiTheme="minorEastAsia" w:eastAsiaTheme="minorEastAsia" w:cstheme="minorEastAsia"/>
                <w:sz w:val="21"/>
                <w:szCs w:val="21"/>
                <w:highlight w:val="none"/>
                <w:lang w:eastAsia="zh-CN"/>
              </w:rPr>
              <w:t>满分</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highlight w:val="none"/>
                <w:lang w:val="en-US" w:eastAsia="zh-CN"/>
              </w:rPr>
              <w:t>，负偏离一项扣1分，扣完为止。其它参数为一般参数，满分8分，负偏离一项扣0.5分，扣完为止。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针对本项目提供</w:t>
            </w:r>
            <w:r>
              <w:rPr>
                <w:rFonts w:hint="eastAsia" w:ascii="宋体" w:hAnsi="宋体" w:eastAsia="宋体" w:cs="宋体"/>
                <w:sz w:val="21"/>
                <w:szCs w:val="21"/>
                <w:highlight w:val="none"/>
              </w:rPr>
              <w:t>项目实施方案</w:t>
            </w:r>
            <w:r>
              <w:rPr>
                <w:rFonts w:hint="eastAsia" w:ascii="宋体" w:hAnsi="宋体" w:eastAsia="宋体" w:cs="宋体"/>
                <w:sz w:val="21"/>
                <w:szCs w:val="21"/>
                <w:highlight w:val="none"/>
                <w:lang w:val="en-US" w:eastAsia="zh-CN"/>
              </w:rPr>
              <w:t>：(包含但不限于项目的实施流程、时间节点、难点分析及应对方案等）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1.项目实施</w:t>
            </w:r>
            <w:r>
              <w:rPr>
                <w:rFonts w:hint="eastAsia" w:ascii="宋体" w:hAnsi="宋体" w:eastAsia="宋体" w:cs="宋体"/>
                <w:sz w:val="21"/>
                <w:szCs w:val="21"/>
                <w:highlight w:val="none"/>
              </w:rPr>
              <w:t>方案详细、具体、科学合理、切实可行，</w:t>
            </w:r>
            <w:r>
              <w:rPr>
                <w:rFonts w:hint="eastAsia" w:ascii="宋体" w:hAnsi="宋体" w:eastAsia="宋体" w:cs="宋体"/>
                <w:sz w:val="21"/>
                <w:szCs w:val="21"/>
                <w:highlight w:val="none"/>
                <w:lang w:val="en-US" w:eastAsia="zh-CN"/>
              </w:rPr>
              <w:t>操作性强，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项目实施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详细、具体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基本合理可行，</w:t>
            </w:r>
            <w:r>
              <w:rPr>
                <w:rFonts w:hint="eastAsia" w:ascii="宋体" w:hAnsi="宋体" w:eastAsia="宋体" w:cs="宋体"/>
                <w:sz w:val="21"/>
                <w:szCs w:val="21"/>
                <w:highlight w:val="none"/>
                <w:lang w:val="en-US" w:eastAsia="zh-CN"/>
              </w:rPr>
              <w:t>易操作，</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项目实施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详细、不够具体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基本合理可行，</w:t>
            </w:r>
            <w:r>
              <w:rPr>
                <w:rFonts w:hint="eastAsia" w:ascii="宋体" w:hAnsi="宋体" w:eastAsia="宋体" w:cs="宋体"/>
                <w:sz w:val="21"/>
                <w:szCs w:val="21"/>
                <w:highlight w:val="none"/>
                <w:lang w:val="en-US" w:eastAsia="zh-CN"/>
              </w:rPr>
              <w:t>操作性不强，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w:t>
            </w:r>
            <w:r>
              <w:rPr>
                <w:rFonts w:hint="eastAsia" w:ascii="宋体" w:hAnsi="宋体" w:eastAsia="宋体" w:cs="宋体"/>
                <w:sz w:val="21"/>
                <w:szCs w:val="21"/>
                <w:highlight w:val="none"/>
              </w:rPr>
              <w:t>未提供</w:t>
            </w:r>
            <w:r>
              <w:rPr>
                <w:rFonts w:hint="eastAsia" w:ascii="宋体" w:hAnsi="宋体" w:eastAsia="宋体" w:cs="宋体"/>
                <w:sz w:val="21"/>
                <w:szCs w:val="21"/>
                <w:highlight w:val="none"/>
                <w:lang w:val="en-US" w:eastAsia="zh-CN"/>
              </w:rPr>
              <w:t>的不得</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项目安全方案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（7分）</w:t>
            </w:r>
          </w:p>
        </w:tc>
        <w:tc>
          <w:tcPr>
            <w:tcW w:w="508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针对本项目提供</w:t>
            </w:r>
            <w:r>
              <w:rPr>
                <w:rFonts w:hint="eastAsia" w:ascii="宋体" w:hAnsi="宋体" w:cs="宋体"/>
                <w:sz w:val="21"/>
                <w:szCs w:val="21"/>
                <w:highlight w:val="none"/>
                <w:lang w:val="en-US" w:eastAsia="zh-CN"/>
              </w:rPr>
              <w:t>安全方</w:t>
            </w:r>
            <w:r>
              <w:rPr>
                <w:rFonts w:hint="eastAsia" w:ascii="宋体" w:hAnsi="宋体" w:eastAsia="宋体" w:cs="宋体"/>
                <w:sz w:val="21"/>
                <w:szCs w:val="21"/>
                <w:highlight w:val="none"/>
                <w:lang w:val="en-US" w:eastAsia="zh-CN"/>
              </w:rPr>
              <w:t>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w:t>
            </w:r>
            <w:r>
              <w:rPr>
                <w:rFonts w:hint="eastAsia" w:ascii="宋体" w:hAnsi="宋体" w:cs="宋体"/>
                <w:sz w:val="21"/>
                <w:szCs w:val="21"/>
                <w:highlight w:val="none"/>
                <w:lang w:eastAsia="zh-CN"/>
              </w:rPr>
              <w:t>安全主</w:t>
            </w:r>
            <w:r>
              <w:rPr>
                <w:rFonts w:hint="eastAsia" w:ascii="宋体" w:hAnsi="宋体" w:eastAsia="宋体" w:cs="宋体"/>
                <w:sz w:val="21"/>
                <w:szCs w:val="21"/>
                <w:highlight w:val="none"/>
              </w:rPr>
              <w:t>案到位</w:t>
            </w:r>
            <w:r>
              <w:rPr>
                <w:rFonts w:hint="eastAsia" w:ascii="宋体" w:hAnsi="宋体" w:eastAsia="宋体" w:cs="宋体"/>
                <w:sz w:val="21"/>
                <w:szCs w:val="21"/>
                <w:highlight w:val="none"/>
                <w:lang w:val="zh-TW"/>
              </w:rPr>
              <w:t>、详尽、安排科学合理、针对性强</w:t>
            </w:r>
            <w:r>
              <w:rPr>
                <w:rFonts w:hint="eastAsia" w:ascii="宋体" w:hAnsi="宋体" w:eastAsia="宋体" w:cs="宋体"/>
                <w:sz w:val="21"/>
                <w:szCs w:val="21"/>
                <w:highlight w:val="none"/>
              </w:rPr>
              <w:t>,措施</w:t>
            </w:r>
            <w:r>
              <w:rPr>
                <w:rFonts w:hint="eastAsia" w:ascii="宋体" w:hAnsi="宋体" w:eastAsia="宋体" w:cs="宋体"/>
                <w:sz w:val="21"/>
                <w:szCs w:val="21"/>
                <w:highlight w:val="none"/>
                <w:lang w:val="zh-TW"/>
              </w:rPr>
              <w:t>合理可行，特点突出，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项目</w:t>
            </w:r>
            <w:r>
              <w:rPr>
                <w:rFonts w:hint="eastAsia" w:ascii="宋体" w:hAnsi="宋体" w:cs="宋体"/>
                <w:sz w:val="21"/>
                <w:szCs w:val="21"/>
                <w:highlight w:val="none"/>
                <w:lang w:eastAsia="zh-CN"/>
              </w:rPr>
              <w:t>安全方</w:t>
            </w:r>
            <w:r>
              <w:rPr>
                <w:rFonts w:hint="eastAsia" w:ascii="宋体" w:hAnsi="宋体" w:eastAsia="宋体" w:cs="宋体"/>
                <w:sz w:val="21"/>
                <w:szCs w:val="21"/>
                <w:highlight w:val="none"/>
              </w:rPr>
              <w:t>案较为</w:t>
            </w:r>
            <w:r>
              <w:rPr>
                <w:rFonts w:hint="eastAsia" w:ascii="宋体" w:hAnsi="宋体" w:eastAsia="宋体" w:cs="宋体"/>
                <w:sz w:val="21"/>
                <w:szCs w:val="21"/>
                <w:highlight w:val="none"/>
                <w:lang w:val="zh-TW"/>
              </w:rPr>
              <w:t>详尽、安排</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zh-TW"/>
              </w:rPr>
              <w:t>科学合理、针对性</w:t>
            </w:r>
            <w:r>
              <w:rPr>
                <w:rFonts w:hint="eastAsia" w:ascii="宋体" w:hAnsi="宋体" w:eastAsia="宋体" w:cs="宋体"/>
                <w:sz w:val="21"/>
                <w:szCs w:val="21"/>
                <w:highlight w:val="none"/>
              </w:rPr>
              <w:t>较</w:t>
            </w:r>
            <w:r>
              <w:rPr>
                <w:rFonts w:hint="eastAsia" w:ascii="宋体" w:hAnsi="宋体" w:eastAsia="宋体" w:cs="宋体"/>
                <w:sz w:val="21"/>
                <w:szCs w:val="21"/>
                <w:highlight w:val="none"/>
                <w:lang w:val="zh-TW"/>
              </w:rPr>
              <w:t>强</w:t>
            </w:r>
            <w:r>
              <w:rPr>
                <w:rFonts w:hint="eastAsia" w:ascii="宋体" w:hAnsi="宋体" w:eastAsia="宋体" w:cs="宋体"/>
                <w:sz w:val="21"/>
                <w:szCs w:val="21"/>
                <w:highlight w:val="none"/>
              </w:rPr>
              <w:t>,措施</w:t>
            </w:r>
            <w:r>
              <w:rPr>
                <w:rFonts w:hint="eastAsia" w:ascii="宋体" w:hAnsi="宋体" w:eastAsia="宋体" w:cs="宋体"/>
                <w:sz w:val="21"/>
                <w:szCs w:val="21"/>
                <w:highlight w:val="none"/>
                <w:lang w:val="zh-TW"/>
              </w:rPr>
              <w:t>合理可行，</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项目安全</w:t>
            </w:r>
            <w:r>
              <w:rPr>
                <w:rFonts w:hint="eastAsia" w:ascii="宋体" w:hAnsi="宋体" w:cs="宋体"/>
                <w:sz w:val="21"/>
                <w:szCs w:val="21"/>
                <w:highlight w:val="none"/>
                <w:lang w:eastAsia="zh-CN"/>
              </w:rPr>
              <w:t>方</w:t>
            </w:r>
            <w:r>
              <w:rPr>
                <w:rFonts w:hint="eastAsia" w:ascii="宋体" w:hAnsi="宋体" w:eastAsia="宋体" w:cs="宋体"/>
                <w:sz w:val="21"/>
                <w:szCs w:val="21"/>
                <w:highlight w:val="none"/>
              </w:rPr>
              <w:t>案较为</w:t>
            </w:r>
            <w:r>
              <w:rPr>
                <w:rFonts w:hint="eastAsia" w:ascii="宋体" w:hAnsi="宋体" w:eastAsia="宋体" w:cs="宋体"/>
                <w:sz w:val="21"/>
                <w:szCs w:val="21"/>
                <w:highlight w:val="none"/>
                <w:lang w:val="zh-TW"/>
              </w:rPr>
              <w:t>详尽、安排</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zh-TW"/>
              </w:rPr>
              <w:t>科学、针对性</w:t>
            </w:r>
            <w:r>
              <w:rPr>
                <w:rFonts w:hint="eastAsia" w:ascii="宋体" w:hAnsi="宋体" w:eastAsia="宋体" w:cs="宋体"/>
                <w:sz w:val="21"/>
                <w:szCs w:val="21"/>
                <w:highlight w:val="none"/>
              </w:rPr>
              <w:t>一般,措施基本</w:t>
            </w:r>
            <w:r>
              <w:rPr>
                <w:rFonts w:hint="eastAsia" w:ascii="宋体" w:hAnsi="宋体" w:eastAsia="宋体" w:cs="宋体"/>
                <w:sz w:val="21"/>
                <w:szCs w:val="21"/>
                <w:highlight w:val="none"/>
                <w:lang w:val="zh-TW"/>
              </w:rPr>
              <w:t>可行，</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w:t>
            </w:r>
            <w:r>
              <w:rPr>
                <w:rFonts w:hint="eastAsia" w:ascii="宋体" w:hAnsi="宋体" w:eastAsia="宋体" w:cs="宋体"/>
                <w:sz w:val="21"/>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安装方案（10分）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针对本项目提供安装方案：（包含但不限于安装工艺、程序、标准等内容）</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1.安装方案清晰、明确，安装计划合理，操作性强，得10分；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2.安装方案基本清晰、明确，安装计划基本合理，操作性较强，得5分；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3.安装方案基本清晰、明确，安装计划基本合理；操作性不强，得1分；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售后服务方案（10分）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针对本项目提供售后服务方案：投标人需提供详细的售后服务方案，（包含但不限于具备售后服务组织体系、售后服务内容、故障解决办法、应急处理方案等要点)。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1.投标人提供的售后服务体系科学合理、质保期、服务响应等内容详实，表述合理的得10分；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2.投标人具有售后服务能力，并为本项目制定了售后服务方案和技术支持的，方案内容基本合理可行的得5分；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3.投标人具备一定的售后服务能力，方案内容有所欠缺的得1分；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4.差或未提供的不得分。</w:t>
            </w:r>
          </w:p>
        </w:tc>
      </w:tr>
    </w:tbl>
    <w:p/>
    <w:p/>
    <w:p>
      <w:pPr>
        <w:pStyle w:val="5"/>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4" w:name="_Hlt26671244"/>
      <w:bookmarkEnd w:id="204"/>
      <w:bookmarkStart w:id="205" w:name="_Hlt26955039"/>
      <w:bookmarkEnd w:id="205"/>
      <w:bookmarkStart w:id="206" w:name="_Toc26554094"/>
      <w:bookmarkStart w:id="207" w:name="_Toc120614282"/>
      <w:bookmarkStart w:id="208" w:name="_Toc49090576"/>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ascii="宋体" w:hAnsi="宋体"/>
          <w:b/>
          <w:sz w:val="30"/>
          <w:szCs w:val="30"/>
        </w:rPr>
      </w:pPr>
      <w:r>
        <w:rPr>
          <w:rFonts w:hint="eastAsia" w:ascii="宋体" w:hAnsi="宋体"/>
          <w:b/>
          <w:sz w:val="30"/>
          <w:szCs w:val="30"/>
        </w:rPr>
        <w:t>评分索引表</w:t>
      </w:r>
    </w:p>
    <w:tbl>
      <w:tblPr>
        <w:tblStyle w:val="18"/>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7"/>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1084" w:firstLineChars="300"/>
        <w:jc w:val="center"/>
        <w:rPr>
          <w:rFonts w:hint="eastAsia" w:ascii="宋体" w:hAnsi="宋体"/>
          <w:b/>
          <w:bCs/>
          <w:sz w:val="32"/>
          <w:szCs w:val="32"/>
        </w:rPr>
      </w:pPr>
      <w:r>
        <w:rPr>
          <w:rFonts w:ascii="宋体" w:hAnsi="宋体"/>
          <w:b/>
          <w:sz w:val="36"/>
          <w:u w:val="single"/>
        </w:rPr>
        <w:br w:type="page"/>
      </w: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default" w:eastAsia="楷体_GB2312"/>
          <w:lang w:val="en-US" w:eastAsia="zh-CN"/>
        </w:rPr>
      </w:pPr>
      <w:r>
        <w:rPr>
          <w:rFonts w:hint="eastAsia" w:ascii="宋体" w:hAnsi="宋体" w:eastAsia="宋体" w:cs="Times New Roman"/>
          <w:kern w:val="2"/>
          <w:sz w:val="24"/>
          <w:szCs w:val="21"/>
          <w:lang w:val="en-US" w:eastAsia="zh-CN" w:bidi="ar-SA"/>
        </w:rPr>
        <w:t>八、供应商认为有必要提供的声明及文件资料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6"/>
        <w:jc w:val="center"/>
        <w:rPr>
          <w:rFonts w:hint="eastAsia" w:ascii="黑体" w:eastAsia="黑体"/>
          <w:sz w:val="44"/>
        </w:rPr>
      </w:pPr>
      <w:r>
        <w:rPr>
          <w:sz w:val="24"/>
        </w:rPr>
        <w:br w:type="page"/>
      </w:r>
      <w:bookmarkStart w:id="209" w:name="_Toc534725612"/>
      <w:bookmarkStart w:id="210" w:name="_Toc534816641"/>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1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042"/>
        <w:gridCol w:w="1916"/>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042"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77" w:type="dxa"/>
            <w:gridSpan w:val="2"/>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5"/>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042" w:type="dxa"/>
            <w:noWrap w:val="0"/>
            <w:vAlign w:val="center"/>
          </w:tcPr>
          <w:p>
            <w:pPr>
              <w:rPr>
                <w:rFonts w:ascii="宋体" w:hAnsi="宋体"/>
                <w:b/>
                <w:color w:val="auto"/>
                <w:highlight w:val="none"/>
              </w:rPr>
            </w:pPr>
          </w:p>
        </w:tc>
        <w:tc>
          <w:tcPr>
            <w:tcW w:w="1977" w:type="dxa"/>
            <w:gridSpan w:val="2"/>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hint="eastAsia" w:ascii="宋体" w:hAnsi="宋体" w:eastAsia="宋体"/>
                <w:iCs/>
                <w:color w:val="auto"/>
                <w:sz w:val="24"/>
                <w:szCs w:val="24"/>
                <w:highlight w:val="none"/>
                <w:lang w:eastAsia="zh-CN"/>
              </w:rPr>
            </w:pPr>
            <w:r>
              <w:rPr>
                <w:rFonts w:hint="eastAsia" w:ascii="宋体" w:hAnsi="宋体"/>
                <w:iCs/>
                <w:color w:val="auto"/>
                <w:sz w:val="24"/>
                <w:szCs w:val="24"/>
                <w:highlight w:val="none"/>
                <w:lang w:val="en-US" w:eastAsia="zh-CN"/>
              </w:rPr>
              <w:t>上一</w:t>
            </w:r>
            <w:r>
              <w:rPr>
                <w:rFonts w:hint="eastAsia" w:ascii="宋体" w:hAnsi="宋体"/>
                <w:iCs/>
                <w:color w:val="auto"/>
                <w:sz w:val="24"/>
                <w:szCs w:val="24"/>
                <w:highlight w:val="none"/>
              </w:rPr>
              <w:t>个年度的财务状况报告（成立不满一年不需提供）</w:t>
            </w:r>
            <w:r>
              <w:rPr>
                <w:rFonts w:hint="eastAsia" w:ascii="宋体" w:hAnsi="宋体"/>
                <w:iCs/>
                <w:color w:val="auto"/>
                <w:sz w:val="24"/>
                <w:szCs w:val="24"/>
                <w:highlight w:val="none"/>
                <w:lang w:eastAsia="zh-CN"/>
              </w:rPr>
              <w:t>（</w:t>
            </w:r>
            <w:r>
              <w:rPr>
                <w:rFonts w:hint="eastAsia" w:ascii="宋体" w:hAnsi="宋体"/>
                <w:iCs/>
                <w:color w:val="auto"/>
                <w:sz w:val="24"/>
                <w:szCs w:val="24"/>
                <w:highlight w:val="none"/>
                <w:lang w:val="en-US" w:eastAsia="zh-CN"/>
              </w:rPr>
              <w:t>2023年至今</w:t>
            </w:r>
            <w:r>
              <w:rPr>
                <w:rFonts w:hint="eastAsia" w:ascii="宋体" w:hAnsi="宋体"/>
                <w:iCs/>
                <w:color w:val="auto"/>
                <w:sz w:val="24"/>
                <w:szCs w:val="24"/>
                <w:highlight w:val="none"/>
                <w:lang w:eastAsia="zh-CN"/>
              </w:rPr>
              <w:t>）</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hint="eastAsia" w:ascii="宋体" w:hAnsi="宋体" w:eastAsia="宋体" w:cs="Times New Roman"/>
                <w:iCs/>
                <w:color w:val="auto"/>
                <w:sz w:val="24"/>
                <w:szCs w:val="24"/>
                <w:highlight w:val="none"/>
              </w:rPr>
            </w:pPr>
            <w:r>
              <w:rPr>
                <w:rFonts w:hint="eastAsia" w:ascii="宋体" w:hAnsi="宋体" w:eastAsia="宋体" w:cs="Times New Roman"/>
                <w:iCs/>
                <w:color w:val="auto"/>
                <w:sz w:val="24"/>
                <w:szCs w:val="24"/>
                <w:highlight w:val="none"/>
              </w:rPr>
              <w:t>有依法缴纳税收和社会保障资金的良好记录，提供参加本次政府采购活动近六个月（至少一个月）依法缴纳税收和社会保障资金的相关材料（根据国家相关政策免缴或迟缴的需提供相关证明材料）；</w:t>
            </w:r>
          </w:p>
          <w:p>
            <w:pPr>
              <w:spacing w:line="0" w:lineRule="atLeast"/>
              <w:rPr>
                <w:rFonts w:ascii="宋体" w:hAnsi="宋体"/>
                <w:iCs/>
                <w:color w:val="auto"/>
                <w:sz w:val="24"/>
                <w:szCs w:val="24"/>
                <w:highlight w:val="none"/>
              </w:rPr>
            </w:pP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1" w:type="dxa"/>
          <w:trHeight w:val="90" w:hRule="atLeast"/>
        </w:trPr>
        <w:tc>
          <w:tcPr>
            <w:tcW w:w="646" w:type="dxa"/>
            <w:noWrap w:val="0"/>
            <w:vAlign w:val="center"/>
          </w:tcPr>
          <w:p>
            <w:pP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7</w:t>
            </w:r>
          </w:p>
        </w:tc>
        <w:tc>
          <w:tcPr>
            <w:tcW w:w="54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color w:val="auto"/>
                <w:highlight w:val="none"/>
              </w:rPr>
            </w:pPr>
            <w:r>
              <w:rPr>
                <w:rFonts w:hint="eastAsia" w:ascii="宋体" w:hAnsi="宋体" w:eastAsia="宋体" w:cs="Times New Roman"/>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p>
        </w:tc>
        <w:tc>
          <w:tcPr>
            <w:tcW w:w="1042" w:type="dxa"/>
            <w:noWrap w:val="0"/>
            <w:vAlign w:val="center"/>
          </w:tcPr>
          <w:p>
            <w:pPr>
              <w:rPr>
                <w:rFonts w:hint="eastAsia" w:ascii="宋体" w:hAnsi="宋体"/>
                <w:b/>
                <w:color w:val="auto"/>
                <w:highlight w:val="none"/>
              </w:rPr>
            </w:pPr>
          </w:p>
        </w:tc>
        <w:tc>
          <w:tcPr>
            <w:tcW w:w="1916" w:type="dxa"/>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93" w:type="dxa"/>
            <w:gridSpan w:val="2"/>
            <w:noWrap w:val="0"/>
            <w:vAlign w:val="center"/>
          </w:tcPr>
          <w:p>
            <w:pPr>
              <w:rPr>
                <w:rFonts w:ascii="宋体" w:hAnsi="宋体"/>
                <w:color w:val="auto"/>
                <w:highlight w:val="none"/>
              </w:rPr>
            </w:pPr>
            <w:r>
              <w:rPr>
                <w:rFonts w:hint="eastAsia" w:ascii="宋体" w:hAnsi="宋体"/>
                <w:b/>
                <w:color w:val="auto"/>
                <w:highlight w:val="none"/>
              </w:rPr>
              <w:t>特定资格条件</w:t>
            </w:r>
          </w:p>
        </w:tc>
        <w:tc>
          <w:tcPr>
            <w:tcW w:w="1042" w:type="dxa"/>
            <w:noWrap w:val="0"/>
            <w:vAlign w:val="center"/>
          </w:tcPr>
          <w:p>
            <w:pPr>
              <w:rPr>
                <w:rFonts w:hint="eastAsia" w:ascii="宋体" w:hAnsi="宋体"/>
                <w:b/>
                <w:color w:val="auto"/>
                <w:highlight w:val="none"/>
              </w:rPr>
            </w:pPr>
          </w:p>
        </w:tc>
        <w:tc>
          <w:tcPr>
            <w:tcW w:w="1977" w:type="dxa"/>
            <w:gridSpan w:val="2"/>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r>
              <w:rPr>
                <w:rFonts w:ascii="宋体" w:hAnsi="宋体"/>
                <w:iCs/>
                <w:color w:val="auto"/>
                <w:sz w:val="24"/>
                <w:szCs w:val="24"/>
                <w:highlight w:val="none"/>
              </w:rPr>
              <w:t>……</w:t>
            </w:r>
          </w:p>
        </w:tc>
        <w:tc>
          <w:tcPr>
            <w:tcW w:w="3019" w:type="dxa"/>
            <w:gridSpan w:val="3"/>
            <w:noWrap w:val="0"/>
            <w:vAlign w:val="center"/>
          </w:tcPr>
          <w:p>
            <w:pPr>
              <w:rPr>
                <w:rFonts w:hint="eastAsia" w:ascii="宋体" w:hAnsi="宋体" w:eastAsia="宋体"/>
                <w:color w:val="auto"/>
                <w:highlight w:val="none"/>
                <w:lang w:val="en-US" w:eastAsia="zh-CN"/>
              </w:rPr>
            </w:pPr>
            <w:r>
              <w:rPr>
                <w:rFonts w:hint="eastAsia" w:ascii="宋体" w:hAnsi="宋体"/>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480" w:firstLineChars="200"/>
              <w:jc w:val="left"/>
              <w:textAlignment w:val="auto"/>
              <w:rPr>
                <w:rFonts w:hint="eastAsia" w:ascii="宋体" w:hAnsi="宋体"/>
                <w:color w:val="auto"/>
                <w:sz w:val="24"/>
                <w:szCs w:val="24"/>
                <w:highlight w:val="none"/>
                <w:lang w:val="en-US" w:eastAsia="zh-CN"/>
              </w:rPr>
            </w:pP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宋体" w:hAnsi="宋体"/>
                <w:iCs/>
                <w:color w:val="auto"/>
                <w:sz w:val="24"/>
                <w:szCs w:val="24"/>
                <w:highlight w:val="none"/>
              </w:rPr>
            </w:pPr>
          </w:p>
        </w:tc>
        <w:tc>
          <w:tcPr>
            <w:tcW w:w="3019" w:type="dxa"/>
            <w:gridSpan w:val="3"/>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p>
        </w:tc>
        <w:tc>
          <w:tcPr>
            <w:tcW w:w="5447" w:type="dxa"/>
            <w:noWrap w:val="0"/>
            <w:vAlign w:val="center"/>
          </w:tcPr>
          <w:p>
            <w:pPr>
              <w:snapToGrid w:val="0"/>
              <w:spacing w:line="0" w:lineRule="atLeast"/>
              <w:jc w:val="left"/>
              <w:rPr>
                <w:rFonts w:ascii="宋体" w:hAnsi="宋体"/>
                <w:color w:val="auto"/>
                <w:sz w:val="24"/>
                <w:szCs w:val="24"/>
                <w:highlight w:val="none"/>
              </w:rPr>
            </w:pPr>
          </w:p>
        </w:tc>
        <w:tc>
          <w:tcPr>
            <w:tcW w:w="3019" w:type="dxa"/>
            <w:gridSpan w:val="3"/>
            <w:noWrap w:val="0"/>
            <w:vAlign w:val="center"/>
          </w:tcPr>
          <w:p>
            <w:pPr>
              <w:rPr>
                <w:rFonts w:ascii="宋体" w:hAnsi="宋体"/>
                <w:color w:val="auto"/>
                <w:highlight w:val="none"/>
              </w:rPr>
            </w:pPr>
          </w:p>
        </w:tc>
      </w:tr>
    </w:tbl>
    <w:p>
      <w:pPr>
        <w:pStyle w:val="16"/>
        <w:sectPr>
          <w:footerReference r:id="rId8" w:type="first"/>
          <w:headerReference r:id="rId6" w:type="default"/>
          <w:footerReference r:id="rId7" w:type="defaul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所投货物的品牌、规格、型号、数量、单价、产地</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8"/>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1" w:name="_Toc534725614"/>
      <w:bookmarkStart w:id="212" w:name="_Toc534816643"/>
      <w:bookmarkStart w:id="213" w:name="_Toc120614284"/>
    </w:p>
    <w:p>
      <w:pPr>
        <w:pStyle w:val="8"/>
        <w:ind w:firstLine="0"/>
        <w:jc w:val="center"/>
        <w:rPr>
          <w:rFonts w:hint="eastAsia" w:ascii="黑体" w:hAnsi="宋体" w:eastAsia="黑体"/>
          <w:b/>
          <w:bCs/>
          <w:sz w:val="30"/>
          <w:szCs w:val="30"/>
          <w:lang w:eastAsia="zh-CN"/>
        </w:rPr>
      </w:pPr>
    </w:p>
    <w:bookmarkEnd w:id="211"/>
    <w:bookmarkEnd w:id="212"/>
    <w:p>
      <w:pPr>
        <w:pStyle w:val="6"/>
        <w:ind w:firstLine="1928" w:firstLineChars="600"/>
        <w:jc w:val="both"/>
      </w:pPr>
      <w:r>
        <w:rPr>
          <w:rFonts w:hint="eastAsia"/>
          <w:lang w:val="en-US" w:eastAsia="zh-CN"/>
        </w:rPr>
        <w:t>四</w:t>
      </w:r>
      <w:r>
        <w:rPr>
          <w:rFonts w:hint="eastAsia"/>
        </w:rPr>
        <w:t>、投标产品配置及分项报价表</w:t>
      </w:r>
    </w:p>
    <w:tbl>
      <w:tblPr>
        <w:tblStyle w:val="18"/>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6"/>
        <w:jc w:val="center"/>
        <w:rPr>
          <w:rFonts w:hint="eastAsia"/>
        </w:rPr>
      </w:pPr>
      <w:bookmarkStart w:id="214" w:name="_Toc534816648"/>
      <w:bookmarkStart w:id="215" w:name="_Toc534725619"/>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3"/>
    <w:p>
      <w:pPr>
        <w:pStyle w:val="6"/>
        <w:jc w:val="center"/>
        <w:rPr>
          <w:rFonts w:hint="eastAsia"/>
        </w:rPr>
      </w:pPr>
      <w:bookmarkStart w:id="216" w:name="_Hlt26955054"/>
      <w:bookmarkEnd w:id="216"/>
      <w:bookmarkStart w:id="217" w:name="_Toc534816649"/>
      <w:bookmarkStart w:id="218" w:name="_Toc534725620"/>
      <w:r>
        <w:rPr>
          <w:rFonts w:hint="eastAsia"/>
          <w:lang w:val="en-US" w:eastAsia="zh-CN"/>
        </w:rPr>
        <w:t>六</w:t>
      </w:r>
      <w:r>
        <w:rPr>
          <w:rFonts w:hint="eastAsia"/>
        </w:rPr>
        <w:t>、商务条款响应及偏离表</w:t>
      </w:r>
      <w:bookmarkEnd w:id="217"/>
      <w:bookmarkEnd w:id="218"/>
    </w:p>
    <w:tbl>
      <w:tblPr>
        <w:tblStyle w:val="18"/>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9" w:name="_Hlt26580838"/>
      <w:bookmarkEnd w:id="219"/>
      <w:bookmarkStart w:id="220" w:name="_Hlt26609391"/>
      <w:bookmarkEnd w:id="220"/>
      <w:bookmarkStart w:id="221" w:name="_Hlt26671372"/>
      <w:bookmarkEnd w:id="221"/>
      <w:bookmarkStart w:id="222" w:name="_Hlt26782999"/>
      <w:bookmarkEnd w:id="222"/>
      <w:bookmarkStart w:id="223" w:name="_Hlt26955064"/>
      <w:bookmarkEnd w:id="223"/>
      <w:bookmarkStart w:id="224" w:name="_Hlt26671343"/>
      <w:bookmarkEnd w:id="224"/>
      <w:bookmarkStart w:id="225" w:name="_Hlt24879081"/>
      <w:bookmarkEnd w:id="225"/>
      <w:bookmarkStart w:id="226" w:name="_Hlt26955056"/>
      <w:bookmarkEnd w:id="226"/>
    </w:p>
    <w:p>
      <w:pPr>
        <w:bidi w:val="0"/>
        <w:rPr>
          <w:rFonts w:hint="eastAsia"/>
        </w:rPr>
      </w:pPr>
      <w:bookmarkStart w:id="227" w:name="_Toc462564146"/>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pStyle w:val="8"/>
        <w:ind w:firstLine="0"/>
        <w:rPr>
          <w:rFonts w:ascii="宋体" w:hAnsi="宋体"/>
          <w:sz w:val="24"/>
        </w:rPr>
        <w:sectPr>
          <w:pgSz w:w="11906" w:h="16838"/>
          <w:pgMar w:top="1418" w:right="1588" w:bottom="1418" w:left="1365" w:header="851" w:footer="907" w:gutter="0"/>
          <w:cols w:space="720" w:num="1"/>
          <w:titlePg/>
          <w:docGrid w:type="lines" w:linePitch="290" w:charSpace="0"/>
        </w:sectPr>
      </w:pPr>
    </w:p>
    <w:bookmarkEnd w:id="227"/>
    <w:p>
      <w:pPr>
        <w:pStyle w:val="6"/>
        <w:jc w:val="center"/>
        <w:rPr>
          <w:rFonts w:hint="eastAsia" w:eastAsia="仿宋_GB2312"/>
          <w:sz w:val="24"/>
          <w:szCs w:val="20"/>
        </w:rPr>
      </w:pPr>
      <w:bookmarkStart w:id="228" w:name="_格式2__法定代表人授权书"/>
      <w:bookmarkEnd w:id="228"/>
      <w:bookmarkStart w:id="229" w:name="_Toc120614283"/>
      <w:bookmarkStart w:id="230" w:name="_Toc460901585"/>
      <w:bookmarkStart w:id="231" w:name="_Toc26554095"/>
      <w:bookmarkStart w:id="232" w:name="_Toc22356580"/>
      <w:bookmarkStart w:id="233" w:name="_Toc513029276"/>
      <w:bookmarkStart w:id="234" w:name="_Toc49090577"/>
      <w:bookmarkStart w:id="235" w:name="_Toc23828478"/>
      <w:bookmarkStart w:id="236" w:name="_Toc534725621"/>
      <w:bookmarkStart w:id="237" w:name="_Toc534816650"/>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18"/>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numPr>
          <w:ilvl w:val="0"/>
          <w:numId w:val="4"/>
        </w:numPr>
        <w:ind w:firstLine="480" w:firstLineChars="200"/>
        <w:rPr>
          <w:rFonts w:hint="eastAsia"/>
          <w:b/>
          <w:bCs/>
          <w:kern w:val="2"/>
          <w:sz w:val="32"/>
          <w:szCs w:val="32"/>
          <w:lang w:val="en-US" w:eastAsia="zh-CN" w:bidi="ar-SA"/>
        </w:rPr>
      </w:pPr>
      <w:r>
        <w:rPr>
          <w:rFonts w:ascii="宋体" w:hAnsi="宋体"/>
          <w:sz w:val="24"/>
          <w:szCs w:val="24"/>
        </w:rPr>
        <w:br w:type="page"/>
      </w:r>
      <w:bookmarkStart w:id="238" w:name="_Toc534725623"/>
      <w:bookmarkStart w:id="239" w:name="_Toc534816652"/>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6"/>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8"/>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8"/>
        <w:ind w:firstLine="0"/>
        <w:jc w:val="center"/>
        <w:rPr>
          <w:rFonts w:hint="eastAsia" w:ascii="黑体" w:hAnsi="宋体" w:eastAsia="黑体"/>
          <w:b/>
          <w:bCs/>
          <w:sz w:val="30"/>
          <w:szCs w:val="30"/>
        </w:rPr>
      </w:pPr>
    </w:p>
    <w:p>
      <w:pPr>
        <w:pStyle w:val="8"/>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8"/>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2"/>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816644"/>
      <w:bookmarkStart w:id="241" w:name="_Toc534725615"/>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2"/>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725616"/>
      <w:bookmarkStart w:id="243" w:name="_Toc534816645"/>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28"/>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8"/>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8"/>
        <w:spacing w:before="145" w:beforeLines="50" w:after="145" w:afterLines="50" w:line="300" w:lineRule="auto"/>
        <w:ind w:firstLine="480"/>
        <w:rPr>
          <w:rFonts w:hint="eastAsia"/>
          <w:sz w:val="24"/>
          <w:szCs w:val="24"/>
          <w:u w:val="single"/>
        </w:rPr>
      </w:pPr>
      <w:r>
        <w:rPr>
          <w:rFonts w:hint="eastAsia"/>
          <w:sz w:val="24"/>
          <w:szCs w:val="24"/>
        </w:rPr>
        <w:t>日期：</w:t>
      </w:r>
      <w:bookmarkStart w:id="244" w:name="_Hlt26671380"/>
      <w:bookmarkEnd w:id="244"/>
      <w:bookmarkStart w:id="245" w:name="_格式3__银行出具的资信证明"/>
      <w:bookmarkEnd w:id="245"/>
      <w:bookmarkStart w:id="246" w:name="_Hlt26955070"/>
      <w:bookmarkEnd w:id="246"/>
      <w:r>
        <w:rPr>
          <w:rFonts w:hint="eastAsia"/>
          <w:sz w:val="24"/>
          <w:szCs w:val="24"/>
        </w:rPr>
        <w:t>________________________________________</w:t>
      </w:r>
      <w:r>
        <w:rPr>
          <w:rFonts w:hint="eastAsia"/>
          <w:sz w:val="24"/>
          <w:szCs w:val="24"/>
          <w:u w:val="single"/>
        </w:rPr>
        <w:t xml:space="preserve">                                         </w:t>
      </w:r>
    </w:p>
    <w:p>
      <w:pPr>
        <w:pStyle w:val="28"/>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w:t>
      </w:r>
    </w:p>
    <w:tbl>
      <w:tblPr>
        <w:tblStyle w:val="19"/>
        <w:tblpPr w:leftFromText="180" w:rightFromText="180" w:vertAnchor="text" w:horzAnchor="page" w:tblpX="1487" w:tblpY="460"/>
        <w:tblOverlap w:val="never"/>
        <w:tblW w:w="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3900"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法人代表身份证正面</w:t>
            </w:r>
            <w:r>
              <w:rPr>
                <w:rFonts w:hint="eastAsia"/>
                <w:color w:val="FF0000"/>
                <w:sz w:val="24"/>
                <w:szCs w:val="24"/>
                <w:u w:val="single"/>
                <w:vertAlign w:val="baseline"/>
                <w:lang w:val="en-US" w:eastAsia="zh-CN"/>
              </w:rPr>
              <w:t>（国徽面）</w:t>
            </w:r>
          </w:p>
        </w:tc>
      </w:tr>
    </w:tbl>
    <w:tbl>
      <w:tblPr>
        <w:tblStyle w:val="19"/>
        <w:tblpPr w:leftFromText="180" w:rightFromText="180" w:vertAnchor="text" w:horzAnchor="page" w:tblpX="5959" w:tblpY="535"/>
        <w:tblOverlap w:val="never"/>
        <w:tblW w:w="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4048"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法人代表身份证反面</w:t>
            </w:r>
            <w:r>
              <w:rPr>
                <w:rFonts w:hint="eastAsia"/>
                <w:color w:val="FF0000"/>
                <w:sz w:val="24"/>
                <w:szCs w:val="24"/>
                <w:u w:val="single"/>
                <w:vertAlign w:val="baseline"/>
                <w:lang w:val="en-US" w:eastAsia="zh-CN"/>
              </w:rPr>
              <w:t>（人像面）</w:t>
            </w:r>
          </w:p>
        </w:tc>
      </w:tr>
    </w:tbl>
    <w:tbl>
      <w:tblPr>
        <w:tblStyle w:val="19"/>
        <w:tblpPr w:leftFromText="180" w:rightFromText="180" w:vertAnchor="text" w:horzAnchor="page" w:tblpX="5937" w:tblpY="3750"/>
        <w:tblOverlap w:val="never"/>
        <w:tblW w:w="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4047"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身份证反面</w:t>
            </w:r>
            <w:r>
              <w:rPr>
                <w:rFonts w:hint="eastAsia"/>
                <w:color w:val="FF0000"/>
                <w:sz w:val="24"/>
                <w:szCs w:val="24"/>
                <w:u w:val="single"/>
                <w:vertAlign w:val="baseline"/>
                <w:lang w:val="en-US" w:eastAsia="zh-CN"/>
              </w:rPr>
              <w:t>（人像面）</w:t>
            </w:r>
          </w:p>
        </w:tc>
      </w:tr>
    </w:tbl>
    <w:p>
      <w:pPr>
        <w:pStyle w:val="28"/>
        <w:spacing w:before="145" w:beforeLines="50" w:after="145" w:afterLines="50" w:line="300" w:lineRule="auto"/>
        <w:ind w:left="0" w:leftChars="0" w:firstLine="0" w:firstLineChars="0"/>
        <w:rPr>
          <w:rFonts w:hint="default"/>
          <w:lang w:val="en-US" w:eastAsia="zh-CN"/>
        </w:rPr>
      </w:pPr>
      <w:r>
        <w:rPr>
          <w:rFonts w:hint="eastAsia"/>
          <w:sz w:val="24"/>
          <w:szCs w:val="24"/>
          <w:u w:val="single"/>
          <w:lang w:val="en-US" w:eastAsia="zh-CN"/>
        </w:rPr>
        <w:t>被授权人身份证复印件</w:t>
      </w:r>
    </w:p>
    <w:tbl>
      <w:tblPr>
        <w:tblStyle w:val="19"/>
        <w:tblpPr w:leftFromText="180" w:rightFromText="180" w:vertAnchor="text" w:horzAnchor="page" w:tblpX="1315" w:tblpY="460"/>
        <w:tblOverlap w:val="never"/>
        <w:tblW w:w="4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4072"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身份证正面</w:t>
            </w:r>
            <w:r>
              <w:rPr>
                <w:rFonts w:hint="eastAsia"/>
                <w:color w:val="FF0000"/>
                <w:sz w:val="24"/>
                <w:szCs w:val="24"/>
                <w:u w:val="single"/>
                <w:vertAlign w:val="baseline"/>
                <w:lang w:val="en-US" w:eastAsia="zh-CN"/>
              </w:rPr>
              <w:t>（国徽面）</w:t>
            </w:r>
          </w:p>
        </w:tc>
      </w:tr>
    </w:tbl>
    <w:p>
      <w:pPr>
        <w:pStyle w:val="28"/>
        <w:spacing w:before="145" w:beforeLines="50" w:after="145" w:afterLines="50" w:line="300" w:lineRule="auto"/>
        <w:ind w:firstLine="480"/>
        <w:rPr>
          <w:rFonts w:hint="eastAsia"/>
          <w:sz w:val="24"/>
          <w:szCs w:val="24"/>
          <w:u w:val="single"/>
        </w:rPr>
      </w:pPr>
    </w:p>
    <w:p>
      <w:pPr>
        <w:pStyle w:val="5"/>
        <w:spacing w:before="145" w:beforeLines="50" w:after="145" w:afterLines="50" w:line="300" w:lineRule="auto"/>
        <w:jc w:val="left"/>
        <w:rPr>
          <w:rFonts w:hint="eastAsia" w:ascii="宋体" w:hAnsi="宋体" w:eastAsia="宋体" w:cs="Times New Roman"/>
          <w:bCs w:val="0"/>
          <w:sz w:val="32"/>
          <w:szCs w:val="32"/>
        </w:rPr>
      </w:pPr>
      <w:bookmarkStart w:id="247" w:name="_Toc534725617"/>
      <w:bookmarkStart w:id="248" w:name="_Toc534816646"/>
      <w:r>
        <w:rPr>
          <w:rFonts w:hint="eastAsia" w:ascii="宋体" w:hAnsi="宋体" w:eastAsia="宋体" w:cs="宋体"/>
          <w:b w:val="0"/>
          <w:bCs w:val="0"/>
          <w:sz w:val="30"/>
          <w:szCs w:val="30"/>
          <w:lang w:val="en-US" w:eastAsia="zh-CN"/>
        </w:rPr>
        <w:t>格式四</w:t>
      </w:r>
    </w:p>
    <w:p>
      <w:pPr>
        <w:pStyle w:val="5"/>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2"/>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2"/>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9"/>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9"/>
        <w:widowControl w:val="0"/>
        <w:numPr>
          <w:ilvl w:val="0"/>
          <w:numId w:val="0"/>
        </w:numPr>
        <w:jc w:val="both"/>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pStyle w:val="9"/>
        <w:rPr>
          <w:rFonts w:hint="eastAsia" w:ascii="宋体" w:hAnsi="宋体"/>
          <w:bCs/>
          <w:sz w:val="24"/>
        </w:rPr>
      </w:pPr>
    </w:p>
    <w:p>
      <w:pPr>
        <w:rPr>
          <w:rFonts w:hint="eastAsia" w:ascii="宋体" w:hAnsi="宋体"/>
          <w:bCs/>
          <w:sz w:val="24"/>
        </w:rPr>
      </w:pPr>
    </w:p>
    <w:p>
      <w:pPr>
        <w:pStyle w:val="9"/>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8"/>
    <w:bookmarkEnd w:id="239"/>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8"/>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须符合</w:t>
            </w:r>
            <w:r>
              <w:rPr>
                <w:rFonts w:ascii="Arial" w:hAnsi="Arial" w:eastAsia="宋体" w:cs="Arial"/>
                <w:i w:val="0"/>
                <w:iCs w:val="0"/>
                <w:caps w:val="0"/>
                <w:color w:val="333333"/>
                <w:spacing w:val="0"/>
                <w:sz w:val="21"/>
                <w:szCs w:val="21"/>
                <w:shd w:val="clear" w:color="auto"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要求。否则昌吉州政务服务和公共资源交易中心不予受理。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9"/>
        <w:ind w:left="0" w:leftChars="0" w:firstLine="0" w:firstLineChars="0"/>
        <w:rPr>
          <w:rFonts w:hint="default"/>
          <w:lang w:val="en-US" w:eastAsia="zh-CN"/>
        </w:rPr>
      </w:pPr>
      <w:r>
        <w:rPr>
          <w:rFonts w:hint="eastAsia"/>
        </w:rPr>
        <w:br w:type="page"/>
      </w:r>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E2E4CC88"/>
    <w:multiLevelType w:val="singleLevel"/>
    <w:tmpl w:val="E2E4CC88"/>
    <w:lvl w:ilvl="0" w:tentative="0">
      <w:start w:val="1"/>
      <w:numFmt w:val="decimal"/>
      <w:suff w:val="nothing"/>
      <w:lvlText w:val="%1、"/>
      <w:lvlJc w:val="left"/>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2FE97DAC"/>
    <w:multiLevelType w:val="singleLevel"/>
    <w:tmpl w:val="2FE97DAC"/>
    <w:lvl w:ilvl="0" w:tentative="0">
      <w:start w:val="2"/>
      <w:numFmt w:val="chineseCounting"/>
      <w:suff w:val="nothing"/>
      <w:lvlText w:val="（%1）"/>
      <w:lvlJc w:val="left"/>
      <w:rPr>
        <w:rFonts w:hint="eastAsia"/>
      </w:rPr>
    </w:lvl>
  </w:abstractNum>
  <w:abstractNum w:abstractNumId="4">
    <w:nsid w:val="56DA70F1"/>
    <w:multiLevelType w:val="singleLevel"/>
    <w:tmpl w:val="56DA70F1"/>
    <w:lvl w:ilvl="0" w:tentative="0">
      <w:start w:val="2"/>
      <w:numFmt w:val="decimal"/>
      <w:suff w:val="space"/>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C214C"/>
    <w:rsid w:val="02B07FA4"/>
    <w:rsid w:val="02E41105"/>
    <w:rsid w:val="0569042F"/>
    <w:rsid w:val="104A218C"/>
    <w:rsid w:val="10AC214C"/>
    <w:rsid w:val="14D55BCF"/>
    <w:rsid w:val="19A80B8E"/>
    <w:rsid w:val="1AD33B59"/>
    <w:rsid w:val="1C4552BE"/>
    <w:rsid w:val="1EF1772F"/>
    <w:rsid w:val="2DA20A48"/>
    <w:rsid w:val="414941BB"/>
    <w:rsid w:val="46701FD0"/>
    <w:rsid w:val="484B3426"/>
    <w:rsid w:val="4B7B49AD"/>
    <w:rsid w:val="4D6931B4"/>
    <w:rsid w:val="4EC85C44"/>
    <w:rsid w:val="517A545B"/>
    <w:rsid w:val="51A7477D"/>
    <w:rsid w:val="5C986384"/>
    <w:rsid w:val="5F557CE4"/>
    <w:rsid w:val="5F590EA8"/>
    <w:rsid w:val="7AC4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9">
    <w:name w:val="index 6"/>
    <w:basedOn w:val="1"/>
    <w:next w:val="1"/>
    <w:qFormat/>
    <w:uiPriority w:val="99"/>
    <w:pPr>
      <w:ind w:left="2100"/>
    </w:pPr>
  </w:style>
  <w:style w:type="paragraph" w:styleId="10">
    <w:name w:val="Body Text Indent"/>
    <w:basedOn w:val="1"/>
    <w:next w:val="11"/>
    <w:qFormat/>
    <w:uiPriority w:val="0"/>
    <w:pPr>
      <w:ind w:left="2242" w:hanging="2242"/>
    </w:pPr>
    <w:rPr>
      <w:rFonts w:ascii="华文行楷" w:eastAsia="华文行楷"/>
      <w:b/>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39"/>
    <w:pPr>
      <w:ind w:left="210"/>
      <w:jc w:val="left"/>
    </w:pPr>
    <w:rPr>
      <w:smallCaps/>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2"/>
    <w:next w:val="17"/>
    <w:qFormat/>
    <w:uiPriority w:val="0"/>
    <w:pPr>
      <w:spacing w:line="360" w:lineRule="auto"/>
      <w:ind w:firstLine="200" w:firstLineChars="200"/>
    </w:pPr>
    <w:rPr>
      <w:rFonts w:ascii="仿宋_GB2312" w:eastAsia="仿宋_GB2312"/>
      <w:sz w:val="30"/>
      <w:szCs w:val="30"/>
    </w:rPr>
  </w:style>
  <w:style w:type="paragraph" w:styleId="17">
    <w:name w:val="Body Text First Indent 2"/>
    <w:basedOn w:val="10"/>
    <w:next w:val="1"/>
    <w:qFormat/>
    <w:uiPriority w:val="0"/>
    <w:pPr>
      <w:ind w:left="200" w:leftChars="200"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Hyperlink"/>
    <w:qFormat/>
    <w:uiPriority w:val="99"/>
    <w:rPr>
      <w:color w:val="0000FF"/>
      <w:u w:val="single"/>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
    <w:name w:val="_Style 11"/>
    <w:basedOn w:val="4"/>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列出段落1"/>
    <w:basedOn w:val="1"/>
    <w:qFormat/>
    <w:uiPriority w:val="0"/>
    <w:pPr>
      <w:widowControl/>
      <w:ind w:left="720"/>
      <w:contextualSpacing/>
      <w:jc w:val="left"/>
    </w:pPr>
    <w:rPr>
      <w:kern w:val="0"/>
      <w:sz w:val="24"/>
      <w:szCs w:val="24"/>
      <w:lang w:eastAsia="en-US" w:bidi="en-US"/>
    </w:rPr>
  </w:style>
  <w:style w:type="paragraph" w:customStyle="1" w:styleId="28">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2025-01-02T06:19:00Z</dcterms:created>
  <dc:creator>朱永卫</dc:creator>
  <cp:lastModifiedBy>朱永卫</cp:lastModifiedBy>
  <dcterms:modified xsi:type="dcterms:W3CDTF">2025-01-07T08:15:57Z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