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1687" w:firstLineChars="200"/>
        <w:jc w:val="both"/>
        <w:rPr>
          <w:rFonts w:hint="eastAsia" w:eastAsia="黑体"/>
          <w:b/>
          <w:bCs/>
          <w:sz w:val="84"/>
        </w:rPr>
      </w:pPr>
    </w:p>
    <w:p>
      <w:pPr>
        <w:pStyle w:val="21"/>
        <w:ind w:firstLine="1687" w:firstLineChars="200"/>
        <w:jc w:val="both"/>
        <w:rPr>
          <w:rFonts w:hint="eastAsia" w:eastAsia="黑体"/>
          <w:b/>
          <w:bCs/>
          <w:sz w:val="84"/>
        </w:rPr>
      </w:pPr>
    </w:p>
    <w:p>
      <w:pPr>
        <w:pStyle w:val="21"/>
        <w:ind w:firstLine="1687" w:firstLineChars="200"/>
        <w:jc w:val="both"/>
        <w:rPr>
          <w:rFonts w:hint="eastAsia" w:eastAsia="黑体"/>
          <w:b/>
          <w:bCs/>
          <w:sz w:val="84"/>
        </w:rPr>
      </w:pPr>
      <w:r>
        <w:rPr>
          <w:rFonts w:hint="eastAsia" w:eastAsia="黑体"/>
          <w:b/>
          <w:bCs/>
          <w:sz w:val="84"/>
        </w:rPr>
        <w:t>招　标　文　件</w:t>
      </w:r>
    </w:p>
    <w:p>
      <w:pPr>
        <w:pStyle w:val="21"/>
        <w:ind w:firstLine="0"/>
        <w:rPr>
          <w:b/>
          <w:bCs/>
          <w:sz w:val="32"/>
        </w:rPr>
      </w:pPr>
    </w:p>
    <w:p>
      <w:pPr>
        <w:pStyle w:val="21"/>
        <w:ind w:left="2568" w:leftChars="458" w:hanging="1606" w:hangingChars="500"/>
        <w:jc w:val="both"/>
        <w:rPr>
          <w:rFonts w:hint="eastAsia" w:ascii="Arial" w:hAnsi="Arial" w:eastAsia="宋体" w:cs="Times New Roman"/>
          <w:b/>
          <w:bCs/>
          <w:sz w:val="32"/>
          <w:lang w:val="en-US" w:eastAsia="zh-CN"/>
        </w:rPr>
      </w:pPr>
      <w:r>
        <w:rPr>
          <w:rFonts w:hint="eastAsia"/>
          <w:b/>
          <w:bCs/>
          <w:sz w:val="32"/>
        </w:rPr>
        <w:t>项</w:t>
      </w:r>
      <w:r>
        <w:rPr>
          <w:rFonts w:hint="eastAsia" w:ascii="Arial" w:hAnsi="Arial" w:eastAsia="宋体" w:cs="Times New Roman"/>
          <w:b/>
          <w:bCs/>
          <w:sz w:val="32"/>
        </w:rPr>
        <w:t>目名称：昌吉州人民医院安保服务</w:t>
      </w:r>
      <w:r>
        <w:rPr>
          <w:rFonts w:hint="eastAsia" w:ascii="Arial" w:hAnsi="Arial" w:eastAsia="宋体" w:cs="Times New Roman"/>
          <w:b/>
          <w:bCs/>
          <w:sz w:val="32"/>
          <w:lang w:val="en-US" w:eastAsia="zh-CN"/>
        </w:rPr>
        <w:t>项目</w:t>
      </w:r>
    </w:p>
    <w:p>
      <w:pPr>
        <w:pStyle w:val="21"/>
        <w:ind w:firstLine="964" w:firstLineChars="300"/>
        <w:jc w:val="both"/>
        <w:rPr>
          <w:rFonts w:hint="default" w:ascii="Arial" w:hAnsi="Arial" w:eastAsia="宋体" w:cs="Times New Roman"/>
          <w:b/>
          <w:bCs/>
          <w:sz w:val="32"/>
          <w:lang w:val="en-US" w:eastAsia="zh-CN"/>
        </w:rPr>
      </w:pPr>
      <w:r>
        <w:rPr>
          <w:rFonts w:hint="eastAsia"/>
          <w:b/>
          <w:bCs/>
          <w:sz w:val="32"/>
        </w:rPr>
        <w:t>项目编号：</w:t>
      </w:r>
      <w:r>
        <w:rPr>
          <w:rFonts w:hint="eastAsia" w:ascii="Arial" w:hAnsi="Arial" w:eastAsia="宋体" w:cs="Times New Roman"/>
          <w:b/>
          <w:bCs/>
          <w:sz w:val="32"/>
          <w:lang w:val="en-US" w:eastAsia="zh-CN"/>
        </w:rPr>
        <w:t>CJZFCG－GK-202</w:t>
      </w:r>
      <w:r>
        <w:rPr>
          <w:rFonts w:hint="eastAsia" w:eastAsia="宋体" w:cs="Times New Roman"/>
          <w:b/>
          <w:bCs/>
          <w:sz w:val="32"/>
          <w:lang w:val="en-US" w:eastAsia="zh-CN"/>
        </w:rPr>
        <w:t>4</w:t>
      </w:r>
      <w:r>
        <w:rPr>
          <w:rFonts w:hint="eastAsia" w:ascii="Arial" w:hAnsi="Arial" w:eastAsia="宋体" w:cs="Times New Roman"/>
          <w:b/>
          <w:bCs/>
          <w:sz w:val="32"/>
          <w:lang w:val="en-US" w:eastAsia="zh-CN"/>
        </w:rPr>
        <w:t>0</w:t>
      </w:r>
      <w:r>
        <w:rPr>
          <w:rFonts w:hint="eastAsia" w:cs="Times New Roman"/>
          <w:b/>
          <w:bCs/>
          <w:sz w:val="32"/>
          <w:lang w:val="en-US" w:eastAsia="zh-CN"/>
        </w:rPr>
        <w:t>47</w:t>
      </w:r>
    </w:p>
    <w:p>
      <w:pPr>
        <w:pStyle w:val="21"/>
        <w:spacing w:before="0" w:after="0"/>
        <w:ind w:firstLine="0"/>
        <w:rPr>
          <w:rFonts w:hint="eastAsia" w:ascii="宋体" w:hAnsi="宋体"/>
        </w:rPr>
      </w:pPr>
      <w:r>
        <w:rPr>
          <w:rFonts w:hint="eastAsia" w:ascii="宋体" w:hAnsi="宋体"/>
        </w:rPr>
        <w:t xml:space="preserve">                     </w:t>
      </w:r>
    </w:p>
    <w:p>
      <w:pPr>
        <w:pStyle w:val="21"/>
        <w:ind w:firstLine="0"/>
        <w:jc w:val="center"/>
        <w:rPr>
          <w:rFonts w:hint="eastAsia"/>
          <w:b/>
          <w:bCs/>
          <w:sz w:val="32"/>
        </w:rPr>
      </w:pPr>
    </w:p>
    <w:p>
      <w:pPr>
        <w:pStyle w:val="21"/>
        <w:tabs>
          <w:tab w:val="left" w:pos="1090"/>
        </w:tabs>
        <w:ind w:firstLine="0"/>
        <w:jc w:val="left"/>
        <w:rPr>
          <w:rFonts w:hint="default" w:eastAsia="宋体"/>
          <w:b/>
          <w:bCs/>
          <w:sz w:val="32"/>
          <w:lang w:val="en-US" w:eastAsia="zh-CN"/>
        </w:rPr>
      </w:pPr>
      <w:r>
        <w:rPr>
          <w:rFonts w:hint="eastAsia"/>
          <w:b/>
          <w:bCs/>
          <w:sz w:val="32"/>
          <w:lang w:eastAsia="zh-CN"/>
        </w:rPr>
        <w:tab/>
      </w:r>
      <w:r>
        <w:rPr>
          <w:rFonts w:hint="eastAsia"/>
          <w:b/>
          <w:bCs/>
          <w:sz w:val="32"/>
          <w:lang w:val="en-US" w:eastAsia="zh-CN"/>
        </w:rPr>
        <w:t xml:space="preserve"> 采购人审核意见：</w:t>
      </w:r>
    </w:p>
    <w:p>
      <w:pPr>
        <w:pStyle w:val="21"/>
        <w:tabs>
          <w:tab w:val="left" w:pos="1131"/>
        </w:tabs>
        <w:ind w:firstLine="0"/>
        <w:jc w:val="left"/>
        <w:rPr>
          <w:rFonts w:hint="eastAsia"/>
          <w:b/>
          <w:bCs/>
          <w:sz w:val="32"/>
          <w:lang w:eastAsia="zh-CN"/>
        </w:rPr>
      </w:pPr>
      <w:r>
        <w:rPr>
          <w:rFonts w:hint="eastAsia"/>
          <w:b/>
          <w:bCs/>
          <w:sz w:val="32"/>
          <w:lang w:eastAsia="zh-CN"/>
        </w:rPr>
        <w:tab/>
      </w:r>
    </w:p>
    <w:p>
      <w:pPr>
        <w:pStyle w:val="21"/>
        <w:tabs>
          <w:tab w:val="left" w:pos="1131"/>
        </w:tabs>
        <w:ind w:left="0" w:leftChars="0" w:firstLine="1285" w:firstLineChars="400"/>
        <w:jc w:val="left"/>
        <w:rPr>
          <w:rFonts w:hint="default" w:eastAsia="宋体"/>
          <w:b/>
          <w:bCs/>
          <w:sz w:val="32"/>
          <w:lang w:val="en-US" w:eastAsia="zh-CN"/>
        </w:rPr>
      </w:pPr>
      <w:r>
        <w:rPr>
          <w:rFonts w:hint="eastAsia"/>
          <w:b/>
          <w:bCs/>
          <w:sz w:val="32"/>
          <w:lang w:val="en-US" w:eastAsia="zh-CN"/>
        </w:rPr>
        <w:t>采 购 人 签 章：</w:t>
      </w:r>
    </w:p>
    <w:p>
      <w:pPr>
        <w:pStyle w:val="21"/>
        <w:ind w:firstLine="0"/>
        <w:jc w:val="center"/>
        <w:rPr>
          <w:rFonts w:hint="eastAsia"/>
          <w:b/>
          <w:bCs/>
          <w:sz w:val="32"/>
        </w:rPr>
      </w:pPr>
    </w:p>
    <w:p>
      <w:pPr>
        <w:pStyle w:val="21"/>
        <w:ind w:firstLine="0"/>
        <w:jc w:val="center"/>
        <w:rPr>
          <w:rFonts w:hint="eastAsia"/>
          <w:b/>
          <w:bCs/>
          <w:sz w:val="32"/>
        </w:rPr>
      </w:pPr>
    </w:p>
    <w:p>
      <w:pPr>
        <w:pStyle w:val="21"/>
        <w:ind w:firstLine="0"/>
        <w:jc w:val="center"/>
        <w:rPr>
          <w:rFonts w:hint="eastAsia"/>
          <w:b/>
          <w:bCs/>
          <w:sz w:val="32"/>
        </w:rPr>
      </w:pPr>
    </w:p>
    <w:p>
      <w:pPr>
        <w:pStyle w:val="21"/>
        <w:ind w:firstLine="1606" w:firstLineChars="500"/>
        <w:jc w:val="both"/>
        <w:rPr>
          <w:rFonts w:hint="eastAsia"/>
          <w:b/>
          <w:bCs/>
          <w:sz w:val="32"/>
        </w:rPr>
      </w:pPr>
      <w:r>
        <w:rPr>
          <w:rFonts w:hint="eastAsia"/>
          <w:b/>
          <w:bCs/>
          <w:sz w:val="32"/>
          <w:lang w:val="en-US" w:eastAsia="zh-CN"/>
        </w:rPr>
        <w:t>昌吉回族自治州</w:t>
      </w:r>
      <w:r>
        <w:rPr>
          <w:rFonts w:hint="eastAsia"/>
          <w:b/>
          <w:bCs/>
          <w:sz w:val="32"/>
        </w:rPr>
        <w:t>政务服务和公共资源交易中心</w:t>
      </w:r>
    </w:p>
    <w:p>
      <w:pPr>
        <w:pStyle w:val="21"/>
        <w:ind w:firstLine="0"/>
        <w:jc w:val="center"/>
        <w:rPr>
          <w:rFonts w:hint="eastAsia"/>
        </w:rPr>
      </w:pPr>
      <w:r>
        <w:rPr>
          <w:rFonts w:hint="eastAsia" w:cs="Times New Roman"/>
          <w:b/>
          <w:bCs/>
          <w:sz w:val="32"/>
          <w:lang w:val="en-US" w:eastAsia="zh-CN"/>
        </w:rPr>
        <w:t>2024</w:t>
      </w:r>
      <w:r>
        <w:rPr>
          <w:rFonts w:hint="eastAsia" w:ascii="Arial" w:hAnsi="Arial" w:eastAsia="宋体" w:cs="Times New Roman"/>
          <w:b/>
          <w:bCs/>
          <w:sz w:val="32"/>
        </w:rPr>
        <w:t>年</w:t>
      </w:r>
      <w:r>
        <w:rPr>
          <w:rFonts w:hint="eastAsia" w:cs="Times New Roman"/>
          <w:b/>
          <w:bCs/>
          <w:sz w:val="32"/>
          <w:lang w:val="en-US" w:eastAsia="zh-CN"/>
        </w:rPr>
        <w:t>11</w:t>
      </w:r>
      <w:r>
        <w:rPr>
          <w:rFonts w:hint="eastAsia" w:ascii="Arial" w:hAnsi="Arial" w:eastAsia="宋体" w:cs="Times New Roman"/>
          <w:b/>
          <w:bCs/>
          <w:sz w:val="32"/>
        </w:rPr>
        <w:t>月</w:t>
      </w:r>
      <w:r>
        <w:rPr>
          <w:rFonts w:hint="eastAsia" w:cs="Times New Roman"/>
          <w:b/>
          <w:bCs/>
          <w:sz w:val="32"/>
          <w:lang w:val="en-US" w:eastAsia="zh-CN"/>
        </w:rPr>
        <w:t>5</w:t>
      </w:r>
      <w:r>
        <w:rPr>
          <w:b/>
          <w:bCs/>
          <w:sz w:val="32"/>
        </w:rPr>
        <w:t>日</w:t>
      </w:r>
    </w:p>
    <w:p>
      <w:pPr>
        <w:rPr>
          <w:rFonts w:hint="eastAsia"/>
        </w:rPr>
      </w:pPr>
      <w:r>
        <w:br w:type="page"/>
      </w:r>
      <w:bookmarkStart w:id="0" w:name="_Toc120614210"/>
      <w:bookmarkStart w:id="1" w:name="_Toc494375077"/>
      <w:bookmarkStart w:id="2" w:name="_Toc20823272"/>
      <w:bookmarkStart w:id="3" w:name="_Toc523127445"/>
      <w:bookmarkStart w:id="4" w:name="_Toc16938516"/>
      <w:bookmarkStart w:id="5" w:name="_Toc479757206"/>
      <w:bookmarkStart w:id="6" w:name="_Toc513029200"/>
    </w:p>
    <w:p>
      <w:pPr>
        <w:pStyle w:val="23"/>
        <w:jc w:val="center"/>
        <w:rPr>
          <w:rFonts w:hint="eastAsia" w:ascii="黑体" w:hAnsi="Arial" w:eastAsia="黑体"/>
          <w:b w:val="0"/>
          <w:color w:val="auto"/>
          <w:sz w:val="44"/>
        </w:rPr>
      </w:pPr>
      <w:r>
        <w:rPr>
          <w:rFonts w:hint="eastAsia" w:ascii="黑体" w:hAnsi="Arial" w:eastAsia="黑体"/>
          <w:b w:val="0"/>
          <w:color w:val="auto"/>
          <w:sz w:val="44"/>
        </w:rPr>
        <w:t>总  目  录</w:t>
      </w:r>
    </w:p>
    <w:p>
      <w:pPr>
        <w:rPr>
          <w:rFonts w:ascii="仿宋" w:hAnsi="仿宋" w:eastAsia="仿宋"/>
          <w:sz w:val="28"/>
          <w:szCs w:val="28"/>
        </w:rPr>
      </w:pPr>
    </w:p>
    <w:p>
      <w:pPr>
        <w:pStyle w:val="14"/>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第一章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第二章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8</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第三章</w:t>
      </w:r>
      <w:r>
        <w:rPr>
          <w:rStyle w:val="20"/>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第四章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25</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第五章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26</w:t>
      </w:r>
      <w:r>
        <w:rPr>
          <w:rFonts w:ascii="黑体" w:hAnsi="黑体" w:eastAsia="黑体"/>
          <w:sz w:val="36"/>
          <w:szCs w:val="36"/>
        </w:rPr>
        <w:fldChar w:fldCharType="end"/>
      </w:r>
      <w:r>
        <w:rPr>
          <w:rFonts w:ascii="黑体" w:hAnsi="黑体" w:eastAsia="黑体"/>
          <w:sz w:val="36"/>
          <w:szCs w:val="36"/>
        </w:rPr>
        <w:fldChar w:fldCharType="end"/>
      </w:r>
    </w:p>
    <w:p>
      <w:pPr>
        <w:pStyle w:val="14"/>
        <w:tabs>
          <w:tab w:val="right" w:leader="dot" w:pos="8943"/>
        </w:tabs>
        <w:rPr>
          <w:rFonts w:hint="default" w:ascii="黑体" w:hAnsi="黑体" w:eastAsia="黑体"/>
          <w:smallCaps w:val="0"/>
          <w:sz w:val="32"/>
          <w:szCs w:val="32"/>
          <w:lang w:val="en-US" w:eastAsia="zh-CN"/>
        </w:rPr>
      </w:pPr>
      <w:r>
        <w:rPr>
          <w:rFonts w:ascii="黑体" w:hAnsi="黑体" w:eastAsia="黑体"/>
          <w:sz w:val="36"/>
          <w:szCs w:val="36"/>
        </w:rPr>
        <w:fldChar w:fldCharType="begin"/>
      </w:r>
      <w:r>
        <w:rPr>
          <w:rStyle w:val="20"/>
          <w:rFonts w:ascii="黑体" w:hAnsi="黑体" w:eastAsia="黑体"/>
          <w:color w:val="auto"/>
          <w:sz w:val="36"/>
          <w:szCs w:val="36"/>
        </w:rPr>
        <w:instrText xml:space="preserve"> </w:instrText>
      </w:r>
      <w:r>
        <w:rPr>
          <w:rFonts w:ascii="黑体" w:hAnsi="黑体" w:eastAsia="黑体"/>
          <w:sz w:val="36"/>
          <w:szCs w:val="36"/>
        </w:rPr>
        <w:instrText xml:space="preserve">HYPERLINK \l "_Toc534816640"</w:instrText>
      </w:r>
      <w:r>
        <w:rPr>
          <w:rStyle w:val="20"/>
          <w:rFonts w:ascii="黑体" w:hAnsi="黑体" w:eastAsia="黑体"/>
          <w:color w:val="auto"/>
          <w:sz w:val="36"/>
          <w:szCs w:val="36"/>
        </w:rPr>
        <w:instrText xml:space="preserve"> </w:instrText>
      </w:r>
      <w:r>
        <w:rPr>
          <w:rFonts w:ascii="黑体" w:hAnsi="黑体" w:eastAsia="黑体"/>
          <w:sz w:val="36"/>
          <w:szCs w:val="36"/>
        </w:rPr>
        <w:fldChar w:fldCharType="separate"/>
      </w:r>
      <w:r>
        <w:rPr>
          <w:rStyle w:val="20"/>
          <w:rFonts w:hint="eastAsia" w:ascii="黑体" w:hAnsi="黑体" w:eastAsia="黑体"/>
          <w:color w:val="auto"/>
          <w:sz w:val="36"/>
          <w:szCs w:val="36"/>
        </w:rPr>
        <w:t>第六章</w:t>
      </w:r>
      <w:r>
        <w:rPr>
          <w:rStyle w:val="20"/>
          <w:rFonts w:ascii="黑体" w:hAnsi="黑体" w:eastAsia="黑体"/>
          <w:color w:val="auto"/>
          <w:sz w:val="36"/>
          <w:szCs w:val="36"/>
        </w:rPr>
        <w:t xml:space="preserve">  </w:t>
      </w:r>
      <w:r>
        <w:rPr>
          <w:rStyle w:val="20"/>
          <w:rFonts w:hint="eastAsia" w:ascii="黑体" w:hAnsi="黑体" w:eastAsia="黑体"/>
          <w:color w:val="auto"/>
          <w:sz w:val="36"/>
          <w:szCs w:val="36"/>
        </w:rPr>
        <w:t>投标文件格式</w:t>
      </w:r>
      <w:r>
        <w:rPr>
          <w:rFonts w:hint="eastAsia" w:ascii="黑体" w:hAnsi="Showcard Gothic" w:eastAsia="黑体"/>
          <w:sz w:val="36"/>
        </w:rPr>
        <w:t>………………………………</w:t>
      </w:r>
      <w:r>
        <w:rPr>
          <w:rFonts w:ascii="黑体" w:hAnsi="黑体" w:eastAsia="黑体"/>
          <w:sz w:val="36"/>
          <w:szCs w:val="36"/>
        </w:rPr>
        <w:fldChar w:fldCharType="end"/>
      </w:r>
      <w:r>
        <w:rPr>
          <w:rFonts w:hint="eastAsia" w:ascii="黑体" w:hAnsi="黑体" w:eastAsia="黑体"/>
          <w:sz w:val="36"/>
          <w:szCs w:val="36"/>
          <w:lang w:val="en-US" w:eastAsia="zh-CN"/>
        </w:rPr>
        <w:t>28</w:t>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rPr>
          <w:rFonts w:hint="eastAsia"/>
        </w:rPr>
      </w:pPr>
      <w:bookmarkStart w:id="7" w:name="_Toc534816625"/>
      <w:bookmarkStart w:id="8" w:name="_Toc534725596"/>
      <w:r>
        <w:rPr>
          <w:rFonts w:hint="eastAsia"/>
        </w:rPr>
        <w:t xml:space="preserve">第一章  </w:t>
      </w:r>
      <w:bookmarkEnd w:id="0"/>
      <w:r>
        <w:rPr>
          <w:rFonts w:hint="eastAsia"/>
        </w:rPr>
        <w:t>投标邀请</w:t>
      </w:r>
      <w:bookmarkEnd w:id="1"/>
      <w:bookmarkEnd w:id="7"/>
      <w:bookmarkEnd w:id="8"/>
    </w:p>
    <w:p>
      <w:pPr>
        <w:pStyle w:val="21"/>
        <w:jc w:val="left"/>
        <w:rPr>
          <w:rFonts w:hint="eastAsia" w:hAnsi="宋体"/>
        </w:rPr>
      </w:pPr>
      <w:r>
        <w:rPr>
          <w:rFonts w:hint="eastAsia" w:hAnsi="宋体" w:eastAsia="宋体" w:cs="Times New Roman"/>
          <w:lang w:val="en-US" w:eastAsia="zh-CN"/>
        </w:rPr>
        <w:t>昌吉回族自治州政务服务和公共资源交易</w:t>
      </w:r>
      <w:r>
        <w:rPr>
          <w:rFonts w:hint="eastAsia" w:hAnsi="宋体" w:eastAsia="宋体" w:cs="Times New Roman"/>
          <w:lang w:eastAsia="zh-CN"/>
        </w:rPr>
        <w:t>中心现</w:t>
      </w:r>
      <w:r>
        <w:rPr>
          <w:rFonts w:hint="eastAsia" w:hAnsi="宋体"/>
          <w:lang w:eastAsia="zh-CN"/>
        </w:rPr>
        <w:t>就</w:t>
      </w:r>
      <w:r>
        <w:rPr>
          <w:rFonts w:hint="eastAsia" w:hAnsi="宋体"/>
          <w:highlight w:val="none"/>
          <w:u w:val="single"/>
          <w:lang w:eastAsia="zh-CN"/>
        </w:rPr>
        <w:t>（</w:t>
      </w:r>
      <w:r>
        <w:rPr>
          <w:rFonts w:hint="eastAsia" w:hAnsi="宋体"/>
          <w:highlight w:val="none"/>
          <w:u w:val="single"/>
          <w:lang w:val="en-US" w:eastAsia="zh-CN"/>
        </w:rPr>
        <w:t>CJZFCG－GK-2024047）昌吉州人民医院安保服务项目，</w:t>
      </w:r>
      <w:r>
        <w:rPr>
          <w:rFonts w:hint="eastAsia" w:hAnsi="宋体"/>
          <w:u w:val="none"/>
        </w:rPr>
        <w:t>进行公开招标采购，</w:t>
      </w:r>
      <w:r>
        <w:rPr>
          <w:rFonts w:hint="eastAsia" w:hAnsi="宋体"/>
        </w:rPr>
        <w:t>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highlight w:val="yellow"/>
        </w:rPr>
      </w:pPr>
      <w:r>
        <w:rPr>
          <w:rFonts w:hint="eastAsia" w:ascii="宋体" w:hAnsi="宋体" w:eastAsia="宋体" w:cs="Times New Roman"/>
          <w:sz w:val="24"/>
          <w:szCs w:val="24"/>
          <w:highlight w:val="none"/>
          <w:u w:val="single"/>
          <w:lang w:val="en-US" w:eastAsia="zh-CN"/>
        </w:rPr>
        <w:t>昌吉州人民医院安保服务项目，保安人数不能少于</w:t>
      </w:r>
      <w:r>
        <w:rPr>
          <w:rFonts w:hint="eastAsia" w:ascii="宋体" w:hAnsi="宋体" w:cs="Times New Roman"/>
          <w:sz w:val="24"/>
          <w:szCs w:val="24"/>
          <w:highlight w:val="none"/>
          <w:u w:val="single"/>
          <w:lang w:val="en-US" w:eastAsia="zh-CN"/>
        </w:rPr>
        <w:t>41</w:t>
      </w:r>
      <w:r>
        <w:rPr>
          <w:rFonts w:hint="eastAsia" w:ascii="宋体" w:hAnsi="宋体" w:eastAsia="宋体" w:cs="Times New Roman"/>
          <w:sz w:val="24"/>
          <w:szCs w:val="24"/>
          <w:highlight w:val="none"/>
          <w:u w:val="single"/>
          <w:lang w:val="en-US" w:eastAsia="zh-CN"/>
        </w:rPr>
        <w:t>人（其中管理人员1名，普通保安人员3</w:t>
      </w:r>
      <w:r>
        <w:rPr>
          <w:rFonts w:hint="eastAsia" w:ascii="宋体" w:hAnsi="宋体" w:cs="Times New Roman"/>
          <w:sz w:val="24"/>
          <w:szCs w:val="24"/>
          <w:highlight w:val="none"/>
          <w:u w:val="single"/>
          <w:lang w:val="en-US" w:eastAsia="zh-CN"/>
        </w:rPr>
        <w:t>4</w:t>
      </w:r>
      <w:r>
        <w:rPr>
          <w:rFonts w:hint="eastAsia" w:ascii="宋体" w:hAnsi="宋体" w:eastAsia="宋体" w:cs="Times New Roman"/>
          <w:sz w:val="24"/>
          <w:szCs w:val="24"/>
          <w:highlight w:val="none"/>
          <w:u w:val="single"/>
          <w:lang w:val="en-US" w:eastAsia="zh-CN"/>
        </w:rPr>
        <w:t>人</w:t>
      </w:r>
      <w:r>
        <w:rPr>
          <w:rFonts w:hint="eastAsia" w:ascii="宋体" w:hAnsi="宋体" w:cs="Times New Roman"/>
          <w:sz w:val="24"/>
          <w:szCs w:val="24"/>
          <w:highlight w:val="none"/>
          <w:u w:val="single"/>
          <w:lang w:val="en-US" w:eastAsia="zh-CN"/>
        </w:rPr>
        <w:t>，</w:t>
      </w:r>
      <w:r>
        <w:rPr>
          <w:rFonts w:hint="eastAsia" w:ascii="宋体" w:hAnsi="宋体" w:eastAsia="宋体" w:cs="Times New Roman"/>
          <w:sz w:val="24"/>
          <w:szCs w:val="24"/>
          <w:highlight w:val="none"/>
          <w:u w:val="single"/>
          <w:lang w:val="en-US" w:eastAsia="zh-CN"/>
        </w:rPr>
        <w:t>消防专职人员6名</w:t>
      </w:r>
      <w:r>
        <w:rPr>
          <w:rFonts w:hint="eastAsia" w:ascii="宋体" w:hAnsi="宋体" w:cs="Times New Roman"/>
          <w:sz w:val="24"/>
          <w:szCs w:val="24"/>
          <w:highlight w:val="none"/>
          <w:u w:val="single"/>
          <w:lang w:val="en-US" w:eastAsia="zh-CN"/>
        </w:rPr>
        <w:t>）</w:t>
      </w:r>
      <w:r>
        <w:rPr>
          <w:rFonts w:hint="eastAsia" w:ascii="宋体" w:hAnsi="宋体" w:eastAsia="宋体" w:cs="Times New Roman"/>
          <w:sz w:val="24"/>
          <w:szCs w:val="24"/>
          <w:highlight w:val="none"/>
          <w:u w:val="single"/>
          <w:lang w:val="en-US" w:eastAsia="zh-CN"/>
        </w:rPr>
        <w:t>，</w:t>
      </w:r>
      <w:r>
        <w:rPr>
          <w:rFonts w:hint="eastAsia" w:ascii="宋体" w:hAnsi="宋体"/>
          <w:sz w:val="24"/>
          <w:szCs w:val="24"/>
          <w:u w:val="single"/>
        </w:rPr>
        <w:t>招标项目的潜在投标人可在“新疆政府采购网”自行</w:t>
      </w:r>
      <w:r>
        <w:rPr>
          <w:rFonts w:hint="eastAsia" w:ascii="宋体" w:hAnsi="宋体"/>
          <w:sz w:val="24"/>
          <w:szCs w:val="24"/>
          <w:u w:val="single"/>
          <w:lang w:val="en-US" w:eastAsia="zh-CN"/>
        </w:rPr>
        <w:t>查看项目公告</w:t>
      </w:r>
      <w:r>
        <w:rPr>
          <w:rFonts w:hint="eastAsia" w:ascii="宋体" w:hAnsi="宋体"/>
          <w:sz w:val="24"/>
          <w:szCs w:val="24"/>
          <w:u w:val="single"/>
        </w:rPr>
        <w:t>，</w:t>
      </w:r>
      <w:r>
        <w:rPr>
          <w:rFonts w:hint="eastAsia" w:ascii="宋体" w:hAnsi="宋体"/>
          <w:sz w:val="24"/>
          <w:szCs w:val="24"/>
          <w:highlight w:val="yellow"/>
          <w:u w:val="single"/>
          <w:lang w:val="en-US" w:eastAsia="zh-CN"/>
        </w:rPr>
        <w:t>本项目开标时间：</w:t>
      </w:r>
      <w:r>
        <w:rPr>
          <w:rFonts w:hint="eastAsia" w:ascii="宋体" w:hAnsi="宋体"/>
          <w:sz w:val="24"/>
          <w:szCs w:val="24"/>
          <w:highlight w:val="yellow"/>
          <w:u w:val="single"/>
          <w:lang w:eastAsia="zh-CN"/>
        </w:rPr>
        <w:t>202</w:t>
      </w:r>
      <w:r>
        <w:rPr>
          <w:rFonts w:hint="eastAsia" w:ascii="宋体" w:hAnsi="宋体"/>
          <w:sz w:val="24"/>
          <w:szCs w:val="24"/>
          <w:highlight w:val="yellow"/>
          <w:u w:val="single"/>
          <w:lang w:val="en-US" w:eastAsia="zh-CN"/>
        </w:rPr>
        <w:t>4</w:t>
      </w:r>
      <w:r>
        <w:rPr>
          <w:rFonts w:hint="eastAsia" w:ascii="宋体" w:hAnsi="宋体"/>
          <w:bCs/>
          <w:sz w:val="24"/>
          <w:szCs w:val="24"/>
          <w:highlight w:val="yellow"/>
          <w:u w:val="single"/>
        </w:rPr>
        <w:t xml:space="preserve">年 </w:t>
      </w:r>
      <w:r>
        <w:rPr>
          <w:rFonts w:hint="eastAsia" w:ascii="宋体" w:hAnsi="宋体"/>
          <w:bCs/>
          <w:sz w:val="24"/>
          <w:szCs w:val="24"/>
          <w:highlight w:val="yellow"/>
          <w:u w:val="single"/>
          <w:lang w:val="en-US" w:eastAsia="zh-CN"/>
        </w:rPr>
        <w:t>11</w:t>
      </w:r>
      <w:r>
        <w:rPr>
          <w:rFonts w:hint="eastAsia" w:ascii="宋体" w:hAnsi="宋体"/>
          <w:bCs/>
          <w:sz w:val="24"/>
          <w:szCs w:val="24"/>
          <w:highlight w:val="yellow"/>
          <w:u w:val="single"/>
        </w:rPr>
        <w:t>月</w:t>
      </w:r>
      <w:r>
        <w:rPr>
          <w:rFonts w:hint="eastAsia" w:ascii="宋体" w:hAnsi="宋体"/>
          <w:bCs/>
          <w:sz w:val="24"/>
          <w:szCs w:val="24"/>
          <w:highlight w:val="yellow"/>
          <w:u w:val="single"/>
          <w:lang w:val="en-US" w:eastAsia="zh-CN"/>
        </w:rPr>
        <w:t>22</w:t>
      </w:r>
      <w:r>
        <w:rPr>
          <w:rFonts w:hint="eastAsia" w:ascii="宋体" w:hAnsi="宋体"/>
          <w:bCs/>
          <w:sz w:val="24"/>
          <w:szCs w:val="24"/>
          <w:highlight w:val="yellow"/>
          <w:u w:val="single"/>
        </w:rPr>
        <w:t xml:space="preserve">日 </w:t>
      </w:r>
      <w:r>
        <w:rPr>
          <w:rFonts w:hint="eastAsia" w:ascii="宋体" w:hAnsi="宋体"/>
          <w:bCs/>
          <w:sz w:val="24"/>
          <w:szCs w:val="24"/>
          <w:highlight w:val="yellow"/>
          <w:u w:val="single"/>
          <w:lang w:val="en-US" w:eastAsia="zh-CN"/>
        </w:rPr>
        <w:t>10</w:t>
      </w:r>
      <w:r>
        <w:rPr>
          <w:rFonts w:hint="eastAsia" w:ascii="宋体" w:hAnsi="宋体"/>
          <w:bCs/>
          <w:sz w:val="24"/>
          <w:szCs w:val="24"/>
          <w:highlight w:val="yellow"/>
          <w:u w:val="single"/>
        </w:rPr>
        <w:t xml:space="preserve">点 </w:t>
      </w:r>
      <w:r>
        <w:rPr>
          <w:rFonts w:hint="eastAsia" w:ascii="宋体" w:hAnsi="宋体"/>
          <w:bCs/>
          <w:sz w:val="24"/>
          <w:szCs w:val="24"/>
          <w:highlight w:val="yellow"/>
          <w:u w:val="single"/>
          <w:lang w:val="en-US" w:eastAsia="zh-CN"/>
        </w:rPr>
        <w:t>30</w:t>
      </w:r>
      <w:r>
        <w:rPr>
          <w:rFonts w:hint="eastAsia" w:ascii="宋体" w:hAnsi="宋体"/>
          <w:bCs/>
          <w:sz w:val="24"/>
          <w:szCs w:val="24"/>
          <w:highlight w:val="yellow"/>
          <w:u w:val="single"/>
        </w:rPr>
        <w:t>分（北京时间）</w:t>
      </w:r>
      <w:r>
        <w:rPr>
          <w:rFonts w:hint="eastAsia" w:ascii="宋体" w:hAnsi="宋体"/>
          <w:bCs/>
          <w:sz w:val="24"/>
          <w:szCs w:val="24"/>
          <w:highlight w:val="yellow"/>
          <w:lang w:eastAsia="zh-CN"/>
        </w:rPr>
        <w:t>；</w:t>
      </w:r>
    </w:p>
    <w:p>
      <w:pPr>
        <w:pStyle w:val="21"/>
        <w:pageBreakBefore w:val="0"/>
        <w:widowControl w:val="0"/>
        <w:kinsoku/>
        <w:overflowPunct/>
        <w:topLinePunct w:val="0"/>
        <w:bidi w:val="0"/>
        <w:spacing w:line="460" w:lineRule="exact"/>
        <w:rPr>
          <w:rFonts w:hint="eastAsia" w:hAnsi="宋体"/>
        </w:rPr>
      </w:pPr>
    </w:p>
    <w:p>
      <w:pPr>
        <w:pStyle w:val="6"/>
        <w:pageBreakBefore w:val="0"/>
        <w:widowControl w:val="0"/>
        <w:kinsoku/>
        <w:overflowPunct/>
        <w:topLinePunct w:val="0"/>
        <w:bidi w:val="0"/>
        <w:spacing w:line="460" w:lineRule="exact"/>
        <w:ind w:firstLine="482" w:firstLineChars="150"/>
        <w:rPr>
          <w:rFonts w:hint="eastAsia"/>
        </w:rPr>
      </w:pPr>
      <w:r>
        <w:rPr>
          <w:rFonts w:hint="eastAsia"/>
        </w:rPr>
        <w:t>一、项目基本情况</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sz w:val="24"/>
          <w:szCs w:val="24"/>
          <w:highlight w:val="none"/>
          <w:u w:val="single"/>
          <w:lang w:val="en-US" w:eastAsia="zh-CN"/>
        </w:rPr>
      </w:pPr>
      <w:r>
        <w:rPr>
          <w:rFonts w:hint="eastAsia" w:ascii="宋体" w:hAnsi="宋体"/>
          <w:sz w:val="24"/>
          <w:szCs w:val="24"/>
        </w:rPr>
        <w:t>1.</w:t>
      </w:r>
      <w:r>
        <w:rPr>
          <w:rFonts w:hint="eastAsia" w:hAnsi="宋体"/>
          <w:sz w:val="24"/>
          <w:szCs w:val="24"/>
        </w:rPr>
        <w:t>项目名称</w:t>
      </w:r>
      <w:r>
        <w:rPr>
          <w:rFonts w:hint="eastAsia" w:hAnsi="宋体"/>
          <w:sz w:val="24"/>
          <w:szCs w:val="24"/>
          <w:lang w:eastAsia="zh-CN"/>
        </w:rPr>
        <w:t>：</w:t>
      </w:r>
      <w:r>
        <w:rPr>
          <w:rFonts w:hint="eastAsia" w:ascii="宋体" w:hAnsi="宋体" w:eastAsia="宋体" w:cs="Times New Roman"/>
          <w:sz w:val="24"/>
          <w:szCs w:val="24"/>
          <w:highlight w:val="none"/>
          <w:u w:val="single"/>
          <w:lang w:val="en-US" w:eastAsia="zh-CN"/>
        </w:rPr>
        <w:t>昌吉州人民医院安保服务项目</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highlight w:val="none"/>
          <w:lang w:val="en-US" w:eastAsia="zh-CN"/>
        </w:rPr>
      </w:pPr>
      <w:r>
        <w:rPr>
          <w:rFonts w:hint="eastAsia" w:ascii="宋体" w:hAnsi="宋体"/>
          <w:sz w:val="24"/>
          <w:szCs w:val="24"/>
          <w:highlight w:val="none"/>
        </w:rPr>
        <w:t>2.</w:t>
      </w:r>
      <w:r>
        <w:rPr>
          <w:rFonts w:hint="eastAsia" w:hAnsi="宋体"/>
          <w:sz w:val="24"/>
          <w:szCs w:val="24"/>
          <w:highlight w:val="none"/>
        </w:rPr>
        <w:t>项目</w:t>
      </w:r>
      <w:r>
        <w:rPr>
          <w:rFonts w:hint="eastAsia" w:ascii="宋体" w:hAnsi="宋体"/>
          <w:sz w:val="24"/>
          <w:highlight w:val="none"/>
        </w:rPr>
        <w:t>编号：</w:t>
      </w:r>
      <w:r>
        <w:rPr>
          <w:rFonts w:hint="eastAsia" w:hAnsi="宋体"/>
          <w:sz w:val="24"/>
          <w:szCs w:val="24"/>
          <w:highlight w:val="none"/>
        </w:rPr>
        <w:t>CJZFCG－GK-20240</w:t>
      </w:r>
      <w:r>
        <w:rPr>
          <w:rFonts w:hint="eastAsia" w:hAnsi="宋体"/>
          <w:sz w:val="24"/>
          <w:szCs w:val="24"/>
          <w:highlight w:val="none"/>
          <w:lang w:val="en-US" w:eastAsia="zh-CN"/>
        </w:rPr>
        <w:t>47</w:t>
      </w:r>
    </w:p>
    <w:p>
      <w:pPr>
        <w:pageBreakBefore w:val="0"/>
        <w:widowControl w:val="0"/>
        <w:kinsoku/>
        <w:overflowPunct/>
        <w:topLinePunct w:val="0"/>
        <w:bidi w:val="0"/>
        <w:spacing w:line="460" w:lineRule="exact"/>
        <w:ind w:firstLine="480" w:firstLineChars="200"/>
        <w:rPr>
          <w:rFonts w:hint="eastAsia" w:ascii="宋体" w:hAnsi="宋体"/>
          <w:sz w:val="24"/>
          <w:szCs w:val="24"/>
          <w:highlight w:val="none"/>
          <w:u w:val="single"/>
        </w:rPr>
      </w:pPr>
      <w:r>
        <w:rPr>
          <w:rFonts w:hint="eastAsia" w:ascii="宋体" w:hAnsi="宋体"/>
          <w:sz w:val="24"/>
          <w:szCs w:val="24"/>
          <w:highlight w:val="none"/>
        </w:rPr>
        <w:t>3.预算金额：</w:t>
      </w:r>
      <w:r>
        <w:rPr>
          <w:rFonts w:hint="eastAsia" w:ascii="宋体" w:hAnsi="宋体"/>
          <w:sz w:val="24"/>
          <w:szCs w:val="24"/>
          <w:highlight w:val="none"/>
          <w:u w:val="single"/>
          <w:lang w:val="en-US" w:eastAsia="zh-CN"/>
        </w:rPr>
        <w:t>2100000</w:t>
      </w:r>
      <w:r>
        <w:rPr>
          <w:rFonts w:hint="eastAsia" w:ascii="宋体" w:hAnsi="宋体"/>
          <w:sz w:val="24"/>
          <w:szCs w:val="24"/>
          <w:highlight w:val="none"/>
          <w:u w:val="single"/>
        </w:rPr>
        <w:t>元</w:t>
      </w:r>
    </w:p>
    <w:p>
      <w:pPr>
        <w:pStyle w:val="8"/>
        <w:ind w:firstLine="679" w:firstLineChars="0"/>
        <w:rPr>
          <w:rFonts w:hint="default"/>
          <w:highlight w:val="none"/>
          <w:lang w:val="en-US" w:eastAsia="zh-CN"/>
        </w:rPr>
      </w:pPr>
      <w:r>
        <w:rPr>
          <w:rFonts w:hint="eastAsia" w:ascii="宋体" w:hAnsi="宋体" w:eastAsia="宋体" w:cs="Times New Roman"/>
          <w:kern w:val="2"/>
          <w:sz w:val="24"/>
          <w:szCs w:val="24"/>
          <w:highlight w:val="none"/>
          <w:lang w:val="en-US" w:eastAsia="zh-CN" w:bidi="ar-SA"/>
        </w:rPr>
        <w:t>最高限价：</w:t>
      </w:r>
      <w:r>
        <w:rPr>
          <w:rFonts w:hint="eastAsia" w:ascii="宋体" w:hAnsi="宋体" w:cs="Times New Roman"/>
          <w:kern w:val="2"/>
          <w:sz w:val="24"/>
          <w:szCs w:val="24"/>
          <w:highlight w:val="none"/>
          <w:u w:val="single"/>
          <w:lang w:val="en-US" w:eastAsia="zh-CN" w:bidi="ar-SA"/>
        </w:rPr>
        <w:t>21</w:t>
      </w:r>
      <w:r>
        <w:rPr>
          <w:rFonts w:hint="eastAsia" w:ascii="宋体" w:hAnsi="宋体" w:eastAsia="宋体" w:cs="Times New Roman"/>
          <w:kern w:val="2"/>
          <w:sz w:val="24"/>
          <w:szCs w:val="24"/>
          <w:highlight w:val="none"/>
          <w:u w:val="single"/>
          <w:lang w:val="en-US" w:eastAsia="zh-CN" w:bidi="ar-SA"/>
        </w:rPr>
        <w:t>00000</w:t>
      </w:r>
      <w:r>
        <w:rPr>
          <w:rFonts w:hint="eastAsia" w:ascii="宋体" w:hAnsi="宋体"/>
          <w:sz w:val="24"/>
          <w:szCs w:val="24"/>
          <w:highlight w:val="none"/>
          <w:u w:val="single"/>
        </w:rPr>
        <w:t>元</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货款支付</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i/>
          <w:iCs/>
          <w:sz w:val="24"/>
          <w:szCs w:val="24"/>
          <w:highlight w:val="none"/>
          <w:u w:val="single"/>
          <w:lang w:val="en-US" w:eastAsia="zh-CN"/>
        </w:rPr>
      </w:pPr>
      <w:r>
        <w:rPr>
          <w:rFonts w:hint="eastAsia" w:ascii="宋体" w:hAnsi="宋体" w:cs="Times New Roman"/>
          <w:i/>
          <w:iCs/>
          <w:sz w:val="24"/>
          <w:szCs w:val="24"/>
          <w:highlight w:val="none"/>
          <w:u w:val="single"/>
          <w:lang w:val="en-US" w:eastAsia="zh-CN"/>
        </w:rPr>
        <w:t>（1）</w:t>
      </w:r>
      <w:r>
        <w:rPr>
          <w:rFonts w:hint="eastAsia" w:ascii="宋体" w:hAnsi="宋体" w:eastAsia="宋体" w:cs="Times New Roman"/>
          <w:i/>
          <w:iCs/>
          <w:sz w:val="24"/>
          <w:szCs w:val="24"/>
          <w:highlight w:val="none"/>
          <w:u w:val="single"/>
          <w:lang w:val="en-US" w:eastAsia="zh-CN"/>
        </w:rPr>
        <w:t>医院按月根据中标单位的服务质量支付给乙方安保服务费用。中标单位完成当月服务并经医院认可后，次月由中标单位按照上月服务金额向甲方开具正规发票，医院收到中标单位发票后，按照医院财务制度向中标单位付款。</w:t>
      </w:r>
    </w:p>
    <w:p>
      <w:pPr>
        <w:pageBreakBefore w:val="0"/>
        <w:widowControl w:val="0"/>
        <w:tabs>
          <w:tab w:val="left" w:pos="900"/>
        </w:tabs>
        <w:kinsoku/>
        <w:overflowPunct/>
        <w:topLinePunct w:val="0"/>
        <w:bidi w:val="0"/>
        <w:spacing w:line="460" w:lineRule="exact"/>
        <w:ind w:firstLine="480" w:firstLineChars="200"/>
        <w:rPr>
          <w:rFonts w:hint="eastAsia" w:ascii="宋体" w:hAnsi="宋体" w:eastAsia="宋体" w:cs="Times New Roman"/>
          <w:i/>
          <w:iCs/>
          <w:sz w:val="24"/>
          <w:szCs w:val="24"/>
          <w:highlight w:val="none"/>
          <w:u w:val="single"/>
          <w:lang w:val="en-US" w:eastAsia="zh-CN"/>
        </w:rPr>
      </w:pPr>
      <w:r>
        <w:rPr>
          <w:rFonts w:hint="eastAsia" w:ascii="宋体" w:hAnsi="宋体" w:eastAsia="宋体" w:cs="Times New Roman"/>
          <w:i/>
          <w:iCs/>
          <w:sz w:val="24"/>
          <w:szCs w:val="24"/>
          <w:highlight w:val="none"/>
          <w:u w:val="single"/>
          <w:lang w:val="en-US" w:eastAsia="zh-CN"/>
        </w:rPr>
        <w:t>（2）停车场收取费用管理及用途：开设专用账户，专款专用，每月第三方将停车场管理收支明细书面报医院，医院财务科、保卫科、第三方对车辆收取费用进行核对，核对后打入医院专用账户，用于3名车辆收费安保人员酬劳及医院道路维修、维护和道路标识标线磨损后重新画线等费用。</w:t>
      </w:r>
    </w:p>
    <w:p>
      <w:pPr>
        <w:pageBreakBefore w:val="0"/>
        <w:widowControl w:val="0"/>
        <w:tabs>
          <w:tab w:val="left" w:pos="900"/>
        </w:tabs>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采购需求：</w:t>
      </w:r>
    </w:p>
    <w:p>
      <w:pPr>
        <w:pageBreakBefore w:val="0"/>
        <w:widowControl w:val="0"/>
        <w:kinsoku/>
        <w:overflowPunct/>
        <w:topLinePunct w:val="0"/>
        <w:bidi w:val="0"/>
        <w:spacing w:line="46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对采购需求进行概述</w:t>
      </w:r>
    </w:p>
    <w:p>
      <w:pPr>
        <w:pStyle w:val="2"/>
        <w:pageBreakBefore w:val="0"/>
        <w:widowControl w:val="0"/>
        <w:kinsoku/>
        <w:overflowPunct/>
        <w:topLinePunct w:val="0"/>
        <w:bidi w:val="0"/>
        <w:spacing w:line="460" w:lineRule="exact"/>
        <w:rPr>
          <w:rFonts w:hint="eastAsia"/>
          <w:highlight w:val="none"/>
          <w:lang w:val="en-US" w:eastAsia="zh-CN"/>
        </w:rPr>
      </w:pP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highlight w:val="none"/>
          <w:u w:val="single"/>
          <w:lang w:val="en-US" w:eastAsia="zh-CN"/>
        </w:rPr>
        <w:t xml:space="preserve"> 保安人数不能少于41人（其中管理人员1名，普通保安人员34人，消防专职人员6名）。日常维稳安防工作及值班；人员、物品和车辆安检；全院安防、消防巡逻；维护医疗秩序；协助医院做好疫情防控管理相关工作；疏导交通、停车场收费委托管理（包括收费员工资、设备和标识标牌的维修及维护）等服务；协助处理医患矛盾纠纷；协助保卫科开展日常工作及其他执勤相关服务（免费提供），等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Times New Roman"/>
          <w:i/>
          <w:iCs/>
          <w:kern w:val="2"/>
          <w:sz w:val="24"/>
          <w:szCs w:val="24"/>
          <w:highlight w:val="yellow"/>
          <w:u w:val="single"/>
          <w:lang w:val="en-US" w:eastAsia="zh-CN" w:bidi="ar-SA"/>
        </w:rPr>
      </w:pPr>
      <w:r>
        <w:rPr>
          <w:rFonts w:hint="eastAsia" w:ascii="宋体" w:hAnsi="宋体" w:eastAsia="宋体" w:cs="Times New Roman"/>
          <w:i/>
          <w:iCs/>
          <w:kern w:val="2"/>
          <w:sz w:val="24"/>
          <w:szCs w:val="24"/>
          <w:highlight w:val="none"/>
          <w:u w:val="single"/>
          <w:lang w:val="en-US" w:eastAsia="zh-CN" w:bidi="ar-SA"/>
        </w:rPr>
        <w:t>6.合同履行期限：服务期限为一年（2025年3月19日-2026年3月18日）。</w:t>
      </w:r>
    </w:p>
    <w:p>
      <w:pPr>
        <w:pageBreakBefore w:val="0"/>
        <w:widowControl w:val="0"/>
        <w:numPr>
          <w:ilvl w:val="0"/>
          <w:numId w:val="0"/>
        </w:numPr>
        <w:kinsoku/>
        <w:overflowPunct/>
        <w:topLinePunct w:val="0"/>
        <w:bidi w:val="0"/>
        <w:spacing w:line="460" w:lineRule="exact"/>
        <w:ind w:firstLine="480" w:firstLineChars="200"/>
        <w:rPr>
          <w:rFonts w:ascii="宋体" w:hAnsi="宋体" w:cs="宋体"/>
          <w:i/>
          <w:iCs/>
          <w:color w:val="FF0000"/>
          <w:kern w:val="0"/>
          <w:sz w:val="24"/>
          <w:szCs w:val="24"/>
        </w:rPr>
      </w:pPr>
      <w:r>
        <w:rPr>
          <w:rFonts w:hint="eastAsia" w:ascii="宋体" w:hAnsi="宋体"/>
          <w:i/>
          <w:iCs/>
          <w:sz w:val="24"/>
          <w:szCs w:val="24"/>
          <w:lang w:val="en-US" w:eastAsia="zh-CN"/>
        </w:rPr>
        <w:t>7</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联合体投标。</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i/>
          <w:iCs/>
          <w:sz w:val="24"/>
          <w:szCs w:val="24"/>
          <w:lang w:val="en-US" w:eastAsia="zh-CN"/>
        </w:rPr>
        <w:t>8</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进口产品投标。</w:t>
      </w:r>
    </w:p>
    <w:p>
      <w:pPr>
        <w:pageBreakBefore w:val="0"/>
        <w:widowControl w:val="0"/>
        <w:tabs>
          <w:tab w:val="left" w:pos="900"/>
        </w:tabs>
        <w:kinsoku/>
        <w:overflowPunct/>
        <w:topLinePunct w:val="0"/>
        <w:bidi w:val="0"/>
        <w:spacing w:line="460" w:lineRule="exact"/>
        <w:ind w:firstLine="480" w:firstLineChars="200"/>
        <w:rPr>
          <w:rFonts w:hint="default" w:ascii="宋体" w:hAnsi="宋体"/>
          <w:sz w:val="24"/>
          <w:szCs w:val="24"/>
          <w:u w:val="single"/>
          <w:lang w:val="en-US" w:eastAsia="zh-CN"/>
        </w:rPr>
      </w:pPr>
      <w:r>
        <w:rPr>
          <w:rFonts w:hint="eastAsia" w:ascii="宋体" w:hAnsi="宋体"/>
          <w:sz w:val="24"/>
          <w:szCs w:val="24"/>
          <w:lang w:val="en-US" w:eastAsia="zh-CN"/>
        </w:rPr>
        <w:t>9.本项目属于</w:t>
      </w:r>
      <w:r>
        <w:rPr>
          <w:rFonts w:hint="eastAsia" w:ascii="宋体" w:hAnsi="宋体"/>
          <w:color w:val="FF0000"/>
          <w:sz w:val="24"/>
          <w:szCs w:val="24"/>
          <w:u w:val="single"/>
          <w:lang w:val="en-US" w:eastAsia="zh-CN"/>
        </w:rPr>
        <w:t xml:space="preserve"> </w:t>
      </w:r>
      <w:r>
        <w:rPr>
          <w:rFonts w:hint="eastAsia" w:ascii="宋体" w:hAnsi="宋体" w:cs="Times New Roman"/>
          <w:color w:val="FF0000"/>
          <w:sz w:val="24"/>
          <w:szCs w:val="24"/>
          <w:highlight w:val="none"/>
          <w:u w:val="single"/>
          <w:lang w:val="en-US" w:eastAsia="zh-CN"/>
        </w:rPr>
        <w:t>服务</w:t>
      </w:r>
      <w:r>
        <w:rPr>
          <w:rFonts w:hint="eastAsia" w:ascii="宋体" w:hAnsi="宋体"/>
          <w:sz w:val="24"/>
          <w:szCs w:val="24"/>
          <w:u w:val="single"/>
          <w:lang w:val="en-US" w:eastAsia="zh-CN"/>
        </w:rPr>
        <w:t xml:space="preserve">     </w:t>
      </w:r>
    </w:p>
    <w:p>
      <w:pPr>
        <w:pageBreakBefore w:val="0"/>
        <w:widowControl w:val="0"/>
        <w:kinsoku/>
        <w:overflowPunct/>
        <w:topLinePunct w:val="0"/>
        <w:bidi w:val="0"/>
        <w:spacing w:line="460" w:lineRule="exact"/>
        <w:ind w:firstLine="480" w:firstLineChars="20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sz w:val="24"/>
          <w:szCs w:val="24"/>
          <w:lang w:val="en-US" w:eastAsia="zh-CN"/>
        </w:rPr>
        <w:t>10.</w:t>
      </w:r>
      <w:r>
        <w:rPr>
          <w:rFonts w:hint="eastAsia" w:ascii="宋体" w:hAnsi="宋体"/>
          <w:color w:val="000000" w:themeColor="text1"/>
          <w:sz w:val="24"/>
          <w:szCs w:val="24"/>
          <w:highlight w:val="none"/>
          <w:lang w:val="en-US" w:eastAsia="zh-CN"/>
          <w14:textFill>
            <w14:solidFill>
              <w14:schemeClr w14:val="tx1"/>
            </w14:solidFill>
          </w14:textFill>
        </w:rPr>
        <w:t>本项目采购标的对应的中小企业划分标准所属行业为“</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s="Times New Roman"/>
          <w:color w:val="FF0000"/>
          <w:sz w:val="24"/>
          <w:szCs w:val="24"/>
          <w:highlight w:val="none"/>
          <w:u w:val="single"/>
          <w:lang w:val="en-US" w:eastAsia="zh-CN"/>
        </w:rPr>
        <w:t>物业管理</w:t>
      </w:r>
      <w:r>
        <w:rPr>
          <w:rFonts w:hint="eastAsia" w:ascii="宋体" w:hAnsi="宋体" w:eastAsia="宋体" w:cs="Times New Roman"/>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lang w:val="en-US" w:eastAsia="zh-CN"/>
          <w14:textFill>
            <w14:solidFill>
              <w14:schemeClr w14:val="tx1"/>
            </w14:solidFill>
          </w14:textFill>
        </w:rPr>
        <w:t>”。行业划分标准按《国民经济行业分类》执行。中小企业划分标准按《中小企业划型标准规定》（工信部联企业[2011]300号）文件规定执行。本项目投标供应商须为小型、微型企业</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请根据要求单独上传《中小企业声明函》。格式以采购文件要求为准</w:t>
      </w:r>
      <w:r>
        <w:rPr>
          <w:rFonts w:hint="eastAsia" w:ascii="宋体" w:hAnsi="宋体"/>
          <w:color w:val="000000" w:themeColor="text1"/>
          <w:sz w:val="24"/>
          <w:szCs w:val="24"/>
          <w:highlight w:val="none"/>
          <w:lang w:eastAsia="zh-CN"/>
          <w14:textFill>
            <w14:solidFill>
              <w14:schemeClr w14:val="tx1"/>
            </w14:solidFill>
          </w14:textFill>
        </w:rPr>
        <w:t>，如未按文件要求填写则</w:t>
      </w:r>
      <w:r>
        <w:rPr>
          <w:rFonts w:hint="eastAsia" w:ascii="宋体" w:hAnsi="宋体"/>
          <w:color w:val="000000" w:themeColor="text1"/>
          <w:sz w:val="24"/>
          <w:szCs w:val="24"/>
          <w:highlight w:val="none"/>
          <w:lang w:val="en-US" w:eastAsia="zh-CN"/>
          <w14:textFill>
            <w14:solidFill>
              <w14:schemeClr w14:val="tx1"/>
            </w14:solidFill>
          </w14:textFill>
        </w:rPr>
        <w:t>按无效文件处理</w:t>
      </w:r>
      <w:r>
        <w:rPr>
          <w:rFonts w:hint="eastAsia" w:ascii="宋体" w:hAnsi="宋体"/>
          <w:color w:val="000000" w:themeColor="text1"/>
          <w:sz w:val="24"/>
          <w:szCs w:val="24"/>
          <w:highlight w:val="none"/>
          <w:lang w:eastAsia="zh-CN"/>
          <w14:textFill>
            <w14:solidFill>
              <w14:schemeClr w14:val="tx1"/>
            </w14:solidFill>
          </w14:textFill>
        </w:rPr>
        <w:t>。</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szCs w:val="24"/>
          <w:lang w:val="en-US" w:eastAsia="zh-CN"/>
        </w:rPr>
      </w:pPr>
    </w:p>
    <w:p>
      <w:pPr>
        <w:pStyle w:val="6"/>
        <w:pageBreakBefore w:val="0"/>
        <w:widowControl w:val="0"/>
        <w:kinsoku/>
        <w:overflowPunct/>
        <w:topLinePunct w:val="0"/>
        <w:bidi w:val="0"/>
        <w:spacing w:before="145" w:beforeLines="50" w:after="145" w:afterLines="50" w:line="460" w:lineRule="exact"/>
        <w:ind w:firstLine="498" w:firstLineChars="155"/>
        <w:rPr>
          <w:rFonts w:hint="eastAsia"/>
        </w:rPr>
      </w:pPr>
      <w:r>
        <w:rPr>
          <w:rFonts w:hint="eastAsia"/>
        </w:rPr>
        <w:t>二、申请人的资格要求：</w:t>
      </w:r>
    </w:p>
    <w:p>
      <w:pPr>
        <w:pageBreakBefore w:val="0"/>
        <w:widowControl w:val="0"/>
        <w:kinsoku/>
        <w:overflowPunct/>
        <w:topLinePunct w:val="0"/>
        <w:bidi w:val="0"/>
        <w:spacing w:line="460" w:lineRule="exact"/>
        <w:rPr>
          <w:rFonts w:hint="default" w:eastAsia="宋体"/>
          <w:lang w:val="en-US" w:eastAsia="zh-CN"/>
        </w:rPr>
      </w:pP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pageBreakBefore w:val="0"/>
        <w:widowControl w:val="0"/>
        <w:kinsoku/>
        <w:overflowPunct/>
        <w:topLinePunct w:val="0"/>
        <w:bidi w:val="0"/>
        <w:spacing w:line="460" w:lineRule="exact"/>
        <w:ind w:firstLine="621" w:firstLineChars="259"/>
        <w:jc w:val="left"/>
        <w:rPr>
          <w:rFonts w:hint="eastAsia" w:ascii="宋体" w:hAnsi="宋体" w:eastAsia="宋体"/>
          <w:color w:val="FF0000"/>
          <w:sz w:val="24"/>
          <w:szCs w:val="24"/>
          <w:lang w:eastAsia="zh-CN"/>
        </w:rPr>
      </w:pPr>
      <w:r>
        <w:rPr>
          <w:rFonts w:hint="eastAsia" w:ascii="宋体" w:hAnsi="宋体"/>
          <w:sz w:val="24"/>
          <w:szCs w:val="24"/>
          <w:lang w:val="en-US" w:eastAsia="zh-CN"/>
        </w:rPr>
        <w:t>1.1</w:t>
      </w:r>
      <w:r>
        <w:rPr>
          <w:rFonts w:hint="eastAsia" w:ascii="宋体" w:hAnsi="宋体"/>
          <w:sz w:val="24"/>
          <w:szCs w:val="24"/>
        </w:rPr>
        <w:t>法人或者其他组织的营业执照等证明文件，自然人的身份证明；</w:t>
      </w:r>
    </w:p>
    <w:p>
      <w:pPr>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上</w:t>
      </w:r>
      <w:r>
        <w:rPr>
          <w:rFonts w:hint="eastAsia" w:ascii="宋体" w:hAnsi="宋体"/>
          <w:sz w:val="24"/>
          <w:szCs w:val="24"/>
        </w:rPr>
        <w:t>一个年度的财务状况报告（成立不满一年不需提供）；</w:t>
      </w:r>
    </w:p>
    <w:p>
      <w:pPr>
        <w:ind w:firstLine="480" w:firstLineChars="200"/>
        <w:rPr>
          <w:rFonts w:ascii="宋体" w:hAnsi="宋体"/>
          <w:sz w:val="24"/>
          <w:szCs w:val="24"/>
        </w:rPr>
      </w:pPr>
      <w:r>
        <w:rPr>
          <w:rFonts w:hint="eastAsia" w:ascii="宋体" w:hAnsi="宋体"/>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ind w:firstLine="480" w:firstLineChars="200"/>
        <w:rPr>
          <w:rFonts w:ascii="宋体" w:hAnsi="宋体"/>
          <w:sz w:val="24"/>
          <w:szCs w:val="24"/>
        </w:rPr>
      </w:pPr>
      <w:r>
        <w:rPr>
          <w:rFonts w:hint="eastAsia" w:ascii="宋体" w:hAnsi="宋体"/>
          <w:sz w:val="24"/>
          <w:szCs w:val="24"/>
        </w:rPr>
        <w:t>1.4具备履行合同所必需的设备和专业技术能力的证明材料；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rPr>
        <w:t>1.5参加政府采购活动前3年内在经营活动中没有重大违法记录的书面声明；</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供应商未被列入“信用中国”网站（www.creditchina.gov.cn）信用记录失信被执行人、重大税收违法案件当事人名单以及政府采购严重违法失信行为记录名单；（三个截图）；</w:t>
      </w:r>
    </w:p>
    <w:p>
      <w:pPr>
        <w:pageBreakBefore w:val="0"/>
        <w:widowControl w:val="0"/>
        <w:kinsoku/>
        <w:overflowPunct/>
        <w:topLinePunct w:val="0"/>
        <w:bidi w:val="0"/>
        <w:spacing w:line="46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投标保证金缴纳：</w:t>
      </w:r>
      <w:r>
        <w:rPr>
          <w:rFonts w:hint="eastAsia" w:ascii="宋体" w:hAnsi="宋体"/>
          <w:sz w:val="24"/>
          <w:szCs w:val="24"/>
          <w:lang w:val="en-US" w:eastAsia="zh-CN"/>
        </w:rPr>
        <w:t>本项目不收取投标保证金；</w:t>
      </w:r>
    </w:p>
    <w:p>
      <w:pPr>
        <w:pStyle w:val="22"/>
        <w:numPr>
          <w:ilvl w:val="0"/>
          <w:numId w:val="0"/>
        </w:numPr>
        <w:ind w:firstLine="480" w:firstLineChars="200"/>
        <w:rPr>
          <w:rFonts w:hint="eastAsia" w:hAnsi="宋体"/>
          <w:color w:val="FF0000"/>
          <w:sz w:val="24"/>
          <w:szCs w:val="24"/>
          <w:lang w:val="en-US" w:eastAsia="zh-CN"/>
        </w:rPr>
      </w:pPr>
      <w:r>
        <w:rPr>
          <w:rFonts w:hint="eastAsia" w:hAnsi="宋体"/>
          <w:color w:val="FF0000"/>
          <w:sz w:val="24"/>
          <w:szCs w:val="24"/>
          <w:lang w:val="en-US" w:eastAsia="zh-CN"/>
        </w:rPr>
        <w:t>3.本项目专门面向中小企业，投标供应商须上传《中小企业声明函》；</w:t>
      </w:r>
    </w:p>
    <w:p>
      <w:pPr>
        <w:pStyle w:val="22"/>
        <w:numPr>
          <w:ilvl w:val="0"/>
          <w:numId w:val="0"/>
        </w:numPr>
        <w:ind w:firstLine="480" w:firstLineChars="200"/>
        <w:rPr>
          <w:rFonts w:hint="eastAsia" w:ascii="宋体" w:hAnsi="宋体" w:eastAsia="宋体" w:cs="Times New Roman"/>
          <w:color w:val="FF0000"/>
          <w:sz w:val="24"/>
          <w:szCs w:val="24"/>
          <w:highlight w:val="none"/>
        </w:rPr>
      </w:pPr>
      <w:r>
        <w:rPr>
          <w:rFonts w:hint="eastAsia" w:hAnsi="宋体" w:cs="Times New Roman"/>
          <w:color w:val="FF0000"/>
          <w:kern w:val="2"/>
          <w:sz w:val="24"/>
          <w:szCs w:val="24"/>
          <w:lang w:val="en-US" w:eastAsia="zh-CN" w:bidi="ar-SA"/>
        </w:rPr>
        <w:t>4.</w:t>
      </w:r>
      <w:r>
        <w:rPr>
          <w:rFonts w:hint="eastAsia" w:ascii="宋体" w:hAnsi="宋体" w:eastAsia="宋体" w:cs="Times New Roman"/>
          <w:color w:val="FF0000"/>
          <w:kern w:val="2"/>
          <w:sz w:val="24"/>
          <w:szCs w:val="24"/>
          <w:lang w:val="en-US" w:eastAsia="zh-CN" w:bidi="ar-SA"/>
        </w:rPr>
        <w:t>符合《公安机关实施保安服务管理条例办法》的规定，在采购人所在地的公安机关有备案，并具有有效的公安机关核发《保安服务许可证》。投标公司须提供加盖投标人公章的电子证照。</w:t>
      </w:r>
    </w:p>
    <w:p>
      <w:pPr>
        <w:pStyle w:val="6"/>
        <w:pageBreakBefore w:val="0"/>
        <w:widowControl w:val="0"/>
        <w:kinsoku/>
        <w:overflowPunct/>
        <w:topLinePunct w:val="0"/>
        <w:bidi w:val="0"/>
        <w:spacing w:before="145" w:beforeLines="50" w:after="145" w:afterLines="50" w:line="460" w:lineRule="exact"/>
        <w:ind w:firstLine="643" w:firstLineChars="200"/>
      </w:pPr>
      <w:r>
        <w:rPr>
          <w:rFonts w:hint="eastAsia"/>
        </w:rPr>
        <w:t>三、获取招标文件</w:t>
      </w:r>
    </w:p>
    <w:p>
      <w:pPr>
        <w:pageBreakBefore w:val="0"/>
        <w:widowControl w:val="0"/>
        <w:kinsoku/>
        <w:overflowPunct/>
        <w:topLinePunct w:val="0"/>
        <w:bidi w:val="0"/>
        <w:spacing w:line="460" w:lineRule="exact"/>
        <w:ind w:firstLine="540"/>
        <w:rPr>
          <w:rFonts w:ascii="宋体" w:hAnsi="宋体" w:cs="宋体"/>
          <w:sz w:val="24"/>
          <w:szCs w:val="24"/>
        </w:rPr>
      </w:pPr>
      <w:r>
        <w:rPr>
          <w:rFonts w:hint="eastAsia" w:ascii="宋体" w:hAnsi="宋体" w:cs="宋体"/>
          <w:sz w:val="24"/>
          <w:szCs w:val="24"/>
        </w:rPr>
        <w:t>1.时间：自招标文件公告发布之日起5个工作日。</w:t>
      </w:r>
    </w:p>
    <w:p>
      <w:pPr>
        <w:pageBreakBefore w:val="0"/>
        <w:widowControl w:val="0"/>
        <w:kinsoku/>
        <w:overflowPunct/>
        <w:topLinePunct w:val="0"/>
        <w:bidi w:val="0"/>
        <w:spacing w:before="240" w:line="460" w:lineRule="exact"/>
        <w:ind w:left="43" w:right="118" w:firstLine="507"/>
        <w:rPr>
          <w:rFonts w:ascii="仿宋" w:hAnsi="仿宋" w:eastAsia="仿宋" w:cs="仿宋"/>
          <w:sz w:val="24"/>
          <w:szCs w:val="24"/>
        </w:rPr>
      </w:pPr>
      <w:r>
        <w:rPr>
          <w:rFonts w:hint="eastAsia" w:ascii="宋体" w:hAnsi="宋体" w:cs="宋体"/>
          <w:sz w:val="24"/>
          <w:szCs w:val="24"/>
        </w:rPr>
        <w:t>2.方式：在</w:t>
      </w:r>
      <w:r>
        <w:rPr>
          <w:rFonts w:hint="eastAsia" w:ascii="宋体" w:hAnsi="宋体" w:cs="宋体"/>
          <w:sz w:val="24"/>
          <w:szCs w:val="24"/>
          <w:lang w:eastAsia="zh-CN"/>
        </w:rPr>
        <w:t>“</w:t>
      </w:r>
      <w:r>
        <w:rPr>
          <w:rFonts w:hint="eastAsia" w:ascii="宋体" w:hAnsi="宋体" w:cs="宋体"/>
          <w:sz w:val="24"/>
          <w:szCs w:val="24"/>
          <w:lang w:val="en-US" w:eastAsia="zh-CN"/>
        </w:rPr>
        <w:t>政采云平台</w:t>
      </w:r>
      <w:r>
        <w:rPr>
          <w:rFonts w:hint="eastAsia" w:ascii="宋体" w:hAnsi="宋体" w:cs="宋体"/>
          <w:sz w:val="24"/>
          <w:szCs w:val="24"/>
          <w:lang w:eastAsia="zh-CN"/>
        </w:rPr>
        <w:t>”</w:t>
      </w:r>
      <w:r>
        <w:rPr>
          <w:rFonts w:hint="eastAsia" w:ascii="宋体" w:hAnsi="宋体" w:cs="宋体"/>
          <w:sz w:val="24"/>
          <w:szCs w:val="24"/>
          <w:lang w:val="en-US" w:eastAsia="zh-CN"/>
        </w:rPr>
        <w:t>-“项目采购”-“获取采购文件”中</w:t>
      </w:r>
      <w:r>
        <w:rPr>
          <w:rFonts w:hint="eastAsia" w:ascii="宋体" w:hAnsi="宋体" w:cs="宋体"/>
          <w:sz w:val="24"/>
          <w:szCs w:val="24"/>
        </w:rPr>
        <w:t>自行免费下载招标文件</w:t>
      </w:r>
      <w:r>
        <w:rPr>
          <w:rFonts w:hint="eastAsia" w:ascii="宋体" w:hAnsi="宋体" w:cs="宋体"/>
          <w:sz w:val="24"/>
          <w:szCs w:val="24"/>
          <w:lang w:eastAsia="zh-CN"/>
        </w:rPr>
        <w:t>，</w:t>
      </w:r>
      <w:r>
        <w:rPr>
          <w:rFonts w:hint="eastAsia" w:ascii="仿宋" w:hAnsi="仿宋" w:eastAsia="仿宋"/>
          <w:b/>
          <w:color w:val="auto"/>
          <w:kern w:val="2"/>
          <w:sz w:val="24"/>
          <w:szCs w:val="24"/>
          <w:highlight w:val="none"/>
          <w:lang w:val="en-US" w:eastAsia="zh-CN"/>
        </w:rPr>
        <w:t>（https://www.zcygov.cn）。</w:t>
      </w:r>
    </w:p>
    <w:p>
      <w:pPr>
        <w:pageBreakBefore w:val="0"/>
        <w:widowControl w:val="0"/>
        <w:kinsoku/>
        <w:overflowPunct/>
        <w:topLinePunct w:val="0"/>
        <w:bidi w:val="0"/>
        <w:spacing w:line="460" w:lineRule="exact"/>
        <w:ind w:firstLine="540"/>
        <w:rPr>
          <w:rFonts w:ascii="宋体" w:hAnsi="宋体" w:cs="宋体"/>
          <w:sz w:val="24"/>
          <w:szCs w:val="24"/>
          <w:u w:val="single"/>
        </w:rPr>
      </w:pPr>
    </w:p>
    <w:p>
      <w:pPr>
        <w:pStyle w:val="6"/>
        <w:pageBreakBefore w:val="0"/>
        <w:widowControl w:val="0"/>
        <w:kinsoku/>
        <w:overflowPunct/>
        <w:topLinePunct w:val="0"/>
        <w:bidi w:val="0"/>
        <w:spacing w:line="460" w:lineRule="exact"/>
        <w:ind w:firstLine="482" w:firstLineChars="150"/>
        <w:rPr>
          <w:rFonts w:hint="eastAsia"/>
        </w:rPr>
      </w:pPr>
      <w:bookmarkStart w:id="248" w:name="_GoBack"/>
      <w:r>
        <w:rPr>
          <w:rFonts w:hint="eastAsia"/>
        </w:rPr>
        <w:t>四、提交投标文件截止时间、开标时间和地点</w:t>
      </w:r>
    </w:p>
    <w:p>
      <w:pPr>
        <w:pageBreakBefore w:val="0"/>
        <w:widowControl w:val="0"/>
        <w:kinsoku/>
        <w:overflowPunct/>
        <w:topLinePunct w:val="0"/>
        <w:bidi w:val="0"/>
        <w:spacing w:line="460" w:lineRule="exact"/>
        <w:ind w:left="479" w:leftChars="228" w:firstLine="480" w:firstLineChars="200"/>
        <w:rPr>
          <w:rFonts w:hint="eastAsia" w:ascii="宋体" w:hAnsi="宋体" w:cs="宋体"/>
          <w:sz w:val="24"/>
          <w:szCs w:val="24"/>
          <w:highlight w:val="yellow"/>
          <w:lang w:eastAsia="zh-CN"/>
        </w:rPr>
      </w:pPr>
      <w:r>
        <w:rPr>
          <w:rFonts w:hint="eastAsia" w:ascii="宋体" w:hAnsi="宋体" w:cs="宋体"/>
          <w:color w:val="auto"/>
          <w:sz w:val="24"/>
          <w:szCs w:val="24"/>
          <w:highlight w:val="yellow"/>
        </w:rPr>
        <w:t>1.</w:t>
      </w:r>
      <w:r>
        <w:rPr>
          <w:rFonts w:hint="eastAsia" w:ascii="宋体" w:hAnsi="宋体" w:cs="宋体"/>
          <w:color w:val="auto"/>
          <w:sz w:val="24"/>
          <w:szCs w:val="24"/>
          <w:highlight w:val="yellow"/>
          <w:lang w:val="en-US" w:eastAsia="zh-CN"/>
        </w:rPr>
        <w:t>本项目</w:t>
      </w:r>
      <w:r>
        <w:rPr>
          <w:rFonts w:hint="eastAsia" w:ascii="宋体" w:hAnsi="宋体" w:cs="宋体"/>
          <w:color w:val="auto"/>
          <w:sz w:val="24"/>
          <w:szCs w:val="24"/>
          <w:highlight w:val="yellow"/>
        </w:rPr>
        <w:t>提交投标文件截止时间、开标时间：</w:t>
      </w:r>
      <w:r>
        <w:rPr>
          <w:rFonts w:hint="eastAsia" w:ascii="宋体" w:hAnsi="宋体" w:cs="宋体"/>
          <w:color w:val="auto"/>
          <w:sz w:val="24"/>
          <w:szCs w:val="24"/>
          <w:highlight w:val="yellow"/>
          <w:lang w:eastAsia="zh-CN"/>
        </w:rPr>
        <w:t>202</w:t>
      </w:r>
      <w:r>
        <w:rPr>
          <w:rFonts w:hint="eastAsia" w:ascii="宋体" w:hAnsi="宋体" w:cs="宋体"/>
          <w:color w:val="auto"/>
          <w:sz w:val="24"/>
          <w:szCs w:val="24"/>
          <w:highlight w:val="yellow"/>
          <w:lang w:val="en-US" w:eastAsia="zh-CN"/>
        </w:rPr>
        <w:t>4</w:t>
      </w:r>
      <w:r>
        <w:rPr>
          <w:rFonts w:hint="eastAsia" w:ascii="宋体" w:hAnsi="宋体" w:cs="宋体"/>
          <w:color w:val="auto"/>
          <w:sz w:val="24"/>
          <w:szCs w:val="24"/>
          <w:highlight w:val="yellow"/>
        </w:rPr>
        <w:t>年</w:t>
      </w:r>
      <w:r>
        <w:rPr>
          <w:rFonts w:hint="eastAsia" w:ascii="宋体" w:hAnsi="宋体" w:cs="宋体"/>
          <w:color w:val="auto"/>
          <w:sz w:val="24"/>
          <w:szCs w:val="24"/>
          <w:highlight w:val="yellow"/>
          <w:lang w:val="en-US" w:eastAsia="zh-CN"/>
        </w:rPr>
        <w:t>11</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22</w:t>
      </w:r>
      <w:r>
        <w:rPr>
          <w:rFonts w:hint="eastAsia" w:ascii="宋体" w:hAnsi="宋体" w:cs="宋体"/>
          <w:color w:val="auto"/>
          <w:sz w:val="24"/>
          <w:szCs w:val="24"/>
          <w:highlight w:val="yellow"/>
        </w:rPr>
        <w:t>日</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点</w:t>
      </w:r>
      <w:r>
        <w:rPr>
          <w:rFonts w:hint="eastAsia" w:ascii="宋体" w:hAnsi="宋体" w:cs="宋体"/>
          <w:color w:val="auto"/>
          <w:sz w:val="24"/>
          <w:szCs w:val="24"/>
          <w:highlight w:val="yellow"/>
          <w:lang w:val="en-US" w:eastAsia="zh-CN"/>
        </w:rPr>
        <w:t>30</w:t>
      </w:r>
      <w:r>
        <w:rPr>
          <w:rFonts w:hint="eastAsia" w:ascii="宋体" w:hAnsi="宋体" w:cs="宋体"/>
          <w:color w:val="auto"/>
          <w:sz w:val="24"/>
          <w:szCs w:val="24"/>
          <w:highlight w:val="yellow"/>
        </w:rPr>
        <w:t>分</w:t>
      </w:r>
      <w:r>
        <w:rPr>
          <w:rFonts w:hint="eastAsia" w:ascii="宋体" w:hAnsi="宋体" w:cs="宋体"/>
          <w:sz w:val="24"/>
          <w:szCs w:val="24"/>
          <w:highlight w:val="yellow"/>
        </w:rPr>
        <w:t>（北京时间）</w:t>
      </w:r>
      <w:r>
        <w:rPr>
          <w:rFonts w:hint="eastAsia" w:ascii="宋体" w:hAnsi="宋体" w:cs="宋体"/>
          <w:sz w:val="24"/>
          <w:szCs w:val="24"/>
          <w:highlight w:val="yellow"/>
          <w:lang w:eastAsia="zh-CN"/>
        </w:rPr>
        <w:t>；</w:t>
      </w:r>
    </w:p>
    <w:bookmarkEnd w:id="248"/>
    <w:p>
      <w:pPr>
        <w:pageBreakBefore w:val="0"/>
        <w:widowControl w:val="0"/>
        <w:kinsoku/>
        <w:overflowPunct/>
        <w:topLinePunct w:val="0"/>
        <w:bidi w:val="0"/>
        <w:spacing w:line="460" w:lineRule="exact"/>
        <w:ind w:left="479" w:leftChars="228" w:firstLine="480" w:firstLineChars="200"/>
        <w:rPr>
          <w:rFonts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政采云</w:t>
      </w:r>
      <w:r>
        <w:rPr>
          <w:rFonts w:hint="eastAsia" w:ascii="宋体" w:hAnsi="宋体" w:cs="宋体"/>
          <w:sz w:val="24"/>
          <w:szCs w:val="24"/>
        </w:rPr>
        <w:t>平台。</w:t>
      </w:r>
    </w:p>
    <w:p>
      <w:pPr>
        <w:pStyle w:val="6"/>
        <w:pageBreakBefore w:val="0"/>
        <w:widowControl w:val="0"/>
        <w:kinsoku/>
        <w:overflowPunct/>
        <w:topLinePunct w:val="0"/>
        <w:bidi w:val="0"/>
        <w:spacing w:before="145" w:beforeLines="50" w:after="145" w:afterLines="50" w:line="460" w:lineRule="exact"/>
        <w:ind w:firstLine="498" w:firstLineChars="155"/>
      </w:pPr>
      <w:bookmarkStart w:id="9" w:name="_Toc35393625"/>
      <w:bookmarkStart w:id="10" w:name="_Toc35393794"/>
      <w:bookmarkStart w:id="11" w:name="_Toc38985267"/>
      <w:bookmarkStart w:id="12" w:name="_Toc28359084"/>
      <w:bookmarkStart w:id="13" w:name="_Toc28359007"/>
      <w:r>
        <w:rPr>
          <w:rFonts w:hint="eastAsia"/>
        </w:rPr>
        <w:t>五、公告期限</w:t>
      </w:r>
      <w:bookmarkEnd w:id="9"/>
      <w:bookmarkEnd w:id="10"/>
      <w:bookmarkEnd w:id="11"/>
      <w:bookmarkEnd w:id="12"/>
      <w:bookmarkEnd w:id="13"/>
    </w:p>
    <w:p>
      <w:pPr>
        <w:pageBreakBefore w:val="0"/>
        <w:widowControl w:val="0"/>
        <w:tabs>
          <w:tab w:val="left" w:pos="900"/>
        </w:tabs>
        <w:kinsoku/>
        <w:overflowPunct/>
        <w:topLinePunct w:val="0"/>
        <w:bidi w:val="0"/>
        <w:spacing w:line="4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6"/>
        <w:pageBreakBefore w:val="0"/>
        <w:widowControl w:val="0"/>
        <w:kinsoku/>
        <w:overflowPunct/>
        <w:topLinePunct w:val="0"/>
        <w:bidi w:val="0"/>
        <w:spacing w:before="145" w:beforeLines="50" w:after="145" w:afterLines="50" w:line="460" w:lineRule="exact"/>
        <w:ind w:firstLine="498" w:firstLineChars="155"/>
      </w:pPr>
      <w:r>
        <w:rPr>
          <w:rFonts w:hint="eastAsia"/>
        </w:rPr>
        <w:t>六、其他补充事宜</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投标代表务必于开标当日保持手机联系畅通。</w:t>
      </w:r>
    </w:p>
    <w:p>
      <w:pPr>
        <w:pStyle w:val="6"/>
        <w:pageBreakBefore w:val="0"/>
        <w:widowControl w:val="0"/>
        <w:kinsoku/>
        <w:overflowPunct/>
        <w:topLinePunct w:val="0"/>
        <w:bidi w:val="0"/>
        <w:spacing w:before="145" w:beforeLines="50" w:after="145" w:afterLines="50" w:line="460" w:lineRule="exact"/>
        <w:ind w:firstLine="498" w:firstLineChars="155"/>
      </w:pPr>
      <w:bookmarkStart w:id="14" w:name="_Toc35393627"/>
      <w:bookmarkStart w:id="15" w:name="_Toc38985269"/>
      <w:bookmarkStart w:id="16" w:name="_Toc28359008"/>
      <w:bookmarkStart w:id="17" w:name="_Toc28359085"/>
      <w:bookmarkStart w:id="18" w:name="_Toc35393796"/>
      <w:r>
        <w:rPr>
          <w:rFonts w:hint="eastAsia"/>
        </w:rPr>
        <w:t>七、联系</w:t>
      </w:r>
      <w:bookmarkEnd w:id="14"/>
      <w:bookmarkEnd w:id="15"/>
      <w:bookmarkEnd w:id="16"/>
      <w:bookmarkEnd w:id="17"/>
      <w:bookmarkEnd w:id="18"/>
      <w:r>
        <w:rPr>
          <w:rFonts w:hint="eastAsia"/>
        </w:rPr>
        <w:t>事项</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1.采购人信息</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sz w:val="24"/>
          <w:szCs w:val="24"/>
          <w:highlight w:val="none"/>
          <w:lang w:val="en-US"/>
        </w:rPr>
      </w:pPr>
      <w:r>
        <w:rPr>
          <w:rFonts w:hint="eastAsia" w:ascii="宋体" w:hAnsi="宋体"/>
          <w:sz w:val="24"/>
          <w:szCs w:val="24"/>
          <w:highlight w:val="none"/>
        </w:rPr>
        <w:t>名 称：</w:t>
      </w:r>
      <w:r>
        <w:rPr>
          <w:rFonts w:hint="eastAsia" w:ascii="宋体" w:hAnsi="宋体"/>
          <w:sz w:val="24"/>
          <w:szCs w:val="24"/>
          <w:highlight w:val="none"/>
          <w:lang w:val="en-US" w:eastAsia="zh-CN"/>
        </w:rPr>
        <w:t>昌吉州人民医院</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sz w:val="24"/>
          <w:szCs w:val="24"/>
          <w:highlight w:val="none"/>
        </w:rPr>
        <w:t>地址：</w:t>
      </w:r>
      <w:r>
        <w:rPr>
          <w:rFonts w:ascii="宋体" w:hAnsi="宋体"/>
          <w:sz w:val="24"/>
          <w:szCs w:val="24"/>
          <w:highlight w:val="none"/>
        </w:rPr>
        <w:t xml:space="preserve"> </w:t>
      </w:r>
      <w:r>
        <w:rPr>
          <w:rFonts w:ascii="宋体" w:hAnsi="宋体" w:eastAsia="宋体" w:cs="宋体"/>
          <w:sz w:val="24"/>
          <w:szCs w:val="24"/>
        </w:rPr>
        <w:t>昌吉市</w:t>
      </w:r>
      <w:r>
        <w:rPr>
          <w:rFonts w:hint="eastAsia" w:ascii="宋体" w:hAnsi="宋体" w:cs="宋体"/>
          <w:sz w:val="24"/>
          <w:szCs w:val="24"/>
          <w:lang w:val="en-US" w:eastAsia="zh-CN"/>
        </w:rPr>
        <w:t>延安北路303号</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郭老师</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联系电话：</w:t>
      </w:r>
      <w:r>
        <w:rPr>
          <w:rFonts w:hint="eastAsia" w:ascii="宋体" w:hAnsi="宋体"/>
          <w:sz w:val="24"/>
          <w:szCs w:val="24"/>
          <w:highlight w:val="none"/>
          <w:lang w:val="en-US" w:eastAsia="zh-CN"/>
        </w:rPr>
        <w:t>0994-2348827</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lang w:val="en-US" w:eastAsia="zh-CN"/>
        </w:rPr>
      </w:pPr>
      <w:r>
        <w:rPr>
          <w:rFonts w:hint="eastAsia" w:ascii="宋体" w:hAnsi="宋体"/>
          <w:sz w:val="24"/>
          <w:szCs w:val="24"/>
        </w:rPr>
        <w:t>地　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昌吉市宁边西路231号(509 室)</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szCs w:val="24"/>
          <w:highlight w:val="none"/>
        </w:rPr>
        <w:t>联系人：</w:t>
      </w:r>
      <w:r>
        <w:rPr>
          <w:rFonts w:hint="eastAsia" w:ascii="宋体" w:hAnsi="宋体" w:eastAsia="宋体" w:cs="Times New Roman"/>
          <w:sz w:val="24"/>
          <w:highlight w:val="none"/>
          <w:lang w:val="en-US" w:eastAsia="zh-CN"/>
        </w:rPr>
        <w:t>朱老师</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联系电话：</w:t>
      </w:r>
      <w:r>
        <w:rPr>
          <w:rFonts w:hint="eastAsia" w:ascii="宋体" w:hAnsi="宋体" w:eastAsia="宋体" w:cs="Times New Roman"/>
          <w:sz w:val="24"/>
          <w:szCs w:val="24"/>
          <w:highlight w:val="none"/>
          <w:lang w:val="en-US" w:eastAsia="zh-CN"/>
        </w:rPr>
        <w:t>099</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2267807</w:t>
      </w:r>
    </w:p>
    <w:p>
      <w:pPr>
        <w:pStyle w:val="6"/>
        <w:pageBreakBefore w:val="0"/>
        <w:widowControl w:val="0"/>
        <w:kinsoku/>
        <w:overflowPunct/>
        <w:topLinePunct w:val="0"/>
        <w:bidi w:val="0"/>
        <w:spacing w:line="460" w:lineRule="exact"/>
        <w:ind w:firstLine="482" w:firstLineChars="150"/>
        <w:rPr>
          <w:rFonts w:hint="eastAsia"/>
        </w:rPr>
      </w:pPr>
      <w:r>
        <w:rPr>
          <w:rFonts w:hint="eastAsia"/>
        </w:rPr>
        <w:t>八、其他</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1、本项目实行电子招投标，供应商须登录政采云平台申请获取招标文件，并通过政采云电子投标客户端制作投标文件。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2、各供应商应在开标前确保成为政采云平台正式供应商，并完成CA数字证书（符合国密标准）申领。因未注册入库、未办理CA数字证书等原因造成无法投标或投标失败等后果由供应商自行承担。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4、本项目采用不见面开标，供应商须在投标截止时间前通过CA在政采云平台上传加密的电子响应文件。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5、供应商应当在递交截止时间前,将生成的“电子加密响应文件”上传递交至“政府采购云平台”,递交截止时间以后上传递交的响应文件将被“政府采购云平台”拒收。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16"/>
        <w:pageBreakBefore w:val="0"/>
        <w:widowControl w:val="0"/>
        <w:kinsoku/>
        <w:overflowPunct/>
        <w:topLinePunct w:val="0"/>
        <w:bidi w:val="0"/>
        <w:spacing w:line="46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7、本项目不收取投标保证金。</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8、本项目的中标供应商可以登陆政府采购云平台（www.zcygov.cn）,进入“项目采购” 自行打印中标通知书。通过政府采购云平台下载打印的中标通知书与现场开具的中标通知书具有同等法律效力。</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default" w:ascii="宋体" w:hAnsi="宋体" w:eastAsia="宋体" w:cs="Times New Roman"/>
          <w:bCs/>
          <w:sz w:val="24"/>
          <w:szCs w:val="24"/>
          <w:lang w:val="en-US" w:eastAsia="zh-CN"/>
        </w:rPr>
      </w:pPr>
      <w:r>
        <w:rPr>
          <w:rFonts w:hint="eastAsia" w:ascii="宋体" w:hAnsi="宋体" w:eastAsia="宋体" w:cs="宋体"/>
          <w:sz w:val="24"/>
          <w:szCs w:val="24"/>
          <w:lang w:val="en-US" w:eastAsia="zh-CN"/>
        </w:rPr>
        <w:t>9、系统技术支持电话：95763。</w:t>
      </w:r>
    </w:p>
    <w:p>
      <w:pPr>
        <w:pageBreakBefore w:val="0"/>
        <w:widowControl w:val="0"/>
        <w:kinsoku/>
        <w:overflowPunct/>
        <w:topLinePunct w:val="0"/>
        <w:bidi w:val="0"/>
        <w:spacing w:line="460" w:lineRule="exact"/>
        <w:ind w:firstLine="480" w:firstLineChars="200"/>
        <w:rPr>
          <w:rFonts w:hint="default" w:ascii="宋体" w:hAnsi="宋体" w:eastAsia="宋体"/>
          <w:sz w:val="24"/>
          <w:lang w:val="en-US" w:eastAsia="zh-CN"/>
        </w:rPr>
      </w:pPr>
    </w:p>
    <w:bookmarkEnd w:id="2"/>
    <w:bookmarkEnd w:id="3"/>
    <w:bookmarkEnd w:id="4"/>
    <w:bookmarkEnd w:id="5"/>
    <w:bookmarkEnd w:id="6"/>
    <w:p>
      <w:pPr>
        <w:pStyle w:val="5"/>
        <w:pageBreakBefore w:val="0"/>
        <w:widowControl w:val="0"/>
        <w:kinsoku/>
        <w:overflowPunct/>
        <w:topLinePunct w:val="0"/>
        <w:bidi w:val="0"/>
        <w:spacing w:line="460" w:lineRule="exact"/>
        <w:ind w:firstLine="2429" w:firstLineChars="550"/>
        <w:jc w:val="both"/>
        <w:rPr>
          <w:rFonts w:ascii="黑体"/>
          <w:b w:val="0"/>
          <w:bCs w:val="0"/>
        </w:rPr>
      </w:pPr>
      <w:bookmarkStart w:id="19" w:name="_Toc120614211"/>
      <w:bookmarkStart w:id="20" w:name="_Toc534725597"/>
      <w:bookmarkStart w:id="21" w:name="_Toc534816626"/>
      <w:bookmarkStart w:id="22" w:name="_Toc479757207"/>
      <w:bookmarkStart w:id="23" w:name="_Toc513029242"/>
      <w:bookmarkStart w:id="24" w:name="_Toc16938558"/>
      <w:bookmarkStart w:id="25" w:name="_Toc20823314"/>
      <w:bookmarkStart w:id="26" w:name="_Toc120614221"/>
      <w:bookmarkStart w:id="27" w:name="_Toc494375079"/>
      <w:r>
        <w:rPr>
          <w:rFonts w:hint="eastAsia" w:ascii="黑体"/>
        </w:rPr>
        <w:t xml:space="preserve">第二章  </w:t>
      </w:r>
      <w:bookmarkEnd w:id="19"/>
      <w:bookmarkStart w:id="28" w:name="_Toc16938518"/>
      <w:bookmarkStart w:id="29" w:name="_Toc513029202"/>
      <w:bookmarkStart w:id="30" w:name="_Toc120614213"/>
      <w:bookmarkStart w:id="31" w:name="_Toc20823274"/>
      <w:r>
        <w:rPr>
          <w:rFonts w:hint="eastAsia" w:ascii="黑体"/>
        </w:rPr>
        <w:t>投标人须知</w:t>
      </w:r>
      <w:bookmarkEnd w:id="20"/>
      <w:bookmarkEnd w:id="21"/>
      <w:bookmarkEnd w:id="28"/>
      <w:bookmarkEnd w:id="29"/>
      <w:bookmarkEnd w:id="30"/>
      <w:bookmarkEnd w:id="31"/>
    </w:p>
    <w:p>
      <w:pPr>
        <w:pStyle w:val="6"/>
        <w:pageBreakBefore w:val="0"/>
        <w:widowControl w:val="0"/>
        <w:kinsoku/>
        <w:overflowPunct/>
        <w:topLinePunct w:val="0"/>
        <w:bidi w:val="0"/>
        <w:spacing w:before="145" w:beforeLines="50" w:after="145" w:afterLines="50" w:line="460" w:lineRule="exact"/>
        <w:ind w:firstLine="498" w:firstLineChars="155"/>
        <w:rPr>
          <w:rFonts w:hint="eastAsia"/>
        </w:rPr>
      </w:pPr>
      <w:bookmarkStart w:id="32" w:name="_Toc513029203"/>
      <w:bookmarkStart w:id="33" w:name="_Toc20823275"/>
      <w:bookmarkStart w:id="34" w:name="_Toc120614214"/>
      <w:bookmarkStart w:id="35" w:name="_Toc534816627"/>
      <w:bookmarkStart w:id="36" w:name="_Toc534725598"/>
      <w:bookmarkStart w:id="37" w:name="_Toc16938519"/>
      <w:r>
        <w:rPr>
          <w:rFonts w:hint="eastAsia"/>
        </w:rPr>
        <w:t>一、总则</w:t>
      </w:r>
      <w:bookmarkEnd w:id="32"/>
      <w:bookmarkEnd w:id="33"/>
      <w:bookmarkEnd w:id="34"/>
      <w:bookmarkEnd w:id="35"/>
      <w:bookmarkEnd w:id="36"/>
      <w:bookmarkEnd w:id="37"/>
    </w:p>
    <w:p>
      <w:pPr>
        <w:pStyle w:val="7"/>
        <w:pageBreakBefore w:val="0"/>
        <w:widowControl w:val="0"/>
        <w:kinsoku/>
        <w:overflowPunct/>
        <w:topLinePunct w:val="0"/>
        <w:bidi w:val="0"/>
        <w:spacing w:line="460" w:lineRule="exact"/>
        <w:rPr>
          <w:b w:val="0"/>
        </w:rPr>
      </w:pPr>
      <w:bookmarkStart w:id="38" w:name="_Hlt16619475"/>
      <w:bookmarkEnd w:id="38"/>
      <w:bookmarkStart w:id="39" w:name="_Toc458694821"/>
      <w:bookmarkStart w:id="40" w:name="_Toc16938520"/>
      <w:bookmarkStart w:id="41" w:name="_Toc513029204"/>
      <w:bookmarkStart w:id="42" w:name="_Toc20823276"/>
      <w:r>
        <w:rPr>
          <w:b w:val="0"/>
          <w:bCs/>
        </w:rPr>
        <w:t>1</w:t>
      </w:r>
      <w:bookmarkEnd w:id="39"/>
      <w:r>
        <w:rPr>
          <w:rFonts w:hint="eastAsia"/>
          <w:b w:val="0"/>
          <w:bCs/>
        </w:rPr>
        <w:t>、招标方式</w:t>
      </w:r>
      <w:bookmarkEnd w:id="40"/>
      <w:bookmarkEnd w:id="41"/>
      <w:bookmarkEnd w:id="4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7"/>
        <w:pageBreakBefore w:val="0"/>
        <w:widowControl w:val="0"/>
        <w:kinsoku/>
        <w:overflowPunct/>
        <w:topLinePunct w:val="0"/>
        <w:bidi w:val="0"/>
        <w:spacing w:line="460" w:lineRule="exact"/>
        <w:rPr>
          <w:rFonts w:hint="eastAsia"/>
          <w:b w:val="0"/>
        </w:rPr>
      </w:pPr>
      <w:bookmarkStart w:id="43" w:name="_Toc513029205"/>
      <w:bookmarkStart w:id="44" w:name="_Toc16938521"/>
      <w:bookmarkStart w:id="45" w:name="_Toc20823277"/>
      <w:r>
        <w:rPr>
          <w:b w:val="0"/>
          <w:bCs/>
        </w:rPr>
        <w:t>2</w:t>
      </w:r>
      <w:r>
        <w:rPr>
          <w:rFonts w:hint="eastAsia"/>
          <w:b w:val="0"/>
          <w:bCs/>
        </w:rPr>
        <w:t>、合格的投标人</w:t>
      </w:r>
      <w:bookmarkEnd w:id="43"/>
      <w:bookmarkEnd w:id="44"/>
      <w:bookmarkEnd w:id="4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7"/>
        <w:pageBreakBefore w:val="0"/>
        <w:widowControl w:val="0"/>
        <w:kinsoku/>
        <w:overflowPunct/>
        <w:topLinePunct w:val="0"/>
        <w:bidi w:val="0"/>
        <w:spacing w:line="460" w:lineRule="exact"/>
        <w:rPr>
          <w:rFonts w:hint="eastAsia"/>
          <w:b w:val="0"/>
        </w:rPr>
      </w:pPr>
      <w:bookmarkStart w:id="46" w:name="_Toc20823278"/>
      <w:bookmarkStart w:id="47" w:name="_Toc16938522"/>
      <w:bookmarkStart w:id="48" w:name="_Toc513029206"/>
      <w:r>
        <w:rPr>
          <w:b w:val="0"/>
          <w:bCs/>
        </w:rPr>
        <w:t>3</w:t>
      </w:r>
      <w:r>
        <w:rPr>
          <w:rFonts w:hint="eastAsia"/>
          <w:b w:val="0"/>
          <w:bCs/>
        </w:rPr>
        <w:t>、适用法律</w:t>
      </w:r>
      <w:bookmarkEnd w:id="46"/>
      <w:bookmarkEnd w:id="47"/>
      <w:bookmarkEnd w:id="48"/>
    </w:p>
    <w:p>
      <w:pPr>
        <w:pageBreakBefore w:val="0"/>
        <w:widowControl w:val="0"/>
        <w:kinsoku/>
        <w:overflowPunct/>
        <w:topLinePunct w:val="0"/>
        <w:bidi w:val="0"/>
        <w:spacing w:line="46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7"/>
        <w:pageBreakBefore w:val="0"/>
        <w:widowControl w:val="0"/>
        <w:kinsoku/>
        <w:overflowPunct/>
        <w:topLinePunct w:val="0"/>
        <w:bidi w:val="0"/>
        <w:spacing w:line="460" w:lineRule="exact"/>
        <w:rPr>
          <w:rFonts w:hint="eastAsia"/>
          <w:b w:val="0"/>
        </w:rPr>
      </w:pPr>
      <w:bookmarkStart w:id="49" w:name="_Toc513029207"/>
      <w:bookmarkStart w:id="50" w:name="_Toc20823279"/>
      <w:bookmarkStart w:id="51" w:name="_Toc462564067"/>
      <w:bookmarkStart w:id="52" w:name="_Toc16938523"/>
      <w:r>
        <w:rPr>
          <w:b w:val="0"/>
          <w:bCs/>
        </w:rPr>
        <w:t>4</w:t>
      </w:r>
      <w:r>
        <w:rPr>
          <w:rFonts w:hint="eastAsia"/>
          <w:b w:val="0"/>
          <w:bCs/>
        </w:rPr>
        <w:t>、投标费用</w:t>
      </w:r>
      <w:bookmarkEnd w:id="49"/>
      <w:bookmarkEnd w:id="50"/>
      <w:bookmarkEnd w:id="51"/>
      <w:bookmarkEnd w:id="5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w:t>
      </w: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r>
        <w:rPr>
          <w:rFonts w:hint="eastAsia" w:ascii="宋体" w:hAnsi="宋体"/>
          <w:sz w:val="24"/>
        </w:rPr>
        <w:t>（以下简称“交易中心”）在任何情况下均无义务和责任承担这些费用。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4.2本次招标交易中心和采购人不收取标书工本费与中标服务费。</w:t>
      </w:r>
    </w:p>
    <w:p>
      <w:pPr>
        <w:pStyle w:val="7"/>
        <w:pageBreakBefore w:val="0"/>
        <w:widowControl w:val="0"/>
        <w:kinsoku/>
        <w:overflowPunct/>
        <w:topLinePunct w:val="0"/>
        <w:bidi w:val="0"/>
        <w:spacing w:line="46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6"/>
        <w:pageBreakBefore w:val="0"/>
        <w:widowControl w:val="0"/>
        <w:kinsoku/>
        <w:overflowPunct/>
        <w:topLinePunct w:val="0"/>
        <w:bidi w:val="0"/>
        <w:spacing w:before="145" w:beforeLines="50" w:after="145" w:afterLines="50" w:line="460" w:lineRule="exact"/>
        <w:ind w:firstLine="321" w:firstLineChars="100"/>
        <w:rPr>
          <w:rFonts w:hint="eastAsia"/>
        </w:rPr>
      </w:pPr>
      <w:bookmarkStart w:id="53" w:name="_Toc534725599"/>
      <w:bookmarkStart w:id="54" w:name="_Toc20823281"/>
      <w:bookmarkStart w:id="55" w:name="_Toc534816628"/>
      <w:bookmarkStart w:id="56" w:name="_Toc16938525"/>
      <w:bookmarkStart w:id="57" w:name="_Toc513029209"/>
      <w:bookmarkStart w:id="58" w:name="_Toc120614215"/>
      <w:r>
        <w:rPr>
          <w:rFonts w:hint="eastAsia"/>
        </w:rPr>
        <w:t>二、招标文件</w:t>
      </w:r>
      <w:bookmarkEnd w:id="53"/>
      <w:bookmarkEnd w:id="54"/>
      <w:bookmarkEnd w:id="55"/>
      <w:bookmarkEnd w:id="56"/>
      <w:bookmarkEnd w:id="57"/>
      <w:bookmarkEnd w:id="58"/>
    </w:p>
    <w:p>
      <w:pPr>
        <w:pStyle w:val="7"/>
        <w:pageBreakBefore w:val="0"/>
        <w:widowControl w:val="0"/>
        <w:kinsoku/>
        <w:overflowPunct/>
        <w:topLinePunct w:val="0"/>
        <w:bidi w:val="0"/>
        <w:spacing w:line="460" w:lineRule="exact"/>
        <w:rPr>
          <w:b w:val="0"/>
        </w:rPr>
      </w:pPr>
      <w:bookmarkStart w:id="59" w:name="_Toc20823282"/>
      <w:bookmarkStart w:id="60" w:name="_Toc513029210"/>
      <w:bookmarkStart w:id="61" w:name="_Toc16938526"/>
      <w:r>
        <w:rPr>
          <w:b w:val="0"/>
          <w:bCs/>
        </w:rPr>
        <w:t>6</w:t>
      </w:r>
      <w:r>
        <w:rPr>
          <w:rFonts w:hint="eastAsia"/>
          <w:b w:val="0"/>
          <w:bCs/>
        </w:rPr>
        <w:t>、招标文件构成</w:t>
      </w:r>
      <w:bookmarkEnd w:id="59"/>
      <w:bookmarkEnd w:id="60"/>
      <w:bookmarkEnd w:id="6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（2）投标人须知</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（3）合同条款及格式</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（4）项目需求</w:t>
      </w:r>
    </w:p>
    <w:p>
      <w:pPr>
        <w:pageBreakBefore w:val="0"/>
        <w:widowControl w:val="0"/>
        <w:kinsoku/>
        <w:overflowPunct/>
        <w:topLinePunct w:val="0"/>
        <w:bidi w:val="0"/>
        <w:spacing w:line="460" w:lineRule="exact"/>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pageBreakBefore w:val="0"/>
        <w:widowControl w:val="0"/>
        <w:kinsoku/>
        <w:overflowPunct/>
        <w:topLinePunct w:val="0"/>
        <w:bidi w:val="0"/>
        <w:spacing w:line="460" w:lineRule="exact"/>
        <w:ind w:firstLine="360" w:firstLineChars="150"/>
        <w:rPr>
          <w:rFonts w:ascii="宋体" w:hAnsi="宋体"/>
          <w:sz w:val="24"/>
          <w:szCs w:val="24"/>
        </w:rPr>
      </w:pPr>
      <w:r>
        <w:rPr>
          <w:rFonts w:hint="eastAsia" w:ascii="宋体" w:hAnsi="宋体"/>
          <w:sz w:val="24"/>
          <w:szCs w:val="24"/>
        </w:rPr>
        <w:t>（6）投标文件格式</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请仔细检查招标文件是否齐全，如有缺漏请立即与交易中心联系解决。</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pageBreakBefore w:val="0"/>
        <w:widowControl w:val="0"/>
        <w:kinsoku/>
        <w:overflowPunct/>
        <w:topLinePunct w:val="0"/>
        <w:bidi w:val="0"/>
        <w:spacing w:line="460" w:lineRule="exact"/>
        <w:ind w:firstLine="560" w:firstLineChars="200"/>
        <w:rPr>
          <w:rFonts w:hint="eastAsia"/>
          <w:b w:val="0"/>
        </w:rPr>
      </w:pPr>
      <w:bookmarkStart w:id="62" w:name="_Toc462564070"/>
      <w:bookmarkStart w:id="63" w:name="_Toc513029211"/>
      <w:bookmarkStart w:id="64" w:name="_Toc20823283"/>
      <w:bookmarkStart w:id="65" w:name="_Toc16938527"/>
      <w:r>
        <w:rPr>
          <w:b w:val="0"/>
          <w:bCs/>
        </w:rPr>
        <w:t>7</w:t>
      </w:r>
      <w:r>
        <w:rPr>
          <w:rFonts w:hint="eastAsia"/>
          <w:b w:val="0"/>
          <w:bCs/>
        </w:rPr>
        <w:t>、招标文件的澄清</w:t>
      </w:r>
      <w:bookmarkEnd w:id="62"/>
      <w:bookmarkEnd w:id="63"/>
      <w:bookmarkEnd w:id="64"/>
      <w:bookmarkEnd w:id="6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lang w:val="en-US" w:eastAsia="zh-Hans"/>
        </w:rPr>
        <w:t>七</w:t>
      </w:r>
      <w:r>
        <w:rPr>
          <w:rFonts w:hint="eastAsia" w:ascii="仿宋_GB2312" w:hAnsi="仿宋_GB2312"/>
          <w:b/>
          <w:sz w:val="24"/>
          <w:szCs w:val="24"/>
        </w:rPr>
        <w:t>日</w:t>
      </w:r>
      <w:r>
        <w:rPr>
          <w:rFonts w:hint="eastAsia" w:ascii="仿宋_GB2312" w:hAnsi="仿宋_GB2312"/>
          <w:sz w:val="24"/>
          <w:szCs w:val="24"/>
        </w:rPr>
        <w:t>前</w:t>
      </w:r>
      <w:r>
        <w:rPr>
          <w:rFonts w:hint="eastAsia" w:ascii="宋体" w:hAnsi="宋体"/>
          <w:sz w:val="24"/>
        </w:rPr>
        <w:t>按招标公告中的通讯地址，以书面形式通知交易中心。</w:t>
      </w:r>
    </w:p>
    <w:p>
      <w:pPr>
        <w:pStyle w:val="7"/>
        <w:pageBreakBefore w:val="0"/>
        <w:widowControl w:val="0"/>
        <w:kinsoku/>
        <w:overflowPunct/>
        <w:topLinePunct w:val="0"/>
        <w:bidi w:val="0"/>
        <w:spacing w:line="460" w:lineRule="exact"/>
        <w:ind w:firstLine="560" w:firstLineChars="200"/>
        <w:rPr>
          <w:rFonts w:hint="eastAsia"/>
          <w:b w:val="0"/>
        </w:rPr>
      </w:pPr>
      <w:bookmarkStart w:id="66" w:name="_Toc20823284"/>
      <w:bookmarkStart w:id="67" w:name="_Toc16938528"/>
      <w:bookmarkStart w:id="68" w:name="_Toc462564071"/>
      <w:bookmarkStart w:id="69" w:name="_Toc513029212"/>
      <w:r>
        <w:rPr>
          <w:b w:val="0"/>
          <w:bCs/>
        </w:rPr>
        <w:t>8</w:t>
      </w:r>
      <w:r>
        <w:rPr>
          <w:rFonts w:hint="eastAsia"/>
          <w:b w:val="0"/>
          <w:bCs/>
        </w:rPr>
        <w:t>、招标文件的修改</w:t>
      </w:r>
      <w:bookmarkEnd w:id="66"/>
      <w:bookmarkEnd w:id="67"/>
      <w:bookmarkEnd w:id="68"/>
      <w:bookmarkEnd w:id="69"/>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宋体" w:hAnsi="宋体"/>
          <w:sz w:val="24"/>
          <w:lang w:val="en-US" w:eastAsia="zh-Hans"/>
        </w:rPr>
        <w:t>至少十五日</w:t>
      </w:r>
      <w:r>
        <w:rPr>
          <w:rFonts w:hint="eastAsia" w:ascii="仿宋_GB2312" w:hAnsi="仿宋_GB2312"/>
          <w:sz w:val="24"/>
        </w:rPr>
        <w:t>前</w:t>
      </w:r>
      <w:r>
        <w:rPr>
          <w:rFonts w:hint="eastAsia" w:ascii="宋体" w:hAnsi="宋体"/>
          <w:sz w:val="24"/>
        </w:rPr>
        <w:t>，交易中心可以对招标文件进行修改。</w:t>
      </w:r>
    </w:p>
    <w:p>
      <w:pPr>
        <w:pageBreakBefore w:val="0"/>
        <w:widowControl w:val="0"/>
        <w:kinsoku/>
        <w:overflowPunct/>
        <w:topLinePunct w:val="0"/>
        <w:bidi w:val="0"/>
        <w:spacing w:line="46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sz w:val="24"/>
        </w:rPr>
        <w:t>交易中心</w:t>
      </w:r>
      <w:r>
        <w:rPr>
          <w:rFonts w:hint="eastAsia" w:ascii="宋体" w:hAnsi="宋体"/>
          <w:sz w:val="24"/>
          <w:szCs w:val="24"/>
        </w:rPr>
        <w:t>有权按照法定的要求</w:t>
      </w:r>
      <w:r>
        <w:rPr>
          <w:rFonts w:hint="eastAsia" w:ascii="宋体" w:hAnsi="宋体"/>
          <w:sz w:val="24"/>
        </w:rPr>
        <w:t>推迟投标截止日期和开标日期。</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70" w:name="_Toc16938529"/>
      <w:bookmarkStart w:id="71" w:name="_Toc120614216"/>
      <w:bookmarkStart w:id="72" w:name="_Toc20823285"/>
      <w:bookmarkStart w:id="73" w:name="_Toc513029213"/>
      <w:bookmarkStart w:id="74" w:name="_Toc462564072"/>
      <w:bookmarkStart w:id="75" w:name="_Toc534725600"/>
      <w:bookmarkStart w:id="76" w:name="_Toc534816629"/>
      <w:r>
        <w:rPr>
          <w:rFonts w:hint="eastAsia"/>
        </w:rPr>
        <w:t>三、投标文件的编制</w:t>
      </w:r>
      <w:bookmarkEnd w:id="70"/>
      <w:bookmarkEnd w:id="71"/>
      <w:bookmarkEnd w:id="72"/>
      <w:bookmarkEnd w:id="73"/>
      <w:bookmarkEnd w:id="74"/>
      <w:bookmarkEnd w:id="75"/>
      <w:bookmarkEnd w:id="76"/>
    </w:p>
    <w:p>
      <w:pPr>
        <w:pStyle w:val="7"/>
        <w:pageBreakBefore w:val="0"/>
        <w:widowControl w:val="0"/>
        <w:kinsoku/>
        <w:overflowPunct/>
        <w:topLinePunct w:val="0"/>
        <w:bidi w:val="0"/>
        <w:spacing w:line="460" w:lineRule="exact"/>
        <w:ind w:firstLine="560" w:firstLineChars="200"/>
      </w:pPr>
      <w:bookmarkStart w:id="77" w:name="_Toc513029214"/>
      <w:bookmarkStart w:id="78" w:name="_Toc16938530"/>
      <w:bookmarkStart w:id="79" w:name="_Toc20823286"/>
      <w:bookmarkStart w:id="80" w:name="_Toc462564073"/>
      <w:r>
        <w:rPr>
          <w:b w:val="0"/>
          <w:bCs/>
        </w:rPr>
        <w:t>9</w:t>
      </w:r>
      <w:r>
        <w:rPr>
          <w:rFonts w:hint="eastAsia"/>
          <w:b w:val="0"/>
          <w:bCs/>
        </w:rPr>
        <w:t>、投标文件的语言及度量衡单位</w:t>
      </w:r>
      <w:bookmarkEnd w:id="77"/>
      <w:bookmarkEnd w:id="78"/>
      <w:bookmarkEnd w:id="79"/>
      <w:bookmarkEnd w:id="8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9.1</w:t>
      </w:r>
      <w:r>
        <w:rPr>
          <w:rFonts w:hint="eastAsia" w:ascii="宋体" w:hAnsi="宋体"/>
          <w:sz w:val="24"/>
        </w:rPr>
        <w:t xml:space="preserve"> 投标人提交的投标文件以及投标人与交易中心就有关投标的所有来往通知、函件和文件均应使用</w:t>
      </w:r>
      <w:r>
        <w:rPr>
          <w:rFonts w:hint="eastAsia" w:ascii="宋体" w:hAnsi="宋体"/>
          <w:b/>
          <w:bCs/>
          <w:sz w:val="24"/>
        </w:rPr>
        <w:t>简体中文</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7"/>
        <w:pageBreakBefore w:val="0"/>
        <w:widowControl w:val="0"/>
        <w:kinsoku/>
        <w:overflowPunct/>
        <w:topLinePunct w:val="0"/>
        <w:bidi w:val="0"/>
        <w:spacing w:line="460" w:lineRule="exact"/>
        <w:rPr>
          <w:rFonts w:hint="eastAsia"/>
          <w:b w:val="0"/>
        </w:rPr>
      </w:pPr>
      <w:bookmarkStart w:id="81" w:name="_Toc20823287"/>
      <w:bookmarkStart w:id="82" w:name="_Toc16938531"/>
      <w:bookmarkStart w:id="83" w:name="_Toc462564074"/>
      <w:bookmarkStart w:id="84" w:name="_Toc513029215"/>
      <w:r>
        <w:rPr>
          <w:b w:val="0"/>
          <w:bCs/>
        </w:rPr>
        <w:t>10</w:t>
      </w:r>
      <w:r>
        <w:rPr>
          <w:rFonts w:hint="eastAsia"/>
          <w:b w:val="0"/>
          <w:bCs/>
        </w:rPr>
        <w:t>、投标文件构成</w:t>
      </w:r>
      <w:bookmarkEnd w:id="81"/>
      <w:bookmarkEnd w:id="82"/>
      <w:bookmarkEnd w:id="83"/>
      <w:bookmarkEnd w:id="84"/>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7"/>
        <w:pageBreakBefore w:val="0"/>
        <w:widowControl w:val="0"/>
        <w:kinsoku/>
        <w:overflowPunct/>
        <w:topLinePunct w:val="0"/>
        <w:bidi w:val="0"/>
        <w:spacing w:line="460" w:lineRule="exact"/>
        <w:rPr>
          <w:rFonts w:hint="eastAsia" w:eastAsia="黑体"/>
          <w:b w:val="0"/>
        </w:rPr>
      </w:pPr>
      <w:bookmarkStart w:id="85" w:name="_Hlt26670360"/>
      <w:bookmarkEnd w:id="85"/>
      <w:bookmarkStart w:id="86" w:name="_Hlt26668975"/>
      <w:bookmarkEnd w:id="86"/>
      <w:bookmarkStart w:id="87" w:name="_Hlt26954838"/>
      <w:bookmarkEnd w:id="87"/>
      <w:bookmarkStart w:id="88" w:name="_Toc49090509"/>
      <w:bookmarkStart w:id="89" w:name="_Toc14577357"/>
      <w:bookmarkStart w:id="90" w:name="_Toc513029219"/>
      <w:bookmarkStart w:id="91" w:name="_Toc513029216"/>
      <w:bookmarkStart w:id="92" w:name="_Toc14577354"/>
      <w:bookmarkStart w:id="93" w:name="_Toc49090507"/>
      <w:r>
        <w:rPr>
          <w:b w:val="0"/>
          <w:bCs/>
        </w:rPr>
        <w:t>11</w:t>
      </w:r>
      <w:r>
        <w:rPr>
          <w:rFonts w:hint="eastAsia"/>
          <w:b w:val="0"/>
          <w:bCs/>
        </w:rPr>
        <w:t>、证明投标人资格及符合招标文件规定的文件</w:t>
      </w:r>
      <w:bookmarkEnd w:id="88"/>
      <w:bookmarkEnd w:id="89"/>
      <w:bookmarkEnd w:id="9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11.1</w:t>
      </w:r>
      <w:bookmarkStart w:id="94" w:name="_Hlt26668999"/>
      <w:bookmarkEnd w:id="94"/>
      <w:r>
        <w:rPr>
          <w:rFonts w:hint="eastAsia" w:ascii="宋体" w:hAnsi="宋体"/>
          <w:sz w:val="24"/>
        </w:rPr>
        <w:t>投标人应按要求提交资格证明文件及符合招标文件规定的文件。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1"/>
    <w:bookmarkEnd w:id="92"/>
    <w:bookmarkEnd w:id="93"/>
    <w:p>
      <w:pPr>
        <w:pStyle w:val="7"/>
        <w:pageBreakBefore w:val="0"/>
        <w:widowControl w:val="0"/>
        <w:kinsoku/>
        <w:overflowPunct/>
        <w:topLinePunct w:val="0"/>
        <w:bidi w:val="0"/>
        <w:spacing w:line="460" w:lineRule="exact"/>
        <w:rPr>
          <w:rFonts w:hint="eastAsia"/>
          <w:b w:val="0"/>
        </w:rPr>
      </w:pPr>
      <w:bookmarkStart w:id="95" w:name="_Toc14577355"/>
      <w:bookmarkStart w:id="96" w:name="_Toc49090508"/>
      <w:r>
        <w:rPr>
          <w:b w:val="0"/>
          <w:bCs/>
        </w:rPr>
        <w:t>12</w:t>
      </w:r>
      <w:r>
        <w:rPr>
          <w:rFonts w:hint="eastAsia"/>
          <w:b w:val="0"/>
          <w:bCs/>
        </w:rPr>
        <w:t>、投标配置与分项报价</w:t>
      </w:r>
      <w:bookmarkEnd w:id="95"/>
      <w:bookmarkStart w:id="97" w:name="_Hlt26670373"/>
      <w:bookmarkEnd w:id="97"/>
      <w:r>
        <w:rPr>
          <w:rFonts w:hint="eastAsia"/>
          <w:b w:val="0"/>
          <w:bCs/>
        </w:rPr>
        <w:t>表</w:t>
      </w:r>
      <w:bookmarkEnd w:id="9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8" w:name="_Hlt26954840"/>
      <w:bookmarkEnd w:id="98"/>
      <w:r>
        <w:rPr>
          <w:rFonts w:hint="eastAsia" w:ascii="宋体" w:hAnsi="宋体"/>
          <w:sz w:val="24"/>
        </w:rPr>
        <w:t>标人应按照招标文件规定格式填报投标配置与分项报价表</w:t>
      </w:r>
      <w:bookmarkStart w:id="99" w:name="_Hlt26670399"/>
      <w:bookmarkEnd w:id="99"/>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00" w:name="_Hlt26670425"/>
      <w:bookmarkEnd w:id="100"/>
      <w:bookmarkStart w:id="101" w:name="_Hlt26668983"/>
      <w:bookmarkEnd w:id="101"/>
      <w:bookmarkStart w:id="102" w:name="_Hlt26670403"/>
      <w:bookmarkEnd w:id="102"/>
      <w:bookmarkStart w:id="103" w:name="_Hlt26954842"/>
      <w:bookmarkEnd w:id="103"/>
      <w:bookmarkStart w:id="104" w:name="_Hlt26954844"/>
      <w:bookmarkEnd w:id="104"/>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sz w:val="24"/>
          <w:lang w:val="en-US" w:eastAsia="zh-Hans"/>
        </w:rPr>
        <w:t>培</w:t>
      </w:r>
      <w:r>
        <w:rPr>
          <w:rFonts w:hint="eastAsia" w:ascii="宋体" w:hAnsi="宋体"/>
          <w:bCs/>
          <w:sz w:val="24"/>
        </w:rPr>
        <w:t>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7"/>
        <w:pageBreakBefore w:val="0"/>
        <w:widowControl w:val="0"/>
        <w:kinsoku/>
        <w:overflowPunct/>
        <w:topLinePunct w:val="0"/>
        <w:bidi w:val="0"/>
        <w:spacing w:line="460" w:lineRule="exact"/>
        <w:rPr>
          <w:rFonts w:hint="eastAsia"/>
          <w:b w:val="0"/>
          <w:bCs/>
        </w:rPr>
      </w:pPr>
      <w:bookmarkStart w:id="105" w:name="_Hlt26954846"/>
      <w:bookmarkEnd w:id="105"/>
      <w:bookmarkStart w:id="106" w:name="_Hlt26954848"/>
      <w:bookmarkEnd w:id="106"/>
      <w:bookmarkStart w:id="107" w:name="_Hlt26670486"/>
      <w:bookmarkEnd w:id="107"/>
      <w:bookmarkStart w:id="108" w:name="_Hlt26670482"/>
      <w:bookmarkEnd w:id="108"/>
      <w:bookmarkStart w:id="109" w:name="_Hlt26954731"/>
      <w:bookmarkEnd w:id="109"/>
      <w:r>
        <w:rPr>
          <w:b w:val="0"/>
          <w:bCs/>
        </w:rPr>
        <w:t>13</w:t>
      </w:r>
      <w:r>
        <w:rPr>
          <w:rFonts w:hint="eastAsia"/>
          <w:b w:val="0"/>
          <w:bCs/>
        </w:rPr>
        <w:t>、技术参数响应及偏离表、商务条款响应及偏离表及投标货物说明</w:t>
      </w:r>
    </w:p>
    <w:p>
      <w:pPr>
        <w:pageBreakBefore w:val="0"/>
        <w:widowControl w:val="0"/>
        <w:kinsoku/>
        <w:overflowPunct/>
        <w:topLinePunct w:val="0"/>
        <w:autoSpaceDE w:val="0"/>
        <w:autoSpaceDN w:val="0"/>
        <w:bidi w:val="0"/>
        <w:adjustRightInd w:val="0"/>
        <w:spacing w:line="46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7"/>
        <w:pageBreakBefore w:val="0"/>
        <w:widowControl w:val="0"/>
        <w:kinsoku/>
        <w:overflowPunct/>
        <w:topLinePunct w:val="0"/>
        <w:bidi w:val="0"/>
        <w:spacing w:line="460" w:lineRule="exact"/>
        <w:rPr>
          <w:rFonts w:hint="eastAsia"/>
          <w:b w:val="0"/>
        </w:rPr>
      </w:pPr>
      <w:r>
        <w:rPr>
          <w:b w:val="0"/>
          <w:bCs/>
        </w:rPr>
        <w:t>14</w:t>
      </w:r>
      <w:r>
        <w:rPr>
          <w:rFonts w:hint="eastAsia"/>
          <w:b w:val="0"/>
          <w:bCs/>
        </w:rPr>
        <w:t>、服务承诺及售后服务机构、人员的情况介绍</w:t>
      </w:r>
    </w:p>
    <w:p>
      <w:pPr>
        <w:pageBreakBefore w:val="0"/>
        <w:widowControl w:val="0"/>
        <w:kinsoku/>
        <w:overflowPunct/>
        <w:topLinePunct w:val="0"/>
        <w:bidi w:val="0"/>
        <w:spacing w:line="46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pageBreakBefore w:val="0"/>
        <w:widowControl w:val="0"/>
        <w:kinsoku/>
        <w:overflowPunct/>
        <w:topLinePunct w:val="0"/>
        <w:bidi w:val="0"/>
        <w:spacing w:line="46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7"/>
        <w:pageBreakBefore w:val="0"/>
        <w:widowControl w:val="0"/>
        <w:kinsoku/>
        <w:overflowPunct/>
        <w:topLinePunct w:val="0"/>
        <w:bidi w:val="0"/>
        <w:spacing w:line="460" w:lineRule="exact"/>
        <w:rPr>
          <w:rFonts w:hint="eastAsia"/>
          <w:b w:val="0"/>
        </w:rPr>
      </w:pPr>
      <w:bookmarkStart w:id="110" w:name="_Toc14577359"/>
      <w:bookmarkStart w:id="111" w:name="_Toc49090510"/>
      <w:r>
        <w:rPr>
          <w:b w:val="0"/>
          <w:bCs/>
        </w:rPr>
        <w:t>15</w:t>
      </w:r>
      <w:r>
        <w:rPr>
          <w:rFonts w:hint="eastAsia"/>
          <w:b w:val="0"/>
          <w:bCs/>
        </w:rPr>
        <w:t>、投标函和开标一览表</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7"/>
        <w:pageBreakBefore w:val="0"/>
        <w:widowControl w:val="0"/>
        <w:kinsoku/>
        <w:overflowPunct/>
        <w:topLinePunct w:val="0"/>
        <w:bidi w:val="0"/>
        <w:spacing w:line="460" w:lineRule="exact"/>
        <w:rPr>
          <w:rFonts w:hint="eastAsia"/>
          <w:b w:val="0"/>
        </w:rPr>
      </w:pPr>
      <w:r>
        <w:rPr>
          <w:b w:val="0"/>
          <w:bCs/>
        </w:rPr>
        <w:t>16</w:t>
      </w:r>
      <w:r>
        <w:rPr>
          <w:rFonts w:hint="eastAsia"/>
          <w:b w:val="0"/>
          <w:bCs/>
        </w:rPr>
        <w:t>、投标保证金</w:t>
      </w:r>
      <w:bookmarkEnd w:id="110"/>
      <w:bookmarkEnd w:id="111"/>
      <w:r>
        <w:rPr>
          <w:rFonts w:hint="eastAsia"/>
          <w:b w:val="0"/>
          <w:bCs/>
        </w:rPr>
        <w:t>（如果收取）</w:t>
      </w:r>
    </w:p>
    <w:p>
      <w:pPr>
        <w:pageBreakBefore w:val="0"/>
        <w:widowControl w:val="0"/>
        <w:kinsoku/>
        <w:overflowPunct/>
        <w:topLinePunct w:val="0"/>
        <w:bidi w:val="0"/>
        <w:spacing w:line="46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12" w:name="_Hlt26670489"/>
      <w:bookmarkEnd w:id="112"/>
      <w:bookmarkStart w:id="113" w:name="_Hlt26954734"/>
      <w:bookmarkEnd w:id="113"/>
      <w:bookmarkStart w:id="114" w:name="_Hlt26954850"/>
      <w:bookmarkEnd w:id="114"/>
      <w:bookmarkStart w:id="115" w:name="_Toc14577360"/>
      <w:bookmarkStart w:id="116" w:name="_Toc49090511"/>
      <w:r>
        <w:rPr>
          <w:rFonts w:hint="eastAsia" w:ascii="宋体" w:hAnsi="宋体"/>
          <w:sz w:val="24"/>
        </w:rPr>
        <w:t>（1）投标人在投标有效期内撤回其投标；</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（2）提供虚假材料谋取中标、成交的；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（3）采取不正当手段诋毁、排挤其他供应商的；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（4）与采购人、其他供应商恶意串通的。</w:t>
      </w:r>
    </w:p>
    <w:p>
      <w:pPr>
        <w:pStyle w:val="10"/>
        <w:pageBreakBefore w:val="0"/>
        <w:widowControl w:val="0"/>
        <w:kinsoku/>
        <w:overflowPunct/>
        <w:topLinePunct w:val="0"/>
        <w:bidi w:val="0"/>
        <w:spacing w:line="460" w:lineRule="exact"/>
        <w:ind w:left="0" w:firstLine="480" w:firstLineChars="200"/>
        <w:rPr>
          <w:rFonts w:hint="eastAsia" w:ascii="宋体" w:hAnsi="宋体"/>
          <w:sz w:val="24"/>
          <w:szCs w:val="24"/>
        </w:rPr>
      </w:pPr>
      <w:r>
        <w:rPr>
          <w:rFonts w:hint="eastAsia" w:ascii="宋体" w:hAnsi="宋体"/>
          <w:sz w:val="24"/>
          <w:lang w:val="en-US" w:eastAsia="zh-CN"/>
        </w:rPr>
        <w:t xml:space="preserve">16.5 </w:t>
      </w:r>
      <w:r>
        <w:rPr>
          <w:rFonts w:hint="eastAsia" w:ascii="宋体" w:hAnsi="宋体"/>
          <w:sz w:val="24"/>
          <w:szCs w:val="24"/>
        </w:rPr>
        <w:t>供应商缴纳的</w:t>
      </w:r>
      <w:r>
        <w:rPr>
          <w:rFonts w:hint="eastAsia" w:ascii="宋体" w:hAnsi="宋体"/>
          <w:sz w:val="24"/>
          <w:szCs w:val="24"/>
          <w:lang w:val="en-US" w:eastAsia="zh-CN"/>
        </w:rPr>
        <w:t>投标</w:t>
      </w:r>
      <w:r>
        <w:rPr>
          <w:rFonts w:hint="eastAsia" w:ascii="宋体" w:hAnsi="宋体"/>
          <w:sz w:val="24"/>
          <w:szCs w:val="24"/>
        </w:rPr>
        <w:t>保证金必须于投标文件（响应文件）接收截止时间前，以供应商的名称，按本采购文件规定的金额缴纳到指定账户（保证金缴纳方式及账户详见第一章投标邀请—其他）。</w:t>
      </w:r>
    </w:p>
    <w:p>
      <w:pPr>
        <w:pStyle w:val="7"/>
        <w:pageBreakBefore w:val="0"/>
        <w:widowControl w:val="0"/>
        <w:kinsoku/>
        <w:overflowPunct/>
        <w:topLinePunct w:val="0"/>
        <w:bidi w:val="0"/>
        <w:spacing w:line="460" w:lineRule="exact"/>
        <w:rPr>
          <w:rFonts w:hint="eastAsia"/>
          <w:b w:val="0"/>
        </w:rPr>
      </w:pPr>
      <w:r>
        <w:rPr>
          <w:b w:val="0"/>
          <w:bCs/>
        </w:rPr>
        <w:t>17</w:t>
      </w:r>
      <w:r>
        <w:rPr>
          <w:rFonts w:hint="eastAsia"/>
          <w:b w:val="0"/>
          <w:bCs/>
        </w:rPr>
        <w:t>、投标有效期</w:t>
      </w:r>
      <w:bookmarkEnd w:id="115"/>
      <w:bookmarkEnd w:id="116"/>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17.1</w:t>
      </w:r>
      <w:r>
        <w:rPr>
          <w:rFonts w:hint="eastAsia" w:ascii="宋体" w:hAnsi="宋体"/>
          <w:bCs/>
          <w:sz w:val="24"/>
        </w:rPr>
        <w:t xml:space="preserve"> 投标有效期为交易中心规定的开标之日后</w:t>
      </w:r>
      <w:r>
        <w:rPr>
          <w:rFonts w:hint="eastAsia" w:ascii="仿宋_GB2312" w:hAnsi="仿宋_GB2312"/>
          <w:b/>
          <w:i/>
          <w:iCs/>
          <w:sz w:val="24"/>
          <w:u w:val="single"/>
        </w:rPr>
        <w:t>120天</w:t>
      </w:r>
      <w:r>
        <w:rPr>
          <w:rFonts w:hint="eastAsia" w:ascii="宋体" w:hAnsi="宋体"/>
          <w:bCs/>
          <w:sz w:val="24"/>
        </w:rPr>
        <w:t>。投标有效期比规定短的将被视为非响应性投标而予以拒绝。</w:t>
      </w:r>
    </w:p>
    <w:p>
      <w:pPr>
        <w:pStyle w:val="7"/>
        <w:pageBreakBefore w:val="0"/>
        <w:widowControl w:val="0"/>
        <w:kinsoku/>
        <w:overflowPunct/>
        <w:topLinePunct w:val="0"/>
        <w:bidi w:val="0"/>
        <w:spacing w:line="460" w:lineRule="exact"/>
        <w:rPr>
          <w:b w:val="0"/>
          <w:bCs/>
        </w:rPr>
      </w:pPr>
      <w:bookmarkStart w:id="117" w:name="_Hlt26954852"/>
      <w:bookmarkEnd w:id="117"/>
      <w:bookmarkStart w:id="118" w:name="_Hlt26954739"/>
      <w:bookmarkEnd w:id="118"/>
      <w:bookmarkStart w:id="119" w:name="_Toc14577361"/>
      <w:bookmarkStart w:id="120" w:name="_Toc49090512"/>
      <w:r>
        <w:rPr>
          <w:b w:val="0"/>
          <w:bCs/>
        </w:rPr>
        <w:t>18</w:t>
      </w:r>
      <w:r>
        <w:rPr>
          <w:rFonts w:hint="eastAsia"/>
          <w:b w:val="0"/>
          <w:bCs/>
        </w:rPr>
        <w:t>、</w:t>
      </w:r>
      <w:bookmarkEnd w:id="119"/>
      <w:bookmarkEnd w:id="120"/>
      <w:r>
        <w:rPr>
          <w:rFonts w:hint="eastAsia"/>
          <w:b w:val="0"/>
          <w:bCs/>
        </w:rPr>
        <w:t>投标有效期的延长</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18.1</w:t>
      </w:r>
      <w:r>
        <w:rPr>
          <w:rFonts w:hint="eastAsia" w:ascii="宋体" w:hAnsi="宋体"/>
          <w:bCs/>
          <w:sz w:val="24"/>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交易中心在接到投标人书面答复后，将在原投标有效期满后</w:t>
      </w:r>
      <w:r>
        <w:rPr>
          <w:rFonts w:hint="eastAsia" w:ascii="宋体" w:hAnsi="宋体"/>
          <w:bCs/>
          <w:sz w:val="24"/>
          <w:szCs w:val="24"/>
        </w:rPr>
        <w:t>退还其投标保证金</w:t>
      </w:r>
      <w:r>
        <w:rPr>
          <w:rFonts w:hint="eastAsia" w:ascii="宋体" w:hAnsi="宋体"/>
          <w:sz w:val="24"/>
          <w:szCs w:val="24"/>
        </w:rPr>
        <w:t>。</w:t>
      </w:r>
      <w:r>
        <w:rPr>
          <w:rFonts w:hint="eastAsia" w:ascii="宋体" w:hAnsi="宋体"/>
          <w:bCs/>
          <w:sz w:val="24"/>
        </w:rPr>
        <w:t>同意延长投标有效期的投标人既不能要求也不允许修改其投标文件。第16条有关投标保证金的规定在延长期内继续有效</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21" w:name="_Toc534725601"/>
      <w:bookmarkStart w:id="122" w:name="_Toc534816630"/>
      <w:bookmarkStart w:id="123" w:name="_Toc16938540"/>
      <w:bookmarkStart w:id="124" w:name="_Toc120614217"/>
      <w:bookmarkStart w:id="125" w:name="_Toc513029224"/>
      <w:bookmarkStart w:id="126" w:name="_Toc20823296"/>
      <w:r>
        <w:rPr>
          <w:rFonts w:hint="eastAsia"/>
        </w:rPr>
        <w:t>四、投标文件的递交</w:t>
      </w:r>
      <w:bookmarkEnd w:id="121"/>
      <w:bookmarkEnd w:id="122"/>
      <w:bookmarkEnd w:id="123"/>
      <w:bookmarkEnd w:id="124"/>
      <w:bookmarkEnd w:id="125"/>
      <w:bookmarkEnd w:id="126"/>
    </w:p>
    <w:p>
      <w:pPr>
        <w:pStyle w:val="7"/>
        <w:pageBreakBefore w:val="0"/>
        <w:widowControl w:val="0"/>
        <w:kinsoku/>
        <w:overflowPunct/>
        <w:topLinePunct w:val="0"/>
        <w:bidi w:val="0"/>
        <w:spacing w:line="460" w:lineRule="exact"/>
        <w:ind w:firstLine="560" w:firstLineChars="200"/>
        <w:rPr>
          <w:rFonts w:ascii="黑体"/>
          <w:b w:val="0"/>
        </w:rPr>
      </w:pPr>
      <w:bookmarkStart w:id="127" w:name="_Toc20823297"/>
      <w:bookmarkStart w:id="128" w:name="_Toc16938541"/>
      <w:bookmarkStart w:id="129" w:name="_Toc462564084"/>
      <w:bookmarkStart w:id="130" w:name="_Toc513029225"/>
      <w:r>
        <w:rPr>
          <w:rFonts w:hint="eastAsia" w:ascii="黑体"/>
          <w:b w:val="0"/>
          <w:bCs/>
        </w:rPr>
        <w:t>19、</w:t>
      </w:r>
      <w:bookmarkEnd w:id="127"/>
      <w:bookmarkEnd w:id="128"/>
      <w:bookmarkEnd w:id="129"/>
      <w:bookmarkEnd w:id="130"/>
      <w:r>
        <w:rPr>
          <w:rFonts w:hint="eastAsia" w:ascii="黑体"/>
          <w:b w:val="0"/>
          <w:bCs/>
        </w:rPr>
        <w:t>投标文件的递交</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投标人应当按照</w:t>
      </w:r>
      <w:r>
        <w:rPr>
          <w:rFonts w:hint="eastAsia" w:ascii="宋体" w:hAnsi="宋体"/>
          <w:bCs/>
          <w:sz w:val="24"/>
          <w:lang w:val="en-US" w:eastAsia="zh-CN"/>
        </w:rPr>
        <w:t>采购文件</w:t>
      </w:r>
      <w:r>
        <w:rPr>
          <w:rFonts w:hint="eastAsia" w:ascii="宋体" w:hAnsi="宋体"/>
          <w:bCs/>
          <w:sz w:val="24"/>
        </w:rPr>
        <w:t>规定，在投标截止时间前</w:t>
      </w:r>
      <w:r>
        <w:rPr>
          <w:rFonts w:ascii="宋体" w:hAnsi="宋体"/>
          <w:bCs/>
          <w:sz w:val="24"/>
        </w:rPr>
        <w:t>制作</w:t>
      </w:r>
      <w:r>
        <w:rPr>
          <w:rFonts w:hint="eastAsia" w:ascii="宋体" w:hAnsi="宋体"/>
          <w:bCs/>
          <w:sz w:val="24"/>
        </w:rPr>
        <w:t>并上传电子投标文件。</w:t>
      </w:r>
    </w:p>
    <w:p>
      <w:pPr>
        <w:pStyle w:val="7"/>
        <w:pageBreakBefore w:val="0"/>
        <w:widowControl w:val="0"/>
        <w:kinsoku/>
        <w:overflowPunct/>
        <w:topLinePunct w:val="0"/>
        <w:bidi w:val="0"/>
        <w:spacing w:line="460" w:lineRule="exact"/>
        <w:rPr>
          <w:rFonts w:hint="eastAsia"/>
          <w:b w:val="0"/>
          <w:bCs/>
        </w:rPr>
      </w:pPr>
      <w:bookmarkStart w:id="131" w:name="_Toc16938542"/>
      <w:bookmarkStart w:id="132" w:name="_Toc20823298"/>
      <w:bookmarkStart w:id="133" w:name="_Toc513029226"/>
      <w:r>
        <w:rPr>
          <w:b w:val="0"/>
          <w:bCs/>
        </w:rPr>
        <w:t>20</w:t>
      </w:r>
      <w:r>
        <w:rPr>
          <w:rFonts w:hint="eastAsia"/>
          <w:b w:val="0"/>
          <w:bCs/>
        </w:rPr>
        <w:t>、投标截止</w:t>
      </w:r>
      <w:bookmarkEnd w:id="131"/>
      <w:bookmarkEnd w:id="132"/>
      <w:bookmarkEnd w:id="133"/>
      <w:r>
        <w:rPr>
          <w:rFonts w:hint="eastAsia"/>
          <w:b w:val="0"/>
          <w:bCs/>
        </w:rPr>
        <w:t>时间</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投标人应充分考虑到网络环境、网络带宽等风险因素，如因投标人自身原因造成的电子投标文件上传不成功由投标人自行承担全部责任。</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20.2</w:t>
      </w:r>
      <w:r>
        <w:rPr>
          <w:rFonts w:hint="eastAsia" w:ascii="宋体" w:hAnsi="宋体"/>
          <w:bCs/>
          <w:sz w:val="24"/>
        </w:rPr>
        <w:t xml:space="preserve"> 交易中心可以按照规定，通过修改招标文件酌情延长投标截止时间，在此情况下，投标人的所有权利和义务以及投标人受制的截止时间均应以延长后新的截止时间为准。</w:t>
      </w:r>
    </w:p>
    <w:p>
      <w:pPr>
        <w:pStyle w:val="7"/>
        <w:pageBreakBefore w:val="0"/>
        <w:widowControl w:val="0"/>
        <w:kinsoku/>
        <w:overflowPunct/>
        <w:topLinePunct w:val="0"/>
        <w:bidi w:val="0"/>
        <w:spacing w:line="460" w:lineRule="exact"/>
        <w:rPr>
          <w:rFonts w:hint="eastAsia"/>
          <w:b w:val="0"/>
          <w:bCs/>
        </w:rPr>
      </w:pPr>
      <w:bookmarkStart w:id="134" w:name="_Toc20823299"/>
      <w:bookmarkStart w:id="135" w:name="_Toc513029227"/>
      <w:bookmarkStart w:id="136" w:name="_Toc16938543"/>
      <w:r>
        <w:rPr>
          <w:b w:val="0"/>
          <w:bCs/>
        </w:rPr>
        <w:t>21</w:t>
      </w:r>
      <w:r>
        <w:rPr>
          <w:rFonts w:hint="eastAsia"/>
          <w:b w:val="0"/>
          <w:bCs/>
        </w:rPr>
        <w:t>、</w:t>
      </w:r>
      <w:bookmarkEnd w:id="134"/>
      <w:bookmarkEnd w:id="135"/>
      <w:bookmarkEnd w:id="136"/>
      <w:r>
        <w:rPr>
          <w:rFonts w:hint="eastAsia"/>
          <w:b w:val="0"/>
          <w:bCs/>
        </w:rPr>
        <w:t>投标文件的拒收</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21.1</w:t>
      </w:r>
      <w:r>
        <w:rPr>
          <w:rFonts w:hint="eastAsia" w:ascii="宋体" w:hAnsi="宋体"/>
          <w:bCs/>
          <w:sz w:val="24"/>
        </w:rPr>
        <w:t>交易中心拒绝接收在其规定的投标截止时间后上传的任何投标文件。</w:t>
      </w:r>
    </w:p>
    <w:p>
      <w:pPr>
        <w:pStyle w:val="7"/>
        <w:pageBreakBefore w:val="0"/>
        <w:widowControl w:val="0"/>
        <w:kinsoku/>
        <w:overflowPunct/>
        <w:topLinePunct w:val="0"/>
        <w:bidi w:val="0"/>
        <w:spacing w:line="460" w:lineRule="exact"/>
        <w:rPr>
          <w:rFonts w:hint="eastAsia"/>
          <w:b w:val="0"/>
          <w:bCs/>
        </w:rPr>
      </w:pPr>
      <w:bookmarkStart w:id="137" w:name="_Toc513029228"/>
      <w:bookmarkStart w:id="138" w:name="_Toc20823300"/>
      <w:bookmarkStart w:id="139" w:name="_Toc16938544"/>
      <w:r>
        <w:rPr>
          <w:b w:val="0"/>
          <w:bCs/>
        </w:rPr>
        <w:t>22</w:t>
      </w:r>
      <w:r>
        <w:rPr>
          <w:rFonts w:hint="eastAsia"/>
          <w:b w:val="0"/>
          <w:bCs/>
        </w:rPr>
        <w:t>、投标文件的修改和撤回</w:t>
      </w:r>
      <w:bookmarkEnd w:id="137"/>
      <w:bookmarkEnd w:id="138"/>
      <w:bookmarkEnd w:id="139"/>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22.1投标文件的撤回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22.1.1 电子投标文件的撤回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投标人可在投标截止时间前，撤回其电子投标文件。</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投标人可在投标截止时间前，对其电子投标文件进行修改。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40" w:name="_Toc20823301"/>
      <w:bookmarkStart w:id="141" w:name="_Toc534816631"/>
      <w:bookmarkStart w:id="142" w:name="_Toc120614218"/>
      <w:bookmarkStart w:id="143" w:name="_Toc16938545"/>
      <w:bookmarkStart w:id="144" w:name="_Toc513029229"/>
      <w:bookmarkStart w:id="145" w:name="_Toc534725602"/>
      <w:r>
        <w:rPr>
          <w:rFonts w:hint="eastAsia"/>
        </w:rPr>
        <w:t>五、开标与评标</w:t>
      </w:r>
      <w:bookmarkEnd w:id="140"/>
      <w:bookmarkEnd w:id="141"/>
      <w:bookmarkEnd w:id="142"/>
      <w:bookmarkEnd w:id="143"/>
      <w:bookmarkEnd w:id="144"/>
      <w:bookmarkEnd w:id="145"/>
    </w:p>
    <w:p>
      <w:pPr>
        <w:pStyle w:val="7"/>
        <w:pageBreakBefore w:val="0"/>
        <w:widowControl w:val="0"/>
        <w:kinsoku/>
        <w:overflowPunct/>
        <w:topLinePunct w:val="0"/>
        <w:bidi w:val="0"/>
        <w:spacing w:line="460" w:lineRule="exact"/>
        <w:rPr>
          <w:b w:val="0"/>
        </w:rPr>
      </w:pPr>
      <w:bookmarkStart w:id="146" w:name="_Toc20823302"/>
      <w:bookmarkStart w:id="147" w:name="_Toc513029230"/>
      <w:bookmarkStart w:id="148" w:name="_Toc16938546"/>
      <w:r>
        <w:rPr>
          <w:b w:val="0"/>
          <w:bCs/>
        </w:rPr>
        <w:t>23</w:t>
      </w:r>
      <w:r>
        <w:rPr>
          <w:rFonts w:hint="eastAsia"/>
          <w:b w:val="0"/>
          <w:bCs/>
        </w:rPr>
        <w:t>、开标</w:t>
      </w:r>
      <w:bookmarkEnd w:id="146"/>
      <w:bookmarkEnd w:id="147"/>
      <w:bookmarkEnd w:id="148"/>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rPr>
        <w:t>23.1</w:t>
      </w:r>
      <w:r>
        <w:rPr>
          <w:rFonts w:hint="eastAsia" w:ascii="宋体" w:hAnsi="宋体"/>
          <w:bCs/>
          <w:sz w:val="24"/>
        </w:rPr>
        <w:t>交易中心将在招标公告中规定的时间和地点组织</w:t>
      </w:r>
      <w:r>
        <w:rPr>
          <w:rFonts w:hint="eastAsia" w:ascii="宋体" w:hAnsi="宋体"/>
          <w:bCs/>
          <w:sz w:val="24"/>
          <w:lang w:val="en-US" w:eastAsia="zh-CN"/>
        </w:rPr>
        <w:t>线上</w:t>
      </w:r>
      <w:r>
        <w:rPr>
          <w:rFonts w:hint="eastAsia" w:ascii="宋体" w:hAnsi="宋体"/>
          <w:bCs/>
          <w:sz w:val="24"/>
        </w:rPr>
        <w:t>公开开标</w:t>
      </w:r>
      <w:r>
        <w:rPr>
          <w:rFonts w:hint="eastAsia" w:ascii="宋体" w:hAnsi="宋体"/>
          <w:sz w:val="24"/>
          <w:szCs w:val="24"/>
        </w:rPr>
        <w:t>。投标人应当</w:t>
      </w:r>
      <w:r>
        <w:rPr>
          <w:rFonts w:ascii="宋体" w:hAnsi="宋体"/>
          <w:sz w:val="24"/>
          <w:szCs w:val="24"/>
        </w:rPr>
        <w:t>参加开标活动。</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23.2</w:t>
      </w:r>
      <w:r>
        <w:rPr>
          <w:rFonts w:hint="eastAsia" w:ascii="宋体" w:hAnsi="宋体"/>
          <w:sz w:val="24"/>
          <w:szCs w:val="24"/>
        </w:rPr>
        <w:t>开标</w:t>
      </w:r>
      <w:r>
        <w:rPr>
          <w:rFonts w:hint="eastAsia" w:ascii="宋体" w:hAnsi="宋体"/>
          <w:sz w:val="24"/>
          <w:szCs w:val="24"/>
          <w:lang w:val="en-US" w:eastAsia="zh-CN"/>
        </w:rPr>
        <w:t>过程</w:t>
      </w:r>
      <w:r>
        <w:rPr>
          <w:rFonts w:hint="eastAsia" w:ascii="宋体" w:hAnsi="宋体"/>
          <w:sz w:val="24"/>
          <w:szCs w:val="24"/>
        </w:rPr>
        <w:t>由交易中心组织。“</w:t>
      </w:r>
      <w:r>
        <w:rPr>
          <w:rFonts w:hint="eastAsia" w:ascii="宋体" w:hAnsi="宋体" w:cs="宋体"/>
          <w:sz w:val="24"/>
          <w:szCs w:val="24"/>
          <w:lang w:val="en-US" w:eastAsia="zh-CN"/>
        </w:rPr>
        <w:t>政采云</w:t>
      </w:r>
      <w:r>
        <w:rPr>
          <w:rFonts w:hint="eastAsia" w:ascii="宋体" w:hAnsi="宋体" w:cs="宋体"/>
          <w:sz w:val="24"/>
          <w:szCs w:val="24"/>
        </w:rPr>
        <w:t>平台不见面开标</w:t>
      </w:r>
      <w:r>
        <w:rPr>
          <w:rFonts w:hint="eastAsia" w:ascii="宋体" w:hAnsi="宋体"/>
          <w:sz w:val="24"/>
          <w:szCs w:val="24"/>
        </w:rPr>
        <w:t>大厅”系统将自动对</w:t>
      </w:r>
      <w:r>
        <w:rPr>
          <w:rFonts w:ascii="宋体" w:hAnsi="宋体"/>
          <w:sz w:val="24"/>
          <w:szCs w:val="24"/>
        </w:rPr>
        <w:t>项目进行开标，并</w:t>
      </w:r>
      <w:r>
        <w:rPr>
          <w:rFonts w:hint="eastAsia" w:ascii="宋体" w:hAnsi="宋体"/>
          <w:sz w:val="24"/>
          <w:szCs w:val="24"/>
        </w:rPr>
        <w:t>公布各</w:t>
      </w:r>
      <w:r>
        <w:rPr>
          <w:rFonts w:ascii="宋体" w:hAnsi="宋体"/>
          <w:sz w:val="24"/>
          <w:szCs w:val="24"/>
        </w:rPr>
        <w:t>投标人的《</w:t>
      </w:r>
      <w:r>
        <w:rPr>
          <w:rFonts w:hint="eastAsia" w:ascii="宋体" w:hAnsi="宋体"/>
          <w:sz w:val="24"/>
          <w:szCs w:val="24"/>
        </w:rPr>
        <w:t>开标</w:t>
      </w:r>
      <w:r>
        <w:rPr>
          <w:rFonts w:ascii="宋体" w:hAnsi="宋体"/>
          <w:sz w:val="24"/>
          <w:szCs w:val="24"/>
        </w:rPr>
        <w:t>一览表》</w:t>
      </w:r>
      <w:r>
        <w:rPr>
          <w:rFonts w:hint="eastAsia" w:ascii="宋体" w:hAnsi="宋体"/>
          <w:sz w:val="24"/>
          <w:szCs w:val="24"/>
        </w:rPr>
        <w:t>。</w:t>
      </w:r>
    </w:p>
    <w:p>
      <w:pPr>
        <w:pageBreakBefore w:val="0"/>
        <w:widowControl w:val="0"/>
        <w:kinsoku/>
        <w:overflowPunct/>
        <w:topLinePunct w:val="0"/>
        <w:bidi w:val="0"/>
        <w:spacing w:line="460" w:lineRule="exact"/>
        <w:ind w:firstLine="480" w:firstLineChars="200"/>
        <w:rPr>
          <w:rFonts w:hint="eastAsia" w:ascii="宋体" w:hAnsi="宋体"/>
          <w:b/>
          <w:i/>
          <w:sz w:val="24"/>
          <w:szCs w:val="24"/>
          <w:u w:val="single"/>
        </w:rPr>
      </w:pPr>
      <w:r>
        <w:rPr>
          <w:rFonts w:hint="eastAsia" w:ascii="宋体" w:hAnsi="宋体"/>
          <w:sz w:val="24"/>
        </w:rPr>
        <w:t>23.3</w:t>
      </w:r>
      <w:r>
        <w:rPr>
          <w:rFonts w:hint="eastAsia" w:ascii="宋体" w:hAnsi="宋体"/>
          <w:bCs/>
          <w:sz w:val="24"/>
        </w:rPr>
        <w:t>投标人在开标过程中涉及到的投标文件解密、开标结果确认等工作，应按照</w:t>
      </w:r>
      <w:r>
        <w:rPr>
          <w:rFonts w:hint="eastAsia" w:ascii="宋体" w:hAnsi="宋体"/>
          <w:bCs/>
          <w:sz w:val="24"/>
          <w:lang w:val="en-US" w:eastAsia="zh-CN"/>
        </w:rPr>
        <w:t>采购文件</w:t>
      </w:r>
      <w:r>
        <w:rPr>
          <w:rFonts w:hint="eastAsia" w:ascii="宋体" w:hAnsi="宋体"/>
          <w:bCs/>
          <w:sz w:val="24"/>
        </w:rPr>
        <w:t>规定执行。</w:t>
      </w:r>
      <w:r>
        <w:rPr>
          <w:rFonts w:hint="eastAsia" w:ascii="宋体" w:hAnsi="宋体"/>
          <w:sz w:val="24"/>
          <w:szCs w:val="24"/>
        </w:rPr>
        <w:t xml:space="preserve">    </w:t>
      </w:r>
    </w:p>
    <w:p>
      <w:pPr>
        <w:pStyle w:val="7"/>
        <w:pageBreakBefore w:val="0"/>
        <w:widowControl w:val="0"/>
        <w:kinsoku/>
        <w:overflowPunct/>
        <w:topLinePunct w:val="0"/>
        <w:bidi w:val="0"/>
        <w:spacing w:line="460" w:lineRule="exact"/>
        <w:rPr>
          <w:rFonts w:hint="eastAsia"/>
          <w:b w:val="0"/>
        </w:rPr>
      </w:pPr>
      <w:bookmarkStart w:id="149" w:name="_Toc20823303"/>
      <w:bookmarkStart w:id="150" w:name="_Toc16938547"/>
      <w:bookmarkStart w:id="151" w:name="_Toc513029231"/>
      <w:r>
        <w:rPr>
          <w:b w:val="0"/>
          <w:bCs/>
        </w:rPr>
        <w:t>24</w:t>
      </w:r>
      <w:r>
        <w:rPr>
          <w:rFonts w:hint="eastAsia"/>
          <w:b w:val="0"/>
          <w:bCs/>
        </w:rPr>
        <w:t>、评标委员会</w:t>
      </w:r>
    </w:p>
    <w:p>
      <w:pPr>
        <w:pageBreakBefore w:val="0"/>
        <w:widowControl w:val="0"/>
        <w:kinsoku/>
        <w:overflowPunct/>
        <w:topLinePunct w:val="0"/>
        <w:bidi w:val="0"/>
        <w:spacing w:line="46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开标后，交易中心将立即组织评标委员会（以下简称评委会）进行评标。</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7"/>
        <w:pageBreakBefore w:val="0"/>
        <w:widowControl w:val="0"/>
        <w:kinsoku/>
        <w:overflowPunct/>
        <w:topLinePunct w:val="0"/>
        <w:bidi w:val="0"/>
        <w:spacing w:line="460" w:lineRule="exact"/>
        <w:rPr>
          <w:rFonts w:hint="eastAsia" w:ascii="黑体"/>
          <w:b w:val="0"/>
        </w:rPr>
      </w:pPr>
      <w:r>
        <w:rPr>
          <w:rFonts w:hint="eastAsia" w:ascii="黑体"/>
          <w:b w:val="0"/>
          <w:bCs/>
        </w:rPr>
        <w:t>25．评标过程的保密与公正</w:t>
      </w:r>
    </w:p>
    <w:bookmarkEnd w:id="149"/>
    <w:bookmarkEnd w:id="150"/>
    <w:bookmarkEnd w:id="151"/>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25.1</w:t>
      </w:r>
      <w:r>
        <w:rPr>
          <w:rFonts w:hint="eastAsia" w:ascii="宋体" w:hAnsi="宋体"/>
          <w:bCs/>
          <w:sz w:val="24"/>
        </w:rPr>
        <w:t>公开开标后，直至向中标的投标人授予合同时止，凡是与审查、澄清、评价和比较投标的有关资料以及授标建议等，采购人、评委、交易中心均不得向投标人或与评标无关的其他人员透露。</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25.2</w:t>
      </w:r>
      <w:r>
        <w:rPr>
          <w:rFonts w:hint="eastAsia" w:ascii="宋体" w:hAnsi="宋体"/>
          <w:sz w:val="24"/>
          <w:szCs w:val="24"/>
        </w:rPr>
        <w:t>在评标过程中，投标人不得以任何行为影响评标过程，否则其投标文件将被作为无效投标文件。</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25.3</w:t>
      </w:r>
      <w:r>
        <w:rPr>
          <w:rFonts w:hint="eastAsia" w:ascii="宋体" w:hAnsi="宋体"/>
          <w:sz w:val="24"/>
          <w:szCs w:val="24"/>
        </w:rPr>
        <w:t>在评标期间，交易中心将设专门人员与投标人联系。</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25.4 交易中心和评标委员会不向未中标的投标人解释未中标原因，也不公布评标过程中的相关细节。</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25.5 采用综合评分法的项目，未中标的投标人如需了解自己的</w:t>
      </w:r>
      <w:r>
        <w:rPr>
          <w:rFonts w:hint="eastAsia" w:ascii="宋体" w:hAnsi="宋体"/>
          <w:sz w:val="24"/>
          <w:szCs w:val="24"/>
          <w:lang w:val="en-US" w:eastAsia="zh-CN"/>
        </w:rPr>
        <w:t>评标</w:t>
      </w:r>
      <w:r>
        <w:rPr>
          <w:rFonts w:hint="eastAsia" w:ascii="宋体" w:hAnsi="宋体"/>
          <w:sz w:val="24"/>
          <w:szCs w:val="24"/>
        </w:rPr>
        <w:t>得分及排序情况，可于中标结果公告期限届满之日起7个工作日内，由其法定代表人或授权代表携带本人有效身份证件到交易中心登记查询，逾期将不予受理。</w:t>
      </w:r>
    </w:p>
    <w:p>
      <w:pPr>
        <w:pStyle w:val="7"/>
        <w:pageBreakBefore w:val="0"/>
        <w:widowControl w:val="0"/>
        <w:kinsoku/>
        <w:overflowPunct/>
        <w:topLinePunct w:val="0"/>
        <w:bidi w:val="0"/>
        <w:spacing w:line="460" w:lineRule="exact"/>
        <w:rPr>
          <w:rFonts w:hint="eastAsia"/>
          <w:b w:val="0"/>
        </w:rPr>
      </w:pPr>
      <w:bookmarkStart w:id="152" w:name="_Toc20823304"/>
      <w:bookmarkStart w:id="153" w:name="_Toc513029232"/>
      <w:bookmarkStart w:id="154" w:name="_Toc16938548"/>
      <w:r>
        <w:rPr>
          <w:b w:val="0"/>
          <w:bCs/>
        </w:rPr>
        <w:t>26</w:t>
      </w:r>
      <w:r>
        <w:rPr>
          <w:rFonts w:hint="eastAsia"/>
          <w:b w:val="0"/>
          <w:bCs/>
        </w:rPr>
        <w:t>．投标的澄清</w:t>
      </w:r>
      <w:bookmarkEnd w:id="152"/>
      <w:bookmarkEnd w:id="153"/>
      <w:bookmarkEnd w:id="154"/>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7"/>
        <w:pageBreakBefore w:val="0"/>
        <w:widowControl w:val="0"/>
        <w:kinsoku/>
        <w:overflowPunct/>
        <w:topLinePunct w:val="0"/>
        <w:bidi w:val="0"/>
        <w:spacing w:line="460" w:lineRule="exact"/>
        <w:rPr>
          <w:rFonts w:hint="eastAsia"/>
          <w:b w:val="0"/>
        </w:rPr>
      </w:pPr>
      <w:bookmarkStart w:id="155" w:name="_Toc16938549"/>
      <w:bookmarkStart w:id="156" w:name="_Toc20823305"/>
      <w:bookmarkStart w:id="157" w:name="_Toc513029233"/>
      <w:r>
        <w:rPr>
          <w:b w:val="0"/>
          <w:bCs/>
        </w:rPr>
        <w:t>27</w:t>
      </w:r>
      <w:r>
        <w:rPr>
          <w:rFonts w:hint="eastAsia"/>
          <w:b w:val="0"/>
          <w:bCs/>
        </w:rPr>
        <w:t>、对投标文件的初审</w:t>
      </w:r>
      <w:bookmarkEnd w:id="155"/>
      <w:bookmarkEnd w:id="156"/>
      <w:bookmarkEnd w:id="15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pageBreakBefore w:val="0"/>
        <w:widowControl w:val="0"/>
        <w:kinsoku/>
        <w:wordWrap w:val="0"/>
        <w:overflowPunct/>
        <w:topLinePunct w:val="0"/>
        <w:bidi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w:t>
      </w:r>
      <w:r>
        <w:rPr>
          <w:rFonts w:hint="eastAsia" w:ascii="宋体" w:hAnsi="宋体"/>
          <w:bCs/>
          <w:sz w:val="24"/>
          <w:lang w:eastAsia="zh-CN"/>
        </w:rPr>
        <w:t>、“中国政府采购网”(www.ccgp.gov.cn)</w:t>
      </w:r>
      <w:r>
        <w:rPr>
          <w:rFonts w:hint="eastAsia" w:ascii="宋体" w:hAnsi="宋体"/>
          <w:bCs/>
          <w:sz w:val="24"/>
        </w:rPr>
        <w:t>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27.1.2 符合性审查：依据招标文件的规定，由评委会从投标文件的有效性、完整性和对招标文件的响应程度进行审查，以确定是否对招标文件的实质性要求作出响应。</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27.1.3 未通过资格审查或符合性审查的投标人，交易中心</w:t>
      </w:r>
      <w:r>
        <w:rPr>
          <w:rFonts w:hint="eastAsia" w:ascii="宋体" w:hAnsi="宋体"/>
          <w:bCs/>
          <w:sz w:val="24"/>
          <w:lang w:val="en-US" w:eastAsia="zh-Hans"/>
        </w:rPr>
        <w:t>将</w:t>
      </w:r>
      <w:r>
        <w:rPr>
          <w:rFonts w:hint="eastAsia" w:ascii="宋体" w:hAnsi="宋体"/>
          <w:bCs/>
          <w:sz w:val="24"/>
        </w:rPr>
        <w:t>向其授权代表告知未通过资格审查或符合性审查的原因</w:t>
      </w:r>
      <w:r>
        <w:rPr>
          <w:rFonts w:hint="eastAsia" w:ascii="宋体" w:hAnsi="宋体" w:eastAsia="宋体" w:cs="Times New Roman"/>
          <w:bCs/>
          <w:sz w:val="24"/>
          <w:lang w:eastAsia="zh-Hans"/>
        </w:rPr>
        <w:t>，</w:t>
      </w:r>
      <w:r>
        <w:rPr>
          <w:rFonts w:hint="eastAsia" w:ascii="宋体" w:hAnsi="宋体" w:eastAsia="宋体" w:cs="Times New Roman"/>
          <w:bCs/>
          <w:sz w:val="24"/>
          <w:lang w:val="en-US" w:eastAsia="en-US"/>
        </w:rPr>
        <w:t>采用综合评分法</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的，还应当告知未中标人本人的</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得分与排序。</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pageBreakBefore w:val="0"/>
        <w:widowControl w:val="0"/>
        <w:kinsoku/>
        <w:overflowPunct/>
        <w:topLinePunct w:val="0"/>
        <w:bidi w:val="0"/>
        <w:spacing w:line="460" w:lineRule="exact"/>
        <w:ind w:firstLine="480" w:firstLineChars="200"/>
        <w:rPr>
          <w:rFonts w:hint="eastAsia" w:ascii="宋体" w:hAnsi="宋体" w:eastAsia="宋体" w:cs="Times New Roman"/>
          <w:bCs/>
          <w:sz w:val="24"/>
        </w:rPr>
      </w:pPr>
      <w:r>
        <w:rPr>
          <w:rFonts w:hint="eastAsia" w:ascii="宋体" w:hAnsi="宋体"/>
          <w:sz w:val="24"/>
        </w:rPr>
        <w:t>27.4</w:t>
      </w:r>
      <w:r>
        <w:rPr>
          <w:rFonts w:hint="eastAsia" w:ascii="宋体" w:hAnsi="宋体"/>
          <w:bCs/>
          <w:sz w:val="24"/>
        </w:rPr>
        <w:t>评委会将对确定为实质性响应的投标进行进一步审核，</w:t>
      </w:r>
      <w:r>
        <w:rPr>
          <w:rFonts w:hint="eastAsia" w:ascii="宋体" w:hAnsi="宋体" w:eastAsia="宋体" w:cs="Times New Roman"/>
          <w:bCs/>
          <w:sz w:val="24"/>
          <w:lang w:val="en-US" w:eastAsia="en-US"/>
        </w:rPr>
        <w:t>投标文件报价出现前后不一致的，除招标文件另有规定外,按照下列规定修正</w:t>
      </w:r>
      <w:r>
        <w:rPr>
          <w:rFonts w:hint="eastAsia" w:ascii="宋体" w:hAnsi="宋体" w:eastAsia="宋体" w:cs="Times New Roman"/>
          <w:bCs/>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eastAsia="宋体" w:cs="Times New Roman"/>
          <w:bCs/>
          <w:sz w:val="24"/>
        </w:rPr>
        <w:t>（1）投标文</w:t>
      </w:r>
      <w:r>
        <w:rPr>
          <w:rFonts w:hint="eastAsia" w:ascii="宋体" w:hAnsi="宋体"/>
          <w:bCs/>
          <w:sz w:val="24"/>
        </w:rPr>
        <w:t>件中开标一览表内容与投标文件中相应内容不一致的，以开标一览表为准。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w:t>
      </w:r>
      <w:r>
        <w:rPr>
          <w:rFonts w:hint="eastAsia" w:ascii="宋体" w:hAnsi="宋体" w:eastAsia="宋体" w:cs="Times New Roman"/>
          <w:bCs/>
          <w:sz w:val="24"/>
        </w:rPr>
        <w:t>并通过</w:t>
      </w:r>
      <w:r>
        <w:rPr>
          <w:rFonts w:hint="eastAsia" w:ascii="宋体" w:hAnsi="宋体" w:eastAsia="宋体" w:cs="Times New Roman"/>
          <w:bCs/>
          <w:sz w:val="24"/>
          <w:lang w:val="en-US" w:eastAsia="en-US"/>
        </w:rPr>
        <w:t>书面形式</w:t>
      </w:r>
      <w:r>
        <w:rPr>
          <w:rFonts w:hint="eastAsia" w:ascii="宋体" w:hAnsi="宋体" w:eastAsia="宋体" w:cs="Times New Roman"/>
          <w:bCs/>
          <w:sz w:val="24"/>
          <w:lang w:val="en-US" w:eastAsia="zh-Hans"/>
        </w:rPr>
        <w:t>告知投标人</w:t>
      </w:r>
      <w:r>
        <w:rPr>
          <w:rFonts w:hint="eastAsia" w:ascii="宋体" w:hAnsi="宋体" w:eastAsia="宋体" w:cs="Times New Roman"/>
          <w:bCs/>
          <w:sz w:val="24"/>
        </w:rPr>
        <w:t>，调整后的价格应对投标人具有约束力。如果投标人不接受修正后的价格，则其投标</w:t>
      </w:r>
      <w:r>
        <w:rPr>
          <w:rFonts w:hint="eastAsia" w:ascii="宋体" w:hAnsi="宋体"/>
          <w:bCs/>
          <w:sz w:val="24"/>
        </w:rPr>
        <w:t>将被拒绝，其投标保证金不予退还。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58" w:name="_Toc513029234"/>
      <w:bookmarkStart w:id="159" w:name="_Toc20823306"/>
      <w:bookmarkStart w:id="160" w:name="_Toc16938550"/>
      <w:r>
        <w:rPr>
          <w:rFonts w:hint="eastAsia" w:ascii="宋体" w:hAnsi="宋体"/>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widowControl w:val="0"/>
        <w:kinsoku/>
        <w:overflowPunct/>
        <w:topLinePunct w:val="0"/>
        <w:bidi w:val="0"/>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7"/>
        <w:pageBreakBefore w:val="0"/>
        <w:widowControl w:val="0"/>
        <w:kinsoku/>
        <w:overflowPunct/>
        <w:topLinePunct w:val="0"/>
        <w:bidi w:val="0"/>
        <w:spacing w:line="460" w:lineRule="exact"/>
        <w:rPr>
          <w:rFonts w:hint="eastAsia"/>
          <w:b w:val="0"/>
        </w:rPr>
      </w:pPr>
      <w:r>
        <w:rPr>
          <w:b w:val="0"/>
          <w:bCs/>
        </w:rPr>
        <w:t>28</w:t>
      </w:r>
      <w:r>
        <w:rPr>
          <w:rFonts w:hint="eastAsia"/>
          <w:b w:val="0"/>
          <w:bCs/>
        </w:rPr>
        <w:t>、</w:t>
      </w:r>
      <w:bookmarkEnd w:id="158"/>
      <w:bookmarkEnd w:id="159"/>
      <w:bookmarkEnd w:id="160"/>
      <w:r>
        <w:rPr>
          <w:rFonts w:hint="eastAsia"/>
          <w:b w:val="0"/>
          <w:bCs/>
        </w:rPr>
        <w:t>无效投标条款和废标条款</w:t>
      </w:r>
    </w:p>
    <w:p>
      <w:pPr>
        <w:pageBreakBefore w:val="0"/>
        <w:widowControl w:val="0"/>
        <w:kinsoku/>
        <w:overflowPunct/>
        <w:topLinePunct w:val="0"/>
        <w:bidi w:val="0"/>
        <w:spacing w:line="460" w:lineRule="exact"/>
        <w:ind w:left="479" w:leftChars="228"/>
        <w:rPr>
          <w:rFonts w:ascii="宋体" w:hAnsi="宋体"/>
          <w:bCs/>
          <w:sz w:val="24"/>
        </w:rPr>
      </w:pPr>
      <w:bookmarkStart w:id="161" w:name="_Toc16938551"/>
      <w:bookmarkStart w:id="162" w:name="_Toc513029235"/>
      <w:bookmarkStart w:id="163" w:name="_Toc20823307"/>
      <w:r>
        <w:rPr>
          <w:rFonts w:hint="eastAsia" w:ascii="宋体" w:hAnsi="宋体"/>
          <w:bCs/>
          <w:sz w:val="24"/>
        </w:rPr>
        <w:t>28.1无效投标条款</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28.1.1未按要求交纳投标保证金的。</w:t>
      </w:r>
    </w:p>
    <w:p>
      <w:pPr>
        <w:pageBreakBefore w:val="0"/>
        <w:widowControl w:val="0"/>
        <w:kinsoku/>
        <w:overflowPunct/>
        <w:topLinePunct w:val="0"/>
        <w:bidi w:val="0"/>
        <w:spacing w:line="46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28.1.4投标人在报价时采用选择性报价的。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pageBreakBefore w:val="0"/>
        <w:widowControl w:val="0"/>
        <w:kinsoku/>
        <w:overflowPunct/>
        <w:topLinePunct w:val="0"/>
        <w:bidi w:val="0"/>
        <w:spacing w:line="46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28.1.9投标人被 “信用中国”网站（www.creditchina.gov.cn）</w:t>
      </w:r>
      <w:r>
        <w:rPr>
          <w:rFonts w:hint="eastAsia" w:ascii="宋体" w:hAnsi="宋体"/>
          <w:bCs/>
          <w:sz w:val="24"/>
          <w:lang w:eastAsia="zh-CN"/>
        </w:rPr>
        <w:t>、“中国政府采购网”(www.ccgp.gov.cn)</w:t>
      </w:r>
      <w:r>
        <w:rPr>
          <w:rFonts w:hint="eastAsia" w:ascii="宋体" w:hAnsi="宋体"/>
          <w:bCs/>
          <w:sz w:val="24"/>
        </w:rPr>
        <w:t>列入失信被执行人或重大税收违法案件当事人名单或政府采购严重失信行为记录名单。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28.2废标条款：</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28.2.3因重大变故，采购任务取消的。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sz w:val="24"/>
          <w:szCs w:val="24"/>
          <w:lang w:val="en-US" w:eastAsia="zh-CN"/>
        </w:rPr>
        <w:t>新疆政采云</w:t>
      </w:r>
      <w:r>
        <w:rPr>
          <w:rFonts w:hint="eastAsia" w:ascii="宋体" w:hAnsi="宋体" w:cs="宋体"/>
          <w:sz w:val="24"/>
          <w:szCs w:val="24"/>
        </w:rPr>
        <w:t>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6"/>
        <w:pageBreakBefore w:val="0"/>
        <w:widowControl w:val="0"/>
        <w:kinsoku/>
        <w:overflowPunct/>
        <w:topLinePunct w:val="0"/>
        <w:bidi w:val="0"/>
        <w:spacing w:before="145" w:beforeLines="50" w:after="145" w:afterLines="50" w:line="460" w:lineRule="exact"/>
        <w:ind w:firstLine="482" w:firstLineChars="150"/>
        <w:rPr>
          <w:rFonts w:hint="eastAsia"/>
        </w:rPr>
      </w:pPr>
      <w:bookmarkStart w:id="164" w:name="_Toc534725603"/>
      <w:bookmarkStart w:id="165" w:name="_Toc534816632"/>
      <w:bookmarkStart w:id="166" w:name="_Toc120614219"/>
      <w:r>
        <w:rPr>
          <w:rFonts w:hint="eastAsia"/>
        </w:rPr>
        <w:t>六、</w:t>
      </w:r>
      <w:bookmarkEnd w:id="161"/>
      <w:bookmarkEnd w:id="162"/>
      <w:bookmarkEnd w:id="163"/>
      <w:r>
        <w:rPr>
          <w:rFonts w:hint="eastAsia"/>
        </w:rPr>
        <w:t>定标</w:t>
      </w:r>
      <w:bookmarkEnd w:id="164"/>
      <w:bookmarkEnd w:id="165"/>
      <w:bookmarkEnd w:id="166"/>
    </w:p>
    <w:p>
      <w:pPr>
        <w:pStyle w:val="7"/>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67" w:name="_Toc513029238"/>
      <w:bookmarkStart w:id="168" w:name="_Toc16938554"/>
      <w:bookmarkStart w:id="169" w:name="_Toc20823310"/>
      <w:r>
        <w:rPr>
          <w:rFonts w:hint="eastAsia" w:ascii="黑体" w:hAnsi="宋体" w:cs="Times New Roman"/>
          <w:b w:val="0"/>
          <w:sz w:val="30"/>
          <w:szCs w:val="30"/>
        </w:rPr>
        <w:t>29、</w:t>
      </w:r>
      <w:bookmarkEnd w:id="167"/>
      <w:r>
        <w:rPr>
          <w:rFonts w:hint="eastAsia" w:ascii="黑体" w:hAnsi="宋体" w:cs="Times New Roman"/>
          <w:b w:val="0"/>
          <w:sz w:val="30"/>
          <w:szCs w:val="30"/>
        </w:rPr>
        <w:t>确定</w:t>
      </w:r>
      <w:bookmarkEnd w:id="168"/>
      <w:bookmarkEnd w:id="169"/>
      <w:r>
        <w:rPr>
          <w:rFonts w:hint="eastAsia" w:ascii="黑体" w:hAnsi="宋体" w:cs="Times New Roman"/>
          <w:b w:val="0"/>
          <w:sz w:val="30"/>
          <w:szCs w:val="30"/>
        </w:rPr>
        <w:t>中标单位</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29.1中标候选人的选取原则和数量见招标文件第五章规定。</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29.2 采购人应根据评委会推荐的中标候选人确定中标人。</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 xml:space="preserve">29.3 </w:t>
      </w:r>
      <w:r>
        <w:rPr>
          <w:rFonts w:hint="eastAsia" w:ascii="宋体" w:hAnsi="宋体"/>
          <w:sz w:val="24"/>
          <w:szCs w:val="24"/>
        </w:rPr>
        <w:t>交易中心将在“新疆政府采购网”和“</w:t>
      </w:r>
      <w:r>
        <w:rPr>
          <w:rFonts w:hint="eastAsia" w:ascii="宋体" w:hAnsi="宋体"/>
          <w:sz w:val="24"/>
          <w:szCs w:val="24"/>
          <w:lang w:val="en-US" w:eastAsia="zh-CN"/>
        </w:rPr>
        <w:t>昌吉州</w:t>
      </w:r>
      <w:r>
        <w:rPr>
          <w:rFonts w:hint="eastAsia" w:ascii="宋体" w:hAnsi="宋体"/>
          <w:sz w:val="24"/>
          <w:szCs w:val="24"/>
        </w:rPr>
        <w:t>公共资源交易网”发布中标公告，公告期限为1个工作日。</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  若有充分证据证明，中标人出现下列情况之一的，一经查实，将被取消中标资格：</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29.4.1提供虚假材料谋取中标的。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29.4.2向采购人、交易中心行贿或者提供其他不正当利益的。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bookmarkStart w:id="170"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0"/>
    <w:p>
      <w:pPr>
        <w:pStyle w:val="7"/>
        <w:pageBreakBefore w:val="0"/>
        <w:widowControl w:val="0"/>
        <w:kinsoku/>
        <w:overflowPunct/>
        <w:topLinePunct w:val="0"/>
        <w:bidi w:val="0"/>
        <w:spacing w:line="460" w:lineRule="exact"/>
        <w:ind w:firstLine="600" w:firstLineChars="200"/>
        <w:rPr>
          <w:rFonts w:hint="eastAsia" w:ascii="黑体" w:hAnsi="宋体" w:cs="Times New Roman"/>
          <w:b w:val="0"/>
          <w:color w:val="auto"/>
          <w:sz w:val="30"/>
          <w:szCs w:val="30"/>
          <w:highlight w:val="none"/>
        </w:rPr>
      </w:pPr>
      <w:bookmarkStart w:id="171" w:name="_Toc534816633"/>
      <w:bookmarkStart w:id="172" w:name="_Toc120614220"/>
      <w:bookmarkStart w:id="173" w:name="_Toc534725604"/>
      <w:bookmarkStart w:id="174" w:name="_Toc20823308"/>
      <w:bookmarkStart w:id="175" w:name="_Toc513029236"/>
      <w:bookmarkStart w:id="176" w:name="_Toc16938552"/>
      <w:r>
        <w:rPr>
          <w:rFonts w:hint="eastAsia" w:ascii="黑体" w:hAnsi="宋体" w:cs="Times New Roman"/>
          <w:b w:val="0"/>
          <w:color w:val="auto"/>
          <w:sz w:val="30"/>
          <w:szCs w:val="30"/>
          <w:highlight w:val="none"/>
        </w:rPr>
        <w:t>30、质疑处理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 提出质疑的供应商应当是参与所质疑项目采购活动的供应商。潜在供应商依法获取其可质疑的采购文件的，可以对采购文件提出质疑。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供应商认为采购文件、采购过程和采购结果使自己的权益受到损害的，可以在知道或应知其权益受到损害之日起七个工作日内，以书面形式向交易中心及采购人提出质疑。上述应知其权益受到损害之日，是指：</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30.2.1</w:t>
      </w:r>
      <w:r>
        <w:rPr>
          <w:rFonts w:hint="eastAsia" w:hAnsi="宋体" w:cs="宋体"/>
          <w:color w:val="auto"/>
          <w:kern w:val="0"/>
          <w:sz w:val="24"/>
          <w:szCs w:val="24"/>
          <w:highlight w:val="none"/>
        </w:rPr>
        <w:t>对可以质疑的采购文件提出质疑的，为收到采购文件之日或者采购文件公告期限届满之日；</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30.2.2</w:t>
      </w:r>
      <w:r>
        <w:rPr>
          <w:rFonts w:hint="eastAsia" w:hAnsi="宋体" w:cs="宋体"/>
          <w:color w:val="auto"/>
          <w:kern w:val="0"/>
          <w:sz w:val="24"/>
          <w:szCs w:val="24"/>
          <w:highlight w:val="none"/>
        </w:rPr>
        <w:t>对采购过程提出质疑的，为各采购程序环节结束之日；</w:t>
      </w:r>
    </w:p>
    <w:p>
      <w:pPr>
        <w:pageBreakBefore w:val="0"/>
        <w:widowControl w:val="0"/>
        <w:kinsoku/>
        <w:overflowPunct/>
        <w:topLinePunct w:val="0"/>
        <w:bidi w:val="0"/>
        <w:snapToGrid w:val="0"/>
        <w:spacing w:line="46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30.2.3</w:t>
      </w:r>
      <w:r>
        <w:rPr>
          <w:rFonts w:hint="eastAsia" w:hAnsi="宋体" w:cs="宋体"/>
          <w:color w:val="auto"/>
          <w:kern w:val="0"/>
          <w:sz w:val="24"/>
          <w:szCs w:val="24"/>
          <w:highlight w:val="none"/>
        </w:rPr>
        <w:t>对中标或者成交结果提出质疑的，为中标或者成交结果公告期限届满之日。</w:t>
      </w:r>
    </w:p>
    <w:p>
      <w:pPr>
        <w:pageBreakBefore w:val="0"/>
        <w:widowControl w:val="0"/>
        <w:kinsoku/>
        <w:overflowPunct/>
        <w:topLinePunct w:val="0"/>
        <w:bidi w:val="0"/>
        <w:snapToGrid w:val="0"/>
        <w:spacing w:line="46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pageBreakBefore w:val="0"/>
        <w:widowControl w:val="0"/>
        <w:kinsoku/>
        <w:overflowPunct/>
        <w:topLinePunct w:val="0"/>
        <w:bidi w:val="0"/>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30.4 交易中心及采购人只接收以纸质原件形式送达的质疑。</w:t>
      </w:r>
    </w:p>
    <w:p>
      <w:pPr>
        <w:pageBreakBefore w:val="0"/>
        <w:widowControl w:val="0"/>
        <w:kinsoku/>
        <w:overflowPunct/>
        <w:topLinePunct w:val="0"/>
        <w:bidi w:val="0"/>
        <w:snapToGrid w:val="0"/>
        <w:spacing w:line="460" w:lineRule="exact"/>
        <w:ind w:firstLine="480" w:firstLineChars="200"/>
        <w:rPr>
          <w:rFonts w:hint="default" w:hAnsi="宋体" w:eastAsia="宋体"/>
          <w:lang w:val="en-US" w:eastAsia="zh-CN"/>
        </w:rPr>
      </w:pPr>
      <w:r>
        <w:rPr>
          <w:rFonts w:hint="eastAsia" w:ascii="宋体" w:hAnsi="宋体"/>
          <w:color w:val="auto"/>
          <w:sz w:val="24"/>
          <w:szCs w:val="24"/>
          <w:highlight w:val="none"/>
        </w:rPr>
        <w:t>质疑接收人：</w:t>
      </w:r>
      <w:r>
        <w:rPr>
          <w:rFonts w:hint="eastAsia" w:ascii="宋体" w:hAnsi="宋体" w:eastAsia="宋体" w:cs="Times New Roman"/>
          <w:color w:val="auto"/>
          <w:sz w:val="24"/>
          <w:szCs w:val="24"/>
          <w:highlight w:val="none"/>
          <w:lang w:val="en-US" w:eastAsia="zh-CN"/>
        </w:rPr>
        <w:t>昌吉回族自治州政务服务和公共资源交易</w:t>
      </w:r>
      <w:r>
        <w:rPr>
          <w:rFonts w:hint="eastAsia" w:ascii="宋体" w:hAnsi="宋体" w:eastAsia="宋体" w:cs="Times New Roman"/>
          <w:color w:val="auto"/>
          <w:sz w:val="24"/>
          <w:szCs w:val="24"/>
          <w:highlight w:val="none"/>
        </w:rPr>
        <w:t>中心</w:t>
      </w:r>
      <w:r>
        <w:rPr>
          <w:rFonts w:hint="eastAsia" w:ascii="宋体" w:hAnsi="宋体" w:eastAsia="宋体" w:cs="Times New Roman"/>
          <w:color w:val="auto"/>
          <w:sz w:val="24"/>
          <w:szCs w:val="24"/>
          <w:highlight w:val="none"/>
          <w:lang w:val="en-US" w:eastAsia="zh-CN"/>
        </w:rPr>
        <w:t>政府采购交易服务科（509室）</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 以下情形的质疑不予受理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30.5.1 内容不符合《政府采购质疑和投诉办法》第十二条规定的质疑。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30.5.2 超出政府采购法定期限的质疑。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30.5.3 以传真、电子邮件等方式递交的非原件形式的质疑。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30.5.4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30.5.5供应商组成联合体参加投标，联合体中任何一方或多方未按要求签字、盖章、加盖公章的质疑。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30.5.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30.5.8不属于本中心管辖范围的质疑。</w:t>
      </w:r>
    </w:p>
    <w:p>
      <w:pPr>
        <w:pageBreakBefore w:val="0"/>
        <w:widowControl w:val="0"/>
        <w:kinsoku/>
        <w:overflowPunct/>
        <w:topLinePunct w:val="0"/>
        <w:bidi w:val="0"/>
        <w:snapToGrid w:val="0"/>
        <w:spacing w:line="46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rPr>
        <w:t xml:space="preserve">30.6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Style w:val="6"/>
        <w:pageBreakBefore w:val="0"/>
        <w:widowControl w:val="0"/>
        <w:kinsoku/>
        <w:overflowPunct/>
        <w:topLinePunct w:val="0"/>
        <w:bidi w:val="0"/>
        <w:spacing w:before="145" w:beforeLines="50" w:after="145" w:afterLines="50" w:line="460" w:lineRule="exact"/>
        <w:ind w:firstLine="643" w:firstLineChars="200"/>
        <w:rPr>
          <w:rFonts w:hint="eastAsia"/>
        </w:rPr>
      </w:pPr>
      <w:r>
        <w:rPr>
          <w:rFonts w:hint="eastAsia"/>
        </w:rPr>
        <w:t>七、授予合同</w:t>
      </w:r>
      <w:bookmarkEnd w:id="171"/>
      <w:bookmarkEnd w:id="172"/>
      <w:bookmarkEnd w:id="173"/>
    </w:p>
    <w:bookmarkEnd w:id="174"/>
    <w:bookmarkEnd w:id="175"/>
    <w:bookmarkEnd w:id="176"/>
    <w:p>
      <w:pPr>
        <w:pStyle w:val="7"/>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77" w:name="_Toc513029237"/>
      <w:bookmarkStart w:id="178" w:name="_Toc16938553"/>
      <w:bookmarkStart w:id="179" w:name="_Toc20823309"/>
      <w:r>
        <w:rPr>
          <w:rFonts w:hint="eastAsia" w:ascii="黑体" w:hAnsi="宋体" w:cs="Times New Roman"/>
          <w:b w:val="0"/>
          <w:sz w:val="30"/>
          <w:szCs w:val="30"/>
        </w:rPr>
        <w:t>3</w:t>
      </w:r>
      <w:r>
        <w:rPr>
          <w:rFonts w:hint="eastAsia" w:ascii="黑体" w:hAnsi="宋体" w:cs="Times New Roman"/>
          <w:b w:val="0"/>
          <w:sz w:val="30"/>
          <w:szCs w:val="30"/>
          <w:lang w:val="en-US" w:eastAsia="zh-CN"/>
        </w:rPr>
        <w:t>1</w:t>
      </w:r>
      <w:r>
        <w:rPr>
          <w:rFonts w:hint="eastAsia" w:ascii="黑体" w:hAnsi="宋体" w:cs="Times New Roman"/>
          <w:b w:val="0"/>
          <w:sz w:val="30"/>
          <w:szCs w:val="30"/>
        </w:rPr>
        <w:t>. 签订合同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bCs/>
          <w:sz w:val="24"/>
          <w:szCs w:val="24"/>
        </w:rPr>
        <w:t>3</w:t>
      </w:r>
      <w:r>
        <w:rPr>
          <w:rFonts w:hint="eastAsia" w:ascii="宋体" w:hAnsi="宋体"/>
          <w:bCs/>
          <w:sz w:val="24"/>
          <w:szCs w:val="24"/>
          <w:lang w:val="en-US" w:eastAsia="zh-CN"/>
        </w:rPr>
        <w:t>1</w:t>
      </w:r>
      <w:r>
        <w:rPr>
          <w:rFonts w:hint="eastAsia" w:ascii="宋体" w:hAnsi="宋体"/>
          <w:sz w:val="24"/>
          <w:szCs w:val="24"/>
        </w:rPr>
        <w:t>.l中标人应当在中标通知书发出之日起三十日内，按照招标文件确定的事项与采购人签订政府采购合同。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 签订合同后，</w:t>
      </w:r>
      <w:r>
        <w:rPr>
          <w:rFonts w:hint="eastAsia" w:ascii="宋体" w:hAnsi="宋体"/>
          <w:i/>
          <w:sz w:val="24"/>
          <w:szCs w:val="24"/>
          <w:u w:val="single"/>
        </w:rPr>
        <w:t>中标人不得将货物及其他相关服务进行转包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pPr>
        <w:pStyle w:val="7"/>
        <w:pageBreakBefore w:val="0"/>
        <w:widowControl w:val="0"/>
        <w:kinsoku/>
        <w:overflowPunct/>
        <w:topLinePunct w:val="0"/>
        <w:bidi w:val="0"/>
        <w:spacing w:line="460" w:lineRule="exact"/>
        <w:ind w:firstLine="600" w:firstLineChars="200"/>
        <w:rPr>
          <w:rFonts w:hint="eastAsia" w:ascii="黑体" w:hAnsi="宋体" w:cs="Times New Roman"/>
          <w:b w:val="0"/>
          <w:sz w:val="30"/>
          <w:szCs w:val="30"/>
        </w:rPr>
      </w:pPr>
      <w:r>
        <w:rPr>
          <w:rFonts w:hint="eastAsia" w:ascii="黑体" w:hAnsi="宋体" w:cs="Times New Roman"/>
          <w:b w:val="0"/>
          <w:sz w:val="30"/>
          <w:szCs w:val="30"/>
        </w:rPr>
        <w:t>3</w:t>
      </w:r>
      <w:r>
        <w:rPr>
          <w:rFonts w:hint="eastAsia" w:ascii="黑体" w:hAnsi="宋体" w:cs="Times New Roman"/>
          <w:b w:val="0"/>
          <w:sz w:val="30"/>
          <w:szCs w:val="30"/>
          <w:lang w:val="en-US" w:eastAsia="zh-CN"/>
        </w:rPr>
        <w:t>2</w:t>
      </w:r>
      <w:r>
        <w:rPr>
          <w:rFonts w:hint="eastAsia" w:ascii="黑体" w:hAnsi="宋体" w:cs="Times New Roman"/>
          <w:b w:val="0"/>
          <w:sz w:val="30"/>
          <w:szCs w:val="30"/>
        </w:rPr>
        <w:t>、货物和服务的追加、减少和添购。</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pageBreakBefore w:val="0"/>
        <w:widowControl w:val="0"/>
        <w:kinsoku/>
        <w:overflowPunct/>
        <w:topLinePunct w:val="0"/>
        <w:bidi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77"/>
    <w:bookmarkEnd w:id="178"/>
    <w:bookmarkEnd w:id="179"/>
    <w:p>
      <w:pPr>
        <w:pageBreakBefore w:val="0"/>
        <w:widowControl w:val="0"/>
        <w:kinsoku/>
        <w:overflowPunct/>
        <w:topLinePunct w:val="0"/>
        <w:bidi w:val="0"/>
        <w:spacing w:line="460" w:lineRule="exact"/>
      </w:pPr>
    </w:p>
    <w:p>
      <w:pPr>
        <w:pageBreakBefore w:val="0"/>
        <w:widowControl w:val="0"/>
        <w:kinsoku/>
        <w:overflowPunct/>
        <w:topLinePunct w:val="0"/>
        <w:bidi w:val="0"/>
        <w:spacing w:line="460" w:lineRule="exact"/>
        <w:ind w:firstLine="555"/>
        <w:rPr>
          <w:rFonts w:hint="eastAsia" w:ascii="宋体" w:hAnsi="宋体"/>
          <w:bCs/>
          <w:sz w:val="24"/>
          <w:szCs w:val="24"/>
        </w:rPr>
      </w:pPr>
      <w:r>
        <w:br w:type="page"/>
      </w:r>
    </w:p>
    <w:p>
      <w:pPr>
        <w:pStyle w:val="5"/>
        <w:pageBreakBefore w:val="0"/>
        <w:widowControl w:val="0"/>
        <w:kinsoku/>
        <w:overflowPunct/>
        <w:topLinePunct w:val="0"/>
        <w:bidi w:val="0"/>
        <w:spacing w:line="460" w:lineRule="exact"/>
        <w:rPr>
          <w:rFonts w:hint="eastAsia"/>
        </w:rPr>
      </w:pPr>
      <w:bookmarkStart w:id="180" w:name="_Toc534816635"/>
      <w:bookmarkStart w:id="181" w:name="_Toc534725606"/>
      <w:r>
        <w:rPr>
          <w:rFonts w:hint="eastAsia"/>
        </w:rPr>
        <w:t>第三章  合同</w:t>
      </w:r>
      <w:bookmarkEnd w:id="22"/>
      <w:bookmarkEnd w:id="23"/>
      <w:bookmarkEnd w:id="24"/>
      <w:bookmarkEnd w:id="25"/>
      <w:bookmarkEnd w:id="26"/>
      <w:r>
        <w:rPr>
          <w:rFonts w:hint="eastAsia"/>
        </w:rPr>
        <w:t>文本</w:t>
      </w:r>
      <w:bookmarkEnd w:id="27"/>
      <w:bookmarkEnd w:id="180"/>
      <w:bookmarkEnd w:id="181"/>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82" w:name="_Toc20823315"/>
      <w:bookmarkStart w:id="183" w:name="_Toc513029243"/>
      <w:bookmarkStart w:id="184" w:name="_Toc16938559"/>
      <w:r>
        <w:rPr>
          <w:rFonts w:hint="eastAsia" w:ascii="宋体" w:hAnsi="宋体"/>
          <w:bCs/>
          <w:sz w:val="24"/>
        </w:rPr>
        <w:t>以下为中标后签定本项目合同的通用条款，中标人不得提出实质性的修改，关于专用条款将由采购人与中标人结合本项目具体情况协商后签订。</w:t>
      </w:r>
    </w:p>
    <w:p>
      <w:pPr>
        <w:pageBreakBefore w:val="0"/>
        <w:widowControl w:val="0"/>
        <w:kinsoku/>
        <w:overflowPunct/>
        <w:topLinePunct w:val="0"/>
        <w:bidi w:val="0"/>
        <w:spacing w:line="460" w:lineRule="exact"/>
        <w:jc w:val="center"/>
        <w:rPr>
          <w:b/>
          <w:bCs/>
          <w:sz w:val="30"/>
          <w:szCs w:val="30"/>
        </w:rPr>
      </w:pPr>
      <w:r>
        <w:rPr>
          <w:rFonts w:hint="eastAsia"/>
          <w:b/>
          <w:sz w:val="30"/>
          <w:szCs w:val="30"/>
          <w:lang w:val="en-US" w:eastAsia="zh-CN"/>
        </w:rPr>
        <w:t>昌吉回族自治州</w:t>
      </w:r>
      <w:r>
        <w:rPr>
          <w:rFonts w:hint="eastAsia"/>
          <w:b/>
          <w:sz w:val="30"/>
          <w:szCs w:val="30"/>
        </w:rPr>
        <w:t>政府采购合同（合同编号）</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项目名称：                                       项目编号：</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甲方：（买方）_________</w:t>
      </w:r>
    </w:p>
    <w:p>
      <w:pPr>
        <w:pStyle w:val="11"/>
        <w:pageBreakBefore w:val="0"/>
        <w:widowControl w:val="0"/>
        <w:kinsoku/>
        <w:overflowPunct/>
        <w:topLinePunct w:val="0"/>
        <w:bidi w:val="0"/>
        <w:snapToGrid w:val="0"/>
        <w:spacing w:before="120" w:after="120" w:line="460" w:lineRule="exact"/>
        <w:rPr>
          <w:rFonts w:hint="eastAsia" w:hAnsi="宋体"/>
          <w:sz w:val="24"/>
          <w:szCs w:val="24"/>
        </w:rPr>
      </w:pPr>
      <w:r>
        <w:rPr>
          <w:rFonts w:hAnsi="宋体"/>
          <w:sz w:val="24"/>
          <w:szCs w:val="24"/>
        </w:rPr>
        <w:t>乙方：（卖方）_________</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val="en-US" w:eastAsia="zh-CN"/>
        </w:rPr>
        <w:t>昌吉回族自治州</w:t>
      </w:r>
      <w:r>
        <w:rPr>
          <w:rFonts w:hint="eastAsia" w:hAnsi="宋体"/>
          <w:sz w:val="24"/>
          <w:szCs w:val="24"/>
        </w:rPr>
        <w:t>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一、产品内容</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1.1 产品名称：</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1.2 型号规格：</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1.3 数量（单位）：</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二、合同金额</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三、技术资料</w:t>
      </w:r>
    </w:p>
    <w:p>
      <w:pPr>
        <w:pStyle w:val="11"/>
        <w:pageBreakBefore w:val="0"/>
        <w:widowControl w:val="0"/>
        <w:kinsoku/>
        <w:overflowPunct/>
        <w:topLinePunct w:val="0"/>
        <w:bidi w:val="0"/>
        <w:snapToGrid w:val="0"/>
        <w:spacing w:before="120" w:after="120" w:line="460" w:lineRule="exact"/>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pageBreakBefore w:val="0"/>
        <w:widowControl w:val="0"/>
        <w:kinsoku/>
        <w:overflowPunct/>
        <w:topLinePunct w:val="0"/>
        <w:bidi w:val="0"/>
        <w:snapToGrid w:val="0"/>
        <w:spacing w:before="120" w:after="120" w:line="460" w:lineRule="exact"/>
        <w:ind w:left="412" w:hanging="412" w:hangingChars="171"/>
        <w:rPr>
          <w:rFonts w:hAnsi="宋体"/>
          <w:b/>
          <w:sz w:val="24"/>
          <w:szCs w:val="24"/>
        </w:rPr>
      </w:pPr>
      <w:r>
        <w:rPr>
          <w:rFonts w:hAnsi="宋体"/>
          <w:b/>
          <w:sz w:val="24"/>
          <w:szCs w:val="24"/>
        </w:rPr>
        <w:t>四、知识产权</w:t>
      </w:r>
    </w:p>
    <w:p>
      <w:pPr>
        <w:pageBreakBefore w:val="0"/>
        <w:widowControl w:val="0"/>
        <w:kinsoku/>
        <w:overflowPunct/>
        <w:topLinePunct w:val="0"/>
        <w:bidi w:val="0"/>
        <w:spacing w:line="46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1"/>
        <w:pageBreakBefore w:val="0"/>
        <w:widowControl w:val="0"/>
        <w:kinsoku/>
        <w:overflowPunct/>
        <w:topLinePunct w:val="0"/>
        <w:bidi w:val="0"/>
        <w:snapToGrid w:val="0"/>
        <w:spacing w:before="120" w:after="120" w:line="460" w:lineRule="exact"/>
        <w:rPr>
          <w:rFonts w:hAnsi="宋体"/>
          <w:sz w:val="24"/>
          <w:szCs w:val="24"/>
          <w:u w:val="single"/>
        </w:rPr>
      </w:pPr>
      <w:r>
        <w:rPr>
          <w:rFonts w:hAnsi="宋体"/>
          <w:b/>
          <w:sz w:val="24"/>
          <w:szCs w:val="24"/>
        </w:rPr>
        <w:t>五、产权担保</w:t>
      </w:r>
    </w:p>
    <w:p>
      <w:pPr>
        <w:pStyle w:val="11"/>
        <w:pageBreakBefore w:val="0"/>
        <w:widowControl w:val="0"/>
        <w:kinsoku/>
        <w:overflowPunct/>
        <w:topLinePunct w:val="0"/>
        <w:bidi w:val="0"/>
        <w:snapToGrid w:val="0"/>
        <w:spacing w:before="120" w:after="120" w:line="460" w:lineRule="exact"/>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lang w:val="en-US" w:eastAsia="zh-CN"/>
        </w:rPr>
        <w:t>六</w:t>
      </w:r>
      <w:r>
        <w:rPr>
          <w:rFonts w:hint="eastAsia" w:ascii="宋体" w:hAnsi="宋体"/>
          <w:b/>
          <w:sz w:val="24"/>
          <w:szCs w:val="24"/>
        </w:rPr>
        <w:t>、转包或分包</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本合同范围的产品，应由乙方直接供应，不得转让他人供应；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11"/>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质</w:t>
      </w:r>
      <w:r>
        <w:rPr>
          <w:rFonts w:hAnsi="宋体"/>
          <w:b/>
          <w:sz w:val="24"/>
          <w:szCs w:val="24"/>
        </w:rPr>
        <w:t>保期</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
          <w:sz w:val="24"/>
          <w:szCs w:val="24"/>
          <w:lang w:val="en-US" w:eastAsia="zh-CN"/>
        </w:rPr>
        <w:t>八</w:t>
      </w:r>
      <w:r>
        <w:rPr>
          <w:rFonts w:hAnsi="宋体"/>
          <w:b/>
          <w:sz w:val="24"/>
          <w:szCs w:val="24"/>
        </w:rPr>
        <w:t>、交货期、交货方式及交货地点</w:t>
      </w:r>
    </w:p>
    <w:p>
      <w:pPr>
        <w:pStyle w:val="11"/>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11"/>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.2 交货方式：</w:t>
      </w:r>
      <w:r>
        <w:rPr>
          <w:rFonts w:hAnsi="宋体"/>
          <w:sz w:val="24"/>
          <w:szCs w:val="24"/>
        </w:rPr>
        <w:t>___________</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Cs/>
          <w:sz w:val="24"/>
          <w:szCs w:val="24"/>
          <w:lang w:val="en-US" w:eastAsia="zh-CN"/>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11"/>
        <w:pageBreakBefore w:val="0"/>
        <w:widowControl w:val="0"/>
        <w:kinsoku/>
        <w:overflowPunct/>
        <w:topLinePunct w:val="0"/>
        <w:bidi w:val="0"/>
        <w:snapToGrid w:val="0"/>
        <w:spacing w:before="120" w:after="120" w:line="460" w:lineRule="exact"/>
        <w:rPr>
          <w:rFonts w:hint="eastAsia" w:hAnsi="宋体"/>
          <w:bCs/>
          <w:sz w:val="24"/>
          <w:szCs w:val="24"/>
        </w:rPr>
      </w:pPr>
      <w:r>
        <w:rPr>
          <w:rFonts w:hint="eastAsia" w:hAnsi="宋体"/>
          <w:b/>
          <w:sz w:val="24"/>
          <w:szCs w:val="24"/>
          <w:lang w:val="en-US" w:eastAsia="zh-CN"/>
        </w:rPr>
        <w:t>九</w:t>
      </w:r>
      <w:r>
        <w:rPr>
          <w:rFonts w:hAnsi="宋体"/>
          <w:b/>
          <w:sz w:val="24"/>
          <w:szCs w:val="24"/>
        </w:rPr>
        <w:t>、货款支付</w:t>
      </w:r>
    </w:p>
    <w:p>
      <w:pPr>
        <w:pStyle w:val="11"/>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11"/>
        <w:pageBreakBefore w:val="0"/>
        <w:widowControl w:val="0"/>
        <w:kinsoku/>
        <w:overflowPunct/>
        <w:topLinePunct w:val="0"/>
        <w:bidi w:val="0"/>
        <w:snapToGrid w:val="0"/>
        <w:spacing w:before="120" w:after="120" w:line="460" w:lineRule="exact"/>
        <w:ind w:left="480" w:hanging="480" w:hangingChars="200"/>
        <w:rPr>
          <w:rFonts w:hAnsi="宋体"/>
          <w:bCs/>
          <w:sz w:val="24"/>
          <w:szCs w:val="24"/>
        </w:rPr>
      </w:pPr>
      <w:r>
        <w:rPr>
          <w:rFonts w:hint="eastAsia" w:hAnsi="宋体"/>
          <w:bCs/>
          <w:sz w:val="24"/>
          <w:szCs w:val="24"/>
          <w:lang w:val="en-US" w:eastAsia="zh-CN"/>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本合同执行中相关的一切税费均由乙方负担。</w:t>
      </w:r>
    </w:p>
    <w:p>
      <w:pPr>
        <w:pStyle w:val="11"/>
        <w:pageBreakBefore w:val="0"/>
        <w:widowControl w:val="0"/>
        <w:kinsoku/>
        <w:overflowPunct/>
        <w:topLinePunct w:val="0"/>
        <w:bidi w:val="0"/>
        <w:snapToGrid w:val="0"/>
        <w:spacing w:before="120" w:after="120" w:line="460" w:lineRule="exact"/>
        <w:ind w:left="412" w:hanging="412" w:hangingChars="171"/>
        <w:rPr>
          <w:rFonts w:hAnsi="宋体"/>
          <w:sz w:val="24"/>
          <w:szCs w:val="24"/>
        </w:rPr>
      </w:pPr>
      <w:r>
        <w:rPr>
          <w:rFonts w:hAnsi="宋体"/>
          <w:b/>
          <w:sz w:val="24"/>
          <w:szCs w:val="24"/>
        </w:rPr>
        <w:t>十</w:t>
      </w:r>
      <w:r>
        <w:rPr>
          <w:rFonts w:hint="eastAsia" w:hAnsi="宋体"/>
          <w:b/>
          <w:sz w:val="24"/>
          <w:szCs w:val="24"/>
          <w:lang w:val="en-US" w:eastAsia="zh-CN"/>
        </w:rPr>
        <w:t>一</w:t>
      </w:r>
      <w:r>
        <w:rPr>
          <w:rFonts w:hAnsi="宋体"/>
          <w:b/>
          <w:sz w:val="24"/>
          <w:szCs w:val="24"/>
        </w:rPr>
        <w:t>、质量保证及售后服务</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11"/>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⑴更换：由乙方承担所发生的全部费用。</w:t>
      </w:r>
    </w:p>
    <w:p>
      <w:pPr>
        <w:pStyle w:val="11"/>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⑵贬值处理：由甲乙双方合议定价。</w:t>
      </w:r>
    </w:p>
    <w:p>
      <w:pPr>
        <w:pStyle w:val="11"/>
        <w:pageBreakBefore w:val="0"/>
        <w:widowControl w:val="0"/>
        <w:kinsoku/>
        <w:overflowPunct/>
        <w:topLinePunct w:val="0"/>
        <w:bidi w:val="0"/>
        <w:snapToGrid w:val="0"/>
        <w:spacing w:before="120" w:after="120" w:line="460" w:lineRule="exact"/>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.3 如在使用过程中发生质量问题，乙方在接到甲方通知后在_____小时内到达甲方现场。</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二</w:t>
      </w:r>
      <w:r>
        <w:rPr>
          <w:rFonts w:hAnsi="宋体"/>
          <w:b/>
          <w:sz w:val="24"/>
          <w:szCs w:val="24"/>
        </w:rPr>
        <w:t>、调试和验收</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u w:val="single"/>
        </w:rPr>
      </w:pPr>
      <w:r>
        <w:rPr>
          <w:rFonts w:hAnsi="宋体"/>
          <w:sz w:val="24"/>
          <w:szCs w:val="24"/>
        </w:rPr>
        <w:t>1</w:t>
      </w:r>
      <w:r>
        <w:rPr>
          <w:rFonts w:hint="eastAsia" w:hAnsi="宋体"/>
          <w:sz w:val="24"/>
          <w:szCs w:val="24"/>
          <w:lang w:val="en-US" w:eastAsia="zh-CN"/>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三</w:t>
      </w:r>
      <w:r>
        <w:rPr>
          <w:rFonts w:hAnsi="宋体"/>
          <w:b/>
          <w:sz w:val="24"/>
          <w:szCs w:val="24"/>
        </w:rPr>
        <w:t>、产品包装、发运及运输</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.1 乙方应在产品发运前对其进行满足运输距离、防潮、防震、防锈和防破损装卸等要求包装，以保证产品安全运达甲方指定地点。</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.2 使用说明书、质量检验证明书、随配附件和工具以及清单一并附于产品内。</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.3 乙方在产品发运手续办理完毕后24小时内或货到甲方48小时前通知甲方，以准备接货。</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.4 产品在交付甲方前发生的风险均由乙方负责。</w:t>
      </w:r>
    </w:p>
    <w:p>
      <w:pPr>
        <w:pStyle w:val="11"/>
        <w:pageBreakBefore w:val="0"/>
        <w:widowControl w:val="0"/>
        <w:kinsoku/>
        <w:overflowPunct/>
        <w:topLinePunct w:val="0"/>
        <w:bidi w:val="0"/>
        <w:snapToGrid w:val="0"/>
        <w:spacing w:before="156" w:after="156" w:line="460" w:lineRule="exact"/>
        <w:ind w:left="480" w:right="26"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.5 产品在规定的交付期限内由乙方送达甲方指定的地点视为交付，乙方同时需通知甲方产品已送达。</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四</w:t>
      </w:r>
      <w:r>
        <w:rPr>
          <w:rFonts w:hAnsi="宋体"/>
          <w:b/>
          <w:sz w:val="24"/>
          <w:szCs w:val="24"/>
        </w:rPr>
        <w:t>、违约责任</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.1 甲方无正当理由拒收产品的，甲方向乙方偿付拒收货款总值的百分之五违约金。</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.2 甲方无故逾期验收和办理货款支付手续的,甲方应按逾期付款总额每日万分之五向乙方支付违约金。</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1"/>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五</w:t>
      </w:r>
      <w:r>
        <w:rPr>
          <w:rFonts w:hAnsi="宋体"/>
          <w:b/>
          <w:sz w:val="24"/>
          <w:szCs w:val="24"/>
        </w:rPr>
        <w:t>、不可抗力事件处理</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.1 在合同有效期内，任何一方因不可抗力事件导致不能履行合同，则合同履行期可延长，其延长期与不可抗力影响期相同。</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.2 不可抗力事件发生后，应立即通知对方，并寄送有关权威机构出具的证明。</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.3 不可抗力事件延续120天以上，双方应通过友好协商，确定是否继续履行合同。</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六</w:t>
      </w:r>
      <w:r>
        <w:rPr>
          <w:rFonts w:hAnsi="宋体"/>
          <w:b/>
          <w:sz w:val="24"/>
          <w:szCs w:val="24"/>
        </w:rPr>
        <w:t>、诉讼</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lang w:val="en-US" w:eastAsia="zh-CN"/>
        </w:rPr>
        <w:t>昌吉</w:t>
      </w:r>
      <w:r>
        <w:rPr>
          <w:rFonts w:hAnsi="宋体"/>
          <w:sz w:val="24"/>
          <w:szCs w:val="24"/>
          <w:u w:val="single"/>
        </w:rPr>
        <w:t>市</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七</w:t>
      </w:r>
      <w:r>
        <w:rPr>
          <w:rFonts w:hAnsi="宋体"/>
          <w:b/>
          <w:sz w:val="24"/>
          <w:szCs w:val="24"/>
        </w:rPr>
        <w:t>、合同生效及其它</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.2本合同未尽事宜，遵照《合同法》有关条文执行。</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p>
    <w:p>
      <w:pPr>
        <w:pStyle w:val="11"/>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 xml:space="preserve">  甲方：                        乙方： </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11"/>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11"/>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sz w:val="24"/>
          <w:szCs w:val="24"/>
        </w:rPr>
        <w:t xml:space="preserve">  联系电话：                    联系电话：          </w:t>
      </w:r>
    </w:p>
    <w:p>
      <w:pPr>
        <w:pStyle w:val="11"/>
        <w:pageBreakBefore w:val="0"/>
        <w:widowControl w:val="0"/>
        <w:kinsoku/>
        <w:overflowPunct/>
        <w:topLinePunct w:val="0"/>
        <w:bidi w:val="0"/>
        <w:snapToGrid w:val="0"/>
        <w:spacing w:before="120" w:after="120" w:line="460" w:lineRule="exact"/>
        <w:jc w:val="center"/>
        <w:rPr>
          <w:rFonts w:hint="eastAsia" w:hAnsi="宋体"/>
          <w:sz w:val="24"/>
          <w:szCs w:val="24"/>
        </w:rPr>
      </w:pPr>
    </w:p>
    <w:p>
      <w:pPr>
        <w:pStyle w:val="11"/>
        <w:pageBreakBefore w:val="0"/>
        <w:widowControl w:val="0"/>
        <w:kinsoku/>
        <w:overflowPunct/>
        <w:topLinePunct w:val="0"/>
        <w:bidi w:val="0"/>
        <w:snapToGrid w:val="0"/>
        <w:spacing w:before="120" w:after="120" w:line="460" w:lineRule="exact"/>
        <w:jc w:val="center"/>
        <w:rPr>
          <w:rFonts w:hint="eastAsia"/>
        </w:rPr>
      </w:pPr>
      <w:r>
        <w:t xml:space="preserve"> 签订日期：      年  月  日</w:t>
      </w:r>
      <w:bookmarkEnd w:id="182"/>
      <w:bookmarkEnd w:id="183"/>
      <w:bookmarkEnd w:id="184"/>
      <w:bookmarkStart w:id="185" w:name="_Hlt16619369"/>
      <w:bookmarkEnd w:id="185"/>
      <w:bookmarkStart w:id="186" w:name="_Hlt16619350"/>
      <w:bookmarkStart w:id="187" w:name="_Toc16938590"/>
      <w:bookmarkStart w:id="188" w:name="_Toc120614244"/>
      <w:bookmarkStart w:id="189" w:name="_Toc20823346"/>
      <w:bookmarkStart w:id="190" w:name="_Toc462564139"/>
      <w:bookmarkStart w:id="191" w:name="_Toc479757211"/>
    </w:p>
    <w:p>
      <w:pPr>
        <w:pStyle w:val="11"/>
        <w:pageBreakBefore w:val="0"/>
        <w:widowControl w:val="0"/>
        <w:kinsoku/>
        <w:overflowPunct/>
        <w:topLinePunct w:val="0"/>
        <w:bidi w:val="0"/>
        <w:snapToGrid w:val="0"/>
        <w:spacing w:before="120" w:after="120" w:line="460" w:lineRule="exact"/>
        <w:jc w:val="center"/>
        <w:rPr>
          <w:rFonts w:hint="eastAsia"/>
        </w:rPr>
      </w:pPr>
    </w:p>
    <w:p>
      <w:pPr>
        <w:pStyle w:val="11"/>
        <w:pageBreakBefore w:val="0"/>
        <w:widowControl w:val="0"/>
        <w:kinsoku/>
        <w:overflowPunct/>
        <w:topLinePunct w:val="0"/>
        <w:bidi w:val="0"/>
        <w:snapToGrid w:val="0"/>
        <w:spacing w:before="120" w:after="120" w:line="460" w:lineRule="exact"/>
        <w:jc w:val="center"/>
        <w:rPr>
          <w:rFonts w:ascii="黑体" w:eastAsia="黑体"/>
          <w:bCs/>
          <w:sz w:val="44"/>
        </w:rPr>
        <w:sectPr>
          <w:pgSz w:w="11906" w:h="16838"/>
          <w:pgMar w:top="1418" w:right="1588" w:bottom="1418" w:left="1365" w:header="851" w:footer="907" w:gutter="0"/>
          <w:cols w:space="720" w:num="1"/>
          <w:titlePg/>
          <w:docGrid w:type="lines" w:linePitch="290" w:charSpace="0"/>
        </w:sectPr>
      </w:pPr>
    </w:p>
    <w:p>
      <w:pPr>
        <w:pStyle w:val="5"/>
        <w:pageBreakBefore w:val="0"/>
        <w:widowControl w:val="0"/>
        <w:kinsoku/>
        <w:overflowPunct/>
        <w:topLinePunct w:val="0"/>
        <w:bidi w:val="0"/>
        <w:spacing w:line="460" w:lineRule="exact"/>
        <w:rPr>
          <w:rFonts w:hint="eastAsia"/>
        </w:rPr>
      </w:pPr>
      <w:bookmarkStart w:id="192" w:name="_Toc494375080"/>
      <w:bookmarkStart w:id="193" w:name="_Toc534816636"/>
      <w:bookmarkStart w:id="194" w:name="_Toc534725607"/>
      <w:r>
        <w:rPr>
          <w:rFonts w:hint="eastAsia"/>
        </w:rPr>
        <w:t>第</w:t>
      </w:r>
      <w:bookmarkEnd w:id="186"/>
      <w:r>
        <w:rPr>
          <w:rFonts w:hint="eastAsia"/>
        </w:rPr>
        <w:t>四章  项目需求</w:t>
      </w:r>
      <w:bookmarkEnd w:id="187"/>
      <w:bookmarkEnd w:id="188"/>
      <w:bookmarkEnd w:id="189"/>
      <w:bookmarkEnd w:id="192"/>
      <w:bookmarkEnd w:id="193"/>
      <w:bookmarkEnd w:id="194"/>
    </w:p>
    <w:p>
      <w:pPr>
        <w:pStyle w:val="8"/>
        <w:pageBreakBefore w:val="0"/>
        <w:widowControl w:val="0"/>
        <w:kinsoku/>
        <w:overflowPunct/>
        <w:topLinePunct w:val="0"/>
        <w:bidi w:val="0"/>
        <w:spacing w:line="460" w:lineRule="exact"/>
        <w:rPr>
          <w:rFonts w:hint="eastAsia"/>
          <w:lang w:val="en-US" w:eastAsia="zh-CN"/>
        </w:rPr>
      </w:pPr>
      <w:bookmarkStart w:id="195" w:name="_Toc26554093"/>
      <w:bookmarkStart w:id="196" w:name="_Toc49090575"/>
    </w:p>
    <w:p>
      <w:pPr>
        <w:pStyle w:val="6"/>
        <w:pageBreakBefore w:val="0"/>
        <w:widowControl w:val="0"/>
        <w:numPr>
          <w:ilvl w:val="2"/>
          <w:numId w:val="0"/>
        </w:numPr>
        <w:tabs>
          <w:tab w:val="left" w:pos="432"/>
        </w:tabs>
        <w:kinsoku/>
        <w:overflowPunct/>
        <w:topLinePunct w:val="0"/>
        <w:bidi w:val="0"/>
        <w:spacing w:line="460" w:lineRule="exact"/>
        <w:ind w:leftChars="0" w:firstLine="904" w:firstLineChars="300"/>
        <w:jc w:val="both"/>
        <w:rPr>
          <w:rFonts w:hint="eastAsia" w:ascii="仿宋" w:hAnsi="仿宋" w:eastAsia="宋体" w:cs="仿宋"/>
          <w:b/>
          <w:bCs/>
          <w:kern w:val="2"/>
          <w:sz w:val="30"/>
          <w:szCs w:val="30"/>
          <w:lang w:val="en-US" w:eastAsia="zh-CN" w:bidi="ar-SA"/>
        </w:rPr>
      </w:pPr>
      <w:bookmarkStart w:id="197" w:name="_Toc534816638"/>
      <w:bookmarkStart w:id="198" w:name="_Toc534725609"/>
      <w:r>
        <w:rPr>
          <w:rFonts w:hint="eastAsia" w:ascii="仿宋" w:hAnsi="仿宋" w:cs="仿宋"/>
          <w:b/>
          <w:bCs/>
          <w:kern w:val="2"/>
          <w:sz w:val="30"/>
          <w:szCs w:val="30"/>
          <w:lang w:val="en-US" w:eastAsia="zh-CN" w:bidi="ar-SA"/>
        </w:rPr>
        <w:t>一、</w:t>
      </w:r>
      <w:r>
        <w:rPr>
          <w:rFonts w:hint="eastAsia" w:ascii="仿宋" w:hAnsi="仿宋" w:eastAsia="宋体" w:cs="仿宋"/>
          <w:b/>
          <w:bCs/>
          <w:kern w:val="2"/>
          <w:sz w:val="30"/>
          <w:szCs w:val="30"/>
          <w:lang w:val="en-US" w:eastAsia="zh-CN" w:bidi="ar-SA"/>
        </w:rPr>
        <w:t>商务条款</w:t>
      </w:r>
      <w:bookmarkEnd w:id="197"/>
      <w:bookmarkEnd w:id="198"/>
    </w:p>
    <w:p>
      <w:pPr>
        <w:keepNext w:val="0"/>
        <w:keepLines w:val="0"/>
        <w:pageBreakBefore w:val="0"/>
        <w:widowControl w:val="0"/>
        <w:kinsoku/>
        <w:wordWrap/>
        <w:overflowPunct/>
        <w:topLinePunct w:val="0"/>
        <w:autoSpaceDE w:val="0"/>
        <w:autoSpaceDN/>
        <w:bidi w:val="0"/>
        <w:adjustRightInd/>
        <w:snapToGrid/>
        <w:spacing w:line="540" w:lineRule="exact"/>
        <w:ind w:firstLine="480" w:firstLineChars="200"/>
        <w:jc w:val="both"/>
        <w:textAlignment w:val="auto"/>
        <w:rPr>
          <w:rFonts w:hint="default" w:ascii="宋体" w:hAnsi="宋体" w:eastAsia="宋体" w:cs="宋体"/>
          <w:b w:val="0"/>
          <w:bCs w:val="0"/>
          <w:i/>
          <w:iCs/>
          <w:color w:val="auto"/>
          <w:sz w:val="24"/>
          <w:szCs w:val="24"/>
          <w:highlight w:val="yellow"/>
          <w:u w:val="single"/>
          <w:lang w:val="en-US"/>
        </w:rPr>
      </w:pPr>
      <w:r>
        <w:rPr>
          <w:rFonts w:hint="eastAsia" w:ascii="宋体" w:hAnsi="宋体" w:eastAsia="宋体" w:cs="宋体"/>
          <w:b w:val="0"/>
          <w:bCs w:val="0"/>
          <w:i/>
          <w:iCs/>
          <w:color w:val="auto"/>
          <w:sz w:val="24"/>
          <w:szCs w:val="24"/>
          <w:highlight w:val="yellow"/>
          <w:u w:val="single"/>
        </w:rPr>
        <w:t>1.质保期</w:t>
      </w:r>
      <w:r>
        <w:rPr>
          <w:rFonts w:hint="eastAsia" w:ascii="宋体" w:hAnsi="宋体" w:eastAsia="宋体" w:cs="宋体"/>
          <w:b w:val="0"/>
          <w:bCs w:val="0"/>
          <w:i/>
          <w:iCs/>
          <w:color w:val="auto"/>
          <w:sz w:val="24"/>
          <w:szCs w:val="24"/>
          <w:highlight w:val="yellow"/>
          <w:u w:val="single"/>
          <w:lang w:eastAsia="zh-CN"/>
        </w:rPr>
        <w:t>：</w:t>
      </w:r>
      <w:r>
        <w:rPr>
          <w:rFonts w:hint="eastAsia" w:ascii="宋体" w:hAnsi="宋体" w:cs="宋体"/>
          <w:b w:val="0"/>
          <w:bCs w:val="0"/>
          <w:i/>
          <w:iCs/>
          <w:color w:val="auto"/>
          <w:sz w:val="24"/>
          <w:szCs w:val="24"/>
          <w:highlight w:val="yellow"/>
          <w:u w:val="single"/>
          <w:lang w:val="en-US" w:eastAsia="zh-CN"/>
        </w:rPr>
        <w:t>双方合同约定</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2．交付期、交付方式及交付地点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 w:val="0"/>
          <w:bCs w:val="0"/>
          <w:i/>
          <w:iCs/>
          <w:color w:val="FF0000"/>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 xml:space="preserve">2.1 </w:t>
      </w:r>
      <w:r>
        <w:rPr>
          <w:rFonts w:hint="eastAsia" w:hAnsi="宋体" w:cs="宋体"/>
          <w:b w:val="0"/>
          <w:bCs w:val="0"/>
          <w:i/>
          <w:iCs/>
          <w:color w:val="auto"/>
          <w:kern w:val="2"/>
          <w:sz w:val="24"/>
          <w:szCs w:val="24"/>
          <w:highlight w:val="yellow"/>
          <w:u w:val="single"/>
          <w:lang w:val="en-US" w:eastAsia="zh-CN" w:bidi="ar-SA"/>
        </w:rPr>
        <w:t>服务</w:t>
      </w:r>
      <w:r>
        <w:rPr>
          <w:rFonts w:hint="eastAsia" w:ascii="宋体" w:hAnsi="宋体" w:eastAsia="宋体" w:cs="宋体"/>
          <w:b w:val="0"/>
          <w:bCs w:val="0"/>
          <w:i/>
          <w:iCs/>
          <w:color w:val="auto"/>
          <w:kern w:val="2"/>
          <w:sz w:val="24"/>
          <w:szCs w:val="24"/>
          <w:highlight w:val="yellow"/>
          <w:u w:val="single"/>
          <w:lang w:val="en-US" w:eastAsia="zh-CN" w:bidi="ar-SA"/>
        </w:rPr>
        <w:t>期：服务期限为一年（2025年3月19日-2026年3月18日）。</w:t>
      </w:r>
    </w:p>
    <w:p>
      <w:pPr>
        <w:pStyle w:val="11"/>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2.2 交付方式：采购人指定。</w:t>
      </w:r>
    </w:p>
    <w:p>
      <w:pPr>
        <w:pStyle w:val="11"/>
        <w:pageBreakBefore w:val="0"/>
        <w:widowControl w:val="0"/>
        <w:kinsoku/>
        <w:overflowPunct/>
        <w:topLinePunct w:val="0"/>
        <w:bidi w:val="0"/>
        <w:snapToGrid w:val="0"/>
        <w:spacing w:before="120" w:after="120" w:line="460" w:lineRule="exact"/>
        <w:ind w:firstLine="480" w:firstLineChars="200"/>
        <w:rPr>
          <w:rFonts w:hint="eastAsia" w:ascii="宋体" w:hAnsi="宋体" w:eastAsia="宋体" w:cs="宋体"/>
          <w:b w:val="0"/>
          <w:bCs w:val="0"/>
          <w:i/>
          <w:iCs/>
          <w:color w:val="auto"/>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2.3 交付地点：采购人指定。</w:t>
      </w:r>
    </w:p>
    <w:p>
      <w:pPr>
        <w:pStyle w:val="7"/>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yellow"/>
          <w:u w:val="single"/>
          <w:lang w:val="en-US" w:eastAsia="zh-CN" w:bidi="ar-SA"/>
        </w:rPr>
      </w:pPr>
      <w:r>
        <w:rPr>
          <w:rFonts w:hint="eastAsia" w:ascii="宋体" w:hAnsi="宋体" w:eastAsia="宋体" w:cs="宋体"/>
          <w:b w:val="0"/>
          <w:bCs w:val="0"/>
          <w:i/>
          <w:iCs/>
          <w:color w:val="auto"/>
          <w:kern w:val="2"/>
          <w:sz w:val="24"/>
          <w:szCs w:val="24"/>
          <w:highlight w:val="yellow"/>
          <w:u w:val="single"/>
          <w:lang w:val="en-US" w:eastAsia="zh-CN" w:bidi="ar-SA"/>
        </w:rPr>
        <w:t>3．货款支付</w:t>
      </w:r>
    </w:p>
    <w:p>
      <w:pPr>
        <w:ind w:firstLine="480" w:firstLineChars="200"/>
        <w:rPr>
          <w:rFonts w:hint="eastAsia" w:ascii="宋体" w:hAnsi="宋体" w:eastAsia="宋体" w:cs="Times New Roman"/>
          <w:i/>
          <w:iCs/>
          <w:sz w:val="24"/>
          <w:szCs w:val="24"/>
          <w:highlight w:val="yellow"/>
          <w:u w:val="single"/>
          <w:lang w:val="en-US" w:eastAsia="zh-CN"/>
        </w:rPr>
      </w:pPr>
      <w:bookmarkStart w:id="199" w:name="_Toc494375081"/>
      <w:bookmarkStart w:id="200" w:name="_Toc534816639"/>
      <w:bookmarkStart w:id="201" w:name="_Toc534725610"/>
      <w:bookmarkStart w:id="202" w:name="_Toc120614281"/>
      <w:r>
        <w:rPr>
          <w:rFonts w:hint="eastAsia" w:ascii="宋体" w:hAnsi="宋体" w:eastAsia="宋体" w:cs="Times New Roman"/>
          <w:i/>
          <w:iCs/>
          <w:sz w:val="24"/>
          <w:szCs w:val="24"/>
          <w:highlight w:val="yellow"/>
          <w:u w:val="single"/>
          <w:lang w:val="en-US" w:eastAsia="zh-CN"/>
        </w:rPr>
        <w:t>（1）安保服务费用：医院按月根据中标单位的服务质量支付给乙方安保服务费用。中标单位完成当月服务并经医院认可后，次月由中标单位按照上月服务金额向甲方开具正规发票，医院收到中标单位发票后，按照医院财务制度向中标单位付款。</w:t>
      </w:r>
    </w:p>
    <w:p>
      <w:pPr>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Times New Roman"/>
          <w:i/>
          <w:iCs/>
          <w:sz w:val="24"/>
          <w:szCs w:val="24"/>
          <w:highlight w:val="yellow"/>
          <w:u w:val="single"/>
          <w:lang w:val="en-US" w:eastAsia="zh-CN"/>
        </w:rPr>
        <w:t>（2）停车场收取费用管理及用途：开设专用账户，专款专用，每月第三方将停车场管理收支明细书面报医院，医院财务科、保卫科、第三方对车辆收取费用进行核对，核对后打入医院专用账户，用于3名车辆收费安保人员酬劳及医院道路维修、维护和道路标识标线磨损后重新画线等费用。</w:t>
      </w: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602" w:firstLineChars="200"/>
        <w:rPr>
          <w:rFonts w:hint="eastAsia" w:ascii="仿宋" w:hAnsi="仿宋" w:eastAsia="宋体" w:cs="仿宋"/>
          <w:b/>
          <w:bCs/>
          <w:kern w:val="2"/>
          <w:sz w:val="30"/>
          <w:szCs w:val="30"/>
          <w:lang w:val="en-US" w:eastAsia="zh-CN" w:bidi="ar-SA"/>
        </w:rPr>
      </w:pPr>
    </w:p>
    <w:p>
      <w:pPr>
        <w:ind w:firstLine="3313" w:firstLineChars="1100"/>
        <w:rPr>
          <w:rFonts w:hint="default" w:ascii="仿宋" w:hAnsi="仿宋" w:eastAsia="宋体" w:cs="仿宋"/>
          <w:b/>
          <w:bCs/>
          <w:kern w:val="2"/>
          <w:sz w:val="30"/>
          <w:szCs w:val="30"/>
          <w:lang w:val="en-US" w:eastAsia="zh-CN" w:bidi="ar-SA"/>
        </w:rPr>
      </w:pPr>
      <w:r>
        <w:rPr>
          <w:rFonts w:hint="eastAsia" w:ascii="仿宋" w:hAnsi="仿宋" w:eastAsia="宋体" w:cs="仿宋"/>
          <w:b/>
          <w:bCs/>
          <w:kern w:val="2"/>
          <w:sz w:val="30"/>
          <w:szCs w:val="30"/>
          <w:lang w:val="en-US" w:eastAsia="zh-CN" w:bidi="ar-SA"/>
        </w:rPr>
        <w:t>二、技术需求</w:t>
      </w:r>
    </w:p>
    <w:p>
      <w:pPr>
        <w:ind w:firstLine="440" w:firstLineChars="1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昌吉州人民医院安保服务及车辆收费服务项目</w:t>
      </w:r>
    </w:p>
    <w:p>
      <w:pPr>
        <w:spacing w:line="440" w:lineRule="exact"/>
        <w:ind w:firstLine="640" w:firstLineChars="200"/>
        <w:rPr>
          <w:rFonts w:hint="eastAsia" w:ascii="仿宋_GB2312" w:hAnsi="仿宋_GB2312" w:eastAsia="仿宋_GB2312" w:cs="仿宋_GB2312"/>
          <w:bCs/>
          <w:sz w:val="32"/>
          <w:szCs w:val="32"/>
        </w:rPr>
      </w:pPr>
    </w:p>
    <w:p>
      <w:pPr>
        <w:spacing w:line="4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一、项目名称</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昌吉州人民医院安保服务项目（总院、中医楼、儿童分院）及车辆收费服务项目。</w:t>
      </w:r>
    </w:p>
    <w:p>
      <w:pPr>
        <w:spacing w:line="4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二、项目预算、安保服务有效期及服务费用最高限价</w:t>
      </w:r>
    </w:p>
    <w:p>
      <w:pPr>
        <w:spacing w:line="44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预算总金额</w:t>
      </w:r>
      <w:r>
        <w:rPr>
          <w:rFonts w:hint="eastAsia" w:ascii="仿宋_GB2312" w:hAnsi="仿宋_GB2312" w:eastAsia="仿宋_GB2312" w:cs="仿宋_GB2312"/>
          <w:bCs/>
          <w:sz w:val="32"/>
          <w:szCs w:val="32"/>
          <w:lang w:val="en-US" w:eastAsia="zh-CN"/>
        </w:rPr>
        <w:t>210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w:t>
      </w:r>
    </w:p>
    <w:p>
      <w:pPr>
        <w:spacing w:line="440" w:lineRule="exact"/>
        <w:ind w:firstLine="640" w:firstLineChars="200"/>
        <w:rPr>
          <w:rFonts w:hint="eastAsia" w:ascii="黑体" w:hAnsi="黑体" w:eastAsia="黑体" w:cs="黑体"/>
          <w:bCs/>
          <w:color w:val="FF0000"/>
          <w:sz w:val="32"/>
          <w:szCs w:val="32"/>
          <w:lang w:val="en-US" w:eastAsia="zh-CN"/>
        </w:rPr>
      </w:pPr>
      <w:r>
        <w:rPr>
          <w:rFonts w:hint="eastAsia" w:ascii="黑体" w:hAnsi="黑体" w:eastAsia="黑体" w:cs="黑体"/>
          <w:bCs/>
          <w:color w:val="FF0000"/>
          <w:sz w:val="32"/>
          <w:szCs w:val="32"/>
          <w:lang w:val="en-US" w:eastAsia="zh-CN"/>
        </w:rPr>
        <w:t>三、服务期限</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FF0000"/>
          <w:sz w:val="32"/>
          <w:szCs w:val="32"/>
          <w:lang w:val="en-US" w:eastAsia="zh-CN"/>
        </w:rPr>
        <w:t>服务</w:t>
      </w:r>
      <w:r>
        <w:rPr>
          <w:rFonts w:hint="eastAsia" w:ascii="仿宋_GB2312" w:hAnsi="仿宋_GB2312" w:eastAsia="仿宋_GB2312" w:cs="仿宋_GB2312"/>
          <w:bCs/>
          <w:color w:val="FF0000"/>
          <w:sz w:val="32"/>
          <w:szCs w:val="32"/>
        </w:rPr>
        <w:t>期限为一年</w:t>
      </w:r>
      <w:r>
        <w:rPr>
          <w:rFonts w:hint="eastAsia" w:ascii="仿宋_GB2312" w:hAnsi="仿宋_GB2312" w:eastAsia="仿宋_GB2312" w:cs="仿宋_GB2312"/>
          <w:bCs/>
          <w:color w:val="FF0000"/>
          <w:sz w:val="32"/>
          <w:szCs w:val="32"/>
          <w:lang w:eastAsia="zh-CN"/>
        </w:rPr>
        <w:t>（</w:t>
      </w:r>
      <w:r>
        <w:rPr>
          <w:rFonts w:hint="eastAsia" w:ascii="仿宋_GB2312" w:hAnsi="仿宋_GB2312" w:eastAsia="仿宋_GB2312" w:cs="仿宋_GB2312"/>
          <w:bCs/>
          <w:color w:val="FF0000"/>
          <w:sz w:val="32"/>
          <w:szCs w:val="32"/>
          <w:lang w:val="en-US" w:eastAsia="zh-CN"/>
        </w:rPr>
        <w:t>2025年3月19日-2026年3月18日</w:t>
      </w:r>
      <w:r>
        <w:rPr>
          <w:rFonts w:hint="eastAsia" w:ascii="仿宋_GB2312" w:hAnsi="仿宋_GB2312" w:eastAsia="仿宋_GB2312" w:cs="仿宋_GB2312"/>
          <w:bCs/>
          <w:color w:val="FF0000"/>
          <w:sz w:val="32"/>
          <w:szCs w:val="32"/>
          <w:lang w:eastAsia="zh-CN"/>
        </w:rPr>
        <w:t>）</w:t>
      </w:r>
      <w:r>
        <w:rPr>
          <w:rFonts w:hint="eastAsia" w:ascii="仿宋_GB2312" w:hAnsi="仿宋_GB2312" w:eastAsia="仿宋_GB2312" w:cs="仿宋_GB2312"/>
          <w:bCs/>
          <w:color w:val="FF0000"/>
          <w:sz w:val="32"/>
          <w:szCs w:val="32"/>
        </w:rPr>
        <w:t>。</w:t>
      </w:r>
      <w:r>
        <w:rPr>
          <w:rFonts w:hint="eastAsia" w:ascii="仿宋_GB2312" w:hAnsi="仿宋_GB2312" w:eastAsia="仿宋_GB2312" w:cs="仿宋_GB2312"/>
          <w:bCs/>
          <w:sz w:val="32"/>
          <w:szCs w:val="32"/>
        </w:rPr>
        <w:t xml:space="preserve"> </w:t>
      </w:r>
    </w:p>
    <w:p>
      <w:pPr>
        <w:spacing w:line="4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、投标人资质要求</w:t>
      </w:r>
    </w:p>
    <w:p>
      <w:pPr>
        <w:spacing w:line="44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FF0000"/>
          <w:sz w:val="32"/>
          <w:szCs w:val="32"/>
          <w:lang w:val="en-US" w:eastAsia="zh-CN"/>
        </w:rPr>
        <w:t>符合《公安机关实施保安服务管理条例办法》的规定，在采购人所在地的公安机关有备案，并具有有效的公安机关核发《保安服务许可证》。投标</w:t>
      </w:r>
      <w:r>
        <w:rPr>
          <w:rFonts w:hint="eastAsia" w:ascii="仿宋_GB2312" w:hAnsi="仿宋_GB2312" w:eastAsia="仿宋_GB2312" w:cs="仿宋_GB2312"/>
          <w:bCs/>
          <w:color w:val="FF0000"/>
          <w:sz w:val="32"/>
          <w:szCs w:val="32"/>
        </w:rPr>
        <w:t>公司</w:t>
      </w:r>
      <w:r>
        <w:rPr>
          <w:rFonts w:hint="eastAsia" w:ascii="仿宋_GB2312" w:hAnsi="仿宋_GB2312" w:eastAsia="仿宋_GB2312" w:cs="仿宋_GB2312"/>
          <w:bCs/>
          <w:color w:val="FF0000"/>
          <w:sz w:val="32"/>
          <w:szCs w:val="32"/>
          <w:lang w:val="en-US" w:eastAsia="zh-CN"/>
        </w:rPr>
        <w:t>须</w:t>
      </w:r>
      <w:r>
        <w:rPr>
          <w:rFonts w:hint="eastAsia" w:ascii="仿宋_GB2312" w:hAnsi="仿宋_GB2312" w:eastAsia="仿宋_GB2312" w:cs="仿宋_GB2312"/>
          <w:bCs/>
          <w:color w:val="FF0000"/>
          <w:sz w:val="32"/>
          <w:szCs w:val="32"/>
        </w:rPr>
        <w:t>提供</w:t>
      </w:r>
      <w:r>
        <w:rPr>
          <w:rFonts w:hint="eastAsia" w:ascii="仿宋_GB2312" w:hAnsi="仿宋_GB2312" w:eastAsia="仿宋_GB2312" w:cs="仿宋_GB2312"/>
          <w:bCs/>
          <w:color w:val="FF0000"/>
          <w:sz w:val="32"/>
          <w:szCs w:val="32"/>
          <w:lang w:val="en-US" w:eastAsia="zh-CN"/>
        </w:rPr>
        <w:t>加盖投标人公章的电子证照</w:t>
      </w:r>
      <w:r>
        <w:rPr>
          <w:rFonts w:hint="eastAsia" w:ascii="仿宋_GB2312" w:hAnsi="仿宋_GB2312" w:eastAsia="仿宋_GB2312" w:cs="仿宋_GB2312"/>
          <w:bCs/>
          <w:color w:val="FF0000"/>
          <w:sz w:val="32"/>
          <w:szCs w:val="32"/>
        </w:rPr>
        <w:t>。</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.本项目不接受联合体投标。不允许转包、分包。</w:t>
      </w:r>
    </w:p>
    <w:p>
      <w:pPr>
        <w:spacing w:line="4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、安保服务内容</w:t>
      </w:r>
    </w:p>
    <w:p>
      <w:pPr>
        <w:pStyle w:val="9"/>
        <w:ind w:firstLine="640" w:firstLineChars="200"/>
      </w:pPr>
      <w:r>
        <w:rPr>
          <w:rFonts w:hint="eastAsia" w:ascii="仿宋_GB2312" w:hAnsi="仿宋_GB2312" w:eastAsia="仿宋_GB2312" w:cs="仿宋_GB2312"/>
          <w:bCs/>
          <w:sz w:val="32"/>
          <w:szCs w:val="32"/>
        </w:rPr>
        <w:t>包含但不限于：日常维稳安防工作及值班；人员、物品和车辆安检；全院安防、消防巡逻；维护医疗秩序；协助医院做好疫情防控管理相关工作；疏导交通、停车场收费委托管理（包括收费员工资、设备和标识标牌的维修及维护）等服务；协助处理医患矛盾纠纷；协助保卫科开展日常工作及其他执勤相关服务（免费提供），等等。</w:t>
      </w:r>
    </w:p>
    <w:p>
      <w:pPr>
        <w:spacing w:line="44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、安保服务要求及规范</w:t>
      </w:r>
    </w:p>
    <w:p>
      <w:pPr>
        <w:spacing w:line="44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1.总院、儿童医院安保设岗位置要求及服务时间</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在医院大门、安检房、职工通道、监控室、院内巡逻等</w:t>
      </w:r>
    </w:p>
    <w:p>
      <w:pPr>
        <w:spacing w:line="44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安保服务时间：2025年3月19日至2026年3月18日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color w:val="FF0000"/>
          <w:sz w:val="32"/>
          <w:szCs w:val="32"/>
          <w:lang w:val="en-US" w:eastAsia="zh-CN"/>
        </w:rPr>
        <w:t>365X24小时</w:t>
      </w:r>
      <w:r>
        <w:rPr>
          <w:rFonts w:hint="eastAsia" w:ascii="仿宋_GB2312" w:hAnsi="仿宋_GB2312" w:eastAsia="仿宋_GB2312" w:cs="仿宋_GB2312"/>
          <w:bCs/>
          <w:sz w:val="32"/>
          <w:szCs w:val="32"/>
          <w:lang w:eastAsia="zh-CN"/>
        </w:rPr>
        <w:t>）</w:t>
      </w:r>
    </w:p>
    <w:p>
      <w:pPr>
        <w:spacing w:line="44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2.保安员工作时间要求及相关要求</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安保人员主要担负负责区域出入人员和所携带包、物的安检、登记、车辆安全检查，协助做好执勤区域内的刑事案件、治安案件和各类灾害事故，防破坏、防火、防盗、防毒、疫情防控等相关工作，其管理由保安公司统一管理，医院保卫科负责监督其履职情况，安保人员的增减根据医院安保工作的实际需要增加或减少安保人员。</w:t>
      </w:r>
    </w:p>
    <w:p>
      <w:pPr>
        <w:keepNext w:val="0"/>
        <w:keepLines w:val="0"/>
        <w:widowControl/>
        <w:suppressLineNumbers w:val="0"/>
        <w:ind w:firstLine="964" w:firstLineChars="300"/>
        <w:jc w:val="left"/>
        <w:rPr>
          <w:rFonts w:hint="eastAsia" w:ascii="仿宋_GB2312" w:hAnsi="仿宋_GB2312" w:eastAsia="楷体" w:cs="仿宋_GB2312"/>
          <w:b/>
          <w:sz w:val="32"/>
          <w:szCs w:val="32"/>
        </w:rPr>
      </w:pPr>
      <w:r>
        <w:rPr>
          <w:rFonts w:hint="eastAsia" w:ascii="楷体" w:hAnsi="楷体" w:eastAsia="楷体" w:cs="楷体"/>
          <w:b/>
          <w:sz w:val="32"/>
          <w:szCs w:val="32"/>
        </w:rPr>
        <w:t>3.医院安保岗具体配置情况</w:t>
      </w:r>
    </w:p>
    <w:p>
      <w:pPr>
        <w:numPr>
          <w:ilvl w:val="0"/>
          <w:numId w:val="0"/>
        </w:numPr>
        <w:spacing w:line="440" w:lineRule="exact"/>
        <w:ind w:firstLine="600" w:firstLineChars="200"/>
        <w:rPr>
          <w:rFonts w:hint="eastAsia" w:ascii="仿宋" w:hAnsi="仿宋" w:eastAsia="仿宋" w:cs="仿宋"/>
          <w:color w:val="000000" w:themeColor="text1"/>
          <w:sz w:val="30"/>
          <w:szCs w:val="30"/>
          <w:highlight w:val="yellow"/>
          <w:lang w:val="en-US" w:eastAsia="zh-CN"/>
          <w14:textFill>
            <w14:solidFill>
              <w14:schemeClr w14:val="tx1"/>
            </w14:solidFill>
          </w14:textFill>
        </w:rPr>
      </w:pPr>
      <w:r>
        <w:rPr>
          <w:rFonts w:hint="eastAsia" w:ascii="仿宋" w:hAnsi="仿宋" w:eastAsia="仿宋" w:cs="仿宋"/>
          <w:color w:val="000000" w:themeColor="text1"/>
          <w:sz w:val="30"/>
          <w:szCs w:val="30"/>
          <w:highlight w:val="yellow"/>
          <w:lang w:val="en-US" w:eastAsia="zh-CN"/>
          <w14:textFill>
            <w14:solidFill>
              <w14:schemeClr w14:val="tx1"/>
            </w14:solidFill>
          </w14:textFill>
        </w:rPr>
        <w:t>医院安保岗位总计 41 人，女性年龄 18-55 周岁，男性年龄 18-60 周岁，均为初中及以上学历，且50岁以下的安保人员不低于总人数的20%（既不少于9人），必须提供由公安机关签发的 《中华人民共和国保安员证》复印件。此条在投标文件中以表格形式列明：保安人员姓名、性别、年龄、民族、身份证号码（表格见附件）。招标完成后，中标方与采购人签订合同时，须提供《中华人民共和国保安员证》原件，所提供的原件须与中标方投标文件中的复印件一致，如果不一致，采购人有权拒签合同。此项为实质性响应条款。</w:t>
      </w:r>
    </w:p>
    <w:p>
      <w:pPr>
        <w:numPr>
          <w:ilvl w:val="0"/>
          <w:numId w:val="0"/>
        </w:numPr>
        <w:spacing w:line="440" w:lineRule="exact"/>
        <w:ind w:firstLine="640"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Cs/>
          <w:sz w:val="32"/>
          <w:szCs w:val="32"/>
        </w:rPr>
        <w:t>其中：</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（1）总院岗位设置（共计31个）</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管理岗位1名：负责安保人员具体管理工作；（共1人）；</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大门岗：白班配备2人执勤，大小夜每班各配备1人执勤（共4人）；</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一站式安检房：白班配备1人，大小夜每班各配备1人，负责过包机、电脑视频；（共3人）</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巡逻队：配备了两组4人机动巡逻组，巡逻队运行为4人白班巡逻，2人小夜班巡逻，2人大夜班巡逻，对院区内各个地方进行24小时不间断的巡逻；（共8人）</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停车场劝导员：正常班3人；（共3人）</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中医楼：白班配备1人，大小夜班各配备1人；（共3人）</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监控室：白班配备1人，大小夜班各配备1人；（共3人，需具有《建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筑物消防员证》或《消防设施操作员证》）</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门诊内科楼大厅：正常班1人；（共1人）</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急救外科楼大厅：正常班1人；（共1人）</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心内科楼大厅：正常班1人；（共1人）</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车辆收费岗:白班配备1人，大小夜班配</w:t>
      </w:r>
      <w:r>
        <w:rPr>
          <w:rFonts w:hint="eastAsia" w:ascii="仿宋_GB2312" w:hAnsi="仿宋_GB2312" w:eastAsia="仿宋_GB2312" w:cs="仿宋_GB2312"/>
          <w:spacing w:val="-2"/>
          <w:sz w:val="32"/>
          <w:szCs w:val="32"/>
        </w:rPr>
        <w:t>备1人。（共3人）</w:t>
      </w:r>
    </w:p>
    <w:p>
      <w:pPr>
        <w:tabs>
          <w:tab w:val="left" w:pos="645"/>
        </w:tabs>
        <w:spacing w:line="4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（2）儿童医院岗位设置（共计10个）</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大门岗3人（白班1人、大小夜各1人）；</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安检房白班3人（白班、大小夜）；</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监控室3人（白班、大小夜，</w:t>
      </w:r>
      <w:r>
        <w:rPr>
          <w:rFonts w:hint="eastAsia" w:ascii="仿宋_GB2312" w:hAnsi="仿宋_GB2312" w:eastAsia="仿宋_GB2312" w:cs="仿宋_GB2312"/>
          <w:bCs/>
          <w:spacing w:val="-2"/>
          <w:sz w:val="32"/>
          <w:szCs w:val="32"/>
        </w:rPr>
        <w:t>需具有</w:t>
      </w:r>
      <w:r>
        <w:rPr>
          <w:rFonts w:hint="eastAsia" w:ascii="宋体" w:hAnsi="宋体" w:cs="宋体"/>
          <w:sz w:val="18"/>
          <w:szCs w:val="18"/>
        </w:rPr>
        <w:t>《</w:t>
      </w:r>
      <w:r>
        <w:rPr>
          <w:rFonts w:hint="eastAsia" w:ascii="仿宋_GB2312" w:hAnsi="仿宋_GB2312" w:eastAsia="仿宋_GB2312" w:cs="仿宋_GB2312"/>
          <w:bCs/>
          <w:sz w:val="32"/>
          <w:szCs w:val="32"/>
        </w:rPr>
        <w:t>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筑物消防员证》或《消防设施操作员证》</w:t>
      </w:r>
      <w:r>
        <w:rPr>
          <w:rFonts w:hint="eastAsia" w:ascii="仿宋_GB2312" w:hAnsi="仿宋_GB2312" w:eastAsia="仿宋_GB2312" w:cs="仿宋_GB2312"/>
          <w:sz w:val="32"/>
          <w:szCs w:val="32"/>
        </w:rPr>
        <w:t>）；</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门诊大厅引导岗1人（正常班）。</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以上岗位配置共计:安保人员岗位41个。</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备注：以上岗位及人员配置，根据维稳及防疫要求随时进行调整和增减。</w:t>
      </w:r>
    </w:p>
    <w:p>
      <w:pPr>
        <w:keepNext w:val="0"/>
        <w:keepLines w:val="0"/>
        <w:widowControl/>
        <w:suppressLineNumbers w:val="0"/>
        <w:ind w:firstLine="602" w:firstLineChars="200"/>
        <w:jc w:val="left"/>
        <w:rPr>
          <w:rFonts w:hint="eastAsia" w:ascii="仿宋" w:hAnsi="仿宋" w:eastAsia="仿宋" w:cs="仿宋"/>
          <w:b/>
          <w:bCs/>
          <w:color w:val="000000" w:themeColor="text1"/>
          <w:sz w:val="30"/>
          <w:szCs w:val="30"/>
          <w:highlight w:val="yellow"/>
          <w:lang w:val="en-US" w:eastAsia="zh-CN"/>
          <w14:textFill>
            <w14:solidFill>
              <w14:schemeClr w14:val="tx1"/>
            </w14:solidFill>
          </w14:textFill>
        </w:rPr>
      </w:pPr>
      <w:r>
        <w:rPr>
          <w:rFonts w:hint="eastAsia" w:ascii="仿宋" w:hAnsi="仿宋" w:eastAsia="仿宋" w:cs="仿宋"/>
          <w:b/>
          <w:bCs/>
          <w:color w:val="000000" w:themeColor="text1"/>
          <w:sz w:val="30"/>
          <w:szCs w:val="30"/>
          <w:highlight w:val="yellow"/>
          <w:lang w:val="en-US" w:eastAsia="zh-CN"/>
          <w14:textFill>
            <w14:solidFill>
              <w14:schemeClr w14:val="tx1"/>
            </w14:solidFill>
          </w14:textFill>
        </w:rPr>
        <w:t>附件：</w:t>
      </w:r>
    </w:p>
    <w:p>
      <w:pPr>
        <w:keepNext w:val="0"/>
        <w:keepLines w:val="0"/>
        <w:widowControl/>
        <w:suppressLineNumbers w:val="0"/>
        <w:ind w:firstLine="3313" w:firstLineChars="1100"/>
        <w:jc w:val="left"/>
        <w:rPr>
          <w:rFonts w:hint="eastAsia" w:ascii="仿宋" w:hAnsi="仿宋" w:eastAsia="仿宋" w:cs="仿宋"/>
          <w:color w:val="000000" w:themeColor="text1"/>
          <w:sz w:val="30"/>
          <w:szCs w:val="30"/>
          <w:highlight w:val="yellow"/>
          <w:lang w:val="en-US" w:eastAsia="zh-CN"/>
          <w14:textFill>
            <w14:solidFill>
              <w14:schemeClr w14:val="tx1"/>
            </w14:solidFill>
          </w14:textFill>
        </w:rPr>
      </w:pPr>
      <w:r>
        <w:rPr>
          <w:rFonts w:hint="eastAsia" w:ascii="仿宋" w:hAnsi="仿宋" w:eastAsia="仿宋" w:cs="仿宋"/>
          <w:b/>
          <w:bCs/>
          <w:color w:val="000000" w:themeColor="text1"/>
          <w:sz w:val="30"/>
          <w:szCs w:val="30"/>
          <w:highlight w:val="yellow"/>
          <w:lang w:val="en-US" w:eastAsia="zh-CN"/>
          <w14:textFill>
            <w14:solidFill>
              <w14:schemeClr w14:val="tx1"/>
            </w14:solidFill>
          </w14:textFill>
        </w:rPr>
        <w:t>安保人员列表</w:t>
      </w:r>
    </w:p>
    <w:tbl>
      <w:tblPr>
        <w:tblStyle w:val="18"/>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15"/>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widowControl/>
              <w:suppressLineNumbers w:val="0"/>
              <w:jc w:val="center"/>
              <w:rPr>
                <w:rFonts w:hint="default" w:ascii="仿宋" w:hAnsi="仿宋" w:eastAsia="仿宋" w:cs="仿宋"/>
                <w:b/>
                <w:bCs/>
                <w:color w:val="000000" w:themeColor="text1"/>
                <w:sz w:val="30"/>
                <w:szCs w:val="30"/>
                <w:highlight w:val="yellow"/>
                <w:vertAlign w:val="baseline"/>
                <w:lang w:val="en-US" w:eastAsia="zh-CN"/>
                <w14:textFill>
                  <w14:solidFill>
                    <w14:schemeClr w14:val="tx1"/>
                  </w14:solidFill>
                </w14:textFill>
              </w:rPr>
            </w:pPr>
            <w:r>
              <w:rPr>
                <w:rFonts w:hint="eastAsia" w:ascii="仿宋" w:hAnsi="仿宋" w:eastAsia="仿宋" w:cs="仿宋"/>
                <w:b/>
                <w:bCs/>
                <w:color w:val="000000" w:themeColor="text1"/>
                <w:sz w:val="30"/>
                <w:szCs w:val="30"/>
                <w:highlight w:val="yellow"/>
                <w:vertAlign w:val="baseline"/>
                <w:lang w:val="en-US" w:eastAsia="zh-CN"/>
                <w14:textFill>
                  <w14:solidFill>
                    <w14:schemeClr w14:val="tx1"/>
                  </w14:solidFill>
                </w14:textFill>
              </w:rPr>
              <w:t>序号</w:t>
            </w:r>
          </w:p>
        </w:tc>
        <w:tc>
          <w:tcPr>
            <w:tcW w:w="1420" w:type="dxa"/>
          </w:tcPr>
          <w:p>
            <w:pPr>
              <w:keepNext w:val="0"/>
              <w:keepLines w:val="0"/>
              <w:widowControl/>
              <w:suppressLineNumbers w:val="0"/>
              <w:jc w:val="center"/>
              <w:rPr>
                <w:rFonts w:hint="default" w:ascii="仿宋" w:hAnsi="仿宋" w:eastAsia="仿宋" w:cs="仿宋"/>
                <w:b/>
                <w:bCs/>
                <w:color w:val="000000" w:themeColor="text1"/>
                <w:sz w:val="30"/>
                <w:szCs w:val="30"/>
                <w:highlight w:val="yellow"/>
                <w:vertAlign w:val="baseline"/>
                <w:lang w:val="en-US" w:eastAsia="zh-CN"/>
                <w14:textFill>
                  <w14:solidFill>
                    <w14:schemeClr w14:val="tx1"/>
                  </w14:solidFill>
                </w14:textFill>
              </w:rPr>
            </w:pPr>
            <w:r>
              <w:rPr>
                <w:rFonts w:hint="eastAsia" w:ascii="仿宋" w:hAnsi="仿宋" w:eastAsia="仿宋" w:cs="仿宋"/>
                <w:b/>
                <w:bCs/>
                <w:color w:val="000000" w:themeColor="text1"/>
                <w:sz w:val="30"/>
                <w:szCs w:val="30"/>
                <w:highlight w:val="yellow"/>
                <w:vertAlign w:val="baseline"/>
                <w:lang w:val="en-US" w:eastAsia="zh-CN"/>
                <w14:textFill>
                  <w14:solidFill>
                    <w14:schemeClr w14:val="tx1"/>
                  </w14:solidFill>
                </w14:textFill>
              </w:rPr>
              <w:t>姓名</w:t>
            </w:r>
          </w:p>
        </w:tc>
        <w:tc>
          <w:tcPr>
            <w:tcW w:w="1420" w:type="dxa"/>
          </w:tcPr>
          <w:p>
            <w:pPr>
              <w:keepNext w:val="0"/>
              <w:keepLines w:val="0"/>
              <w:widowControl/>
              <w:suppressLineNumbers w:val="0"/>
              <w:jc w:val="center"/>
              <w:rPr>
                <w:rFonts w:hint="default" w:ascii="仿宋" w:hAnsi="仿宋" w:eastAsia="仿宋" w:cs="仿宋"/>
                <w:b/>
                <w:bCs/>
                <w:color w:val="000000" w:themeColor="text1"/>
                <w:sz w:val="30"/>
                <w:szCs w:val="30"/>
                <w:highlight w:val="yellow"/>
                <w:vertAlign w:val="baseline"/>
                <w:lang w:val="en-US" w:eastAsia="zh-CN"/>
                <w14:textFill>
                  <w14:solidFill>
                    <w14:schemeClr w14:val="tx1"/>
                  </w14:solidFill>
                </w14:textFill>
              </w:rPr>
            </w:pPr>
            <w:r>
              <w:rPr>
                <w:rFonts w:hint="eastAsia" w:ascii="仿宋" w:hAnsi="仿宋" w:eastAsia="仿宋" w:cs="仿宋"/>
                <w:b/>
                <w:bCs/>
                <w:color w:val="000000" w:themeColor="text1"/>
                <w:sz w:val="30"/>
                <w:szCs w:val="30"/>
                <w:highlight w:val="yellow"/>
                <w:vertAlign w:val="baseline"/>
                <w:lang w:val="en-US" w:eastAsia="zh-CN"/>
                <w14:textFill>
                  <w14:solidFill>
                    <w14:schemeClr w14:val="tx1"/>
                  </w14:solidFill>
                </w14:textFill>
              </w:rPr>
              <w:t>性别</w:t>
            </w:r>
          </w:p>
        </w:tc>
        <w:tc>
          <w:tcPr>
            <w:tcW w:w="1420" w:type="dxa"/>
          </w:tcPr>
          <w:p>
            <w:pPr>
              <w:keepNext w:val="0"/>
              <w:keepLines w:val="0"/>
              <w:widowControl/>
              <w:suppressLineNumbers w:val="0"/>
              <w:jc w:val="center"/>
              <w:rPr>
                <w:rFonts w:hint="default" w:ascii="仿宋" w:hAnsi="仿宋" w:eastAsia="仿宋" w:cs="仿宋"/>
                <w:b/>
                <w:bCs/>
                <w:color w:val="000000" w:themeColor="text1"/>
                <w:sz w:val="30"/>
                <w:szCs w:val="30"/>
                <w:highlight w:val="yellow"/>
                <w:vertAlign w:val="baseline"/>
                <w:lang w:val="en-US" w:eastAsia="zh-CN"/>
                <w14:textFill>
                  <w14:solidFill>
                    <w14:schemeClr w14:val="tx1"/>
                  </w14:solidFill>
                </w14:textFill>
              </w:rPr>
            </w:pPr>
            <w:r>
              <w:rPr>
                <w:rFonts w:hint="eastAsia" w:ascii="仿宋" w:hAnsi="仿宋" w:eastAsia="仿宋" w:cs="仿宋"/>
                <w:b/>
                <w:bCs/>
                <w:color w:val="000000" w:themeColor="text1"/>
                <w:sz w:val="30"/>
                <w:szCs w:val="30"/>
                <w:highlight w:val="yellow"/>
                <w:vertAlign w:val="baseline"/>
                <w:lang w:val="en-US" w:eastAsia="zh-CN"/>
                <w14:textFill>
                  <w14:solidFill>
                    <w14:schemeClr w14:val="tx1"/>
                  </w14:solidFill>
                </w14:textFill>
              </w:rPr>
              <w:t>民族</w:t>
            </w:r>
          </w:p>
        </w:tc>
        <w:tc>
          <w:tcPr>
            <w:tcW w:w="1415" w:type="dxa"/>
            <w:vAlign w:val="top"/>
          </w:tcPr>
          <w:p>
            <w:pPr>
              <w:keepNext w:val="0"/>
              <w:keepLines w:val="0"/>
              <w:widowControl/>
              <w:suppressLineNumbers w:val="0"/>
              <w:jc w:val="center"/>
              <w:rPr>
                <w:rFonts w:hint="default" w:ascii="仿宋" w:hAnsi="仿宋" w:eastAsia="仿宋" w:cs="仿宋"/>
                <w:b/>
                <w:bCs/>
                <w:color w:val="000000" w:themeColor="text1"/>
                <w:sz w:val="30"/>
                <w:szCs w:val="30"/>
                <w:highlight w:val="yellow"/>
                <w:vertAlign w:val="baseline"/>
                <w:lang w:val="en-US" w:eastAsia="zh-CN"/>
                <w14:textFill>
                  <w14:solidFill>
                    <w14:schemeClr w14:val="tx1"/>
                  </w14:solidFill>
                </w14:textFill>
              </w:rPr>
            </w:pPr>
            <w:r>
              <w:rPr>
                <w:rFonts w:hint="eastAsia" w:ascii="仿宋" w:hAnsi="仿宋" w:eastAsia="仿宋" w:cs="仿宋"/>
                <w:b/>
                <w:bCs/>
                <w:color w:val="000000" w:themeColor="text1"/>
                <w:sz w:val="30"/>
                <w:szCs w:val="30"/>
                <w:highlight w:val="yellow"/>
                <w:vertAlign w:val="baseline"/>
                <w:lang w:val="en-US" w:eastAsia="zh-CN"/>
                <w14:textFill>
                  <w14:solidFill>
                    <w14:schemeClr w14:val="tx1"/>
                  </w14:solidFill>
                </w14:textFill>
              </w:rPr>
              <w:t>年龄</w:t>
            </w:r>
          </w:p>
        </w:tc>
        <w:tc>
          <w:tcPr>
            <w:tcW w:w="2005" w:type="dxa"/>
            <w:vAlign w:val="top"/>
          </w:tcPr>
          <w:p>
            <w:pPr>
              <w:keepNext w:val="0"/>
              <w:keepLines w:val="0"/>
              <w:widowControl/>
              <w:suppressLineNumbers w:val="0"/>
              <w:jc w:val="center"/>
              <w:rPr>
                <w:rFonts w:hint="default" w:ascii="仿宋" w:hAnsi="仿宋" w:eastAsia="仿宋" w:cs="仿宋"/>
                <w:b/>
                <w:bCs/>
                <w:color w:val="000000" w:themeColor="text1"/>
                <w:sz w:val="30"/>
                <w:szCs w:val="30"/>
                <w:highlight w:val="yellow"/>
                <w:vertAlign w:val="baseline"/>
                <w:lang w:val="en-US" w:eastAsia="zh-CN"/>
                <w14:textFill>
                  <w14:solidFill>
                    <w14:schemeClr w14:val="tx1"/>
                  </w14:solidFill>
                </w14:textFill>
              </w:rPr>
            </w:pPr>
            <w:r>
              <w:rPr>
                <w:rFonts w:hint="eastAsia" w:ascii="仿宋" w:hAnsi="仿宋" w:eastAsia="仿宋" w:cs="仿宋"/>
                <w:b/>
                <w:bCs/>
                <w:color w:val="000000" w:themeColor="text1"/>
                <w:sz w:val="30"/>
                <w:szCs w:val="30"/>
                <w:highlight w:val="yellow"/>
                <w:vertAlign w:val="baseline"/>
                <w:lang w:val="en-US" w:eastAsia="zh-CN"/>
                <w14:textFill>
                  <w14:solidFill>
                    <w14:schemeClr w14:val="tx1"/>
                  </w14:solidFill>
                </w14:textFill>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r>
              <w:rPr>
                <w:rFonts w:hint="eastAsia" w:ascii="仿宋" w:hAnsi="仿宋" w:eastAsia="仿宋" w:cs="仿宋"/>
                <w:color w:val="000000" w:themeColor="text1"/>
                <w:sz w:val="30"/>
                <w:szCs w:val="30"/>
                <w:highlight w:val="yellow"/>
                <w:vertAlign w:val="baseline"/>
                <w:lang w:val="en-US" w:eastAsia="zh-CN"/>
                <w14:textFill>
                  <w14:solidFill>
                    <w14:schemeClr w14:val="tx1"/>
                  </w14:solidFill>
                </w14:textFill>
              </w:rPr>
              <w:t>1</w:t>
            </w:r>
          </w:p>
        </w:tc>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1415"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2005"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r>
              <w:rPr>
                <w:rFonts w:hint="eastAsia" w:ascii="仿宋" w:hAnsi="仿宋" w:eastAsia="仿宋" w:cs="仿宋"/>
                <w:color w:val="000000" w:themeColor="text1"/>
                <w:sz w:val="30"/>
                <w:szCs w:val="30"/>
                <w:highlight w:val="yellow"/>
                <w:vertAlign w:val="baseline"/>
                <w:lang w:val="en-US" w:eastAsia="zh-CN"/>
                <w14:textFill>
                  <w14:solidFill>
                    <w14:schemeClr w14:val="tx1"/>
                  </w14:solidFill>
                </w14:textFill>
              </w:rPr>
              <w:t>2</w:t>
            </w:r>
          </w:p>
        </w:tc>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1415"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2005"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r>
              <w:rPr>
                <w:rFonts w:hint="eastAsia" w:ascii="仿宋" w:hAnsi="仿宋" w:eastAsia="仿宋" w:cs="仿宋"/>
                <w:color w:val="000000" w:themeColor="text1"/>
                <w:sz w:val="30"/>
                <w:szCs w:val="30"/>
                <w:highlight w:val="yellow"/>
                <w:vertAlign w:val="baseline"/>
                <w:lang w:val="en-US" w:eastAsia="zh-CN"/>
                <w14:textFill>
                  <w14:solidFill>
                    <w14:schemeClr w14:val="tx1"/>
                  </w14:solidFill>
                </w14:textFill>
              </w:rPr>
              <w:t>3</w:t>
            </w:r>
          </w:p>
        </w:tc>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1420"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1415"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c>
          <w:tcPr>
            <w:tcW w:w="2005" w:type="dxa"/>
          </w:tcPr>
          <w:p>
            <w:pPr>
              <w:keepNext w:val="0"/>
              <w:keepLines w:val="0"/>
              <w:widowControl/>
              <w:suppressLineNumbers w:val="0"/>
              <w:jc w:val="center"/>
              <w:rPr>
                <w:rFonts w:hint="default" w:ascii="仿宋" w:hAnsi="仿宋" w:eastAsia="仿宋" w:cs="仿宋"/>
                <w:color w:val="000000" w:themeColor="text1"/>
                <w:sz w:val="30"/>
                <w:szCs w:val="30"/>
                <w:highlight w:val="yellow"/>
                <w:vertAlign w:val="baseline"/>
                <w:lang w:val="en-US" w:eastAsia="zh-CN"/>
                <w14:textFill>
                  <w14:solidFill>
                    <w14:schemeClr w14:val="tx1"/>
                  </w14:solidFill>
                </w14:textFill>
              </w:rPr>
            </w:pPr>
          </w:p>
        </w:tc>
      </w:tr>
    </w:tbl>
    <w:p>
      <w:pPr>
        <w:spacing w:line="42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4.安保服务要求参数</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（1）服务内容及理念：以治安、消防为基本，强调为民服务的理念。</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1）岗位设置：医院建筑物外围、医院各出入口、房屋楼层、大楼大厅、监控室、停车场等。岗位的具体设置，根据医院的实际情况自行布岗。</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2）治安防范</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a.在医院范围内24小时巡逻（负责突发事件的处置、维护现场及报警）。</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①检查公共设施是否完好；</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②检查病人物品是否保管完好；</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③检查公共区域门窗、灯光、空调等是否关闭；</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④及时清理推销、派发广告资料、医托等不法人员，预防和制止小偷作案，发现作案要将小偷扭送公安机关，同时上报医院保卫科。</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b.做好人员进出的控制、检查工作，做好物品放行管理。</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c.保障医院正常的治安及医疗秩序，发现治安不安全因素，及时有效地处理。</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d.协助医院职能部门做好治安综合治理工作。</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e.监控室、停车场（车库）24小时值班看守。</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f.遇到恶性治安事件（如斗殴，围攻、殴打采购人工作人员及在采购人院区内诊疗的病人和家属）应在3分钟内到达现场，并有效制止事态的发展，以保护医院工作人员及病人和其家属的人身和财产安全。</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（2)交通、停车秩序管理</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1）为医院停车场（库）科学、合理设置岗位。</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2）安排人员指挥车辆行驶。</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3）做好车辆检查以及车辆停放工作。</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4）做好车辆的安全防范工作。</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5）提醒司机做好贵重物品保管及车辆安全防范工作。</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6）确保道路畅通、停车秩序良好，不得以无因管理造成停车混乱，车辆碰撞。</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7）对进入院区有帮助需求的病人提供主动服务，体现良好形象。</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（3)安保服务标准</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1）院区内无重大治安案件发生；</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2）职工及患者的投诉处理率达100%；</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3）人员专业培训合格率100%；</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4）医院本单位职工及就诊病人对服务满意度评价达95%以上；</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5）无因管理不到位造成的治安案件和恶意破坏事件；</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6）接到消防中心报警，值班保安员应在3分钟内到达烟感警报点核实情况，如属火警迅速组织扑救和疏散；</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7）无因管理不到位造成的火灾事故，火灾发生率0；消防设施完好100％。</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8）接到火警以外的突发事件报警应不超过3分钟赶到现场。</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9）维护医院治安、消防安全工作，打击医托、医闹，如有无理取闹者，可报警处理维护医护人员的人身安全及医院正常工作秩序。</w:t>
      </w:r>
    </w:p>
    <w:p>
      <w:pPr>
        <w:tabs>
          <w:tab w:val="left" w:pos="645"/>
        </w:tabs>
        <w:spacing w:line="4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10）巡逻队人员须对医院范围内的消防安全进行巡查，防止火灾隐患，使医院在消防安全上无盲点，无死角。</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（4）人员要求</w:t>
      </w:r>
    </w:p>
    <w:p>
      <w:pPr>
        <w:spacing w:line="440" w:lineRule="exact"/>
        <w:ind w:firstLine="640" w:firstLineChars="200"/>
        <w:rPr>
          <w:rFonts w:hint="eastAsia" w:ascii="仿宋_GB2312" w:hAnsi="仿宋_GB2312" w:eastAsia="仿宋_GB2312" w:cs="仿宋_GB2312"/>
          <w:bCs/>
          <w:color w:val="000000" w:themeColor="text1"/>
          <w:sz w:val="32"/>
          <w:szCs w:val="32"/>
          <w:highlight w:val="yellow"/>
          <w14:textFill>
            <w14:solidFill>
              <w14:schemeClr w14:val="tx1"/>
            </w14:solidFill>
          </w14:textFill>
        </w:rPr>
      </w:pPr>
      <w:r>
        <w:rPr>
          <w:rFonts w:hint="eastAsia" w:ascii="仿宋_GB2312" w:hAnsi="仿宋_GB2312" w:eastAsia="仿宋_GB2312" w:cs="仿宋_GB2312"/>
          <w:bCs/>
          <w:sz w:val="32"/>
          <w:szCs w:val="32"/>
        </w:rPr>
        <w:t>1</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男保安员年龄18-60周岁，身高不低于160cm；女保安员年龄在18-55周岁，身高不低于155cm；男性、女性保安员均为初中以上学历</w:t>
      </w:r>
      <w:r>
        <w:rPr>
          <w:rFonts w:hint="eastAsia" w:ascii="仿宋" w:hAnsi="仿宋" w:eastAsia="仿宋" w:cs="仿宋"/>
          <w:color w:val="000000" w:themeColor="text1"/>
          <w:sz w:val="30"/>
          <w:szCs w:val="30"/>
          <w:highlight w:val="yellow"/>
          <w:lang w:val="en-US" w:eastAsia="zh-CN"/>
          <w14:textFill>
            <w14:solidFill>
              <w14:schemeClr w14:val="tx1"/>
            </w14:solidFill>
          </w14:textFill>
        </w:rPr>
        <w:t>，且50岁以下的安保人员不低于总人数的20%（既不少于9人）</w:t>
      </w:r>
      <w:r>
        <w:rPr>
          <w:rFonts w:hint="eastAsia" w:ascii="仿宋_GB2312" w:hAnsi="仿宋_GB2312" w:eastAsia="仿宋_GB2312" w:cs="仿宋_GB2312"/>
          <w:bCs/>
          <w:color w:val="000000" w:themeColor="text1"/>
          <w:sz w:val="32"/>
          <w:szCs w:val="32"/>
          <w:highlight w:val="yellow"/>
          <w14:textFill>
            <w14:solidFill>
              <w14:schemeClr w14:val="tx1"/>
            </w14:solidFill>
          </w14:textFill>
        </w:rPr>
        <w:t>。</w:t>
      </w:r>
    </w:p>
    <w:p>
      <w:pPr>
        <w:spacing w:line="4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2）身体健康，品行良好，无犯罪记录。</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3）武警、消防及退伍军人优先考虑。</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员劳动关系隶属于中标单位，人员招聘由中标单位负责和把关，具体业务、工作安排及人员管理由供应商按院方的要求负责实施，进驻人员前需经医院方同意。日常安保服务的管理考核由医院保卫科监管负责。</w:t>
      </w:r>
    </w:p>
    <w:p>
      <w:pPr>
        <w:tabs>
          <w:tab w:val="left" w:pos="645"/>
        </w:tabs>
        <w:spacing w:line="42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（5）装备要求</w:t>
      </w:r>
    </w:p>
    <w:p>
      <w:pPr>
        <w:tabs>
          <w:tab w:val="left" w:pos="645"/>
        </w:tabs>
        <w:spacing w:line="42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1）须给全体执勤保安人员须配备统一制式服装及包括但不仅限于</w:t>
      </w:r>
      <w:r>
        <w:rPr>
          <w:rFonts w:hint="eastAsia" w:ascii="仿宋_GB2312" w:hAnsi="仿宋_GB2312" w:eastAsia="仿宋_GB2312" w:cs="仿宋_GB2312"/>
          <w:color w:val="FF0000"/>
          <w:spacing w:val="-2"/>
          <w:sz w:val="32"/>
          <w:szCs w:val="32"/>
        </w:rPr>
        <w:t>防刺服、防暴头盔、手持安检仪、执法记录仪、执勤用手电、哨子、锥桶</w:t>
      </w:r>
      <w:r>
        <w:rPr>
          <w:rFonts w:hint="eastAsia" w:ascii="仿宋_GB2312" w:hAnsi="仿宋_GB2312" w:eastAsia="仿宋_GB2312" w:cs="仿宋_GB2312"/>
          <w:color w:val="FF0000"/>
          <w:spacing w:val="-2"/>
          <w:sz w:val="32"/>
          <w:szCs w:val="32"/>
          <w:lang w:eastAsia="zh-CN"/>
        </w:rPr>
        <w:t>、</w:t>
      </w:r>
      <w:r>
        <w:rPr>
          <w:rFonts w:hint="eastAsia" w:ascii="仿宋_GB2312" w:hAnsi="仿宋_GB2312" w:eastAsia="仿宋_GB2312" w:cs="仿宋_GB2312"/>
          <w:color w:val="FF0000"/>
          <w:sz w:val="32"/>
          <w:szCs w:val="32"/>
        </w:rPr>
        <w:t>武装带、塑料警棍、手持安检仪、执法记录仪、遮阳伞</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对讲机</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强光手电筒等基本的保安必要装备；保证在岗人员人手一部对讲机，同时提供两部对讲机予院方保卫科使用；晚班岗位人员人手配备一支强光手电筒；服务院方期间如医院的相关主管部门对保安人员有其他装备的配备要求，中标单位须无条件按相关要求配齐。</w:t>
      </w:r>
    </w:p>
    <w:p>
      <w:pPr>
        <w:tabs>
          <w:tab w:val="left" w:pos="645"/>
        </w:tabs>
        <w:spacing w:line="42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2）进驻医院时7个工作日内须配备不低于两套防爆设备（防爆盾牌、腰叉及脚叉、防爆头盔、防割手套等）放置医院保卫科科室。</w:t>
      </w:r>
    </w:p>
    <w:p>
      <w:pPr>
        <w:tabs>
          <w:tab w:val="left" w:pos="645"/>
        </w:tabs>
        <w:spacing w:line="4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FF0000"/>
          <w:sz w:val="32"/>
          <w:szCs w:val="32"/>
          <w:lang w:val="en-US" w:eastAsia="zh-CN"/>
        </w:rPr>
        <w:t>3）须给安保人员</w:t>
      </w:r>
      <w:r>
        <w:rPr>
          <w:rFonts w:hint="eastAsia" w:ascii="仿宋_GB2312" w:hAnsi="仿宋_GB2312" w:eastAsia="仿宋_GB2312" w:cs="仿宋_GB2312"/>
          <w:color w:val="FF0000"/>
          <w:spacing w:val="-2"/>
          <w:sz w:val="32"/>
          <w:szCs w:val="32"/>
        </w:rPr>
        <w:t>提供日常工作办公用品，包括但不限于：遮阳伞、电风扇、电热扇、电脑、打印机、纸质品等</w:t>
      </w:r>
      <w:r>
        <w:rPr>
          <w:rFonts w:hint="eastAsia" w:ascii="仿宋_GB2312" w:hAnsi="仿宋_GB2312" w:eastAsia="仿宋_GB2312" w:cs="仿宋_GB2312"/>
          <w:color w:val="FF0000"/>
          <w:spacing w:val="-2"/>
          <w:sz w:val="32"/>
          <w:szCs w:val="32"/>
          <w:lang w:eastAsia="zh-CN"/>
        </w:rPr>
        <w:t>。</w:t>
      </w:r>
    </w:p>
    <w:p>
      <w:pPr>
        <w:tabs>
          <w:tab w:val="left" w:pos="645"/>
        </w:tabs>
        <w:spacing w:line="42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bCs/>
          <w:sz w:val="32"/>
          <w:szCs w:val="32"/>
        </w:rPr>
        <w:t>执勤纪律和行为准则要求</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1）仪表整洁、言行举止得体：</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①当班人员要求仪容整洁，按规定着装统一，不得留长发蓄胡须。</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②当班期间不得嬉戏打闹、高声喧哗，不得擅离岗位、睡岗或串岗聊天。</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③不得酒后上岗，当班期间不得吸烟、喝酒、吃零食、玩手机、看书报等，不得使用对讲机闲聊。</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2）文明执勤，互相尊重，为病患及其家属等人员提供人性化服务：</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当班期间对医院员工、队员之间及各种人员要互相尊重，不得使用不文明语言，对患者及家属要热情、耐心，积极帮助病人解决实际问题，并提供必要的能提供的人性化服务，如解答病人询问、帮助行动不便的病人上下车、雨天帮病人撑伞等。</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服从医院的工作安排，在工作中自觉接受医院保卫科的检查、监督、指导，对违规、渎职、责任心不强的保安员，医院有权提出调换，中标单位应及时更换医院提出的不称职的保安员，队长和班长须保持电话24小时畅通。</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③每月向院方提供当月员工花名册、人员变动表、服务质量监管情况、存在问题整改情况、培训情况、等资料备案。</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④医院考核不合格或不满意的管理人员或员工，乙方经培训，仍不适合岗位要求，一周内更换合适人选。更换管理人员需经医院主管部门同意。</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3）遵规守法，依规执勤：</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①遵守国家法令法规，依法办事，遵守医院各项规章制度，不得损害或企图损害医院利益，不得利用工作之便盗窃医院物品或患者财物，爱护医院设施和执勤用品。</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②严格执行考勤和交接班制度，按规定时间实行在岗交接班，交班人员应告知本班发生的情况和处理结果，并交代需继续办理事项， 接班者未到或未办理交接班手续，当班者不能离开岗位。</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（7）培训和演练</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每半个月至少一次在医院内集中队员进行队列、消防、防暴等有针对性的体能和技能方面的培训。每年至少组织一次消防及防爆防医闹演练。</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（8）其他说明</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1）安保服务范围只限于昌吉州人民医院院本部、儿童分院范围内。</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安保服务包括但不限于以上计划书中服务所规定的区域及内容，有单独列明的不负责有区域除外。</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3）安保服务过程中执行医院院感部院感要求，在普通区域执行服务过程中使用的普通防护用具自行配备。</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4）安保服务过程中安保人员对医院的设备人为操作不当，造成经济损失的由中标单位修复、赔偿。</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此次项目投标单位的招标文件中安保人员名单，需要进入昌吉州人民医院本部、儿童分院范围内，如有人员变动，需要与医院协商解决。如安保人员名单与实际不符合的，医院有权力调整。调整后仍然无法满足医院要求的，医院有权利终止此次招标结果,并上报昌吉州政府相关职能部门。</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（9）服务时间：</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1）总院大门口机动车道：24小时；</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2）总院大门口非机动车道：24小时；</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3）总院大门口安检房：24小时， </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4）总院巡逻队：24小时，每班6人；</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5）总院视频监控员：24小时，每班1人；</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6）总院中医楼：24小时，每班各1人；</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7）总院门诊内科楼大厅：8小时， 上班时间为10:00-14:00，16:00-20:00；</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8）总院急救外科楼大厅：8小时，上班时间为10:00-14:00，16:00-20:00；</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总院心内科大厅：8小时，上班时间为10:00-14:00，16:00-20:00；</w:t>
      </w:r>
    </w:p>
    <w:p>
      <w:pPr>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10）儿童医院大门岗：24小时；</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11）儿童医院安检房：24小时；</w:t>
      </w:r>
    </w:p>
    <w:p>
      <w:pPr>
        <w:tabs>
          <w:tab w:val="left" w:pos="645"/>
        </w:tabs>
        <w:spacing w:line="4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12）儿童医院监控室：24小时；</w:t>
      </w:r>
    </w:p>
    <w:p>
      <w:pPr>
        <w:spacing w:line="420" w:lineRule="exact"/>
        <w:ind w:firstLine="640"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rPr>
        <w:t>13）门诊大厅引导岗：8小时，每班1人；10:00-14:00，16:00-20:00</w:t>
      </w:r>
      <w:r>
        <w:rPr>
          <w:rFonts w:hint="eastAsia" w:ascii="仿宋_GB2312" w:hAnsi="仿宋_GB2312" w:eastAsia="仿宋_GB2312" w:cs="仿宋_GB2312"/>
          <w:spacing w:val="-2"/>
          <w:sz w:val="32"/>
          <w:szCs w:val="32"/>
        </w:rPr>
        <w:t>。</w:t>
      </w:r>
    </w:p>
    <w:p>
      <w:pPr>
        <w:tabs>
          <w:tab w:val="left" w:pos="645"/>
        </w:tabs>
        <w:spacing w:line="4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 xml:space="preserve">  备注：安保服务时间</w:t>
      </w:r>
      <w:r>
        <w:rPr>
          <w:rFonts w:hint="eastAsia" w:ascii="仿宋_GB2312" w:hAnsi="仿宋_GB2312" w:eastAsia="仿宋_GB2312" w:cs="仿宋_GB2312"/>
          <w:sz w:val="32"/>
          <w:szCs w:val="32"/>
        </w:rPr>
        <w:t>包括但不限于以上计划书中服务所规定的时间及内容，如有延长服务时间报备医院方保卫科协商同意后，延长时间服务费另计。</w:t>
      </w:r>
    </w:p>
    <w:p>
      <w:pPr>
        <w:spacing w:line="420" w:lineRule="exact"/>
        <w:ind w:firstLine="643" w:firstLineChars="200"/>
        <w:rPr>
          <w:rFonts w:hint="eastAsia" w:ascii="楷体" w:hAnsi="楷体" w:eastAsia="楷体" w:cs="楷体"/>
          <w:b/>
          <w:sz w:val="32"/>
          <w:szCs w:val="32"/>
        </w:rPr>
      </w:pPr>
      <w:r>
        <w:rPr>
          <w:rFonts w:ascii="楷体" w:hAnsi="楷体" w:eastAsia="楷体" w:cs="楷体"/>
          <w:b/>
          <w:sz w:val="32"/>
          <w:szCs w:val="32"/>
        </w:rPr>
        <w:t>5.</w:t>
      </w:r>
      <w:r>
        <w:rPr>
          <w:rFonts w:hint="eastAsia" w:ascii="楷体" w:hAnsi="楷体" w:eastAsia="楷体" w:cs="楷体"/>
          <w:b/>
          <w:sz w:val="32"/>
          <w:szCs w:val="32"/>
        </w:rPr>
        <w:t>安保服务方案</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针对本项目提供承接该服务项目的策划、目标及服务理念的具体方案，要求科学合理、目标明确、措施具体，管理制度详实性、完整性 (包含项目管理架构、主要人员职责、巡查、日常管理制度等)，管理制度详实、完整合理：</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①整体管理思路，内容包括但不限于：整体思路、管理服务理念、管理目标、管理制度；</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②职责分工，内容不会但不限于：队伍建设、员工行为规范、内部管理的职责分工、人员稳定措施；</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③迎接有关检查等临时突击工作及安保、消防措施；</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④提供服务质量承诺；</w:t>
      </w:r>
    </w:p>
    <w:p>
      <w:pPr>
        <w:tabs>
          <w:tab w:val="left" w:pos="645"/>
        </w:tabs>
        <w:spacing w:line="440" w:lineRule="exact"/>
        <w:ind w:firstLine="632" w:firstLineChars="200"/>
        <w:rPr>
          <w:rFonts w:hint="eastAsia" w:ascii="仿宋_GB2312" w:hAnsi="仿宋_GB2312" w:eastAsia="仿宋_GB2312" w:cs="仿宋_GB2312"/>
          <w:color w:val="FF0000"/>
          <w:spacing w:val="-2"/>
          <w:sz w:val="32"/>
          <w:szCs w:val="32"/>
        </w:rPr>
      </w:pPr>
      <w:r>
        <w:rPr>
          <w:rFonts w:hint="eastAsia" w:ascii="微软雅黑" w:hAnsi="微软雅黑" w:eastAsia="微软雅黑" w:cs="微软雅黑"/>
          <w:spacing w:val="-2"/>
          <w:sz w:val="32"/>
          <w:szCs w:val="32"/>
        </w:rPr>
        <w:t>⑤</w:t>
      </w:r>
      <w:r>
        <w:rPr>
          <w:rFonts w:hint="eastAsia" w:ascii="仿宋_GB2312" w:hAnsi="仿宋_GB2312" w:eastAsia="仿宋_GB2312" w:cs="仿宋_GB2312"/>
          <w:spacing w:val="-2"/>
          <w:sz w:val="32"/>
          <w:szCs w:val="32"/>
        </w:rPr>
        <w:t>考核方案的制定，见附件1。</w:t>
      </w:r>
    </w:p>
    <w:p>
      <w:pPr>
        <w:tabs>
          <w:tab w:val="left" w:pos="645"/>
        </w:tabs>
        <w:spacing w:line="440" w:lineRule="exact"/>
        <w:ind w:firstLine="643" w:firstLineChars="200"/>
        <w:rPr>
          <w:rFonts w:hint="eastAsia" w:ascii="仿宋_GB2312" w:hAnsi="仿宋_GB2312" w:eastAsia="仿宋_GB2312" w:cs="仿宋_GB2312"/>
          <w:spacing w:val="-2"/>
          <w:sz w:val="32"/>
          <w:szCs w:val="32"/>
        </w:rPr>
      </w:pPr>
      <w:r>
        <w:rPr>
          <w:rFonts w:ascii="楷体" w:hAnsi="楷体" w:eastAsia="楷体" w:cs="楷体"/>
          <w:b/>
          <w:sz w:val="32"/>
          <w:szCs w:val="32"/>
        </w:rPr>
        <w:t>6.</w:t>
      </w:r>
      <w:r>
        <w:rPr>
          <w:rFonts w:hint="eastAsia" w:ascii="楷体" w:hAnsi="楷体" w:eastAsia="楷体" w:cs="楷体"/>
          <w:b/>
          <w:sz w:val="32"/>
          <w:szCs w:val="32"/>
        </w:rPr>
        <w:t>安保服务管理能力</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针对本项目制定的各类管理制度，内容包含但不限于:</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①人员离职处理、空缺岗位填补、增减岗位程序；</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②环境卫生工作管理制度；</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③日常人员培训计划；</w:t>
      </w:r>
    </w:p>
    <w:p>
      <w:pPr>
        <w:tabs>
          <w:tab w:val="left" w:pos="645"/>
        </w:tabs>
        <w:spacing w:line="4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④首问责任制制度、投诉处理制度；</w:t>
      </w:r>
    </w:p>
    <w:p>
      <w:pPr>
        <w:tabs>
          <w:tab w:val="left" w:pos="645"/>
        </w:tabs>
        <w:spacing w:line="440" w:lineRule="exact"/>
        <w:ind w:firstLine="643" w:firstLineChars="200"/>
        <w:rPr>
          <w:rFonts w:hint="eastAsia" w:ascii="楷体" w:hAnsi="楷体" w:eastAsia="楷体" w:cs="楷体"/>
          <w:b/>
          <w:sz w:val="32"/>
          <w:szCs w:val="32"/>
        </w:rPr>
      </w:pPr>
      <w:r>
        <w:rPr>
          <w:rFonts w:ascii="楷体" w:hAnsi="楷体" w:eastAsia="楷体" w:cs="楷体"/>
          <w:b/>
          <w:sz w:val="32"/>
          <w:szCs w:val="32"/>
        </w:rPr>
        <w:t>7.</w:t>
      </w:r>
      <w:r>
        <w:rPr>
          <w:rFonts w:hint="eastAsia" w:ascii="楷体" w:hAnsi="楷体" w:eastAsia="楷体" w:cs="楷体"/>
          <w:b/>
          <w:sz w:val="32"/>
          <w:szCs w:val="32"/>
        </w:rPr>
        <w:t>安保教育培训方面</w:t>
      </w:r>
    </w:p>
    <w:p>
      <w:pPr>
        <w:tabs>
          <w:tab w:val="left" w:pos="645"/>
        </w:tabs>
        <w:spacing w:line="440" w:lineRule="exact"/>
        <w:ind w:firstLine="632" w:firstLineChars="200"/>
        <w:rPr>
          <w:rFonts w:hint="eastAsia" w:ascii="仿宋_GB2312" w:hAnsi="仿宋_GB2312" w:eastAsia="仿宋_GB2312" w:cs="仿宋_GB2312"/>
          <w:color w:val="FF0000"/>
          <w:spacing w:val="-2"/>
          <w:sz w:val="32"/>
          <w:szCs w:val="32"/>
        </w:rPr>
      </w:pPr>
      <w:r>
        <w:rPr>
          <w:rFonts w:hint="eastAsia" w:ascii="仿宋_GB2312" w:hAnsi="仿宋_GB2312" w:eastAsia="仿宋_GB2312" w:cs="仿宋_GB2312"/>
          <w:spacing w:val="-2"/>
          <w:sz w:val="32"/>
          <w:szCs w:val="32"/>
        </w:rPr>
        <w:t>针对安保服务等教育培训方案，具体方案包括但不限于:岗姿岗容，礼貌礼仪，队列训练及应急处置等知识培训，并每周组织人员培训。</w:t>
      </w:r>
    </w:p>
    <w:p>
      <w:pPr>
        <w:tabs>
          <w:tab w:val="left" w:pos="645"/>
        </w:tabs>
        <w:spacing w:line="440" w:lineRule="exact"/>
        <w:ind w:firstLine="643" w:firstLineChars="200"/>
        <w:rPr>
          <w:rFonts w:hint="eastAsia" w:ascii="楷体" w:hAnsi="楷体" w:eastAsia="楷体" w:cs="楷体"/>
          <w:b/>
          <w:sz w:val="32"/>
          <w:szCs w:val="32"/>
        </w:rPr>
      </w:pPr>
      <w:r>
        <w:rPr>
          <w:rFonts w:ascii="楷体" w:hAnsi="楷体" w:eastAsia="楷体" w:cs="楷体"/>
          <w:b/>
          <w:sz w:val="32"/>
          <w:szCs w:val="32"/>
        </w:rPr>
        <w:t>8.</w:t>
      </w:r>
      <w:r>
        <w:rPr>
          <w:rFonts w:hint="eastAsia" w:ascii="楷体" w:hAnsi="楷体" w:eastAsia="楷体" w:cs="楷体"/>
          <w:b/>
          <w:sz w:val="32"/>
          <w:szCs w:val="32"/>
        </w:rPr>
        <w:t>安保服务综合协调能力</w:t>
      </w:r>
    </w:p>
    <w:p>
      <w:pPr>
        <w:tabs>
          <w:tab w:val="left" w:pos="645"/>
        </w:tabs>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项目的安保服务中，综合协调能力是至关重要的。需要准确提出管理重点措施，并与用工制定出临时性工作的综合协调方案。临时性工作的协调方案是指昌吉州人民医院属于三级甲等医院、人员密集场所、危急重救治中心等，应急突发事件、公共卫生事件和大型检查较多，在用工方面有突发性、临时性，我们需要具备解决工作中问题的能力，还需要具备应急能力，以应对突发情况，有对外协调相关部门解决工作中问题的能力。需要在综合协调方案中考虑到这些因素，制定出最佳的安保服务方案，确保项目的顺利进行。</w:t>
      </w:r>
    </w:p>
    <w:p>
      <w:pPr>
        <w:tabs>
          <w:tab w:val="left" w:pos="645"/>
        </w:tabs>
        <w:spacing w:line="44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val="en-US" w:eastAsia="zh-CN"/>
        </w:rPr>
        <w:t>9</w:t>
      </w:r>
      <w:r>
        <w:rPr>
          <w:rFonts w:ascii="楷体" w:hAnsi="楷体" w:eastAsia="楷体" w:cs="楷体"/>
          <w:b/>
          <w:sz w:val="32"/>
          <w:szCs w:val="32"/>
        </w:rPr>
        <w:t>.</w:t>
      </w:r>
      <w:r>
        <w:rPr>
          <w:rFonts w:hint="eastAsia" w:ascii="楷体" w:hAnsi="楷体" w:eastAsia="楷体" w:cs="楷体"/>
          <w:b/>
          <w:sz w:val="32"/>
          <w:szCs w:val="32"/>
        </w:rPr>
        <w:t>安保服务应急能力</w:t>
      </w:r>
    </w:p>
    <w:p>
      <w:pPr>
        <w:tabs>
          <w:tab w:val="left" w:pos="645"/>
        </w:tabs>
        <w:spacing w:line="440" w:lineRule="exact"/>
        <w:ind w:firstLine="640" w:firstLineChars="200"/>
        <w:rPr>
          <w:rFonts w:ascii="仿宋_GB2312" w:hAnsi="仿宋_GB2312" w:eastAsia="仿宋_GB2312" w:cs="仿宋_GB2312"/>
          <w:color w:val="FF0000"/>
          <w:spacing w:val="-2"/>
          <w:sz w:val="32"/>
          <w:szCs w:val="32"/>
        </w:rPr>
      </w:pPr>
      <w:r>
        <w:rPr>
          <w:rFonts w:hint="eastAsia" w:ascii="仿宋_GB2312" w:hAnsi="仿宋_GB2312" w:eastAsia="仿宋_GB2312" w:cs="仿宋_GB2312"/>
          <w:sz w:val="32"/>
          <w:szCs w:val="32"/>
        </w:rPr>
        <w:t>各类应急事件处置预案，内容包括但不限于：消防火灾事故、疫情防控、治安事件、自然灾害、暴恐突发事件、建筑物垮塌水浸、应急处突力量调集、应急公关事件、意外伤害及群体上访事件等；有针对性、可操作性，有日常及特殊情况服务响应时间</w:t>
      </w:r>
      <w:r>
        <w:rPr>
          <w:rFonts w:hint="eastAsia" w:ascii="仿宋_GB2312" w:hAnsi="仿宋_GB2312" w:eastAsia="仿宋_GB2312" w:cs="仿宋_GB2312"/>
          <w:spacing w:val="-2"/>
          <w:sz w:val="32"/>
          <w:szCs w:val="32"/>
        </w:rPr>
        <w:t>。</w:t>
      </w:r>
    </w:p>
    <w:p>
      <w:pPr>
        <w:pStyle w:val="16"/>
        <w:spacing w:line="440" w:lineRule="exact"/>
        <w:ind w:firstLine="640" w:firstLineChars="200"/>
        <w:rPr>
          <w:rFonts w:hint="eastAsia" w:ascii="黑体" w:hAnsi="黑体" w:eastAsia="黑体" w:cs="黑体"/>
          <w:spacing w:val="-2"/>
          <w:sz w:val="32"/>
          <w:szCs w:val="32"/>
        </w:rPr>
      </w:pPr>
      <w:r>
        <w:rPr>
          <w:rFonts w:hint="eastAsia" w:ascii="黑体" w:hAnsi="黑体" w:eastAsia="黑体" w:cs="黑体"/>
          <w:sz w:val="32"/>
          <w:szCs w:val="32"/>
          <w:lang w:eastAsia="zh-CN"/>
        </w:rPr>
        <w:t>七</w:t>
      </w:r>
      <w:r>
        <w:rPr>
          <w:rFonts w:hint="eastAsia" w:ascii="黑体" w:hAnsi="黑体" w:eastAsia="黑体" w:cs="黑体"/>
          <w:spacing w:val="-2"/>
          <w:sz w:val="32"/>
          <w:szCs w:val="32"/>
        </w:rPr>
        <w:t>、服务费用及结算方法：</w:t>
      </w:r>
    </w:p>
    <w:p>
      <w:pPr>
        <w:tabs>
          <w:tab w:val="left" w:pos="645"/>
        </w:tabs>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保服务费用：医院按月根据中标单位的服务质量支付给乙方安保服务费用。中标单位完成当月服务并经医院认可后，次月由中标单位按照上月服务金额向甲方开具正规发票，医院收到中标单位发票后，按照医院财务制度向中标单位付款。</w:t>
      </w:r>
    </w:p>
    <w:p>
      <w:pPr>
        <w:tabs>
          <w:tab w:val="left" w:pos="645"/>
        </w:tabs>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停车场收取费用管理及用途：开设专用账户，专款专用，每月第三方将停车场管理收支明细书面报医院，医院财务科、保卫科、第三方对车辆收取费用进行核对，核对后打入医院专用账户，用于3名车辆收费安保人员酬劳及医院道路维修、维护和道路标识标线磨损后重新画线等费用。</w:t>
      </w:r>
    </w:p>
    <w:p>
      <w:pPr>
        <w:pStyle w:val="16"/>
        <w:spacing w:line="4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仿宋_GB2312" w:hAnsi="仿宋_GB2312" w:eastAsia="仿宋_GB2312" w:cs="仿宋_GB2312"/>
          <w:sz w:val="32"/>
          <w:szCs w:val="32"/>
        </w:rPr>
        <w:t>此次中标单位必须提前10天做好人员培训、装备配置等准备工作，在合同生效前7天安排所有人员进场交接。医院在合同生效前2天对中标单位进场准备工作情况进行验收，如果验收不通过，医院有权单方解除中标合同。</w:t>
      </w:r>
    </w:p>
    <w:p>
      <w:pPr>
        <w:pStyle w:val="16"/>
        <w:spacing w:line="4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、中标单位服务承诺</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为医院提供服务承诺，内容至少包括：①售后服务联系人及联系方式，负责解答医院在服务过程中遇到的问题，并及时为甲方提供服务；②提供的服务未达到采购文件规定要求，且对医院造成的损失，由中标单位承担一切责任，并赔偿所造成的损失；③接受医院的管理制度及考核方法，并严格执行；④未按投标文件配置清单内人员安排上岗服务的，医院有权拒签合同。⑤如合同执行中实际人员或设备配备数量和投标文件内的承诺数量不相符的医院有权扣减安保服务费用。必须在投标文件中对以上条款和服务承诺明确列出，承诺内容必须达到本篇及采购文件其他条款的要求。</w:t>
      </w: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left"/>
        <w:rPr>
          <w:rFonts w:hint="eastAsia" w:ascii="黑体" w:hAnsi="黑体" w:eastAsia="黑体" w:cs="黑体"/>
          <w:bCs/>
          <w:color w:val="000000"/>
          <w:sz w:val="30"/>
          <w:szCs w:val="30"/>
          <w:shd w:val="clear" w:color="auto" w:fill="FFFFFF"/>
        </w:rPr>
      </w:pPr>
    </w:p>
    <w:p>
      <w:pPr>
        <w:spacing w:line="0" w:lineRule="atLeast"/>
        <w:jc w:val="both"/>
        <w:rPr>
          <w:rFonts w:hint="eastAsia" w:ascii="黑体" w:hAnsi="黑体" w:eastAsia="黑体" w:cs="黑体"/>
          <w:bCs/>
          <w:color w:val="000000"/>
          <w:sz w:val="30"/>
          <w:szCs w:val="30"/>
          <w:shd w:val="clear" w:color="auto" w:fill="FFFFFF"/>
        </w:rPr>
      </w:pPr>
      <w:r>
        <w:rPr>
          <w:rFonts w:hint="eastAsia" w:ascii="黑体" w:hAnsi="黑体" w:eastAsia="黑体" w:cs="黑体"/>
          <w:bCs/>
          <w:color w:val="000000"/>
          <w:sz w:val="30"/>
          <w:szCs w:val="30"/>
          <w:shd w:val="clear" w:color="auto" w:fill="FFFFFF"/>
        </w:rPr>
        <w:t>附件1：</w:t>
      </w:r>
    </w:p>
    <w:p>
      <w:pPr>
        <w:spacing w:line="0" w:lineRule="atLeast"/>
        <w:jc w:val="center"/>
        <w:rPr>
          <w:rFonts w:hint="eastAsia" w:ascii="方正小标宋_GBK" w:hAnsi="方正小标宋_GBK" w:eastAsia="方正小标宋_GBK" w:cs="方正小标宋_GBK"/>
          <w:sz w:val="28"/>
          <w:szCs w:val="24"/>
        </w:rPr>
      </w:pPr>
      <w:r>
        <w:rPr>
          <w:rFonts w:hint="eastAsia" w:ascii="方正小标宋_GBK" w:hAnsi="方正小标宋_GBK" w:eastAsia="方正小标宋_GBK" w:cs="方正小标宋_GBK"/>
          <w:b/>
          <w:bCs/>
          <w:color w:val="000000"/>
          <w:sz w:val="40"/>
          <w:szCs w:val="40"/>
          <w:shd w:val="clear" w:color="auto" w:fill="FFFFFF"/>
        </w:rPr>
        <w:t>保安人员工作考核细则</w:t>
      </w:r>
    </w:p>
    <w:tbl>
      <w:tblPr>
        <w:tblStyle w:val="17"/>
        <w:tblpPr w:leftFromText="180" w:rightFromText="180" w:vertAnchor="text" w:horzAnchor="page" w:tblpX="1001" w:tblpY="825"/>
        <w:tblOverlap w:val="never"/>
        <w:tblW w:w="10600" w:type="dxa"/>
        <w:tblInd w:w="0" w:type="dxa"/>
        <w:tblLayout w:type="fixed"/>
        <w:tblCellMar>
          <w:top w:w="0" w:type="dxa"/>
          <w:left w:w="108" w:type="dxa"/>
          <w:bottom w:w="0" w:type="dxa"/>
          <w:right w:w="108" w:type="dxa"/>
        </w:tblCellMar>
      </w:tblPr>
      <w:tblGrid>
        <w:gridCol w:w="567"/>
        <w:gridCol w:w="992"/>
        <w:gridCol w:w="8364"/>
        <w:gridCol w:w="677"/>
      </w:tblGrid>
      <w:tr>
        <w:tblPrEx>
          <w:tblLayout w:type="fixed"/>
          <w:tblCellMar>
            <w:top w:w="0" w:type="dxa"/>
            <w:left w:w="108" w:type="dxa"/>
            <w:bottom w:w="0" w:type="dxa"/>
            <w:right w:w="108" w:type="dxa"/>
          </w:tblCellMar>
        </w:tblPrEx>
        <w:trPr>
          <w:trHeight w:val="1" w:hRule="atLeast"/>
        </w:trPr>
        <w:tc>
          <w:tcPr>
            <w:tcW w:w="1559"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jc w:val="center"/>
              <w:rPr>
                <w:rFonts w:ascii="宋体" w:hAnsi="宋体" w:cs="宋体"/>
              </w:rPr>
            </w:pPr>
            <w:r>
              <w:rPr>
                <w:rFonts w:ascii="宋体" w:hAnsi="宋体" w:cs="宋体"/>
              </w:rPr>
              <w:t>检查项目</w:t>
            </w: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jc w:val="center"/>
              <w:rPr>
                <w:rFonts w:ascii="宋体" w:hAnsi="宋体" w:cs="宋体"/>
              </w:rPr>
            </w:pPr>
            <w:r>
              <w:rPr>
                <w:rFonts w:ascii="宋体" w:hAnsi="宋体" w:cs="宋体"/>
              </w:rPr>
              <w:t>评分标准</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jc w:val="center"/>
              <w:rPr>
                <w:rFonts w:ascii="宋体" w:hAnsi="宋体" w:cs="宋体"/>
              </w:rPr>
            </w:pPr>
            <w:r>
              <w:rPr>
                <w:rFonts w:ascii="宋体" w:hAnsi="宋体" w:cs="宋体"/>
              </w:rPr>
              <w:t>分值</w:t>
            </w:r>
          </w:p>
        </w:tc>
      </w:tr>
      <w:tr>
        <w:tblPrEx>
          <w:tblLayout w:type="fixed"/>
          <w:tblCellMar>
            <w:top w:w="0" w:type="dxa"/>
            <w:left w:w="108" w:type="dxa"/>
            <w:bottom w:w="0" w:type="dxa"/>
            <w:right w:w="108" w:type="dxa"/>
          </w:tblCellMar>
        </w:tblPrEx>
        <w:trPr>
          <w:trHeight w:val="419"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rPr>
                <w:rFonts w:ascii="Calibri" w:hAnsi="Calibri" w:eastAsia="Calibri" w:cs="Calibri"/>
                <w:sz w:val="18"/>
              </w:rPr>
            </w:pPr>
            <w:r>
              <w:rPr>
                <w:rFonts w:ascii="宋体" w:hAnsi="宋体" w:cs="宋体"/>
                <w:sz w:val="18"/>
              </w:rPr>
              <w:t>执</w:t>
            </w:r>
          </w:p>
          <w:p>
            <w:pPr>
              <w:spacing w:line="0" w:lineRule="atLeast"/>
              <w:rPr>
                <w:rFonts w:ascii="Calibri" w:hAnsi="Calibri" w:eastAsia="Calibri" w:cs="Calibri"/>
                <w:sz w:val="18"/>
              </w:rPr>
            </w:pPr>
            <w:r>
              <w:rPr>
                <w:rFonts w:ascii="宋体" w:hAnsi="宋体" w:cs="宋体"/>
                <w:sz w:val="18"/>
              </w:rPr>
              <w:t>勤</w:t>
            </w:r>
          </w:p>
          <w:p>
            <w:pPr>
              <w:spacing w:line="0" w:lineRule="atLeast"/>
              <w:rPr>
                <w:rFonts w:ascii="Calibri" w:hAnsi="Calibri" w:eastAsia="Calibri" w:cs="Calibri"/>
                <w:sz w:val="18"/>
              </w:rPr>
            </w:pPr>
            <w:r>
              <w:rPr>
                <w:rFonts w:ascii="宋体" w:hAnsi="宋体" w:cs="宋体"/>
                <w:sz w:val="18"/>
              </w:rPr>
              <w:t>动</w:t>
            </w:r>
          </w:p>
          <w:p>
            <w:pPr>
              <w:spacing w:line="0" w:lineRule="atLeast"/>
              <w:rPr>
                <w:rFonts w:ascii="Calibri" w:hAnsi="Calibri" w:eastAsia="Calibri" w:cs="Calibri"/>
                <w:sz w:val="18"/>
              </w:rPr>
            </w:pPr>
            <w:r>
              <w:rPr>
                <w:rFonts w:ascii="宋体" w:hAnsi="宋体" w:cs="宋体"/>
                <w:sz w:val="18"/>
              </w:rPr>
              <w:t>作</w:t>
            </w:r>
          </w:p>
          <w:p>
            <w:pPr>
              <w:spacing w:line="0" w:lineRule="atLeast"/>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center"/>
              <w:rPr>
                <w:rFonts w:ascii="Calibri" w:hAnsi="Calibri" w:eastAsia="Calibri" w:cs="Calibri"/>
                <w:sz w:val="18"/>
              </w:rPr>
            </w:pPr>
            <w:r>
              <w:rPr>
                <w:rFonts w:ascii="宋体" w:hAnsi="宋体" w:cs="宋体"/>
                <w:sz w:val="18"/>
              </w:rPr>
              <w:t>勤务训练</w:t>
            </w:r>
          </w:p>
          <w:p>
            <w:pPr>
              <w:spacing w:line="0" w:lineRule="atLeast"/>
              <w:ind w:firstLine="90"/>
              <w:jc w:val="center"/>
            </w:pP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20"/>
                <w:szCs w:val="21"/>
              </w:rPr>
            </w:pPr>
            <w:r>
              <w:rPr>
                <w:rFonts w:ascii="Calibri" w:hAnsi="Calibri" w:eastAsia="Calibri" w:cs="Calibri"/>
                <w:sz w:val="20"/>
                <w:szCs w:val="21"/>
              </w:rPr>
              <w:t>1</w:t>
            </w:r>
            <w:r>
              <w:rPr>
                <w:rFonts w:ascii="宋体" w:hAnsi="宋体" w:cs="宋体"/>
                <w:sz w:val="20"/>
                <w:szCs w:val="21"/>
              </w:rPr>
              <w:t>、</w:t>
            </w:r>
            <w:r>
              <w:rPr>
                <w:rFonts w:hint="eastAsia" w:ascii="宋体" w:hAnsi="宋体" w:cs="宋体"/>
                <w:sz w:val="20"/>
                <w:szCs w:val="21"/>
              </w:rPr>
              <w:t>不按时交接班，发现有迟到、早退，</w:t>
            </w:r>
            <w:r>
              <w:rPr>
                <w:rFonts w:ascii="宋体" w:hAnsi="宋体" w:cs="宋体"/>
                <w:sz w:val="20"/>
                <w:szCs w:val="21"/>
              </w:rPr>
              <w:t>一次扣</w:t>
            </w:r>
            <w:r>
              <w:rPr>
                <w:rFonts w:hint="eastAsia" w:ascii="Calibri" w:hAnsi="Calibri" w:cs="Calibri"/>
                <w:sz w:val="20"/>
                <w:szCs w:val="21"/>
              </w:rPr>
              <w:t>5</w:t>
            </w:r>
            <w:r>
              <w:rPr>
                <w:rFonts w:ascii="宋体" w:hAnsi="宋体" w:cs="宋体"/>
                <w:sz w:val="20"/>
                <w:szCs w:val="21"/>
              </w:rPr>
              <w:t>分。</w:t>
            </w:r>
          </w:p>
          <w:p>
            <w:pPr>
              <w:spacing w:line="0" w:lineRule="atLeast"/>
              <w:jc w:val="left"/>
              <w:rPr>
                <w:sz w:val="22"/>
                <w:szCs w:val="21"/>
              </w:rPr>
            </w:pPr>
            <w:r>
              <w:rPr>
                <w:rFonts w:ascii="Calibri" w:hAnsi="Calibri" w:eastAsia="Calibri" w:cs="Calibri"/>
                <w:sz w:val="20"/>
                <w:szCs w:val="21"/>
              </w:rPr>
              <w:t>2</w:t>
            </w:r>
            <w:r>
              <w:rPr>
                <w:rFonts w:ascii="宋体" w:hAnsi="宋体" w:cs="宋体"/>
                <w:sz w:val="20"/>
                <w:szCs w:val="21"/>
              </w:rPr>
              <w:t>、</w:t>
            </w:r>
            <w:r>
              <w:rPr>
                <w:rFonts w:hint="eastAsia" w:ascii="宋体" w:hAnsi="宋体" w:cs="宋体"/>
                <w:sz w:val="20"/>
                <w:szCs w:val="21"/>
              </w:rPr>
              <w:t>在岗执勤</w:t>
            </w:r>
            <w:r>
              <w:rPr>
                <w:rFonts w:ascii="宋体" w:hAnsi="宋体" w:cs="宋体"/>
                <w:sz w:val="20"/>
                <w:szCs w:val="21"/>
              </w:rPr>
              <w:t>动作不规范一处扣</w:t>
            </w:r>
            <w:r>
              <w:rPr>
                <w:rFonts w:ascii="Calibri" w:hAnsi="Calibri" w:eastAsia="Calibri" w:cs="Calibri"/>
                <w:sz w:val="20"/>
                <w:szCs w:val="21"/>
              </w:rPr>
              <w:t>0.5</w:t>
            </w:r>
            <w:r>
              <w:rPr>
                <w:rFonts w:ascii="宋体" w:hAnsi="宋体" w:cs="宋体"/>
                <w:sz w:val="20"/>
                <w:szCs w:val="21"/>
              </w:rPr>
              <w:t>分。</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jc w:val="center"/>
              <w:rPr>
                <w:rFonts w:ascii="Calibri" w:hAnsi="Calibri" w:eastAsia="Calibri" w:cs="Calibri"/>
                <w:sz w:val="18"/>
              </w:rPr>
            </w:pPr>
            <w:r>
              <w:rPr>
                <w:rFonts w:ascii="宋体" w:hAnsi="宋体" w:cs="宋体"/>
                <w:sz w:val="18"/>
              </w:rPr>
              <w:t>情况处置</w:t>
            </w:r>
          </w:p>
          <w:p>
            <w:pPr>
              <w:spacing w:line="0" w:lineRule="atLeast"/>
              <w:ind w:left="180" w:hanging="180"/>
              <w:jc w:val="center"/>
            </w:pP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20"/>
                <w:szCs w:val="21"/>
              </w:rPr>
            </w:pPr>
            <w:r>
              <w:rPr>
                <w:rFonts w:ascii="Calibri" w:hAnsi="Calibri" w:eastAsia="Calibri" w:cs="Calibri"/>
                <w:sz w:val="20"/>
                <w:szCs w:val="21"/>
              </w:rPr>
              <w:t>1、检查车辆动作不规范（敬礼、手势）的，一次扣0.5分。</w:t>
            </w:r>
          </w:p>
          <w:p>
            <w:pPr>
              <w:spacing w:line="0" w:lineRule="atLeast"/>
              <w:jc w:val="left"/>
              <w:rPr>
                <w:rFonts w:ascii="Calibri" w:hAnsi="Calibri" w:eastAsia="Calibri" w:cs="Calibri"/>
                <w:sz w:val="20"/>
                <w:szCs w:val="21"/>
              </w:rPr>
            </w:pPr>
            <w:r>
              <w:rPr>
                <w:rFonts w:ascii="Calibri" w:hAnsi="Calibri" w:eastAsia="Calibri" w:cs="Calibri"/>
                <w:sz w:val="20"/>
                <w:szCs w:val="21"/>
              </w:rPr>
              <w:t>2、没有使用文明用语的（请、您好、对不起、谢谢、再见），一次扣</w:t>
            </w:r>
            <w:r>
              <w:rPr>
                <w:rFonts w:hint="eastAsia" w:ascii="Calibri" w:hAnsi="Calibri" w:eastAsia="Calibri" w:cs="Calibri"/>
                <w:sz w:val="20"/>
                <w:szCs w:val="21"/>
              </w:rPr>
              <w:t>1</w:t>
            </w:r>
            <w:r>
              <w:rPr>
                <w:rFonts w:ascii="Calibri" w:hAnsi="Calibri" w:eastAsia="Calibri" w:cs="Calibri"/>
                <w:sz w:val="20"/>
                <w:szCs w:val="21"/>
              </w:rPr>
              <w:t>分。</w:t>
            </w:r>
          </w:p>
          <w:p>
            <w:pPr>
              <w:spacing w:line="0" w:lineRule="atLeast"/>
              <w:jc w:val="left"/>
              <w:rPr>
                <w:rFonts w:ascii="Calibri" w:hAnsi="Calibri" w:eastAsia="Calibri" w:cs="Calibri"/>
                <w:sz w:val="20"/>
                <w:szCs w:val="21"/>
              </w:rPr>
            </w:pPr>
            <w:r>
              <w:rPr>
                <w:rFonts w:ascii="Calibri" w:hAnsi="Calibri" w:eastAsia="Calibri" w:cs="Calibri"/>
                <w:sz w:val="20"/>
                <w:szCs w:val="21"/>
              </w:rPr>
              <w:t>3、对来访者表情冷漠、语气严厉，态度不友好，</w:t>
            </w:r>
            <w:r>
              <w:rPr>
                <w:rFonts w:hint="eastAsia" w:ascii="Calibri" w:hAnsi="Calibri" w:eastAsia="Calibri" w:cs="Calibri"/>
                <w:sz w:val="20"/>
                <w:szCs w:val="21"/>
              </w:rPr>
              <w:t>吵架等，</w:t>
            </w:r>
            <w:r>
              <w:rPr>
                <w:rFonts w:ascii="Calibri" w:hAnsi="Calibri" w:eastAsia="Calibri" w:cs="Calibri"/>
                <w:sz w:val="20"/>
                <w:szCs w:val="21"/>
              </w:rPr>
              <w:t>一次扣</w:t>
            </w:r>
            <w:r>
              <w:rPr>
                <w:rFonts w:hint="eastAsia" w:ascii="Calibri" w:hAnsi="Calibri" w:eastAsia="Calibri" w:cs="Calibri"/>
                <w:sz w:val="20"/>
                <w:szCs w:val="21"/>
              </w:rPr>
              <w:t>5</w:t>
            </w:r>
            <w:r>
              <w:rPr>
                <w:rFonts w:ascii="Calibri" w:hAnsi="Calibri" w:eastAsia="Calibri" w:cs="Calibri"/>
                <w:sz w:val="20"/>
                <w:szCs w:val="21"/>
              </w:rPr>
              <w:t>分。</w:t>
            </w:r>
          </w:p>
          <w:p>
            <w:pPr>
              <w:spacing w:line="0" w:lineRule="atLeast"/>
              <w:jc w:val="left"/>
              <w:rPr>
                <w:rFonts w:ascii="Calibri" w:hAnsi="Calibri" w:eastAsia="Calibri" w:cs="Calibri"/>
                <w:sz w:val="20"/>
                <w:szCs w:val="21"/>
              </w:rPr>
            </w:pPr>
            <w:r>
              <w:rPr>
                <w:rFonts w:ascii="Calibri" w:hAnsi="Calibri" w:eastAsia="Calibri" w:cs="Calibri"/>
                <w:sz w:val="20"/>
                <w:szCs w:val="21"/>
              </w:rPr>
              <w:t>4、遇到老弱、病、残、孕行动不便者，不积极主动给予帮助的。一次扣1分。</w:t>
            </w:r>
          </w:p>
          <w:p>
            <w:pPr>
              <w:spacing w:line="0" w:lineRule="atLeast"/>
              <w:jc w:val="left"/>
              <w:rPr>
                <w:rFonts w:ascii="Calibri" w:hAnsi="Calibri" w:eastAsia="Calibri" w:cs="Calibri"/>
                <w:sz w:val="20"/>
                <w:szCs w:val="21"/>
              </w:rPr>
            </w:pPr>
            <w:r>
              <w:rPr>
                <w:rFonts w:ascii="Calibri" w:hAnsi="Calibri" w:eastAsia="Calibri" w:cs="Calibri"/>
                <w:sz w:val="20"/>
                <w:szCs w:val="21"/>
              </w:rPr>
              <w:t>5、遇到询问着不耐心、不和蔼、不给于解答的，一次扣1分。</w:t>
            </w:r>
          </w:p>
          <w:p>
            <w:pPr>
              <w:spacing w:line="0" w:lineRule="atLeast"/>
              <w:jc w:val="left"/>
              <w:rPr>
                <w:rFonts w:ascii="Calibri" w:hAnsi="Calibri" w:eastAsia="Calibri" w:cs="Calibri"/>
                <w:sz w:val="20"/>
                <w:szCs w:val="21"/>
              </w:rPr>
            </w:pPr>
            <w:r>
              <w:rPr>
                <w:rFonts w:ascii="Calibri" w:hAnsi="Calibri" w:eastAsia="Calibri" w:cs="Calibri"/>
                <w:sz w:val="20"/>
                <w:szCs w:val="21"/>
              </w:rPr>
              <w:t>6、未认真查验来访人员携带物品，一次扣1分，造成不良影响被投诉此项不得分。</w:t>
            </w:r>
          </w:p>
          <w:p>
            <w:pPr>
              <w:spacing w:line="0" w:lineRule="atLeast"/>
              <w:jc w:val="left"/>
              <w:rPr>
                <w:rFonts w:ascii="Calibri" w:hAnsi="Calibri" w:eastAsia="Calibri" w:cs="Calibri"/>
                <w:sz w:val="20"/>
                <w:szCs w:val="21"/>
              </w:rPr>
            </w:pPr>
            <w:r>
              <w:rPr>
                <w:rFonts w:ascii="Calibri" w:hAnsi="Calibri" w:eastAsia="Calibri" w:cs="Calibri"/>
                <w:sz w:val="20"/>
                <w:szCs w:val="21"/>
              </w:rPr>
              <w:t>7、对来访人员登记不认真的一次扣1分。</w:t>
            </w:r>
          </w:p>
          <w:p>
            <w:pPr>
              <w:spacing w:line="0" w:lineRule="atLeast"/>
              <w:jc w:val="left"/>
              <w:rPr>
                <w:rFonts w:ascii="Calibri" w:hAnsi="Calibri" w:eastAsia="Calibri" w:cs="Calibri"/>
                <w:sz w:val="20"/>
                <w:szCs w:val="21"/>
              </w:rPr>
            </w:pPr>
            <w:r>
              <w:rPr>
                <w:rFonts w:ascii="Calibri" w:hAnsi="Calibri" w:eastAsia="Calibri" w:cs="Calibri"/>
                <w:sz w:val="20"/>
                <w:szCs w:val="21"/>
              </w:rPr>
              <w:t>8、对不配合检查或不按要求停车的，言语不文明，一次扣1分。</w:t>
            </w:r>
          </w:p>
          <w:p>
            <w:pPr>
              <w:spacing w:line="0" w:lineRule="atLeast"/>
              <w:jc w:val="left"/>
              <w:rPr>
                <w:rFonts w:ascii="Calibri" w:hAnsi="Calibri" w:eastAsia="Calibri" w:cs="Calibri"/>
                <w:sz w:val="20"/>
                <w:szCs w:val="21"/>
              </w:rPr>
            </w:pPr>
            <w:r>
              <w:rPr>
                <w:rFonts w:ascii="Calibri" w:hAnsi="Calibri" w:eastAsia="Calibri" w:cs="Calibri"/>
                <w:sz w:val="20"/>
                <w:szCs w:val="21"/>
              </w:rPr>
              <w:t>9、在岗发现问题或安全隐患未及时上报或隐瞒的一次扣</w:t>
            </w:r>
            <w:r>
              <w:rPr>
                <w:rFonts w:hint="eastAsia" w:ascii="Calibri" w:hAnsi="Calibri" w:eastAsia="Calibri" w:cs="Calibri"/>
                <w:sz w:val="20"/>
                <w:szCs w:val="21"/>
              </w:rPr>
              <w:t>5</w:t>
            </w:r>
            <w:r>
              <w:rPr>
                <w:rFonts w:ascii="Calibri" w:hAnsi="Calibri" w:eastAsia="Calibri" w:cs="Calibri"/>
                <w:sz w:val="20"/>
                <w:szCs w:val="21"/>
              </w:rPr>
              <w:t>分。</w:t>
            </w:r>
          </w:p>
          <w:p>
            <w:pPr>
              <w:spacing w:line="0" w:lineRule="atLeast"/>
              <w:jc w:val="left"/>
              <w:rPr>
                <w:rFonts w:ascii="Calibri" w:hAnsi="Calibri" w:eastAsia="Calibri" w:cs="Calibri"/>
                <w:sz w:val="20"/>
                <w:szCs w:val="21"/>
              </w:rPr>
            </w:pPr>
            <w:r>
              <w:rPr>
                <w:rFonts w:ascii="Calibri" w:hAnsi="Calibri" w:eastAsia="Calibri" w:cs="Calibri"/>
                <w:sz w:val="20"/>
                <w:szCs w:val="21"/>
              </w:rPr>
              <w:t>10、巡逻队处突时未按规定时间达到或处突不得当，一次扣5分。</w:t>
            </w:r>
          </w:p>
          <w:p>
            <w:pPr>
              <w:spacing w:line="0" w:lineRule="atLeast"/>
              <w:jc w:val="left"/>
              <w:rPr>
                <w:rFonts w:hint="eastAsia" w:ascii="宋体" w:hAnsi="宋体" w:cs="宋体"/>
                <w:sz w:val="20"/>
                <w:szCs w:val="21"/>
              </w:rPr>
            </w:pPr>
            <w:r>
              <w:rPr>
                <w:rFonts w:hint="eastAsia" w:ascii="Calibri" w:hAnsi="Calibri" w:eastAsia="Calibri" w:cs="Calibri"/>
                <w:sz w:val="20"/>
                <w:szCs w:val="21"/>
              </w:rPr>
              <w:t>11</w:t>
            </w:r>
            <w:r>
              <w:rPr>
                <w:rFonts w:ascii="Calibri" w:hAnsi="Calibri" w:eastAsia="Calibri" w:cs="Calibri"/>
                <w:sz w:val="20"/>
                <w:szCs w:val="21"/>
              </w:rPr>
              <w:t>、</w:t>
            </w:r>
            <w:r>
              <w:rPr>
                <w:rFonts w:hint="eastAsia" w:ascii="Calibri" w:hAnsi="Calibri" w:eastAsia="Calibri" w:cs="Calibri"/>
                <w:sz w:val="20"/>
                <w:szCs w:val="21"/>
              </w:rPr>
              <w:t>在执勤中，发现可以人、物、事视而不见，不管不顾，给医院造成事故的，视情况给予处罚并开除。</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c>
          <w:tcPr>
            <w:tcW w:w="567" w:type="dxa"/>
            <w:vMerge w:val="restart"/>
            <w:tcBorders>
              <w:top w:val="single" w:color="000000" w:sz="4" w:space="0"/>
              <w:left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18"/>
              </w:rPr>
            </w:pPr>
          </w:p>
          <w:p>
            <w:pPr>
              <w:spacing w:line="0" w:lineRule="atLeast"/>
              <w:jc w:val="left"/>
              <w:rPr>
                <w:rFonts w:ascii="Calibri" w:hAnsi="Calibri" w:eastAsia="Calibri" w:cs="Calibri"/>
                <w:sz w:val="18"/>
              </w:rPr>
            </w:pPr>
          </w:p>
          <w:p>
            <w:pPr>
              <w:spacing w:line="0" w:lineRule="atLeast"/>
              <w:jc w:val="left"/>
              <w:rPr>
                <w:rFonts w:ascii="Calibri" w:hAnsi="Calibri" w:eastAsia="Calibri" w:cs="Calibri"/>
                <w:sz w:val="18"/>
              </w:rPr>
            </w:pPr>
          </w:p>
          <w:p>
            <w:pPr>
              <w:spacing w:line="0" w:lineRule="atLeast"/>
            </w:pPr>
            <w:r>
              <w:rPr>
                <w:rFonts w:ascii="宋体" w:hAnsi="宋体" w:cs="宋体"/>
                <w:sz w:val="18"/>
              </w:rPr>
              <w:t>勤务管理</w:t>
            </w:r>
            <w:r>
              <w:rPr>
                <w:rFonts w:ascii="Calibri" w:hAnsi="Calibri" w:eastAsia="Calibri" w:cs="Calibri"/>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18"/>
              </w:rPr>
            </w:pPr>
          </w:p>
          <w:p>
            <w:pPr>
              <w:spacing w:line="0" w:lineRule="atLeast"/>
              <w:jc w:val="left"/>
              <w:rPr>
                <w:rFonts w:ascii="Calibri" w:hAnsi="Calibri" w:eastAsia="Calibri" w:cs="Calibri"/>
                <w:sz w:val="18"/>
              </w:rPr>
            </w:pPr>
          </w:p>
          <w:p>
            <w:pPr>
              <w:spacing w:line="0" w:lineRule="atLeast"/>
              <w:ind w:left="90" w:hanging="90"/>
              <w:jc w:val="center"/>
              <w:rPr>
                <w:rFonts w:ascii="Calibri" w:hAnsi="Calibri" w:eastAsia="Calibri" w:cs="Calibri"/>
                <w:sz w:val="18"/>
              </w:rPr>
            </w:pPr>
            <w:r>
              <w:rPr>
                <w:rFonts w:ascii="宋体" w:hAnsi="宋体" w:cs="宋体"/>
                <w:sz w:val="18"/>
              </w:rPr>
              <w:t>仪容仪表</w:t>
            </w:r>
          </w:p>
          <w:p>
            <w:pPr>
              <w:spacing w:line="0" w:lineRule="atLeast"/>
              <w:ind w:left="90" w:hanging="90"/>
              <w:jc w:val="center"/>
            </w:pP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20"/>
                <w:szCs w:val="21"/>
              </w:rPr>
            </w:pPr>
            <w:r>
              <w:rPr>
                <w:rFonts w:ascii="Calibri" w:hAnsi="Calibri" w:eastAsia="Calibri" w:cs="Calibri"/>
                <w:sz w:val="20"/>
                <w:szCs w:val="21"/>
              </w:rPr>
              <w:t>1、不按规定着装，帽子、上衣、裤子、衬衣、着黑色皮鞋的一处不符合规定，一处扣0.5分。</w:t>
            </w:r>
          </w:p>
          <w:p>
            <w:pPr>
              <w:spacing w:line="0" w:lineRule="atLeast"/>
              <w:jc w:val="left"/>
              <w:rPr>
                <w:rFonts w:ascii="Calibri" w:hAnsi="Calibri" w:eastAsia="Calibri" w:cs="Calibri"/>
                <w:sz w:val="20"/>
                <w:szCs w:val="21"/>
              </w:rPr>
            </w:pPr>
            <w:r>
              <w:rPr>
                <w:rFonts w:ascii="Calibri" w:hAnsi="Calibri" w:eastAsia="Calibri" w:cs="Calibri"/>
                <w:sz w:val="20"/>
                <w:szCs w:val="21"/>
              </w:rPr>
              <w:t>2、衣服、帽子、皮鞋、衬衣等不整洁的，一处扣</w:t>
            </w:r>
            <w:r>
              <w:rPr>
                <w:rFonts w:hint="eastAsia" w:ascii="Calibri" w:hAnsi="Calibri" w:eastAsia="Calibri" w:cs="Calibri"/>
                <w:sz w:val="20"/>
                <w:szCs w:val="21"/>
              </w:rPr>
              <w:t>1</w:t>
            </w:r>
            <w:r>
              <w:rPr>
                <w:rFonts w:ascii="Calibri" w:hAnsi="Calibri" w:eastAsia="Calibri" w:cs="Calibri"/>
                <w:sz w:val="20"/>
                <w:szCs w:val="21"/>
              </w:rPr>
              <w:t>分。</w:t>
            </w:r>
          </w:p>
          <w:p>
            <w:pPr>
              <w:spacing w:line="0" w:lineRule="atLeast"/>
              <w:jc w:val="left"/>
              <w:rPr>
                <w:rFonts w:ascii="Calibri" w:hAnsi="Calibri" w:eastAsia="Calibri" w:cs="Calibri"/>
                <w:sz w:val="20"/>
                <w:szCs w:val="21"/>
              </w:rPr>
            </w:pPr>
            <w:r>
              <w:rPr>
                <w:rFonts w:ascii="Calibri" w:hAnsi="Calibri" w:eastAsia="Calibri" w:cs="Calibri"/>
                <w:sz w:val="20"/>
                <w:szCs w:val="21"/>
              </w:rPr>
              <w:t>3、领带、帽徽、肩章、胸标少一处扣0.5分。</w:t>
            </w:r>
          </w:p>
          <w:p>
            <w:pPr>
              <w:spacing w:line="0" w:lineRule="atLeast"/>
              <w:jc w:val="left"/>
              <w:rPr>
                <w:rFonts w:ascii="Calibri" w:hAnsi="Calibri" w:eastAsia="Calibri" w:cs="Calibri"/>
                <w:sz w:val="20"/>
                <w:szCs w:val="21"/>
              </w:rPr>
            </w:pPr>
            <w:r>
              <w:rPr>
                <w:rFonts w:ascii="Calibri" w:hAnsi="Calibri" w:eastAsia="Calibri" w:cs="Calibri"/>
                <w:sz w:val="20"/>
                <w:szCs w:val="21"/>
              </w:rPr>
              <w:t>4、有三长（长胡须、长指甲、长头发）“三手”（袖手、插手、背手）和面容不整洁现象，一处扣</w:t>
            </w:r>
            <w:r>
              <w:rPr>
                <w:rFonts w:hint="eastAsia" w:ascii="Calibri" w:hAnsi="Calibri" w:eastAsia="Calibri" w:cs="Calibri"/>
                <w:sz w:val="20"/>
                <w:szCs w:val="21"/>
              </w:rPr>
              <w:t>1</w:t>
            </w:r>
            <w:r>
              <w:rPr>
                <w:rFonts w:ascii="Calibri" w:hAnsi="Calibri" w:eastAsia="Calibri" w:cs="Calibri"/>
                <w:sz w:val="20"/>
                <w:szCs w:val="21"/>
              </w:rPr>
              <w:t>分。</w:t>
            </w:r>
          </w:p>
          <w:p>
            <w:pPr>
              <w:spacing w:line="0" w:lineRule="atLeast"/>
              <w:jc w:val="left"/>
              <w:rPr>
                <w:rFonts w:ascii="Calibri" w:hAnsi="Calibri" w:eastAsia="Calibri" w:cs="Calibri"/>
                <w:sz w:val="20"/>
                <w:szCs w:val="21"/>
              </w:rPr>
            </w:pPr>
            <w:r>
              <w:rPr>
                <w:rFonts w:ascii="Calibri" w:hAnsi="Calibri" w:eastAsia="Calibri" w:cs="Calibri"/>
                <w:sz w:val="20"/>
                <w:szCs w:val="21"/>
              </w:rPr>
              <w:t>5、</w:t>
            </w:r>
            <w:r>
              <w:rPr>
                <w:rFonts w:hint="eastAsia" w:ascii="Calibri" w:hAnsi="Calibri" w:eastAsia="Calibri" w:cs="Calibri"/>
                <w:sz w:val="20"/>
                <w:szCs w:val="21"/>
              </w:rPr>
              <w:t>在岗</w:t>
            </w:r>
            <w:r>
              <w:rPr>
                <w:rFonts w:ascii="Calibri" w:hAnsi="Calibri" w:eastAsia="Calibri" w:cs="Calibri"/>
                <w:sz w:val="20"/>
                <w:szCs w:val="21"/>
              </w:rPr>
              <w:t>形象不佳、敬礼不正规、三姿（坐姿、走姿、站姿）不端的，一处扣</w:t>
            </w:r>
            <w:r>
              <w:rPr>
                <w:rFonts w:hint="eastAsia" w:ascii="Calibri" w:hAnsi="Calibri" w:eastAsia="Calibri" w:cs="Calibri"/>
                <w:sz w:val="20"/>
                <w:szCs w:val="21"/>
              </w:rPr>
              <w:t>2</w:t>
            </w:r>
            <w:r>
              <w:rPr>
                <w:rFonts w:ascii="Calibri" w:hAnsi="Calibri" w:eastAsia="Calibri" w:cs="Calibri"/>
                <w:sz w:val="20"/>
                <w:szCs w:val="21"/>
              </w:rPr>
              <w:t>分。</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rPr>
          <w:trHeight w:val="1" w:hRule="atLeast"/>
        </w:trPr>
        <w:tc>
          <w:tcPr>
            <w:tcW w:w="567" w:type="dxa"/>
            <w:vMerge w:val="continue"/>
            <w:tcBorders>
              <w:left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center"/>
              <w:rPr>
                <w:rFonts w:ascii="Calibri" w:hAnsi="Calibri" w:eastAsia="Calibri" w:cs="Calibri"/>
                <w:sz w:val="18"/>
              </w:rPr>
            </w:pPr>
            <w:r>
              <w:rPr>
                <w:rFonts w:ascii="宋体" w:hAnsi="宋体" w:cs="宋体"/>
                <w:sz w:val="18"/>
              </w:rPr>
              <w:t>物品摆放</w:t>
            </w:r>
          </w:p>
          <w:p>
            <w:pPr>
              <w:spacing w:line="0" w:lineRule="atLeast"/>
              <w:ind w:firstLine="90"/>
              <w:jc w:val="center"/>
            </w:pP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20"/>
                <w:szCs w:val="21"/>
              </w:rPr>
            </w:pPr>
            <w:r>
              <w:rPr>
                <w:rFonts w:ascii="Calibri" w:hAnsi="Calibri" w:eastAsia="Calibri" w:cs="Calibri"/>
                <w:sz w:val="20"/>
                <w:szCs w:val="21"/>
              </w:rPr>
              <w:t>1、执勤岗位摆放物品不整洁，一处扣1分。</w:t>
            </w:r>
          </w:p>
          <w:p>
            <w:pPr>
              <w:spacing w:line="0" w:lineRule="atLeast"/>
              <w:jc w:val="left"/>
              <w:rPr>
                <w:rFonts w:ascii="Calibri" w:hAnsi="Calibri" w:eastAsia="Calibri" w:cs="Calibri"/>
                <w:sz w:val="20"/>
                <w:szCs w:val="21"/>
              </w:rPr>
            </w:pPr>
            <w:r>
              <w:rPr>
                <w:rFonts w:ascii="Calibri" w:hAnsi="Calibri" w:eastAsia="Calibri" w:cs="Calibri"/>
                <w:sz w:val="20"/>
                <w:szCs w:val="21"/>
              </w:rPr>
              <w:t>2、值班室门窗、墙面、地面不整洁，各类物品摆放杂乱，一处扣1分。</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rPr>
          <w:trHeight w:val="1" w:hRule="atLeast"/>
        </w:trPr>
        <w:tc>
          <w:tcPr>
            <w:tcW w:w="567" w:type="dxa"/>
            <w:vMerge w:val="continue"/>
            <w:tcBorders>
              <w:left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jc w:val="center"/>
              <w:rPr>
                <w:rFonts w:ascii="Calibri" w:hAnsi="Calibri" w:eastAsia="Calibri" w:cs="Calibri"/>
                <w:sz w:val="18"/>
              </w:rPr>
            </w:pPr>
            <w:r>
              <w:rPr>
                <w:rFonts w:ascii="宋体" w:hAnsi="宋体" w:cs="宋体"/>
                <w:sz w:val="18"/>
              </w:rPr>
              <w:t>日常秩序</w:t>
            </w:r>
          </w:p>
          <w:p>
            <w:pPr>
              <w:spacing w:line="0" w:lineRule="atLeast"/>
              <w:ind w:firstLine="90"/>
              <w:jc w:val="center"/>
            </w:pP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20"/>
                <w:szCs w:val="21"/>
              </w:rPr>
            </w:pPr>
            <w:r>
              <w:rPr>
                <w:rFonts w:ascii="Calibri" w:hAnsi="Calibri" w:eastAsia="Calibri" w:cs="Calibri"/>
                <w:sz w:val="20"/>
                <w:szCs w:val="21"/>
              </w:rPr>
              <w:t>1、在岗期间有嬉笑、打闹、闲聊、吸烟、玩手机、打游戏、观看电子媒体、吃东西（正常换班吃饭除外）和干一些与值班无关的事情。一次扣5分。</w:t>
            </w:r>
          </w:p>
          <w:p>
            <w:pPr>
              <w:spacing w:line="0" w:lineRule="atLeast"/>
              <w:jc w:val="left"/>
              <w:rPr>
                <w:rFonts w:ascii="Calibri" w:hAnsi="Calibri" w:eastAsia="Calibri" w:cs="Calibri"/>
                <w:sz w:val="20"/>
                <w:szCs w:val="21"/>
              </w:rPr>
            </w:pPr>
            <w:r>
              <w:rPr>
                <w:rFonts w:ascii="Calibri" w:hAnsi="Calibri" w:eastAsia="Calibri" w:cs="Calibri"/>
                <w:sz w:val="20"/>
                <w:szCs w:val="21"/>
              </w:rPr>
              <w:t>2、无故脱岗、离岗。一次扣5分。</w:t>
            </w:r>
          </w:p>
          <w:p>
            <w:pPr>
              <w:spacing w:line="0" w:lineRule="atLeast"/>
              <w:jc w:val="left"/>
              <w:rPr>
                <w:rFonts w:ascii="Calibri" w:hAnsi="Calibri" w:eastAsia="Calibri" w:cs="Calibri"/>
                <w:sz w:val="20"/>
                <w:szCs w:val="21"/>
              </w:rPr>
            </w:pPr>
            <w:r>
              <w:rPr>
                <w:rFonts w:ascii="Calibri" w:hAnsi="Calibri" w:eastAsia="Calibri" w:cs="Calibri"/>
                <w:sz w:val="20"/>
                <w:szCs w:val="21"/>
              </w:rPr>
              <w:t>3、酒后上岗或在岗饮酒、睡岗，</w:t>
            </w:r>
            <w:r>
              <w:rPr>
                <w:rFonts w:hint="eastAsia" w:ascii="Calibri" w:hAnsi="Calibri" w:eastAsia="Calibri" w:cs="Calibri"/>
                <w:sz w:val="20"/>
                <w:szCs w:val="21"/>
              </w:rPr>
              <w:t>一次扣10</w:t>
            </w:r>
            <w:r>
              <w:rPr>
                <w:rFonts w:ascii="Calibri" w:hAnsi="Calibri" w:eastAsia="Calibri" w:cs="Calibri"/>
                <w:sz w:val="20"/>
                <w:szCs w:val="21"/>
              </w:rPr>
              <w:t>分。</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rPr>
          <w:trHeight w:val="1" w:hRule="atLeast"/>
        </w:trPr>
        <w:tc>
          <w:tcPr>
            <w:tcW w:w="567" w:type="dxa"/>
            <w:vMerge w:val="continue"/>
            <w:tcBorders>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rPr>
                <w:rFonts w:hint="eastAsia"/>
              </w:rPr>
            </w:pPr>
            <w:r>
              <w:rPr>
                <w:rFonts w:hint="eastAsia" w:ascii="宋体" w:hAnsi="宋体" w:cs="宋体"/>
                <w:sz w:val="18"/>
              </w:rPr>
              <w:t>配合情况</w:t>
            </w: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hint="eastAsia" w:ascii="Calibri" w:hAnsi="Calibri" w:eastAsia="Calibri" w:cs="Calibri"/>
                <w:sz w:val="20"/>
                <w:szCs w:val="21"/>
              </w:rPr>
            </w:pPr>
            <w:r>
              <w:rPr>
                <w:rFonts w:hint="eastAsia" w:ascii="Calibri" w:hAnsi="Calibri" w:eastAsia="Calibri" w:cs="Calibri"/>
                <w:sz w:val="20"/>
                <w:szCs w:val="21"/>
              </w:rPr>
              <w:t>不能很好的配合甲方完成临时性任务及工作。一次扣5分；</w:t>
            </w:r>
          </w:p>
          <w:p>
            <w:pPr>
              <w:spacing w:line="0" w:lineRule="atLeast"/>
              <w:jc w:val="left"/>
              <w:rPr>
                <w:rFonts w:hint="eastAsia" w:ascii="Calibri" w:hAnsi="Calibri" w:eastAsia="Calibri" w:cs="Calibri"/>
                <w:sz w:val="20"/>
                <w:szCs w:val="21"/>
              </w:rPr>
            </w:pPr>
            <w:r>
              <w:rPr>
                <w:rFonts w:hint="eastAsia" w:ascii="Calibri" w:hAnsi="Calibri" w:eastAsia="Calibri" w:cs="Calibri"/>
                <w:sz w:val="20"/>
                <w:szCs w:val="21"/>
              </w:rPr>
              <w:t>本能按照甲方要求完成需完成的事项及工作。一次扣5分</w:t>
            </w:r>
          </w:p>
          <w:p>
            <w:pPr>
              <w:spacing w:line="0" w:lineRule="atLeast"/>
              <w:jc w:val="left"/>
              <w:rPr>
                <w:rFonts w:hint="eastAsia" w:ascii="Calibri" w:hAnsi="Calibri" w:eastAsia="Calibri" w:cs="Calibri"/>
                <w:sz w:val="20"/>
                <w:szCs w:val="21"/>
              </w:rPr>
            </w:pPr>
            <w:r>
              <w:rPr>
                <w:rFonts w:hint="eastAsia" w:ascii="Calibri" w:hAnsi="Calibri" w:eastAsia="Calibri" w:cs="Calibri"/>
                <w:sz w:val="20"/>
                <w:szCs w:val="21"/>
              </w:rPr>
              <w:t>由于乙方原因未能完成医院交付的临时性任务的；一次扣10分。</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c>
          <w:tcPr>
            <w:tcW w:w="567"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pPr>
            <w:r>
              <w:rPr>
                <w:rFonts w:ascii="宋体" w:hAnsi="宋体" w:cs="宋体"/>
                <w:sz w:val="18"/>
              </w:rPr>
              <w:t>装备管理</w:t>
            </w:r>
            <w:r>
              <w:rPr>
                <w:rFonts w:ascii="Calibri" w:hAnsi="Calibri" w:eastAsia="Calibri" w:cs="Calibri"/>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ind w:left="180" w:hanging="180"/>
              <w:jc w:val="center"/>
              <w:rPr>
                <w:rFonts w:ascii="Calibri" w:hAnsi="Calibri" w:eastAsia="Calibri" w:cs="Calibri"/>
                <w:sz w:val="18"/>
              </w:rPr>
            </w:pPr>
            <w:r>
              <w:rPr>
                <w:rFonts w:ascii="宋体" w:hAnsi="宋体" w:cs="宋体"/>
                <w:sz w:val="18"/>
              </w:rPr>
              <w:t>平时管理</w:t>
            </w:r>
          </w:p>
          <w:p>
            <w:pPr>
              <w:spacing w:line="0" w:lineRule="atLeast"/>
              <w:ind w:left="180" w:hanging="180"/>
              <w:jc w:val="center"/>
            </w:pP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20"/>
                <w:szCs w:val="21"/>
              </w:rPr>
            </w:pPr>
            <w:r>
              <w:rPr>
                <w:rFonts w:ascii="Calibri" w:hAnsi="Calibri" w:eastAsia="Calibri" w:cs="Calibri"/>
                <w:sz w:val="20"/>
                <w:szCs w:val="21"/>
              </w:rPr>
              <w:t>1、人为损坏</w:t>
            </w:r>
            <w:r>
              <w:rPr>
                <w:rFonts w:hint="eastAsia" w:ascii="Calibri" w:hAnsi="Calibri" w:eastAsia="Calibri" w:cs="Calibri"/>
                <w:sz w:val="20"/>
                <w:szCs w:val="21"/>
              </w:rPr>
              <w:t>安检设备、监控设备和对讲机等，发现一次</w:t>
            </w:r>
            <w:r>
              <w:rPr>
                <w:rFonts w:ascii="Calibri" w:hAnsi="Calibri" w:eastAsia="Calibri" w:cs="Calibri"/>
                <w:sz w:val="20"/>
                <w:szCs w:val="21"/>
              </w:rPr>
              <w:t>扣1</w:t>
            </w:r>
            <w:r>
              <w:rPr>
                <w:rFonts w:hint="eastAsia" w:ascii="Calibri" w:hAnsi="Calibri" w:eastAsia="Calibri" w:cs="Calibri"/>
                <w:sz w:val="20"/>
                <w:szCs w:val="21"/>
              </w:rPr>
              <w:t>0</w:t>
            </w:r>
            <w:r>
              <w:rPr>
                <w:rFonts w:ascii="Calibri" w:hAnsi="Calibri" w:eastAsia="Calibri" w:cs="Calibri"/>
                <w:sz w:val="20"/>
                <w:szCs w:val="21"/>
              </w:rPr>
              <w:t>分，发生丢失的</w:t>
            </w:r>
            <w:r>
              <w:rPr>
                <w:rFonts w:hint="eastAsia" w:ascii="Calibri" w:hAnsi="Calibri" w:eastAsia="Calibri" w:cs="Calibri"/>
                <w:sz w:val="20"/>
                <w:szCs w:val="21"/>
              </w:rPr>
              <w:t>原价赔偿并责令安保公司开除</w:t>
            </w:r>
            <w:r>
              <w:rPr>
                <w:rFonts w:ascii="Calibri" w:hAnsi="Calibri" w:eastAsia="Calibri" w:cs="Calibri"/>
                <w:sz w:val="20"/>
                <w:szCs w:val="21"/>
              </w:rPr>
              <w:t>。</w:t>
            </w:r>
          </w:p>
          <w:p>
            <w:pPr>
              <w:spacing w:line="0" w:lineRule="atLeast"/>
              <w:jc w:val="left"/>
              <w:rPr>
                <w:rFonts w:ascii="Calibri" w:hAnsi="Calibri" w:eastAsia="Calibri" w:cs="Calibri"/>
                <w:sz w:val="20"/>
                <w:szCs w:val="21"/>
              </w:rPr>
            </w:pPr>
            <w:r>
              <w:rPr>
                <w:rFonts w:ascii="Calibri" w:hAnsi="Calibri" w:eastAsia="Calibri" w:cs="Calibri"/>
                <w:sz w:val="20"/>
                <w:szCs w:val="21"/>
              </w:rPr>
              <w:t>2、警戒、装具、消防设备、安检设备摆放无序，一处扣1分。</w:t>
            </w:r>
          </w:p>
          <w:p>
            <w:pPr>
              <w:spacing w:line="0" w:lineRule="atLeast"/>
              <w:jc w:val="left"/>
              <w:rPr>
                <w:rFonts w:ascii="Calibri" w:hAnsi="Calibri" w:eastAsia="Calibri" w:cs="Calibri"/>
                <w:sz w:val="20"/>
                <w:szCs w:val="21"/>
              </w:rPr>
            </w:pPr>
            <w:r>
              <w:rPr>
                <w:rFonts w:ascii="Calibri" w:hAnsi="Calibri" w:eastAsia="Calibri" w:cs="Calibri"/>
                <w:sz w:val="20"/>
                <w:szCs w:val="21"/>
              </w:rPr>
              <w:t>3、警械、装备交接无记录，一处扣1分。</w:t>
            </w:r>
          </w:p>
          <w:p>
            <w:pPr>
              <w:spacing w:line="0" w:lineRule="atLeast"/>
              <w:jc w:val="left"/>
              <w:rPr>
                <w:rFonts w:ascii="Calibri" w:hAnsi="Calibri" w:eastAsia="Calibri" w:cs="Calibri"/>
                <w:sz w:val="20"/>
                <w:szCs w:val="21"/>
              </w:rPr>
            </w:pPr>
            <w:r>
              <w:rPr>
                <w:rFonts w:ascii="Calibri" w:hAnsi="Calibri" w:eastAsia="Calibri" w:cs="Calibri"/>
                <w:sz w:val="20"/>
                <w:szCs w:val="21"/>
              </w:rPr>
              <w:t>4、警戒、装具、消防设备、安检设备不清洁，一处扣1分。</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jc w:val="left"/>
              <w:rPr>
                <w:rFonts w:ascii="宋体" w:hAnsi="宋体" w:cs="宋体"/>
                <w:sz w:val="22"/>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ind w:left="180" w:hanging="180"/>
              <w:jc w:val="center"/>
              <w:rPr>
                <w:rFonts w:ascii="Calibri" w:hAnsi="Calibri" w:eastAsia="Calibri" w:cs="Calibri"/>
                <w:sz w:val="18"/>
              </w:rPr>
            </w:pPr>
            <w:r>
              <w:rPr>
                <w:rFonts w:ascii="宋体" w:hAnsi="宋体" w:cs="宋体"/>
                <w:sz w:val="18"/>
              </w:rPr>
              <w:t>使用操作</w:t>
            </w:r>
          </w:p>
          <w:p>
            <w:pPr>
              <w:spacing w:line="0" w:lineRule="atLeast"/>
              <w:ind w:left="180" w:hanging="180"/>
              <w:jc w:val="center"/>
            </w:pP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20"/>
                <w:szCs w:val="21"/>
              </w:rPr>
            </w:pPr>
            <w:r>
              <w:rPr>
                <w:rFonts w:ascii="Calibri" w:hAnsi="Calibri" w:eastAsia="Calibri" w:cs="Calibri"/>
                <w:sz w:val="20"/>
                <w:szCs w:val="21"/>
              </w:rPr>
              <w:t>1、不按规定佩戴相关装具的，一次扣1分。</w:t>
            </w:r>
          </w:p>
          <w:p>
            <w:pPr>
              <w:spacing w:line="0" w:lineRule="atLeast"/>
              <w:jc w:val="left"/>
              <w:rPr>
                <w:rFonts w:ascii="Calibri" w:hAnsi="Calibri" w:eastAsia="Calibri" w:cs="Calibri"/>
                <w:sz w:val="20"/>
                <w:szCs w:val="21"/>
              </w:rPr>
            </w:pPr>
            <w:r>
              <w:rPr>
                <w:rFonts w:ascii="Calibri" w:hAnsi="Calibri" w:eastAsia="Calibri" w:cs="Calibri"/>
                <w:sz w:val="20"/>
                <w:szCs w:val="21"/>
              </w:rPr>
              <w:t>2、不能熟练操作配发的警械装备的，一次扣1分。</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rPr>
          <w:trHeight w:val="329"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pPr>
            <w:r>
              <w:rPr>
                <w:rFonts w:ascii="宋体" w:hAnsi="宋体" w:cs="宋体"/>
                <w:sz w:val="18"/>
              </w:rPr>
              <w:t>登记统计</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ind w:left="180" w:hanging="180"/>
              <w:jc w:val="center"/>
              <w:rPr>
                <w:rFonts w:ascii="Calibri" w:hAnsi="Calibri" w:eastAsia="Calibri" w:cs="Calibri"/>
                <w:sz w:val="18"/>
              </w:rPr>
            </w:pPr>
            <w:r>
              <w:rPr>
                <w:rFonts w:ascii="宋体" w:hAnsi="宋体" w:cs="宋体"/>
                <w:sz w:val="18"/>
              </w:rPr>
              <w:t>各类登记</w:t>
            </w:r>
          </w:p>
          <w:p>
            <w:pPr>
              <w:spacing w:line="0" w:lineRule="atLeast"/>
              <w:ind w:left="180" w:hanging="180"/>
              <w:jc w:val="center"/>
            </w:pP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Calibri" w:hAnsi="Calibri" w:eastAsia="Calibri" w:cs="Calibri"/>
                <w:sz w:val="20"/>
                <w:szCs w:val="21"/>
              </w:rPr>
            </w:pPr>
            <w:r>
              <w:rPr>
                <w:rFonts w:ascii="Calibri" w:hAnsi="Calibri" w:eastAsia="Calibri" w:cs="Calibri"/>
                <w:sz w:val="20"/>
                <w:szCs w:val="21"/>
              </w:rPr>
              <w:t>各类登记填写（如巡逻巡查登记本、交接班记录本、出入人员车辆登记本等）字迹不工整，填写要素不全，不及时，一处0.5分。存在乱写乱画的，一处1分。填写不真实的，一处0.5分。</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rPr>
          <w:trHeight w:val="409"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ind w:left="180" w:hanging="180"/>
              <w:jc w:val="center"/>
              <w:rPr>
                <w:rFonts w:ascii="Calibri" w:hAnsi="Calibri" w:eastAsia="Calibri" w:cs="Calibri"/>
                <w:sz w:val="18"/>
              </w:rPr>
            </w:pPr>
            <w:r>
              <w:rPr>
                <w:rFonts w:ascii="宋体" w:hAnsi="宋体" w:cs="宋体"/>
                <w:sz w:val="18"/>
              </w:rPr>
              <w:t>各类报表</w:t>
            </w:r>
          </w:p>
          <w:p>
            <w:pPr>
              <w:spacing w:line="0" w:lineRule="atLeast"/>
              <w:ind w:left="180" w:hanging="180"/>
              <w:jc w:val="center"/>
            </w:pP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jc w:val="left"/>
              <w:rPr>
                <w:rFonts w:ascii="Calibri" w:hAnsi="Calibri" w:eastAsia="Calibri" w:cs="Calibri"/>
                <w:sz w:val="20"/>
                <w:szCs w:val="21"/>
              </w:rPr>
            </w:pPr>
            <w:r>
              <w:rPr>
                <w:rFonts w:ascii="Calibri" w:hAnsi="Calibri" w:eastAsia="Calibri" w:cs="Calibri"/>
                <w:sz w:val="18"/>
              </w:rPr>
              <w:t>考勤表、</w:t>
            </w:r>
            <w:r>
              <w:rPr>
                <w:rFonts w:ascii="Calibri" w:hAnsi="Calibri" w:eastAsia="Calibri" w:cs="Calibri"/>
                <w:sz w:val="20"/>
                <w:szCs w:val="21"/>
              </w:rPr>
              <w:t>情况处置统计表、值班表未按规定及时上报，一次1分。填写不真实、不准确一次看1分。</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p>
            <w:pPr>
              <w:spacing w:line="0" w:lineRule="atLeast"/>
              <w:jc w:val="left"/>
              <w:rPr>
                <w:rFonts w:ascii="宋体" w:hAnsi="宋体" w:cs="宋体"/>
                <w:sz w:val="22"/>
              </w:rPr>
            </w:pPr>
          </w:p>
          <w:p>
            <w:pPr>
              <w:spacing w:line="0" w:lineRule="atLeast"/>
              <w:jc w:val="left"/>
              <w:rPr>
                <w:rFonts w:ascii="宋体" w:hAnsi="宋体" w:cs="宋体"/>
                <w:sz w:val="22"/>
              </w:rPr>
            </w:pPr>
          </w:p>
          <w:p>
            <w:pPr>
              <w:spacing w:line="0" w:lineRule="atLeast"/>
              <w:jc w:val="left"/>
              <w:rPr>
                <w:rFonts w:ascii="宋体" w:hAnsi="宋体" w:cs="宋体"/>
                <w:sz w:val="22"/>
              </w:rPr>
            </w:pPr>
          </w:p>
          <w:p>
            <w:pPr>
              <w:spacing w:line="0" w:lineRule="atLeast"/>
              <w:jc w:val="left"/>
              <w:rPr>
                <w:rFonts w:ascii="宋体" w:hAnsi="宋体" w:cs="宋体"/>
                <w:sz w:val="22"/>
              </w:rPr>
            </w:pPr>
          </w:p>
          <w:p>
            <w:pPr>
              <w:spacing w:line="0" w:lineRule="atLeast"/>
              <w:jc w:val="left"/>
              <w:rPr>
                <w:rFonts w:hint="eastAsia" w:ascii="宋体" w:hAnsi="宋体" w:cs="宋体"/>
                <w:sz w:val="22"/>
              </w:rPr>
            </w:pPr>
          </w:p>
        </w:tc>
      </w:tr>
      <w:tr>
        <w:tblPrEx>
          <w:tblLayout w:type="fixed"/>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spacing w:line="0" w:lineRule="atLeast"/>
              <w:rPr>
                <w:rFonts w:ascii="Calibri" w:hAnsi="Calibri" w:eastAsia="Calibri" w:cs="Calibri"/>
                <w:sz w:val="18"/>
              </w:rPr>
            </w:pPr>
            <w:r>
              <w:rPr>
                <w:rFonts w:ascii="宋体" w:hAnsi="宋体" w:cs="宋体"/>
                <w:sz w:val="18"/>
              </w:rPr>
              <w:t>奖励</w:t>
            </w:r>
          </w:p>
          <w:p>
            <w:pPr>
              <w:spacing w:line="0" w:lineRule="atLeast"/>
              <w:jc w:val="center"/>
            </w:pPr>
          </w:p>
        </w:tc>
        <w:tc>
          <w:tcPr>
            <w:tcW w:w="992" w:type="dxa"/>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ind w:left="180" w:hanging="180"/>
              <w:jc w:val="center"/>
              <w:rPr>
                <w:rFonts w:ascii="Calibri" w:hAnsi="Calibri" w:eastAsia="Calibri" w:cs="Calibri"/>
                <w:sz w:val="18"/>
              </w:rPr>
            </w:pPr>
            <w:r>
              <w:rPr>
                <w:rFonts w:ascii="宋体" w:hAnsi="宋体" w:cs="宋体"/>
                <w:sz w:val="18"/>
              </w:rPr>
              <w:t>执勤中表</w:t>
            </w:r>
          </w:p>
          <w:p>
            <w:pPr>
              <w:spacing w:line="0" w:lineRule="atLeast"/>
              <w:ind w:left="180" w:hanging="180"/>
              <w:jc w:val="center"/>
              <w:rPr>
                <w:rFonts w:ascii="Calibri" w:hAnsi="Calibri" w:eastAsia="Calibri" w:cs="Calibri"/>
                <w:sz w:val="18"/>
              </w:rPr>
            </w:pPr>
            <w:r>
              <w:rPr>
                <w:rFonts w:ascii="宋体" w:hAnsi="宋体" w:cs="宋体"/>
                <w:sz w:val="18"/>
              </w:rPr>
              <w:t>现突出奖</w:t>
            </w:r>
          </w:p>
          <w:p>
            <w:pPr>
              <w:spacing w:line="0" w:lineRule="atLeast"/>
              <w:ind w:left="180" w:hanging="180"/>
              <w:jc w:val="center"/>
            </w:pPr>
            <w:r>
              <w:rPr>
                <w:rFonts w:ascii="宋体" w:hAnsi="宋体" w:cs="宋体"/>
                <w:sz w:val="18"/>
              </w:rPr>
              <w:t>励</w:t>
            </w:r>
            <w:r>
              <w:rPr>
                <w:rFonts w:ascii="Calibri" w:hAnsi="Calibri" w:eastAsia="Calibri" w:cs="Calibri"/>
                <w:sz w:val="18"/>
              </w:rPr>
              <w:t>5</w:t>
            </w:r>
            <w:r>
              <w:rPr>
                <w:rFonts w:ascii="宋体" w:hAnsi="宋体" w:cs="宋体"/>
                <w:sz w:val="18"/>
              </w:rPr>
              <w:t>分</w:t>
            </w: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hint="eastAsia" w:ascii="Calibri" w:hAnsi="Calibri" w:eastAsia="Calibri" w:cs="Calibri"/>
                <w:sz w:val="20"/>
                <w:szCs w:val="21"/>
              </w:rPr>
            </w:pPr>
            <w:r>
              <w:rPr>
                <w:rFonts w:hint="eastAsia" w:ascii="Calibri" w:hAnsi="Calibri" w:eastAsia="Calibri" w:cs="Calibri"/>
                <w:sz w:val="20"/>
                <w:szCs w:val="21"/>
              </w:rPr>
              <w:t>1</w:t>
            </w:r>
            <w:r>
              <w:rPr>
                <w:rFonts w:hint="eastAsia" w:ascii="Calibri" w:hAnsi="Calibri" w:cs="Calibri"/>
                <w:sz w:val="20"/>
                <w:szCs w:val="21"/>
              </w:rPr>
              <w:t>、</w:t>
            </w:r>
            <w:r>
              <w:rPr>
                <w:rFonts w:hint="eastAsia" w:ascii="Calibri" w:hAnsi="Calibri" w:eastAsia="Calibri" w:cs="Calibri"/>
                <w:sz w:val="20"/>
                <w:szCs w:val="21"/>
              </w:rPr>
              <w:t>在执勤中，发现和制止各种治安案件事迹突出的；</w:t>
            </w:r>
          </w:p>
          <w:p>
            <w:pPr>
              <w:spacing w:line="0" w:lineRule="atLeast"/>
              <w:jc w:val="left"/>
              <w:rPr>
                <w:rFonts w:hint="eastAsia" w:ascii="Calibri" w:hAnsi="Calibri" w:eastAsia="Calibri" w:cs="Calibri"/>
                <w:sz w:val="20"/>
                <w:szCs w:val="21"/>
              </w:rPr>
            </w:pPr>
            <w:r>
              <w:rPr>
                <w:rFonts w:ascii="Calibri" w:hAnsi="Calibri" w:eastAsia="Calibri" w:cs="Calibri"/>
                <w:sz w:val="20"/>
                <w:szCs w:val="21"/>
              </w:rPr>
              <w:t>2、</w:t>
            </w:r>
            <w:r>
              <w:rPr>
                <w:rFonts w:hint="eastAsia" w:ascii="Calibri" w:hAnsi="Calibri" w:eastAsia="Calibri" w:cs="Calibri"/>
                <w:sz w:val="20"/>
                <w:szCs w:val="21"/>
              </w:rPr>
              <w:t>在发生自然灾害、火灾和各类事故时，积极参与抢救，设法排除危险，化险为夷的；</w:t>
            </w:r>
          </w:p>
          <w:p>
            <w:pPr>
              <w:spacing w:line="0" w:lineRule="atLeast"/>
              <w:jc w:val="left"/>
              <w:rPr>
                <w:rFonts w:hint="eastAsia" w:ascii="Calibri" w:hAnsi="Calibri" w:eastAsia="Calibri" w:cs="Calibri"/>
                <w:sz w:val="20"/>
                <w:szCs w:val="21"/>
              </w:rPr>
            </w:pPr>
            <w:r>
              <w:rPr>
                <w:rFonts w:ascii="Calibri" w:hAnsi="Calibri" w:eastAsia="Calibri" w:cs="Calibri"/>
                <w:sz w:val="20"/>
                <w:szCs w:val="21"/>
              </w:rPr>
              <w:t>3</w:t>
            </w:r>
            <w:r>
              <w:rPr>
                <w:rFonts w:hint="eastAsia" w:ascii="Calibri" w:hAnsi="Calibri" w:cs="Calibri"/>
                <w:sz w:val="20"/>
                <w:szCs w:val="21"/>
              </w:rPr>
              <w:t>、</w:t>
            </w:r>
            <w:r>
              <w:rPr>
                <w:rFonts w:hint="eastAsia" w:ascii="Calibri" w:hAnsi="Calibri" w:eastAsia="Calibri" w:cs="Calibri"/>
                <w:sz w:val="20"/>
                <w:szCs w:val="21"/>
              </w:rPr>
              <w:t>为群众做好事，排忧解难，拾金不昧等多次受到表扬的；</w:t>
            </w:r>
          </w:p>
          <w:p>
            <w:pPr>
              <w:spacing w:line="0" w:lineRule="atLeast"/>
              <w:jc w:val="left"/>
              <w:rPr>
                <w:rFonts w:ascii="Calibri" w:hAnsi="Calibri" w:eastAsia="Calibri" w:cs="Calibri"/>
                <w:sz w:val="20"/>
                <w:szCs w:val="21"/>
              </w:rPr>
            </w:pPr>
            <w:r>
              <w:rPr>
                <w:rFonts w:hint="eastAsia" w:ascii="Calibri" w:hAnsi="Calibri" w:eastAsia="Calibri" w:cs="Calibri"/>
                <w:sz w:val="20"/>
                <w:szCs w:val="21"/>
              </w:rPr>
              <w:t>4</w:t>
            </w:r>
            <w:r>
              <w:rPr>
                <w:rFonts w:hint="eastAsia" w:ascii="Calibri" w:hAnsi="Calibri" w:cs="Calibri"/>
                <w:sz w:val="20"/>
                <w:szCs w:val="21"/>
              </w:rPr>
              <w:t>、</w:t>
            </w:r>
            <w:r>
              <w:rPr>
                <w:rFonts w:hint="eastAsia" w:ascii="Calibri" w:hAnsi="Calibri" w:eastAsia="Calibri" w:cs="Calibri"/>
                <w:sz w:val="20"/>
                <w:szCs w:val="21"/>
              </w:rPr>
              <w:t>在执勤中抓获违法犯罪嫌疑人的；</w:t>
            </w:r>
          </w:p>
          <w:p>
            <w:pPr>
              <w:spacing w:line="0" w:lineRule="atLeast"/>
              <w:jc w:val="left"/>
              <w:rPr>
                <w:rFonts w:ascii="Calibri" w:hAnsi="Calibri" w:eastAsia="Calibri" w:cs="Calibri"/>
                <w:sz w:val="20"/>
                <w:szCs w:val="21"/>
              </w:rPr>
            </w:pPr>
            <w:r>
              <w:rPr>
                <w:rFonts w:hint="eastAsia" w:ascii="Calibri" w:hAnsi="Calibri" w:eastAsia="Calibri" w:cs="Calibri"/>
                <w:sz w:val="20"/>
                <w:szCs w:val="21"/>
              </w:rPr>
              <w:t>5</w:t>
            </w:r>
            <w:r>
              <w:rPr>
                <w:rFonts w:hint="eastAsia" w:ascii="Calibri" w:hAnsi="Calibri" w:cs="Calibri"/>
                <w:sz w:val="20"/>
                <w:szCs w:val="21"/>
              </w:rPr>
              <w:t>、</w:t>
            </w:r>
            <w:r>
              <w:rPr>
                <w:rFonts w:hint="eastAsia" w:ascii="Calibri" w:hAnsi="Calibri" w:eastAsia="Calibri" w:cs="Calibri"/>
                <w:sz w:val="20"/>
                <w:szCs w:val="21"/>
              </w:rPr>
              <w:t>在执勤中，查获或堵截无证件物资，为客户单位挽回经济损失数额较大的；</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spacing w:line="0" w:lineRule="atLeast"/>
              <w:rPr>
                <w:rFonts w:hint="eastAsia" w:ascii="宋体" w:hAnsi="宋体" w:cs="宋体"/>
                <w:sz w:val="18"/>
              </w:rPr>
            </w:pPr>
            <w:r>
              <w:rPr>
                <w:rFonts w:hint="eastAsia" w:ascii="宋体" w:hAnsi="宋体" w:cs="宋体"/>
                <w:sz w:val="18"/>
              </w:rPr>
              <w:t>处罚</w:t>
            </w:r>
          </w:p>
        </w:tc>
        <w:tc>
          <w:tcPr>
            <w:tcW w:w="992" w:type="dxa"/>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ind w:left="180" w:hanging="180"/>
              <w:jc w:val="center"/>
              <w:rPr>
                <w:rFonts w:hint="eastAsia" w:ascii="宋体" w:hAnsi="宋体" w:cs="宋体"/>
                <w:sz w:val="18"/>
              </w:rPr>
            </w:pPr>
            <w:r>
              <w:rPr>
                <w:rFonts w:hint="eastAsia" w:ascii="宋体" w:hAnsi="宋体" w:cs="宋体"/>
                <w:sz w:val="18"/>
              </w:rPr>
              <w:t>执勤中出现失误</w:t>
            </w: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numPr>
                <w:ilvl w:val="0"/>
                <w:numId w:val="2"/>
              </w:numPr>
              <w:spacing w:line="0" w:lineRule="atLeast"/>
              <w:jc w:val="left"/>
              <w:rPr>
                <w:rFonts w:hint="eastAsia" w:ascii="Calibri" w:hAnsi="Calibri" w:eastAsia="Calibri" w:cs="Calibri"/>
                <w:sz w:val="20"/>
                <w:szCs w:val="21"/>
              </w:rPr>
            </w:pPr>
            <w:r>
              <w:rPr>
                <w:rFonts w:hint="eastAsia" w:ascii="Calibri" w:hAnsi="Calibri" w:eastAsia="Calibri" w:cs="Calibri"/>
                <w:sz w:val="20"/>
                <w:szCs w:val="21"/>
              </w:rPr>
              <w:t>由于安保队员在执勤中出现失误，造成医院被州、市级通报批评，扣除当月全部服务费；</w:t>
            </w:r>
          </w:p>
          <w:p>
            <w:pPr>
              <w:spacing w:line="0" w:lineRule="atLeast"/>
              <w:jc w:val="left"/>
              <w:rPr>
                <w:rFonts w:hint="eastAsia" w:ascii="Calibri" w:hAnsi="Calibri" w:eastAsia="Calibri" w:cs="Calibri"/>
                <w:sz w:val="20"/>
                <w:szCs w:val="21"/>
              </w:rPr>
            </w:pPr>
            <w:r>
              <w:rPr>
                <w:rFonts w:ascii="Calibri" w:hAnsi="Calibri" w:eastAsia="Calibri" w:cs="Calibri"/>
                <w:sz w:val="20"/>
                <w:szCs w:val="21"/>
              </w:rPr>
              <w:t>2</w:t>
            </w:r>
            <w:r>
              <w:rPr>
                <w:rFonts w:hint="eastAsia" w:ascii="Calibri" w:hAnsi="Calibri" w:eastAsia="Calibri" w:cs="Calibri"/>
                <w:sz w:val="20"/>
                <w:szCs w:val="21"/>
              </w:rPr>
              <w:t>、由于安保队员在执勤中出现严重失误，造成医院被区级以上通报批评，直接与安保公司解聘合同。</w:t>
            </w:r>
          </w:p>
        </w:tc>
        <w:tc>
          <w:tcPr>
            <w:tcW w:w="6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p>
            <w:pPr>
              <w:spacing w:line="0" w:lineRule="atLeast"/>
              <w:jc w:val="left"/>
              <w:rPr>
                <w:rFonts w:ascii="宋体" w:hAnsi="宋体" w:cs="宋体"/>
                <w:sz w:val="22"/>
              </w:rPr>
            </w:pPr>
          </w:p>
        </w:tc>
      </w:tr>
      <w:tr>
        <w:tblPrEx>
          <w:tblLayout w:type="fixed"/>
          <w:tblCellMar>
            <w:top w:w="0" w:type="dxa"/>
            <w:left w:w="108" w:type="dxa"/>
            <w:bottom w:w="0" w:type="dxa"/>
            <w:right w:w="108" w:type="dxa"/>
          </w:tblCellMar>
        </w:tblPrEx>
        <w:tc>
          <w:tcPr>
            <w:tcW w:w="1559"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0" w:lineRule="atLeast"/>
              <w:ind w:firstLine="210"/>
              <w:jc w:val="center"/>
              <w:rPr>
                <w:rFonts w:ascii="宋体" w:hAnsi="宋体" w:cs="宋体"/>
              </w:rPr>
            </w:pPr>
            <w:r>
              <w:rPr>
                <w:rFonts w:ascii="宋体" w:hAnsi="宋体" w:cs="宋体"/>
              </w:rPr>
              <w:t>合计得分</w:t>
            </w:r>
          </w:p>
        </w:tc>
        <w:tc>
          <w:tcPr>
            <w:tcW w:w="83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c>
          <w:tcPr>
            <w:tcW w:w="6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spacing w:line="0" w:lineRule="atLeast"/>
              <w:jc w:val="left"/>
              <w:rPr>
                <w:rFonts w:ascii="宋体" w:hAnsi="宋体" w:cs="宋体"/>
                <w:sz w:val="22"/>
              </w:rPr>
            </w:pPr>
          </w:p>
        </w:tc>
      </w:tr>
    </w:tbl>
    <w:p>
      <w:pPr>
        <w:spacing w:line="0" w:lineRule="atLeast"/>
        <w:jc w:val="left"/>
        <w:rPr>
          <w:rFonts w:ascii="黑体" w:hAnsi="黑体" w:eastAsia="黑体" w:cs="黑体"/>
          <w:bCs/>
          <w:color w:val="000000"/>
          <w:sz w:val="30"/>
          <w:szCs w:val="30"/>
          <w:shd w:val="clear" w:color="auto" w:fill="FFFFFF"/>
        </w:rPr>
      </w:pPr>
    </w:p>
    <w:p>
      <w:pPr>
        <w:numPr>
          <w:ilvl w:val="0"/>
          <w:numId w:val="3"/>
        </w:numPr>
        <w:spacing w:line="0" w:lineRule="atLeast"/>
        <w:jc w:val="left"/>
        <w:rPr>
          <w:rFonts w:hint="eastAsia" w:ascii="Calibri" w:hAnsi="Calibri" w:eastAsia="Calibri" w:cs="Calibri"/>
          <w:sz w:val="20"/>
          <w:szCs w:val="21"/>
        </w:rPr>
      </w:pPr>
      <w:r>
        <w:rPr>
          <w:rFonts w:hint="eastAsia" w:ascii="Calibri" w:hAnsi="Calibri" w:eastAsia="Calibri" w:cs="Calibri"/>
          <w:sz w:val="20"/>
          <w:szCs w:val="21"/>
        </w:rPr>
        <w:t>考核采用百分制，85分以上为合格（</w:t>
      </w:r>
      <w:r>
        <w:rPr>
          <w:rFonts w:hint="eastAsia" w:ascii="宋体" w:hAnsi="宋体" w:cs="Calibri"/>
          <w:sz w:val="20"/>
          <w:szCs w:val="21"/>
        </w:rPr>
        <w:t>85分为</w:t>
      </w:r>
      <w:r>
        <w:rPr>
          <w:rFonts w:hint="eastAsia" w:ascii="Calibri" w:hAnsi="Calibri" w:eastAsia="Calibri" w:cs="Calibri"/>
          <w:sz w:val="20"/>
          <w:szCs w:val="21"/>
        </w:rPr>
        <w:t>及格线），每扣一分按照合同约定服务费用标准扣除费用40元。</w:t>
      </w:r>
    </w:p>
    <w:p>
      <w:pPr>
        <w:numPr>
          <w:ilvl w:val="0"/>
          <w:numId w:val="3"/>
        </w:numPr>
        <w:spacing w:line="0" w:lineRule="atLeast"/>
        <w:jc w:val="left"/>
        <w:rPr>
          <w:rFonts w:hint="eastAsia"/>
        </w:rPr>
      </w:pPr>
      <w:r>
        <w:rPr>
          <w:rFonts w:hint="eastAsia" w:ascii="Calibri" w:hAnsi="Calibri" w:eastAsia="Calibri" w:cs="Calibri"/>
          <w:sz w:val="20"/>
          <w:szCs w:val="21"/>
        </w:rPr>
        <w:t>分值低于85分以下，每扣一分按照扣除分值的双倍扣除，扣除费用按照合同约定服务费标准双倍扣除。</w:t>
      </w:r>
    </w:p>
    <w:p>
      <w:pPr>
        <w:pStyle w:val="13"/>
        <w:ind w:left="0" w:leftChars="0" w:firstLine="0" w:firstLineChars="0"/>
        <w:jc w:val="center"/>
        <w:rPr>
          <w:rFonts w:hint="eastAsia" w:ascii="宋体" w:hAnsi="宋体" w:eastAsia="宋体" w:cs="宋体"/>
          <w:color w:val="auto"/>
          <w:sz w:val="36"/>
          <w:szCs w:val="36"/>
          <w:highlight w:val="none"/>
        </w:rPr>
      </w:pPr>
    </w:p>
    <w:p>
      <w:pPr>
        <w:rPr>
          <w:rFonts w:hint="eastAsia"/>
          <w:color w:val="auto"/>
          <w:highlight w:val="none"/>
        </w:rPr>
      </w:pPr>
    </w:p>
    <w:p>
      <w:pPr>
        <w:pStyle w:val="4"/>
        <w:pageBreakBefore w:val="0"/>
        <w:widowControl w:val="0"/>
        <w:kinsoku/>
        <w:wordWrap/>
        <w:overflowPunct/>
        <w:topLinePunct w:val="0"/>
        <w:autoSpaceDE/>
        <w:autoSpaceDN/>
        <w:bidi w:val="0"/>
        <w:snapToGrid/>
        <w:spacing w:line="360" w:lineRule="auto"/>
        <w:jc w:val="center"/>
        <w:rPr>
          <w:rFonts w:hint="eastAsia" w:ascii="微软雅黑" w:hAnsi="微软雅黑" w:eastAsia="微软雅黑" w:cs="微软雅黑"/>
          <w:b/>
          <w:bCs/>
          <w:sz w:val="48"/>
          <w:szCs w:val="48"/>
        </w:rPr>
      </w:pPr>
    </w:p>
    <w:p>
      <w:pPr>
        <w:bidi w:val="0"/>
        <w:ind w:firstLine="429" w:firstLineChars="0"/>
        <w:jc w:val="left"/>
        <w:rPr>
          <w:rFonts w:hint="eastAsia"/>
          <w:lang w:val="en-US" w:eastAsia="zh-CN"/>
        </w:rPr>
      </w:pPr>
    </w:p>
    <w:p>
      <w:pPr>
        <w:pStyle w:val="5"/>
        <w:pageBreakBefore w:val="0"/>
        <w:widowControl w:val="0"/>
        <w:kinsoku/>
        <w:wordWrap/>
        <w:overflowPunct/>
        <w:topLinePunct w:val="0"/>
        <w:autoSpaceDE/>
        <w:autoSpaceDN/>
        <w:bidi w:val="0"/>
        <w:snapToGrid/>
        <w:spacing w:line="640" w:lineRule="exact"/>
        <w:jc w:val="both"/>
        <w:rPr>
          <w:rFonts w:hint="eastAsia"/>
        </w:rPr>
      </w:pPr>
    </w:p>
    <w:p>
      <w:pPr>
        <w:pStyle w:val="5"/>
        <w:pageBreakBefore w:val="0"/>
        <w:widowControl w:val="0"/>
        <w:kinsoku/>
        <w:wordWrap/>
        <w:overflowPunct/>
        <w:topLinePunct w:val="0"/>
        <w:autoSpaceDE/>
        <w:autoSpaceDN/>
        <w:bidi w:val="0"/>
        <w:snapToGrid/>
        <w:spacing w:line="640" w:lineRule="exact"/>
        <w:ind w:firstLine="1325" w:firstLineChars="300"/>
        <w:jc w:val="both"/>
        <w:rPr>
          <w:rFonts w:hint="eastAsia"/>
        </w:rPr>
      </w:pPr>
      <w:r>
        <w:rPr>
          <w:rFonts w:hint="eastAsia"/>
        </w:rPr>
        <w:t>第五章  评标方法与评标标准</w:t>
      </w:r>
      <w:bookmarkEnd w:id="199"/>
      <w:bookmarkEnd w:id="200"/>
      <w:bookmarkEnd w:id="201"/>
    </w:p>
    <w:p>
      <w:pPr>
        <w:pageBreakBefore w:val="0"/>
        <w:widowControl w:val="0"/>
        <w:kinsoku/>
        <w:wordWrap/>
        <w:overflowPunct/>
        <w:topLinePunct w:val="0"/>
        <w:autoSpaceDE/>
        <w:autoSpaceDN/>
        <w:bidi w:val="0"/>
        <w:snapToGrid/>
        <w:spacing w:line="640" w:lineRule="exact"/>
        <w:rPr>
          <w:rFonts w:hint="eastAsia" w:ascii="Arial" w:hAnsi="Arial" w:eastAsia="宋体" w:cs="Arial"/>
          <w:b/>
          <w:bCs/>
          <w:kern w:val="0"/>
          <w:sz w:val="24"/>
          <w:szCs w:val="24"/>
          <w:lang w:val="en-US" w:eastAsia="zh-CN" w:bidi="ar-SA"/>
        </w:rPr>
      </w:pPr>
      <w:r>
        <w:rPr>
          <w:rFonts w:hint="eastAsia" w:ascii="Arial" w:hAnsi="Arial" w:eastAsia="宋体" w:cs="Arial"/>
          <w:b/>
          <w:bCs/>
          <w:kern w:val="0"/>
          <w:sz w:val="24"/>
          <w:szCs w:val="24"/>
          <w:lang w:val="en-US" w:eastAsia="zh-CN" w:bidi="ar-SA"/>
        </w:rPr>
        <w:t>评标办法和评标标准</w:t>
      </w:r>
    </w:p>
    <w:p>
      <w:pPr>
        <w:pStyle w:val="21"/>
        <w:keepNext w:val="0"/>
        <w:keepLines w:val="0"/>
        <w:pageBreakBefore w:val="0"/>
        <w:widowControl w:val="0"/>
        <w:kinsoku/>
        <w:wordWrap/>
        <w:overflowPunct/>
        <w:topLinePunct w:val="0"/>
        <w:autoSpaceDE/>
        <w:autoSpaceDN/>
        <w:bidi w:val="0"/>
        <w:adjustRightInd w:val="0"/>
        <w:snapToGrid/>
        <w:spacing w:line="460" w:lineRule="exact"/>
        <w:ind w:firstLine="424" w:firstLineChars="177"/>
        <w:textAlignment w:val="baseline"/>
        <w:rPr>
          <w:rFonts w:hint="eastAsia" w:cs="Arial"/>
        </w:rPr>
      </w:pPr>
      <w:r>
        <w:rPr>
          <w:rFonts w:hint="eastAsia" w:cs="Arial"/>
        </w:rPr>
        <w:t>本项目</w:t>
      </w:r>
      <w:r>
        <w:rPr>
          <w:rFonts w:cs="Arial"/>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cs="Arial"/>
        </w:rPr>
        <w:t>。本项目选取1名中标候选人。</w:t>
      </w:r>
    </w:p>
    <w:p>
      <w:pPr>
        <w:pStyle w:val="21"/>
        <w:ind w:firstLine="441" w:firstLineChars="183"/>
        <w:rPr>
          <w:rFonts w:ascii="宋体" w:hAnsi="宋体"/>
          <w:b/>
          <w:kern w:val="2"/>
          <w:highlight w:val="yellow"/>
        </w:rPr>
      </w:pPr>
      <w:r>
        <w:rPr>
          <w:rFonts w:hint="eastAsia" w:ascii="宋体" w:hAnsi="宋体"/>
          <w:b/>
          <w:kern w:val="2"/>
          <w:lang w:val="en-US" w:eastAsia="zh-CN"/>
        </w:rPr>
        <w:t>一、</w:t>
      </w:r>
      <w:r>
        <w:rPr>
          <w:rFonts w:hint="eastAsia" w:ascii="宋体" w:hAnsi="宋体"/>
          <w:b/>
          <w:kern w:val="2"/>
        </w:rPr>
        <w:t>政府采购政策功能落实</w:t>
      </w:r>
    </w:p>
    <w:p>
      <w:pPr>
        <w:pStyle w:val="21"/>
        <w:spacing w:line="0" w:lineRule="atLeast"/>
        <w:ind w:firstLine="480" w:firstLineChars="200"/>
        <w:rPr>
          <w:rFonts w:hint="eastAsia" w:ascii="宋体" w:hAnsi="宋体"/>
          <w:b/>
          <w:kern w:val="2"/>
        </w:rPr>
      </w:pPr>
      <w:r>
        <w:rPr>
          <w:rFonts w:hint="eastAsia"/>
        </w:rPr>
        <w:t>本项目专门面向中小企业（填写“中小”或“小微”）企业采购。即：提供的</w:t>
      </w:r>
      <w:r>
        <w:rPr>
          <w:rFonts w:hint="eastAsia"/>
          <w:lang w:val="en-US" w:eastAsia="zh-CN"/>
        </w:rPr>
        <w:t>服务</w:t>
      </w:r>
      <w:r>
        <w:rPr>
          <w:rFonts w:hint="eastAsia"/>
        </w:rPr>
        <w:t>全部由符合政策要求的中小/小微企业</w:t>
      </w:r>
      <w:r>
        <w:rPr>
          <w:rFonts w:hint="eastAsia"/>
          <w:lang w:val="en-US" w:eastAsia="zh-CN"/>
        </w:rPr>
        <w:t>承接</w:t>
      </w:r>
      <w:r>
        <w:rPr>
          <w:rFonts w:hint="eastAsia"/>
        </w:rPr>
        <w:t>。</w:t>
      </w:r>
    </w:p>
    <w:p>
      <w:pPr>
        <w:numPr>
          <w:ilvl w:val="0"/>
          <w:numId w:val="0"/>
        </w:numPr>
        <w:autoSpaceDE w:val="0"/>
        <w:spacing w:line="560" w:lineRule="exact"/>
        <w:jc w:val="left"/>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二、评分标准</w:t>
      </w:r>
    </w:p>
    <w:p>
      <w:pPr>
        <w:pStyle w:val="13"/>
        <w:ind w:left="0" w:lef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评分表</w:t>
      </w:r>
    </w:p>
    <w:p>
      <w:pPr>
        <w:jc w:val="center"/>
        <w:rPr>
          <w:rFonts w:hint="eastAsia" w:ascii="宋体" w:hAnsi="宋体" w:eastAsia="宋体" w:cs="宋体"/>
          <w:color w:val="auto"/>
          <w:highlight w:val="none"/>
        </w:rPr>
      </w:pPr>
    </w:p>
    <w:tbl>
      <w:tblPr>
        <w:tblStyle w:val="17"/>
        <w:tblW w:w="1025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1"/>
        <w:gridCol w:w="491"/>
        <w:gridCol w:w="973"/>
        <w:gridCol w:w="690"/>
        <w:gridCol w:w="5460"/>
        <w:gridCol w:w="588"/>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6" w:hRule="atLeast"/>
          <w:jc w:val="center"/>
        </w:trPr>
        <w:tc>
          <w:tcPr>
            <w:tcW w:w="491" w:type="dxa"/>
            <w:noWrap w:val="0"/>
            <w:vAlign w:val="top"/>
          </w:tcPr>
          <w:p>
            <w:pPr>
              <w:pStyle w:val="28"/>
              <w:spacing w:before="0" w:after="0" w:line="240" w:lineRule="auto"/>
              <w:ind w:firstLine="0"/>
              <w:jc w:val="center"/>
              <w:rPr>
                <w:rFonts w:ascii="宋体"/>
                <w:b/>
                <w:bCs/>
                <w:sz w:val="18"/>
                <w:szCs w:val="18"/>
              </w:rPr>
            </w:pPr>
            <w:r>
              <w:rPr>
                <w:rFonts w:hint="eastAsia" w:ascii="宋体" w:hAnsi="宋体" w:cs="宋体"/>
                <w:b/>
                <w:bCs/>
                <w:sz w:val="18"/>
                <w:szCs w:val="18"/>
              </w:rPr>
              <w:t>序号</w:t>
            </w:r>
          </w:p>
        </w:tc>
        <w:tc>
          <w:tcPr>
            <w:tcW w:w="1464" w:type="dxa"/>
            <w:gridSpan w:val="2"/>
            <w:noWrap w:val="0"/>
            <w:vAlign w:val="center"/>
          </w:tcPr>
          <w:p>
            <w:pPr>
              <w:pStyle w:val="28"/>
              <w:spacing w:before="0" w:after="0" w:line="240" w:lineRule="auto"/>
              <w:ind w:firstLine="0"/>
              <w:jc w:val="center"/>
              <w:rPr>
                <w:rFonts w:ascii="宋体"/>
                <w:b/>
                <w:bCs/>
                <w:sz w:val="18"/>
                <w:szCs w:val="18"/>
              </w:rPr>
            </w:pPr>
            <w:r>
              <w:rPr>
                <w:rFonts w:hint="eastAsia" w:ascii="宋体" w:hAnsi="宋体" w:cs="宋体"/>
                <w:b/>
                <w:bCs/>
                <w:sz w:val="18"/>
                <w:szCs w:val="18"/>
              </w:rPr>
              <w:t>评审项目</w:t>
            </w:r>
          </w:p>
        </w:tc>
        <w:tc>
          <w:tcPr>
            <w:tcW w:w="690" w:type="dxa"/>
            <w:noWrap w:val="0"/>
            <w:vAlign w:val="center"/>
          </w:tcPr>
          <w:p>
            <w:pPr>
              <w:pStyle w:val="28"/>
              <w:spacing w:before="0" w:after="0" w:line="240" w:lineRule="auto"/>
              <w:ind w:firstLine="0"/>
              <w:jc w:val="center"/>
              <w:rPr>
                <w:rFonts w:ascii="宋体"/>
                <w:b/>
                <w:bCs/>
                <w:sz w:val="18"/>
                <w:szCs w:val="18"/>
              </w:rPr>
            </w:pPr>
            <w:r>
              <w:rPr>
                <w:rFonts w:hint="eastAsia" w:ascii="宋体" w:hAnsi="宋体" w:cs="宋体"/>
                <w:b/>
                <w:bCs/>
                <w:sz w:val="18"/>
                <w:szCs w:val="18"/>
              </w:rPr>
              <w:t>分值</w:t>
            </w:r>
          </w:p>
        </w:tc>
        <w:tc>
          <w:tcPr>
            <w:tcW w:w="5460" w:type="dxa"/>
            <w:noWrap w:val="0"/>
            <w:vAlign w:val="center"/>
          </w:tcPr>
          <w:p>
            <w:pPr>
              <w:pStyle w:val="28"/>
              <w:spacing w:before="0" w:after="0" w:line="240" w:lineRule="auto"/>
              <w:ind w:firstLine="0"/>
              <w:jc w:val="center"/>
              <w:rPr>
                <w:rFonts w:ascii="宋体"/>
                <w:b/>
                <w:bCs/>
                <w:sz w:val="18"/>
                <w:szCs w:val="18"/>
              </w:rPr>
            </w:pPr>
            <w:r>
              <w:rPr>
                <w:rFonts w:hint="eastAsia" w:ascii="宋体" w:hAnsi="宋体" w:cs="宋体"/>
                <w:b/>
                <w:bCs/>
                <w:sz w:val="18"/>
                <w:szCs w:val="18"/>
              </w:rPr>
              <w:t>评分标准（</w:t>
            </w:r>
            <w:r>
              <w:rPr>
                <w:rFonts w:hint="eastAsia" w:ascii="宋体" w:hAnsi="宋体" w:cs="宋体"/>
                <w:sz w:val="18"/>
                <w:szCs w:val="18"/>
              </w:rPr>
              <w:t>须作出评估具体依据和理由）</w:t>
            </w:r>
          </w:p>
        </w:tc>
        <w:tc>
          <w:tcPr>
            <w:tcW w:w="588" w:type="dxa"/>
            <w:noWrap w:val="0"/>
            <w:vAlign w:val="center"/>
          </w:tcPr>
          <w:p>
            <w:pPr>
              <w:pStyle w:val="28"/>
              <w:spacing w:before="0" w:after="0" w:line="240" w:lineRule="auto"/>
              <w:ind w:firstLine="0"/>
              <w:rPr>
                <w:rFonts w:ascii="宋体"/>
                <w:b/>
                <w:bCs/>
                <w:sz w:val="18"/>
                <w:szCs w:val="18"/>
              </w:rPr>
            </w:pPr>
            <w:r>
              <w:rPr>
                <w:rFonts w:hint="eastAsia" w:ascii="宋体" w:hAnsi="宋体" w:cs="宋体"/>
                <w:b/>
                <w:bCs/>
                <w:sz w:val="18"/>
                <w:szCs w:val="18"/>
              </w:rPr>
              <w:t>得分</w:t>
            </w:r>
          </w:p>
        </w:tc>
        <w:tc>
          <w:tcPr>
            <w:tcW w:w="1566" w:type="dxa"/>
            <w:noWrap w:val="0"/>
            <w:vAlign w:val="center"/>
          </w:tcPr>
          <w:p>
            <w:r>
              <w:rPr>
                <w:rFonts w:hint="eastAsia"/>
              </w:rPr>
              <w:t>具体评估（价）的依据及理由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59" w:hRule="atLeast"/>
          <w:jc w:val="center"/>
        </w:trPr>
        <w:tc>
          <w:tcPr>
            <w:tcW w:w="491" w:type="dxa"/>
            <w:noWrap w:val="0"/>
            <w:vAlign w:val="center"/>
          </w:tcPr>
          <w:p>
            <w:pPr>
              <w:pStyle w:val="28"/>
              <w:spacing w:before="0" w:after="0" w:line="0" w:lineRule="atLeast"/>
              <w:ind w:firstLine="0"/>
              <w:jc w:val="center"/>
              <w:rPr>
                <w:rFonts w:ascii="宋体" w:hAnsi="宋体" w:cs="宋体"/>
                <w:b/>
                <w:bCs/>
                <w:sz w:val="18"/>
                <w:szCs w:val="18"/>
              </w:rPr>
            </w:pPr>
            <w:r>
              <w:rPr>
                <w:rFonts w:ascii="宋体" w:hAnsi="宋体" w:cs="宋体"/>
                <w:b/>
                <w:bCs/>
                <w:sz w:val="18"/>
                <w:szCs w:val="18"/>
              </w:rPr>
              <w:t>1</w:t>
            </w:r>
            <w:r>
              <w:rPr>
                <w:rFonts w:hint="eastAsia" w:ascii="宋体" w:hAnsi="宋体" w:cs="宋体"/>
                <w:b/>
                <w:bCs/>
                <w:sz w:val="18"/>
                <w:szCs w:val="18"/>
              </w:rPr>
              <w:t>.</w:t>
            </w:r>
          </w:p>
        </w:tc>
        <w:tc>
          <w:tcPr>
            <w:tcW w:w="1464" w:type="dxa"/>
            <w:gridSpan w:val="2"/>
            <w:noWrap w:val="0"/>
            <w:vAlign w:val="center"/>
          </w:tcPr>
          <w:p>
            <w:pPr>
              <w:pStyle w:val="28"/>
              <w:spacing w:before="0" w:after="0" w:line="0" w:lineRule="atLeast"/>
              <w:ind w:firstLine="0"/>
              <w:jc w:val="center"/>
              <w:rPr>
                <w:rFonts w:ascii="宋体" w:hAnsi="宋体" w:cs="宋体"/>
                <w:b/>
                <w:bCs/>
                <w:sz w:val="18"/>
                <w:szCs w:val="18"/>
              </w:rPr>
            </w:pPr>
            <w:r>
              <w:rPr>
                <w:rFonts w:hint="eastAsia" w:ascii="宋体" w:hAnsi="宋体" w:cs="宋体"/>
                <w:b/>
                <w:bCs/>
                <w:sz w:val="18"/>
                <w:szCs w:val="18"/>
              </w:rPr>
              <w:t>报价得分</w:t>
            </w:r>
          </w:p>
          <w:p>
            <w:pPr>
              <w:pStyle w:val="28"/>
              <w:spacing w:before="0" w:after="0" w:line="0" w:lineRule="atLeast"/>
              <w:ind w:firstLine="0"/>
              <w:jc w:val="center"/>
              <w:rPr>
                <w:rFonts w:ascii="宋体" w:hAnsi="宋体" w:cs="宋体"/>
                <w:b/>
                <w:bCs/>
                <w:sz w:val="18"/>
                <w:szCs w:val="18"/>
              </w:rPr>
            </w:pPr>
            <w:r>
              <w:rPr>
                <w:rFonts w:hint="eastAsia" w:ascii="宋体" w:hAnsi="宋体" w:cs="宋体"/>
                <w:b/>
                <w:bCs/>
                <w:sz w:val="18"/>
                <w:szCs w:val="18"/>
              </w:rPr>
              <w:t>30分</w:t>
            </w:r>
          </w:p>
        </w:tc>
        <w:tc>
          <w:tcPr>
            <w:tcW w:w="690" w:type="dxa"/>
            <w:noWrap w:val="0"/>
            <w:vAlign w:val="center"/>
          </w:tcPr>
          <w:p>
            <w:pPr>
              <w:pStyle w:val="28"/>
              <w:spacing w:before="0" w:after="0" w:line="0" w:lineRule="atLeast"/>
              <w:ind w:firstLine="0"/>
              <w:jc w:val="center"/>
              <w:rPr>
                <w:rFonts w:ascii="宋体" w:cs="宋体"/>
                <w:b/>
                <w:bCs/>
                <w:sz w:val="18"/>
                <w:szCs w:val="18"/>
              </w:rPr>
            </w:pPr>
            <w:r>
              <w:rPr>
                <w:rFonts w:hint="eastAsia" w:ascii="宋体" w:cs="宋体"/>
                <w:b/>
                <w:bCs/>
                <w:sz w:val="18"/>
                <w:szCs w:val="18"/>
              </w:rPr>
              <w:t>30分</w:t>
            </w:r>
          </w:p>
        </w:tc>
        <w:tc>
          <w:tcPr>
            <w:tcW w:w="5460" w:type="dxa"/>
            <w:noWrap w:val="0"/>
            <w:vAlign w:val="center"/>
          </w:tcPr>
          <w:p>
            <w:pPr>
              <w:pStyle w:val="28"/>
              <w:spacing w:before="0" w:after="0" w:line="0" w:lineRule="atLeast"/>
              <w:ind w:firstLine="0"/>
              <w:rPr>
                <w:rFonts w:ascii="宋体"/>
                <w:sz w:val="18"/>
                <w:szCs w:val="18"/>
              </w:rPr>
            </w:pPr>
            <w:r>
              <w:rPr>
                <w:rFonts w:hint="eastAsia" w:ascii="宋体" w:hAnsi="宋体" w:cs="宋体"/>
                <w:sz w:val="18"/>
                <w:szCs w:val="18"/>
              </w:rPr>
              <w:t>投标报价得分采用低价优先法计算，即满足招标文件要求且报价最低的投标人报价为评标基准价，其报价得分为满分</w:t>
            </w:r>
            <w:r>
              <w:rPr>
                <w:rFonts w:hint="eastAsia" w:ascii="宋体" w:hAnsi="宋体" w:cs="宋体"/>
                <w:sz w:val="18"/>
                <w:szCs w:val="18"/>
                <w:lang w:val="en-US" w:eastAsia="zh-CN"/>
              </w:rPr>
              <w:t>3</w:t>
            </w:r>
            <w:r>
              <w:rPr>
                <w:rFonts w:hint="eastAsia" w:ascii="宋体" w:hAnsi="宋体" w:cs="宋体"/>
                <w:sz w:val="18"/>
                <w:szCs w:val="18"/>
              </w:rPr>
              <w:t>0分，其他投标人的报价得分统一按照以下公式计算：投标报价得分=（评标基准价／投标报价）×权重×100，计算结果保留两位小数。</w:t>
            </w:r>
          </w:p>
        </w:tc>
        <w:tc>
          <w:tcPr>
            <w:tcW w:w="588" w:type="dxa"/>
            <w:noWrap w:val="0"/>
            <w:vAlign w:val="center"/>
          </w:tcPr>
          <w:p>
            <w:pPr>
              <w:pStyle w:val="28"/>
              <w:spacing w:before="0" w:after="0" w:line="0" w:lineRule="atLeast"/>
              <w:ind w:firstLine="0"/>
              <w:rPr>
                <w:rFonts w:ascii="宋体"/>
                <w:b/>
                <w:bCs/>
                <w:sz w:val="18"/>
                <w:szCs w:val="18"/>
              </w:rPr>
            </w:pPr>
          </w:p>
        </w:tc>
        <w:tc>
          <w:tcPr>
            <w:tcW w:w="1566" w:type="dxa"/>
            <w:noWrap w:val="0"/>
            <w:vAlign w:val="center"/>
          </w:tcPr>
          <w:p>
            <w:pPr>
              <w:pStyle w:val="28"/>
              <w:spacing w:before="0" w:after="0" w:line="0" w:lineRule="atLeast"/>
              <w:ind w:firstLine="0"/>
              <w:rPr>
                <w:rFonts w:ascii="宋体"/>
                <w:b/>
                <w:bCs/>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23" w:hRule="atLeast"/>
          <w:jc w:val="center"/>
        </w:trPr>
        <w:tc>
          <w:tcPr>
            <w:tcW w:w="491" w:type="dxa"/>
            <w:vMerge w:val="restart"/>
            <w:shd w:val="clear" w:color="auto" w:fill="auto"/>
            <w:noWrap w:val="0"/>
            <w:vAlign w:val="center"/>
          </w:tcPr>
          <w:p>
            <w:pPr>
              <w:pStyle w:val="28"/>
              <w:spacing w:before="0" w:after="0" w:line="0" w:lineRule="atLeast"/>
              <w:ind w:firstLine="0"/>
              <w:jc w:val="center"/>
              <w:rPr>
                <w:rFonts w:ascii="宋体" w:hAnsi="宋体" w:cs="宋体"/>
                <w:b/>
                <w:bCs/>
                <w:sz w:val="18"/>
                <w:szCs w:val="18"/>
              </w:rPr>
            </w:pPr>
            <w:r>
              <w:rPr>
                <w:rFonts w:ascii="宋体" w:hAnsi="宋体" w:cs="宋体"/>
                <w:b/>
                <w:bCs/>
                <w:sz w:val="18"/>
                <w:szCs w:val="18"/>
              </w:rPr>
              <w:t>2</w:t>
            </w:r>
            <w:r>
              <w:rPr>
                <w:rFonts w:hint="eastAsia" w:ascii="宋体" w:hAnsi="宋体" w:cs="宋体"/>
                <w:b/>
                <w:bCs/>
                <w:sz w:val="18"/>
                <w:szCs w:val="18"/>
              </w:rPr>
              <w:t>.</w:t>
            </w:r>
          </w:p>
        </w:tc>
        <w:tc>
          <w:tcPr>
            <w:tcW w:w="49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cs="宋体"/>
                <w:b/>
                <w:bCs/>
                <w:sz w:val="18"/>
                <w:szCs w:val="18"/>
              </w:rPr>
            </w:pPr>
            <w:r>
              <w:rPr>
                <w:rFonts w:hint="eastAsia" w:ascii="宋体" w:hAnsi="宋体" w:cs="宋体"/>
                <w:b/>
                <w:bCs/>
                <w:sz w:val="18"/>
                <w:szCs w:val="18"/>
              </w:rPr>
              <w:t>商务部分28分</w:t>
            </w:r>
          </w:p>
        </w:tc>
        <w:tc>
          <w:tcPr>
            <w:tcW w:w="9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cs="宋体"/>
                <w:b/>
                <w:bCs/>
                <w:sz w:val="18"/>
                <w:szCs w:val="18"/>
              </w:rPr>
            </w:pPr>
            <w:r>
              <w:rPr>
                <w:rFonts w:hint="eastAsia" w:ascii="宋体" w:hAnsi="宋体" w:cs="宋体"/>
                <w:b/>
                <w:bCs/>
                <w:sz w:val="18"/>
                <w:szCs w:val="18"/>
              </w:rPr>
              <w:t>服务评价</w:t>
            </w:r>
          </w:p>
        </w:tc>
        <w:tc>
          <w:tcPr>
            <w:tcW w:w="690" w:type="dxa"/>
            <w:noWrap w:val="0"/>
            <w:vAlign w:val="center"/>
          </w:tcPr>
          <w:p>
            <w:pPr>
              <w:pStyle w:val="28"/>
              <w:spacing w:before="0" w:after="0" w:line="0" w:lineRule="atLeast"/>
              <w:ind w:firstLine="0"/>
              <w:jc w:val="center"/>
              <w:rPr>
                <w:rFonts w:ascii="宋体" w:cs="宋体"/>
                <w:b/>
                <w:bCs/>
                <w:sz w:val="18"/>
                <w:szCs w:val="18"/>
              </w:rPr>
            </w:pPr>
            <w:r>
              <w:rPr>
                <w:rFonts w:hint="eastAsia" w:ascii="宋体" w:cs="宋体"/>
                <w:b/>
                <w:bCs/>
                <w:sz w:val="18"/>
                <w:szCs w:val="18"/>
              </w:rPr>
              <w:t>类似项目业绩</w:t>
            </w:r>
          </w:p>
          <w:p>
            <w:pPr>
              <w:pStyle w:val="28"/>
              <w:spacing w:before="0" w:after="0" w:line="0" w:lineRule="atLeast"/>
              <w:ind w:firstLine="0"/>
              <w:jc w:val="center"/>
              <w:rPr>
                <w:rFonts w:ascii="宋体" w:cs="宋体"/>
                <w:b/>
                <w:bCs/>
                <w:sz w:val="18"/>
                <w:szCs w:val="18"/>
              </w:rPr>
            </w:pPr>
            <w:r>
              <w:rPr>
                <w:rFonts w:hint="eastAsia" w:ascii="宋体" w:cs="宋体"/>
                <w:b/>
                <w:bCs/>
                <w:sz w:val="18"/>
                <w:szCs w:val="18"/>
              </w:rPr>
              <w:t>6 分</w:t>
            </w:r>
          </w:p>
        </w:tc>
        <w:tc>
          <w:tcPr>
            <w:tcW w:w="5460" w:type="dxa"/>
            <w:noWrap w:val="0"/>
            <w:vAlign w:val="center"/>
          </w:tcPr>
          <w:p>
            <w:pPr>
              <w:pStyle w:val="28"/>
              <w:spacing w:before="0" w:after="0" w:line="0" w:lineRule="atLeast"/>
              <w:ind w:firstLine="0"/>
              <w:rPr>
                <w:rFonts w:hint="eastAsia" w:ascii="宋体" w:hAnsi="宋体" w:cs="宋体"/>
                <w:sz w:val="18"/>
                <w:szCs w:val="18"/>
              </w:rPr>
            </w:pPr>
            <w:r>
              <w:rPr>
                <w:rFonts w:hint="eastAsia" w:ascii="宋体" w:hAnsi="宋体" w:cs="宋体"/>
                <w:sz w:val="18"/>
                <w:szCs w:val="18"/>
              </w:rPr>
              <w:t>提供近三年（2020年至今）类似业绩（业绩涵盖安保服务及停车收费服务）2个，提供中标（成交）通知书或合同原件，或复印件加盖公章。每提供一项得3分，不提供不得分，最高得6分。</w:t>
            </w:r>
          </w:p>
        </w:tc>
        <w:tc>
          <w:tcPr>
            <w:tcW w:w="588" w:type="dxa"/>
            <w:noWrap w:val="0"/>
            <w:vAlign w:val="center"/>
          </w:tcPr>
          <w:p>
            <w:pPr>
              <w:pStyle w:val="28"/>
              <w:spacing w:before="0" w:after="0" w:line="0" w:lineRule="atLeast"/>
              <w:ind w:firstLine="0"/>
              <w:rPr>
                <w:rFonts w:ascii="宋体"/>
                <w:b/>
                <w:bCs/>
                <w:sz w:val="18"/>
                <w:szCs w:val="18"/>
              </w:rPr>
            </w:pPr>
          </w:p>
        </w:tc>
        <w:tc>
          <w:tcPr>
            <w:tcW w:w="1566" w:type="dxa"/>
            <w:noWrap w:val="0"/>
            <w:vAlign w:val="center"/>
          </w:tcPr>
          <w:p>
            <w:pPr>
              <w:pStyle w:val="28"/>
              <w:spacing w:before="0" w:after="0" w:line="0" w:lineRule="atLeast"/>
              <w:ind w:firstLine="0"/>
              <w:rPr>
                <w:rFonts w:ascii="宋体"/>
                <w:b/>
                <w:bCs/>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383" w:hRule="atLeast"/>
          <w:jc w:val="center"/>
        </w:trPr>
        <w:tc>
          <w:tcPr>
            <w:tcW w:w="491" w:type="dxa"/>
            <w:vMerge w:val="continue"/>
            <w:shd w:val="clear" w:color="auto" w:fill="auto"/>
            <w:noWrap w:val="0"/>
            <w:vAlign w:val="center"/>
          </w:tcPr>
          <w:p>
            <w:pPr>
              <w:pStyle w:val="28"/>
              <w:spacing w:before="0" w:after="0" w:line="0" w:lineRule="atLeast"/>
              <w:ind w:firstLine="0"/>
              <w:jc w:val="center"/>
              <w:rPr>
                <w:rFonts w:ascii="宋体" w:hAnsi="宋体" w:cs="宋体"/>
                <w:b/>
                <w:bCs/>
                <w:sz w:val="18"/>
                <w:szCs w:val="18"/>
              </w:rPr>
            </w:pPr>
          </w:p>
        </w:tc>
        <w:tc>
          <w:tcPr>
            <w:tcW w:w="491"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cs="宋体"/>
                <w:b/>
                <w:bCs/>
                <w:sz w:val="18"/>
                <w:szCs w:val="18"/>
              </w:rPr>
            </w:pPr>
          </w:p>
        </w:tc>
        <w:tc>
          <w:tcPr>
            <w:tcW w:w="9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cs="宋体"/>
                <w:b/>
                <w:bCs/>
                <w:sz w:val="18"/>
                <w:szCs w:val="18"/>
              </w:rPr>
            </w:pPr>
            <w:r>
              <w:rPr>
                <w:rFonts w:hint="eastAsia" w:ascii="宋体" w:hAnsi="宋体" w:cs="宋体"/>
                <w:b/>
                <w:bCs/>
                <w:sz w:val="18"/>
                <w:szCs w:val="18"/>
              </w:rPr>
              <w:t>人员配置</w:t>
            </w:r>
          </w:p>
          <w:p>
            <w:pPr>
              <w:rPr>
                <w:rFonts w:hint="eastAsia" w:ascii="宋体" w:hAnsi="宋体" w:cs="宋体"/>
                <w:b/>
                <w:bCs/>
                <w:sz w:val="18"/>
                <w:szCs w:val="18"/>
              </w:rPr>
            </w:pPr>
            <w:r>
              <w:rPr>
                <w:rFonts w:hint="eastAsia" w:ascii="宋体" w:hAnsi="宋体" w:cs="宋体"/>
                <w:b/>
                <w:bCs/>
                <w:sz w:val="18"/>
                <w:szCs w:val="18"/>
              </w:rPr>
              <w:t>情况</w:t>
            </w:r>
          </w:p>
        </w:tc>
        <w:tc>
          <w:tcPr>
            <w:tcW w:w="690" w:type="dxa"/>
            <w:tcBorders>
              <w:bottom w:val="single" w:color="auto" w:sz="4" w:space="0"/>
            </w:tcBorders>
            <w:noWrap w:val="0"/>
            <w:vAlign w:val="center"/>
          </w:tcPr>
          <w:p>
            <w:pPr>
              <w:pStyle w:val="28"/>
              <w:spacing w:before="0" w:after="0" w:line="0" w:lineRule="atLeast"/>
              <w:ind w:firstLine="0"/>
              <w:jc w:val="center"/>
              <w:rPr>
                <w:rFonts w:ascii="宋体" w:cs="宋体"/>
                <w:b/>
                <w:bCs/>
                <w:sz w:val="18"/>
                <w:szCs w:val="18"/>
              </w:rPr>
            </w:pPr>
            <w:r>
              <w:rPr>
                <w:rFonts w:hint="eastAsia" w:ascii="宋体" w:cs="宋体"/>
                <w:b/>
                <w:bCs/>
                <w:sz w:val="18"/>
                <w:szCs w:val="18"/>
              </w:rPr>
              <w:t>人员配比22分</w:t>
            </w:r>
          </w:p>
        </w:tc>
        <w:tc>
          <w:tcPr>
            <w:tcW w:w="5460" w:type="dxa"/>
            <w:noWrap w:val="0"/>
            <w:vAlign w:val="top"/>
          </w:tcPr>
          <w:p>
            <w:pPr>
              <w:spacing w:line="0" w:lineRule="atLeast"/>
              <w:rPr>
                <w:rFonts w:hint="eastAsia" w:ascii="宋体" w:hAnsi="宋体" w:eastAsia="宋体" w:cs="宋体"/>
                <w:sz w:val="18"/>
                <w:szCs w:val="18"/>
                <w:highlight w:val="none"/>
              </w:rPr>
            </w:pPr>
            <w:r>
              <w:rPr>
                <w:rFonts w:hint="eastAsia" w:ascii="宋体" w:hAnsi="宋体" w:cs="宋体"/>
                <w:sz w:val="18"/>
                <w:szCs w:val="18"/>
                <w:highlight w:val="none"/>
              </w:rPr>
              <w:t>1.保安员中男性占30人及以上得</w:t>
            </w:r>
            <w:r>
              <w:rPr>
                <w:rFonts w:hint="eastAsia" w:ascii="宋体" w:hAnsi="宋体" w:cs="宋体"/>
                <w:sz w:val="18"/>
                <w:szCs w:val="18"/>
                <w:highlight w:val="none"/>
                <w:lang w:val="en-US" w:eastAsia="zh-CN"/>
              </w:rPr>
              <w:t>5</w:t>
            </w:r>
            <w:r>
              <w:rPr>
                <w:rFonts w:hint="eastAsia" w:ascii="宋体" w:hAnsi="宋体" w:cs="宋体"/>
                <w:sz w:val="18"/>
                <w:szCs w:val="18"/>
                <w:highlight w:val="none"/>
              </w:rPr>
              <w:t>分，每低于1人扣1分，扣完为止。</w:t>
            </w:r>
          </w:p>
          <w:p>
            <w:pPr>
              <w:pStyle w:val="28"/>
              <w:numPr>
                <w:ilvl w:val="0"/>
                <w:numId w:val="0"/>
              </w:numPr>
              <w:spacing w:before="0" w:after="0" w:line="0" w:lineRule="atLeast"/>
              <w:rPr>
                <w:rFonts w:hint="eastAsia" w:ascii="宋体"/>
                <w:sz w:val="18"/>
                <w:szCs w:val="18"/>
                <w:lang w:val="en-US" w:eastAsia="zh-CN"/>
              </w:rPr>
            </w:pPr>
            <w:r>
              <w:rPr>
                <w:rFonts w:hint="eastAsia" w:ascii="宋体" w:hAnsi="宋体" w:eastAsia="宋体" w:cs="宋体"/>
                <w:sz w:val="18"/>
                <w:szCs w:val="18"/>
                <w:highlight w:val="none"/>
              </w:rPr>
              <w:t>2.</w:t>
            </w:r>
            <w:r>
              <w:rPr>
                <w:rFonts w:hint="eastAsia" w:ascii="宋体"/>
                <w:sz w:val="18"/>
                <w:szCs w:val="18"/>
                <w:lang w:val="en-US" w:eastAsia="zh-CN"/>
              </w:rPr>
              <w:t>所有安保人员，男性年龄小于等于45周岁，女性年龄小于等于40周岁的，得满分8分，每有1人超过上述年龄的，扣1分，扣完为止。</w:t>
            </w:r>
          </w:p>
          <w:p>
            <w:pPr>
              <w:spacing w:line="0" w:lineRule="atLeas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kern w:val="2"/>
                <w:sz w:val="18"/>
                <w:szCs w:val="18"/>
                <w:lang w:val="en-US" w:eastAsia="zh-CN" w:bidi="ar-SA"/>
              </w:rPr>
              <w:t>3.</w:t>
            </w:r>
            <w:r>
              <w:rPr>
                <w:rFonts w:hint="eastAsia" w:ascii="宋体" w:hAnsi="宋体" w:eastAsia="宋体" w:cs="宋体"/>
                <w:color w:val="auto"/>
                <w:kern w:val="2"/>
                <w:sz w:val="18"/>
                <w:szCs w:val="18"/>
                <w:highlight w:val="none"/>
                <w:lang w:val="en-US" w:eastAsia="zh-CN" w:bidi="ar-SA"/>
              </w:rPr>
              <w:t>退伍军、警优先，每有一名得0.5分，最高得3分，</w:t>
            </w:r>
            <w:r>
              <w:rPr>
                <w:rFonts w:hint="eastAsia" w:ascii="宋体" w:hAnsi="宋体" w:eastAsia="宋体" w:cs="宋体"/>
                <w:color w:val="auto"/>
                <w:sz w:val="18"/>
                <w:szCs w:val="18"/>
                <w:highlight w:val="none"/>
                <w:lang w:val="en-US" w:eastAsia="zh-CN"/>
              </w:rPr>
              <w:t>中标后签订合同时，须提供与投标文件一致的原件</w:t>
            </w:r>
            <w:r>
              <w:rPr>
                <w:rFonts w:hint="eastAsia" w:ascii="宋体" w:hAnsi="宋体" w:eastAsia="宋体" w:cs="宋体"/>
                <w:color w:val="auto"/>
                <w:sz w:val="18"/>
                <w:szCs w:val="18"/>
                <w:highlight w:val="none"/>
              </w:rPr>
              <w:t>。</w:t>
            </w:r>
          </w:p>
          <w:p>
            <w:pPr>
              <w:spacing w:line="0" w:lineRule="atLeast"/>
              <w:rPr>
                <w:rFonts w:hint="eastAsia" w:ascii="宋体" w:hAnsi="宋体" w:cs="宋体"/>
                <w:sz w:val="18"/>
                <w:szCs w:val="18"/>
                <w:highlight w:val="none"/>
              </w:rPr>
            </w:pPr>
            <w:r>
              <w:rPr>
                <w:rFonts w:hint="eastAsia" w:ascii="宋体" w:hAnsi="宋体" w:eastAsia="宋体" w:cs="宋体"/>
                <w:color w:val="auto"/>
                <w:kern w:val="2"/>
                <w:sz w:val="18"/>
                <w:szCs w:val="18"/>
                <w:highlight w:val="none"/>
                <w:lang w:val="en-US" w:eastAsia="zh-CN" w:bidi="ar-SA"/>
              </w:rPr>
              <w:t>4.</w:t>
            </w:r>
            <w:r>
              <w:rPr>
                <w:rFonts w:hint="eastAsia" w:ascii="宋体"/>
                <w:color w:val="auto"/>
                <w:sz w:val="18"/>
                <w:szCs w:val="18"/>
                <w:highlight w:val="none"/>
                <w:lang w:val="en-US" w:eastAsia="zh-CN"/>
              </w:rPr>
              <w:t>监</w:t>
            </w:r>
            <w:r>
              <w:rPr>
                <w:rFonts w:hint="eastAsia" w:ascii="宋体" w:hAnsi="Times New Roman" w:eastAsia="宋体" w:cs="Times New Roman"/>
                <w:color w:val="auto"/>
                <w:sz w:val="18"/>
                <w:szCs w:val="18"/>
                <w:highlight w:val="none"/>
                <w:lang w:val="en-US" w:eastAsia="zh-CN"/>
              </w:rPr>
              <w:t>控室人员须提供中级及以上的国家级的《</w:t>
            </w:r>
            <w:r>
              <w:rPr>
                <w:rFonts w:hint="eastAsia" w:ascii="宋体" w:hAnsi="Times New Roman" w:eastAsia="宋体" w:cs="Times New Roman"/>
                <w:sz w:val="18"/>
                <w:szCs w:val="18"/>
                <w:lang w:val="en-US" w:eastAsia="zh-CN"/>
              </w:rPr>
              <w:t>建（构）筑物消防员证》或《消防设施操作员证》复印件加盖投标人公章，每提供1人得1分，满分6分，不提供不得分。</w:t>
            </w:r>
            <w:r>
              <w:rPr>
                <w:rFonts w:hint="eastAsia" w:ascii="宋体" w:hAnsi="宋体" w:eastAsia="宋体" w:cs="宋体"/>
                <w:sz w:val="18"/>
                <w:szCs w:val="18"/>
                <w:highlight w:val="none"/>
                <w:lang w:val="en-US" w:eastAsia="zh-CN"/>
              </w:rPr>
              <w:t>中标后签订合同时，须提供与投标文件一致的原件</w:t>
            </w:r>
            <w:r>
              <w:rPr>
                <w:rFonts w:hint="eastAsia" w:ascii="宋体" w:hAnsi="宋体" w:eastAsia="宋体" w:cs="宋体"/>
                <w:sz w:val="18"/>
                <w:szCs w:val="18"/>
                <w:highlight w:val="none"/>
              </w:rPr>
              <w:t>。</w:t>
            </w:r>
          </w:p>
        </w:tc>
        <w:tc>
          <w:tcPr>
            <w:tcW w:w="588" w:type="dxa"/>
            <w:noWrap w:val="0"/>
            <w:vAlign w:val="top"/>
          </w:tcPr>
          <w:p>
            <w:pPr>
              <w:pStyle w:val="28"/>
              <w:spacing w:before="0" w:after="0" w:line="0" w:lineRule="atLeast"/>
              <w:ind w:firstLine="0"/>
              <w:rPr>
                <w:rFonts w:ascii="宋体"/>
                <w:sz w:val="18"/>
                <w:szCs w:val="18"/>
              </w:rPr>
            </w:pPr>
          </w:p>
        </w:tc>
        <w:tc>
          <w:tcPr>
            <w:tcW w:w="1566" w:type="dxa"/>
            <w:noWrap w:val="0"/>
            <w:vAlign w:val="top"/>
          </w:tcPr>
          <w:p>
            <w:pPr>
              <w:pStyle w:val="28"/>
              <w:numPr>
                <w:ilvl w:val="0"/>
                <w:numId w:val="0"/>
              </w:numPr>
              <w:spacing w:before="0" w:after="0" w:line="0" w:lineRule="atLeast"/>
              <w:rPr>
                <w:rFonts w:hint="default" w:ascii="宋体"/>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13" w:hRule="atLeast"/>
          <w:jc w:val="center"/>
        </w:trPr>
        <w:tc>
          <w:tcPr>
            <w:tcW w:w="491" w:type="dxa"/>
            <w:vMerge w:val="restart"/>
            <w:shd w:val="clear" w:color="auto" w:fill="auto"/>
            <w:noWrap w:val="0"/>
            <w:vAlign w:val="center"/>
          </w:tcPr>
          <w:p>
            <w:pPr>
              <w:pStyle w:val="28"/>
              <w:spacing w:before="0" w:after="0" w:line="0" w:lineRule="atLeast"/>
              <w:ind w:firstLine="0"/>
              <w:jc w:val="center"/>
              <w:rPr>
                <w:rFonts w:ascii="宋体"/>
                <w:b/>
                <w:sz w:val="18"/>
                <w:szCs w:val="18"/>
              </w:rPr>
            </w:pPr>
            <w:r>
              <w:rPr>
                <w:rFonts w:hint="eastAsia" w:ascii="宋体"/>
                <w:b/>
                <w:sz w:val="18"/>
                <w:szCs w:val="18"/>
              </w:rPr>
              <w:t>3</w:t>
            </w:r>
          </w:p>
        </w:tc>
        <w:tc>
          <w:tcPr>
            <w:tcW w:w="491"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cs="宋体"/>
                <w:b/>
                <w:bCs/>
                <w:sz w:val="18"/>
                <w:szCs w:val="18"/>
              </w:rPr>
            </w:pPr>
            <w:r>
              <w:rPr>
                <w:rFonts w:hint="eastAsia" w:ascii="宋体" w:hAnsi="宋体" w:cs="宋体"/>
                <w:b/>
                <w:bCs/>
                <w:sz w:val="18"/>
                <w:szCs w:val="18"/>
              </w:rPr>
              <w:t>技术部分42分</w:t>
            </w:r>
          </w:p>
        </w:tc>
        <w:tc>
          <w:tcPr>
            <w:tcW w:w="97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宋体" w:hAnsi="宋体" w:cs="宋体"/>
                <w:b/>
                <w:bCs/>
                <w:sz w:val="18"/>
                <w:szCs w:val="18"/>
              </w:rPr>
            </w:pPr>
            <w:r>
              <w:rPr>
                <w:rFonts w:hint="eastAsia" w:ascii="宋体" w:hAnsi="宋体" w:cs="宋体"/>
                <w:b/>
                <w:bCs/>
                <w:sz w:val="18"/>
                <w:szCs w:val="18"/>
              </w:rPr>
              <w:t>服务方案（在响应招标文件需求的基础上针对下列各分进行评价，要求体现科学合理性、条理性、可行性、完善性，以下各部分如未见阐述则不得分）</w:t>
            </w:r>
          </w:p>
        </w:tc>
        <w:tc>
          <w:tcPr>
            <w:tcW w:w="690" w:type="dxa"/>
            <w:tcBorders>
              <w:top w:val="single" w:color="auto" w:sz="4" w:space="0"/>
            </w:tcBorders>
            <w:noWrap w:val="0"/>
            <w:vAlign w:val="center"/>
          </w:tcPr>
          <w:p>
            <w:pPr>
              <w:pStyle w:val="28"/>
              <w:spacing w:before="0" w:after="0" w:line="0" w:lineRule="atLeast"/>
              <w:ind w:firstLine="0"/>
              <w:jc w:val="center"/>
              <w:rPr>
                <w:rFonts w:ascii="宋体" w:cs="宋体"/>
                <w:b/>
                <w:bCs/>
                <w:sz w:val="18"/>
                <w:szCs w:val="18"/>
              </w:rPr>
            </w:pPr>
            <w:r>
              <w:rPr>
                <w:rFonts w:hint="eastAsia" w:ascii="宋体" w:cs="宋体"/>
                <w:b/>
                <w:bCs/>
                <w:sz w:val="18"/>
                <w:szCs w:val="18"/>
              </w:rPr>
              <w:t>服务方案</w:t>
            </w:r>
          </w:p>
          <w:p>
            <w:pPr>
              <w:pStyle w:val="28"/>
              <w:spacing w:before="0" w:after="0" w:line="0" w:lineRule="atLeast"/>
              <w:ind w:firstLine="0"/>
              <w:jc w:val="center"/>
              <w:rPr>
                <w:rFonts w:ascii="宋体" w:cs="宋体"/>
                <w:b/>
                <w:bCs/>
                <w:sz w:val="18"/>
                <w:szCs w:val="18"/>
              </w:rPr>
            </w:pPr>
            <w:r>
              <w:rPr>
                <w:rFonts w:hint="eastAsia" w:ascii="宋体" w:cs="宋体"/>
                <w:b/>
                <w:bCs/>
                <w:sz w:val="18"/>
                <w:szCs w:val="18"/>
              </w:rPr>
              <w:t>7分</w:t>
            </w:r>
          </w:p>
        </w:tc>
        <w:tc>
          <w:tcPr>
            <w:tcW w:w="5460" w:type="dxa"/>
            <w:noWrap w:val="0"/>
            <w:vAlign w:val="top"/>
          </w:tcPr>
          <w:p>
            <w:pPr>
              <w:pStyle w:val="28"/>
              <w:spacing w:before="0" w:after="0" w:line="0" w:lineRule="atLeast"/>
              <w:ind w:firstLine="0"/>
              <w:rPr>
                <w:rFonts w:hint="eastAsia" w:ascii="宋体" w:hAnsi="宋体" w:cs="宋体"/>
                <w:sz w:val="18"/>
                <w:szCs w:val="18"/>
              </w:rPr>
            </w:pPr>
            <w:r>
              <w:rPr>
                <w:rFonts w:hint="eastAsia" w:ascii="宋体" w:hAnsi="宋体" w:cs="宋体"/>
                <w:sz w:val="18"/>
                <w:szCs w:val="18"/>
              </w:rPr>
              <w:t>1.方案内容完整清晰明确且科学合理、可行性高、具有针对性并满足采购需求得7分；</w:t>
            </w:r>
          </w:p>
          <w:p>
            <w:pPr>
              <w:pStyle w:val="28"/>
              <w:spacing w:before="0" w:after="0" w:line="0" w:lineRule="atLeast"/>
              <w:ind w:firstLine="0"/>
              <w:rPr>
                <w:rFonts w:hint="eastAsia" w:ascii="宋体" w:hAnsi="宋体" w:cs="宋体"/>
                <w:sz w:val="18"/>
                <w:szCs w:val="18"/>
              </w:rPr>
            </w:pPr>
            <w:r>
              <w:rPr>
                <w:rFonts w:hint="eastAsia" w:ascii="宋体" w:hAnsi="宋体" w:cs="宋体"/>
                <w:sz w:val="18"/>
                <w:szCs w:val="18"/>
              </w:rPr>
              <w:t>2.方案内容较完整清晰明确且相对科学合理、可行性高具有针对性并满足采购需求得4分；</w:t>
            </w:r>
          </w:p>
          <w:p>
            <w:pPr>
              <w:pStyle w:val="28"/>
              <w:spacing w:before="0" w:after="0" w:line="0" w:lineRule="atLeast"/>
              <w:ind w:firstLine="0"/>
              <w:rPr>
                <w:rFonts w:ascii="宋体" w:hAnsi="宋体" w:cs="宋体"/>
                <w:color w:val="FF0000"/>
                <w:sz w:val="18"/>
                <w:szCs w:val="18"/>
              </w:rPr>
            </w:pPr>
            <w:r>
              <w:rPr>
                <w:rFonts w:hint="eastAsia" w:ascii="宋体" w:hAnsi="宋体" w:cs="宋体"/>
                <w:sz w:val="18"/>
                <w:szCs w:val="18"/>
              </w:rPr>
              <w:t>3.方案内容一般，可行性一般得</w:t>
            </w:r>
            <w:r>
              <w:rPr>
                <w:rFonts w:ascii="宋体" w:hAnsi="宋体" w:cs="宋体"/>
                <w:sz w:val="18"/>
                <w:szCs w:val="18"/>
              </w:rPr>
              <w:t>1</w:t>
            </w:r>
            <w:r>
              <w:rPr>
                <w:rFonts w:hint="eastAsia" w:ascii="宋体" w:hAnsi="宋体" w:cs="宋体"/>
                <w:sz w:val="18"/>
                <w:szCs w:val="18"/>
              </w:rPr>
              <w:t>分；未提供不得分。</w:t>
            </w:r>
          </w:p>
        </w:tc>
        <w:tc>
          <w:tcPr>
            <w:tcW w:w="588" w:type="dxa"/>
            <w:noWrap w:val="0"/>
            <w:vAlign w:val="top"/>
          </w:tcPr>
          <w:p>
            <w:pPr>
              <w:pStyle w:val="28"/>
              <w:spacing w:before="0" w:after="0" w:line="0" w:lineRule="atLeast"/>
              <w:ind w:firstLine="72"/>
              <w:rPr>
                <w:rFonts w:ascii="宋体"/>
                <w:sz w:val="18"/>
                <w:szCs w:val="18"/>
              </w:rPr>
            </w:pPr>
          </w:p>
        </w:tc>
        <w:tc>
          <w:tcPr>
            <w:tcW w:w="1566" w:type="dxa"/>
            <w:noWrap w:val="0"/>
            <w:vAlign w:val="top"/>
          </w:tcPr>
          <w:p>
            <w:pPr>
              <w:pStyle w:val="28"/>
              <w:spacing w:before="0" w:after="0" w:line="0" w:lineRule="atLeast"/>
              <w:ind w:firstLine="72"/>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491" w:type="dxa"/>
            <w:vMerge w:val="continue"/>
            <w:noWrap w:val="0"/>
            <w:vAlign w:val="top"/>
          </w:tcPr>
          <w:p>
            <w:pPr>
              <w:pStyle w:val="28"/>
              <w:spacing w:before="0" w:after="0" w:line="0" w:lineRule="atLeast"/>
              <w:ind w:firstLine="0"/>
              <w:jc w:val="center"/>
              <w:rPr>
                <w:rFonts w:ascii="宋体"/>
                <w:sz w:val="18"/>
                <w:szCs w:val="18"/>
              </w:rPr>
            </w:pPr>
          </w:p>
        </w:tc>
        <w:tc>
          <w:tcPr>
            <w:tcW w:w="491" w:type="dxa"/>
            <w:vMerge w:val="continue"/>
            <w:noWrap w:val="0"/>
            <w:vAlign w:val="center"/>
          </w:tcPr>
          <w:p>
            <w:pPr>
              <w:pStyle w:val="28"/>
              <w:spacing w:before="0" w:after="0" w:line="0" w:lineRule="atLeast"/>
              <w:ind w:firstLine="0"/>
              <w:jc w:val="center"/>
              <w:rPr>
                <w:rFonts w:ascii="宋体"/>
                <w:sz w:val="18"/>
                <w:szCs w:val="18"/>
              </w:rPr>
            </w:pPr>
          </w:p>
        </w:tc>
        <w:tc>
          <w:tcPr>
            <w:tcW w:w="973" w:type="dxa"/>
            <w:vMerge w:val="continue"/>
            <w:noWrap w:val="0"/>
            <w:vAlign w:val="center"/>
          </w:tcPr>
          <w:p>
            <w:pPr>
              <w:spacing w:line="0" w:lineRule="atLeast"/>
              <w:rPr>
                <w:rFonts w:ascii="宋体"/>
                <w:sz w:val="18"/>
                <w:szCs w:val="18"/>
              </w:rPr>
            </w:pPr>
          </w:p>
        </w:tc>
        <w:tc>
          <w:tcPr>
            <w:tcW w:w="690" w:type="dxa"/>
            <w:noWrap w:val="0"/>
            <w:vAlign w:val="center"/>
          </w:tcPr>
          <w:p>
            <w:pPr>
              <w:spacing w:line="0" w:lineRule="atLeast"/>
              <w:jc w:val="center"/>
              <w:rPr>
                <w:rFonts w:ascii="宋体" w:cs="宋体"/>
                <w:b/>
                <w:bCs/>
                <w:sz w:val="18"/>
                <w:szCs w:val="18"/>
              </w:rPr>
            </w:pPr>
            <w:r>
              <w:rPr>
                <w:rFonts w:hint="eastAsia" w:ascii="宋体" w:cs="宋体"/>
                <w:b/>
                <w:bCs/>
                <w:sz w:val="18"/>
                <w:szCs w:val="18"/>
              </w:rPr>
              <w:t>服务管理能力</w:t>
            </w:r>
          </w:p>
          <w:p>
            <w:pPr>
              <w:spacing w:line="0" w:lineRule="atLeast"/>
              <w:jc w:val="center"/>
              <w:rPr>
                <w:rFonts w:ascii="宋体" w:cs="宋体"/>
                <w:b/>
                <w:bCs/>
                <w:sz w:val="18"/>
                <w:szCs w:val="18"/>
              </w:rPr>
            </w:pPr>
            <w:r>
              <w:rPr>
                <w:rFonts w:hint="eastAsia" w:ascii="宋体" w:cs="宋体"/>
                <w:b/>
                <w:bCs/>
                <w:sz w:val="18"/>
                <w:szCs w:val="18"/>
              </w:rPr>
              <w:t>7分</w:t>
            </w:r>
          </w:p>
        </w:tc>
        <w:tc>
          <w:tcPr>
            <w:tcW w:w="5460" w:type="dxa"/>
            <w:noWrap w:val="0"/>
            <w:vAlign w:val="top"/>
          </w:tcPr>
          <w:p>
            <w:pPr>
              <w:spacing w:line="0" w:lineRule="atLeast"/>
              <w:rPr>
                <w:rFonts w:hint="eastAsia" w:ascii="宋体" w:hAnsi="宋体" w:cs="宋体"/>
                <w:sz w:val="18"/>
                <w:szCs w:val="18"/>
              </w:rPr>
            </w:pPr>
            <w:r>
              <w:rPr>
                <w:rFonts w:hint="eastAsia" w:ascii="宋体" w:hAnsi="宋体" w:cs="宋体"/>
                <w:sz w:val="18"/>
                <w:szCs w:val="18"/>
              </w:rPr>
              <w:t>1.制度规范全面、逻辑合理、实用性强、可操作性强得7分；</w:t>
            </w:r>
          </w:p>
          <w:p>
            <w:pPr>
              <w:spacing w:line="0" w:lineRule="atLeast"/>
              <w:rPr>
                <w:rFonts w:hint="eastAsia" w:ascii="宋体" w:hAnsi="宋体" w:cs="宋体"/>
                <w:sz w:val="18"/>
                <w:szCs w:val="18"/>
              </w:rPr>
            </w:pPr>
            <w:r>
              <w:rPr>
                <w:rFonts w:hint="eastAsia" w:ascii="宋体" w:hAnsi="宋体" w:cs="宋体"/>
                <w:sz w:val="18"/>
                <w:szCs w:val="18"/>
              </w:rPr>
              <w:t>2.制度规范较全面、逻辑相对较合理、实用性较强、可操作性相对较强4分</w:t>
            </w:r>
          </w:p>
          <w:p>
            <w:pPr>
              <w:spacing w:line="0" w:lineRule="atLeast"/>
              <w:rPr>
                <w:rFonts w:hint="eastAsia" w:ascii="宋体" w:hAnsi="宋体" w:cs="宋体"/>
                <w:sz w:val="18"/>
                <w:szCs w:val="18"/>
              </w:rPr>
            </w:pPr>
            <w:r>
              <w:rPr>
                <w:rFonts w:hint="eastAsia" w:ascii="宋体" w:hAnsi="宋体" w:cs="宋体"/>
                <w:sz w:val="18"/>
                <w:szCs w:val="18"/>
              </w:rPr>
              <w:t>3.制度规范要全面一般、逻辑一般、实用性强一般、可操作性强一般1分；</w:t>
            </w:r>
          </w:p>
          <w:p>
            <w:pPr>
              <w:spacing w:line="0" w:lineRule="atLeast"/>
              <w:rPr>
                <w:rFonts w:ascii="宋体" w:hAnsi="宋体" w:cs="宋体"/>
                <w:sz w:val="18"/>
                <w:szCs w:val="18"/>
              </w:rPr>
            </w:pPr>
            <w:r>
              <w:rPr>
                <w:rFonts w:hint="eastAsia" w:ascii="宋体" w:hAnsi="宋体" w:cs="宋体"/>
                <w:sz w:val="18"/>
                <w:szCs w:val="18"/>
              </w:rPr>
              <w:t>4.差和不提供不得分。</w:t>
            </w:r>
          </w:p>
        </w:tc>
        <w:tc>
          <w:tcPr>
            <w:tcW w:w="588" w:type="dxa"/>
            <w:noWrap w:val="0"/>
            <w:vAlign w:val="top"/>
          </w:tcPr>
          <w:p>
            <w:pPr>
              <w:pStyle w:val="28"/>
              <w:spacing w:before="0" w:after="0" w:line="0" w:lineRule="atLeast"/>
              <w:rPr>
                <w:rFonts w:ascii="宋体"/>
                <w:sz w:val="18"/>
                <w:szCs w:val="18"/>
              </w:rPr>
            </w:pPr>
          </w:p>
        </w:tc>
        <w:tc>
          <w:tcPr>
            <w:tcW w:w="1566" w:type="dxa"/>
            <w:noWrap w:val="0"/>
            <w:vAlign w:val="top"/>
          </w:tcPr>
          <w:p>
            <w:pPr>
              <w:pStyle w:val="28"/>
              <w:spacing w:before="0" w:after="0" w:line="0" w:lineRule="atLeast"/>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2" w:hRule="atLeast"/>
          <w:jc w:val="center"/>
        </w:trPr>
        <w:tc>
          <w:tcPr>
            <w:tcW w:w="491" w:type="dxa"/>
            <w:vMerge w:val="continue"/>
            <w:noWrap w:val="0"/>
            <w:vAlign w:val="top"/>
          </w:tcPr>
          <w:p>
            <w:pPr>
              <w:pStyle w:val="28"/>
              <w:spacing w:before="0" w:after="0" w:line="0" w:lineRule="atLeast"/>
              <w:ind w:firstLine="0"/>
              <w:jc w:val="center"/>
              <w:rPr>
                <w:rFonts w:ascii="宋体"/>
                <w:sz w:val="18"/>
                <w:szCs w:val="18"/>
              </w:rPr>
            </w:pPr>
          </w:p>
        </w:tc>
        <w:tc>
          <w:tcPr>
            <w:tcW w:w="491" w:type="dxa"/>
            <w:vMerge w:val="continue"/>
            <w:noWrap w:val="0"/>
            <w:vAlign w:val="center"/>
          </w:tcPr>
          <w:p>
            <w:pPr>
              <w:pStyle w:val="28"/>
              <w:spacing w:before="0" w:after="0" w:line="0" w:lineRule="atLeast"/>
              <w:ind w:firstLine="0"/>
              <w:jc w:val="center"/>
              <w:rPr>
                <w:rFonts w:ascii="宋体"/>
                <w:sz w:val="18"/>
                <w:szCs w:val="18"/>
              </w:rPr>
            </w:pPr>
          </w:p>
        </w:tc>
        <w:tc>
          <w:tcPr>
            <w:tcW w:w="973" w:type="dxa"/>
            <w:vMerge w:val="continue"/>
            <w:noWrap w:val="0"/>
            <w:vAlign w:val="center"/>
          </w:tcPr>
          <w:p>
            <w:pPr>
              <w:spacing w:line="0" w:lineRule="atLeast"/>
              <w:rPr>
                <w:rFonts w:ascii="宋体"/>
                <w:sz w:val="18"/>
                <w:szCs w:val="18"/>
              </w:rPr>
            </w:pPr>
          </w:p>
        </w:tc>
        <w:tc>
          <w:tcPr>
            <w:tcW w:w="690" w:type="dxa"/>
            <w:noWrap w:val="0"/>
            <w:vAlign w:val="center"/>
          </w:tcPr>
          <w:p>
            <w:pPr>
              <w:spacing w:line="0" w:lineRule="atLeast"/>
              <w:jc w:val="center"/>
              <w:rPr>
                <w:rFonts w:ascii="宋体" w:cs="宋体"/>
                <w:b/>
                <w:bCs/>
                <w:sz w:val="18"/>
                <w:szCs w:val="18"/>
              </w:rPr>
            </w:pPr>
            <w:r>
              <w:rPr>
                <w:rFonts w:hint="eastAsia" w:ascii="宋体" w:cs="宋体"/>
                <w:b/>
                <w:bCs/>
                <w:sz w:val="18"/>
                <w:szCs w:val="18"/>
              </w:rPr>
              <w:t>教育培训方面</w:t>
            </w:r>
          </w:p>
          <w:p>
            <w:pPr>
              <w:spacing w:line="0" w:lineRule="atLeast"/>
              <w:jc w:val="center"/>
              <w:rPr>
                <w:rFonts w:ascii="宋体" w:cs="宋体"/>
                <w:b/>
                <w:bCs/>
                <w:sz w:val="18"/>
                <w:szCs w:val="18"/>
              </w:rPr>
            </w:pPr>
            <w:r>
              <w:rPr>
                <w:rFonts w:hint="eastAsia" w:ascii="宋体" w:cs="宋体"/>
                <w:b/>
                <w:bCs/>
                <w:sz w:val="18"/>
                <w:szCs w:val="18"/>
              </w:rPr>
              <w:t>7分</w:t>
            </w:r>
          </w:p>
        </w:tc>
        <w:tc>
          <w:tcPr>
            <w:tcW w:w="5460" w:type="dxa"/>
            <w:noWrap w:val="0"/>
            <w:vAlign w:val="top"/>
          </w:tcPr>
          <w:p>
            <w:pPr>
              <w:tabs>
                <w:tab w:val="left" w:pos="645"/>
              </w:tabs>
              <w:spacing w:line="0" w:lineRule="atLeast"/>
              <w:rPr>
                <w:rFonts w:hint="eastAsia" w:ascii="宋体" w:hAnsi="宋体" w:cs="宋体"/>
                <w:sz w:val="18"/>
                <w:szCs w:val="18"/>
              </w:rPr>
            </w:pPr>
            <w:r>
              <w:rPr>
                <w:rFonts w:hint="eastAsia" w:ascii="宋体" w:hAnsi="宋体" w:cs="宋体"/>
                <w:sz w:val="18"/>
                <w:szCs w:val="18"/>
              </w:rPr>
              <w:t>1.培训教育方案全面、制度内容具体科学合理、实践可操作实用性强得7分；</w:t>
            </w:r>
          </w:p>
          <w:p>
            <w:pPr>
              <w:tabs>
                <w:tab w:val="left" w:pos="645"/>
              </w:tabs>
              <w:spacing w:line="0" w:lineRule="atLeast"/>
              <w:rPr>
                <w:rFonts w:hint="eastAsia" w:ascii="宋体" w:hAnsi="宋体" w:cs="宋体"/>
                <w:sz w:val="18"/>
                <w:szCs w:val="18"/>
              </w:rPr>
            </w:pPr>
            <w:r>
              <w:rPr>
                <w:rFonts w:hint="eastAsia" w:ascii="宋体" w:hAnsi="宋体" w:cs="宋体"/>
                <w:sz w:val="18"/>
                <w:szCs w:val="18"/>
              </w:rPr>
              <w:t>2.培训教育方案较为全面、制度内容具体相对较为科学合理、实践可操作较为实用性强得4分；</w:t>
            </w:r>
          </w:p>
          <w:p>
            <w:pPr>
              <w:tabs>
                <w:tab w:val="left" w:pos="645"/>
              </w:tabs>
              <w:spacing w:line="0" w:lineRule="atLeast"/>
              <w:rPr>
                <w:rFonts w:hint="eastAsia" w:ascii="宋体" w:hAnsi="宋体" w:cs="宋体"/>
                <w:sz w:val="18"/>
                <w:szCs w:val="18"/>
              </w:rPr>
            </w:pPr>
            <w:r>
              <w:rPr>
                <w:rFonts w:hint="eastAsia" w:ascii="宋体" w:hAnsi="宋体" w:cs="宋体"/>
                <w:sz w:val="18"/>
                <w:szCs w:val="18"/>
              </w:rPr>
              <w:t>3.培训教育方案一般、制度内容具体一般、实践可操作实用一般得1分；</w:t>
            </w:r>
          </w:p>
          <w:p>
            <w:pPr>
              <w:tabs>
                <w:tab w:val="left" w:pos="645"/>
              </w:tabs>
              <w:spacing w:line="0" w:lineRule="atLeast"/>
              <w:rPr>
                <w:rFonts w:ascii="宋体" w:hAnsi="宋体" w:cs="宋体"/>
                <w:color w:val="FF0000"/>
                <w:sz w:val="18"/>
                <w:szCs w:val="18"/>
              </w:rPr>
            </w:pPr>
            <w:r>
              <w:rPr>
                <w:rFonts w:hint="eastAsia" w:ascii="宋体" w:hAnsi="宋体" w:cs="宋体"/>
                <w:sz w:val="18"/>
                <w:szCs w:val="18"/>
              </w:rPr>
              <w:t>4.差和不提供不得分。</w:t>
            </w:r>
          </w:p>
        </w:tc>
        <w:tc>
          <w:tcPr>
            <w:tcW w:w="588" w:type="dxa"/>
            <w:noWrap w:val="0"/>
            <w:vAlign w:val="top"/>
          </w:tcPr>
          <w:p>
            <w:pPr>
              <w:pStyle w:val="28"/>
              <w:spacing w:before="0" w:after="0" w:line="0" w:lineRule="atLeast"/>
              <w:rPr>
                <w:rFonts w:ascii="宋体"/>
                <w:sz w:val="18"/>
                <w:szCs w:val="18"/>
              </w:rPr>
            </w:pPr>
          </w:p>
        </w:tc>
        <w:tc>
          <w:tcPr>
            <w:tcW w:w="1566" w:type="dxa"/>
            <w:noWrap w:val="0"/>
            <w:vAlign w:val="top"/>
          </w:tcPr>
          <w:p>
            <w:pPr>
              <w:pStyle w:val="28"/>
              <w:spacing w:before="0" w:after="0" w:line="0" w:lineRule="atLeast"/>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05" w:hRule="atLeast"/>
          <w:jc w:val="center"/>
        </w:trPr>
        <w:tc>
          <w:tcPr>
            <w:tcW w:w="491" w:type="dxa"/>
            <w:vMerge w:val="continue"/>
            <w:noWrap w:val="0"/>
            <w:vAlign w:val="top"/>
          </w:tcPr>
          <w:p>
            <w:pPr>
              <w:pStyle w:val="28"/>
              <w:spacing w:before="0" w:after="0" w:line="0" w:lineRule="atLeast"/>
              <w:ind w:firstLine="0"/>
              <w:jc w:val="center"/>
              <w:rPr>
                <w:rFonts w:ascii="宋体"/>
                <w:sz w:val="18"/>
                <w:szCs w:val="18"/>
              </w:rPr>
            </w:pPr>
          </w:p>
        </w:tc>
        <w:tc>
          <w:tcPr>
            <w:tcW w:w="491" w:type="dxa"/>
            <w:vMerge w:val="continue"/>
            <w:noWrap w:val="0"/>
            <w:vAlign w:val="center"/>
          </w:tcPr>
          <w:p>
            <w:pPr>
              <w:pStyle w:val="28"/>
              <w:spacing w:before="0" w:after="0" w:line="0" w:lineRule="atLeast"/>
              <w:ind w:firstLine="0"/>
              <w:jc w:val="center"/>
              <w:rPr>
                <w:rFonts w:ascii="宋体"/>
                <w:sz w:val="18"/>
                <w:szCs w:val="18"/>
              </w:rPr>
            </w:pPr>
          </w:p>
        </w:tc>
        <w:tc>
          <w:tcPr>
            <w:tcW w:w="973" w:type="dxa"/>
            <w:vMerge w:val="continue"/>
            <w:noWrap w:val="0"/>
            <w:vAlign w:val="center"/>
          </w:tcPr>
          <w:p>
            <w:pPr>
              <w:spacing w:line="0" w:lineRule="atLeast"/>
              <w:rPr>
                <w:rFonts w:ascii="宋体"/>
                <w:sz w:val="18"/>
                <w:szCs w:val="18"/>
              </w:rPr>
            </w:pPr>
          </w:p>
        </w:tc>
        <w:tc>
          <w:tcPr>
            <w:tcW w:w="690" w:type="dxa"/>
            <w:noWrap w:val="0"/>
            <w:vAlign w:val="center"/>
          </w:tcPr>
          <w:p>
            <w:pPr>
              <w:adjustRightInd w:val="0"/>
              <w:snapToGrid w:val="0"/>
              <w:spacing w:line="0" w:lineRule="atLeast"/>
              <w:jc w:val="center"/>
              <w:rPr>
                <w:rFonts w:ascii="宋体" w:cs="宋体"/>
                <w:b/>
                <w:bCs/>
                <w:sz w:val="18"/>
                <w:szCs w:val="18"/>
              </w:rPr>
            </w:pPr>
            <w:r>
              <w:rPr>
                <w:rFonts w:hint="eastAsia" w:ascii="宋体" w:cs="宋体"/>
                <w:b/>
                <w:bCs/>
                <w:sz w:val="18"/>
                <w:szCs w:val="18"/>
              </w:rPr>
              <w:t>服务所需器械</w:t>
            </w:r>
          </w:p>
          <w:p>
            <w:pPr>
              <w:adjustRightInd w:val="0"/>
              <w:snapToGrid w:val="0"/>
              <w:spacing w:line="0" w:lineRule="atLeast"/>
              <w:jc w:val="center"/>
              <w:rPr>
                <w:rFonts w:ascii="宋体" w:cs="宋体"/>
                <w:b/>
                <w:bCs/>
                <w:sz w:val="18"/>
                <w:szCs w:val="18"/>
              </w:rPr>
            </w:pPr>
            <w:r>
              <w:rPr>
                <w:rFonts w:hint="eastAsia" w:ascii="宋体" w:cs="宋体"/>
                <w:b/>
                <w:bCs/>
                <w:sz w:val="18"/>
                <w:szCs w:val="18"/>
              </w:rPr>
              <w:t>7分</w:t>
            </w:r>
          </w:p>
        </w:tc>
        <w:tc>
          <w:tcPr>
            <w:tcW w:w="5460" w:type="dxa"/>
            <w:noWrap w:val="0"/>
            <w:vAlign w:val="center"/>
          </w:tcPr>
          <w:p>
            <w:pPr>
              <w:adjustRightInd w:val="0"/>
              <w:snapToGrid w:val="0"/>
              <w:spacing w:line="0" w:lineRule="atLeast"/>
              <w:rPr>
                <w:rFonts w:hint="eastAsia" w:ascii="宋体" w:hAnsi="宋体" w:cs="宋体"/>
                <w:sz w:val="18"/>
                <w:szCs w:val="18"/>
              </w:rPr>
            </w:pPr>
            <w:r>
              <w:rPr>
                <w:rFonts w:hint="eastAsia" w:ascii="宋体" w:hAnsi="宋体" w:cs="宋体"/>
                <w:sz w:val="18"/>
                <w:szCs w:val="18"/>
              </w:rPr>
              <w:t>1.提供所需办公用品资料和装备用品资料比对后齐全得7分；</w:t>
            </w:r>
          </w:p>
          <w:p>
            <w:pPr>
              <w:adjustRightInd w:val="0"/>
              <w:snapToGrid w:val="0"/>
              <w:spacing w:line="0" w:lineRule="atLeast"/>
              <w:rPr>
                <w:rFonts w:hint="eastAsia" w:ascii="宋体" w:hAnsi="宋体" w:cs="宋体"/>
                <w:sz w:val="18"/>
                <w:szCs w:val="18"/>
              </w:rPr>
            </w:pPr>
            <w:r>
              <w:rPr>
                <w:rFonts w:hint="eastAsia" w:ascii="宋体" w:hAnsi="宋体" w:cs="宋体"/>
                <w:sz w:val="18"/>
                <w:szCs w:val="18"/>
              </w:rPr>
              <w:t>2.提供所需办公用品资料和装备用品资料比较后较齐全得</w:t>
            </w:r>
            <w:r>
              <w:rPr>
                <w:rFonts w:ascii="宋体" w:hAnsi="宋体" w:cs="宋体"/>
                <w:sz w:val="18"/>
                <w:szCs w:val="18"/>
              </w:rPr>
              <w:t>4</w:t>
            </w:r>
            <w:r>
              <w:rPr>
                <w:rFonts w:hint="eastAsia" w:ascii="宋体" w:hAnsi="宋体" w:cs="宋体"/>
                <w:sz w:val="18"/>
                <w:szCs w:val="18"/>
              </w:rPr>
              <w:t>分；</w:t>
            </w:r>
          </w:p>
          <w:p>
            <w:pPr>
              <w:adjustRightInd w:val="0"/>
              <w:snapToGrid w:val="0"/>
              <w:spacing w:line="0" w:lineRule="atLeast"/>
              <w:rPr>
                <w:rFonts w:hint="eastAsia" w:ascii="宋体" w:hAnsi="宋体" w:cs="宋体"/>
                <w:sz w:val="18"/>
                <w:szCs w:val="18"/>
              </w:rPr>
            </w:pPr>
            <w:r>
              <w:rPr>
                <w:rFonts w:hint="eastAsia" w:ascii="宋体" w:hAnsi="宋体" w:cs="宋体"/>
                <w:sz w:val="18"/>
                <w:szCs w:val="18"/>
              </w:rPr>
              <w:t>3.提供所需办公用品资料和装备用品资料比较后一般得1分；</w:t>
            </w:r>
          </w:p>
          <w:p>
            <w:pPr>
              <w:adjustRightInd w:val="0"/>
              <w:snapToGrid w:val="0"/>
              <w:spacing w:line="0" w:lineRule="atLeast"/>
              <w:rPr>
                <w:rFonts w:ascii="宋体" w:hAnsi="宋体" w:cs="宋体"/>
                <w:color w:val="FF0000"/>
                <w:sz w:val="18"/>
                <w:szCs w:val="18"/>
              </w:rPr>
            </w:pPr>
            <w:r>
              <w:rPr>
                <w:rFonts w:hint="eastAsia" w:ascii="宋体" w:hAnsi="宋体" w:cs="宋体"/>
                <w:sz w:val="18"/>
                <w:szCs w:val="18"/>
              </w:rPr>
              <w:t>4.差和不提供不得分。</w:t>
            </w:r>
          </w:p>
        </w:tc>
        <w:tc>
          <w:tcPr>
            <w:tcW w:w="588" w:type="dxa"/>
            <w:noWrap w:val="0"/>
            <w:vAlign w:val="top"/>
          </w:tcPr>
          <w:p>
            <w:pPr>
              <w:pStyle w:val="28"/>
              <w:spacing w:before="0" w:after="0" w:line="0" w:lineRule="atLeast"/>
              <w:rPr>
                <w:rFonts w:ascii="宋体"/>
                <w:sz w:val="18"/>
                <w:szCs w:val="18"/>
              </w:rPr>
            </w:pPr>
          </w:p>
        </w:tc>
        <w:tc>
          <w:tcPr>
            <w:tcW w:w="1566" w:type="dxa"/>
            <w:noWrap w:val="0"/>
            <w:vAlign w:val="top"/>
          </w:tcPr>
          <w:p>
            <w:pPr>
              <w:pStyle w:val="28"/>
              <w:spacing w:before="0" w:after="0" w:line="0" w:lineRule="atLeast"/>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6" w:hRule="atLeast"/>
          <w:jc w:val="center"/>
        </w:trPr>
        <w:tc>
          <w:tcPr>
            <w:tcW w:w="491" w:type="dxa"/>
            <w:vMerge w:val="continue"/>
            <w:noWrap w:val="0"/>
            <w:vAlign w:val="top"/>
          </w:tcPr>
          <w:p>
            <w:pPr>
              <w:pStyle w:val="28"/>
              <w:spacing w:before="0" w:after="0" w:line="0" w:lineRule="atLeast"/>
              <w:ind w:firstLine="0"/>
              <w:jc w:val="center"/>
              <w:rPr>
                <w:rFonts w:ascii="宋体"/>
                <w:sz w:val="18"/>
                <w:szCs w:val="18"/>
              </w:rPr>
            </w:pPr>
          </w:p>
        </w:tc>
        <w:tc>
          <w:tcPr>
            <w:tcW w:w="491" w:type="dxa"/>
            <w:vMerge w:val="continue"/>
            <w:noWrap w:val="0"/>
            <w:vAlign w:val="center"/>
          </w:tcPr>
          <w:p>
            <w:pPr>
              <w:pStyle w:val="28"/>
              <w:spacing w:before="0" w:after="0" w:line="0" w:lineRule="atLeast"/>
              <w:ind w:firstLine="0"/>
              <w:jc w:val="center"/>
              <w:rPr>
                <w:rFonts w:ascii="宋体"/>
                <w:sz w:val="18"/>
                <w:szCs w:val="18"/>
              </w:rPr>
            </w:pPr>
          </w:p>
        </w:tc>
        <w:tc>
          <w:tcPr>
            <w:tcW w:w="973" w:type="dxa"/>
            <w:vMerge w:val="continue"/>
            <w:noWrap w:val="0"/>
            <w:vAlign w:val="center"/>
          </w:tcPr>
          <w:p>
            <w:pPr>
              <w:adjustRightInd w:val="0"/>
              <w:snapToGrid w:val="0"/>
              <w:spacing w:line="0" w:lineRule="atLeast"/>
              <w:jc w:val="center"/>
              <w:rPr>
                <w:rFonts w:ascii="宋体"/>
                <w:sz w:val="18"/>
                <w:szCs w:val="18"/>
              </w:rPr>
            </w:pPr>
          </w:p>
        </w:tc>
        <w:tc>
          <w:tcPr>
            <w:tcW w:w="690" w:type="dxa"/>
            <w:noWrap w:val="0"/>
            <w:vAlign w:val="center"/>
          </w:tcPr>
          <w:p>
            <w:pPr>
              <w:adjustRightInd w:val="0"/>
              <w:snapToGrid w:val="0"/>
              <w:spacing w:line="0" w:lineRule="atLeast"/>
              <w:jc w:val="center"/>
              <w:rPr>
                <w:rFonts w:ascii="宋体" w:cs="宋体"/>
                <w:b/>
                <w:bCs/>
                <w:sz w:val="18"/>
                <w:szCs w:val="18"/>
              </w:rPr>
            </w:pPr>
            <w:r>
              <w:rPr>
                <w:rFonts w:hint="eastAsia" w:ascii="宋体" w:cs="宋体"/>
                <w:b/>
                <w:bCs/>
                <w:sz w:val="18"/>
                <w:szCs w:val="18"/>
              </w:rPr>
              <w:t>综合协调能力</w:t>
            </w:r>
          </w:p>
          <w:p>
            <w:pPr>
              <w:adjustRightInd w:val="0"/>
              <w:snapToGrid w:val="0"/>
              <w:spacing w:line="0" w:lineRule="atLeast"/>
              <w:jc w:val="center"/>
              <w:rPr>
                <w:rFonts w:ascii="宋体" w:cs="宋体"/>
                <w:b/>
                <w:bCs/>
                <w:sz w:val="18"/>
                <w:szCs w:val="18"/>
              </w:rPr>
            </w:pPr>
            <w:r>
              <w:rPr>
                <w:rFonts w:hint="eastAsia" w:ascii="宋体" w:cs="宋体"/>
                <w:b/>
                <w:bCs/>
                <w:sz w:val="18"/>
                <w:szCs w:val="18"/>
              </w:rPr>
              <w:t>7分</w:t>
            </w:r>
          </w:p>
        </w:tc>
        <w:tc>
          <w:tcPr>
            <w:tcW w:w="5460" w:type="dxa"/>
            <w:noWrap w:val="0"/>
            <w:vAlign w:val="center"/>
          </w:tcPr>
          <w:p>
            <w:pPr>
              <w:adjustRightInd w:val="0"/>
              <w:snapToGrid w:val="0"/>
              <w:spacing w:line="0" w:lineRule="atLeast"/>
              <w:rPr>
                <w:rFonts w:hint="eastAsia" w:ascii="宋体" w:hAnsi="宋体" w:cs="宋体"/>
                <w:sz w:val="18"/>
                <w:szCs w:val="18"/>
              </w:rPr>
            </w:pPr>
            <w:r>
              <w:rPr>
                <w:rFonts w:hint="eastAsia" w:ascii="宋体" w:hAnsi="宋体" w:cs="宋体"/>
                <w:sz w:val="18"/>
                <w:szCs w:val="18"/>
              </w:rPr>
              <w:t>1.综合协调方案全面、逻辑合理、可操作强得7分；</w:t>
            </w:r>
          </w:p>
          <w:p>
            <w:pPr>
              <w:adjustRightInd w:val="0"/>
              <w:snapToGrid w:val="0"/>
              <w:spacing w:line="0" w:lineRule="atLeast"/>
              <w:rPr>
                <w:rFonts w:hint="eastAsia" w:ascii="宋体" w:hAnsi="宋体" w:cs="宋体"/>
                <w:sz w:val="18"/>
                <w:szCs w:val="18"/>
              </w:rPr>
            </w:pPr>
            <w:r>
              <w:rPr>
                <w:rFonts w:hint="eastAsia" w:ascii="宋体" w:hAnsi="宋体" w:cs="宋体"/>
                <w:sz w:val="18"/>
                <w:szCs w:val="18"/>
              </w:rPr>
              <w:t>2.综合协调方案较全面、逻辑相对合理、可操作较强得4分；</w:t>
            </w:r>
          </w:p>
          <w:p>
            <w:pPr>
              <w:adjustRightInd w:val="0"/>
              <w:snapToGrid w:val="0"/>
              <w:spacing w:line="0" w:lineRule="atLeast"/>
              <w:rPr>
                <w:rFonts w:hint="eastAsia" w:ascii="宋体" w:hAnsi="宋体" w:cs="宋体"/>
                <w:sz w:val="18"/>
                <w:szCs w:val="18"/>
              </w:rPr>
            </w:pPr>
            <w:r>
              <w:rPr>
                <w:rFonts w:hint="eastAsia" w:ascii="宋体" w:hAnsi="宋体" w:cs="宋体"/>
                <w:sz w:val="18"/>
                <w:szCs w:val="18"/>
              </w:rPr>
              <w:t>3.综合协调方案一般、逻辑一般、可操作一般得</w:t>
            </w:r>
            <w:r>
              <w:rPr>
                <w:rFonts w:ascii="宋体" w:hAnsi="宋体" w:cs="宋体"/>
                <w:sz w:val="18"/>
                <w:szCs w:val="18"/>
              </w:rPr>
              <w:t>1</w:t>
            </w:r>
            <w:r>
              <w:rPr>
                <w:rFonts w:hint="eastAsia" w:ascii="宋体" w:hAnsi="宋体" w:cs="宋体"/>
                <w:sz w:val="18"/>
                <w:szCs w:val="18"/>
              </w:rPr>
              <w:t>分；</w:t>
            </w:r>
          </w:p>
          <w:p>
            <w:pPr>
              <w:adjustRightInd w:val="0"/>
              <w:snapToGrid w:val="0"/>
              <w:spacing w:line="0" w:lineRule="atLeast"/>
              <w:rPr>
                <w:rFonts w:ascii="宋体" w:hAnsi="宋体" w:cs="宋体"/>
                <w:color w:val="FF0000"/>
                <w:sz w:val="18"/>
                <w:szCs w:val="18"/>
              </w:rPr>
            </w:pPr>
            <w:r>
              <w:rPr>
                <w:rFonts w:hint="eastAsia" w:ascii="宋体" w:hAnsi="宋体" w:cs="宋体"/>
                <w:sz w:val="18"/>
                <w:szCs w:val="18"/>
              </w:rPr>
              <w:t>4.差和不提供不得分。</w:t>
            </w:r>
          </w:p>
        </w:tc>
        <w:tc>
          <w:tcPr>
            <w:tcW w:w="588" w:type="dxa"/>
            <w:noWrap w:val="0"/>
            <w:vAlign w:val="top"/>
          </w:tcPr>
          <w:p>
            <w:pPr>
              <w:pStyle w:val="28"/>
              <w:spacing w:before="0" w:after="0" w:line="0" w:lineRule="atLeast"/>
              <w:rPr>
                <w:rFonts w:ascii="宋体"/>
                <w:sz w:val="18"/>
                <w:szCs w:val="18"/>
              </w:rPr>
            </w:pPr>
          </w:p>
        </w:tc>
        <w:tc>
          <w:tcPr>
            <w:tcW w:w="1566" w:type="dxa"/>
            <w:noWrap w:val="0"/>
            <w:vAlign w:val="top"/>
          </w:tcPr>
          <w:p>
            <w:pPr>
              <w:pStyle w:val="28"/>
              <w:spacing w:before="0" w:after="0" w:line="0" w:lineRule="atLeast"/>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8" w:hRule="atLeast"/>
          <w:jc w:val="center"/>
        </w:trPr>
        <w:tc>
          <w:tcPr>
            <w:tcW w:w="491" w:type="dxa"/>
            <w:vMerge w:val="continue"/>
            <w:noWrap w:val="0"/>
            <w:vAlign w:val="top"/>
          </w:tcPr>
          <w:p>
            <w:pPr>
              <w:pStyle w:val="28"/>
              <w:spacing w:before="0" w:after="0" w:line="0" w:lineRule="atLeast"/>
              <w:ind w:firstLine="0"/>
              <w:jc w:val="center"/>
              <w:rPr>
                <w:rFonts w:ascii="宋体"/>
                <w:sz w:val="18"/>
                <w:szCs w:val="18"/>
              </w:rPr>
            </w:pPr>
          </w:p>
        </w:tc>
        <w:tc>
          <w:tcPr>
            <w:tcW w:w="491" w:type="dxa"/>
            <w:vMerge w:val="continue"/>
            <w:noWrap w:val="0"/>
            <w:vAlign w:val="center"/>
          </w:tcPr>
          <w:p>
            <w:pPr>
              <w:pStyle w:val="28"/>
              <w:spacing w:before="0" w:after="0" w:line="0" w:lineRule="atLeast"/>
              <w:ind w:firstLine="0"/>
              <w:jc w:val="center"/>
              <w:rPr>
                <w:rFonts w:ascii="宋体"/>
                <w:sz w:val="18"/>
                <w:szCs w:val="18"/>
              </w:rPr>
            </w:pPr>
          </w:p>
        </w:tc>
        <w:tc>
          <w:tcPr>
            <w:tcW w:w="973" w:type="dxa"/>
            <w:vMerge w:val="continue"/>
            <w:noWrap w:val="0"/>
            <w:vAlign w:val="center"/>
          </w:tcPr>
          <w:p>
            <w:pPr>
              <w:adjustRightInd w:val="0"/>
              <w:snapToGrid w:val="0"/>
              <w:spacing w:line="0" w:lineRule="atLeast"/>
              <w:jc w:val="center"/>
              <w:rPr>
                <w:rFonts w:ascii="宋体"/>
                <w:sz w:val="18"/>
                <w:szCs w:val="18"/>
              </w:rPr>
            </w:pPr>
          </w:p>
        </w:tc>
        <w:tc>
          <w:tcPr>
            <w:tcW w:w="690" w:type="dxa"/>
            <w:noWrap w:val="0"/>
            <w:vAlign w:val="center"/>
          </w:tcPr>
          <w:p>
            <w:pPr>
              <w:adjustRightInd w:val="0"/>
              <w:snapToGrid w:val="0"/>
              <w:spacing w:line="0" w:lineRule="atLeast"/>
              <w:jc w:val="center"/>
              <w:rPr>
                <w:rFonts w:ascii="宋体" w:cs="宋体"/>
                <w:b/>
                <w:bCs/>
                <w:sz w:val="18"/>
                <w:szCs w:val="18"/>
              </w:rPr>
            </w:pPr>
            <w:r>
              <w:rPr>
                <w:rFonts w:hint="eastAsia" w:ascii="宋体" w:cs="宋体"/>
                <w:b/>
                <w:bCs/>
                <w:sz w:val="18"/>
                <w:szCs w:val="18"/>
              </w:rPr>
              <w:t>应急能力</w:t>
            </w:r>
          </w:p>
          <w:p>
            <w:pPr>
              <w:adjustRightInd w:val="0"/>
              <w:snapToGrid w:val="0"/>
              <w:spacing w:line="0" w:lineRule="atLeast"/>
              <w:jc w:val="center"/>
              <w:rPr>
                <w:rFonts w:ascii="宋体" w:cs="宋体"/>
                <w:b/>
                <w:bCs/>
                <w:sz w:val="18"/>
                <w:szCs w:val="18"/>
              </w:rPr>
            </w:pPr>
            <w:r>
              <w:rPr>
                <w:rFonts w:hint="eastAsia" w:ascii="宋体" w:cs="宋体"/>
                <w:b/>
                <w:bCs/>
                <w:sz w:val="18"/>
                <w:szCs w:val="18"/>
              </w:rPr>
              <w:t>7分</w:t>
            </w:r>
          </w:p>
        </w:tc>
        <w:tc>
          <w:tcPr>
            <w:tcW w:w="5460" w:type="dxa"/>
            <w:noWrap w:val="0"/>
            <w:vAlign w:val="center"/>
          </w:tcPr>
          <w:p>
            <w:pPr>
              <w:adjustRightInd w:val="0"/>
              <w:snapToGrid w:val="0"/>
              <w:spacing w:line="0" w:lineRule="atLeast"/>
              <w:rPr>
                <w:rFonts w:hint="eastAsia" w:ascii="宋体" w:hAnsi="宋体" w:cs="宋体"/>
                <w:sz w:val="18"/>
                <w:szCs w:val="18"/>
              </w:rPr>
            </w:pPr>
            <w:r>
              <w:rPr>
                <w:rFonts w:hint="eastAsia" w:ascii="宋体" w:hAnsi="宋体" w:cs="宋体"/>
                <w:sz w:val="18"/>
                <w:szCs w:val="18"/>
              </w:rPr>
              <w:t>1.流程清晰合理、内容完整详细、可操作性强，响应迅速，得7分；</w:t>
            </w:r>
          </w:p>
          <w:p>
            <w:pPr>
              <w:adjustRightInd w:val="0"/>
              <w:snapToGrid w:val="0"/>
              <w:spacing w:line="0" w:lineRule="atLeast"/>
              <w:rPr>
                <w:rFonts w:hint="eastAsia" w:ascii="宋体" w:hAnsi="宋体" w:cs="宋体"/>
                <w:sz w:val="18"/>
                <w:szCs w:val="18"/>
              </w:rPr>
            </w:pPr>
            <w:r>
              <w:rPr>
                <w:rFonts w:hint="eastAsia" w:ascii="宋体" w:hAnsi="宋体" w:cs="宋体"/>
                <w:sz w:val="18"/>
                <w:szCs w:val="18"/>
              </w:rPr>
              <w:t>2.流程清晰较合理、内容较完整详细、可操作较性强，响应较迅速，得</w:t>
            </w:r>
            <w:r>
              <w:rPr>
                <w:rFonts w:ascii="宋体" w:hAnsi="宋体" w:cs="宋体"/>
                <w:sz w:val="18"/>
                <w:szCs w:val="18"/>
              </w:rPr>
              <w:t>4</w:t>
            </w:r>
            <w:r>
              <w:rPr>
                <w:rFonts w:hint="eastAsia" w:ascii="宋体" w:hAnsi="宋体" w:cs="宋体"/>
                <w:sz w:val="18"/>
                <w:szCs w:val="18"/>
              </w:rPr>
              <w:t>分；</w:t>
            </w:r>
          </w:p>
          <w:p>
            <w:pPr>
              <w:adjustRightInd w:val="0"/>
              <w:snapToGrid w:val="0"/>
              <w:spacing w:line="0" w:lineRule="atLeast"/>
              <w:rPr>
                <w:rFonts w:hint="eastAsia" w:ascii="宋体" w:hAnsi="宋体" w:cs="宋体"/>
                <w:sz w:val="18"/>
                <w:szCs w:val="18"/>
              </w:rPr>
            </w:pPr>
            <w:r>
              <w:rPr>
                <w:rFonts w:hint="eastAsia" w:ascii="宋体" w:hAnsi="宋体" w:cs="宋体"/>
                <w:sz w:val="18"/>
                <w:szCs w:val="18"/>
              </w:rPr>
              <w:t>3.流程较清晰、内容较完整、可操作性一般，响应速度一般，得1分；</w:t>
            </w:r>
          </w:p>
          <w:p>
            <w:pPr>
              <w:adjustRightInd w:val="0"/>
              <w:snapToGrid w:val="0"/>
              <w:spacing w:line="0" w:lineRule="atLeast"/>
              <w:rPr>
                <w:rFonts w:ascii="宋体"/>
                <w:color w:val="FF0000"/>
                <w:sz w:val="18"/>
                <w:szCs w:val="18"/>
              </w:rPr>
            </w:pPr>
            <w:r>
              <w:rPr>
                <w:rFonts w:hint="eastAsia" w:ascii="宋体" w:hAnsi="宋体" w:cs="宋体"/>
                <w:sz w:val="18"/>
                <w:szCs w:val="18"/>
              </w:rPr>
              <w:t>4.内容不完整、可操作性较差，响应速度较差，不得分。</w:t>
            </w:r>
          </w:p>
        </w:tc>
        <w:tc>
          <w:tcPr>
            <w:tcW w:w="588" w:type="dxa"/>
            <w:noWrap w:val="0"/>
            <w:vAlign w:val="top"/>
          </w:tcPr>
          <w:p>
            <w:pPr>
              <w:pStyle w:val="28"/>
              <w:spacing w:before="0" w:after="0" w:line="0" w:lineRule="atLeast"/>
              <w:rPr>
                <w:rFonts w:ascii="宋体"/>
                <w:sz w:val="18"/>
                <w:szCs w:val="18"/>
              </w:rPr>
            </w:pPr>
          </w:p>
        </w:tc>
        <w:tc>
          <w:tcPr>
            <w:tcW w:w="1566" w:type="dxa"/>
            <w:noWrap w:val="0"/>
            <w:vAlign w:val="top"/>
          </w:tcPr>
          <w:p>
            <w:pPr>
              <w:pStyle w:val="28"/>
              <w:spacing w:before="0" w:after="0" w:line="0" w:lineRule="atLeast"/>
              <w:rPr>
                <w:rFonts w:ascii="宋体"/>
                <w:sz w:val="18"/>
                <w:szCs w:val="18"/>
              </w:rPr>
            </w:pPr>
          </w:p>
          <w:p>
            <w:pPr>
              <w:pStyle w:val="28"/>
              <w:spacing w:before="0" w:after="0" w:line="0" w:lineRule="atLeast"/>
              <w:rPr>
                <w:rFonts w:asci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3" w:hRule="atLeast"/>
          <w:jc w:val="center"/>
        </w:trPr>
        <w:tc>
          <w:tcPr>
            <w:tcW w:w="8105" w:type="dxa"/>
            <w:gridSpan w:val="5"/>
            <w:noWrap w:val="0"/>
            <w:vAlign w:val="center"/>
          </w:tcPr>
          <w:p>
            <w:pPr>
              <w:adjustRightInd w:val="0"/>
              <w:snapToGrid w:val="0"/>
              <w:spacing w:line="0" w:lineRule="atLeast"/>
              <w:jc w:val="center"/>
              <w:rPr>
                <w:rFonts w:ascii="宋体" w:hAnsi="宋体" w:cs="宋体"/>
                <w:sz w:val="28"/>
                <w:szCs w:val="28"/>
              </w:rPr>
            </w:pPr>
            <w:r>
              <w:rPr>
                <w:rFonts w:hint="eastAsia" w:ascii="宋体"/>
                <w:sz w:val="28"/>
                <w:szCs w:val="28"/>
              </w:rPr>
              <w:t>得分</w:t>
            </w:r>
          </w:p>
        </w:tc>
        <w:tc>
          <w:tcPr>
            <w:tcW w:w="2154" w:type="dxa"/>
            <w:gridSpan w:val="2"/>
            <w:noWrap w:val="0"/>
            <w:vAlign w:val="center"/>
          </w:tcPr>
          <w:p>
            <w:pPr>
              <w:pStyle w:val="28"/>
              <w:spacing w:before="0" w:after="0" w:line="0" w:lineRule="atLeast"/>
              <w:jc w:val="center"/>
              <w:rPr>
                <w:rFonts w:ascii="宋体"/>
                <w:sz w:val="28"/>
                <w:szCs w:val="28"/>
              </w:rPr>
            </w:pPr>
          </w:p>
        </w:tc>
      </w:tr>
    </w:tbl>
    <w:p>
      <w:pPr>
        <w:pStyle w:val="16"/>
        <w:rPr>
          <w:rFonts w:hint="eastAsia" w:ascii="仿宋" w:hAnsi="仿宋" w:eastAsia="仿宋" w:cs="仿宋"/>
          <w:color w:val="auto"/>
          <w:highlight w:val="none"/>
          <w:lang w:val="en-US" w:eastAsia="zh-CN"/>
        </w:rPr>
      </w:pPr>
    </w:p>
    <w:p>
      <w:pPr>
        <w:pStyle w:val="13"/>
        <w:rPr>
          <w:rFonts w:hint="eastAsia" w:ascii="仿宋" w:hAnsi="仿宋" w:eastAsia="仿宋" w:cs="仿宋"/>
          <w:color w:val="auto"/>
          <w:highlight w:val="none"/>
          <w:lang w:val="en-US" w:eastAsia="zh-CN"/>
        </w:rPr>
      </w:pPr>
    </w:p>
    <w:p>
      <w:pPr>
        <w:pStyle w:val="2"/>
      </w:pPr>
    </w:p>
    <w:p>
      <w:pPr>
        <w:pStyle w:val="21"/>
        <w:spacing w:line="0" w:lineRule="atLeast"/>
        <w:ind w:firstLine="482" w:firstLineChars="200"/>
        <w:rPr>
          <w:rFonts w:hint="eastAsia" w:ascii="宋体" w:hAnsi="宋体"/>
          <w:b/>
          <w:kern w:val="2"/>
        </w:rPr>
      </w:pPr>
    </w:p>
    <w:bookmarkEnd w:id="190"/>
    <w:bookmarkEnd w:id="191"/>
    <w:bookmarkEnd w:id="195"/>
    <w:bookmarkEnd w:id="196"/>
    <w:bookmarkEnd w:id="202"/>
    <w:p>
      <w:pPr>
        <w:pStyle w:val="5"/>
        <w:rPr>
          <w:rFonts w:hint="eastAsia"/>
        </w:rPr>
      </w:pPr>
    </w:p>
    <w:p>
      <w:pPr>
        <w:pStyle w:val="5"/>
        <w:ind w:firstLine="2209" w:firstLineChars="500"/>
        <w:jc w:val="both"/>
        <w:rPr>
          <w:rFonts w:hint="eastAsia"/>
        </w:rPr>
      </w:pPr>
      <w:r>
        <w:rPr>
          <w:rFonts w:hint="eastAsia"/>
        </w:rPr>
        <w:t xml:space="preserve">第六章  投标文件格式 </w:t>
      </w:r>
    </w:p>
    <w:p>
      <w:pPr>
        <w:jc w:val="center"/>
        <w:rPr>
          <w:rFonts w:hint="eastAsia" w:ascii="宋体" w:hAnsi="宋体"/>
          <w:b/>
          <w:sz w:val="72"/>
        </w:rPr>
      </w:pPr>
      <w:bookmarkStart w:id="203" w:name="_Hlt26955039"/>
      <w:bookmarkEnd w:id="203"/>
      <w:bookmarkStart w:id="204" w:name="_Hlt26671244"/>
      <w:bookmarkEnd w:id="204"/>
      <w:bookmarkStart w:id="205" w:name="_Toc120614282"/>
      <w:bookmarkStart w:id="206" w:name="_Toc49090576"/>
      <w:bookmarkStart w:id="207" w:name="_Toc26554094"/>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color w:val="auto"/>
          <w:sz w:val="36"/>
          <w:u w:val="none"/>
          <w:lang w:val="en-US" w:eastAsia="zh-CN"/>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spacing w:line="440" w:lineRule="exact"/>
        <w:jc w:val="center"/>
        <w:rPr>
          <w:rFonts w:hint="eastAsia" w:ascii="宋体" w:hAnsi="宋体"/>
          <w:b/>
          <w:bCs/>
          <w:sz w:val="32"/>
          <w:szCs w:val="32"/>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hint="eastAsia" w:ascii="宋体" w:hAnsi="宋体"/>
          <w:b/>
          <w:sz w:val="30"/>
          <w:szCs w:val="30"/>
        </w:rPr>
      </w:pPr>
    </w:p>
    <w:p>
      <w:pPr>
        <w:spacing w:line="440" w:lineRule="exact"/>
        <w:ind w:firstLine="3614" w:firstLineChars="1200"/>
        <w:rPr>
          <w:rFonts w:ascii="宋体" w:hAnsi="宋体"/>
          <w:b/>
          <w:sz w:val="30"/>
          <w:szCs w:val="30"/>
        </w:rPr>
      </w:pPr>
      <w:r>
        <w:rPr>
          <w:rFonts w:hint="eastAsia" w:ascii="宋体" w:hAnsi="宋体"/>
          <w:b/>
          <w:sz w:val="30"/>
          <w:szCs w:val="30"/>
        </w:rPr>
        <w:t>评分索引表</w:t>
      </w:r>
    </w:p>
    <w:tbl>
      <w:tblPr>
        <w:tblStyle w:val="17"/>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6"/>
              <w:shd w:val="clear" w:color="auto" w:fill="FFFFFF"/>
              <w:spacing w:line="265" w:lineRule="atLeast"/>
              <w:ind w:left="420"/>
              <w:jc w:val="center"/>
              <w:rPr>
                <w:rFonts w:ascii="宋体" w:hAnsi="宋体" w:eastAsia="Times New Roman"/>
                <w:b/>
                <w:bCs/>
                <w:lang w:val="en-US" w:eastAsia="zh-CN"/>
              </w:rPr>
            </w:pPr>
            <w:r>
              <w:rPr>
                <w:rFonts w:hint="eastAsia" w:ascii="宋体" w:hAnsi="宋体" w:eastAsia="Times New Roman"/>
                <w:b/>
                <w:lang w:val="en-US"/>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26"/>
              <w:shd w:val="clear" w:color="auto" w:fill="FFFFFF"/>
              <w:spacing w:line="265" w:lineRule="atLeast"/>
              <w:ind w:left="420"/>
              <w:jc w:val="both"/>
              <w:rPr>
                <w:rFonts w:ascii="宋体" w:hAnsi="宋体" w:eastAsia="Times New Roman"/>
                <w:b/>
                <w:lang w:val="en-US"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26"/>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26"/>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26"/>
              <w:shd w:val="clear" w:color="auto" w:fill="FFFFFF"/>
              <w:spacing w:line="265" w:lineRule="atLeast"/>
              <w:ind w:left="420"/>
              <w:jc w:val="both"/>
              <w:rPr>
                <w:rFonts w:ascii="宋体" w:hAnsi="宋体" w:eastAsia="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26"/>
              <w:shd w:val="clear" w:color="auto" w:fill="FFFFFF"/>
              <w:spacing w:line="265" w:lineRule="atLeast"/>
              <w:ind w:left="420"/>
              <w:rPr>
                <w:rFonts w:ascii="宋体" w:hAnsi="宋体" w:eastAsia="Times New Roman"/>
                <w:b/>
                <w:bCs/>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26"/>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bl>
    <w:p>
      <w:pPr>
        <w:rPr>
          <w:rFonts w:ascii="宋体" w:hAnsi="宋体"/>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ascii="宋体" w:hAnsi="宋体"/>
          <w:i/>
          <w:sz w:val="24"/>
          <w:u w:val="single"/>
        </w:rPr>
      </w:pPr>
      <w:r>
        <w:rPr>
          <w:rFonts w:hint="eastAsia" w:ascii="宋体" w:hAnsi="宋体"/>
          <w:i/>
          <w:sz w:val="24"/>
          <w:u w:val="single"/>
        </w:rPr>
        <w:t>七、开标一览表</w:t>
      </w:r>
    </w:p>
    <w:p>
      <w:pPr>
        <w:ind w:firstLine="480" w:firstLineChars="200"/>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八、拟派项目人员及管理人员一览表</w:t>
      </w:r>
    </w:p>
    <w:p>
      <w:pPr>
        <w:ind w:firstLine="480" w:firstLineChars="200"/>
        <w:rPr>
          <w:rFonts w:hint="default" w:eastAsia="楷体_GB2312"/>
          <w:lang w:val="en-US" w:eastAsia="zh-CN"/>
        </w:rPr>
      </w:pPr>
      <w:r>
        <w:rPr>
          <w:rFonts w:hint="eastAsia" w:ascii="宋体" w:hAnsi="宋体" w:cs="Times New Roman"/>
          <w:kern w:val="2"/>
          <w:sz w:val="24"/>
          <w:szCs w:val="21"/>
          <w:lang w:val="en-US" w:eastAsia="zh-CN" w:bidi="ar-SA"/>
        </w:rPr>
        <w:t>九</w:t>
      </w:r>
      <w:r>
        <w:rPr>
          <w:rFonts w:hint="eastAsia" w:ascii="宋体" w:hAnsi="宋体" w:eastAsia="宋体" w:cs="Times New Roman"/>
          <w:kern w:val="2"/>
          <w:sz w:val="24"/>
          <w:szCs w:val="21"/>
          <w:lang w:val="en-US" w:eastAsia="zh-CN" w:bidi="ar-SA"/>
        </w:rPr>
        <w:t>、供应商认为有必要提供的声明及文件资料</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6"/>
        <w:jc w:val="center"/>
        <w:rPr>
          <w:rFonts w:hint="eastAsia" w:ascii="黑体" w:eastAsia="黑体"/>
          <w:sz w:val="44"/>
        </w:rPr>
      </w:pPr>
      <w:r>
        <w:rPr>
          <w:sz w:val="24"/>
        </w:rPr>
        <w:br w:type="page"/>
      </w:r>
      <w:bookmarkStart w:id="208" w:name="_Toc534816641"/>
      <w:bookmarkStart w:id="209" w:name="_Toc534725612"/>
      <w:r>
        <w:rPr>
          <w:rFonts w:hint="eastAsia" w:ascii="宋体" w:hAnsi="宋体"/>
          <w:bCs w:val="0"/>
        </w:rPr>
        <w:t>一、</w:t>
      </w:r>
      <w:bookmarkEnd w:id="208"/>
      <w:bookmarkEnd w:id="209"/>
      <w:r>
        <w:rPr>
          <w:rFonts w:hint="eastAsia" w:ascii="宋体" w:hAnsi="宋体"/>
          <w:bCs w:val="0"/>
        </w:rPr>
        <w:t>资格审查响应对照表</w:t>
      </w:r>
      <w:bookmarkEnd w:id="205"/>
      <w:bookmarkEnd w:id="206"/>
      <w:bookmarkEnd w:id="207"/>
    </w:p>
    <w:p>
      <w:pPr>
        <w:snapToGrid w:val="0"/>
        <w:spacing w:before="50" w:after="50"/>
        <w:rPr>
          <w:rFonts w:ascii="黑体" w:eastAsia="黑体"/>
          <w:sz w:val="44"/>
        </w:rPr>
      </w:pPr>
    </w:p>
    <w:tbl>
      <w:tblPr>
        <w:tblStyle w:val="17"/>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5454"/>
        <w:gridCol w:w="111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39"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序号</w:t>
            </w:r>
          </w:p>
        </w:tc>
        <w:tc>
          <w:tcPr>
            <w:tcW w:w="5454"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资格审查响应内容</w:t>
            </w:r>
          </w:p>
        </w:tc>
        <w:tc>
          <w:tcPr>
            <w:tcW w:w="1115"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是否响应</w:t>
            </w:r>
          </w:p>
          <w:p>
            <w:pPr>
              <w:snapToGrid w:val="0"/>
              <w:spacing w:line="240" w:lineRule="atLeast"/>
              <w:jc w:val="center"/>
              <w:rPr>
                <w:rFonts w:ascii="幼圆" w:eastAsia="幼圆"/>
                <w:b/>
                <w:color w:val="auto"/>
                <w:highlight w:val="none"/>
              </w:rPr>
            </w:pPr>
            <w:r>
              <w:rPr>
                <w:rFonts w:hint="eastAsia" w:ascii="幼圆" w:eastAsia="幼圆"/>
                <w:b/>
                <w:color w:val="auto"/>
                <w:highlight w:val="none"/>
              </w:rPr>
              <w:t>（填是或否）</w:t>
            </w:r>
          </w:p>
        </w:tc>
        <w:tc>
          <w:tcPr>
            <w:tcW w:w="1904"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rPr>
                <w:rFonts w:ascii="宋体" w:hAnsi="宋体"/>
                <w:b/>
                <w:color w:val="auto"/>
                <w:highlight w:val="none"/>
              </w:rPr>
            </w:pPr>
            <w:r>
              <w:rPr>
                <w:rFonts w:hint="eastAsia" w:ascii="宋体" w:hAnsi="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39"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5454"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法人或者其他组织的营业执照等证明文件，自然人的身份证明（身份证为正、反面）</w:t>
            </w:r>
          </w:p>
        </w:tc>
        <w:tc>
          <w:tcPr>
            <w:tcW w:w="1115" w:type="dxa"/>
            <w:noWrap w:val="0"/>
            <w:vAlign w:val="center"/>
          </w:tcPr>
          <w:p>
            <w:pPr>
              <w:rPr>
                <w:rFonts w:ascii="宋体" w:hAnsi="宋体"/>
                <w:b/>
                <w:color w:val="auto"/>
                <w:highlight w:val="none"/>
              </w:rPr>
            </w:pPr>
          </w:p>
        </w:tc>
        <w:tc>
          <w:tcPr>
            <w:tcW w:w="1904" w:type="dxa"/>
            <w:noWrap w:val="0"/>
            <w:vAlign w:val="center"/>
          </w:tcPr>
          <w:p>
            <w:pP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39"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5454"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最近一个年度的财务状况报告（成立不满一年不需提供）</w:t>
            </w:r>
          </w:p>
        </w:tc>
        <w:tc>
          <w:tcPr>
            <w:tcW w:w="1115" w:type="dxa"/>
            <w:noWrap w:val="0"/>
            <w:vAlign w:val="center"/>
          </w:tcPr>
          <w:p>
            <w:pPr>
              <w:rPr>
                <w:rFonts w:ascii="宋体" w:hAnsi="宋体"/>
                <w:color w:val="auto"/>
                <w:highlight w:val="none"/>
              </w:rPr>
            </w:pPr>
          </w:p>
        </w:tc>
        <w:tc>
          <w:tcPr>
            <w:tcW w:w="1904"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39"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5454"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1115" w:type="dxa"/>
            <w:noWrap w:val="0"/>
            <w:vAlign w:val="center"/>
          </w:tcPr>
          <w:p>
            <w:pPr>
              <w:rPr>
                <w:rFonts w:ascii="宋体" w:hAnsi="宋体"/>
                <w:color w:val="auto"/>
                <w:highlight w:val="none"/>
              </w:rPr>
            </w:pPr>
          </w:p>
        </w:tc>
        <w:tc>
          <w:tcPr>
            <w:tcW w:w="1904"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39"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5454"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具备履行合同所必需的设备和专业技术能力的书面声明</w:t>
            </w:r>
          </w:p>
        </w:tc>
        <w:tc>
          <w:tcPr>
            <w:tcW w:w="1115" w:type="dxa"/>
            <w:noWrap w:val="0"/>
            <w:vAlign w:val="center"/>
          </w:tcPr>
          <w:p>
            <w:pPr>
              <w:rPr>
                <w:rFonts w:ascii="宋体" w:hAnsi="宋体"/>
                <w:color w:val="auto"/>
                <w:highlight w:val="none"/>
              </w:rPr>
            </w:pPr>
          </w:p>
        </w:tc>
        <w:tc>
          <w:tcPr>
            <w:tcW w:w="1904"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39"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5454"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rPr>
              <w:t>参加政府采购活动前 3 年内在经营活动中没有重大违法记录的书面声明</w:t>
            </w:r>
          </w:p>
        </w:tc>
        <w:tc>
          <w:tcPr>
            <w:tcW w:w="1115" w:type="dxa"/>
            <w:noWrap w:val="0"/>
            <w:vAlign w:val="center"/>
          </w:tcPr>
          <w:p>
            <w:pPr>
              <w:rPr>
                <w:rFonts w:ascii="宋体" w:hAnsi="宋体"/>
                <w:color w:val="auto"/>
                <w:highlight w:val="none"/>
              </w:rPr>
            </w:pPr>
          </w:p>
        </w:tc>
        <w:tc>
          <w:tcPr>
            <w:tcW w:w="1904"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39"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5454" w:type="dxa"/>
            <w:noWrap w:val="0"/>
            <w:vAlign w:val="center"/>
          </w:tcPr>
          <w:p>
            <w:pPr>
              <w:snapToGrid w:val="0"/>
              <w:spacing w:line="0" w:lineRule="atLeast"/>
              <w:rPr>
                <w:rFonts w:hint="eastAsia" w:ascii="宋体" w:hAnsi="宋体" w:eastAsia="宋体"/>
                <w:iCs/>
                <w:color w:val="auto"/>
                <w:sz w:val="24"/>
                <w:szCs w:val="24"/>
                <w:highlight w:val="none"/>
                <w:lang w:eastAsia="zh-CN"/>
              </w:rPr>
            </w:pPr>
            <w:r>
              <w:rPr>
                <w:rFonts w:hint="eastAsia" w:ascii="宋体" w:hAnsi="宋体" w:cs="Times New Roman"/>
                <w:iCs/>
                <w:color w:val="auto"/>
                <w:sz w:val="24"/>
                <w:szCs w:val="24"/>
                <w:highlight w:val="none"/>
              </w:rPr>
              <w:t>未被“信用中国”网站（www.creditchina.gov.cn）</w:t>
            </w:r>
            <w:r>
              <w:rPr>
                <w:rFonts w:hint="eastAsia" w:ascii="宋体" w:hAnsi="宋体" w:cs="Times New Roman"/>
                <w:iCs/>
                <w:color w:val="auto"/>
                <w:sz w:val="24"/>
                <w:szCs w:val="24"/>
                <w:highlight w:val="none"/>
                <w:lang w:eastAsia="zh-CN"/>
              </w:rPr>
              <w:t>、“中国政府采购网"(www.ccgp.gov.cn)</w:t>
            </w:r>
            <w:r>
              <w:rPr>
                <w:rFonts w:hint="eastAsia" w:ascii="宋体" w:hAnsi="宋体" w:cs="Times New Roman"/>
                <w:iCs/>
                <w:color w:val="auto"/>
                <w:sz w:val="24"/>
                <w:szCs w:val="24"/>
                <w:highlight w:val="none"/>
              </w:rPr>
              <w:t>列入失信被执行人、重大税收违法案件当事人名单、政府采购严重失信行为记录名单</w:t>
            </w:r>
            <w:r>
              <w:rPr>
                <w:rFonts w:hint="eastAsia" w:ascii="宋体" w:hAnsi="宋体" w:cs="Times New Roman"/>
                <w:color w:val="auto"/>
                <w:sz w:val="24"/>
                <w:szCs w:val="24"/>
                <w:highlight w:val="none"/>
              </w:rPr>
              <w:t>（提供网页截图</w:t>
            </w:r>
            <w:r>
              <w:rPr>
                <w:rFonts w:hint="eastAsia" w:ascii="宋体" w:hAnsi="宋体" w:cs="Times New Roman"/>
                <w:color w:val="auto"/>
                <w:sz w:val="24"/>
                <w:szCs w:val="24"/>
                <w:highlight w:val="none"/>
                <w:lang w:eastAsia="zh-CN"/>
              </w:rPr>
              <w:t>）</w:t>
            </w:r>
          </w:p>
        </w:tc>
        <w:tc>
          <w:tcPr>
            <w:tcW w:w="1115" w:type="dxa"/>
            <w:noWrap w:val="0"/>
            <w:vAlign w:val="center"/>
          </w:tcPr>
          <w:p>
            <w:pPr>
              <w:rPr>
                <w:rFonts w:ascii="宋体" w:hAnsi="宋体"/>
                <w:color w:val="auto"/>
                <w:highlight w:val="none"/>
              </w:rPr>
            </w:pPr>
          </w:p>
        </w:tc>
        <w:tc>
          <w:tcPr>
            <w:tcW w:w="1904"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9" w:type="dxa"/>
            <w:noWrap w:val="0"/>
            <w:vAlign w:val="center"/>
          </w:tcPr>
          <w:p>
            <w:pPr>
              <w:rPr>
                <w:rFonts w:hint="eastAsia" w:ascii="宋体" w:hAnsi="宋体" w:eastAsia="宋体"/>
                <w:b/>
                <w:color w:val="auto"/>
                <w:highlight w:val="none"/>
                <w:lang w:val="en-US" w:eastAsia="zh-CN"/>
              </w:rPr>
            </w:pPr>
            <w:r>
              <w:rPr>
                <w:rFonts w:hint="eastAsia" w:ascii="宋体" w:hAnsi="宋体"/>
                <w:b/>
                <w:color w:val="auto"/>
                <w:highlight w:val="none"/>
                <w:lang w:val="en-US" w:eastAsia="zh-CN"/>
              </w:rPr>
              <w:t>7</w:t>
            </w:r>
          </w:p>
        </w:tc>
        <w:tc>
          <w:tcPr>
            <w:tcW w:w="5454" w:type="dxa"/>
            <w:noWrap w:val="0"/>
            <w:vAlign w:val="center"/>
          </w:tcPr>
          <w:p>
            <w:pPr>
              <w:snapToGrid w:val="0"/>
              <w:spacing w:line="0" w:lineRule="atLeast"/>
              <w:rPr>
                <w:rFonts w:hint="eastAsia" w:ascii="宋体" w:hAnsi="宋体"/>
                <w:b/>
                <w:color w:val="auto"/>
                <w:highlight w:val="none"/>
              </w:rPr>
            </w:pPr>
            <w:r>
              <w:rPr>
                <w:rFonts w:hint="eastAsia" w:ascii="宋体" w:hAnsi="宋体"/>
                <w:iCs/>
                <w:color w:val="auto"/>
                <w:sz w:val="24"/>
                <w:szCs w:val="24"/>
                <w:highlight w:val="none"/>
              </w:rPr>
              <w:t>法定代表人授权委托书(法定代表人本人投标时除外)及被授权人（或法定代表人）《居民身份证》或具有同等法律效力的证明文件（发证机关或公证机关出具的证明材料）；</w:t>
            </w:r>
          </w:p>
        </w:tc>
        <w:tc>
          <w:tcPr>
            <w:tcW w:w="1115" w:type="dxa"/>
            <w:noWrap w:val="0"/>
            <w:vAlign w:val="center"/>
          </w:tcPr>
          <w:p>
            <w:pPr>
              <w:rPr>
                <w:rFonts w:hint="eastAsia" w:ascii="宋体" w:hAnsi="宋体"/>
                <w:b/>
                <w:color w:val="auto"/>
                <w:highlight w:val="none"/>
              </w:rPr>
            </w:pPr>
          </w:p>
        </w:tc>
        <w:tc>
          <w:tcPr>
            <w:tcW w:w="1904" w:type="dxa"/>
            <w:noWrap w:val="0"/>
            <w:vAlign w:val="center"/>
          </w:tcPr>
          <w:p>
            <w:pPr>
              <w:rPr>
                <w:rFonts w:hint="eastAsia"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rPr>
                <w:rFonts w:hint="eastAsia" w:ascii="宋体" w:hAnsi="宋体"/>
                <w:b/>
                <w:color w:val="auto"/>
                <w:highlight w:val="none"/>
              </w:rPr>
            </w:pPr>
            <w:r>
              <w:rPr>
                <w:rFonts w:hint="eastAsia" w:ascii="宋体" w:hAnsi="宋体"/>
                <w:b/>
                <w:color w:val="auto"/>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639"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5454"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lang w:val="en-US" w:eastAsia="zh-CN"/>
              </w:rPr>
              <w:t>符合《公安机关实施保安服务管理条例办法》的规定，在采购人所在地的公安机关有备案，并具有有效的公安机关核发《保安服务许可证》。投标</w:t>
            </w:r>
            <w:r>
              <w:rPr>
                <w:rFonts w:hint="eastAsia" w:ascii="宋体" w:hAnsi="宋体"/>
                <w:iCs/>
                <w:color w:val="auto"/>
                <w:sz w:val="24"/>
                <w:szCs w:val="24"/>
                <w:highlight w:val="none"/>
              </w:rPr>
              <w:t>公司</w:t>
            </w:r>
            <w:r>
              <w:rPr>
                <w:rFonts w:hint="eastAsia" w:ascii="宋体" w:hAnsi="宋体"/>
                <w:iCs/>
                <w:color w:val="auto"/>
                <w:sz w:val="24"/>
                <w:szCs w:val="24"/>
                <w:highlight w:val="none"/>
                <w:lang w:val="en-US" w:eastAsia="zh-CN"/>
              </w:rPr>
              <w:t>须</w:t>
            </w:r>
            <w:r>
              <w:rPr>
                <w:rFonts w:hint="eastAsia" w:ascii="宋体" w:hAnsi="宋体"/>
                <w:iCs/>
                <w:color w:val="auto"/>
                <w:sz w:val="24"/>
                <w:szCs w:val="24"/>
                <w:highlight w:val="none"/>
              </w:rPr>
              <w:t>提供</w:t>
            </w:r>
            <w:r>
              <w:rPr>
                <w:rFonts w:hint="eastAsia" w:ascii="宋体" w:hAnsi="宋体"/>
                <w:iCs/>
                <w:color w:val="auto"/>
                <w:sz w:val="24"/>
                <w:szCs w:val="24"/>
                <w:highlight w:val="none"/>
                <w:lang w:val="en-US" w:eastAsia="zh-CN"/>
              </w:rPr>
              <w:t>加盖投标人公章的电子证照</w:t>
            </w:r>
            <w:r>
              <w:rPr>
                <w:rFonts w:hint="eastAsia" w:ascii="宋体" w:hAnsi="宋体"/>
                <w:iCs/>
                <w:color w:val="auto"/>
                <w:sz w:val="24"/>
                <w:szCs w:val="24"/>
                <w:highlight w:val="none"/>
              </w:rPr>
              <w:t>。</w:t>
            </w:r>
          </w:p>
        </w:tc>
        <w:tc>
          <w:tcPr>
            <w:tcW w:w="3019" w:type="dxa"/>
            <w:gridSpan w:val="2"/>
            <w:noWrap w:val="0"/>
            <w:vAlign w:val="center"/>
          </w:tcPr>
          <w:p>
            <w:pPr>
              <w:rPr>
                <w:rFonts w:hint="eastAsia"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color w:val="auto"/>
                <w:highlight w:val="none"/>
                <w:lang w:val="en-US" w:eastAsia="zh-CN"/>
              </w:rPr>
            </w:pPr>
            <w:r>
              <w:rPr>
                <w:rFonts w:hint="eastAsia" w:ascii="宋体" w:hAnsi="宋体"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39"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9</w:t>
            </w:r>
          </w:p>
        </w:tc>
        <w:tc>
          <w:tcPr>
            <w:tcW w:w="5454" w:type="dxa"/>
            <w:noWrap w:val="0"/>
            <w:vAlign w:val="center"/>
          </w:tcPr>
          <w:p>
            <w:pPr>
              <w:snapToGrid w:val="0"/>
              <w:spacing w:line="0" w:lineRule="atLeast"/>
              <w:jc w:val="left"/>
              <w:rPr>
                <w:rFonts w:ascii="宋体" w:hAnsi="宋体"/>
                <w:iCs/>
                <w:color w:val="auto"/>
                <w:sz w:val="24"/>
                <w:szCs w:val="24"/>
                <w:highlight w:val="none"/>
              </w:rPr>
            </w:pPr>
            <w:r>
              <w:rPr>
                <w:rFonts w:hint="eastAsia" w:ascii="宋体" w:hAnsi="宋体"/>
                <w:iCs/>
                <w:color w:val="auto"/>
                <w:sz w:val="24"/>
                <w:szCs w:val="24"/>
                <w:highlight w:val="none"/>
              </w:rPr>
              <w:t>本项目专门面向中小企业，投标供应商须上传《中小企业声明函》</w:t>
            </w:r>
          </w:p>
        </w:tc>
        <w:tc>
          <w:tcPr>
            <w:tcW w:w="3019" w:type="dxa"/>
            <w:gridSpan w:val="2"/>
            <w:noWrap w:val="0"/>
            <w:vAlign w:val="center"/>
          </w:tcPr>
          <w:p>
            <w:pP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39" w:type="dxa"/>
            <w:noWrap w:val="0"/>
            <w:vAlign w:val="center"/>
          </w:tcPr>
          <w:p>
            <w:pPr>
              <w:jc w:val="center"/>
              <w:rPr>
                <w:rFonts w:hint="default" w:ascii="宋体" w:hAnsi="宋体" w:eastAsia="宋体"/>
                <w:color w:val="auto"/>
                <w:highlight w:val="none"/>
                <w:lang w:val="en-US" w:eastAsia="zh-CN"/>
              </w:rPr>
            </w:pPr>
          </w:p>
        </w:tc>
        <w:tc>
          <w:tcPr>
            <w:tcW w:w="5454" w:type="dxa"/>
            <w:noWrap w:val="0"/>
            <w:vAlign w:val="center"/>
          </w:tcPr>
          <w:p>
            <w:pPr>
              <w:snapToGrid w:val="0"/>
              <w:spacing w:line="0" w:lineRule="atLeast"/>
              <w:jc w:val="left"/>
              <w:rPr>
                <w:rFonts w:hint="default" w:ascii="宋体" w:hAnsi="宋体" w:eastAsia="宋体"/>
                <w:iCs/>
                <w:color w:val="auto"/>
                <w:sz w:val="24"/>
                <w:szCs w:val="24"/>
                <w:highlight w:val="none"/>
                <w:lang w:val="en-US" w:eastAsia="zh-CN"/>
              </w:rPr>
            </w:pPr>
          </w:p>
        </w:tc>
        <w:tc>
          <w:tcPr>
            <w:tcW w:w="3019" w:type="dxa"/>
            <w:gridSpan w:val="2"/>
            <w:noWrap w:val="0"/>
            <w:vAlign w:val="center"/>
          </w:tcPr>
          <w:p>
            <w:pPr>
              <w:rPr>
                <w:rFonts w:ascii="宋体" w:hAnsi="宋体"/>
                <w:color w:val="auto"/>
                <w:highlight w:val="none"/>
              </w:rPr>
            </w:pPr>
          </w:p>
        </w:tc>
      </w:tr>
    </w:tbl>
    <w:p>
      <w:pPr>
        <w:pStyle w:val="16"/>
        <w:sectPr>
          <w:footerReference r:id="rId3" w:type="first"/>
          <w:pgSz w:w="11906" w:h="16838"/>
          <w:pgMar w:top="1418" w:right="1588" w:bottom="1418" w:left="1365" w:header="851" w:footer="907" w:gutter="0"/>
          <w:cols w:space="720" w:num="1"/>
          <w:titlePg/>
          <w:docGrid w:type="lines" w:linePitch="290" w:charSpace="0"/>
        </w:sectPr>
      </w:pPr>
    </w:p>
    <w:p>
      <w:pPr>
        <w:jc w:val="center"/>
        <w:rPr>
          <w:rFonts w:ascii="宋体" w:hAnsi="宋体"/>
          <w:b/>
          <w:sz w:val="32"/>
          <w:szCs w:val="32"/>
        </w:rPr>
      </w:pPr>
      <w:r>
        <w:rPr>
          <w:rFonts w:hint="eastAsia" w:ascii="宋体" w:hAnsi="宋体"/>
          <w:b/>
          <w:sz w:val="32"/>
          <w:szCs w:val="32"/>
        </w:rPr>
        <w:t>二、符合性审查响应对照表</w:t>
      </w: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序号</w:t>
            </w:r>
          </w:p>
        </w:tc>
        <w:tc>
          <w:tcPr>
            <w:tcW w:w="5447"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符合性审查响应内容</w:t>
            </w:r>
          </w:p>
        </w:tc>
        <w:tc>
          <w:tcPr>
            <w:tcW w:w="1680"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是否响应</w:t>
            </w:r>
          </w:p>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（填是或否）</w:t>
            </w:r>
          </w:p>
        </w:tc>
        <w:tc>
          <w:tcPr>
            <w:tcW w:w="1308" w:type="dxa"/>
            <w:noWrap w:val="0"/>
            <w:vAlign w:val="center"/>
          </w:tcPr>
          <w:p>
            <w:pPr>
              <w:snapToGrid w:val="0"/>
              <w:spacing w:line="240" w:lineRule="auto"/>
              <w:rPr>
                <w:rFonts w:ascii="幼圆" w:hAnsi="Times New Roman" w:eastAsia="幼圆" w:cs="Times New Roman"/>
                <w:b/>
                <w:sz w:val="21"/>
              </w:rPr>
            </w:pPr>
            <w:r>
              <w:rPr>
                <w:rFonts w:hint="eastAsia" w:ascii="幼圆" w:hAnsi="Times New Roman" w:eastAsia="幼圆" w:cs="Times New Roman"/>
                <w:b/>
                <w:sz w:val="21"/>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1</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2</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按照</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3</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rPr>
                <w:rFonts w:hint="eastAsia" w:ascii="宋体" w:hAnsi="宋体" w:eastAsia="宋体" w:cs="Times New Roman"/>
                <w:sz w:val="24"/>
                <w:szCs w:val="24"/>
              </w:rPr>
            </w:pP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4</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符合</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文件中规定的实质性要求和条件的（本</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5</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cs="Times New Roman"/>
                <w:sz w:val="21"/>
                <w:lang w:val="en-US" w:eastAsia="zh-CN"/>
              </w:rPr>
              <w:t>6</w:t>
            </w:r>
          </w:p>
        </w:tc>
        <w:tc>
          <w:tcPr>
            <w:tcW w:w="5447" w:type="dxa"/>
            <w:noWrap w:val="0"/>
            <w:vAlign w:val="center"/>
          </w:tcPr>
          <w:p>
            <w:pPr>
              <w:spacing w:line="0" w:lineRule="atLeast"/>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所需人员的数量、年龄、资格证书、学历证书</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8"/>
        <w:ind w:firstLine="0"/>
        <w:jc w:val="center"/>
        <w:rPr>
          <w:rFonts w:hint="eastAsia" w:ascii="黑体" w:hAnsi="宋体" w:eastAsia="黑体"/>
          <w:b/>
          <w:bCs/>
          <w:sz w:val="30"/>
          <w:szCs w:val="30"/>
          <w:lang w:eastAsia="zh-CN"/>
        </w:rPr>
        <w:sectPr>
          <w:pgSz w:w="11906" w:h="16838"/>
          <w:pgMar w:top="1418" w:right="1588" w:bottom="1418" w:left="1365" w:header="851" w:footer="907" w:gutter="0"/>
          <w:cols w:space="720" w:num="1"/>
          <w:titlePg/>
          <w:docGrid w:type="lines" w:linePitch="290" w:charSpace="0"/>
        </w:sectPr>
      </w:pPr>
      <w:bookmarkStart w:id="210" w:name="_Toc534725614"/>
      <w:bookmarkStart w:id="211" w:name="_Toc534816643"/>
      <w:bookmarkStart w:id="212" w:name="_Toc120614284"/>
    </w:p>
    <w:p>
      <w:pPr>
        <w:pStyle w:val="8"/>
        <w:ind w:firstLine="0"/>
        <w:jc w:val="center"/>
        <w:rPr>
          <w:rFonts w:hint="eastAsia" w:ascii="黑体" w:hAnsi="宋体" w:eastAsia="黑体"/>
          <w:b/>
          <w:bCs/>
          <w:sz w:val="30"/>
          <w:szCs w:val="30"/>
          <w:lang w:eastAsia="zh-CN"/>
        </w:rPr>
      </w:pPr>
    </w:p>
    <w:bookmarkEnd w:id="210"/>
    <w:bookmarkEnd w:id="211"/>
    <w:p>
      <w:pPr>
        <w:pStyle w:val="6"/>
        <w:ind w:firstLine="1928" w:firstLineChars="600"/>
        <w:jc w:val="both"/>
      </w:pPr>
      <w:r>
        <w:rPr>
          <w:rFonts w:hint="eastAsia"/>
          <w:lang w:val="en-US" w:eastAsia="zh-CN"/>
        </w:rPr>
        <w:t>四</w:t>
      </w:r>
      <w:r>
        <w:rPr>
          <w:rFonts w:hint="eastAsia"/>
        </w:rPr>
        <w:t>、投标产品配置及分项报价表</w:t>
      </w:r>
    </w:p>
    <w:tbl>
      <w:tblPr>
        <w:tblStyle w:val="17"/>
        <w:tblW w:w="14642" w:type="dxa"/>
        <w:jc w:val="center"/>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4032"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lang w:val="en-US" w:eastAsia="zh-CN"/>
              </w:rPr>
            </w:pPr>
            <w:r>
              <w:rPr>
                <w:rFonts w:hint="eastAsia" w:ascii="宋体" w:hAnsi="宋体" w:eastAsia="仿宋"/>
                <w:sz w:val="24"/>
                <w:szCs w:val="24"/>
                <w:lang w:val="en-US" w:eastAsia="zh-CN"/>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rPr>
          <w:rFonts w:hint="eastAsia" w:ascii="宋体" w:hAnsi="宋体"/>
          <w:bCs/>
          <w:sz w:val="24"/>
        </w:rPr>
        <w:sectPr>
          <w:pgSz w:w="16838" w:h="11906" w:orient="landscape"/>
          <w:pgMar w:top="1365" w:right="1418" w:bottom="1588" w:left="1418" w:header="851" w:footer="907" w:gutter="0"/>
          <w:cols w:space="720" w:num="1"/>
          <w:titlePg/>
          <w:docGrid w:type="lines" w:linePitch="290" w:charSpace="0"/>
        </w:sectPr>
      </w:pPr>
      <w:r>
        <w:rPr>
          <w:rFonts w:hint="eastAsia" w:ascii="宋体" w:hAnsi="宋体"/>
          <w:bCs/>
          <w:sz w:val="24"/>
        </w:rPr>
        <w:t>注：单价和总价采用人民币报价，以元为单位。</w:t>
      </w:r>
    </w:p>
    <w:p>
      <w:pPr>
        <w:pStyle w:val="6"/>
        <w:jc w:val="center"/>
        <w:rPr>
          <w:rFonts w:hint="eastAsia"/>
        </w:rPr>
      </w:pPr>
      <w:bookmarkStart w:id="213" w:name="_Toc534816648"/>
      <w:bookmarkStart w:id="214" w:name="_Toc534725619"/>
      <w:r>
        <w:rPr>
          <w:rFonts w:hint="eastAsia"/>
          <w:lang w:val="en-US" w:eastAsia="zh-CN"/>
        </w:rPr>
        <w:t>五</w:t>
      </w:r>
      <w:r>
        <w:rPr>
          <w:rFonts w:hint="eastAsia"/>
        </w:rPr>
        <w:t>、技术参数响应及偏离表</w:t>
      </w:r>
      <w:bookmarkEnd w:id="213"/>
      <w:bookmarkEnd w:id="214"/>
    </w:p>
    <w:p>
      <w:pPr>
        <w:jc w:val="center"/>
        <w:rPr>
          <w:rFonts w:hint="eastAsia" w:ascii="宋体" w:hAnsi="宋体"/>
          <w:sz w:val="24"/>
          <w:szCs w:val="24"/>
        </w:rPr>
      </w:pPr>
    </w:p>
    <w:tbl>
      <w:tblPr>
        <w:tblStyle w:val="17"/>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cols w:space="720" w:num="1"/>
          <w:titlePg/>
          <w:docGrid w:type="lines" w:linePitch="290" w:charSpace="0"/>
        </w:sectPr>
      </w:pPr>
    </w:p>
    <w:bookmarkEnd w:id="212"/>
    <w:p>
      <w:pPr>
        <w:pStyle w:val="6"/>
        <w:jc w:val="center"/>
        <w:rPr>
          <w:rFonts w:hint="eastAsia"/>
        </w:rPr>
      </w:pPr>
      <w:bookmarkStart w:id="215" w:name="_Hlt26955054"/>
      <w:bookmarkEnd w:id="215"/>
      <w:bookmarkStart w:id="216" w:name="_Toc534725620"/>
      <w:bookmarkStart w:id="217" w:name="_Toc534816649"/>
      <w:r>
        <w:rPr>
          <w:rFonts w:hint="eastAsia"/>
          <w:lang w:val="en-US" w:eastAsia="zh-CN"/>
        </w:rPr>
        <w:t>六</w:t>
      </w:r>
      <w:r>
        <w:rPr>
          <w:rFonts w:hint="eastAsia"/>
        </w:rPr>
        <w:t>、商务条款响应及偏离表</w:t>
      </w:r>
      <w:bookmarkEnd w:id="216"/>
      <w:bookmarkEnd w:id="217"/>
    </w:p>
    <w:tbl>
      <w:tblPr>
        <w:tblStyle w:val="17"/>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default" w:ascii="仿宋_GB2312" w:hAnsi="宋体" w:eastAsia="仿宋_GB2312"/>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jc w:val="center"/>
        <w:rPr>
          <w:rFonts w:hint="eastAsia" w:ascii="宋体" w:hAnsi="宋体"/>
          <w:sz w:val="24"/>
          <w:szCs w:val="24"/>
        </w:rPr>
      </w:pPr>
    </w:p>
    <w:p>
      <w:pPr>
        <w:spacing w:line="480" w:lineRule="auto"/>
        <w:rPr>
          <w:rFonts w:hint="eastAsia" w:ascii="宋体" w:hAnsi="宋体"/>
          <w:sz w:val="24"/>
        </w:rPr>
      </w:pPr>
      <w:bookmarkStart w:id="218" w:name="_Hlt26671343"/>
      <w:bookmarkEnd w:id="218"/>
      <w:bookmarkStart w:id="219" w:name="_Hlt26671372"/>
      <w:bookmarkEnd w:id="219"/>
      <w:bookmarkStart w:id="220" w:name="_Hlt26609391"/>
      <w:bookmarkEnd w:id="220"/>
      <w:bookmarkStart w:id="221" w:name="_Hlt24879081"/>
      <w:bookmarkEnd w:id="221"/>
      <w:bookmarkStart w:id="222" w:name="_Hlt26580838"/>
      <w:bookmarkEnd w:id="222"/>
      <w:bookmarkStart w:id="223" w:name="_Hlt26955056"/>
      <w:bookmarkEnd w:id="223"/>
      <w:bookmarkStart w:id="224" w:name="_Hlt26955064"/>
      <w:bookmarkEnd w:id="224"/>
      <w:bookmarkStart w:id="225" w:name="_Hlt26782999"/>
      <w:bookmarkEnd w:id="225"/>
    </w:p>
    <w:p>
      <w:pPr>
        <w:pStyle w:val="8"/>
        <w:ind w:firstLine="0"/>
        <w:rPr>
          <w:rFonts w:ascii="宋体" w:hAnsi="宋体"/>
          <w:sz w:val="24"/>
        </w:rPr>
        <w:sectPr>
          <w:pgSz w:w="11906" w:h="16838"/>
          <w:pgMar w:top="1418" w:right="1588" w:bottom="1418" w:left="1365" w:header="851" w:footer="907" w:gutter="0"/>
          <w:cols w:space="720" w:num="1"/>
          <w:titlePg/>
          <w:docGrid w:type="lines" w:linePitch="290" w:charSpace="0"/>
        </w:sectPr>
      </w:pPr>
      <w:bookmarkStart w:id="226" w:name="_Toc462564146"/>
    </w:p>
    <w:bookmarkEnd w:id="226"/>
    <w:p>
      <w:pPr>
        <w:pStyle w:val="6"/>
        <w:jc w:val="center"/>
        <w:rPr>
          <w:rFonts w:hint="eastAsia" w:eastAsia="仿宋_GB2312"/>
          <w:sz w:val="24"/>
          <w:szCs w:val="20"/>
        </w:rPr>
      </w:pPr>
      <w:bookmarkStart w:id="227" w:name="_格式2__法定代表人授权书"/>
      <w:bookmarkEnd w:id="227"/>
      <w:bookmarkStart w:id="228" w:name="_Toc23828478"/>
      <w:bookmarkStart w:id="229" w:name="_Toc26554095"/>
      <w:bookmarkStart w:id="230" w:name="_Toc120614283"/>
      <w:bookmarkStart w:id="231" w:name="_Toc460901585"/>
      <w:bookmarkStart w:id="232" w:name="_Toc513029276"/>
      <w:bookmarkStart w:id="233" w:name="_Toc22356580"/>
      <w:bookmarkStart w:id="234" w:name="_Toc49090577"/>
      <w:bookmarkStart w:id="235" w:name="_Toc534725621"/>
      <w:bookmarkStart w:id="236" w:name="_Toc534816650"/>
      <w:r>
        <w:rPr>
          <w:rFonts w:hint="eastAsia"/>
          <w:lang w:val="en-US" w:eastAsia="zh-CN"/>
        </w:rPr>
        <w:t>七</w:t>
      </w:r>
      <w:r>
        <w:rPr>
          <w:rFonts w:hint="eastAsia"/>
        </w:rPr>
        <w:t>、</w:t>
      </w:r>
      <w:bookmarkEnd w:id="228"/>
      <w:bookmarkEnd w:id="229"/>
      <w:bookmarkEnd w:id="230"/>
      <w:bookmarkEnd w:id="231"/>
      <w:bookmarkEnd w:id="232"/>
      <w:bookmarkEnd w:id="233"/>
      <w:bookmarkEnd w:id="234"/>
      <w:r>
        <w:rPr>
          <w:rFonts w:hint="eastAsia"/>
        </w:rPr>
        <w:t>开标一览表</w:t>
      </w:r>
      <w:bookmarkEnd w:id="235"/>
      <w:bookmarkEnd w:id="236"/>
    </w:p>
    <w:tbl>
      <w:tblPr>
        <w:tblStyle w:val="17"/>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tabs>
                <w:tab w:val="left" w:pos="142"/>
              </w:tabs>
              <w:spacing w:line="500" w:lineRule="exact"/>
              <w:jc w:val="left"/>
              <w:rPr>
                <w:rFonts w:hint="eastAsia" w:ascii="宋体" w:hAnsi="宋体" w:eastAsia="宋体" w:cs="宋体"/>
                <w:sz w:val="24"/>
                <w:szCs w:val="24"/>
              </w:rPr>
            </w:pPr>
            <w:r>
              <w:rPr>
                <w:rFonts w:hint="eastAsia" w:ascii="宋体" w:hAnsi="宋体" w:eastAsia="宋体" w:cs="宋体"/>
                <w:sz w:val="24"/>
                <w:szCs w:val="24"/>
              </w:rPr>
              <w:t>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bidi w:val="0"/>
        <w:rPr>
          <w:rFonts w:hint="eastAsia"/>
        </w:rPr>
      </w:pPr>
      <w:r>
        <w:rPr>
          <w:rFonts w:hint="eastAsia"/>
        </w:rPr>
        <w:t>   </w:t>
      </w: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投标</w:t>
      </w:r>
      <w:r>
        <w:rPr>
          <w:rFonts w:hint="eastAsia"/>
        </w:rPr>
        <w:t>总报价应包含本项目实施期间的所有含税费用。</w:t>
      </w: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sz w:val="24"/>
          <w:szCs w:val="24"/>
        </w:rPr>
      </w:pPr>
      <w:r>
        <w:rPr>
          <w:rFonts w:hint="eastAsia"/>
          <w:b/>
          <w:bCs/>
          <w:sz w:val="30"/>
          <w:szCs w:val="30"/>
          <w:lang w:val="en-US" w:eastAsia="zh-CN"/>
        </w:rPr>
        <w:t>八、</w:t>
      </w:r>
      <w:r>
        <w:rPr>
          <w:rFonts w:hint="eastAsia"/>
          <w:b/>
          <w:bCs/>
          <w:sz w:val="30"/>
          <w:szCs w:val="30"/>
          <w:lang w:val="en-US"/>
        </w:rPr>
        <w:t>拟派项目人</w:t>
      </w:r>
      <w:r>
        <w:rPr>
          <w:rFonts w:hint="eastAsia"/>
          <w:b/>
          <w:bCs/>
          <w:sz w:val="30"/>
          <w:szCs w:val="30"/>
          <w:lang w:val="en-US" w:eastAsia="zh-CN"/>
        </w:rPr>
        <w:t>员</w:t>
      </w:r>
      <w:r>
        <w:rPr>
          <w:rFonts w:hint="eastAsia"/>
          <w:b/>
          <w:bCs/>
          <w:sz w:val="30"/>
          <w:szCs w:val="30"/>
          <w:lang w:val="en-US"/>
        </w:rPr>
        <w:t>及管理人员一览表</w:t>
      </w:r>
    </w:p>
    <w:p>
      <w:pPr>
        <w:spacing w:line="440" w:lineRule="exact"/>
        <w:ind w:firstLine="480" w:firstLineChars="200"/>
        <w:rPr>
          <w:rFonts w:hint="eastAsia"/>
          <w:sz w:val="24"/>
          <w:szCs w:val="24"/>
        </w:rPr>
      </w:pPr>
    </w:p>
    <w:p>
      <w:pPr>
        <w:spacing w:line="440" w:lineRule="exact"/>
        <w:rPr>
          <w:rFonts w:hint="eastAsia"/>
          <w:sz w:val="24"/>
          <w:szCs w:val="24"/>
        </w:rPr>
      </w:pPr>
      <w:r>
        <w:rPr>
          <w:rFonts w:hint="eastAsia"/>
          <w:sz w:val="24"/>
          <w:szCs w:val="24"/>
        </w:rPr>
        <w:t>采购项目名称：</w:t>
      </w:r>
    </w:p>
    <w:p>
      <w:pPr>
        <w:spacing w:line="440" w:lineRule="exact"/>
        <w:rPr>
          <w:rFonts w:hint="eastAsia"/>
          <w:sz w:val="24"/>
          <w:szCs w:val="24"/>
        </w:rPr>
      </w:pPr>
      <w:r>
        <w:rPr>
          <w:rFonts w:hint="eastAsia"/>
          <w:sz w:val="24"/>
          <w:szCs w:val="24"/>
        </w:rPr>
        <w:t xml:space="preserve">项目编号：  </w:t>
      </w:r>
    </w:p>
    <w:tbl>
      <w:tblPr>
        <w:tblStyle w:val="17"/>
        <w:tblpPr w:leftFromText="180" w:rightFromText="180" w:vertAnchor="text" w:horzAnchor="page" w:tblpX="1192" w:tblpY="595"/>
        <w:tblOverlap w:val="never"/>
        <w:tblW w:w="98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pPr>
              <w:pStyle w:val="29"/>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pPr>
              <w:pStyle w:val="29"/>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pPr>
              <w:pStyle w:val="29"/>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pPr>
              <w:pStyle w:val="29"/>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pPr>
              <w:pStyle w:val="29"/>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pPr>
              <w:pStyle w:val="29"/>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pPr>
              <w:pStyle w:val="29"/>
              <w:spacing w:before="9"/>
              <w:rPr>
                <w:sz w:val="21"/>
              </w:rPr>
            </w:pPr>
          </w:p>
          <w:p>
            <w:pPr>
              <w:pStyle w:val="29"/>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pPr>
              <w:pStyle w:val="29"/>
              <w:spacing w:before="9"/>
              <w:rPr>
                <w:sz w:val="21"/>
              </w:rPr>
            </w:pPr>
          </w:p>
          <w:p>
            <w:pPr>
              <w:pStyle w:val="29"/>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pPr>
              <w:pStyle w:val="29"/>
              <w:spacing w:before="9"/>
              <w:rPr>
                <w:sz w:val="21"/>
              </w:rPr>
            </w:pPr>
          </w:p>
          <w:p>
            <w:pPr>
              <w:pStyle w:val="29"/>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pPr>
              <w:pStyle w:val="29"/>
              <w:spacing w:before="9"/>
              <w:rPr>
                <w:sz w:val="21"/>
              </w:rPr>
            </w:pPr>
          </w:p>
          <w:p>
            <w:pPr>
              <w:pStyle w:val="29"/>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pPr>
              <w:pStyle w:val="29"/>
              <w:spacing w:before="9"/>
              <w:rPr>
                <w:sz w:val="21"/>
              </w:rPr>
            </w:pPr>
          </w:p>
          <w:p>
            <w:pPr>
              <w:pStyle w:val="29"/>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pPr>
              <w:pStyle w:val="29"/>
              <w:spacing w:before="9"/>
              <w:rPr>
                <w:sz w:val="21"/>
              </w:rPr>
            </w:pPr>
          </w:p>
          <w:p>
            <w:pPr>
              <w:pStyle w:val="29"/>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9"/>
              <w:spacing w:before="11"/>
              <w:rPr>
                <w:sz w:val="20"/>
              </w:rPr>
            </w:pPr>
          </w:p>
          <w:p>
            <w:pPr>
              <w:pStyle w:val="2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9"/>
              <w:spacing w:before="11"/>
              <w:rPr>
                <w:sz w:val="20"/>
              </w:rPr>
            </w:pPr>
          </w:p>
          <w:p>
            <w:pPr>
              <w:pStyle w:val="2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pPr>
              <w:pStyle w:val="29"/>
              <w:spacing w:before="11"/>
              <w:rPr>
                <w:sz w:val="20"/>
              </w:rPr>
            </w:pPr>
          </w:p>
          <w:p>
            <w:pPr>
              <w:pStyle w:val="2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9"/>
              <w:spacing w:before="11"/>
              <w:rPr>
                <w:sz w:val="20"/>
              </w:rPr>
            </w:pPr>
          </w:p>
          <w:p>
            <w:pPr>
              <w:pStyle w:val="2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9"/>
              <w:spacing w:before="11"/>
              <w:rPr>
                <w:sz w:val="20"/>
              </w:rPr>
            </w:pPr>
          </w:p>
          <w:p>
            <w:pPr>
              <w:pStyle w:val="2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9"/>
              <w:spacing w:before="11"/>
              <w:rPr>
                <w:sz w:val="20"/>
              </w:rPr>
            </w:pPr>
          </w:p>
          <w:p>
            <w:pPr>
              <w:pStyle w:val="2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9"/>
              <w:spacing w:before="11"/>
              <w:rPr>
                <w:sz w:val="20"/>
              </w:rPr>
            </w:pPr>
          </w:p>
          <w:p>
            <w:pPr>
              <w:pStyle w:val="2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9"/>
              <w:spacing w:before="11"/>
              <w:rPr>
                <w:sz w:val="20"/>
              </w:rPr>
            </w:pPr>
          </w:p>
          <w:p>
            <w:pPr>
              <w:pStyle w:val="2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9"/>
              <w:spacing w:before="11"/>
              <w:rPr>
                <w:sz w:val="20"/>
              </w:rPr>
            </w:pPr>
          </w:p>
          <w:p>
            <w:pPr>
              <w:pStyle w:val="2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9"/>
              <w:spacing w:before="11"/>
              <w:rPr>
                <w:sz w:val="20"/>
              </w:rPr>
            </w:pPr>
          </w:p>
          <w:p>
            <w:pPr>
              <w:pStyle w:val="2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29"/>
              <w:spacing w:before="11"/>
              <w:rPr>
                <w:sz w:val="20"/>
              </w:rPr>
            </w:pPr>
          </w:p>
          <w:p>
            <w:pPr>
              <w:pStyle w:val="29"/>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29"/>
              <w:spacing w:before="11"/>
              <w:rPr>
                <w:sz w:val="20"/>
              </w:rPr>
            </w:pPr>
          </w:p>
          <w:p>
            <w:pPr>
              <w:pStyle w:val="29"/>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29"/>
              <w:spacing w:before="11"/>
              <w:rPr>
                <w:sz w:val="20"/>
              </w:rPr>
            </w:pPr>
          </w:p>
          <w:p>
            <w:pPr>
              <w:pStyle w:val="29"/>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pPr>
              <w:pStyle w:val="29"/>
              <w:spacing w:before="11"/>
              <w:rPr>
                <w:sz w:val="20"/>
              </w:rPr>
            </w:pPr>
          </w:p>
          <w:p>
            <w:pPr>
              <w:pStyle w:val="29"/>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pPr>
              <w:pStyle w:val="29"/>
              <w:spacing w:before="11"/>
              <w:rPr>
                <w:sz w:val="20"/>
              </w:rPr>
            </w:pPr>
          </w:p>
          <w:p>
            <w:pPr>
              <w:pStyle w:val="29"/>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pPr>
              <w:pStyle w:val="29"/>
              <w:spacing w:before="11"/>
              <w:rPr>
                <w:sz w:val="20"/>
              </w:rPr>
            </w:pPr>
          </w:p>
          <w:p>
            <w:pPr>
              <w:pStyle w:val="29"/>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pPr>
              <w:pStyle w:val="29"/>
              <w:spacing w:before="11"/>
              <w:rPr>
                <w:sz w:val="20"/>
              </w:rPr>
            </w:pPr>
          </w:p>
          <w:p>
            <w:pPr>
              <w:pStyle w:val="29"/>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pPr>
              <w:pStyle w:val="29"/>
              <w:spacing w:before="11"/>
              <w:rPr>
                <w:sz w:val="20"/>
              </w:rPr>
            </w:pPr>
          </w:p>
          <w:p>
            <w:pPr>
              <w:pStyle w:val="29"/>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pPr>
              <w:pStyle w:val="29"/>
              <w:spacing w:before="11"/>
              <w:rPr>
                <w:sz w:val="20"/>
              </w:rPr>
            </w:pPr>
          </w:p>
          <w:p>
            <w:pPr>
              <w:pStyle w:val="29"/>
              <w:ind w:right="1151"/>
              <w:jc w:val="right"/>
              <w:rPr>
                <w:sz w:val="21"/>
              </w:rPr>
            </w:pPr>
            <w:r>
              <w:rPr>
                <w:sz w:val="21"/>
              </w:rPr>
              <w:t xml:space="preserve"> </w:t>
            </w:r>
          </w:p>
        </w:tc>
      </w:tr>
    </w:tbl>
    <w:p>
      <w:pPr>
        <w:numPr>
          <w:ilvl w:val="0"/>
          <w:numId w:val="0"/>
        </w:numPr>
        <w:rPr>
          <w:rFonts w:hint="eastAsia"/>
          <w:b/>
          <w:bCs/>
          <w:kern w:val="2"/>
          <w:sz w:val="32"/>
          <w:szCs w:val="32"/>
          <w:lang w:val="en-US" w:eastAsia="zh-CN" w:bidi="ar-SA"/>
        </w:rPr>
      </w:pPr>
    </w:p>
    <w:p>
      <w:pPr>
        <w:rPr>
          <w:rFonts w:hint="eastAsia" w:eastAsia="宋体"/>
          <w:lang w:val="en-US" w:eastAsia="zh-CN"/>
        </w:rPr>
      </w:pPr>
      <w:r>
        <w:rPr>
          <w:rFonts w:hint="eastAsia"/>
          <w:lang w:val="en-US"/>
        </w:rPr>
        <w:t>备注：根据评审表的要求提交相应证明资料复印件加盖企业公章：身份证、资格证</w:t>
      </w:r>
      <w:r>
        <w:rPr>
          <w:rFonts w:hint="eastAsia"/>
          <w:lang w:val="en-US" w:eastAsia="zh-CN"/>
        </w:rPr>
        <w:t>、劳动合同。</w:t>
      </w:r>
    </w:p>
    <w:p>
      <w:pPr>
        <w:rPr>
          <w:rFonts w:hint="eastAsia"/>
          <w:lang w:val="en-US"/>
        </w:rPr>
      </w:pPr>
    </w:p>
    <w:p>
      <w:pPr>
        <w:rPr>
          <w:rFonts w:hint="eastAsia"/>
          <w:lang w:val="en-US"/>
        </w:rPr>
      </w:pPr>
    </w:p>
    <w:p>
      <w:pPr>
        <w:rPr>
          <w:rFonts w:hint="eastAsia"/>
          <w:lang w:val="en-US"/>
        </w:rPr>
      </w:pPr>
    </w:p>
    <w:p>
      <w:pPr>
        <w:rPr>
          <w:rFonts w:hint="eastAsia"/>
          <w:lang w:val="en-US"/>
        </w:rPr>
      </w:pPr>
      <w:r>
        <w:rPr>
          <w:rFonts w:hint="eastAsia"/>
          <w:lang w:val="en-US"/>
        </w:rPr>
        <w:t xml:space="preserve">供应商名称（单位盖公章）：                              </w:t>
      </w:r>
    </w:p>
    <w:p>
      <w:pPr>
        <w:rPr>
          <w:rFonts w:hint="eastAsia"/>
          <w:lang w:val="en-US"/>
        </w:rPr>
      </w:pPr>
      <w:r>
        <w:rPr>
          <w:rFonts w:hint="eastAsia"/>
          <w:lang w:val="en-US"/>
        </w:rPr>
        <w:t xml:space="preserve"> </w:t>
      </w:r>
    </w:p>
    <w:p>
      <w:pPr>
        <w:rPr>
          <w:rFonts w:hint="eastAsia"/>
          <w:sz w:val="24"/>
          <w:szCs w:val="24"/>
        </w:rPr>
      </w:pPr>
      <w:r>
        <w:rPr>
          <w:rFonts w:hint="eastAsia"/>
          <w:lang w:val="en-US"/>
        </w:rPr>
        <w:t xml:space="preserve">日期:   </w:t>
      </w:r>
      <w:r>
        <w:rPr>
          <w:rFonts w:hint="eastAsia"/>
          <w:sz w:val="24"/>
          <w:szCs w:val="24"/>
        </w:rPr>
        <w:t xml:space="preserve">     </w:t>
      </w:r>
    </w:p>
    <w:p>
      <w:pPr>
        <w:numPr>
          <w:ilvl w:val="0"/>
          <w:numId w:val="0"/>
        </w:numPr>
        <w:rPr>
          <w:rFonts w:hint="eastAsia" w:ascii="Times New Roman" w:hAnsi="Times New Roman" w:eastAsia="宋体" w:cs="Times New Roman"/>
          <w:b/>
          <w:bCs/>
          <w:kern w:val="2"/>
          <w:sz w:val="32"/>
          <w:szCs w:val="32"/>
          <w:lang w:val="en-US" w:eastAsia="zh-CN" w:bidi="ar-SA"/>
        </w:rPr>
      </w:pPr>
    </w:p>
    <w:p>
      <w:pPr>
        <w:numPr>
          <w:ilvl w:val="0"/>
          <w:numId w:val="0"/>
        </w:numPr>
        <w:rPr>
          <w:rFonts w:hint="eastAsia" w:ascii="Times New Roman" w:hAnsi="Times New Roman" w:eastAsia="宋体" w:cs="Times New Roman"/>
          <w:b/>
          <w:bCs/>
          <w:kern w:val="2"/>
          <w:sz w:val="32"/>
          <w:szCs w:val="32"/>
          <w:lang w:val="en-US" w:eastAsia="zh-CN" w:bidi="ar-SA"/>
        </w:rPr>
      </w:pPr>
    </w:p>
    <w:p>
      <w:pPr>
        <w:numPr>
          <w:ilvl w:val="0"/>
          <w:numId w:val="0"/>
        </w:numPr>
        <w:rPr>
          <w:rFonts w:hint="eastAsia" w:ascii="Times New Roman" w:hAnsi="Times New Roman" w:eastAsia="宋体" w:cs="Times New Roman"/>
          <w:b/>
          <w:bCs/>
          <w:kern w:val="2"/>
          <w:sz w:val="32"/>
          <w:szCs w:val="32"/>
          <w:lang w:val="en-US" w:eastAsia="zh-CN" w:bidi="ar-SA"/>
        </w:rPr>
      </w:pPr>
    </w:p>
    <w:p>
      <w:pPr>
        <w:numPr>
          <w:ilvl w:val="0"/>
          <w:numId w:val="0"/>
        </w:numPr>
        <w:rPr>
          <w:rFonts w:hint="eastAsia"/>
          <w:b/>
          <w:bCs/>
          <w:kern w:val="2"/>
          <w:sz w:val="32"/>
          <w:szCs w:val="32"/>
          <w:lang w:val="en-US" w:eastAsia="zh-CN" w:bidi="ar-SA"/>
        </w:rPr>
      </w:pPr>
      <w:r>
        <w:rPr>
          <w:rFonts w:ascii="宋体" w:hAnsi="宋体"/>
          <w:sz w:val="24"/>
          <w:szCs w:val="24"/>
        </w:rPr>
        <w:br w:type="page"/>
      </w:r>
      <w:bookmarkStart w:id="237" w:name="_Toc534816652"/>
      <w:bookmarkStart w:id="238" w:name="_Toc534725623"/>
      <w:r>
        <w:rPr>
          <w:rFonts w:hint="eastAsia" w:ascii="宋体" w:hAnsi="宋体"/>
          <w:sz w:val="24"/>
          <w:szCs w:val="24"/>
          <w:lang w:val="en-US" w:eastAsia="zh-CN"/>
        </w:rPr>
        <w:t xml:space="preserve">     </w:t>
      </w:r>
      <w:r>
        <w:rPr>
          <w:rFonts w:hint="eastAsia" w:ascii="Times New Roman" w:hAnsi="Times New Roman" w:eastAsia="宋体" w:cs="Times New Roman"/>
          <w:b/>
          <w:bCs/>
          <w:kern w:val="2"/>
          <w:sz w:val="32"/>
          <w:szCs w:val="32"/>
          <w:lang w:val="en-US" w:eastAsia="zh-CN" w:bidi="ar-SA"/>
        </w:rPr>
        <w:t>九、</w:t>
      </w:r>
      <w:r>
        <w:rPr>
          <w:rFonts w:hint="eastAsia"/>
          <w:b/>
          <w:bCs/>
          <w:kern w:val="2"/>
          <w:sz w:val="32"/>
          <w:szCs w:val="32"/>
          <w:lang w:val="en-US" w:eastAsia="zh-CN" w:bidi="ar-SA"/>
        </w:rPr>
        <w:t>供应商认为有必要提供的声明及文件资料</w:t>
      </w:r>
    </w:p>
    <w:p>
      <w:pPr>
        <w:pStyle w:val="2"/>
        <w:numPr>
          <w:ilvl w:val="0"/>
          <w:numId w:val="0"/>
        </w:numPr>
        <w:jc w:val="center"/>
        <w:rPr>
          <w:rFonts w:hint="default"/>
          <w:lang w:val="en-US" w:eastAsia="zh-CN"/>
        </w:rPr>
      </w:pPr>
      <w:r>
        <w:rPr>
          <w:rFonts w:hint="eastAsia"/>
          <w:lang w:val="en-US" w:eastAsia="zh-CN"/>
        </w:rPr>
        <w:t>（格式自拟）</w:t>
      </w:r>
    </w:p>
    <w:p>
      <w:pPr>
        <w:pStyle w:val="6"/>
        <w:jc w:val="center"/>
        <w:rPr>
          <w:rFonts w:ascii="宋体" w:hAnsi="宋体"/>
          <w:sz w:val="24"/>
          <w:szCs w:val="24"/>
        </w:rPr>
      </w:pPr>
    </w:p>
    <w:p>
      <w:pP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8"/>
        <w:ind w:firstLine="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格式一</w:t>
      </w:r>
    </w:p>
    <w:p>
      <w:pPr>
        <w:pStyle w:val="8"/>
        <w:ind w:firstLine="0"/>
        <w:jc w:val="center"/>
        <w:rPr>
          <w:rFonts w:hint="eastAsia" w:ascii="黑体" w:hAnsi="宋体" w:eastAsia="黑体"/>
          <w:b/>
          <w:bCs/>
          <w:sz w:val="30"/>
          <w:szCs w:val="30"/>
        </w:rPr>
      </w:pPr>
    </w:p>
    <w:p>
      <w:pPr>
        <w:pStyle w:val="8"/>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8"/>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1"/>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ascii="宋体" w:hAnsi="宋体"/>
          <w:bCs/>
          <w:sz w:val="24"/>
        </w:rPr>
      </w:pPr>
    </w:p>
    <w:p>
      <w:pPr>
        <w:pStyle w:val="8"/>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39" w:name="_Toc534725615"/>
      <w:bookmarkStart w:id="240" w:name="_Toc534816644"/>
      <w:r>
        <w:rPr>
          <w:rFonts w:hint="eastAsia" w:ascii="宋体" w:hAnsi="宋体" w:eastAsia="宋体" w:cs="宋体"/>
          <w:b w:val="0"/>
          <w:bCs w:val="0"/>
          <w:sz w:val="30"/>
          <w:szCs w:val="30"/>
          <w:lang w:val="en-US" w:eastAsia="zh-CN"/>
        </w:rPr>
        <w:t>格式二</w:t>
      </w:r>
    </w:p>
    <w:p>
      <w:pPr>
        <w:spacing w:before="145" w:beforeLines="50" w:after="145" w:afterLines="50" w:line="300" w:lineRule="auto"/>
        <w:rPr>
          <w:rFonts w:ascii="宋体" w:hAnsi="宋体"/>
          <w:bCs/>
          <w:sz w:val="24"/>
        </w:rPr>
      </w:pP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参加政府采购活动前 3 年内在经营活动中没有重大违法记录的</w:t>
      </w: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书面声明</w:t>
      </w:r>
      <w:bookmarkEnd w:id="239"/>
      <w:bookmarkEnd w:id="240"/>
    </w:p>
    <w:p>
      <w:pPr>
        <w:pStyle w:val="2"/>
        <w:rPr>
          <w:rFonts w:hint="eastAsia"/>
          <w:lang w:val="en-US" w:eastAsia="zh-CN"/>
        </w:rPr>
      </w:pPr>
    </w:p>
    <w:p>
      <w:pPr>
        <w:spacing w:before="145" w:beforeLines="50" w:after="145"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bCs/>
          <w:sz w:val="24"/>
        </w:rPr>
      </w:pPr>
    </w:p>
    <w:p>
      <w:pPr>
        <w:pStyle w:val="21"/>
        <w:spacing w:before="145" w:beforeLines="50" w:after="145"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hint="eastAsia" w:ascii="宋体" w:hAnsi="宋体"/>
          <w:bCs/>
          <w:sz w:val="24"/>
        </w:rPr>
      </w:pPr>
    </w:p>
    <w:p>
      <w:pPr>
        <w:pStyle w:val="8"/>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1" w:name="_Toc534816645"/>
      <w:bookmarkStart w:id="242" w:name="_Toc534725616"/>
      <w:bookmarkStart w:id="243" w:name="_Toc534816646"/>
      <w:bookmarkStart w:id="244" w:name="_Toc534725617"/>
      <w:r>
        <w:rPr>
          <w:rFonts w:hint="eastAsia" w:ascii="宋体" w:hAnsi="宋体" w:eastAsia="宋体" w:cs="宋体"/>
          <w:b w:val="0"/>
          <w:bCs w:val="0"/>
          <w:sz w:val="30"/>
          <w:szCs w:val="30"/>
          <w:lang w:val="en-US" w:eastAsia="zh-CN"/>
        </w:rPr>
        <w:t>格式三</w:t>
      </w:r>
    </w:p>
    <w:p>
      <w:pPr>
        <w:spacing w:before="145" w:beforeLines="50" w:after="145" w:afterLines="50" w:line="300" w:lineRule="auto"/>
        <w:ind w:firstLine="3313" w:firstLineChars="1100"/>
        <w:jc w:val="both"/>
        <w:rPr>
          <w:rFonts w:hint="eastAsia" w:ascii="黑体" w:hAnsi="宋体" w:eastAsia="黑体"/>
          <w:b/>
          <w:bCs/>
          <w:sz w:val="30"/>
          <w:szCs w:val="30"/>
        </w:rPr>
      </w:pPr>
      <w:r>
        <w:rPr>
          <w:rFonts w:hint="eastAsia" w:ascii="黑体" w:hAnsi="宋体" w:eastAsia="黑体"/>
          <w:b/>
          <w:bCs/>
          <w:sz w:val="30"/>
          <w:szCs w:val="30"/>
        </w:rPr>
        <w:t>法人授权书</w:t>
      </w:r>
      <w:bookmarkEnd w:id="241"/>
      <w:bookmarkEnd w:id="242"/>
    </w:p>
    <w:p>
      <w:pPr>
        <w:pStyle w:val="27"/>
        <w:spacing w:before="145" w:beforeLines="50" w:after="145" w:afterLines="50" w:line="300" w:lineRule="auto"/>
        <w:ind w:firstLine="480"/>
        <w:rPr>
          <w:rFonts w:hint="eastAsia"/>
          <w:sz w:val="24"/>
          <w:szCs w:val="24"/>
        </w:rPr>
      </w:pPr>
      <w:r>
        <w:rPr>
          <w:rFonts w:hint="eastAsia"/>
          <w:sz w:val="24"/>
          <w:szCs w:val="24"/>
        </w:rPr>
        <w:t>本授权书声明：____________（投标人名称）授权________________（被授权人的姓名）为我方就</w:t>
      </w:r>
      <w:r>
        <w:rPr>
          <w:rFonts w:hint="eastAsia"/>
          <w:sz w:val="24"/>
          <w:szCs w:val="24"/>
          <w:u w:val="single"/>
        </w:rPr>
        <w:t xml:space="preserve">  （项目编号）   </w:t>
      </w:r>
      <w:r>
        <w:rPr>
          <w:rFonts w:hint="eastAsia"/>
          <w:sz w:val="24"/>
          <w:szCs w:val="24"/>
        </w:rPr>
        <w:t>号项目采购活动的合法代理人，以本单位名义全权处理一切与该项目采购有关的事务。</w:t>
      </w:r>
    </w:p>
    <w:p>
      <w:pPr>
        <w:pStyle w:val="27"/>
        <w:spacing w:before="145" w:beforeLines="50" w:after="145" w:afterLines="50" w:line="300" w:lineRule="auto"/>
        <w:ind w:firstLine="480"/>
        <w:rPr>
          <w:rFonts w:hint="eastAsia"/>
          <w:sz w:val="24"/>
          <w:szCs w:val="24"/>
        </w:rPr>
      </w:pPr>
      <w:r>
        <w:rPr>
          <w:rFonts w:hint="eastAsia"/>
          <w:sz w:val="24"/>
          <w:szCs w:val="24"/>
        </w:rPr>
        <w:t>本授权书于______年____月____日起生效，特此声明。</w:t>
      </w:r>
    </w:p>
    <w:p>
      <w:pPr>
        <w:pStyle w:val="27"/>
        <w:spacing w:before="145" w:beforeLines="50" w:after="145" w:afterLines="50" w:line="300" w:lineRule="auto"/>
        <w:ind w:firstLine="0" w:firstLineChars="0"/>
        <w:rPr>
          <w:rFonts w:hint="eastAsia"/>
          <w:sz w:val="24"/>
          <w:szCs w:val="24"/>
        </w:rPr>
      </w:pPr>
      <w:r>
        <w:rPr>
          <w:rFonts w:hint="eastAsia"/>
          <w:sz w:val="24"/>
          <w:szCs w:val="24"/>
        </w:rPr>
        <w:t xml:space="preserve">    被授权人身份证号码：_________________________</w:t>
      </w:r>
    </w:p>
    <w:p>
      <w:pPr>
        <w:pStyle w:val="27"/>
        <w:spacing w:before="145" w:beforeLines="50" w:after="145" w:afterLines="50" w:line="300" w:lineRule="auto"/>
        <w:ind w:firstLine="0" w:firstLineChars="0"/>
        <w:rPr>
          <w:rFonts w:hint="eastAsia"/>
          <w:sz w:val="24"/>
          <w:szCs w:val="24"/>
          <w:u w:val="single"/>
        </w:rPr>
      </w:pPr>
      <w:r>
        <w:rPr>
          <w:rFonts w:hint="eastAsia"/>
          <w:sz w:val="24"/>
          <w:szCs w:val="24"/>
        </w:rPr>
        <w:t xml:space="preserve">    被授权人联系电话：</w:t>
      </w:r>
      <w:r>
        <w:rPr>
          <w:rFonts w:hint="eastAsia"/>
          <w:sz w:val="24"/>
          <w:szCs w:val="24"/>
          <w:u w:val="single"/>
        </w:rPr>
        <w:t>（手机）</w:t>
      </w:r>
      <w:r>
        <w:rPr>
          <w:rFonts w:hint="eastAsia"/>
          <w:sz w:val="24"/>
          <w:szCs w:val="24"/>
        </w:rPr>
        <w:t>___________________</w:t>
      </w:r>
      <w:r>
        <w:rPr>
          <w:rFonts w:hint="eastAsia"/>
          <w:sz w:val="24"/>
          <w:szCs w:val="24"/>
          <w:u w:val="single"/>
        </w:rPr>
        <w:t xml:space="preserve">                                        </w:t>
      </w:r>
    </w:p>
    <w:p>
      <w:pPr>
        <w:pStyle w:val="27"/>
        <w:spacing w:before="145" w:beforeLines="50" w:after="145" w:afterLines="50" w:line="300" w:lineRule="auto"/>
        <w:ind w:firstLine="0" w:firstLineChars="0"/>
        <w:rPr>
          <w:rFonts w:hint="eastAsia"/>
          <w:sz w:val="24"/>
          <w:szCs w:val="24"/>
        </w:rPr>
      </w:pPr>
      <w:r>
        <w:rPr>
          <w:rFonts w:hint="eastAsia"/>
          <w:sz w:val="24"/>
          <w:szCs w:val="24"/>
        </w:rPr>
        <w:t xml:space="preserve">    单位名称：</w:t>
      </w:r>
      <w:r>
        <w:rPr>
          <w:rFonts w:hint="eastAsia" w:ascii="宋体" w:hAnsi="宋体"/>
          <w:szCs w:val="21"/>
        </w:rPr>
        <w:t>（</w:t>
      </w:r>
      <w:r>
        <w:rPr>
          <w:rFonts w:hint="eastAsia" w:ascii="宋体" w:hAnsi="宋体"/>
          <w:sz w:val="24"/>
          <w:szCs w:val="21"/>
        </w:rPr>
        <w:t>盖章</w:t>
      </w:r>
      <w:r>
        <w:rPr>
          <w:rFonts w:hint="eastAsia" w:ascii="宋体" w:hAnsi="宋体"/>
          <w:szCs w:val="21"/>
        </w:rPr>
        <w:t>）</w:t>
      </w:r>
      <w:r>
        <w:rPr>
          <w:rFonts w:hint="eastAsia"/>
          <w:sz w:val="24"/>
          <w:szCs w:val="24"/>
        </w:rPr>
        <w:t>_______________________</w:t>
      </w:r>
    </w:p>
    <w:p>
      <w:pPr>
        <w:pStyle w:val="27"/>
        <w:spacing w:before="145" w:beforeLines="50" w:after="145" w:afterLines="50" w:line="300" w:lineRule="auto"/>
        <w:ind w:firstLine="0" w:firstLineChars="0"/>
        <w:rPr>
          <w:rFonts w:hint="eastAsia"/>
          <w:sz w:val="24"/>
          <w:szCs w:val="24"/>
          <w:u w:val="single"/>
        </w:rPr>
      </w:pPr>
      <w:r>
        <w:rPr>
          <w:rFonts w:hint="eastAsia"/>
          <w:sz w:val="24"/>
          <w:szCs w:val="24"/>
        </w:rPr>
        <w:t xml:space="preserve">    单位地址：____________________________________   </w:t>
      </w:r>
      <w:r>
        <w:rPr>
          <w:rFonts w:hint="eastAsia"/>
          <w:sz w:val="24"/>
          <w:szCs w:val="24"/>
          <w:u w:val="single"/>
        </w:rPr>
        <w:t xml:space="preserve">                                         </w:t>
      </w:r>
    </w:p>
    <w:p>
      <w:pPr>
        <w:pStyle w:val="27"/>
        <w:spacing w:before="145" w:beforeLines="50" w:after="145" w:afterLines="50" w:line="300" w:lineRule="auto"/>
        <w:ind w:firstLine="480"/>
        <w:rPr>
          <w:rFonts w:hint="eastAsia"/>
          <w:sz w:val="24"/>
          <w:szCs w:val="24"/>
          <w:u w:val="single"/>
        </w:rPr>
      </w:pPr>
      <w:r>
        <w:rPr>
          <w:rFonts w:hint="eastAsia"/>
          <w:sz w:val="24"/>
          <w:szCs w:val="24"/>
        </w:rPr>
        <w:t>日期：</w:t>
      </w:r>
      <w:bookmarkStart w:id="245" w:name="_Hlt26955070"/>
      <w:bookmarkEnd w:id="245"/>
      <w:bookmarkStart w:id="246" w:name="_格式3__银行出具的资信证明"/>
      <w:bookmarkEnd w:id="246"/>
      <w:bookmarkStart w:id="247" w:name="_Hlt26671380"/>
      <w:bookmarkEnd w:id="247"/>
      <w:r>
        <w:rPr>
          <w:rFonts w:hint="eastAsia"/>
          <w:sz w:val="24"/>
          <w:szCs w:val="24"/>
        </w:rPr>
        <w:t>________________________________________</w:t>
      </w:r>
      <w:r>
        <w:rPr>
          <w:rFonts w:hint="eastAsia"/>
          <w:sz w:val="24"/>
          <w:szCs w:val="24"/>
          <w:u w:val="single"/>
        </w:rPr>
        <w:t xml:space="preserve">                                         </w:t>
      </w:r>
    </w:p>
    <w:p>
      <w:pPr>
        <w:pStyle w:val="27"/>
        <w:spacing w:before="145" w:beforeLines="50" w:after="145" w:afterLines="50" w:line="300" w:lineRule="auto"/>
        <w:ind w:firstLine="480"/>
        <w:rPr>
          <w:rFonts w:hint="default" w:eastAsia="宋体"/>
          <w:sz w:val="24"/>
          <w:szCs w:val="24"/>
          <w:u w:val="single"/>
          <w:lang w:val="en-US" w:eastAsia="zh-CN"/>
        </w:rPr>
      </w:pPr>
      <w:r>
        <w:rPr>
          <w:rFonts w:hint="eastAsia"/>
          <w:sz w:val="24"/>
          <w:szCs w:val="24"/>
          <w:u w:val="single"/>
          <w:lang w:val="en-US" w:eastAsia="zh-CN"/>
        </w:rPr>
        <w:t>授权人身份证正反面复印件</w:t>
      </w:r>
    </w:p>
    <w:tbl>
      <w:tblPr>
        <w:tblStyle w:val="18"/>
        <w:tblpPr w:leftFromText="180" w:rightFromText="180" w:vertAnchor="text" w:horzAnchor="page" w:tblpX="1315" w:tblpY="460"/>
        <w:tblOverlap w:val="never"/>
        <w:tblW w:w="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4220" w:type="dxa"/>
          </w:tcPr>
          <w:p>
            <w:pPr>
              <w:pStyle w:val="27"/>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法人代表身份证正面（国徽面）</w:t>
            </w:r>
          </w:p>
        </w:tc>
      </w:tr>
    </w:tbl>
    <w:tbl>
      <w:tblPr>
        <w:tblStyle w:val="18"/>
        <w:tblpPr w:leftFromText="180" w:rightFromText="180" w:vertAnchor="text" w:horzAnchor="page" w:tblpX="6100" w:tblpY="630"/>
        <w:tblOverlap w:val="never"/>
        <w:tblW w:w="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trPr>
        <w:tc>
          <w:tcPr>
            <w:tcW w:w="4425" w:type="dxa"/>
          </w:tcPr>
          <w:p>
            <w:pPr>
              <w:pStyle w:val="27"/>
              <w:spacing w:before="145" w:beforeLines="50" w:after="145" w:afterLines="50" w:line="300" w:lineRule="auto"/>
              <w:rPr>
                <w:rFonts w:hint="eastAsia"/>
                <w:sz w:val="24"/>
                <w:szCs w:val="24"/>
                <w:u w:val="single"/>
                <w:vertAlign w:val="baseline"/>
              </w:rPr>
            </w:pPr>
            <w:r>
              <w:rPr>
                <w:rFonts w:hint="eastAsia"/>
                <w:sz w:val="24"/>
                <w:szCs w:val="24"/>
                <w:u w:val="single"/>
                <w:vertAlign w:val="baseline"/>
                <w:lang w:val="en-US" w:eastAsia="zh-CN"/>
              </w:rPr>
              <w:t>法人代表身份证反面（人像面）</w:t>
            </w:r>
          </w:p>
        </w:tc>
      </w:tr>
    </w:tbl>
    <w:p>
      <w:pPr>
        <w:pStyle w:val="27"/>
        <w:spacing w:before="145" w:beforeLines="50" w:after="145" w:afterLines="50" w:line="300" w:lineRule="auto"/>
        <w:ind w:left="0" w:leftChars="0" w:firstLine="0" w:firstLineChars="0"/>
        <w:rPr>
          <w:rFonts w:hint="default" w:eastAsia="宋体"/>
          <w:sz w:val="24"/>
          <w:szCs w:val="24"/>
          <w:u w:val="single"/>
          <w:lang w:val="en-US" w:eastAsia="zh-CN"/>
        </w:rPr>
      </w:pPr>
      <w:r>
        <w:rPr>
          <w:rFonts w:hint="eastAsia"/>
          <w:sz w:val="24"/>
          <w:szCs w:val="24"/>
          <w:u w:val="single"/>
          <w:lang w:val="en-US" w:eastAsia="zh-CN"/>
        </w:rPr>
        <w:t>被授权人身份证正反面复印件</w:t>
      </w:r>
    </w:p>
    <w:tbl>
      <w:tblPr>
        <w:tblStyle w:val="18"/>
        <w:tblpPr w:leftFromText="180" w:rightFromText="180" w:vertAnchor="text" w:horzAnchor="page" w:tblpX="6090" w:tblpY="345"/>
        <w:tblOverlap w:val="never"/>
        <w:tblW w:w="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trPr>
        <w:tc>
          <w:tcPr>
            <w:tcW w:w="4435" w:type="dxa"/>
          </w:tcPr>
          <w:p>
            <w:pPr>
              <w:pStyle w:val="27"/>
              <w:spacing w:before="145" w:beforeLines="50" w:after="145" w:afterLines="50" w:line="300" w:lineRule="auto"/>
              <w:rPr>
                <w:rFonts w:hint="eastAsia"/>
                <w:sz w:val="24"/>
                <w:szCs w:val="24"/>
                <w:u w:val="single"/>
                <w:vertAlign w:val="baseline"/>
              </w:rPr>
            </w:pPr>
            <w:r>
              <w:rPr>
                <w:rFonts w:hint="eastAsia"/>
                <w:sz w:val="24"/>
                <w:szCs w:val="24"/>
                <w:u w:val="single"/>
                <w:vertAlign w:val="baseline"/>
                <w:lang w:val="en-US" w:eastAsia="zh-CN"/>
              </w:rPr>
              <w:t>被授权人身份证反面（人像面）</w:t>
            </w:r>
          </w:p>
        </w:tc>
      </w:tr>
    </w:tbl>
    <w:tbl>
      <w:tblPr>
        <w:tblStyle w:val="18"/>
        <w:tblpPr w:leftFromText="180" w:rightFromText="180" w:vertAnchor="text" w:horzAnchor="page" w:tblpX="1320" w:tblpY="467"/>
        <w:tblOverlap w:val="never"/>
        <w:tblW w:w="4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4210" w:type="dxa"/>
          </w:tcPr>
          <w:p>
            <w:pPr>
              <w:pStyle w:val="27"/>
              <w:spacing w:before="145" w:beforeLines="50" w:after="145" w:afterLines="50" w:line="300" w:lineRule="auto"/>
              <w:rPr>
                <w:rFonts w:hint="default" w:eastAsia="宋体"/>
                <w:sz w:val="24"/>
                <w:szCs w:val="24"/>
                <w:u w:val="single"/>
                <w:vertAlign w:val="baseline"/>
                <w:lang w:val="en-US" w:eastAsia="zh-CN"/>
              </w:rPr>
            </w:pPr>
            <w:r>
              <w:rPr>
                <w:rFonts w:hint="eastAsia"/>
                <w:sz w:val="24"/>
                <w:szCs w:val="24"/>
                <w:u w:val="single"/>
                <w:vertAlign w:val="baseline"/>
                <w:lang w:val="en-US" w:eastAsia="zh-CN"/>
              </w:rPr>
              <w:t>被授权人身份证正面（国徽面）</w:t>
            </w:r>
          </w:p>
        </w:tc>
      </w:tr>
    </w:tbl>
    <w:p>
      <w:pPr>
        <w:pStyle w:val="27"/>
        <w:spacing w:before="145" w:beforeLines="50" w:after="145" w:afterLines="50" w:line="300" w:lineRule="auto"/>
        <w:ind w:firstLine="480"/>
        <w:rPr>
          <w:rFonts w:hint="eastAsia"/>
          <w:sz w:val="24"/>
          <w:szCs w:val="24"/>
          <w:u w:val="single"/>
        </w:rPr>
      </w:pPr>
    </w:p>
    <w:p>
      <w:pPr>
        <w:pStyle w:val="5"/>
        <w:spacing w:before="145" w:beforeLines="50" w:after="145" w:afterLines="50" w:line="300" w:lineRule="auto"/>
        <w:jc w:val="left"/>
        <w:rPr>
          <w:rFonts w:hint="eastAsia" w:ascii="宋体" w:hAnsi="宋体" w:eastAsia="宋体" w:cs="Times New Roman"/>
          <w:bCs w:val="0"/>
          <w:sz w:val="32"/>
          <w:szCs w:val="32"/>
        </w:rPr>
      </w:pPr>
      <w:r>
        <w:rPr>
          <w:rFonts w:hint="eastAsia" w:ascii="宋体" w:hAnsi="宋体" w:eastAsia="宋体" w:cs="宋体"/>
          <w:b w:val="0"/>
          <w:bCs w:val="0"/>
          <w:sz w:val="30"/>
          <w:szCs w:val="30"/>
          <w:lang w:val="en-US" w:eastAsia="zh-CN"/>
        </w:rPr>
        <w:t>格式四</w:t>
      </w:r>
    </w:p>
    <w:p>
      <w:pPr>
        <w:pStyle w:val="5"/>
        <w:spacing w:before="145" w:beforeLines="50" w:after="145"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43"/>
      <w:bookmarkEnd w:id="244"/>
    </w:p>
    <w:p>
      <w:pPr>
        <w:pStyle w:val="21"/>
        <w:spacing w:before="145" w:beforeLines="50" w:after="145" w:afterLines="50" w:line="300" w:lineRule="auto"/>
        <w:ind w:firstLine="0"/>
        <w:rPr>
          <w:rFonts w:ascii="宋体" w:hAnsi="宋体"/>
          <w:kern w:val="2"/>
          <w:szCs w:val="21"/>
        </w:rPr>
      </w:pPr>
      <w:r>
        <w:rPr>
          <w:rFonts w:hint="eastAsia" w:ascii="宋体" w:hAnsi="宋体"/>
          <w:kern w:val="2"/>
          <w:szCs w:val="21"/>
        </w:rPr>
        <w:t>致：</w:t>
      </w:r>
      <w:r>
        <w:rPr>
          <w:rFonts w:hint="eastAsia" w:ascii="宋体" w:hAnsi="宋体"/>
          <w:kern w:val="2"/>
          <w:szCs w:val="21"/>
          <w:lang w:val="en-US" w:eastAsia="zh-CN"/>
        </w:rPr>
        <w:t>昌吉回族自治州政务服务和公共资源</w:t>
      </w:r>
      <w:r>
        <w:rPr>
          <w:rFonts w:hint="eastAsia" w:ascii="宋体" w:hAnsi="宋体"/>
          <w:kern w:val="2"/>
          <w:szCs w:val="21"/>
        </w:rPr>
        <w:t>交易中心</w:t>
      </w:r>
    </w:p>
    <w:p>
      <w:pPr>
        <w:pStyle w:val="21"/>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21"/>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21"/>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21"/>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21"/>
        <w:spacing w:before="145" w:beforeLines="50" w:after="145"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21"/>
        <w:spacing w:before="145" w:beforeLines="50" w:after="145"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21"/>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spacing w:before="145" w:beforeLines="50" w:after="145" w:afterLines="50" w:line="300" w:lineRule="auto"/>
        <w:ind w:firstLine="300" w:firstLineChars="100"/>
        <w:jc w:val="left"/>
        <w:rPr>
          <w:rFonts w:hint="eastAsia" w:ascii="黑体" w:hAnsi="黑体" w:eastAsia="黑体"/>
          <w:b/>
          <w:sz w:val="32"/>
          <w:szCs w:val="32"/>
          <w:lang w:val="en-US" w:eastAsia="zh-CN"/>
        </w:rPr>
      </w:pPr>
      <w:r>
        <w:rPr>
          <w:rFonts w:hint="eastAsia" w:ascii="宋体" w:hAnsi="宋体" w:eastAsia="宋体" w:cs="宋体"/>
          <w:b w:val="0"/>
          <w:bCs w:val="0"/>
          <w:kern w:val="2"/>
          <w:sz w:val="30"/>
          <w:szCs w:val="30"/>
          <w:lang w:val="en-US" w:eastAsia="zh-CN" w:bidi="ar-SA"/>
        </w:rPr>
        <w:t>格式五</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sz w:val="18"/>
        </w:rPr>
      </w:pPr>
      <w:r>
        <w:rPr>
          <w:rFonts w:hint="eastAsia" w:ascii="黑体" w:hAnsi="黑体" w:eastAsia="黑体"/>
          <w:b/>
          <w:sz w:val="32"/>
          <w:szCs w:val="32"/>
        </w:rPr>
        <w:t xml:space="preserve"> </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rPr>
      </w:pPr>
      <w:r>
        <w:rPr>
          <w:rFonts w:hint="eastAsia" w:ascii="方正小标宋_GBK" w:hAnsi="方正小标宋_GBK" w:eastAsia="方正小标宋_GBK" w:cs="方正小标宋_GBK"/>
          <w:sz w:val="36"/>
          <w:szCs w:val="22"/>
        </w:rPr>
        <w:t>中小企业声明函（工程、服务）</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szCs w:val="22"/>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）采购活动，服务全部由符合政策要求的中小企业承接。相关企业（含联合体中的中小企业、签订分包意向协议的中小企业）的具体情况如下：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1.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2. （</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）；承接企业为（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320" w:firstLineChars="1800"/>
        <w:rPr>
          <w:rFonts w:hint="eastAsia" w:ascii="宋体" w:hAnsi="宋体"/>
          <w:bCs/>
          <w:sz w:val="24"/>
        </w:rPr>
      </w:pPr>
      <w:r>
        <w:rPr>
          <w:rFonts w:hint="eastAsia" w:ascii="宋体" w:hAnsi="宋体"/>
          <w:bCs/>
          <w:sz w:val="24"/>
        </w:rPr>
        <w:t>日期：</w:t>
      </w:r>
    </w:p>
    <w:p>
      <w:pPr>
        <w:pStyle w:val="10"/>
        <w:ind w:left="0" w:leftChars="0" w:firstLine="0" w:firstLineChars="0"/>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b/>
          <w:bCs/>
          <w:sz w:val="18"/>
          <w:szCs w:val="22"/>
          <w:lang w:val="en-US" w:eastAsia="zh-CN"/>
        </w:rPr>
        <w:t>2、</w:t>
      </w: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keepNext w:val="0"/>
        <w:keepLines w:val="0"/>
        <w:pageBreakBefore w:val="0"/>
        <w:widowControl/>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p>
    <w:p>
      <w:pPr>
        <w:spacing w:before="145" w:beforeLines="50" w:after="145" w:afterLines="50" w:line="300" w:lineRule="auto"/>
        <w:rPr>
          <w:rFonts w:hint="eastAsia" w:ascii="宋体" w:hAnsi="宋体"/>
          <w:bCs/>
          <w:sz w:val="24"/>
        </w:rPr>
      </w:pPr>
    </w:p>
    <w:p>
      <w:pPr>
        <w:pStyle w:val="10"/>
        <w:rPr>
          <w:rFonts w:hint="eastAsia" w:ascii="宋体" w:hAnsi="宋体"/>
          <w:bCs/>
          <w:sz w:val="24"/>
        </w:rPr>
      </w:pPr>
    </w:p>
    <w:p>
      <w:pPr>
        <w:rPr>
          <w:rFonts w:hint="eastAsia" w:ascii="宋体" w:hAnsi="宋体"/>
          <w:bCs/>
          <w:sz w:val="24"/>
        </w:rPr>
      </w:pPr>
    </w:p>
    <w:p>
      <w:pPr>
        <w:pStyle w:val="10"/>
        <w:rPr>
          <w:rFonts w:hint="eastAsia"/>
        </w:rPr>
      </w:pPr>
    </w:p>
    <w:p>
      <w:pPr>
        <w:spacing w:before="145" w:beforeLines="50" w:after="145" w:afterLines="50" w:line="300" w:lineRule="auto"/>
        <w:ind w:firstLine="300" w:firstLineChars="100"/>
        <w:jc w:val="left"/>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格式六 </w:t>
      </w:r>
    </w:p>
    <w:p>
      <w:pPr>
        <w:spacing w:before="145" w:beforeLines="50" w:after="145"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45" w:beforeLines="50" w:after="145" w:afterLines="50" w:line="300" w:lineRule="auto"/>
        <w:ind w:firstLine="624" w:firstLineChars="200"/>
        <w:rPr>
          <w:rFonts w:hint="eastAsia" w:ascii="仿宋_GB2312" w:eastAsia="仿宋_GB2312"/>
          <w:spacing w:val="6"/>
          <w:sz w:val="30"/>
          <w:szCs w:val="30"/>
        </w:rPr>
      </w:pPr>
    </w:p>
    <w:p>
      <w:pPr>
        <w:spacing w:before="145" w:beforeLines="50" w:after="145"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sz w:val="24"/>
        </w:rPr>
      </w:pPr>
    </w:p>
    <w:p>
      <w:pPr>
        <w:spacing w:before="145" w:beforeLines="50" w:after="145"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ascii="仿宋_GB2312" w:eastAsia="仿宋_GB2312"/>
          <w:spacing w:val="6"/>
          <w:sz w:val="30"/>
          <w:szCs w:val="30"/>
        </w:rPr>
      </w:pPr>
    </w:p>
    <w:p>
      <w:pPr>
        <w:tabs>
          <w:tab w:val="left" w:pos="4860"/>
        </w:tabs>
        <w:spacing w:before="145" w:beforeLines="50" w:after="145"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45" w:beforeLines="50" w:after="145"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45" w:beforeLines="50" w:after="145" w:afterLines="50" w:line="300" w:lineRule="auto"/>
        <w:rPr>
          <w:rFonts w:hint="eastAsia" w:ascii="宋体" w:hAnsi="宋体"/>
          <w:b/>
          <w:bCs/>
          <w:sz w:val="24"/>
        </w:rPr>
      </w:pPr>
      <w:r>
        <w:rPr>
          <w:rFonts w:hint="eastAsia" w:ascii="宋体" w:hAnsi="宋体"/>
          <w:b/>
          <w:bCs/>
          <w:sz w:val="24"/>
        </w:rPr>
        <w:t>（备注：投标人如未提供此声明函，价格将不做相应扣除，但投标不会被拒绝；如未如实声明，需承担相应法律责任。）</w:t>
      </w: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bookmarkEnd w:id="237"/>
    <w:bookmarkEnd w:id="238"/>
    <w:p>
      <w:pPr>
        <w:jc w:val="left"/>
        <w:rPr>
          <w:rFonts w:hint="default" w:ascii="宋体" w:hAnsi="宋体" w:eastAsia="宋体" w:cs="宋体"/>
          <w:b/>
          <w:bCs/>
          <w:kern w:val="2"/>
          <w:sz w:val="30"/>
          <w:szCs w:val="30"/>
          <w:lang w:val="en-US" w:eastAsia="zh-CN" w:bidi="ar-SA"/>
        </w:rPr>
      </w:pPr>
      <w:r>
        <w:rPr>
          <w:rFonts w:hint="eastAsia" w:ascii="宋体" w:hAnsi="宋体" w:eastAsia="宋体" w:cs="宋体"/>
          <w:b w:val="0"/>
          <w:bCs w:val="0"/>
          <w:kern w:val="2"/>
          <w:sz w:val="30"/>
          <w:szCs w:val="30"/>
          <w:lang w:val="en-US" w:eastAsia="zh-CN" w:bidi="ar-SA"/>
        </w:rPr>
        <w:t>格式七</w:t>
      </w:r>
      <w:r>
        <w:rPr>
          <w:rFonts w:hint="eastAsia" w:ascii="宋体" w:hAnsi="宋体" w:cs="宋体"/>
          <w:b w:val="0"/>
          <w:bCs w:val="0"/>
          <w:kern w:val="2"/>
          <w:sz w:val="30"/>
          <w:szCs w:val="30"/>
          <w:lang w:val="en-US" w:eastAsia="zh-CN" w:bidi="ar-SA"/>
        </w:rPr>
        <w:t xml:space="preserve">                  </w:t>
      </w:r>
      <w:r>
        <w:rPr>
          <w:rFonts w:hint="eastAsia" w:ascii="宋体" w:hAnsi="宋体" w:cs="宋体"/>
          <w:b/>
          <w:bCs/>
          <w:kern w:val="2"/>
          <w:sz w:val="30"/>
          <w:szCs w:val="30"/>
          <w:lang w:val="en-US" w:eastAsia="zh-CN" w:bidi="ar-SA"/>
        </w:rPr>
        <w:t>质疑函</w:t>
      </w:r>
    </w:p>
    <w:tbl>
      <w:tblPr>
        <w:tblStyle w:val="17"/>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须符合</w:t>
            </w:r>
            <w:r>
              <w:rPr>
                <w:rFonts w:hint="default" w:ascii="方正仿宋简体" w:hAnsi="方正仿宋简体" w:eastAsia="方正仿宋简体" w:cs="方正仿宋简体"/>
                <w:i w:val="0"/>
                <w:iCs w:val="0"/>
                <w:caps w:val="0"/>
                <w:color w:val="333333"/>
                <w:spacing w:val="0"/>
                <w:sz w:val="21"/>
                <w:szCs w:val="21"/>
                <w:lang w:val="en-US"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政府采购质疑和投诉办法</w:t>
            </w:r>
            <w:r>
              <w:rPr>
                <w:rFonts w:hint="default" w:ascii="方正仿宋简体" w:hAnsi="方正仿宋简体" w:eastAsia="方正仿宋简体" w:cs="方正仿宋简体"/>
                <w:i w:val="0"/>
                <w:iCs w:val="0"/>
                <w:caps w:val="0"/>
                <w:color w:val="333333"/>
                <w:spacing w:val="0"/>
                <w:sz w:val="21"/>
                <w:szCs w:val="21"/>
                <w:lang w:val="en-US" w:eastAsia="zh-CN"/>
              </w:rPr>
              <w:t>》中华人民共和国财政部令第94号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要求，否则昌吉州政务服务和公共资源交易</w:t>
            </w:r>
            <w:r>
              <w:rPr>
                <w:rFonts w:hint="default" w:ascii="方正仿宋简体" w:hAnsi="方正仿宋简体" w:eastAsia="方正仿宋简体" w:cs="方正仿宋简体"/>
                <w:i w:val="0"/>
                <w:iCs w:val="0"/>
                <w:caps w:val="0"/>
                <w:color w:val="333333"/>
                <w:spacing w:val="0"/>
                <w:sz w:val="21"/>
                <w:szCs w:val="21"/>
                <w:lang w:val="en-US" w:eastAsia="zh-CN"/>
              </w:rPr>
              <w:t>中心不予受理。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10"/>
        <w:ind w:left="0" w:leftChars="0" w:firstLine="0" w:firstLineChars="0"/>
        <w:rPr>
          <w:rFonts w:hint="default"/>
          <w:lang w:val="en-US" w:eastAsia="zh-CN"/>
        </w:rPr>
      </w:pPr>
      <w:r>
        <w:rPr>
          <w:rFonts w:hint="eastAsia"/>
        </w:rPr>
        <w:br w:type="page"/>
      </w:r>
    </w:p>
    <w:p/>
    <w:p/>
    <w:p/>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howcard Gothic">
    <w:altName w:val="Gabriola"/>
    <w:panose1 w:val="04020904020102020604"/>
    <w:charset w:val="00"/>
    <w:family w:val="decorative"/>
    <w:pitch w:val="default"/>
    <w:sig w:usb0="00000000"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7C61E"/>
    <w:multiLevelType w:val="singleLevel"/>
    <w:tmpl w:val="8317C61E"/>
    <w:lvl w:ilvl="0" w:tentative="0">
      <w:start w:val="1"/>
      <w:numFmt w:val="decimal"/>
      <w:suff w:val="nothing"/>
      <w:lvlText w:val="%1、"/>
      <w:lvlJc w:val="left"/>
    </w:lvl>
  </w:abstractNum>
  <w:abstractNum w:abstractNumId="1">
    <w:nsid w:val="56DA70F1"/>
    <w:multiLevelType w:val="singleLevel"/>
    <w:tmpl w:val="56DA70F1"/>
    <w:lvl w:ilvl="0" w:tentative="0">
      <w:start w:val="2"/>
      <w:numFmt w:val="decimal"/>
      <w:suff w:val="space"/>
      <w:lvlText w:val="%1."/>
      <w:lvlJc w:val="left"/>
    </w:lvl>
  </w:abstractNum>
  <w:abstractNum w:abstractNumId="2">
    <w:nsid w:val="651135B3"/>
    <w:multiLevelType w:val="singleLevel"/>
    <w:tmpl w:val="651135B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35BC6"/>
    <w:rsid w:val="13D35BC6"/>
    <w:rsid w:val="21B11539"/>
    <w:rsid w:val="252A3EF0"/>
    <w:rsid w:val="28DD7620"/>
    <w:rsid w:val="2EA42A4A"/>
    <w:rsid w:val="34115FB9"/>
    <w:rsid w:val="39C41236"/>
    <w:rsid w:val="42AD1F48"/>
    <w:rsid w:val="4E0B3947"/>
    <w:rsid w:val="500A7D8A"/>
    <w:rsid w:val="55A51565"/>
    <w:rsid w:val="5E3A7228"/>
    <w:rsid w:val="5EAE04D8"/>
    <w:rsid w:val="5F167484"/>
    <w:rsid w:val="628455A6"/>
    <w:rsid w:val="6512538D"/>
    <w:rsid w:val="6B334017"/>
    <w:rsid w:val="769D479D"/>
    <w:rsid w:val="772C6187"/>
    <w:rsid w:val="7A6E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jc w:val="center"/>
      <w:outlineLvl w:val="0"/>
    </w:pPr>
    <w:rPr>
      <w:rFonts w:ascii="楷体_GB2312" w:eastAsia="楷体_GB2312"/>
      <w:sz w:val="28"/>
      <w:szCs w:val="28"/>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8"/>
    <w:qFormat/>
    <w:uiPriority w:val="0"/>
    <w:pPr>
      <w:keepNext/>
      <w:keepLines/>
      <w:ind w:firstLine="420" w:firstLineChars="150"/>
      <w:outlineLvl w:val="3"/>
    </w:pPr>
    <w:rPr>
      <w:rFonts w:ascii="Arial" w:hAnsi="Arial" w:cs="Arial"/>
      <w:b/>
      <w:sz w:val="28"/>
      <w:szCs w:val="28"/>
    </w:rPr>
  </w:style>
  <w:style w:type="character" w:default="1" w:styleId="19">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8"/>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Normal Indent"/>
    <w:basedOn w:val="1"/>
    <w:next w:val="1"/>
    <w:qFormat/>
    <w:uiPriority w:val="0"/>
    <w:pPr>
      <w:ind w:firstLine="420"/>
    </w:pPr>
  </w:style>
  <w:style w:type="paragraph" w:styleId="9">
    <w:name w:val="annotation text"/>
    <w:basedOn w:val="1"/>
    <w:unhideWhenUsed/>
    <w:qFormat/>
    <w:uiPriority w:val="99"/>
    <w:pPr>
      <w:jc w:val="left"/>
    </w:pPr>
  </w:style>
  <w:style w:type="paragraph" w:styleId="10">
    <w:name w:val="index 6"/>
    <w:basedOn w:val="1"/>
    <w:next w:val="1"/>
    <w:qFormat/>
    <w:uiPriority w:val="99"/>
    <w:pPr>
      <w:ind w:left="2100"/>
    </w:pPr>
  </w:style>
  <w:style w:type="paragraph" w:styleId="11">
    <w:name w:val="Plain Text"/>
    <w:basedOn w:val="1"/>
    <w:qFormat/>
    <w:uiPriority w:val="0"/>
    <w:rPr>
      <w:rFonts w:ascii="宋体" w:hAnsi="Courier New" w:cs="Courier New"/>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6"/>
    <w:basedOn w:val="1"/>
    <w:next w:val="1"/>
    <w:qFormat/>
    <w:uiPriority w:val="39"/>
    <w:pPr>
      <w:ind w:left="2100" w:leftChars="1000"/>
    </w:pPr>
  </w:style>
  <w:style w:type="paragraph" w:styleId="14">
    <w:name w:val="toc 2"/>
    <w:basedOn w:val="1"/>
    <w:next w:val="1"/>
    <w:qFormat/>
    <w:uiPriority w:val="39"/>
    <w:pPr>
      <w:ind w:left="210"/>
      <w:jc w:val="left"/>
    </w:pPr>
    <w:rPr>
      <w:smallCaps/>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2"/>
    <w:next w:val="13"/>
    <w:qFormat/>
    <w:uiPriority w:val="0"/>
    <w:pPr>
      <w:spacing w:line="360" w:lineRule="auto"/>
      <w:ind w:firstLine="200" w:firstLineChars="200"/>
    </w:pPr>
    <w:rPr>
      <w:rFonts w:ascii="仿宋_GB2312" w:eastAsia="仿宋_GB2312"/>
      <w:sz w:val="30"/>
      <w:szCs w:val="30"/>
    </w:rPr>
  </w:style>
  <w:style w:type="table" w:styleId="18">
    <w:name w:val="Table Grid"/>
    <w:basedOn w:val="1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Hyperlink"/>
    <w:qFormat/>
    <w:uiPriority w:val="99"/>
    <w:rPr>
      <w:color w:val="0000FF"/>
      <w:u w:val="single"/>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3">
    <w:name w:val="_Style 11"/>
    <w:basedOn w:val="4"/>
    <w:next w:val="1"/>
    <w:qFormat/>
    <w:uiPriority w:val="39"/>
    <w:pPr>
      <w:keepLines/>
      <w:widowControl/>
      <w:spacing w:before="480" w:line="276" w:lineRule="auto"/>
      <w:jc w:val="left"/>
      <w:outlineLvl w:val="9"/>
    </w:pPr>
    <w:rPr>
      <w:rFonts w:ascii="Cambria" w:hAnsi="Cambria" w:eastAsia="宋体"/>
      <w:b/>
      <w:bCs/>
      <w:color w:val="365F91"/>
      <w:kern w:val="0"/>
    </w:rPr>
  </w:style>
  <w:style w:type="table" w:customStyle="1" w:styleId="24">
    <w:name w:val="Table Normal"/>
    <w:unhideWhenUsed/>
    <w:qFormat/>
    <w:uiPriority w:val="2"/>
    <w:rPr>
      <w:lang w:val="en-US" w:eastAsia="zh-CN" w:bidi="ar-SA"/>
    </w:rPr>
    <w:tblPr>
      <w:tblLayout w:type="fixed"/>
      <w:tblCellMar>
        <w:top w:w="0" w:type="dxa"/>
        <w:left w:w="0" w:type="dxa"/>
        <w:bottom w:w="0" w:type="dxa"/>
        <w:right w:w="0" w:type="dxa"/>
      </w:tblCellMar>
    </w:tblPr>
  </w:style>
  <w:style w:type="paragraph" w:customStyle="1" w:styleId="25">
    <w:name w:val="Table Text"/>
    <w:basedOn w:val="1"/>
    <w:semiHidden/>
    <w:qFormat/>
    <w:uiPriority w:val="0"/>
    <w:rPr>
      <w:rFonts w:ascii="仿宋" w:hAnsi="仿宋" w:eastAsia="仿宋" w:cs="仿宋"/>
      <w:sz w:val="24"/>
      <w:szCs w:val="24"/>
      <w:lang w:val="en-US" w:eastAsia="en-US" w:bidi="ar-SA"/>
    </w:rPr>
  </w:style>
  <w:style w:type="paragraph" w:customStyle="1" w:styleId="26">
    <w:name w:val="列出段落1"/>
    <w:basedOn w:val="1"/>
    <w:qFormat/>
    <w:uiPriority w:val="0"/>
    <w:pPr>
      <w:widowControl/>
      <w:ind w:left="720"/>
      <w:contextualSpacing/>
      <w:jc w:val="left"/>
    </w:pPr>
    <w:rPr>
      <w:kern w:val="0"/>
      <w:sz w:val="24"/>
      <w:szCs w:val="24"/>
      <w:lang w:eastAsia="en-US" w:bidi="en-US"/>
    </w:rPr>
  </w:style>
  <w:style w:type="paragraph" w:customStyle="1" w:styleId="27">
    <w:name w:val="Char"/>
    <w:basedOn w:val="1"/>
    <w:qFormat/>
    <w:uiPriority w:val="0"/>
    <w:pPr>
      <w:tabs>
        <w:tab w:val="left" w:pos="360"/>
      </w:tabs>
      <w:ind w:firstLine="200" w:firstLineChars="200"/>
    </w:pPr>
    <w:rPr>
      <w:sz w:val="28"/>
      <w:szCs w:val="30"/>
    </w:rPr>
  </w:style>
  <w:style w:type="paragraph" w:customStyle="1" w:styleId="28">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4"/>
    </w:rPr>
  </w:style>
  <w:style w:type="paragraph" w:customStyle="1" w:styleId="2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2024-10-23T04:11:00Z</dcterms:created>
  <dc:creator>98505</dc:creator>
  <cp:lastModifiedBy>Administrator</cp:lastModifiedBy>
  <dcterms:modified xsi:type="dcterms:W3CDTF">2024-11-05T11:01:06Z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